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03D5C" w14:textId="77777777" w:rsidR="00736F61" w:rsidRPr="00CC1FC3" w:rsidRDefault="00736F61" w:rsidP="00736F61">
      <w:pPr>
        <w:pStyle w:val="Heading1"/>
        <w:rPr>
          <w:rStyle w:val="Strong"/>
          <w:rFonts w:cs="Times New Roman"/>
          <w:b/>
        </w:rPr>
      </w:pPr>
      <w:r w:rsidRPr="00CC1FC3">
        <w:rPr>
          <w:rStyle w:val="Strong"/>
          <w:rFonts w:cs="Times New Roman"/>
          <w:b/>
        </w:rPr>
        <w:t>Chapter 5 Methodology</w:t>
      </w:r>
    </w:p>
    <w:p w14:paraId="7A2EE85B" w14:textId="77777777" w:rsidR="00736F61" w:rsidRDefault="00736F61" w:rsidP="00736F61">
      <w:pPr>
        <w:pStyle w:val="Heading2"/>
      </w:pPr>
      <w:bookmarkStart w:id="0" w:name="_Toc221437644"/>
      <w:r w:rsidRPr="00CC1FC3">
        <w:t>5.1 Introduction</w:t>
      </w:r>
      <w:bookmarkEnd w:id="0"/>
    </w:p>
    <w:p w14:paraId="7494E7A9" w14:textId="77777777" w:rsidR="00736F61" w:rsidRPr="008E1BE2" w:rsidRDefault="00736F61" w:rsidP="00736F61">
      <w:pPr>
        <w:spacing w:line="480" w:lineRule="auto"/>
        <w:ind w:firstLine="720"/>
        <w:jc w:val="both"/>
        <w:rPr>
          <w:color w:val="EE0000"/>
        </w:rPr>
      </w:pPr>
      <w:r w:rsidRPr="008E1BE2">
        <w:rPr>
          <w:color w:val="EE0000"/>
        </w:rPr>
        <w:t>This chapter presents the methodological framework underpinning the study and explains the philosophical, theoretical, and practical foundations that guide the research design. Given the complex and multi-dimensional nature of MS and its corporate manifestations (CMS), a rigorous and transparent methodological approach is essential to capture both its structural drivers and lived realities. Accordingly, this chapter justifies and details the mixed-methods strategy adopted to examine CMS across macro, meso, and micro levels of analysis.</w:t>
      </w:r>
    </w:p>
    <w:p w14:paraId="0F88414C" w14:textId="77777777" w:rsidR="00736F61" w:rsidRPr="008E1BE2" w:rsidRDefault="00736F61" w:rsidP="00736F61">
      <w:pPr>
        <w:spacing w:line="480" w:lineRule="auto"/>
        <w:ind w:firstLine="720"/>
        <w:jc w:val="both"/>
        <w:rPr>
          <w:color w:val="EE0000"/>
        </w:rPr>
      </w:pPr>
      <w:r w:rsidRPr="008E1BE2">
        <w:rPr>
          <w:color w:val="EE0000"/>
        </w:rPr>
        <w:t>The chapter begins by outlining the research philosophy and paradigm that inform the study’s ontological and epistemological positioning. Grounded in critical realism and guided by pragmatism, the research recognises that CMS is both a real, structurally embedded phenomenon and a socially constructed reality shaped by institutional processes, power relations, and local contexts. This dual philosophical stance provides coherence for integrating quantitative and qualitative methods within a single analytical framework</w:t>
      </w:r>
      <w:r>
        <w:rPr>
          <w:color w:val="EE0000"/>
        </w:rPr>
        <w:t xml:space="preserve"> </w:t>
      </w:r>
      <w:sdt>
        <w:sdtPr>
          <w:tag w:val="MENDELEY_CITATION_v3_eyJjaXRhdGlvbklEIjoiTUVOREVMRVlfQ0lUQVRJT05fODdiNWNkZDktM2M4Ny00NzY2LThjNzAtYmI1MzhjYjdkMDVjIiwicHJvcGVydGllcyI6eyJub3RlSW5kZXgiOjB9LCJpc0VkaXRlZCI6ZmFsc2UsIm1hbnVhbE92ZXJyaWRlIjp7ImlzTWFudWFsbHlPdmVycmlkZGVuIjpmYWxzZSwiY2l0ZXByb2NUZXh0IjoiKENyZXN3ZWxsLCAyMDE0OyBUZWRkbGllIGFuZCBUYXNoYWtrb3JpLCAyMDA5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"/>
          <w:id w:val="-356812156"/>
          <w:placeholder>
            <w:docPart w:val="444D993068574F418CB039F91B3252D4"/>
          </w:placeholder>
        </w:sdtPr>
        <w:sdtEndPr/>
        <w:sdtContent>
          <w:r w:rsidRPr="00691D49">
            <w:t xml:space="preserve">(Creswell, 2014; Teddlie and </w:t>
          </w:r>
          <w:proofErr w:type="spellStart"/>
          <w:r w:rsidRPr="00691D49">
            <w:t>Tashakkori</w:t>
          </w:r>
          <w:proofErr w:type="spellEnd"/>
          <w:r w:rsidRPr="00691D49">
            <w:t>, 2009)</w:t>
          </w:r>
        </w:sdtContent>
      </w:sdt>
      <w:r w:rsidRPr="008E1BE2">
        <w:rPr>
          <w:color w:val="EE0000"/>
        </w:rPr>
        <w:t>.</w:t>
      </w:r>
    </w:p>
    <w:p w14:paraId="793DC0AB" w14:textId="77777777" w:rsidR="00736F61" w:rsidRPr="008E1BE2" w:rsidRDefault="00736F61" w:rsidP="00736F61">
      <w:pPr>
        <w:spacing w:line="480" w:lineRule="auto"/>
        <w:ind w:firstLine="720"/>
        <w:jc w:val="both"/>
        <w:rPr>
          <w:color w:val="EE0000"/>
        </w:rPr>
      </w:pPr>
      <w:r w:rsidRPr="008E1BE2">
        <w:rPr>
          <w:color w:val="EE0000"/>
        </w:rPr>
        <w:t>Building on this foundation, the chapter introduces the Burrell and Morgan (1979) Sociological Paradigms Framework to situate the study within broader debates in social science methodology. The discussion explains how the research draws primarily from the Functionalist and Interpretivist paradigms while maintaining a critical awareness of power and structural inequality informed by radical perspectives. This positioning supports the study’s pragmatic commitment to methodological pluralism and problem-driven inquiry.</w:t>
      </w:r>
    </w:p>
    <w:p w14:paraId="51156BF0" w14:textId="77777777" w:rsidR="00736F61" w:rsidRPr="008E1BE2" w:rsidRDefault="00736F61" w:rsidP="00736F61">
      <w:pPr>
        <w:spacing w:line="480" w:lineRule="auto"/>
        <w:ind w:firstLine="720"/>
        <w:jc w:val="both"/>
        <w:rPr>
          <w:color w:val="EE0000"/>
        </w:rPr>
      </w:pPr>
      <w:r w:rsidRPr="008E1BE2">
        <w:rPr>
          <w:color w:val="EE0000"/>
        </w:rPr>
        <w:t xml:space="preserve">The chapter then presents the Integrated Conceptual Framework, which structures the research around an Inputs–Throughput–Outputs logic informed by NIT. This framework </w:t>
      </w:r>
      <w:r w:rsidRPr="008E1BE2">
        <w:rPr>
          <w:color w:val="EE0000"/>
        </w:rPr>
        <w:lastRenderedPageBreak/>
        <w:t>illustrates how macro-level institutional pressures (coercive, normative, and mimetic) shape meso-level corporate governance responses through SGIs, while recognising that this pathway is mediated by institutional decoupling. A complementary micro-level qualitative strand investigates the “black box” of decoupling by examining worker experiences in Sri Lanka’s A&amp;TI.</w:t>
      </w:r>
    </w:p>
    <w:p w14:paraId="3DDAADEE" w14:textId="77777777" w:rsidR="00736F61" w:rsidRPr="008E1BE2" w:rsidRDefault="00736F61" w:rsidP="00736F61">
      <w:pPr>
        <w:spacing w:line="480" w:lineRule="auto"/>
        <w:ind w:firstLine="720"/>
        <w:jc w:val="both"/>
        <w:rPr>
          <w:color w:val="EE0000"/>
        </w:rPr>
      </w:pPr>
      <w:r w:rsidRPr="008E1BE2">
        <w:rPr>
          <w:color w:val="EE0000"/>
        </w:rPr>
        <w:t xml:space="preserve">Following this, the chapter outlines the research design, explaining the rationale for an explanatory sequential mixed-methods approach. It justifies why combining large-scale quantitative analysis of G500 </w:t>
      </w:r>
      <w:r>
        <w:rPr>
          <w:color w:val="EE0000"/>
        </w:rPr>
        <w:t>MNCs</w:t>
      </w:r>
      <w:r w:rsidRPr="008E1BE2">
        <w:rPr>
          <w:color w:val="EE0000"/>
        </w:rPr>
        <w:t xml:space="preserve"> with in-depth qualitative inquiry in a developing country context is both methodologically appropriate and theoretically necessary. The section also discusses the advantages and limitations of mixed methods and clarifies how integration is achieved across phases.</w:t>
      </w:r>
    </w:p>
    <w:p w14:paraId="094F51D7" w14:textId="77777777" w:rsidR="00736F61" w:rsidRPr="006B08F7" w:rsidRDefault="00736F61" w:rsidP="00736F61">
      <w:pPr>
        <w:spacing w:line="480" w:lineRule="auto"/>
        <w:ind w:firstLine="720"/>
        <w:jc w:val="both"/>
        <w:rPr>
          <w:color w:val="EE0000"/>
        </w:rPr>
      </w:pPr>
      <w:r w:rsidRPr="008E1BE2">
        <w:rPr>
          <w:color w:val="EE0000"/>
        </w:rPr>
        <w:t>The chapter then details the quantitative strand, covering both macro-level (cross-country panel analysis of governance, development, and MS indicators) and meso-level (firm-level panel analysis of SGIs and ACMS commitments). It specifies data sources, variables, estimation techniques, and robustness checks.</w:t>
      </w:r>
      <w:r>
        <w:rPr>
          <w:color w:val="EE0000"/>
        </w:rPr>
        <w:t xml:space="preserve"> T</w:t>
      </w:r>
      <w:r w:rsidRPr="008E1BE2">
        <w:rPr>
          <w:color w:val="EE0000"/>
        </w:rPr>
        <w:t xml:space="preserve">his is followed by the </w:t>
      </w:r>
      <w:r w:rsidRPr="006B08F7">
        <w:rPr>
          <w:color w:val="EE0000"/>
        </w:rPr>
        <w:t>qualitative strand, which comprises two components: (1) a meso-level disclosure analysis of leading apparel and textile MNCs, and (2) a micro-level investigation based on questionnaires and semi-structured interviews with workers and key stakeholders in Sri Lanka’s A&amp;TI. The chapter explains sampling, data collection procedures, and thematic analysis. The final sections address cross-phase integration, explaining how quantitative and qualitative findings are synthesised to generate meta-inferences. The chapter also discusses issues of validity, reliability, and trustworthiness, ethical considerations, and methodological limitations.</w:t>
      </w:r>
    </w:p>
    <w:p w14:paraId="4303586E" w14:textId="77777777" w:rsidR="00736F61" w:rsidRPr="006B08F7" w:rsidRDefault="00736F61" w:rsidP="00736F61">
      <w:pPr>
        <w:pStyle w:val="Heading2"/>
        <w:rPr>
          <w:color w:val="EE0000"/>
        </w:rPr>
      </w:pPr>
      <w:bookmarkStart w:id="1" w:name="_Toc221437645"/>
      <w:r w:rsidRPr="006B08F7">
        <w:rPr>
          <w:color w:val="EE0000"/>
        </w:rPr>
        <w:lastRenderedPageBreak/>
        <w:t>5.2 Research Philosophy and Paradigm</w:t>
      </w:r>
      <w:bookmarkEnd w:id="1"/>
    </w:p>
    <w:p w14:paraId="72645E0F" w14:textId="77777777" w:rsidR="00736F61" w:rsidRPr="006B08F7" w:rsidRDefault="00736F61" w:rsidP="00736F61">
      <w:pPr>
        <w:spacing w:after="0" w:line="480" w:lineRule="auto"/>
        <w:jc w:val="both"/>
        <w:rPr>
          <w:rFonts w:eastAsia="Palatino Linotype"/>
          <w:color w:val="EE0000"/>
        </w:rPr>
      </w:pPr>
      <w:r w:rsidRPr="006B08F7">
        <w:rPr>
          <w:color w:val="EE0000"/>
        </w:rPr>
        <w:t xml:space="preserve">The research philosophy establishes the fundamental assumptions that underpin this study, shaping how reality is understood, how knowledge is generated, and how research is conducted. </w:t>
      </w:r>
      <w:r w:rsidRPr="006B08F7">
        <w:rPr>
          <w:rFonts w:eastAsia="Palatino Linotype"/>
          <w:color w:val="EE0000"/>
        </w:rPr>
        <w:t>The methodological choices of the thesis are underpinned by a combination of critical realism as the ontological foundation and pragmatism as the guiding epistemological stance. This dual philosophical orientation provides both the theoretical and methodological coherence necessary to address the complex, multi-dimensional nature of MS. It enables the research to bridge macro-level institutional structures, meso-level corporate mechanisms, and micro-level worker experiences through a mixed-methods design.</w:t>
      </w:r>
    </w:p>
    <w:p w14:paraId="0F794716" w14:textId="77777777" w:rsidR="00736F61" w:rsidRPr="006B08F7" w:rsidRDefault="00736F61" w:rsidP="00736F61">
      <w:pPr>
        <w:pStyle w:val="Heading3"/>
        <w:rPr>
          <w:rFonts w:eastAsia="Palatino Linotype"/>
          <w:color w:val="EE0000"/>
        </w:rPr>
      </w:pPr>
      <w:bookmarkStart w:id="2" w:name="_Toc215651855"/>
      <w:bookmarkStart w:id="3" w:name="_Toc220848355"/>
      <w:bookmarkStart w:id="4" w:name="_Toc221437646"/>
      <w:r w:rsidRPr="006B08F7">
        <w:rPr>
          <w:rFonts w:eastAsia="Palatino Linotype"/>
          <w:color w:val="EE0000"/>
        </w:rPr>
        <w:t>5.2.1 Ontological Position: Critical Realism</w:t>
      </w:r>
      <w:bookmarkEnd w:id="2"/>
      <w:bookmarkEnd w:id="3"/>
      <w:r w:rsidRPr="006B08F7">
        <w:rPr>
          <w:rFonts w:eastAsia="Palatino Linotype"/>
          <w:color w:val="EE0000"/>
        </w:rPr>
        <w:t xml:space="preserve"> </w:t>
      </w:r>
      <w:r w:rsidRPr="006B08F7">
        <w:rPr>
          <w:color w:val="EE0000"/>
          <w:sz w:val="28"/>
          <w:szCs w:val="28"/>
        </w:rPr>
        <w:t>(Nature of Reality)</w:t>
      </w:r>
      <w:bookmarkEnd w:id="4"/>
    </w:p>
    <w:p w14:paraId="3AA8BE2E" w14:textId="77777777" w:rsidR="00736F61" w:rsidRPr="006B08F7" w:rsidRDefault="00736F61" w:rsidP="00736F61">
      <w:pPr>
        <w:spacing w:line="480" w:lineRule="auto"/>
        <w:jc w:val="both"/>
        <w:rPr>
          <w:rFonts w:eastAsia="Palatino Linotype"/>
          <w:color w:val="EE0000"/>
        </w:rPr>
      </w:pPr>
      <w:r w:rsidRPr="006B08F7">
        <w:rPr>
          <w:color w:val="EE0000"/>
        </w:rPr>
        <w:t xml:space="preserve">Ontology concerns the nature of reality and the researcher’s assumptions about what exists </w:t>
      </w:r>
      <w:sdt>
        <w:sdtPr>
          <w:rPr>
            <w:color w:val="EE0000"/>
          </w:rPr>
          <w:tag w:val="MENDELEY_CITATION_v3_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"/>
          <w:id w:val="937411828"/>
          <w:placeholder>
            <w:docPart w:val="123833B610D940B29DDD98FB32E6763D"/>
          </w:placeholder>
        </w:sdtPr>
        <w:sdtEndPr/>
        <w:sdtContent>
          <w:r w:rsidRPr="006B08F7">
            <w:rPr>
              <w:color w:val="EE0000"/>
            </w:rPr>
            <w:t>(Bhaskar, 2013)</w:t>
          </w:r>
        </w:sdtContent>
      </w:sdt>
      <w:r w:rsidRPr="006B08F7">
        <w:rPr>
          <w:color w:val="EE0000"/>
        </w:rPr>
        <w:t xml:space="preserve">. </w:t>
      </w:r>
      <w:r w:rsidRPr="006B08F7">
        <w:rPr>
          <w:rFonts w:eastAsia="Palatino Linotype"/>
          <w:color w:val="EE0000"/>
        </w:rPr>
        <w:t xml:space="preserve">This study adopts critical realism as its ontological position. Critical realism argues that social phenomena exist independently of human perception but are shaped and mediated by underlying structures, mechanisms, and power relations that are not always directly observable </w:t>
      </w:r>
      <w:sdt>
        <w:sdtPr>
          <w:rPr>
            <w:color w:val="EE0000"/>
          </w:rPr>
          <w:tag w:val="MENDELEY_CITATION_v3_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"/>
          <w:id w:val="-1416547668"/>
          <w:placeholder>
            <w:docPart w:val="600DCFA2437449BF9079B29CF845ADFE"/>
          </w:placeholder>
        </w:sdtPr>
        <w:sdtEndPr/>
        <w:sdtContent>
          <w:r w:rsidRPr="006B08F7">
            <w:rPr>
              <w:rFonts w:eastAsia="Times New Roman"/>
              <w:color w:val="EE0000"/>
            </w:rPr>
            <w:t xml:space="preserve">(Bhaskar, 2013; Lawson </w:t>
          </w:r>
          <w:r w:rsidRPr="006B08F7">
            <w:rPr>
              <w:rFonts w:eastAsia="Times New Roman"/>
              <w:i/>
              <w:iCs/>
              <w:color w:val="EE0000"/>
            </w:rPr>
            <w:t>et al.</w:t>
          </w:r>
          <w:r w:rsidRPr="006B08F7">
            <w:rPr>
              <w:rFonts w:eastAsia="Times New Roman"/>
              <w:color w:val="EE0000"/>
            </w:rPr>
            <w:t>, 2013)</w:t>
          </w:r>
        </w:sdtContent>
      </w:sdt>
      <w:r w:rsidRPr="006B08F7">
        <w:rPr>
          <w:color w:val="EE0000"/>
        </w:rPr>
        <w:t>.</w:t>
      </w:r>
      <w:r w:rsidRPr="006B08F7">
        <w:rPr>
          <w:rFonts w:eastAsia="Palatino Linotype"/>
          <w:color w:val="EE0000"/>
        </w:rPr>
        <w:t xml:space="preserve"> From this perspective, MS and its corporate manifestation (CMS) are understood as real, material phenomena rooted in institutional, economic, and political systems, even if individuals experience and interpret them differently (Bhaskar, 1978; Archer et al., 2016). </w:t>
      </w:r>
    </w:p>
    <w:p w14:paraId="7694C479" w14:textId="77777777" w:rsidR="00736F61" w:rsidRPr="006B08F7" w:rsidRDefault="00736F61" w:rsidP="00736F61">
      <w:pPr>
        <w:spacing w:line="480" w:lineRule="auto"/>
        <w:ind w:firstLine="720"/>
        <w:jc w:val="both"/>
        <w:rPr>
          <w:color w:val="EE0000"/>
        </w:rPr>
      </w:pPr>
      <w:r w:rsidRPr="006B08F7">
        <w:rPr>
          <w:color w:val="EE0000"/>
        </w:rPr>
        <w:t xml:space="preserve">Critical realism is particularly appropriate for this research because CMS operates across multiple levels; global institutions, corporate governance systems, and local labour contexts; where causal mechanisms such as coercive, normative, and mimetic pressures influence outcomes in complex and non-linear ways </w:t>
      </w:r>
      <w:sdt>
        <w:sdtPr>
          <w:rPr>
            <w:color w:val="EE0000"/>
          </w:rPr>
          <w:tag w:val="MENDELEY_CITATION_v3_eyJjaXRhdGlvbklEIjoiTUVOREVMRVlfQ0lUQVRJT05fZmVkODRkMjAtYmMwZi00MDU0LWJlZWQtN2I5N2Q5YTI1MTJl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2142383391"/>
          <w:placeholder>
            <w:docPart w:val="3174AF8D2C9E4205BDBB0FBB228B680C"/>
          </w:placeholder>
        </w:sdtPr>
        <w:sdtEndPr/>
        <w:sdtContent>
          <w:r w:rsidRPr="006B08F7">
            <w:rPr>
              <w:color w:val="EE0000"/>
            </w:rPr>
            <w:t>(DiMaggio and Powell, 1983; Scott, 2013)</w:t>
          </w:r>
        </w:sdtContent>
      </w:sdt>
      <w:r w:rsidRPr="006B08F7">
        <w:rPr>
          <w:color w:val="EE0000"/>
        </w:rPr>
        <w:t xml:space="preserve">. While empirical indicators (e.g., prevalence rates, vulnerability scores, and government response measures) capture observable manifestations of MS, critical realism allows the study </w:t>
      </w:r>
      <w:r w:rsidRPr="006B08F7">
        <w:rPr>
          <w:color w:val="EE0000"/>
        </w:rPr>
        <w:lastRenderedPageBreak/>
        <w:t xml:space="preserve">to also consider deeper causal forces such as power asymmetries, institutional decoupling, and market-driven exploitation </w:t>
      </w:r>
      <w:sdt>
        <w:sdtPr>
          <w:rPr>
            <w:color w:val="EE0000"/>
          </w:rPr>
          <w:tag w:val="MENDELEY_CITATION_v3_eyJjaXRhdGlvbklEIjoiTUVOREVMRVlfQ0lUQVRJT05fMTE5MTZiNzgtMjk3ZS00OTE4LWE3MjMtYzA4Njc1MWU5NTY2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1561942634"/>
          <w:placeholder>
            <w:docPart w:val="70F852CA498F4570ABEC4355D2FBF0B0"/>
          </w:placeholder>
        </w:sdtPr>
        <w:sdtEndPr/>
        <w:sdtContent>
          <w:r w:rsidRPr="006B08F7">
            <w:rPr>
              <w:color w:val="EE0000"/>
            </w:rPr>
            <w:t>(Meyer and Rowan, 1977)</w:t>
          </w:r>
        </w:sdtContent>
      </w:sdt>
      <w:r w:rsidRPr="006B08F7">
        <w:rPr>
          <w:color w:val="EE0000"/>
        </w:rPr>
        <w:t xml:space="preserve">. </w:t>
      </w:r>
    </w:p>
    <w:p w14:paraId="44424706" w14:textId="77777777" w:rsidR="00736F61" w:rsidRPr="006B08F7" w:rsidRDefault="00736F61" w:rsidP="00736F61">
      <w:pPr>
        <w:spacing w:before="100" w:beforeAutospacing="1" w:after="100" w:afterAutospacing="1" w:line="480" w:lineRule="auto"/>
        <w:ind w:firstLine="720"/>
        <w:jc w:val="both"/>
        <w:rPr>
          <w:rFonts w:eastAsia="Times New Roman"/>
          <w:color w:val="EE0000"/>
          <w:lang w:eastAsia="en-GB"/>
        </w:rPr>
      </w:pPr>
      <w:r w:rsidRPr="004D6D31">
        <w:rPr>
          <w:rFonts w:eastAsia="Times New Roman"/>
          <w:color w:val="EE0000"/>
          <w:lang w:eastAsia="en-GB"/>
        </w:rPr>
        <w:t>Thus, critical realism enables this study to conceptualise CMS as both an objective structural problem embedded in global governance and a socially mediated phenomenon experienced by workers within specific organisational and institutional contexts. This ontological stance supports analysis across macro</w:t>
      </w:r>
      <w:r w:rsidRPr="006B08F7">
        <w:rPr>
          <w:rFonts w:eastAsia="Times New Roman"/>
          <w:color w:val="EE0000"/>
          <w:lang w:eastAsia="en-GB"/>
        </w:rPr>
        <w:t xml:space="preserve">, </w:t>
      </w:r>
      <w:r w:rsidRPr="004D6D31">
        <w:rPr>
          <w:rFonts w:eastAsia="Times New Roman"/>
          <w:color w:val="EE0000"/>
          <w:lang w:eastAsia="en-GB"/>
        </w:rPr>
        <w:t>meso, and micro</w:t>
      </w:r>
      <w:r w:rsidRPr="006B08F7">
        <w:rPr>
          <w:rFonts w:eastAsia="Times New Roman"/>
          <w:color w:val="EE0000"/>
          <w:lang w:eastAsia="en-GB"/>
        </w:rPr>
        <w:t xml:space="preserve"> </w:t>
      </w:r>
      <w:r w:rsidRPr="004D6D31">
        <w:rPr>
          <w:rFonts w:eastAsia="Times New Roman"/>
          <w:color w:val="EE0000"/>
          <w:lang w:eastAsia="en-GB"/>
        </w:rPr>
        <w:t>levels.</w:t>
      </w:r>
    </w:p>
    <w:p w14:paraId="3DAB8EC4" w14:textId="77777777" w:rsidR="00736F61" w:rsidRPr="006B08F7" w:rsidRDefault="00736F61" w:rsidP="00736F61">
      <w:pPr>
        <w:pStyle w:val="Heading3"/>
        <w:rPr>
          <w:color w:val="EE0000"/>
          <w:sz w:val="28"/>
          <w:szCs w:val="28"/>
        </w:rPr>
      </w:pPr>
      <w:bookmarkStart w:id="5" w:name="_Toc221437647"/>
      <w:r w:rsidRPr="006B08F7">
        <w:rPr>
          <w:rStyle w:val="Strong"/>
          <w:b/>
          <w:bCs w:val="0"/>
          <w:color w:val="EE0000"/>
        </w:rPr>
        <w:t xml:space="preserve">5.2.2 Epistemological Position: Pragmatism </w:t>
      </w:r>
      <w:r w:rsidRPr="006B08F7">
        <w:rPr>
          <w:rStyle w:val="Strong"/>
          <w:b/>
          <w:bCs w:val="0"/>
          <w:color w:val="EE0000"/>
          <w:sz w:val="28"/>
          <w:szCs w:val="28"/>
        </w:rPr>
        <w:t>(Nature of Knowledge)</w:t>
      </w:r>
      <w:bookmarkEnd w:id="5"/>
    </w:p>
    <w:p w14:paraId="7990CA05" w14:textId="77777777" w:rsidR="00736F61" w:rsidRPr="006B08F7" w:rsidRDefault="00736F61" w:rsidP="00736F61">
      <w:pPr>
        <w:pStyle w:val="NormalWeb"/>
        <w:spacing w:line="480" w:lineRule="auto"/>
        <w:jc w:val="both"/>
        <w:rPr>
          <w:color w:val="EE0000"/>
        </w:rPr>
      </w:pPr>
      <w:r w:rsidRPr="006B08F7">
        <w:rPr>
          <w:color w:val="EE0000"/>
        </w:rPr>
        <w:t xml:space="preserve">Epistemology concerns how knowledge is generated, validated, and interpreted. It addresses questions such as: </w:t>
      </w:r>
      <w:r w:rsidRPr="006B08F7">
        <w:rPr>
          <w:rStyle w:val="Emphasis"/>
          <w:rFonts w:eastAsiaTheme="majorEastAsia"/>
          <w:color w:val="EE0000"/>
        </w:rPr>
        <w:t>What counts as legitimate knowledge? Should research prioritise objective measurement or subjective interpretation?</w:t>
      </w:r>
      <w:r w:rsidRPr="006B08F7">
        <w:rPr>
          <w:color w:val="EE0000"/>
        </w:rPr>
        <w:t xml:space="preserve"> (Guba and Lincoln, 2005). This study adopts </w:t>
      </w:r>
      <w:r w:rsidRPr="006B08F7">
        <w:rPr>
          <w:rStyle w:val="Strong"/>
          <w:rFonts w:eastAsiaTheme="majorEastAsia"/>
          <w:b w:val="0"/>
          <w:bCs w:val="0"/>
          <w:color w:val="EE0000"/>
        </w:rPr>
        <w:t>pragmatism</w:t>
      </w:r>
      <w:r w:rsidRPr="006B08F7">
        <w:rPr>
          <w:color w:val="EE0000"/>
        </w:rPr>
        <w:t xml:space="preserve"> as its epistemological stance. Pragmatism rejects rigid methodological dualisms between positivism (quantitative) and interpretivism (qualitative), instead prioritising the research problem and selecting methods that best address it </w:t>
      </w:r>
      <w:sdt>
        <w:sdtPr>
          <w:rPr>
            <w:color w:val="EE0000"/>
          </w:rPr>
          <w:tag w:val="MENDELEY_CITATION_v3_eyJjaXRhdGlvbklEIjoiTUVOREVMRVlfQ0lUQVRJT05fODdiNWNkZDktM2M4Ny00NzY2LThjNzAtYmI1MzhjYjdkMDVjIiwicHJvcGVydGllcyI6eyJub3RlSW5kZXgiOjB9LCJpc0VkaXRlZCI6ZmFsc2UsIm1hbnVhbE92ZXJyaWRlIjp7ImlzTWFudWFsbHlPdmVycmlkZGVuIjpmYWxzZSwiY2l0ZXByb2NUZXh0IjoiKENyZXN3ZWxsLCAyMDE0OyBUZWRkbGllIGFuZCBUYXNoYWtrb3JpLCAyMDA5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"/>
          <w:id w:val="-703709487"/>
          <w:placeholder>
            <w:docPart w:val="415E34C428C24D7DB0DAE1A0CEB7F5F4"/>
          </w:placeholder>
        </w:sdtPr>
        <w:sdtEndPr/>
        <w:sdtContent>
          <w:r w:rsidRPr="006B08F7">
            <w:rPr>
              <w:color w:val="EE0000"/>
            </w:rPr>
            <w:t xml:space="preserve">(Creswell, 2014; Teddlie and </w:t>
          </w:r>
          <w:proofErr w:type="spellStart"/>
          <w:r w:rsidRPr="006B08F7">
            <w:rPr>
              <w:color w:val="EE0000"/>
            </w:rPr>
            <w:t>Tashakkori</w:t>
          </w:r>
          <w:proofErr w:type="spellEnd"/>
          <w:r w:rsidRPr="006B08F7">
            <w:rPr>
              <w:color w:val="EE0000"/>
            </w:rPr>
            <w:t>, 2009)</w:t>
          </w:r>
        </w:sdtContent>
      </w:sdt>
      <w:r w:rsidRPr="006B08F7">
        <w:rPr>
          <w:color w:val="EE0000"/>
        </w:rPr>
        <w:t xml:space="preserve">. Knowledge, from a pragmatic perspective, is judged by its practical usefulness, explanatory power, and ability to generate actionable insights rather than by strict philosophical purity </w:t>
      </w:r>
      <w:sdt>
        <w:sdtPr>
          <w:rPr>
            <w:color w:val="EE0000"/>
          </w:rPr>
          <w:tag w:val="MENDELEY_CITATION_v3_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n0sImlzVGVtcG9yYXJ5IjpmYWxzZX1dfQ=="/>
          <w:id w:val="-257214963"/>
          <w:placeholder>
            <w:docPart w:val="6ED938D7B94E486ABC04340B45767034"/>
          </w:placeholder>
        </w:sdtPr>
        <w:sdtEndPr/>
        <w:sdtContent>
          <w:r w:rsidRPr="006B08F7">
            <w:rPr>
              <w:color w:val="EE0000"/>
            </w:rPr>
            <w:t>(Morgan, 2007)</w:t>
          </w:r>
        </w:sdtContent>
      </w:sdt>
      <w:r w:rsidRPr="006B08F7">
        <w:rPr>
          <w:color w:val="EE0000"/>
        </w:rPr>
        <w:t>.</w:t>
      </w:r>
    </w:p>
    <w:p w14:paraId="42A31355" w14:textId="77777777" w:rsidR="00736F61" w:rsidRPr="006B08F7" w:rsidRDefault="00736F61" w:rsidP="00736F61">
      <w:pPr>
        <w:spacing w:line="480" w:lineRule="auto"/>
        <w:ind w:firstLine="720"/>
        <w:jc w:val="both"/>
        <w:rPr>
          <w:color w:val="EE0000"/>
        </w:rPr>
      </w:pPr>
      <w:r w:rsidRPr="006B08F7">
        <w:rPr>
          <w:color w:val="EE0000"/>
        </w:rPr>
        <w:t xml:space="preserve">Pragmatism is well suited to CMS research because MS is a complex, multi-dimensional issue that cannot be fully captured through a single method or worldview. A purely quantitative approach risks treating corporate disclosures and governance indicators at face value, while a purely qualitative approach may lack generalisability across countries and firms </w:t>
      </w:r>
      <w:sdt>
        <w:sdtPr>
          <w:rPr>
            <w:color w:val="EE0000"/>
          </w:rPr>
          <w:tag w:val="MENDELEY_CITATION_v3_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"/>
          <w:id w:val="-920336375"/>
          <w:placeholder>
            <w:docPart w:val="5AB48C1D0E4444F5B05D937790667B8E"/>
          </w:placeholder>
        </w:sdtPr>
        <w:sdtEndPr/>
        <w:sdtContent>
          <w:r w:rsidRPr="006B08F7">
            <w:rPr>
              <w:color w:val="EE0000"/>
            </w:rPr>
            <w:t>(Bryman, 2016)</w:t>
          </w:r>
        </w:sdtContent>
      </w:sdt>
      <w:r w:rsidRPr="006B08F7">
        <w:rPr>
          <w:color w:val="EE0000"/>
        </w:rPr>
        <w:t xml:space="preserve">. Pragmatism allows this study to integrate both perspectives, using quantitative data to identify broad structural patterns and qualitative data to understand lived experiences and institutional decoupling. Accordingly, pragmatism provides a coherent justification for the </w:t>
      </w:r>
      <w:r w:rsidRPr="006B08F7">
        <w:rPr>
          <w:color w:val="EE0000"/>
        </w:rPr>
        <w:lastRenderedPageBreak/>
        <w:t xml:space="preserve">study’s mixed-methods design, enabling the combination of statistical analysis (macro–meso) with in-depth qualitative inquiry (micro) to produce a more comprehensive understanding of CMS. </w:t>
      </w:r>
    </w:p>
    <w:p w14:paraId="052984EA" w14:textId="77777777" w:rsidR="00736F61" w:rsidRPr="006B08F7" w:rsidRDefault="00736F61" w:rsidP="00736F61">
      <w:pPr>
        <w:pStyle w:val="Heading3"/>
        <w:rPr>
          <w:color w:val="EE0000"/>
        </w:rPr>
      </w:pPr>
      <w:bookmarkStart w:id="6" w:name="_Toc215651856"/>
      <w:bookmarkStart w:id="7" w:name="_Toc220848356"/>
      <w:bookmarkStart w:id="8" w:name="_Toc221437648"/>
      <w:r w:rsidRPr="006B08F7">
        <w:rPr>
          <w:color w:val="EE0000"/>
        </w:rPr>
        <w:t>5.2.2 Epistemological Position: Pragmatism</w:t>
      </w:r>
      <w:bookmarkEnd w:id="6"/>
      <w:bookmarkEnd w:id="7"/>
      <w:bookmarkEnd w:id="8"/>
    </w:p>
    <w:p w14:paraId="24DCC11A" w14:textId="77777777" w:rsidR="00736F61" w:rsidRPr="006B08F7" w:rsidRDefault="00736F61" w:rsidP="00736F61">
      <w:pPr>
        <w:spacing w:after="0" w:line="480" w:lineRule="auto"/>
        <w:jc w:val="both"/>
        <w:rPr>
          <w:rFonts w:eastAsia="Palatino Linotype"/>
          <w:color w:val="EE0000"/>
        </w:rPr>
      </w:pPr>
      <w:r w:rsidRPr="006B08F7">
        <w:rPr>
          <w:rFonts w:eastAsia="Palatino Linotype"/>
          <w:color w:val="EE0000"/>
        </w:rPr>
        <w:t xml:space="preserve">Epistemologically, this study adopts a pragmatic paradigm, which values methodological pluralism and focuses on generating solutions to real-world problems </w:t>
      </w:r>
      <w:sdt>
        <w:sdtPr>
          <w:rPr>
            <w:rFonts w:eastAsia="Palatino Linotype"/>
            <w:color w:val="EE0000"/>
          </w:rPr>
          <w:tag w:val="MENDELEY_CITATION_v3_eyJjaXRhdGlvbklEIjoiTUVOREVMRVlfQ0lUQVRJT05fOGJjZTAyMWMtNmEwYy00NjljLTljMTEtMzNkMDVjNTFiMDZk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117066697"/>
          <w:placeholder>
            <w:docPart w:val="6060DA12AA2F42C7B364C17508CF1BBA"/>
          </w:placeholder>
        </w:sdtPr>
        <w:sdtEndPr/>
        <w:sdtContent>
          <w:r w:rsidRPr="006B08F7">
            <w:rPr>
              <w:rFonts w:eastAsia="Palatino Linotype"/>
              <w:color w:val="EE0000"/>
            </w:rPr>
            <w:t>(Creswell and Plano, 2018)</w:t>
          </w:r>
        </w:sdtContent>
      </w:sdt>
      <w:r w:rsidRPr="006B08F7">
        <w:rPr>
          <w:rFonts w:eastAsia="Palatino Linotype"/>
          <w:color w:val="EE0000"/>
        </w:rPr>
        <w:t>. Pragmatism rejects the notion of an absolute epistemic hierarchy between qualitative and quantitative methods, instead prioritising the use of approaches that best answer the research questions. This aligns with the study’s aim to explore both structural determinants (quantitative) and lived experiences (qualitative) of CMS.</w:t>
      </w:r>
    </w:p>
    <w:p w14:paraId="43E8CFD9" w14:textId="77777777" w:rsidR="00736F61" w:rsidRPr="006B08F7" w:rsidRDefault="00736F61" w:rsidP="00736F61">
      <w:pPr>
        <w:spacing w:after="0" w:line="480" w:lineRule="auto"/>
        <w:ind w:firstLine="720"/>
        <w:jc w:val="both"/>
        <w:rPr>
          <w:rFonts w:eastAsia="Palatino Linotype"/>
          <w:color w:val="EE0000"/>
        </w:rPr>
      </w:pPr>
      <w:r w:rsidRPr="006B08F7">
        <w:rPr>
          <w:rFonts w:eastAsia="Palatino Linotype"/>
          <w:color w:val="EE0000"/>
        </w:rPr>
        <w:t>Pragmatism also supports the integration of diverse data sources, allowing findings from statistical models (macro–meso) to inform qualitative inquiry (micro), and vice versa. It enables the researcher to interpret patterns not as deterministic outcomes but as manifestations of the dynamic interaction between institutional logics and human agency.</w:t>
      </w:r>
    </w:p>
    <w:p w14:paraId="557A83A9" w14:textId="77777777" w:rsidR="00736F61" w:rsidRPr="006B08F7" w:rsidRDefault="00736F61" w:rsidP="00736F61">
      <w:pPr>
        <w:pStyle w:val="Heading3"/>
        <w:rPr>
          <w:color w:val="EE0000"/>
        </w:rPr>
      </w:pPr>
      <w:bookmarkStart w:id="9" w:name="_Toc215651857"/>
      <w:bookmarkStart w:id="10" w:name="_Toc220848357"/>
      <w:bookmarkStart w:id="11" w:name="_Toc221437649"/>
      <w:r w:rsidRPr="006B08F7">
        <w:rPr>
          <w:color w:val="EE0000"/>
        </w:rPr>
        <w:t>5.2.3 Philosophical Coherence and Alignment with Mixed-Methods Logic</w:t>
      </w:r>
      <w:bookmarkEnd w:id="9"/>
      <w:bookmarkEnd w:id="10"/>
      <w:bookmarkEnd w:id="11"/>
    </w:p>
    <w:p w14:paraId="5819BD57" w14:textId="77777777" w:rsidR="00736F61" w:rsidRPr="006B08F7" w:rsidRDefault="00736F61" w:rsidP="00736F61">
      <w:pPr>
        <w:spacing w:after="0" w:line="480" w:lineRule="auto"/>
        <w:jc w:val="both"/>
        <w:rPr>
          <w:rFonts w:eastAsia="Palatino Linotype"/>
          <w:color w:val="EE0000"/>
        </w:rPr>
      </w:pPr>
      <w:r w:rsidRPr="006B08F7">
        <w:rPr>
          <w:rFonts w:eastAsia="Palatino Linotype"/>
          <w:color w:val="EE0000"/>
        </w:rPr>
        <w:t>The combination of critical realism and pragmatism ensures philosophical coherence in integrating quantitative and qualitative strands. Critical realism provides the ontological depth needed to uncover the underlying mechanisms and institutional structures that influence CMS, while pragmatism offers the epistemological flexibility to employ both numerical and narrative data to understand them. Together, they acknowledge that no single method can fully capture the complexity of governance, power, and legitimacy shaping CMS.</w:t>
      </w:r>
    </w:p>
    <w:p w14:paraId="6E818F5D" w14:textId="77777777" w:rsidR="00736F61" w:rsidRPr="006B08F7" w:rsidRDefault="00736F61" w:rsidP="00736F61">
      <w:pPr>
        <w:spacing w:after="0" w:line="480" w:lineRule="auto"/>
        <w:ind w:firstLine="720"/>
        <w:jc w:val="both"/>
        <w:rPr>
          <w:rFonts w:eastAsia="Palatino Linotype"/>
          <w:color w:val="EE0000"/>
        </w:rPr>
      </w:pPr>
      <w:r w:rsidRPr="006B08F7">
        <w:rPr>
          <w:rFonts w:eastAsia="Palatino Linotype"/>
          <w:color w:val="EE0000"/>
        </w:rPr>
        <w:t xml:space="preserve">Within this framework, quantitative analysis identifies statistically significant patterns in institutional governance and corporate accountability (e.g., using panel regressions on HDI, IEQ, and SDGI variables). At the same time, qualitative inquiry contextualises these findings </w:t>
      </w:r>
      <w:r w:rsidRPr="006B08F7">
        <w:rPr>
          <w:rFonts w:eastAsia="Palatino Linotype"/>
          <w:color w:val="EE0000"/>
        </w:rPr>
        <w:lastRenderedPageBreak/>
        <w:t>by examining the meanings and lived realities of policy and practice gaps through semi-structured interviews, questionnaires, and document analysis. The integration of both strands facilitates triangulation, enhances validity, and strengthens theoretical inference within the Neo-Institutional framework guiding the study.</w:t>
      </w:r>
    </w:p>
    <w:p w14:paraId="7B65DE0A" w14:textId="77777777" w:rsidR="00736F61" w:rsidRPr="006B08F7" w:rsidRDefault="00736F61" w:rsidP="00736F61">
      <w:pPr>
        <w:spacing w:after="0" w:line="480" w:lineRule="auto"/>
        <w:ind w:firstLine="720"/>
        <w:jc w:val="both"/>
        <w:rPr>
          <w:rFonts w:eastAsia="Palatino Linotype"/>
          <w:color w:val="EE0000"/>
        </w:rPr>
      </w:pPr>
      <w:r w:rsidRPr="006B08F7">
        <w:rPr>
          <w:rFonts w:eastAsia="Palatino Linotype"/>
          <w:color w:val="EE0000"/>
        </w:rPr>
        <w:t>Thus, the philosophical and methodological coherence of this research lies in its alignment among ontology (a structured but complex social reality), epistemology (pragmatic inquiry into multiple forms of evidence), and methodology (a sequential, explanatory, mixed-methods design). This combination provides both the depth and breadth required to understand CMS as a structural, relational, and lived phenomenon within global business systems.</w:t>
      </w:r>
    </w:p>
    <w:p w14:paraId="0E041E32" w14:textId="77777777" w:rsidR="00736F61" w:rsidRPr="006434D0" w:rsidRDefault="00736F61" w:rsidP="00736F61">
      <w:pPr>
        <w:pStyle w:val="Heading3"/>
        <w:rPr>
          <w:color w:val="EE0000"/>
        </w:rPr>
      </w:pPr>
      <w:bookmarkStart w:id="12" w:name="_Toc221437650"/>
      <w:r w:rsidRPr="006434D0">
        <w:rPr>
          <w:rStyle w:val="Strong"/>
          <w:b/>
          <w:bCs w:val="0"/>
        </w:rPr>
        <w:t xml:space="preserve">5.2.4 </w:t>
      </w:r>
      <w:r w:rsidRPr="006434D0">
        <w:rPr>
          <w:rStyle w:val="Strong"/>
          <w:b/>
        </w:rPr>
        <w:t>The Burrell and Morgan Framework</w:t>
      </w:r>
      <w:r w:rsidRPr="006434D0">
        <w:rPr>
          <w:rStyle w:val="Strong"/>
          <w:b/>
          <w:bCs w:val="0"/>
        </w:rPr>
        <w:t xml:space="preserve"> </w:t>
      </w:r>
      <w:r w:rsidRPr="006434D0">
        <w:rPr>
          <w:sz w:val="28"/>
          <w:szCs w:val="28"/>
        </w:rPr>
        <w:t>(Paradigm Positioning)</w:t>
      </w:r>
      <w:bookmarkEnd w:id="12"/>
    </w:p>
    <w:p w14:paraId="4F0721AE" w14:textId="77777777" w:rsidR="00736F61" w:rsidRPr="00CC1FC3" w:rsidRDefault="00736F61" w:rsidP="00736F61">
      <w:pPr>
        <w:pStyle w:val="ds-markdown-paragraph"/>
        <w:shd w:val="clear" w:color="auto" w:fill="FFFFFF" w:themeFill="background1"/>
        <w:spacing w:before="0" w:beforeAutospacing="0" w:after="0" w:afterAutospacing="0" w:line="480" w:lineRule="auto"/>
        <w:jc w:val="both"/>
        <w:rPr>
          <w:color w:val="0F1115"/>
        </w:rPr>
      </w:pPr>
      <w:bookmarkStart w:id="13" w:name="_Toc215651824"/>
      <w:bookmarkStart w:id="14" w:name="_Toc220848328"/>
      <w:bookmarkStart w:id="15" w:name="_Toc215651854"/>
      <w:bookmarkStart w:id="16" w:name="_Toc220848354"/>
      <w:r w:rsidRPr="00CC1FC3">
        <w:rPr>
          <w:color w:val="0F1115"/>
        </w:rPr>
        <w:t xml:space="preserve">To fully situate the methodological choices of this research, it is essential to articulate its philosophical foundations </w:t>
      </w:r>
      <w:sdt>
        <w:sdtPr>
          <w:rPr>
            <w:color w:val="000000"/>
          </w:rPr>
          <w:tag w:val="MENDELEY_CITATION_v3_eyJjaXRhdGlvbklEIjoiTUVOREVMRVlfQ0lUQVRJT05fODI1NmVkYzctNWEwYi00OTkxLTliOTMtZTUxNWU2Y2YxNmFhIiwicHJvcGVydGllcyI6eyJub3RlSW5kZXgiOjB9LCJpc0VkaXRlZCI6ZmFsc2UsIm1hbnVhbE92ZXJyaWRlIjp7ImlzTWFudWFsbHlPdmVycmlkZGVuIjpmYWxzZSwiY2l0ZXByb2NUZXh0IjoiK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1dfQ=="/>
          <w:id w:val="1473715732"/>
          <w:placeholder>
            <w:docPart w:val="54CF03F42CD84790B547A639506201B1"/>
          </w:placeholder>
        </w:sdtPr>
        <w:sdtEndPr/>
        <w:sdtContent>
          <w:r w:rsidRPr="00A73C12">
            <w:rPr>
              <w:color w:val="000000"/>
            </w:rPr>
            <w:t>(Creswell, 2014)</w:t>
          </w:r>
        </w:sdtContent>
      </w:sdt>
      <w:r w:rsidRPr="00CC1FC3">
        <w:rPr>
          <w:color w:val="0F1115"/>
        </w:rPr>
        <w:t xml:space="preserve">. The philosophical foundation of this research is informed by </w:t>
      </w:r>
      <w:sdt>
        <w:sdtPr>
          <w:rPr>
            <w:color w:val="000000"/>
          </w:rPr>
          <w:tag w:val="MENDELEY_CITATION_v3_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"/>
          <w:id w:val="65235531"/>
          <w:placeholder>
            <w:docPart w:val="88525ECB610B48588D52C7A929740257"/>
          </w:placeholder>
        </w:sdtPr>
        <w:sdtEndPr/>
        <w:sdtContent>
          <w:r w:rsidRPr="00A73C12">
            <w:rPr>
              <w:color w:val="000000"/>
            </w:rPr>
            <w:t>Burrell and Morgan's (1979)</w:t>
          </w:r>
        </w:sdtContent>
      </w:sdt>
      <w:r w:rsidRPr="00CC1FC3">
        <w:rPr>
          <w:color w:val="000000" w:themeColor="text1"/>
        </w:rPr>
        <w:t xml:space="preserve"> </w:t>
      </w:r>
      <w:r w:rsidRPr="00CC1FC3">
        <w:rPr>
          <w:color w:val="0F1115"/>
        </w:rPr>
        <w:t>seminal framework of Sociological Paradigms and Organisational Analysis, which maps the field of social science along two principal dimensions:</w:t>
      </w:r>
    </w:p>
    <w:p w14:paraId="5FA3EEEB" w14:textId="77777777" w:rsidR="00736F61" w:rsidRPr="00CC1FC3" w:rsidRDefault="00736F61" w:rsidP="00736F61">
      <w:pPr>
        <w:pStyle w:val="ds-markdown-paragraph"/>
        <w:shd w:val="clear" w:color="auto" w:fill="FFFFFF"/>
        <w:spacing w:before="0" w:beforeAutospacing="0" w:after="0" w:afterAutospacing="0" w:line="480" w:lineRule="auto"/>
        <w:ind w:left="720"/>
        <w:jc w:val="both"/>
        <w:rPr>
          <w:color w:val="0F1115"/>
        </w:rPr>
      </w:pPr>
      <w:r w:rsidRPr="00CC1FC3">
        <w:rPr>
          <w:color w:val="0F1115"/>
        </w:rPr>
        <w:t>(1) the nature of social science — ranging from objective to subjective assumptions about reality and knowledge, and</w:t>
      </w:r>
    </w:p>
    <w:p w14:paraId="2F119DFD" w14:textId="77777777" w:rsidR="00736F61" w:rsidRPr="00CC1FC3" w:rsidRDefault="00736F61" w:rsidP="00736F61">
      <w:pPr>
        <w:pStyle w:val="ds-markdown-paragraph"/>
        <w:shd w:val="clear" w:color="auto" w:fill="FFFFFF"/>
        <w:spacing w:before="0" w:beforeAutospacing="0" w:after="0" w:afterAutospacing="0" w:line="480" w:lineRule="auto"/>
        <w:ind w:firstLine="720"/>
        <w:jc w:val="both"/>
        <w:rPr>
          <w:color w:val="0F1115"/>
        </w:rPr>
      </w:pPr>
      <w:r w:rsidRPr="00CC1FC3">
        <w:rPr>
          <w:color w:val="0F1115"/>
        </w:rPr>
        <w:t>(2) the nature of society — ranging from regulation to radical change.</w:t>
      </w:r>
    </w:p>
    <w:p w14:paraId="51E6CCF9" w14:textId="77777777" w:rsidR="00736F61" w:rsidRPr="00CC1FC3" w:rsidRDefault="00736F61" w:rsidP="00736F61">
      <w:pPr>
        <w:pStyle w:val="ds-markdown-paragraph"/>
        <w:shd w:val="clear" w:color="auto" w:fill="FFFFFF" w:themeFill="background1"/>
        <w:spacing w:before="0" w:beforeAutospacing="0" w:after="0" w:afterAutospacing="0" w:line="480" w:lineRule="auto"/>
        <w:jc w:val="both"/>
        <w:rPr>
          <w:color w:val="0F1115"/>
        </w:rPr>
      </w:pPr>
      <w:r w:rsidRPr="00CC1FC3">
        <w:rPr>
          <w:color w:val="0F1115"/>
        </w:rPr>
        <w:t xml:space="preserve">From these axes emerge four paradigms: Functionalist, Interpretivist, Radical </w:t>
      </w:r>
      <w:r w:rsidRPr="00CC1FC3">
        <w:rPr>
          <w:rStyle w:val="Strong"/>
          <w:rFonts w:eastAsiaTheme="majorEastAsia"/>
          <w:b w:val="0"/>
          <w:bCs w:val="0"/>
          <w:color w:val="0F1115"/>
        </w:rPr>
        <w:t>Humanist</w:t>
      </w:r>
      <w:r w:rsidRPr="00CC1FC3">
        <w:rPr>
          <w:color w:val="0F1115"/>
        </w:rPr>
        <w:t>, and Radical Structuralist</w:t>
      </w:r>
      <w:r>
        <w:rPr>
          <w:color w:val="0F1115"/>
        </w:rPr>
        <w:t xml:space="preserve"> (s</w:t>
      </w:r>
      <w:r w:rsidRPr="00CC1FC3">
        <w:rPr>
          <w:color w:val="0F1115"/>
        </w:rPr>
        <w:t xml:space="preserve">ee </w:t>
      </w:r>
      <w:r>
        <w:rPr>
          <w:color w:val="0F1115"/>
        </w:rPr>
        <w:t>F</w:t>
      </w:r>
      <w:r w:rsidRPr="00CC1FC3">
        <w:rPr>
          <w:color w:val="0F1115"/>
        </w:rPr>
        <w:t xml:space="preserve">igure </w:t>
      </w:r>
      <w:r>
        <w:rPr>
          <w:color w:val="0F1115"/>
        </w:rPr>
        <w:t>5</w:t>
      </w:r>
      <w:r w:rsidRPr="00CC1FC3">
        <w:rPr>
          <w:color w:val="0F1115"/>
        </w:rPr>
        <w:t>.1</w:t>
      </w:r>
      <w:r>
        <w:rPr>
          <w:color w:val="0F1115"/>
        </w:rPr>
        <w:t>)</w:t>
      </w:r>
      <w:r w:rsidRPr="00CC1FC3">
        <w:rPr>
          <w:color w:val="0F1115"/>
        </w:rPr>
        <w:t>. Their framework is built on the premise that all theories of organisation are grounded in a philosophy of science and a theory of society.</w:t>
      </w:r>
    </w:p>
    <w:p w14:paraId="1E525309" w14:textId="77777777" w:rsidR="00736F61" w:rsidRPr="00683B59" w:rsidRDefault="00736F61" w:rsidP="00736F61">
      <w:pPr>
        <w:pStyle w:val="ListParagraph"/>
        <w:numPr>
          <w:ilvl w:val="0"/>
          <w:numId w:val="23"/>
        </w:numPr>
        <w:spacing w:line="480" w:lineRule="auto"/>
        <w:ind w:left="567" w:hanging="567"/>
        <w:jc w:val="both"/>
        <w:rPr>
          <w:color w:val="EE0000"/>
        </w:rPr>
      </w:pPr>
      <w:r w:rsidRPr="007103EE">
        <w:rPr>
          <w:rStyle w:val="Strong"/>
          <w:rFonts w:eastAsiaTheme="majorEastAsia"/>
          <w:color w:val="0F1115"/>
        </w:rPr>
        <w:t>The Functionalist Paradigm (Objective-Regulation):</w:t>
      </w:r>
      <w:r w:rsidRPr="007103EE">
        <w:rPr>
          <w:color w:val="0F1115"/>
        </w:rPr>
        <w:t> </w:t>
      </w:r>
    </w:p>
    <w:p w14:paraId="57484D4B" w14:textId="77777777" w:rsidR="00736F61" w:rsidRPr="00AC6ED5" w:rsidRDefault="00736F61" w:rsidP="00736F61">
      <w:pPr>
        <w:pStyle w:val="ListParagraph"/>
        <w:spacing w:line="480" w:lineRule="auto"/>
        <w:ind w:left="567"/>
        <w:jc w:val="both"/>
        <w:rPr>
          <w:color w:val="EE0000"/>
        </w:rPr>
      </w:pPr>
      <w:r w:rsidRPr="007103EE">
        <w:rPr>
          <w:color w:val="0F1115"/>
        </w:rPr>
        <w:t xml:space="preserve">This </w:t>
      </w:r>
      <w:r w:rsidRPr="00CC1FC3">
        <w:t xml:space="preserve">is the dominant orientation in organisational and management research. It assumes that social reality is objective and external to individuals, emphasising order, stability, and rationality. Functionalist studies typically adopt positivist or post-positivist </w:t>
      </w:r>
      <w:r w:rsidRPr="00CC1FC3">
        <w:lastRenderedPageBreak/>
        <w:t xml:space="preserve">epistemologies, employing quantitative methods to test hypotheses, identify causal relationships, and build models to improve organisational efficiency and predict behaviour </w:t>
      </w:r>
      <w:sdt>
        <w:sdtPr>
          <w:tag w:val="MENDELEY_CITATION_v3_eyJjaXRhdGlvbklEIjoiTUVOREVMRVlfQ0lUQVRJT05fZDMxMmUwOTAtYzQwMC00MjYwLThmYmEtYzViOTExNzEyMDAwIiwicHJvcGVydGllcyI6eyJub3RlSW5kZXgiOjB9LCJpc0VkaXRlZCI6ZmFsc2UsIm1hbnVhbE92ZXJyaWRlIjp7ImlzTWFudWFsbHlPdmVycmlkZGVuIjp0cnVlLCJjaXRlcHJvY1RleHQiOiIoQnVycmVsbCBhbmQgTW9yZ2FuLCAxOTc2OyBTYXVuZGVycyA8aT5ldCBhbC48L2k+LCAyMDA5KSIsIm1hbnVhbE92ZXJyaWRlVGV4dCI6IihCdXJyZWxsIGFuZCBNb3JnYW4sIDE5Nzk7IFNhdW5kZXJzIGV0IGFsLiwgMjAwOSk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
          <w:id w:val="347376403"/>
          <w:placeholder>
            <w:docPart w:val="6AD535774C414426B2C55ACAB006EC45"/>
          </w:placeholder>
        </w:sdtPr>
        <w:sdtEndPr/>
        <w:sdtContent>
          <w:r w:rsidRPr="007103EE">
            <w:rPr>
              <w:rFonts w:eastAsia="Times New Roman"/>
            </w:rPr>
            <w:t>(Burrell and Morgan, 1979; Saunders et al., 2009)</w:t>
          </w:r>
        </w:sdtContent>
      </w:sdt>
      <w:r w:rsidRPr="00CC1FC3">
        <w:t>. Research grounded in this paradigm seeks to explain how structures and institutions maintain equilibrium within society or organisations.</w:t>
      </w:r>
    </w:p>
    <w:p w14:paraId="0BCA2BF6" w14:textId="77777777" w:rsidR="00736F61" w:rsidRDefault="00736F61" w:rsidP="00736F61">
      <w:pPr>
        <w:pStyle w:val="ListParagraph"/>
        <w:spacing w:line="480" w:lineRule="auto"/>
        <w:ind w:left="567" w:firstLine="436"/>
        <w:jc w:val="both"/>
        <w:rPr>
          <w:color w:val="EE0000"/>
        </w:rPr>
      </w:pPr>
      <w:r w:rsidRPr="007103EE">
        <w:rPr>
          <w:color w:val="EE0000"/>
        </w:rPr>
        <w:t xml:space="preserve">It assumes a realist ontology and a positivist epistemology, viewing social reality as objective and measurable. It seeks to explain and predict social phenomena through causal relationships, emphasising order, stability, and functional integration </w:t>
      </w:r>
      <w:sdt>
        <w:sdtPr>
          <w:rPr>
            <w:color w:val="EE0000"/>
          </w:rPr>
          <w:tag w:val="MENDELEY_CITATION_v3_eyJjaXRhdGlvbklEIjoiTUVOREVMRVlfQ0lUQVRJT05fNDQ3ZjM3NTQtZTJhNi00NTQ0LTljOWUtZDcyZDIwNzY3M2ExIiwicHJvcGVydGllcyI6eyJub3RlSW5kZXgiOjB9LCJpc0VkaXRlZCI6ZmFsc2UsIm1hbnVhbE92ZXJyaWRlIjp7ImlzTWFudWFsbHlPdmVycmlkZGVuIjp0cnVlLCJjaXRlcHJvY1RleHQiOiIoQnVycmVsbCBhbmQgTW9yZ2FuLCAxOTc2OyBTYXVuZGVycyA8aT5ldCBhbC48L2k+LCAyMDA5KSIsIm1hbnVhbE92ZXJyaWRlVGV4dCI6IihCdXJyZWxsIGFuZCBNb3JnYW4sIDE5Nzk7IFNhdW5kZXJzIGV0IGFsLiwgMjAwOSk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
          <w:id w:val="7953795"/>
          <w:placeholder>
            <w:docPart w:val="D29EC69D6E2841B584C28A1146B97F6D"/>
          </w:placeholder>
        </w:sdtPr>
        <w:sdtEndPr/>
        <w:sdtContent>
          <w:r w:rsidRPr="007103EE">
            <w:rPr>
              <w:color w:val="EE0000"/>
            </w:rPr>
            <w:t>(Burrell and Morgan, 1979; Saunders et al., 2009)</w:t>
          </w:r>
        </w:sdtContent>
      </w:sdt>
      <w:r w:rsidRPr="007103EE">
        <w:rPr>
          <w:color w:val="EE0000"/>
        </w:rPr>
        <w:t xml:space="preserve">. Within this paradigm, organisations are seen as rational systems responding to external constraints. NIT is most frequently applied within this tradition, conceptualising institutional pressures as external, measurable forces that shape organisational behaviour </w:t>
      </w:r>
      <w:sdt>
        <w:sdtPr>
          <w:rPr>
            <w:color w:val="EE0000"/>
          </w:rPr>
          <w:tag w:val="MENDELEY_CITATION_v3_eyJjaXRhdGlvbklEIjoiTUVOREVMRVlfQ0lUQVRJT05fZjUwZmI2MDMtNjBlZS00YzRhLWExOTktMjA4Zjg4MzcxZTFj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061173472"/>
          <w:placeholder>
            <w:docPart w:val="F85B9DEE010840C0A42D6E1B637A77B1"/>
          </w:placeholder>
        </w:sdtPr>
        <w:sdtEndPr/>
        <w:sdtContent>
          <w:r w:rsidRPr="007103EE">
            <w:rPr>
              <w:color w:val="EE0000"/>
            </w:rPr>
            <w:t>(DiMaggio and Powell, 1983; Scott, 2013)</w:t>
          </w:r>
        </w:sdtContent>
      </w:sdt>
      <w:r w:rsidRPr="007103EE">
        <w:rPr>
          <w:color w:val="EE0000"/>
        </w:rPr>
        <w:t xml:space="preserve">. This approach aligns closely with the macro and meso components of this research, in which statistical analysis examines relationships among governance quality, </w:t>
      </w:r>
      <w:r>
        <w:rPr>
          <w:color w:val="EE0000"/>
        </w:rPr>
        <w:t>SGIs</w:t>
      </w:r>
      <w:r w:rsidRPr="007103EE">
        <w:rPr>
          <w:color w:val="EE0000"/>
        </w:rPr>
        <w:t xml:space="preserve">, and </w:t>
      </w:r>
      <w:r>
        <w:rPr>
          <w:color w:val="EE0000"/>
        </w:rPr>
        <w:t>ACMS</w:t>
      </w:r>
      <w:r w:rsidRPr="007103EE">
        <w:rPr>
          <w:color w:val="EE0000"/>
        </w:rPr>
        <w:t xml:space="preserve"> commitments</w:t>
      </w:r>
    </w:p>
    <w:p w14:paraId="66053D8E" w14:textId="77777777" w:rsidR="00736F61" w:rsidRPr="00683B59" w:rsidRDefault="00736F61" w:rsidP="00736F61">
      <w:pPr>
        <w:pStyle w:val="ListParagraph"/>
        <w:numPr>
          <w:ilvl w:val="0"/>
          <w:numId w:val="23"/>
        </w:numPr>
        <w:spacing w:line="480" w:lineRule="auto"/>
        <w:ind w:left="567" w:hanging="567"/>
        <w:jc w:val="both"/>
        <w:rPr>
          <w:rStyle w:val="Strong"/>
          <w:b w:val="0"/>
          <w:bCs w:val="0"/>
          <w:color w:val="EE0000"/>
        </w:rPr>
      </w:pPr>
      <w:r w:rsidRPr="00CA60B1">
        <w:rPr>
          <w:rStyle w:val="Strong"/>
          <w:rFonts w:eastAsiaTheme="majorEastAsia"/>
          <w:color w:val="0F1115"/>
        </w:rPr>
        <w:t>The Interpretive Paradigm (Subjective-Regulation):</w:t>
      </w:r>
    </w:p>
    <w:p w14:paraId="72174B79" w14:textId="77777777" w:rsidR="00736F61" w:rsidRPr="00CA60B1" w:rsidRDefault="00736F61" w:rsidP="00736F61">
      <w:pPr>
        <w:pStyle w:val="ListParagraph"/>
        <w:spacing w:line="480" w:lineRule="auto"/>
        <w:ind w:left="567"/>
        <w:jc w:val="both"/>
        <w:rPr>
          <w:color w:val="EE0000"/>
        </w:rPr>
      </w:pPr>
      <w:r w:rsidRPr="00CA60B1">
        <w:rPr>
          <w:color w:val="0F1115"/>
        </w:rPr>
        <w:t xml:space="preserve"> This paradigm shares the regulatory view of society but rejects the objective ontology. It sees social reality as a network of shared meanings and seeks to understand the world from the subjective experiences of those within it </w:t>
      </w:r>
      <w:sdt>
        <w:sdtPr>
          <w:tag w:val="MENDELEY_CITATION_v3_eyJjaXRhdGlvbklEIjoiTUVOREVMRVlfQ0lUQVRJT05fZDY0MjQwMGItNjJkOS00MTMzLTgzNjYtZmJkYTg2YWQ1Mjg0IiwicHJvcGVydGllcyI6eyJub3RlSW5kZXgiOjB9LCJpc0VkaXRlZCI6ZmFsc2UsIm1hbnVhbE92ZXJyaWRlIjp7ImlzTWFudWFsbHlPdmVycmlkZGVuIjp0cnVlLCJjaXRlcHJvY1RleHQiOiIoQnVycmVsbCBhbmQgTW9yZ2FuLCAxOTc2OyBTYXVuZGVycyA8aT5ldCBhbC48L2k+LCAyMDA5KSIsIm1hbnVhbE92ZXJyaWRlVGV4dCI6IihCdXJyZWxsIGFuZCBNb3JnYW4sIDE5Nzk7IFNhdW5kZXJzIGV0IGFsLiwgMjAwOSk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
          <w:id w:val="624127101"/>
          <w:placeholder>
            <w:docPart w:val="81561795693D468EBAF85E9B5B6EC8ED"/>
          </w:placeholder>
        </w:sdtPr>
        <w:sdtEndPr/>
        <w:sdtContent>
          <w:r w:rsidRPr="00764698">
            <w:t>(Burrell and Morgan, 1979; Saunders et al., 2009)</w:t>
          </w:r>
        </w:sdtContent>
      </w:sdt>
      <w:r w:rsidRPr="00CA60B1">
        <w:rPr>
          <w:color w:val="0F1115"/>
        </w:rPr>
        <w:t xml:space="preserve">.  </w:t>
      </w:r>
      <w:r w:rsidRPr="00CC1FC3">
        <w:t xml:space="preserve">It assumes that reality is socially constructed through shared meanings, discourses, and interactions </w:t>
      </w:r>
      <w:sdt>
        <w:sdtPr>
          <w:tag w:val="MENDELEY_CITATION_v3_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"/>
          <w:id w:val="-2139710980"/>
          <w:placeholder>
            <w:docPart w:val="305054E4B9014CA6863EFCCD42545525"/>
          </w:placeholder>
        </w:sdtPr>
        <w:sdtEndPr/>
        <w:sdtContent>
          <w:r w:rsidRPr="00A73C12">
            <w:t>(Guba and Lincoln, 2005)</w:t>
          </w:r>
        </w:sdtContent>
      </w:sdt>
      <w:r w:rsidRPr="00CC1FC3">
        <w:t xml:space="preserve">. Knowledge is created through understanding how individuals interpret their social worlds. This paradigm underpins the micro-level component of the study, which investigates the lived experiences of workers and managers in Sri Lanka’s A&amp;TI. Here, NIT is interpreted less as a static explanatory model and more as a </w:t>
      </w:r>
      <w:r w:rsidRPr="00CA60B1">
        <w:rPr>
          <w:i/>
          <w:iCs/>
        </w:rPr>
        <w:t>lens</w:t>
      </w:r>
      <w:r w:rsidRPr="00CC1FC3">
        <w:t xml:space="preserve"> for understanding how institutional pressures are enacted, </w:t>
      </w:r>
      <w:r w:rsidRPr="00CC1FC3">
        <w:lastRenderedPageBreak/>
        <w:t xml:space="preserve">resisted, or reinterpreted in local contexts — thereby exposing processes of </w:t>
      </w:r>
      <w:r w:rsidRPr="00CA60B1">
        <w:rPr>
          <w:i/>
          <w:iCs/>
        </w:rPr>
        <w:t>decoupling</w:t>
      </w:r>
      <w:r w:rsidRPr="00CC1FC3">
        <w:t xml:space="preserve"> between formal policies and lived realities (Bromley and Powell, 2012; LeBaron, 2020).</w:t>
      </w:r>
    </w:p>
    <w:p w14:paraId="02B74777" w14:textId="77777777" w:rsidR="00736F61" w:rsidRDefault="00736F61" w:rsidP="00736F61">
      <w:pPr>
        <w:pStyle w:val="ds-markdown-paragraph"/>
        <w:numPr>
          <w:ilvl w:val="0"/>
          <w:numId w:val="9"/>
        </w:numPr>
        <w:shd w:val="clear" w:color="auto" w:fill="FFFFFF" w:themeFill="background1"/>
        <w:tabs>
          <w:tab w:val="clear" w:pos="720"/>
          <w:tab w:val="num" w:pos="567"/>
        </w:tabs>
        <w:spacing w:before="0" w:beforeAutospacing="0" w:after="0" w:afterAutospacing="0" w:line="480" w:lineRule="auto"/>
        <w:ind w:left="567" w:hanging="567"/>
        <w:jc w:val="both"/>
        <w:rPr>
          <w:color w:val="0F1115"/>
        </w:rPr>
      </w:pPr>
      <w:r w:rsidRPr="004E56B9">
        <w:rPr>
          <w:rStyle w:val="Strong"/>
          <w:rFonts w:eastAsiaTheme="majorEastAsia"/>
          <w:color w:val="0F1115"/>
        </w:rPr>
        <w:t>The Radical Humanist Paradigm (Subjective-Radical Change):</w:t>
      </w:r>
      <w:r w:rsidRPr="004E56B9">
        <w:rPr>
          <w:color w:val="0F1115"/>
        </w:rPr>
        <w:t> </w:t>
      </w:r>
    </w:p>
    <w:p w14:paraId="4C3D3FED" w14:textId="77777777" w:rsidR="00736F61" w:rsidRDefault="00736F61" w:rsidP="00736F61">
      <w:pPr>
        <w:pStyle w:val="ds-markdown-paragraph"/>
        <w:shd w:val="clear" w:color="auto" w:fill="FFFFFF" w:themeFill="background1"/>
        <w:spacing w:before="0" w:beforeAutospacing="0" w:after="0" w:afterAutospacing="0" w:line="480" w:lineRule="auto"/>
        <w:ind w:left="567"/>
        <w:jc w:val="both"/>
        <w:rPr>
          <w:color w:val="0F1115"/>
        </w:rPr>
      </w:pPr>
      <w:r w:rsidRPr="004E56B9">
        <w:rPr>
          <w:color w:val="0F1115"/>
        </w:rPr>
        <w:t>This paradigm combines a subjectivist view of reality with a focus on radical change. It concerns how people's socially constructed realities can become alienating and imprisoning, preventing the full expression of human potential. It aims to critique the </w:t>
      </w:r>
      <w:r w:rsidRPr="004E56B9">
        <w:rPr>
          <w:rStyle w:val="Emphasis"/>
          <w:rFonts w:eastAsiaTheme="majorEastAsia"/>
          <w:color w:val="0F1115"/>
        </w:rPr>
        <w:t>status quo</w:t>
      </w:r>
      <w:r w:rsidRPr="004E56B9">
        <w:rPr>
          <w:color w:val="0F1115"/>
        </w:rPr>
        <w:t xml:space="preserve"> and achieve emancipation by freeing consciousness from these constraints. </w:t>
      </w:r>
    </w:p>
    <w:p w14:paraId="64CA3A91" w14:textId="77777777" w:rsidR="00736F61" w:rsidRPr="004E56B9" w:rsidRDefault="00736F61" w:rsidP="00736F61">
      <w:pPr>
        <w:pStyle w:val="ds-markdown-paragraph"/>
        <w:shd w:val="clear" w:color="auto" w:fill="FFFFFF" w:themeFill="background1"/>
        <w:spacing w:before="0" w:beforeAutospacing="0" w:after="0" w:afterAutospacing="0" w:line="480" w:lineRule="auto"/>
        <w:ind w:left="567" w:firstLine="436"/>
        <w:jc w:val="both"/>
        <w:rPr>
          <w:color w:val="0F1115"/>
        </w:rPr>
      </w:pPr>
      <w:r w:rsidRPr="00CC1FC3">
        <w:t xml:space="preserve">It contributes a critical dimension to the analysis by recognising that global capitalism and transnational governance structures create systemic conditions that reproduce inequality and exploitation </w:t>
      </w:r>
      <w:sdt>
        <w:sdtPr>
          <w:rPr>
            <w:color w:val="000000"/>
          </w:rPr>
          <w:tag w:val="MENDELEY_CITATION_v3_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"/>
          <w:id w:val="-1025480396"/>
          <w:placeholder>
            <w:docPart w:val="722233FF84DF4569A90875075038C073"/>
          </w:placeholder>
        </w:sdtPr>
        <w:sdtEndPr/>
        <w:sdtContent>
          <w:r w:rsidRPr="004E56B9">
            <w:rPr>
              <w:color w:val="000000"/>
            </w:rPr>
            <w:t>(Guba and Lincoln, 2005; Morgan, 2007)</w:t>
          </w:r>
        </w:sdtContent>
      </w:sdt>
      <w:r w:rsidRPr="004E56B9">
        <w:rPr>
          <w:color w:val="000000"/>
        </w:rPr>
        <w:t xml:space="preserve">. </w:t>
      </w:r>
      <w:r w:rsidRPr="00CC1FC3">
        <w:t>While the primary orientation of this study is not revolutionary, it incorporates insights from this paradigm to interrogate the structural contradictions inherent in global production systems</w:t>
      </w:r>
      <w:r>
        <w:t>,</w:t>
      </w:r>
      <w:r w:rsidRPr="00CC1FC3">
        <w:t xml:space="preserve"> where profit imperatives perpetuate coercive labour practices even under extensive regulation. </w:t>
      </w:r>
    </w:p>
    <w:p w14:paraId="3D35CADB" w14:textId="77777777" w:rsidR="00736F61" w:rsidRDefault="00736F61" w:rsidP="00736F61">
      <w:pPr>
        <w:pStyle w:val="ds-markdown-paragraph"/>
        <w:numPr>
          <w:ilvl w:val="0"/>
          <w:numId w:val="23"/>
        </w:numPr>
        <w:shd w:val="clear" w:color="auto" w:fill="FFFFFF"/>
        <w:tabs>
          <w:tab w:val="left" w:pos="567"/>
        </w:tabs>
        <w:spacing w:before="0" w:beforeAutospacing="0" w:after="0" w:afterAutospacing="0" w:line="480" w:lineRule="auto"/>
        <w:ind w:left="567" w:hanging="567"/>
        <w:jc w:val="both"/>
        <w:rPr>
          <w:color w:val="0F1115"/>
        </w:rPr>
      </w:pPr>
      <w:r w:rsidRPr="00CC1FC3">
        <w:rPr>
          <w:rStyle w:val="Strong"/>
          <w:rFonts w:eastAsiaTheme="majorEastAsia"/>
          <w:color w:val="0F1115"/>
        </w:rPr>
        <w:t>The Radical Structuralist Paradigm (Objective-Radical Change):</w:t>
      </w:r>
      <w:r w:rsidRPr="00CC1FC3">
        <w:rPr>
          <w:color w:val="0F1115"/>
        </w:rPr>
        <w:t> </w:t>
      </w:r>
    </w:p>
    <w:p w14:paraId="53B408E7" w14:textId="77777777" w:rsidR="00736F61" w:rsidRDefault="00736F61" w:rsidP="00736F61">
      <w:pPr>
        <w:pStyle w:val="ds-markdown-paragraph"/>
        <w:shd w:val="clear" w:color="auto" w:fill="FFFFFF"/>
        <w:tabs>
          <w:tab w:val="left" w:pos="567"/>
        </w:tabs>
        <w:spacing w:before="0" w:beforeAutospacing="0" w:after="0" w:afterAutospacing="0" w:line="480" w:lineRule="auto"/>
        <w:ind w:left="567"/>
        <w:jc w:val="both"/>
        <w:rPr>
          <w:color w:val="0F1115"/>
        </w:rPr>
      </w:pPr>
      <w:r w:rsidRPr="00CC1FC3">
        <w:rPr>
          <w:color w:val="0F1115"/>
        </w:rPr>
        <w:t xml:space="preserve">This paradigm shares the goal of radical change but from an objectivist standpoint. It views society as comprising real, concrete structures that inherently generate conflict and modes of domination (e.g., economic class structures) </w:t>
      </w:r>
      <w:sdt>
        <w:sdtPr>
          <w:rPr>
            <w:color w:val="000000"/>
          </w:rPr>
          <w:tag w:val="MENDELEY_CITATION_v3_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"/>
          <w:id w:val="1741596669"/>
          <w:placeholder>
            <w:docPart w:val="4CC8A0D142F4471699B51591E7D0DE62"/>
          </w:placeholder>
        </w:sdtPr>
        <w:sdtEndPr/>
        <w:sdtContent>
          <w:r w:rsidRPr="00A73C12">
            <w:rPr>
              <w:color w:val="000000"/>
            </w:rPr>
            <w:t>(Saunders et al., 2009)</w:t>
          </w:r>
        </w:sdtContent>
      </w:sdt>
      <w:r w:rsidRPr="00CC1FC3">
        <w:rPr>
          <w:color w:val="0F1115"/>
        </w:rPr>
        <w:t>. The goal of research is to analyse these objective structures to uncover their contradictions and provide a basis for revolutionary change.</w:t>
      </w:r>
    </w:p>
    <w:p w14:paraId="3CC65B7D" w14:textId="77777777" w:rsidR="00736F61" w:rsidRPr="00CC1FC3" w:rsidRDefault="00736F61" w:rsidP="00736F61">
      <w:pPr>
        <w:spacing w:after="0" w:line="480" w:lineRule="auto"/>
        <w:ind w:left="284" w:firstLine="720"/>
        <w:jc w:val="both"/>
      </w:pPr>
      <w:r w:rsidRPr="00CC1FC3">
        <w:t xml:space="preserve">The radical humanist paradigm, though less directly applied, provides philosophical resonance with emancipatory aims embedded in MS research — namely, to challenge oppressive narratives and amplify marginalised voices </w:t>
      </w:r>
      <w:sdt>
        <w:sdtPr>
          <w:tag w:val="MENDELEY_CITATION_v3_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"/>
          <w:id w:val="-613593196"/>
          <w:placeholder>
            <w:docPart w:val="977163E220574B4C995F743D10A399A4"/>
          </w:placeholder>
        </w:sdtPr>
        <w:sdtEndPr/>
        <w:sdtContent>
          <w:r w:rsidRPr="00A73C12">
            <w:t>(Burrell and Morgan, 1979; Guba and Lincoln, 2005)</w:t>
          </w:r>
        </w:sdtContent>
      </w:sdt>
      <w:r w:rsidRPr="00CC1FC3">
        <w:t xml:space="preserve">. Its emphasis on ideological critique informs the qualitative </w:t>
      </w:r>
      <w:r w:rsidRPr="00CC1FC3">
        <w:lastRenderedPageBreak/>
        <w:t>interpretation of CMS disclosures as rhetorical tools that can both reveal and obscure organisational complicity.</w:t>
      </w:r>
    </w:p>
    <w:p w14:paraId="20B08E86" w14:textId="77777777" w:rsidR="00736F61" w:rsidRPr="00CC1FC3" w:rsidRDefault="00736F61" w:rsidP="00736F61">
      <w:pPr>
        <w:spacing w:line="480" w:lineRule="auto"/>
        <w:ind w:firstLine="720"/>
        <w:jc w:val="both"/>
      </w:pPr>
      <w:r w:rsidRPr="00CC1FC3">
        <w:t xml:space="preserve">This framework provides a useful meta-theoretical lens for positioning this research, which aims to understand MS and its corporate manifestations as both a structural and socially constructed phenomenon. By recognising that MS is shaped by objective institutional pressures yet experienced subjectively by workers, the study operates across the </w:t>
      </w:r>
      <w:r w:rsidRPr="00CC1FC3">
        <w:rPr>
          <w:i/>
          <w:iCs/>
        </w:rPr>
        <w:t>functionalist</w:t>
      </w:r>
      <w:r w:rsidRPr="00CC1FC3">
        <w:t xml:space="preserve"> and </w:t>
      </w:r>
      <w:r w:rsidRPr="00CC1FC3">
        <w:rPr>
          <w:i/>
          <w:iCs/>
        </w:rPr>
        <w:t>interpretivist</w:t>
      </w:r>
      <w:r w:rsidRPr="00CC1FC3">
        <w:t xml:space="preserve"> paradigms</w:t>
      </w:r>
      <w:r>
        <w:t xml:space="preserve">; </w:t>
      </w:r>
      <w:r w:rsidRPr="00CC1FC3">
        <w:t xml:space="preserve">a dualistic philosophical stance consistent with pragmatism </w:t>
      </w:r>
      <w:sdt>
        <w:sdtPr>
          <w:rPr>
            <w:rFonts w:eastAsia="Palatino Linotype"/>
            <w:iCs/>
          </w:rPr>
          <w:tag w:val="MENDELEY_CITATION_v3_eyJjaXRhdGlvbklEIjoiTUVOREVMRVlfQ0lUQVRJT05fYTQzZTBkYTQtNDIwNS00Y2ExLTg5NDgtMzE3ZGVkNWEwMzBjIiwicHJvcGVydGllcyI6eyJub3RlSW5kZXgiOjB9LCJpc0VkaXRlZCI6ZmFsc2UsIm1hbnVhbE92ZXJyaWRlIjp7ImlzTWFudWFsbHlPdmVycmlkZGVuIjpmYWxzZSwiY2l0ZXByb2NUZXh0IjoiKENyZXN3ZWxsIGFuZCBQbGFubywgMjAxODsgTW9yZ2FuLCAyMDA3Yi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QxZDk5Y2QyLWM3OTctMzYxOS1hNmVjLTg2NmI5ZDcxZmZjZiIsIml0ZW1EYXRhIjp7InR5cGUiOiJhcnRpY2xlLWpvdXJuYWwiLCJpZCI6IjQxZDk5Y2QyLWM3OTctMzYxOS1hNmVjLTg2NmI5ZDcxZmZjZi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"/>
          <w:id w:val="591749438"/>
          <w:placeholder>
            <w:docPart w:val="BF40405F41324D828099B654764A35E8"/>
          </w:placeholder>
        </w:sdtPr>
        <w:sdtEndPr/>
        <w:sdtContent>
          <w:r w:rsidRPr="00A73C12">
            <w:rPr>
              <w:rFonts w:eastAsia="Palatino Linotype"/>
              <w:iCs/>
            </w:rPr>
            <w:t>(Creswell and Plano, 2018; Morgan, 2007b)</w:t>
          </w:r>
        </w:sdtContent>
      </w:sdt>
      <w:r>
        <w:rPr>
          <w:rFonts w:eastAsia="Palatino Linotype"/>
          <w:iCs/>
        </w:rPr>
        <w:t xml:space="preserve">. </w:t>
      </w:r>
      <w:r w:rsidRPr="00CC1FC3">
        <w:rPr>
          <w:color w:val="0F1115"/>
        </w:rPr>
        <w:t>By cross tabulating these two dimensions, Burrell and Morgan derive four mutually exclusive paradigms for organisational analysis:</w:t>
      </w:r>
    </w:p>
    <w:p w14:paraId="3058626D" w14:textId="77777777" w:rsidR="00736F61" w:rsidRPr="00CC1FC3" w:rsidRDefault="00736F61" w:rsidP="00736F61">
      <w:pPr>
        <w:pStyle w:val="paragraph"/>
        <w:spacing w:before="0" w:beforeAutospacing="0" w:after="0" w:afterAutospacing="0" w:line="480" w:lineRule="auto"/>
        <w:jc w:val="center"/>
        <w:textAlignment w:val="baseline"/>
        <w:rPr>
          <w:sz w:val="18"/>
          <w:szCs w:val="18"/>
        </w:rPr>
      </w:pPr>
      <w:r w:rsidRPr="00CC1FC3">
        <w:rPr>
          <w:rStyle w:val="wacimagecontainer"/>
          <w:noProof/>
          <w:sz w:val="18"/>
          <w:szCs w:val="18"/>
        </w:rPr>
        <w:drawing>
          <wp:inline distT="0" distB="0" distL="0" distR="0" wp14:anchorId="39AB0332" wp14:editId="70A65E37">
            <wp:extent cx="4774879" cy="3076575"/>
            <wp:effectExtent l="0" t="0" r="6985" b="0"/>
            <wp:docPr id="230172638" name="Picture 1" descr="A diagram of the theory of a political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diagram of the theory of a political syste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0197" cy="3112218"/>
                    </a:xfrm>
                    <a:prstGeom prst="rect">
                      <a:avLst/>
                    </a:prstGeom>
                    <a:noFill/>
                    <a:ln>
                      <a:noFill/>
                    </a:ln>
                  </pic:spPr>
                </pic:pic>
              </a:graphicData>
            </a:graphic>
          </wp:inline>
        </w:drawing>
      </w:r>
      <w:r w:rsidRPr="00CC1FC3">
        <w:rPr>
          <w:rStyle w:val="eop"/>
          <w:rFonts w:eastAsiaTheme="majorEastAsia"/>
          <w:sz w:val="22"/>
          <w:szCs w:val="22"/>
        </w:rPr>
        <w:t> </w:t>
      </w:r>
    </w:p>
    <w:p w14:paraId="49C4CED5" w14:textId="77777777" w:rsidR="00736F61" w:rsidRPr="00CC1FC3" w:rsidRDefault="00736F61" w:rsidP="00736F61">
      <w:pPr>
        <w:pStyle w:val="paragraph"/>
        <w:spacing w:before="0" w:beforeAutospacing="0" w:after="0" w:afterAutospacing="0" w:line="480" w:lineRule="auto"/>
        <w:jc w:val="center"/>
        <w:textAlignment w:val="baseline"/>
      </w:pPr>
      <w:r w:rsidRPr="00CC1FC3">
        <w:rPr>
          <w:rStyle w:val="normaltextrun"/>
          <w:b/>
          <w:bCs/>
        </w:rPr>
        <w:t xml:space="preserve">Figure </w:t>
      </w:r>
      <w:r>
        <w:rPr>
          <w:rStyle w:val="normaltextrun"/>
          <w:b/>
          <w:bCs/>
        </w:rPr>
        <w:t>5</w:t>
      </w:r>
      <w:r w:rsidRPr="00CC1FC3">
        <w:rPr>
          <w:rStyle w:val="normaltextrun"/>
          <w:b/>
          <w:bCs/>
        </w:rPr>
        <w:t>.1:</w:t>
      </w:r>
      <w:r w:rsidRPr="00CC1FC3">
        <w:rPr>
          <w:rStyle w:val="normaltextrun"/>
        </w:rPr>
        <w:t xml:space="preserve"> Four Paradigms for the Analysis of Social Theory</w:t>
      </w:r>
    </w:p>
    <w:p w14:paraId="1E3F960D" w14:textId="77777777" w:rsidR="00736F61" w:rsidRPr="00CC1FC3" w:rsidRDefault="00736F61" w:rsidP="00736F61">
      <w:pPr>
        <w:pStyle w:val="paragraph"/>
        <w:spacing w:before="0" w:beforeAutospacing="0" w:after="0" w:afterAutospacing="0" w:line="480" w:lineRule="auto"/>
        <w:jc w:val="center"/>
        <w:textAlignment w:val="baseline"/>
        <w:rPr>
          <w:rStyle w:val="eop"/>
          <w:rFonts w:eastAsiaTheme="majorEastAsia"/>
        </w:rPr>
      </w:pPr>
      <w:r w:rsidRPr="00CC1FC3">
        <w:rPr>
          <w:rStyle w:val="normaltextrun"/>
          <w:b/>
          <w:bCs/>
        </w:rPr>
        <w:t>Source:</w:t>
      </w:r>
      <w:r w:rsidRPr="00CC1FC3">
        <w:rPr>
          <w:rStyle w:val="normaltextrun"/>
        </w:rPr>
        <w:t xml:space="preserve"> </w:t>
      </w:r>
      <w:r w:rsidRPr="00CC1FC3">
        <w:rPr>
          <w:rStyle w:val="contentcontrolboundarysink"/>
          <w:rFonts w:eastAsiaTheme="majorEastAsia"/>
        </w:rPr>
        <w:t>​</w:t>
      </w:r>
      <w:r w:rsidRPr="00CC1FC3">
        <w:rPr>
          <w:rStyle w:val="normaltextrun"/>
          <w:color w:val="000000"/>
        </w:rPr>
        <w:t>Burrell and Morgan, 1979, p. 22</w:t>
      </w:r>
      <w:r w:rsidRPr="00CC1FC3">
        <w:rPr>
          <w:rStyle w:val="contentcontrolboundarysink"/>
          <w:rFonts w:eastAsiaTheme="majorEastAsia"/>
        </w:rPr>
        <w:t>​</w:t>
      </w:r>
      <w:r w:rsidRPr="00CC1FC3">
        <w:rPr>
          <w:rStyle w:val="eop"/>
          <w:rFonts w:eastAsiaTheme="majorEastAsia"/>
        </w:rPr>
        <w:t> </w:t>
      </w:r>
    </w:p>
    <w:p w14:paraId="086C2DF1" w14:textId="77777777" w:rsidR="00736F61" w:rsidRPr="00CC1FC3" w:rsidRDefault="00736F61" w:rsidP="00736F61">
      <w:pPr>
        <w:spacing w:after="0" w:line="480" w:lineRule="auto"/>
        <w:ind w:firstLine="720"/>
        <w:jc w:val="both"/>
        <w:rPr>
          <w:color w:val="0F1115"/>
        </w:rPr>
      </w:pPr>
      <w:r w:rsidRPr="00CC1FC3">
        <w:t>By engaging across these paradigms, the study positions itself within a pragmatic worldview that transcends rigid philosophical boundaries. Following the arguments of Creswell (2014) and Morgan (2007), the research problem</w:t>
      </w:r>
      <w:r>
        <w:t xml:space="preserve">; </w:t>
      </w:r>
      <w:r w:rsidRPr="00CC1FC3">
        <w:t>understanding the dual realities of institutional compliance and worker exploitation</w:t>
      </w:r>
      <w:r>
        <w:t>;</w:t>
      </w:r>
      <w:r w:rsidRPr="00CC1FC3">
        <w:t xml:space="preserve"> takes precedence over adherence to a single paradigm. Pragmatism permits the integration of functionalist (quantitative) and interpretivist </w:t>
      </w:r>
      <w:r w:rsidRPr="00CC1FC3">
        <w:lastRenderedPageBreak/>
        <w:t>(qualitative) traditions while maintaining a critical awareness of structural power dynamics. This alignment ensures methodological pluralism without philosophical inconsistency, enabling a more holistic exploration of CMS that captures both measurable institutional patterns and lived social realities.</w:t>
      </w:r>
      <w:r w:rsidRPr="00CC1FC3">
        <w:rPr>
          <w:color w:val="0F1115"/>
        </w:rPr>
        <w:t xml:space="preserve"> </w:t>
      </w:r>
    </w:p>
    <w:p w14:paraId="392B3963" w14:textId="77777777" w:rsidR="00736F61" w:rsidRPr="00CC1FC3" w:rsidRDefault="00736F61" w:rsidP="00736F61">
      <w:pPr>
        <w:pStyle w:val="ds-markdown-paragraph"/>
        <w:shd w:val="clear" w:color="auto" w:fill="FFFFFF" w:themeFill="background1"/>
        <w:spacing w:before="0" w:beforeAutospacing="0" w:after="0" w:afterAutospacing="0" w:line="480" w:lineRule="auto"/>
        <w:ind w:firstLine="720"/>
        <w:jc w:val="both"/>
      </w:pPr>
      <w:r w:rsidRPr="00CC1FC3">
        <w:rPr>
          <w:color w:val="0F1115"/>
        </w:rPr>
        <w:t xml:space="preserve">For a study of CMS, this framework is invaluable. It reveals that a purely functionalist approach (e.g., quantifying SGI adoption alone) risks accepting corporate disclosures at face value and overlooking the human experience. A purely interpretivist approach, while rich in meaning, may lack critical bite. Engaging with the radical paradigms provides the critical tools </w:t>
      </w:r>
      <w:bookmarkStart w:id="17" w:name="_Toc215651826"/>
      <w:bookmarkStart w:id="18" w:name="_Toc220848330"/>
      <w:r w:rsidRPr="00023219">
        <w:rPr>
          <w:rStyle w:val="Heading3Char"/>
        </w:rPr>
        <w:t>5.2.</w:t>
      </w:r>
      <w:r>
        <w:rPr>
          <w:rStyle w:val="Heading3Char"/>
        </w:rPr>
        <w:t>4.2</w:t>
      </w:r>
      <w:r w:rsidRPr="00023219">
        <w:rPr>
          <w:rStyle w:val="Heading3Char"/>
        </w:rPr>
        <w:t xml:space="preserve"> The Pragmatic Worldview</w:t>
      </w:r>
      <w:bookmarkEnd w:id="17"/>
      <w:bookmarkEnd w:id="18"/>
      <w:r w:rsidRPr="00CC1FC3">
        <w:t> </w:t>
      </w:r>
    </w:p>
    <w:p w14:paraId="4A4565B4" w14:textId="77777777" w:rsidR="00736F61" w:rsidRPr="00CC1FC3" w:rsidRDefault="00736F61" w:rsidP="00736F61">
      <w:pPr>
        <w:pStyle w:val="ds-markdown-paragraph"/>
        <w:shd w:val="clear" w:color="auto" w:fill="FFFFFF" w:themeFill="background1"/>
        <w:spacing w:before="0" w:beforeAutospacing="0" w:after="0" w:afterAutospacing="0" w:line="480" w:lineRule="auto"/>
        <w:jc w:val="both"/>
        <w:rPr>
          <w:color w:val="0F1115"/>
        </w:rPr>
      </w:pPr>
      <w:r w:rsidRPr="00CC1FC3">
        <w:rPr>
          <w:color w:val="0F1115"/>
        </w:rPr>
        <w:t xml:space="preserve"> Pragmatic researchers prioritise understanding the research problem over adhering strictly to specific methodologies. They advocate using a variety of approaches to gain insights into the problem, drawing on both quantitative and qualitative assumptions as needed (Creswell, 2014). This freedom of choice allows researchers to select the methods, techniques, and procedures that best suit their research objectives </w:t>
      </w:r>
      <w:sdt>
        <w:sdtPr>
          <w:rPr>
            <w:color w:val="000000"/>
          </w:rPr>
          <w:tag w:val="MENDELEY_CITATION_v3_eyJjaXRhdGlvbklEIjoiTUVOREVMRVlfQ0lUQVRJT05fZjM5MDU0MTUtYTYwOS00ODM3LWI1NTUtYjczMzBjNWYwOTFlIiwicHJvcGVydGllcyI6eyJub3RlSW5kZXgiOjB9LCJpc0VkaXRlZCI6ZmFsc2UsIm1hbnVhbE92ZXJyaWRlIjp7ImlzTWFudWFsbHlPdmVycmlkZGVuIjpmYWxzZSwiY2l0ZXByb2NUZXh0IjoiKEJlcmdtYW4sIDIwMDg7IENyZXN3ZWxsLCAyMDE0OyBHaWJzb24sIDIwMTc7IFRlZGRsaWUgYW5kIFRhc2hha2tvcmksIDIwMDkpIiwibWFudWFsT3ZlcnJpZGVUZXh0IjoiIn0sImNpdGF0aW9uSXRlbXMiOlt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Sx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iLCJwdWJsaXNoZXIiOiJTQUdFIFB1YmxpY2F0aW9ucyBJbmMuIiwiaXNzdWUiOiIyIiwidm9sdW1lIjoiMjAifSwiaXNUZW1wb3JhcnkiOmZhbHNlfV19"/>
          <w:id w:val="-1270534313"/>
          <w:placeholder>
            <w:docPart w:val="1748487FCD3B495C87BBB7A672E65028"/>
          </w:placeholder>
        </w:sdtPr>
        <w:sdtEndPr/>
        <w:sdtContent>
          <w:r w:rsidRPr="00A73C12">
            <w:rPr>
              <w:color w:val="000000"/>
            </w:rPr>
            <w:t xml:space="preserve">(Bergman, 2008; Creswell, 2014; Gibson, 2017; Teddlie and </w:t>
          </w:r>
          <w:proofErr w:type="spellStart"/>
          <w:r w:rsidRPr="00A73C12">
            <w:rPr>
              <w:color w:val="000000"/>
            </w:rPr>
            <w:t>Tashakkori</w:t>
          </w:r>
          <w:proofErr w:type="spellEnd"/>
          <w:r w:rsidRPr="00A73C12">
            <w:rPr>
              <w:color w:val="000000"/>
            </w:rPr>
            <w:t>, 2009)</w:t>
          </w:r>
        </w:sdtContent>
      </w:sdt>
      <w:r w:rsidRPr="00CC1FC3">
        <w:rPr>
          <w:color w:val="0F1115"/>
        </w:rPr>
        <w:t>​. This pragmatism provides the philosophical basis for the research below. </w:t>
      </w:r>
    </w:p>
    <w:p w14:paraId="635B82F4" w14:textId="77777777" w:rsidR="00736F61" w:rsidRPr="00CC1FC3" w:rsidRDefault="00736F61" w:rsidP="00736F61">
      <w:pPr>
        <w:pStyle w:val="ds-markdown-paragraph"/>
        <w:numPr>
          <w:ilvl w:val="0"/>
          <w:numId w:val="14"/>
        </w:numPr>
        <w:shd w:val="clear" w:color="auto" w:fill="FFFFFF"/>
        <w:spacing w:before="0" w:beforeAutospacing="0" w:after="0" w:afterAutospacing="0" w:line="480" w:lineRule="auto"/>
        <w:rPr>
          <w:color w:val="0F1115"/>
        </w:rPr>
      </w:pPr>
      <w:r w:rsidRPr="00CC1FC3">
        <w:rPr>
          <w:color w:val="0F1115"/>
        </w:rPr>
        <w:t xml:space="preserve">Pragmatism </w:t>
      </w:r>
      <w:proofErr w:type="gramStart"/>
      <w:r w:rsidRPr="00CC1FC3">
        <w:rPr>
          <w:color w:val="0F1115"/>
        </w:rPr>
        <w:t>is connected with</w:t>
      </w:r>
      <w:proofErr w:type="gramEnd"/>
      <w:r w:rsidRPr="00CC1FC3">
        <w:rPr>
          <w:color w:val="0F1115"/>
        </w:rPr>
        <w:t xml:space="preserve"> multiple philosophies or realities. It incorporates both quantitative and qualitative assumptions to explore their inquiries. </w:t>
      </w:r>
    </w:p>
    <w:p w14:paraId="48BBBF4E" w14:textId="77777777" w:rsidR="00736F61" w:rsidRPr="00CC1FC3" w:rsidRDefault="00736F61" w:rsidP="00736F61">
      <w:pPr>
        <w:pStyle w:val="ds-markdown-paragraph"/>
        <w:numPr>
          <w:ilvl w:val="0"/>
          <w:numId w:val="14"/>
        </w:numPr>
        <w:shd w:val="clear" w:color="auto" w:fill="FFFFFF"/>
        <w:spacing w:before="0" w:beforeAutospacing="0" w:after="0" w:afterAutospacing="0" w:line="480" w:lineRule="auto"/>
        <w:rPr>
          <w:color w:val="0F1115"/>
        </w:rPr>
      </w:pPr>
      <w:r w:rsidRPr="00CC1FC3">
        <w:rPr>
          <w:color w:val="0F1115"/>
        </w:rPr>
        <w:t>Researchers have freedom of choice within pragmatism, enabling them to select the methods, techniques, practices, and procedures that best align with their research objectives and personal inclinations. </w:t>
      </w:r>
    </w:p>
    <w:p w14:paraId="65A6E60E" w14:textId="77777777" w:rsidR="00736F61" w:rsidRPr="00CC1FC3" w:rsidRDefault="00736F61" w:rsidP="00736F61">
      <w:pPr>
        <w:pStyle w:val="ds-markdown-paragraph"/>
        <w:numPr>
          <w:ilvl w:val="0"/>
          <w:numId w:val="15"/>
        </w:numPr>
        <w:shd w:val="clear" w:color="auto" w:fill="FFFFFF"/>
        <w:spacing w:before="0" w:beforeAutospacing="0" w:after="0" w:afterAutospacing="0" w:line="480" w:lineRule="auto"/>
        <w:jc w:val="both"/>
        <w:rPr>
          <w:color w:val="0F1115"/>
        </w:rPr>
      </w:pPr>
      <w:r w:rsidRPr="00CC1FC3">
        <w:rPr>
          <w:color w:val="0F1115"/>
        </w:rPr>
        <w:t>Pragmatists view the world as lacking absolute unity, akin to mixed-methods researchers who adopt multiple approaches to data collection and analysis rather than adhering strictly to a single methodology. </w:t>
      </w:r>
    </w:p>
    <w:p w14:paraId="4ED4954E" w14:textId="77777777" w:rsidR="00736F61" w:rsidRPr="00CC1FC3" w:rsidRDefault="00736F61" w:rsidP="00736F61">
      <w:pPr>
        <w:pStyle w:val="ds-markdown-paragraph"/>
        <w:numPr>
          <w:ilvl w:val="0"/>
          <w:numId w:val="16"/>
        </w:numPr>
        <w:shd w:val="clear" w:color="auto" w:fill="FFFFFF"/>
        <w:spacing w:before="0" w:beforeAutospacing="0" w:after="0" w:afterAutospacing="0" w:line="480" w:lineRule="auto"/>
        <w:jc w:val="both"/>
        <w:rPr>
          <w:color w:val="0F1115"/>
        </w:rPr>
      </w:pPr>
      <w:r w:rsidRPr="00CC1FC3">
        <w:rPr>
          <w:color w:val="0F1115"/>
        </w:rPr>
        <w:lastRenderedPageBreak/>
        <w:t>Truth holds paramount importance in pragmatism, leading mixed-methods investigators to utilise both quantitative and qualitative data to offer the most comprehensive understanding of a research problem. </w:t>
      </w:r>
    </w:p>
    <w:p w14:paraId="4C70B298" w14:textId="77777777" w:rsidR="00736F61" w:rsidRPr="00CC1FC3" w:rsidRDefault="00736F61" w:rsidP="00736F61">
      <w:pPr>
        <w:pStyle w:val="ds-markdown-paragraph"/>
        <w:numPr>
          <w:ilvl w:val="0"/>
          <w:numId w:val="16"/>
        </w:numPr>
        <w:shd w:val="clear" w:color="auto" w:fill="FFFFFF"/>
        <w:spacing w:before="0" w:beforeAutospacing="0" w:after="0" w:afterAutospacing="0" w:line="480" w:lineRule="auto"/>
        <w:jc w:val="both"/>
        <w:rPr>
          <w:color w:val="0F1115"/>
        </w:rPr>
      </w:pPr>
      <w:r w:rsidRPr="00CC1FC3">
        <w:rPr>
          <w:color w:val="0F1115"/>
        </w:rPr>
        <w:t>Pragmatists recognise the necessity of establishing a purpose for integrating methods, providing a rationale for combining qualitative and quantitative data in research endeavours. </w:t>
      </w:r>
    </w:p>
    <w:p w14:paraId="1A804238" w14:textId="77777777" w:rsidR="00736F61" w:rsidRPr="00CC1FC3" w:rsidRDefault="00736F61" w:rsidP="00736F61">
      <w:pPr>
        <w:pStyle w:val="ds-markdown-paragraph"/>
        <w:numPr>
          <w:ilvl w:val="0"/>
          <w:numId w:val="17"/>
        </w:numPr>
        <w:shd w:val="clear" w:color="auto" w:fill="FFFFFF"/>
        <w:spacing w:before="0" w:beforeAutospacing="0" w:after="0" w:afterAutospacing="0" w:line="480" w:lineRule="auto"/>
        <w:jc w:val="both"/>
        <w:rPr>
          <w:color w:val="0F1115"/>
        </w:rPr>
      </w:pPr>
      <w:r w:rsidRPr="00CC1FC3">
        <w:rPr>
          <w:color w:val="0F1115"/>
        </w:rPr>
        <w:t>Embracing a pragmatist worldview affords mixed-methods researchers’ opportunities to explore various methodologies, diverse worldviews, and differing assumptions, as well as a range of techniques for collecting and analysing data. </w:t>
      </w:r>
    </w:p>
    <w:p w14:paraId="45791F62" w14:textId="77777777" w:rsidR="00736F61" w:rsidRPr="00CC1FC3" w:rsidRDefault="00736F61" w:rsidP="00736F61">
      <w:pPr>
        <w:pStyle w:val="ds-markdown-paragraph"/>
        <w:shd w:val="clear" w:color="auto" w:fill="FFFFFF" w:themeFill="background1"/>
        <w:spacing w:before="0" w:beforeAutospacing="0" w:after="0" w:afterAutospacing="0" w:line="480" w:lineRule="auto"/>
        <w:ind w:firstLine="720"/>
        <w:jc w:val="both"/>
        <w:rPr>
          <w:color w:val="0F1115"/>
        </w:rPr>
      </w:pPr>
      <w:r w:rsidRPr="00CC1FC3">
        <w:rPr>
          <w:color w:val="0F1115"/>
        </w:rPr>
        <w:t>In the research paradigm of this study, the theoretical framework is anchored in pragmatism, as outlined by ​</w:t>
      </w:r>
      <w:sdt>
        <w:sdtPr>
          <w:rPr>
            <w:color w:val="000000"/>
          </w:rPr>
          <w:tag w:val="MENDELEY_CITATION_v3_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"/>
          <w:id w:val="-1991697624"/>
          <w:placeholder>
            <w:docPart w:val="1748487FCD3B495C87BBB7A672E65028"/>
          </w:placeholder>
        </w:sdtPr>
        <w:sdtEndPr/>
        <w:sdtContent>
          <w:r w:rsidRPr="00A73C12">
            <w:rPr>
              <w:color w:val="000000"/>
            </w:rPr>
            <w:t>Collis and Hussey (2021)</w:t>
          </w:r>
        </w:sdtContent>
      </w:sdt>
      <w:r w:rsidRPr="00CC1FC3">
        <w:rPr>
          <w:color w:val="000000" w:themeColor="text1"/>
        </w:rPr>
        <w:t>.</w:t>
      </w:r>
      <w:r w:rsidRPr="00CC1FC3">
        <w:rPr>
          <w:color w:val="0F1115"/>
        </w:rPr>
        <w:t xml:space="preserve"> Pragmatism serves as the guiding philosophy that shapes the overall research approach, particularly in addressing the complex phenomenon of MS. This paradigm recognises the inherent complexities and nuances of MS and emphasises the need for a flexible, adaptive research methodology that can effectively capture and address them. Within this paradigm, the integration of diverse research methods, including both qualitative and quantitative approaches, is encouraged to provide a comprehensive understanding of CMS practices. By embracing pragmatism within the research paradigm, the study aims to navigate the intricacies of CMS, capitalise on the strengths of various research methods, and generate insights to inform evidence-based interventions and policy decisions to combat CMS effectively.  </w:t>
      </w:r>
    </w:p>
    <w:p w14:paraId="52B5BF8D" w14:textId="77777777" w:rsidR="00736F61" w:rsidRPr="00475CE8" w:rsidRDefault="00736F61" w:rsidP="00736F61">
      <w:pPr>
        <w:pStyle w:val="Heading3"/>
        <w:rPr>
          <w:rStyle w:val="Strong"/>
          <w:b/>
          <w:bCs w:val="0"/>
        </w:rPr>
      </w:pPr>
      <w:bookmarkStart w:id="19" w:name="_Toc215651827"/>
      <w:bookmarkStart w:id="20" w:name="_Toc220848331"/>
      <w:bookmarkStart w:id="21" w:name="_Toc221437651"/>
      <w:r w:rsidRPr="00475CE8">
        <w:rPr>
          <w:rStyle w:val="Strong"/>
          <w:b/>
          <w:bCs w:val="0"/>
        </w:rPr>
        <w:t>5.2.</w:t>
      </w:r>
      <w:r>
        <w:rPr>
          <w:rStyle w:val="Strong"/>
          <w:b/>
          <w:bCs w:val="0"/>
        </w:rPr>
        <w:t>5</w:t>
      </w:r>
      <w:r w:rsidRPr="00475CE8">
        <w:rPr>
          <w:rStyle w:val="Strong"/>
          <w:b/>
          <w:bCs w:val="0"/>
        </w:rPr>
        <w:t xml:space="preserve"> Justifying the Study’s Pragmatic Paradigm</w:t>
      </w:r>
      <w:bookmarkEnd w:id="19"/>
      <w:bookmarkEnd w:id="20"/>
      <w:bookmarkEnd w:id="21"/>
    </w:p>
    <w:p w14:paraId="218272F8" w14:textId="77777777" w:rsidR="00736F61" w:rsidRPr="00CC1FC3" w:rsidRDefault="00736F61" w:rsidP="00736F61">
      <w:pPr>
        <w:pStyle w:val="Heading4"/>
        <w:rPr>
          <w:rStyle w:val="Strong"/>
          <w:rFonts w:cs="Times New Roman"/>
          <w:b/>
          <w:bCs w:val="0"/>
        </w:rPr>
      </w:pPr>
      <w:bookmarkStart w:id="22" w:name="_Toc215651828"/>
      <w:bookmarkStart w:id="23" w:name="_Toc220848332"/>
      <w:r w:rsidRPr="00CC1FC3">
        <w:rPr>
          <w:rStyle w:val="Strong"/>
          <w:rFonts w:cs="Times New Roman"/>
          <w:b/>
          <w:bCs w:val="0"/>
        </w:rPr>
        <w:t>5.2.</w:t>
      </w:r>
      <w:r>
        <w:rPr>
          <w:rStyle w:val="Strong"/>
          <w:b/>
          <w:bCs w:val="0"/>
        </w:rPr>
        <w:t>5</w:t>
      </w:r>
      <w:r>
        <w:rPr>
          <w:rStyle w:val="Strong"/>
          <w:rFonts w:cs="Times New Roman"/>
          <w:b/>
          <w:bCs w:val="0"/>
        </w:rPr>
        <w:t>.1</w:t>
      </w:r>
      <w:r w:rsidRPr="00CC1FC3">
        <w:rPr>
          <w:rStyle w:val="Strong"/>
          <w:rFonts w:cs="Times New Roman"/>
          <w:b/>
          <w:bCs w:val="0"/>
        </w:rPr>
        <w:t xml:space="preserve"> Moving Beyond the Paradigms</w:t>
      </w:r>
      <w:bookmarkEnd w:id="22"/>
      <w:bookmarkEnd w:id="23"/>
    </w:p>
    <w:p w14:paraId="24815968" w14:textId="77777777" w:rsidR="00736F61" w:rsidRPr="00CC1FC3" w:rsidRDefault="00736F61" w:rsidP="00736F61">
      <w:pPr>
        <w:pStyle w:val="ds-markdown-paragraph"/>
        <w:shd w:val="clear" w:color="auto" w:fill="FFFFFF" w:themeFill="background1"/>
        <w:spacing w:before="0" w:beforeAutospacing="0" w:after="0" w:afterAutospacing="0" w:line="480" w:lineRule="auto"/>
        <w:jc w:val="both"/>
        <w:rPr>
          <w:color w:val="0F1115"/>
        </w:rPr>
      </w:pPr>
      <w:r w:rsidRPr="00CC1FC3">
        <w:rPr>
          <w:color w:val="0F1115"/>
        </w:rPr>
        <w:t>This study consciously adopts a</w:t>
      </w:r>
      <w:r w:rsidRPr="00CC1FC3">
        <w:rPr>
          <w:b/>
          <w:bCs/>
          <w:color w:val="0F1115"/>
        </w:rPr>
        <w:t> </w:t>
      </w:r>
      <w:r w:rsidRPr="00CC1FC3">
        <w:rPr>
          <w:rStyle w:val="Strong"/>
          <w:rFonts w:eastAsiaTheme="majorEastAsia"/>
          <w:b w:val="0"/>
          <w:bCs w:val="0"/>
          <w:color w:val="0F1115"/>
        </w:rPr>
        <w:t>pragmatic approach</w:t>
      </w:r>
      <w:r w:rsidRPr="00CC1FC3">
        <w:rPr>
          <w:color w:val="0F1115"/>
        </w:rPr>
        <w:t xml:space="preserve"> that strategically transcends the rigid boundaries of the Burrell and Morgan (1979) quadrants. While their framework is invaluable for diagnosing the philosophical assumptions underlying research, pragmatism offers a </w:t>
      </w:r>
      <w:r w:rsidRPr="00CC1FC3">
        <w:rPr>
          <w:color w:val="0F1115"/>
        </w:rPr>
        <w:lastRenderedPageBreak/>
        <w:t>solution-oriented pathway that prioritises the </w:t>
      </w:r>
      <w:r w:rsidRPr="00CC1FC3">
        <w:rPr>
          <w:rStyle w:val="Strong"/>
          <w:rFonts w:eastAsiaTheme="majorEastAsia"/>
          <w:b w:val="0"/>
          <w:bCs w:val="0"/>
          <w:color w:val="0F1115"/>
        </w:rPr>
        <w:t>research problem</w:t>
      </w:r>
      <w:r w:rsidRPr="00CC1FC3">
        <w:rPr>
          <w:color w:val="0F1115"/>
        </w:rPr>
        <w:t xml:space="preserve"> over adherence to philosophical purity. Further, </w:t>
      </w:r>
      <w:sdt>
        <w:sdtPr>
          <w:rPr>
            <w:color w:val="000000"/>
          </w:rPr>
          <w:tag w:val="MENDELEY_CITATION_v3_eyJjaXRhdGlvbklEIjoiTUVOREVMRVlfQ0lUQVRJT05fZTYwYTVjODItYWM2Ni00ZGE4LTkzNDktM2Q3ZjdkZTNjOGM5IiwicHJvcGVydGllcyI6eyJub3RlSW5kZXgiOjB9LCJpc0VkaXRlZCI6ZmFsc2UsIm1hbnVhbE92ZXJyaWRlIjp7ImlzTWFudWFsbHlPdmVycmlkZGVuIjp0cnVlLCJjaXRlcHJvY1RleHQiOiIoQ3Jlc3dlbGwgYW5kIFBsYW5vLCAyMDE4KSIsIm1hbnVhbE92ZXJyaWRlVGV4dCI6IkNyZXN3ZWxsIGFuZCBQbGFubyAoMjAxOCk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612447976"/>
          <w:placeholder>
            <w:docPart w:val="1748487FCD3B495C87BBB7A672E65028"/>
          </w:placeholder>
        </w:sdtPr>
        <w:sdtEndPr/>
        <w:sdtContent>
          <w:r w:rsidRPr="00A73C12">
            <w:rPr>
              <w:color w:val="000000"/>
            </w:rPr>
            <w:t>Creswell and Plano (2018)</w:t>
          </w:r>
        </w:sdtContent>
      </w:sdt>
      <w:r w:rsidRPr="00CC1FC3">
        <w:rPr>
          <w:color w:val="000000" w:themeColor="text1"/>
        </w:rPr>
        <w:t xml:space="preserve"> </w:t>
      </w:r>
      <w:r w:rsidRPr="00CC1FC3">
        <w:rPr>
          <w:color w:val="0F1115"/>
        </w:rPr>
        <w:t>argue that the value of a theory or method lies in its practical consequences and its utility in addressing a complex problem effectively.</w:t>
      </w:r>
    </w:p>
    <w:p w14:paraId="114F9EEF"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color w:val="0F1115"/>
        </w:rPr>
        <w:t>For this investigation into MS, the research problem itself is inherently multi-faceted, encompassing three interconnected levels of reality that together capture the structural and experiential complexity of the phenomenon:</w:t>
      </w:r>
    </w:p>
    <w:p w14:paraId="3690FA7C" w14:textId="77777777" w:rsidR="00736F61" w:rsidRPr="00CC1FC3" w:rsidRDefault="00736F61" w:rsidP="00736F61">
      <w:pPr>
        <w:pStyle w:val="ds-markdown-paragraph"/>
        <w:numPr>
          <w:ilvl w:val="0"/>
          <w:numId w:val="12"/>
        </w:numPr>
        <w:shd w:val="clear" w:color="auto" w:fill="FFFFFF"/>
        <w:tabs>
          <w:tab w:val="num" w:pos="284"/>
        </w:tabs>
        <w:spacing w:before="0" w:beforeAutospacing="0" w:after="0" w:afterAutospacing="0" w:line="480" w:lineRule="auto"/>
        <w:ind w:left="284" w:hanging="284"/>
        <w:jc w:val="both"/>
        <w:rPr>
          <w:color w:val="0F1115"/>
        </w:rPr>
      </w:pPr>
      <w:r w:rsidRPr="00CC1FC3">
        <w:rPr>
          <w:b/>
          <w:bCs/>
          <w:color w:val="0F1115"/>
        </w:rPr>
        <w:t>Macro-level:</w:t>
      </w:r>
      <w:r w:rsidRPr="00CC1FC3">
        <w:rPr>
          <w:color w:val="0F1115"/>
        </w:rPr>
        <w:t xml:space="preserve"> The objective reality of global governance frameworks, institutional environments, and national regulatory systems that shape corporate accountability and labour standards across jurisdictions. This level is explored through quantitative indicators, including governance quality, development indices, and inequality measures.</w:t>
      </w:r>
    </w:p>
    <w:p w14:paraId="72E641B5" w14:textId="77777777" w:rsidR="00736F61" w:rsidRPr="00CC1FC3" w:rsidRDefault="00736F61" w:rsidP="00736F61">
      <w:pPr>
        <w:pStyle w:val="ds-markdown-paragraph"/>
        <w:numPr>
          <w:ilvl w:val="0"/>
          <w:numId w:val="12"/>
        </w:numPr>
        <w:shd w:val="clear" w:color="auto" w:fill="FFFFFF"/>
        <w:spacing w:before="0" w:beforeAutospacing="0" w:after="0" w:afterAutospacing="0" w:line="480" w:lineRule="auto"/>
        <w:ind w:left="426" w:hanging="426"/>
        <w:jc w:val="both"/>
        <w:rPr>
          <w:color w:val="0F1115"/>
        </w:rPr>
      </w:pPr>
      <w:r w:rsidRPr="00CC1FC3">
        <w:rPr>
          <w:b/>
          <w:bCs/>
          <w:color w:val="0F1115"/>
        </w:rPr>
        <w:t>Meso-level:</w:t>
      </w:r>
      <w:r w:rsidRPr="00CC1FC3">
        <w:rPr>
          <w:color w:val="0F1115"/>
        </w:rPr>
        <w:t xml:space="preserve"> The organisational and corporate governance reality, where firms respond to these macro pressures through SGIs, disclosure practices, and board-level oversight mechanisms. This level embodies the interface between institutional conformity and strategic agency, illustrating how coercive, normative, and mimetic forces operate within multinational corporations.</w:t>
      </w:r>
    </w:p>
    <w:p w14:paraId="0673B4B8" w14:textId="77777777" w:rsidR="00736F61" w:rsidRPr="00CC1FC3" w:rsidRDefault="00736F61" w:rsidP="00736F61">
      <w:pPr>
        <w:pStyle w:val="ds-markdown-paragraph"/>
        <w:numPr>
          <w:ilvl w:val="0"/>
          <w:numId w:val="12"/>
        </w:numPr>
        <w:shd w:val="clear" w:color="auto" w:fill="FFFFFF"/>
        <w:spacing w:before="0" w:beforeAutospacing="0" w:after="0" w:afterAutospacing="0" w:line="480" w:lineRule="auto"/>
        <w:ind w:left="426" w:hanging="426"/>
        <w:jc w:val="both"/>
        <w:rPr>
          <w:color w:val="0F1115"/>
        </w:rPr>
      </w:pPr>
      <w:r w:rsidRPr="00CC1FC3">
        <w:rPr>
          <w:b/>
          <w:bCs/>
          <w:color w:val="0F1115"/>
        </w:rPr>
        <w:t>Micro-level:</w:t>
      </w:r>
      <w:r w:rsidRPr="00CC1FC3">
        <w:rPr>
          <w:color w:val="0F1115"/>
        </w:rPr>
        <w:t xml:space="preserve"> The subjective reality of lived experiences, local practices, and hidden dynamics within global supply chains—revealed through worker </w:t>
      </w:r>
      <w:r w:rsidRPr="008E024A">
        <w:rPr>
          <w:rFonts w:eastAsia="Palatino Linotype"/>
          <w:color w:val="EE0000"/>
        </w:rPr>
        <w:t xml:space="preserve">semi-structured </w:t>
      </w:r>
      <w:r w:rsidRPr="00CC1FC3">
        <w:rPr>
          <w:color w:val="0F1115"/>
        </w:rPr>
        <w:t xml:space="preserve">interviews and </w:t>
      </w:r>
      <w:r>
        <w:rPr>
          <w:color w:val="0F1115"/>
        </w:rPr>
        <w:t>questionnaire</w:t>
      </w:r>
      <w:r w:rsidRPr="00CC1FC3">
        <w:rPr>
          <w:color w:val="0F1115"/>
        </w:rPr>
        <w:t>. This level captures how formal corporate commitments translate (or fail to translate) into tangible outcomes for workers, uncovering the everyday manifestations of institutional decoupling.</w:t>
      </w:r>
    </w:p>
    <w:p w14:paraId="1FE8A2FB"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color w:val="0F1115"/>
        </w:rPr>
        <w:t xml:space="preserve">Together, these three levels represent the dual structure and dual reality of MS, where formal systems of governance coexist with informal practices of exploitation. Understanding MS thus requires a theoretical and methodological approach capable of bridging objective structures and subjective experiences, which this study achieves through its pragmatic integration of </w:t>
      </w:r>
      <w:r w:rsidRPr="00CC1FC3">
        <w:rPr>
          <w:color w:val="0F1115"/>
        </w:rPr>
        <w:lastRenderedPageBreak/>
        <w:t xml:space="preserve">quantitative and qualitative inquiry within a </w:t>
      </w:r>
      <w:r>
        <w:rPr>
          <w:color w:val="0F1115"/>
        </w:rPr>
        <w:t>NIT</w:t>
      </w:r>
      <w:r w:rsidRPr="00CC1FC3">
        <w:rPr>
          <w:color w:val="0F1115"/>
        </w:rPr>
        <w:t xml:space="preserve"> lens </w:t>
      </w:r>
      <w:sdt>
        <w:sdtPr>
          <w:rPr>
            <w:color w:val="000000"/>
          </w:rPr>
          <w:tag w:val="MENDELEY_CITATION_v3_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V19"/>
          <w:id w:val="795410033"/>
          <w:placeholder>
            <w:docPart w:val="41AAC903FDDE466EA7AC37A8E34C3558"/>
          </w:placeholder>
        </w:sdtPr>
        <w:sdtEndPr/>
        <w:sdtContent>
          <w:r w:rsidRPr="00A73C12">
            <w:rPr>
              <w:color w:val="000000"/>
            </w:rPr>
            <w:t>(Burrell and Morgan, 1979; Meyer and Rowan, 1977)</w:t>
          </w:r>
        </w:sdtContent>
      </w:sdt>
      <w:r w:rsidRPr="00CC1FC3">
        <w:rPr>
          <w:color w:val="0F1115"/>
        </w:rPr>
        <w:t>.</w:t>
      </w:r>
    </w:p>
    <w:p w14:paraId="3AC12A23" w14:textId="77777777" w:rsidR="00736F61" w:rsidRPr="00CC1FC3" w:rsidRDefault="00736F61" w:rsidP="00736F61">
      <w:pPr>
        <w:pStyle w:val="ds-markdown-paragraph"/>
        <w:shd w:val="clear" w:color="auto" w:fill="FFFFFF"/>
        <w:spacing w:before="0" w:beforeAutospacing="0" w:after="0" w:afterAutospacing="0" w:line="480" w:lineRule="auto"/>
        <w:ind w:firstLine="720"/>
        <w:jc w:val="both"/>
        <w:rPr>
          <w:color w:val="0F1115"/>
        </w:rPr>
      </w:pPr>
      <w:r w:rsidRPr="00CC1FC3">
        <w:rPr>
          <w:color w:val="0F1115"/>
        </w:rPr>
        <w:t>A single paradigm is insufficient to capture this complexity. A purely Functionalist (objective) approach would quantify correlations but risk accepting corporate disclosures at face value, missing the human story and the mechanisms of decoupling. A purely Interpretivist (subjective) approach would provide a deep, contextual understanding of worker experiences but might lack the generali</w:t>
      </w:r>
      <w:r>
        <w:rPr>
          <w:color w:val="0F1115"/>
        </w:rPr>
        <w:t>s</w:t>
      </w:r>
      <w:r w:rsidRPr="00CC1FC3">
        <w:rPr>
          <w:color w:val="0F1115"/>
        </w:rPr>
        <w:t>ability to explain broader patterns across the G500. The Radical paradigms, while offering crucial critical insight into power structures, are not designed for the empirical testing and detailed descriptive inquiry also required here.</w:t>
      </w:r>
    </w:p>
    <w:p w14:paraId="1F7A47F9" w14:textId="77777777" w:rsidR="00736F61" w:rsidRPr="00CC1FC3" w:rsidRDefault="00736F61" w:rsidP="00736F61">
      <w:pPr>
        <w:pStyle w:val="ds-markdown-paragraph"/>
        <w:shd w:val="clear" w:color="auto" w:fill="FFFFFF"/>
        <w:spacing w:before="0" w:beforeAutospacing="0" w:after="0" w:afterAutospacing="0" w:line="480" w:lineRule="auto"/>
        <w:ind w:firstLine="720"/>
        <w:jc w:val="both"/>
        <w:rPr>
          <w:color w:val="0F1115"/>
        </w:rPr>
      </w:pPr>
      <w:r w:rsidRPr="00CC1FC3">
        <w:rPr>
          <w:color w:val="0F1115"/>
        </w:rPr>
        <w:t>Therefore, pragmatism provides the necessary philosophical justification for a </w:t>
      </w:r>
      <w:r w:rsidRPr="00CC1FC3">
        <w:rPr>
          <w:rStyle w:val="Strong"/>
          <w:rFonts w:eastAsiaTheme="majorEastAsia"/>
          <w:b w:val="0"/>
          <w:color w:val="0F1115"/>
        </w:rPr>
        <w:t xml:space="preserve">mixed-methods methodology (see Figure </w:t>
      </w:r>
      <w:r>
        <w:rPr>
          <w:rStyle w:val="Strong"/>
          <w:rFonts w:eastAsiaTheme="majorEastAsia"/>
          <w:b w:val="0"/>
          <w:color w:val="0F1115"/>
        </w:rPr>
        <w:t>5</w:t>
      </w:r>
      <w:r w:rsidRPr="00CC1FC3">
        <w:rPr>
          <w:rStyle w:val="Strong"/>
          <w:rFonts w:eastAsiaTheme="majorEastAsia"/>
          <w:b w:val="0"/>
          <w:color w:val="0F1115"/>
        </w:rPr>
        <w:t>.2)</w:t>
      </w:r>
      <w:r w:rsidRPr="00CC1FC3">
        <w:rPr>
          <w:color w:val="0F1115"/>
        </w:rPr>
        <w:t>. It rejects the forced choice between objective and subjective worldviews, instead asking: </w:t>
      </w:r>
      <w:r w:rsidRPr="00CC1FC3">
        <w:rPr>
          <w:rStyle w:val="Emphasis"/>
          <w:rFonts w:eastAsiaTheme="majorEastAsia"/>
          <w:color w:val="0F1115"/>
        </w:rPr>
        <w:t>“What combination of methods and philosophical insights best helps us solve the problem of understanding and explaining the dual realities of MS?”</w:t>
      </w:r>
    </w:p>
    <w:p w14:paraId="3127EB55"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color w:val="0F1115"/>
        </w:rPr>
        <w:t>The answer, for this study, is a deliberate and strategic integration:</w:t>
      </w:r>
    </w:p>
    <w:p w14:paraId="637BE77B" w14:textId="77777777" w:rsidR="00736F61" w:rsidRPr="00CC1FC3" w:rsidRDefault="00736F61" w:rsidP="00736F61">
      <w:pPr>
        <w:pStyle w:val="NormalWeb"/>
        <w:numPr>
          <w:ilvl w:val="0"/>
          <w:numId w:val="13"/>
        </w:numPr>
        <w:tabs>
          <w:tab w:val="clear" w:pos="720"/>
          <w:tab w:val="num" w:pos="284"/>
        </w:tabs>
        <w:spacing w:before="0" w:beforeAutospacing="0" w:after="0" w:afterAutospacing="0" w:line="480" w:lineRule="auto"/>
        <w:ind w:left="284" w:hanging="284"/>
        <w:jc w:val="both"/>
      </w:pPr>
      <w:r w:rsidRPr="00CC1FC3">
        <w:rPr>
          <w:rStyle w:val="Strong"/>
          <w:rFonts w:eastAsiaTheme="majorEastAsia"/>
          <w:b w:val="0"/>
        </w:rPr>
        <w:t>At the macro level</w:t>
      </w:r>
      <w:r w:rsidRPr="00CC1FC3">
        <w:rPr>
          <w:b/>
          <w:bCs/>
        </w:rPr>
        <w:t>,</w:t>
      </w:r>
      <w:r w:rsidRPr="00CC1FC3">
        <w:t xml:space="preserve"> the quantitative component, which analyses global governance indicators, institutional quality, and development indices, operates primarily from a </w:t>
      </w:r>
      <w:r w:rsidRPr="00CC1FC3">
        <w:rPr>
          <w:rStyle w:val="Strong"/>
          <w:rFonts w:eastAsiaTheme="majorEastAsia"/>
          <w:b w:val="0"/>
        </w:rPr>
        <w:t>functionalist perspective</w:t>
      </w:r>
      <w:r w:rsidRPr="00CC1FC3">
        <w:rPr>
          <w:b/>
          <w:bCs/>
        </w:rPr>
        <w:t>.</w:t>
      </w:r>
      <w:r w:rsidRPr="00CC1FC3">
        <w:t xml:space="preserve"> It conceptualises the institutional environment as an objective structure of coercive and normative pressures that shape corporate behaviour across jurisdictions. This level seeks to model systematic patterns of institutional isomorphism and regulatory influence using measurable, empirical data derived from cross-country and global datasets.</w:t>
      </w:r>
    </w:p>
    <w:p w14:paraId="236C3E17" w14:textId="77777777" w:rsidR="00736F61" w:rsidRPr="00CC1FC3" w:rsidRDefault="00736F61" w:rsidP="00736F61">
      <w:pPr>
        <w:pStyle w:val="NormalWeb"/>
        <w:numPr>
          <w:ilvl w:val="0"/>
          <w:numId w:val="13"/>
        </w:numPr>
        <w:tabs>
          <w:tab w:val="clear" w:pos="720"/>
          <w:tab w:val="num" w:pos="284"/>
        </w:tabs>
        <w:spacing w:before="0" w:beforeAutospacing="0" w:after="0" w:afterAutospacing="0" w:line="480" w:lineRule="auto"/>
        <w:ind w:left="284" w:hanging="284"/>
        <w:jc w:val="both"/>
      </w:pPr>
      <w:r w:rsidRPr="00CC1FC3">
        <w:t>At the meso</w:t>
      </w:r>
      <w:r>
        <w:t>-</w:t>
      </w:r>
      <w:r w:rsidRPr="00CC1FC3">
        <w:t xml:space="preserve">level, examining firm-level SGIs and corporate disclosure practices bridges macro-institutional dynamics and micro realities. This level draws on both functionalist and interpretivist assumptions, viewing corporate governance structures as formal responses to </w:t>
      </w:r>
      <w:r w:rsidRPr="00CC1FC3">
        <w:lastRenderedPageBreak/>
        <w:t>institutional pressures while recognising the symbolic, communicative, and legitimating dimensions of disclosure practices. It is here that institutional theory’s central mechanisms—coercive, normative, and mimetic pressures—are most visibly enacted within organisational decision-making.</w:t>
      </w:r>
    </w:p>
    <w:p w14:paraId="0A96BB1F" w14:textId="77777777" w:rsidR="00736F61" w:rsidRPr="00CC1FC3" w:rsidRDefault="00736F61" w:rsidP="00736F61">
      <w:pPr>
        <w:pStyle w:val="NormalWeb"/>
        <w:numPr>
          <w:ilvl w:val="0"/>
          <w:numId w:val="13"/>
        </w:numPr>
        <w:tabs>
          <w:tab w:val="clear" w:pos="720"/>
          <w:tab w:val="num" w:pos="284"/>
        </w:tabs>
        <w:spacing w:before="0" w:beforeAutospacing="0" w:after="0" w:afterAutospacing="0" w:line="480" w:lineRule="auto"/>
        <w:ind w:left="284" w:hanging="284"/>
        <w:jc w:val="both"/>
      </w:pPr>
      <w:r w:rsidRPr="00CC1FC3">
        <w:rPr>
          <w:rStyle w:val="Strong"/>
          <w:rFonts w:eastAsiaTheme="majorEastAsia"/>
          <w:b w:val="0"/>
        </w:rPr>
        <w:t>At the micro level</w:t>
      </w:r>
      <w:r w:rsidRPr="00CC1FC3">
        <w:rPr>
          <w:b/>
          <w:bCs/>
        </w:rPr>
        <w:t>,</w:t>
      </w:r>
      <w:r w:rsidRPr="00CC1FC3">
        <w:t xml:space="preserve"> the qualitative component, based on </w:t>
      </w:r>
      <w:r w:rsidRPr="008E024A">
        <w:rPr>
          <w:rFonts w:eastAsia="Palatino Linotype"/>
          <w:color w:val="EE0000"/>
        </w:rPr>
        <w:t xml:space="preserve">semi-structured </w:t>
      </w:r>
      <w:r w:rsidRPr="00CC1FC3">
        <w:t xml:space="preserve">interviews and </w:t>
      </w:r>
      <w:r>
        <w:t xml:space="preserve">questionnaire </w:t>
      </w:r>
      <w:r w:rsidRPr="00CC1FC3">
        <w:t xml:space="preserve">data from Sri Lanka’s A&amp;TI, is grounded in an </w:t>
      </w:r>
      <w:r w:rsidRPr="00CC1FC3">
        <w:rPr>
          <w:rStyle w:val="Strong"/>
          <w:rFonts w:eastAsiaTheme="majorEastAsia"/>
          <w:b w:val="0"/>
        </w:rPr>
        <w:t>interpretivist orientation</w:t>
      </w:r>
      <w:r w:rsidRPr="00CC1FC3">
        <w:t>. It focuses on understanding the lived experiences, meanings, and practices of workers and managers, thereby exposing how formal governance structures translate into everyday realities of compliance, resistance, and exploitation. This level serves as the empirical site where institutional decoupling becomes observable and humanly experienced.</w:t>
      </w:r>
    </w:p>
    <w:p w14:paraId="539541AB" w14:textId="77777777" w:rsidR="00736F61" w:rsidRPr="00CC1FC3" w:rsidRDefault="00736F61" w:rsidP="00736F61">
      <w:pPr>
        <w:pStyle w:val="NormalWeb"/>
        <w:spacing w:before="0" w:beforeAutospacing="0" w:after="0" w:afterAutospacing="0" w:line="480" w:lineRule="auto"/>
        <w:ind w:firstLine="284"/>
        <w:jc w:val="both"/>
      </w:pPr>
      <w:r w:rsidRPr="00CC1FC3">
        <w:t xml:space="preserve">Pragmatism, as the overarching paradigm, does not merely combine these components; it also provides a </w:t>
      </w:r>
      <w:r w:rsidRPr="00CC1FC3">
        <w:rPr>
          <w:rStyle w:val="Strong"/>
          <w:rFonts w:eastAsiaTheme="majorEastAsia"/>
          <w:b w:val="0"/>
        </w:rPr>
        <w:t>coherent philosophical foundation</w:t>
      </w:r>
      <w:r w:rsidRPr="00CC1FC3">
        <w:t xml:space="preserve"> for their integration. It acknowledges that knowledge is both </w:t>
      </w:r>
      <w:r w:rsidRPr="00CC1FC3">
        <w:rPr>
          <w:rStyle w:val="Strong"/>
          <w:rFonts w:eastAsiaTheme="majorEastAsia"/>
          <w:b w:val="0"/>
        </w:rPr>
        <w:t>constructed and grounded in observable reality</w:t>
      </w:r>
      <w:r w:rsidRPr="00CC1FC3">
        <w:t xml:space="preserve">, allowing this research to move fluidly between quantitative generalisation and qualitative depth. By aligning objectivist (functionalist) and subjectivist (interpretivist) traditions through a pragmatic stance, this study offers a </w:t>
      </w:r>
      <w:r w:rsidRPr="00CC1FC3">
        <w:rPr>
          <w:rStyle w:val="Strong"/>
          <w:rFonts w:eastAsiaTheme="majorEastAsia"/>
          <w:b w:val="0"/>
        </w:rPr>
        <w:t>holistic and multi-level understanding</w:t>
      </w:r>
      <w:r w:rsidRPr="00CC1FC3">
        <w:t xml:space="preserve"> of CMS—one that reveals how institutional pressures, corporate governance responses, and worker experiences interact to sustain or challenge MS within global supply chains.</w:t>
      </w:r>
    </w:p>
    <w:p w14:paraId="200519CF" w14:textId="77777777" w:rsidR="00736F61" w:rsidRPr="00CC1FC3" w:rsidRDefault="00736F61" w:rsidP="00736F61">
      <w:pPr>
        <w:pStyle w:val="NormalWeb"/>
        <w:spacing w:before="0" w:beforeAutospacing="0" w:after="0" w:afterAutospacing="0" w:line="480" w:lineRule="auto"/>
        <w:jc w:val="both"/>
      </w:pPr>
      <w:r w:rsidRPr="00CC1FC3">
        <w:rPr>
          <w:noProof/>
          <w:color w:val="0F1115"/>
        </w:rPr>
        <mc:AlternateContent>
          <mc:Choice Requires="wps">
            <w:drawing>
              <wp:anchor distT="0" distB="0" distL="114300" distR="114300" simplePos="0" relativeHeight="251693056" behindDoc="0" locked="0" layoutInCell="1" allowOverlap="1" wp14:anchorId="39796801" wp14:editId="0197CA4E">
                <wp:simplePos x="0" y="0"/>
                <wp:positionH relativeFrom="column">
                  <wp:posOffset>190305</wp:posOffset>
                </wp:positionH>
                <wp:positionV relativeFrom="paragraph">
                  <wp:posOffset>51239</wp:posOffset>
                </wp:positionV>
                <wp:extent cx="5503028" cy="271167"/>
                <wp:effectExtent l="0" t="0" r="21590" b="14605"/>
                <wp:wrapNone/>
                <wp:docPr id="1995881647" name="Rectangle 5"/>
                <wp:cNvGraphicFramePr/>
                <a:graphic xmlns:a="http://schemas.openxmlformats.org/drawingml/2006/main">
                  <a:graphicData uri="http://schemas.microsoft.com/office/word/2010/wordprocessingShape">
                    <wps:wsp>
                      <wps:cNvSpPr/>
                      <wps:spPr>
                        <a:xfrm>
                          <a:off x="0" y="0"/>
                          <a:ext cx="5503028" cy="271167"/>
                        </a:xfrm>
                        <a:prstGeom prst="rect">
                          <a:avLst/>
                        </a:prstGeom>
                        <a:gradFill flip="none" rotWithShape="1">
                          <a:gsLst>
                            <a:gs pos="11000">
                              <a:srgbClr val="FFFF00"/>
                            </a:gs>
                            <a:gs pos="83000">
                              <a:srgbClr val="F5F5F5">
                                <a:shade val="67500"/>
                                <a:satMod val="115000"/>
                              </a:srgbClr>
                            </a:gs>
                            <a:gs pos="100000">
                              <a:srgbClr val="F5F5F5">
                                <a:shade val="100000"/>
                                <a:satMod val="115000"/>
                              </a:srgbClr>
                            </a:gs>
                          </a:gsLst>
                          <a:path path="circle">
                            <a:fillToRect l="100000" t="100000"/>
                          </a:path>
                          <a:tileRect r="-100000" b="-100000"/>
                        </a:gra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02B93A1D" w14:textId="77777777" w:rsidR="00736F61" w:rsidRPr="00A17E69" w:rsidRDefault="00736F61" w:rsidP="00736F61">
                            <w:pPr>
                              <w:jc w:val="center"/>
                              <w:rPr>
                                <w:color w:val="000000" w:themeColor="text1"/>
                                <w:kern w:val="24"/>
                              </w:rPr>
                            </w:pPr>
                            <w:r w:rsidRPr="00A17E69">
                              <w:rPr>
                                <w:color w:val="000000" w:themeColor="text1"/>
                                <w:kern w:val="24"/>
                              </w:rPr>
                              <w:t>Neo-institutional theory</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9796801" id="Rectangle 5" o:spid="_x0000_s1026" style="position:absolute;left:0;text-align:left;margin-left:15pt;margin-top:4.05pt;width:433.3pt;height:21.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" fillcolor="yellow" strokeweight="1pt">
                <v:fill color2="#f5f5f5" rotate="t" focusposition="1,1" focussize="" colors="0 yellow;7209f yellow;54395f #cecece" focus="100%" type="gradientRadial"/>
                <v:textbox>
                  <w:txbxContent>
                    <w:p w14:paraId="02B93A1D" w14:textId="77777777" w:rsidR="00736F61" w:rsidRPr="00A17E69" w:rsidRDefault="00736F61" w:rsidP="00736F61">
                      <w:pPr>
                        <w:jc w:val="center"/>
                        <w:rPr>
                          <w:color w:val="000000" w:themeColor="text1"/>
                          <w:kern w:val="24"/>
                        </w:rPr>
                      </w:pPr>
                      <w:r w:rsidRPr="00A17E69">
                        <w:rPr>
                          <w:color w:val="000000" w:themeColor="text1"/>
                          <w:kern w:val="24"/>
                        </w:rPr>
                        <w:t>Neo-institutional theory</w:t>
                      </w:r>
                    </w:p>
                  </w:txbxContent>
                </v:textbox>
              </v:rect>
            </w:pict>
          </mc:Fallback>
        </mc:AlternateContent>
      </w:r>
    </w:p>
    <w:p w14:paraId="7EBBE81F" w14:textId="77777777" w:rsidR="00736F61" w:rsidRPr="00CC1FC3" w:rsidRDefault="00736F61" w:rsidP="00736F61">
      <w:pPr>
        <w:spacing w:after="0" w:line="480" w:lineRule="auto"/>
        <w:rPr>
          <w:color w:val="0F1115"/>
        </w:rPr>
      </w:pPr>
      <w:r w:rsidRPr="00CC1FC3">
        <w:rPr>
          <w:noProof/>
          <w:color w:val="0F1115"/>
        </w:rPr>
        <mc:AlternateContent>
          <mc:Choice Requires="wps">
            <w:drawing>
              <wp:anchor distT="0" distB="0" distL="114300" distR="114300" simplePos="0" relativeHeight="251692032" behindDoc="0" locked="0" layoutInCell="1" allowOverlap="1" wp14:anchorId="3738C0F1" wp14:editId="174EB6A5">
                <wp:simplePos x="0" y="0"/>
                <wp:positionH relativeFrom="column">
                  <wp:posOffset>3084830</wp:posOffset>
                </wp:positionH>
                <wp:positionV relativeFrom="paragraph">
                  <wp:posOffset>67025</wp:posOffset>
                </wp:positionV>
                <wp:extent cx="2702560" cy="448945"/>
                <wp:effectExtent l="0" t="0" r="21590" b="27305"/>
                <wp:wrapNone/>
                <wp:docPr id="10" name="TextBox 9">
                  <a:extLst xmlns:a="http://schemas.openxmlformats.org/drawingml/2006/main">
                    <a:ext uri="{FF2B5EF4-FFF2-40B4-BE49-F238E27FC236}">
                      <a16:creationId xmlns:a16="http://schemas.microsoft.com/office/drawing/2014/main" id="{A39BF6A4-9C76-CF03-EE97-70DDFDE164C7}"/>
                    </a:ext>
                  </a:extLst>
                </wp:docPr>
                <wp:cNvGraphicFramePr/>
                <a:graphic xmlns:a="http://schemas.openxmlformats.org/drawingml/2006/main">
                  <a:graphicData uri="http://schemas.microsoft.com/office/word/2010/wordprocessingShape">
                    <wps:wsp>
                      <wps:cNvSpPr txBox="1"/>
                      <wps:spPr>
                        <a:xfrm>
                          <a:off x="0" y="0"/>
                          <a:ext cx="2702560" cy="448945"/>
                        </a:xfrm>
                        <a:prstGeom prst="rect">
                          <a:avLst/>
                        </a:prstGeom>
                        <a:gradFill flip="none" rotWithShape="1">
                          <a:gsLst>
                            <a:gs pos="0">
                              <a:schemeClr val="accent4">
                                <a:lumMod val="5000"/>
                                <a:lumOff val="95000"/>
                              </a:schemeClr>
                            </a:gs>
                            <a:gs pos="49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a:ln/>
                      </wps:spPr>
                      <wps:style>
                        <a:lnRef idx="1">
                          <a:schemeClr val="accent4"/>
                        </a:lnRef>
                        <a:fillRef idx="2">
                          <a:schemeClr val="accent4"/>
                        </a:fillRef>
                        <a:effectRef idx="1">
                          <a:schemeClr val="accent4"/>
                        </a:effectRef>
                        <a:fontRef idx="minor">
                          <a:schemeClr val="dk1"/>
                        </a:fontRef>
                      </wps:style>
                      <wps:txbx>
                        <w:txbxContent>
                          <w:p w14:paraId="213BAB49" w14:textId="77777777" w:rsidR="00736F61" w:rsidRPr="00206464" w:rsidRDefault="00736F61" w:rsidP="00736F61">
                            <w:pPr>
                              <w:spacing w:after="0" w:line="240" w:lineRule="auto"/>
                              <w:rPr>
                                <w:b/>
                                <w:bCs/>
                                <w:color w:val="000000" w:themeColor="text1"/>
                                <w:kern w:val="24"/>
                              </w:rPr>
                            </w:pPr>
                            <w:r w:rsidRPr="00206464">
                              <w:rPr>
                                <w:b/>
                                <w:bCs/>
                                <w:color w:val="000000" w:themeColor="text1"/>
                                <w:kern w:val="24"/>
                              </w:rPr>
                              <w:t>Coercive and normative pressures</w:t>
                            </w:r>
                          </w:p>
                          <w:p w14:paraId="0926C3AC" w14:textId="77777777" w:rsidR="00736F61" w:rsidRPr="00206464" w:rsidRDefault="00736F61" w:rsidP="00736F61">
                            <w:pPr>
                              <w:spacing w:after="0" w:line="240" w:lineRule="auto"/>
                              <w:rPr>
                                <w:b/>
                                <w:bCs/>
                                <w:color w:val="000000" w:themeColor="text1"/>
                                <w:kern w:val="24"/>
                                <w14:textFill>
                                  <w14:solidFill>
                                    <w14:schemeClr w14:val="tx1">
                                      <w14:alpha w14:val="29000"/>
                                    </w14:schemeClr>
                                  </w14:solidFill>
                                </w14:textFill>
                              </w:rPr>
                            </w:pPr>
                            <w:r w:rsidRPr="00206464">
                              <w:rPr>
                                <w:b/>
                                <w:bCs/>
                                <w:color w:val="000000" w:themeColor="text1"/>
                                <w:kern w:val="24"/>
                              </w:rPr>
                              <w:t xml:space="preserve"> Functionalist perspective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3738C0F1" id="_x0000_t202" coordsize="21600,21600" o:spt="202" path="m,l,21600r21600,l21600,xe">
                <v:stroke joinstyle="miter"/>
                <v:path gradientshapeok="t" o:connecttype="rect"/>
              </v:shapetype>
              <v:shape id="TextBox 9" o:spid="_x0000_s1027" type="#_x0000_t202" style="position:absolute;margin-left:242.9pt;margin-top:5.3pt;width:212.8pt;height:35.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" fillcolor="#f2fafe [183]" strokecolor="#0f9ed5 [3207]" strokeweight="1pt">
                <v:fill color2="#b0e5f9 [983]" rotate="t" colors="0 #f2fbfe;32113f #88d8f7;54395f #88d8f7;1 #b0e5f9" focus="100%" type="gradient"/>
                <v:textbox>
                  <w:txbxContent>
                    <w:p w14:paraId="213BAB49" w14:textId="77777777" w:rsidR="00736F61" w:rsidRPr="00206464" w:rsidRDefault="00736F61" w:rsidP="00736F61">
                      <w:pPr>
                        <w:spacing w:after="0" w:line="240" w:lineRule="auto"/>
                        <w:rPr>
                          <w:b/>
                          <w:bCs/>
                          <w:color w:val="000000" w:themeColor="text1"/>
                          <w:kern w:val="24"/>
                        </w:rPr>
                      </w:pPr>
                      <w:r w:rsidRPr="00206464">
                        <w:rPr>
                          <w:b/>
                          <w:bCs/>
                          <w:color w:val="000000" w:themeColor="text1"/>
                          <w:kern w:val="24"/>
                        </w:rPr>
                        <w:t>Coercive and normative pressures</w:t>
                      </w:r>
                    </w:p>
                    <w:p w14:paraId="0926C3AC" w14:textId="77777777" w:rsidR="00736F61" w:rsidRPr="00206464" w:rsidRDefault="00736F61" w:rsidP="00736F61">
                      <w:pPr>
                        <w:spacing w:after="0" w:line="240" w:lineRule="auto"/>
                        <w:rPr>
                          <w:b/>
                          <w:bCs/>
                          <w:color w:val="000000" w:themeColor="text1"/>
                          <w:kern w:val="24"/>
                          <w14:textFill>
                            <w14:solidFill>
                              <w14:schemeClr w14:val="tx1">
                                <w14:alpha w14:val="29000"/>
                              </w14:schemeClr>
                            </w14:solidFill>
                          </w14:textFill>
                        </w:rPr>
                      </w:pPr>
                      <w:r w:rsidRPr="00206464">
                        <w:rPr>
                          <w:b/>
                          <w:bCs/>
                          <w:color w:val="000000" w:themeColor="text1"/>
                          <w:kern w:val="24"/>
                        </w:rPr>
                        <w:t xml:space="preserve"> Functionalist perspective</w:t>
                      </w:r>
                    </w:p>
                  </w:txbxContent>
                </v:textbox>
              </v:shape>
            </w:pict>
          </mc:Fallback>
        </mc:AlternateContent>
      </w:r>
      <w:r w:rsidRPr="00CC1FC3">
        <w:rPr>
          <w:noProof/>
          <w:color w:val="0F1115"/>
        </w:rPr>
        <mc:AlternateContent>
          <mc:Choice Requires="wps">
            <w:drawing>
              <wp:anchor distT="0" distB="0" distL="114300" distR="114300" simplePos="0" relativeHeight="251684864" behindDoc="0" locked="0" layoutInCell="1" allowOverlap="1" wp14:anchorId="41C195C2" wp14:editId="3A9B07B2">
                <wp:simplePos x="0" y="0"/>
                <wp:positionH relativeFrom="column">
                  <wp:posOffset>756526</wp:posOffset>
                </wp:positionH>
                <wp:positionV relativeFrom="paragraph">
                  <wp:posOffset>64836</wp:posOffset>
                </wp:positionV>
                <wp:extent cx="5033010" cy="725214"/>
                <wp:effectExtent l="0" t="0" r="15240" b="17780"/>
                <wp:wrapNone/>
                <wp:docPr id="715454775" name="Rectangle 2"/>
                <wp:cNvGraphicFramePr/>
                <a:graphic xmlns:a="http://schemas.openxmlformats.org/drawingml/2006/main">
                  <a:graphicData uri="http://schemas.microsoft.com/office/word/2010/wordprocessingShape">
                    <wps:wsp>
                      <wps:cNvSpPr/>
                      <wps:spPr>
                        <a:xfrm>
                          <a:off x="0" y="0"/>
                          <a:ext cx="5033010" cy="725214"/>
                        </a:xfrm>
                        <a:prstGeom prst="rect">
                          <a:avLst/>
                        </a:prstGeom>
                        <a:gradFill>
                          <a:gsLst>
                            <a:gs pos="100000">
                              <a:schemeClr val="tx2">
                                <a:lumMod val="90000"/>
                                <a:lumOff val="10000"/>
                              </a:schemeClr>
                            </a:gs>
                            <a:gs pos="33000">
                              <a:schemeClr val="accent4">
                                <a:lumMod val="105000"/>
                                <a:satMod val="103000"/>
                                <a:tint val="73000"/>
                              </a:schemeClr>
                            </a:gs>
                            <a:gs pos="84000">
                              <a:schemeClr val="accent4">
                                <a:lumMod val="105000"/>
                                <a:satMod val="109000"/>
                                <a:tint val="81000"/>
                              </a:schemeClr>
                            </a:gs>
                          </a:gsLst>
                        </a:gradFill>
                        <a:ln/>
                      </wps:spPr>
                      <wps:style>
                        <a:lnRef idx="1">
                          <a:schemeClr val="accent4"/>
                        </a:lnRef>
                        <a:fillRef idx="2">
                          <a:schemeClr val="accent4"/>
                        </a:fillRef>
                        <a:effectRef idx="1">
                          <a:schemeClr val="accent4"/>
                        </a:effectRef>
                        <a:fontRef idx="minor">
                          <a:schemeClr val="dk1"/>
                        </a:fontRef>
                      </wps:style>
                      <wps:txbx>
                        <w:txbxContent>
                          <w:p w14:paraId="7AF4A31A" w14:textId="77777777" w:rsidR="00736F61" w:rsidRPr="00F27AE1" w:rsidRDefault="00736F61" w:rsidP="00736F61">
                            <w:pPr>
                              <w:spacing w:line="240" w:lineRule="auto"/>
                              <w:rPr>
                                <w:b/>
                                <w:bCs/>
                                <w:color w:val="000000" w:themeColor="text1"/>
                                <w:kern w:val="24"/>
                              </w:rPr>
                            </w:pPr>
                            <w:r w:rsidRPr="00F27AE1">
                              <w:rPr>
                                <w:b/>
                                <w:bCs/>
                                <w:color w:val="000000" w:themeColor="text1"/>
                                <w:kern w:val="24"/>
                              </w:rPr>
                              <w:t>Macro level:</w:t>
                            </w:r>
                          </w:p>
                          <w:p w14:paraId="16221469" w14:textId="77777777" w:rsidR="00736F61" w:rsidRPr="00F27AE1" w:rsidRDefault="00736F61" w:rsidP="00736F61">
                            <w:pPr>
                              <w:spacing w:after="0" w:line="240" w:lineRule="auto"/>
                              <w:rPr>
                                <w:color w:val="000000" w:themeColor="text1"/>
                                <w:kern w:val="24"/>
                              </w:rPr>
                            </w:pPr>
                            <w:r w:rsidRPr="00F27AE1">
                              <w:rPr>
                                <w:color w:val="000000" w:themeColor="text1"/>
                                <w:kern w:val="24"/>
                              </w:rPr>
                              <w:t>Institutional environment</w:t>
                            </w:r>
                            <w:r>
                              <w:rPr>
                                <w:color w:val="000000" w:themeColor="text1"/>
                                <w:kern w:val="24"/>
                              </w:rPr>
                              <w:t xml:space="preserve"> quality</w:t>
                            </w:r>
                          </w:p>
                          <w:p w14:paraId="3475AC47" w14:textId="77777777" w:rsidR="00736F61" w:rsidRPr="00F27AE1" w:rsidRDefault="00736F61" w:rsidP="00736F61">
                            <w:pPr>
                              <w:spacing w:after="0" w:line="240" w:lineRule="auto"/>
                              <w:rPr>
                                <w:color w:val="000000" w:themeColor="text1"/>
                                <w:kern w:val="24"/>
                              </w:rPr>
                            </w:pPr>
                            <w:r>
                              <w:rPr>
                                <w:color w:val="000000" w:themeColor="text1"/>
                                <w:kern w:val="24"/>
                              </w:rPr>
                              <w:t xml:space="preserve">Human development and </w:t>
                            </w:r>
                            <w:r w:rsidRPr="00F27AE1">
                              <w:rPr>
                                <w:color w:val="000000" w:themeColor="text1"/>
                                <w:kern w:val="24"/>
                              </w:rPr>
                              <w:t>UN</w:t>
                            </w:r>
                            <w:r>
                              <w:rPr>
                                <w:color w:val="000000" w:themeColor="text1"/>
                                <w:kern w:val="24"/>
                              </w:rPr>
                              <w:t>- SDGs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1C195C2" id="Rectangle 2" o:spid="_x0000_s1028" style="position:absolute;margin-left:59.55pt;margin-top:5.1pt;width:396.3pt;height:57.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" fillcolor="#3ebff1 [2359]" strokecolor="#0f9ed5 [3207]" strokeweight="1pt">
                <v:fill color2="#153e64 [2911]" rotate="t" colors="0 #8fc4eb;21627f #8fc4eb;55050f #79beed" focus="100%" type="gradient">
                  <o:fill v:ext="view" type="gradientUnscaled"/>
                </v:fill>
                <v:textbox>
                  <w:txbxContent>
                    <w:p w14:paraId="7AF4A31A" w14:textId="77777777" w:rsidR="00736F61" w:rsidRPr="00F27AE1" w:rsidRDefault="00736F61" w:rsidP="00736F61">
                      <w:pPr>
                        <w:spacing w:line="240" w:lineRule="auto"/>
                        <w:rPr>
                          <w:b/>
                          <w:bCs/>
                          <w:color w:val="000000" w:themeColor="text1"/>
                          <w:kern w:val="24"/>
                        </w:rPr>
                      </w:pPr>
                      <w:r w:rsidRPr="00F27AE1">
                        <w:rPr>
                          <w:b/>
                          <w:bCs/>
                          <w:color w:val="000000" w:themeColor="text1"/>
                          <w:kern w:val="24"/>
                        </w:rPr>
                        <w:t>Macro level:</w:t>
                      </w:r>
                    </w:p>
                    <w:p w14:paraId="16221469" w14:textId="77777777" w:rsidR="00736F61" w:rsidRPr="00F27AE1" w:rsidRDefault="00736F61" w:rsidP="00736F61">
                      <w:pPr>
                        <w:spacing w:after="0" w:line="240" w:lineRule="auto"/>
                        <w:rPr>
                          <w:color w:val="000000" w:themeColor="text1"/>
                          <w:kern w:val="24"/>
                        </w:rPr>
                      </w:pPr>
                      <w:r w:rsidRPr="00F27AE1">
                        <w:rPr>
                          <w:color w:val="000000" w:themeColor="text1"/>
                          <w:kern w:val="24"/>
                        </w:rPr>
                        <w:t>Institutional environment</w:t>
                      </w:r>
                      <w:r>
                        <w:rPr>
                          <w:color w:val="000000" w:themeColor="text1"/>
                          <w:kern w:val="24"/>
                        </w:rPr>
                        <w:t xml:space="preserve"> quality</w:t>
                      </w:r>
                    </w:p>
                    <w:p w14:paraId="3475AC47" w14:textId="77777777" w:rsidR="00736F61" w:rsidRPr="00F27AE1" w:rsidRDefault="00736F61" w:rsidP="00736F61">
                      <w:pPr>
                        <w:spacing w:after="0" w:line="240" w:lineRule="auto"/>
                        <w:rPr>
                          <w:color w:val="000000" w:themeColor="text1"/>
                          <w:kern w:val="24"/>
                        </w:rPr>
                      </w:pPr>
                      <w:r>
                        <w:rPr>
                          <w:color w:val="000000" w:themeColor="text1"/>
                          <w:kern w:val="24"/>
                        </w:rPr>
                        <w:t xml:space="preserve">Human development and </w:t>
                      </w:r>
                      <w:r w:rsidRPr="00F27AE1">
                        <w:rPr>
                          <w:color w:val="000000" w:themeColor="text1"/>
                          <w:kern w:val="24"/>
                        </w:rPr>
                        <w:t>UN</w:t>
                      </w:r>
                      <w:r>
                        <w:rPr>
                          <w:color w:val="000000" w:themeColor="text1"/>
                          <w:kern w:val="24"/>
                        </w:rPr>
                        <w:t>- SDGs</w:t>
                      </w:r>
                    </w:p>
                  </w:txbxContent>
                </v:textbox>
              </v:rect>
            </w:pict>
          </mc:Fallback>
        </mc:AlternateContent>
      </w:r>
      <w:r w:rsidRPr="00CC1FC3">
        <w:rPr>
          <w:noProof/>
          <w:color w:val="0F1115"/>
        </w:rPr>
        <mc:AlternateContent>
          <mc:Choice Requires="wps">
            <w:drawing>
              <wp:anchor distT="0" distB="0" distL="114300" distR="114300" simplePos="0" relativeHeight="251694080" behindDoc="0" locked="0" layoutInCell="1" allowOverlap="1" wp14:anchorId="688317CB" wp14:editId="0834C8AD">
                <wp:simplePos x="0" y="0"/>
                <wp:positionH relativeFrom="column">
                  <wp:posOffset>356869</wp:posOffset>
                </wp:positionH>
                <wp:positionV relativeFrom="paragraph">
                  <wp:posOffset>275507</wp:posOffset>
                </wp:positionV>
                <wp:extent cx="360854" cy="0"/>
                <wp:effectExtent l="0" t="0" r="0" b="0"/>
                <wp:wrapNone/>
                <wp:docPr id="920838066" name="Straight Connector 1"/>
                <wp:cNvGraphicFramePr/>
                <a:graphic xmlns:a="http://schemas.openxmlformats.org/drawingml/2006/main">
                  <a:graphicData uri="http://schemas.microsoft.com/office/word/2010/wordprocessingShape">
                    <wps:wsp>
                      <wps:cNvCnPr/>
                      <wps:spPr>
                        <a:xfrm>
                          <a:off x="0" y="0"/>
                          <a:ext cx="360854"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2380A8F8" id="Straight Connector 1" o:spid="_x0000_s1026" style="position:absolute;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1pt,21.7pt" to="56.5pt,2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" strokecolor="#156082 [3204]" strokeweight="1.5pt">
                <v:stroke dashstyle="dash"/>
              </v:line>
            </w:pict>
          </mc:Fallback>
        </mc:AlternateContent>
      </w:r>
    </w:p>
    <w:p w14:paraId="09C4E9DF"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p>
    <w:p w14:paraId="624CC62F"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mc:AlternateContent>
          <mc:Choice Requires="wps">
            <w:drawing>
              <wp:anchor distT="0" distB="0" distL="114300" distR="114300" simplePos="0" relativeHeight="251698176" behindDoc="0" locked="0" layoutInCell="1" allowOverlap="1" wp14:anchorId="6C0346F9" wp14:editId="54C6AC27">
                <wp:simplePos x="0" y="0"/>
                <wp:positionH relativeFrom="column">
                  <wp:posOffset>1979930</wp:posOffset>
                </wp:positionH>
                <wp:positionV relativeFrom="paragraph">
                  <wp:posOffset>152832</wp:posOffset>
                </wp:positionV>
                <wp:extent cx="0" cy="312924"/>
                <wp:effectExtent l="95250" t="38100" r="76200" b="49530"/>
                <wp:wrapNone/>
                <wp:docPr id="544973949" name="Straight Arrow Connector 10"/>
                <wp:cNvGraphicFramePr/>
                <a:graphic xmlns:a="http://schemas.openxmlformats.org/drawingml/2006/main">
                  <a:graphicData uri="http://schemas.microsoft.com/office/word/2010/wordprocessingShape">
                    <wps:wsp>
                      <wps:cNvCnPr/>
                      <wps:spPr>
                        <a:xfrm>
                          <a:off x="0" y="0"/>
                          <a:ext cx="0" cy="312924"/>
                        </a:xfrm>
                        <a:prstGeom prst="straightConnector1">
                          <a:avLst/>
                        </a:prstGeom>
                        <a:ln w="19050" cap="flat" cmpd="sng" algn="ctr">
                          <a:solidFill>
                            <a:schemeClr val="accent4"/>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12F9C43A" id="_x0000_t32" coordsize="21600,21600" o:spt="32" o:oned="t" path="m,l21600,21600e" filled="f">
                <v:path arrowok="t" fillok="f" o:connecttype="none"/>
                <o:lock v:ext="edit" shapetype="t"/>
              </v:shapetype>
              <v:shape id="Straight Arrow Connector 10" o:spid="_x0000_s1026" type="#_x0000_t32" style="position:absolute;margin-left:155.9pt;margin-top:12.05pt;width:0;height:24.6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" strokecolor="#0f9ed5 [3207]" strokeweight="1.5pt">
                <v:stroke startarrow="open" endarrow="open"/>
              </v:shape>
            </w:pict>
          </mc:Fallback>
        </mc:AlternateContent>
      </w:r>
    </w:p>
    <w:p w14:paraId="365BDF6D"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mc:AlternateContent>
          <mc:Choice Requires="wps">
            <w:drawing>
              <wp:anchor distT="0" distB="0" distL="114300" distR="114300" simplePos="0" relativeHeight="251688960" behindDoc="0" locked="0" layoutInCell="1" allowOverlap="1" wp14:anchorId="64C72B02" wp14:editId="47C9D992">
                <wp:simplePos x="0" y="0"/>
                <wp:positionH relativeFrom="column">
                  <wp:posOffset>-1217467</wp:posOffset>
                </wp:positionH>
                <wp:positionV relativeFrom="paragraph">
                  <wp:posOffset>372103</wp:posOffset>
                </wp:positionV>
                <wp:extent cx="2825102" cy="314325"/>
                <wp:effectExtent l="0" t="2223" r="11748" b="11747"/>
                <wp:wrapNone/>
                <wp:docPr id="454897329" name="Rectangle 6"/>
                <wp:cNvGraphicFramePr/>
                <a:graphic xmlns:a="http://schemas.openxmlformats.org/drawingml/2006/main">
                  <a:graphicData uri="http://schemas.microsoft.com/office/word/2010/wordprocessingShape">
                    <wps:wsp>
                      <wps:cNvSpPr/>
                      <wps:spPr>
                        <a:xfrm rot="16200000">
                          <a:off x="0" y="0"/>
                          <a:ext cx="2825102" cy="314325"/>
                        </a:xfrm>
                        <a:prstGeom prst="rect">
                          <a:avLst/>
                        </a:prstGeom>
                        <a:solidFill>
                          <a:srgbClr val="FFFFF0"/>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53876E6E" w14:textId="77777777" w:rsidR="00736F61" w:rsidRDefault="00736F61" w:rsidP="00736F61">
                            <w:pPr>
                              <w:jc w:val="center"/>
                              <w:rPr>
                                <w:b/>
                                <w:bCs/>
                                <w:color w:val="000000" w:themeColor="text1"/>
                                <w:kern w:val="24"/>
                                <w:sz w:val="28"/>
                                <w:szCs w:val="28"/>
                              </w:rPr>
                            </w:pPr>
                            <w:r>
                              <w:rPr>
                                <w:b/>
                                <w:bCs/>
                                <w:color w:val="000000" w:themeColor="text1"/>
                                <w:kern w:val="24"/>
                                <w:sz w:val="28"/>
                                <w:szCs w:val="28"/>
                              </w:rPr>
                              <w:t>Pragmatism</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4C72B02" id="Rectangle 6" o:spid="_x0000_s1029" style="position:absolute;left:0;text-align:left;margin-left:-95.85pt;margin-top:29.3pt;width:222.45pt;height:24.75pt;rotation:-9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" fillcolor="#fffff0" strokeweight="1pt">
                <v:textbox>
                  <w:txbxContent>
                    <w:p w14:paraId="53876E6E" w14:textId="77777777" w:rsidR="00736F61" w:rsidRDefault="00736F61" w:rsidP="00736F61">
                      <w:pPr>
                        <w:jc w:val="center"/>
                        <w:rPr>
                          <w:b/>
                          <w:bCs/>
                          <w:color w:val="000000" w:themeColor="text1"/>
                          <w:kern w:val="24"/>
                          <w:sz w:val="28"/>
                          <w:szCs w:val="28"/>
                        </w:rPr>
                      </w:pPr>
                      <w:r>
                        <w:rPr>
                          <w:b/>
                          <w:bCs/>
                          <w:color w:val="000000" w:themeColor="text1"/>
                          <w:kern w:val="24"/>
                          <w:sz w:val="28"/>
                          <w:szCs w:val="28"/>
                        </w:rPr>
                        <w:t>Pragmatism</w:t>
                      </w:r>
                    </w:p>
                  </w:txbxContent>
                </v:textbox>
              </v:rect>
            </w:pict>
          </mc:Fallback>
        </mc:AlternateContent>
      </w:r>
      <w:r w:rsidRPr="00CC1FC3">
        <w:rPr>
          <w:noProof/>
          <w:color w:val="0F1115"/>
        </w:rPr>
        <mc:AlternateContent>
          <mc:Choice Requires="wps">
            <w:drawing>
              <wp:anchor distT="0" distB="0" distL="114300" distR="114300" simplePos="0" relativeHeight="251685888" behindDoc="0" locked="0" layoutInCell="1" allowOverlap="1" wp14:anchorId="25AC9AD2" wp14:editId="69BC2987">
                <wp:simplePos x="0" y="0"/>
                <wp:positionH relativeFrom="column">
                  <wp:posOffset>712470</wp:posOffset>
                </wp:positionH>
                <wp:positionV relativeFrom="paragraph">
                  <wp:posOffset>129972</wp:posOffset>
                </wp:positionV>
                <wp:extent cx="5033010" cy="725170"/>
                <wp:effectExtent l="0" t="0" r="15240" b="17780"/>
                <wp:wrapNone/>
                <wp:docPr id="1953794553" name="Rectangle 3"/>
                <wp:cNvGraphicFramePr/>
                <a:graphic xmlns:a="http://schemas.openxmlformats.org/drawingml/2006/main">
                  <a:graphicData uri="http://schemas.microsoft.com/office/word/2010/wordprocessingShape">
                    <wps:wsp>
                      <wps:cNvSpPr/>
                      <wps:spPr>
                        <a:xfrm>
                          <a:off x="0" y="0"/>
                          <a:ext cx="5033010" cy="725170"/>
                        </a:xfrm>
                        <a:prstGeom prst="rect">
                          <a:avLst/>
                        </a:prstGeom>
                        <a:gradFill flip="none" rotWithShape="1">
                          <a:gsLst>
                            <a:gs pos="0">
                              <a:schemeClr val="accent5">
                                <a:lumMod val="40000"/>
                                <a:lumOff val="60000"/>
                              </a:schemeClr>
                            </a:gs>
                            <a:gs pos="50000">
                              <a:srgbClr val="E0F0FF">
                                <a:shade val="67500"/>
                                <a:satMod val="115000"/>
                              </a:srgbClr>
                            </a:gs>
                            <a:gs pos="100000">
                              <a:srgbClr val="E0F0FF">
                                <a:shade val="100000"/>
                                <a:satMod val="115000"/>
                              </a:srgbClr>
                            </a:gs>
                          </a:gsLst>
                          <a:lin ang="16200000" scaled="1"/>
                          <a:tileRect/>
                        </a:gra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717E7A58" w14:textId="77777777" w:rsidR="00736F61" w:rsidRPr="00C70F75" w:rsidRDefault="00736F61" w:rsidP="00736F61">
                            <w:pPr>
                              <w:spacing w:after="0" w:line="240" w:lineRule="auto"/>
                              <w:rPr>
                                <w:b/>
                                <w:bCs/>
                                <w:color w:val="000000" w:themeColor="text1"/>
                                <w:kern w:val="24"/>
                                <w14:textFill>
                                  <w14:solidFill>
                                    <w14:schemeClr w14:val="tx1">
                                      <w14:alpha w14:val="22000"/>
                                    </w14:schemeClr>
                                  </w14:solidFill>
                                </w14:textFill>
                              </w:rPr>
                            </w:pPr>
                            <w:r w:rsidRPr="00C70F75">
                              <w:rPr>
                                <w:b/>
                                <w:bCs/>
                                <w:color w:val="000000" w:themeColor="text1"/>
                                <w:kern w:val="24"/>
                                <w14:textFill>
                                  <w14:solidFill>
                                    <w14:schemeClr w14:val="tx1">
                                      <w14:alpha w14:val="22000"/>
                                    </w14:schemeClr>
                                  </w14:solidFill>
                                </w14:textFill>
                              </w:rPr>
                              <w:t>Meso</w:t>
                            </w:r>
                            <w:r>
                              <w:rPr>
                                <w:b/>
                                <w:bCs/>
                                <w:color w:val="000000" w:themeColor="text1"/>
                                <w:kern w:val="24"/>
                                <w14:textFill>
                                  <w14:solidFill>
                                    <w14:schemeClr w14:val="tx1">
                                      <w14:alpha w14:val="22000"/>
                                    </w14:schemeClr>
                                  </w14:solidFill>
                                </w14:textFill>
                              </w:rPr>
                              <w:t>-</w:t>
                            </w:r>
                            <w:r w:rsidRPr="00C70F75">
                              <w:rPr>
                                <w:b/>
                                <w:bCs/>
                                <w:color w:val="000000" w:themeColor="text1"/>
                                <w:kern w:val="24"/>
                                <w14:textFill>
                                  <w14:solidFill>
                                    <w14:schemeClr w14:val="tx1">
                                      <w14:alpha w14:val="22000"/>
                                    </w14:schemeClr>
                                  </w14:solidFill>
                                </w14:textFill>
                              </w:rPr>
                              <w:t>level:</w:t>
                            </w:r>
                          </w:p>
                          <w:p w14:paraId="1C286660" w14:textId="77777777" w:rsidR="00736F61" w:rsidRPr="00C70F75" w:rsidRDefault="00736F61" w:rsidP="00736F61">
                            <w:pPr>
                              <w:spacing w:after="0" w:line="240" w:lineRule="auto"/>
                              <w:rPr>
                                <w:color w:val="000000" w:themeColor="text1"/>
                                <w:kern w:val="24"/>
                                <w14:textFill>
                                  <w14:solidFill>
                                    <w14:schemeClr w14:val="tx1">
                                      <w14:alpha w14:val="22000"/>
                                    </w14:schemeClr>
                                  </w14:solidFill>
                                </w14:textFill>
                              </w:rPr>
                            </w:pPr>
                            <w:r w:rsidRPr="00C70F75">
                              <w:rPr>
                                <w:color w:val="000000" w:themeColor="text1"/>
                                <w:kern w:val="24"/>
                                <w14:textFill>
                                  <w14:solidFill>
                                    <w14:schemeClr w14:val="tx1">
                                      <w14:alpha w14:val="22000"/>
                                    </w14:schemeClr>
                                  </w14:solidFill>
                                </w14:textFill>
                              </w:rPr>
                              <w:t>Corporate governance</w:t>
                            </w:r>
                          </w:p>
                          <w:p w14:paraId="54EC33A3" w14:textId="77777777" w:rsidR="00736F61" w:rsidRPr="00C70F75" w:rsidRDefault="00736F61" w:rsidP="00736F61">
                            <w:pPr>
                              <w:spacing w:after="0" w:line="240" w:lineRule="auto"/>
                              <w:rPr>
                                <w:color w:val="000000" w:themeColor="text1"/>
                                <w:kern w:val="24"/>
                                <w:sz w:val="36"/>
                                <w:szCs w:val="36"/>
                                <w14:textFill>
                                  <w14:solidFill>
                                    <w14:schemeClr w14:val="tx1">
                                      <w14:alpha w14:val="22000"/>
                                    </w14:schemeClr>
                                  </w14:solidFill>
                                </w14:textFill>
                              </w:rPr>
                            </w:pPr>
                            <w:r w:rsidRPr="00C70F75">
                              <w:rPr>
                                <w:color w:val="000000" w:themeColor="text1"/>
                                <w:kern w:val="24"/>
                                <w14:textFill>
                                  <w14:solidFill>
                                    <w14:schemeClr w14:val="tx1">
                                      <w14:alpha w14:val="22000"/>
                                    </w14:schemeClr>
                                  </w14:solidFill>
                                </w14:textFill>
                              </w:rPr>
                              <w:t xml:space="preserve">Firm-level SGIs </w:t>
                            </w:r>
                            <w:r>
                              <w:rPr>
                                <w:color w:val="000000" w:themeColor="text1"/>
                                <w:kern w:val="24"/>
                                <w14:textFill>
                                  <w14:solidFill>
                                    <w14:schemeClr w14:val="tx1">
                                      <w14:alpha w14:val="22000"/>
                                    </w14:schemeClr>
                                  </w14:solidFill>
                                </w14:textFill>
                              </w:rPr>
                              <w:t xml:space="preserve">and </w:t>
                            </w:r>
                            <w:r w:rsidRPr="00C70F75">
                              <w:rPr>
                                <w:color w:val="000000" w:themeColor="text1"/>
                                <w:kern w:val="24"/>
                                <w14:textFill>
                                  <w14:solidFill>
                                    <w14:schemeClr w14:val="tx1">
                                      <w14:alpha w14:val="22000"/>
                                    </w14:schemeClr>
                                  </w14:solidFill>
                                </w14:textFill>
                              </w:rPr>
                              <w:t>disclosure practices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5AC9AD2" id="Rectangle 3" o:spid="_x0000_s1030" style="position:absolute;left:0;text-align:left;margin-left:56.1pt;margin-top:10.25pt;width:396.3pt;height:57.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" fillcolor="#e59edc [1304]" strokeweight="1pt">
                <v:fill color2="#def0ff" rotate="t" angle="180" colors="0 #e59edd;.5 #bacad8;1 #def0ff" focus="100%" type="gradient"/>
                <v:textbox>
                  <w:txbxContent>
                    <w:p w14:paraId="717E7A58" w14:textId="77777777" w:rsidR="00736F61" w:rsidRPr="00C70F75" w:rsidRDefault="00736F61" w:rsidP="00736F61">
                      <w:pPr>
                        <w:spacing w:after="0" w:line="240" w:lineRule="auto"/>
                        <w:rPr>
                          <w:b/>
                          <w:bCs/>
                          <w:color w:val="000000" w:themeColor="text1"/>
                          <w:kern w:val="24"/>
                          <w14:textFill>
                            <w14:solidFill>
                              <w14:schemeClr w14:val="tx1">
                                <w14:alpha w14:val="22000"/>
                              </w14:schemeClr>
                            </w14:solidFill>
                          </w14:textFill>
                        </w:rPr>
                      </w:pPr>
                      <w:r w:rsidRPr="00C70F75">
                        <w:rPr>
                          <w:b/>
                          <w:bCs/>
                          <w:color w:val="000000" w:themeColor="text1"/>
                          <w:kern w:val="24"/>
                          <w14:textFill>
                            <w14:solidFill>
                              <w14:schemeClr w14:val="tx1">
                                <w14:alpha w14:val="22000"/>
                              </w14:schemeClr>
                            </w14:solidFill>
                          </w14:textFill>
                        </w:rPr>
                        <w:t>Meso</w:t>
                      </w:r>
                      <w:r>
                        <w:rPr>
                          <w:b/>
                          <w:bCs/>
                          <w:color w:val="000000" w:themeColor="text1"/>
                          <w:kern w:val="24"/>
                          <w14:textFill>
                            <w14:solidFill>
                              <w14:schemeClr w14:val="tx1">
                                <w14:alpha w14:val="22000"/>
                              </w14:schemeClr>
                            </w14:solidFill>
                          </w14:textFill>
                        </w:rPr>
                        <w:t>-</w:t>
                      </w:r>
                      <w:r w:rsidRPr="00C70F75">
                        <w:rPr>
                          <w:b/>
                          <w:bCs/>
                          <w:color w:val="000000" w:themeColor="text1"/>
                          <w:kern w:val="24"/>
                          <w14:textFill>
                            <w14:solidFill>
                              <w14:schemeClr w14:val="tx1">
                                <w14:alpha w14:val="22000"/>
                              </w14:schemeClr>
                            </w14:solidFill>
                          </w14:textFill>
                        </w:rPr>
                        <w:t>level:</w:t>
                      </w:r>
                    </w:p>
                    <w:p w14:paraId="1C286660" w14:textId="77777777" w:rsidR="00736F61" w:rsidRPr="00C70F75" w:rsidRDefault="00736F61" w:rsidP="00736F61">
                      <w:pPr>
                        <w:spacing w:after="0" w:line="240" w:lineRule="auto"/>
                        <w:rPr>
                          <w:color w:val="000000" w:themeColor="text1"/>
                          <w:kern w:val="24"/>
                          <w14:textFill>
                            <w14:solidFill>
                              <w14:schemeClr w14:val="tx1">
                                <w14:alpha w14:val="22000"/>
                              </w14:schemeClr>
                            </w14:solidFill>
                          </w14:textFill>
                        </w:rPr>
                      </w:pPr>
                      <w:r w:rsidRPr="00C70F75">
                        <w:rPr>
                          <w:color w:val="000000" w:themeColor="text1"/>
                          <w:kern w:val="24"/>
                          <w14:textFill>
                            <w14:solidFill>
                              <w14:schemeClr w14:val="tx1">
                                <w14:alpha w14:val="22000"/>
                              </w14:schemeClr>
                            </w14:solidFill>
                          </w14:textFill>
                        </w:rPr>
                        <w:t>Corporate governance</w:t>
                      </w:r>
                    </w:p>
                    <w:p w14:paraId="54EC33A3" w14:textId="77777777" w:rsidR="00736F61" w:rsidRPr="00C70F75" w:rsidRDefault="00736F61" w:rsidP="00736F61">
                      <w:pPr>
                        <w:spacing w:after="0" w:line="240" w:lineRule="auto"/>
                        <w:rPr>
                          <w:color w:val="000000" w:themeColor="text1"/>
                          <w:kern w:val="24"/>
                          <w:sz w:val="36"/>
                          <w:szCs w:val="36"/>
                          <w14:textFill>
                            <w14:solidFill>
                              <w14:schemeClr w14:val="tx1">
                                <w14:alpha w14:val="22000"/>
                              </w14:schemeClr>
                            </w14:solidFill>
                          </w14:textFill>
                        </w:rPr>
                      </w:pPr>
                      <w:r w:rsidRPr="00C70F75">
                        <w:rPr>
                          <w:color w:val="000000" w:themeColor="text1"/>
                          <w:kern w:val="24"/>
                          <w14:textFill>
                            <w14:solidFill>
                              <w14:schemeClr w14:val="tx1">
                                <w14:alpha w14:val="22000"/>
                              </w14:schemeClr>
                            </w14:solidFill>
                          </w14:textFill>
                        </w:rPr>
                        <w:t xml:space="preserve">Firm-level SGIs </w:t>
                      </w:r>
                      <w:r>
                        <w:rPr>
                          <w:color w:val="000000" w:themeColor="text1"/>
                          <w:kern w:val="24"/>
                          <w14:textFill>
                            <w14:solidFill>
                              <w14:schemeClr w14:val="tx1">
                                <w14:alpha w14:val="22000"/>
                              </w14:schemeClr>
                            </w14:solidFill>
                          </w14:textFill>
                        </w:rPr>
                        <w:t xml:space="preserve">and </w:t>
                      </w:r>
                      <w:r w:rsidRPr="00C70F75">
                        <w:rPr>
                          <w:color w:val="000000" w:themeColor="text1"/>
                          <w:kern w:val="24"/>
                          <w14:textFill>
                            <w14:solidFill>
                              <w14:schemeClr w14:val="tx1">
                                <w14:alpha w14:val="22000"/>
                              </w14:schemeClr>
                            </w14:solidFill>
                          </w14:textFill>
                        </w:rPr>
                        <w:t>disclosure practices</w:t>
                      </w:r>
                    </w:p>
                  </w:txbxContent>
                </v:textbox>
              </v:rect>
            </w:pict>
          </mc:Fallback>
        </mc:AlternateContent>
      </w:r>
      <w:r w:rsidRPr="00CC1FC3">
        <w:rPr>
          <w:noProof/>
          <w:color w:val="0F1115"/>
        </w:rPr>
        <mc:AlternateContent>
          <mc:Choice Requires="wps">
            <w:drawing>
              <wp:anchor distT="0" distB="0" distL="114300" distR="114300" simplePos="0" relativeHeight="251689984" behindDoc="0" locked="0" layoutInCell="1" allowOverlap="1" wp14:anchorId="72920591" wp14:editId="66EC9099">
                <wp:simplePos x="0" y="0"/>
                <wp:positionH relativeFrom="column">
                  <wp:posOffset>2713355</wp:posOffset>
                </wp:positionH>
                <wp:positionV relativeFrom="paragraph">
                  <wp:posOffset>175895</wp:posOffset>
                </wp:positionV>
                <wp:extent cx="3031490" cy="441325"/>
                <wp:effectExtent l="0" t="0" r="16510" b="15875"/>
                <wp:wrapNone/>
                <wp:docPr id="918564241" name="TextBox 11"/>
                <wp:cNvGraphicFramePr/>
                <a:graphic xmlns:a="http://schemas.openxmlformats.org/drawingml/2006/main">
                  <a:graphicData uri="http://schemas.microsoft.com/office/word/2010/wordprocessingShape">
                    <wps:wsp>
                      <wps:cNvSpPr txBox="1"/>
                      <wps:spPr>
                        <a:xfrm>
                          <a:off x="0" y="0"/>
                          <a:ext cx="3031490" cy="441325"/>
                        </a:xfrm>
                        <a:prstGeom prst="rect">
                          <a:avLst/>
                        </a:prstGeom>
                        <a:gradFill>
                          <a:gsLst>
                            <a:gs pos="0">
                              <a:schemeClr val="accent5">
                                <a:lumMod val="110000"/>
                                <a:satMod val="105000"/>
                                <a:tint val="67000"/>
                                <a:alpha val="0"/>
                              </a:schemeClr>
                            </a:gs>
                            <a:gs pos="50000">
                              <a:schemeClr val="accent5">
                                <a:lumMod val="105000"/>
                                <a:satMod val="103000"/>
                                <a:tint val="73000"/>
                              </a:schemeClr>
                            </a:gs>
                            <a:gs pos="100000">
                              <a:schemeClr val="accent5">
                                <a:lumMod val="105000"/>
                                <a:satMod val="109000"/>
                                <a:tint val="81000"/>
                              </a:schemeClr>
                            </a:gs>
                          </a:gsLst>
                        </a:gradFill>
                      </wps:spPr>
                      <wps:style>
                        <a:lnRef idx="1">
                          <a:schemeClr val="accent5"/>
                        </a:lnRef>
                        <a:fillRef idx="2">
                          <a:schemeClr val="accent5"/>
                        </a:fillRef>
                        <a:effectRef idx="1">
                          <a:schemeClr val="accent5"/>
                        </a:effectRef>
                        <a:fontRef idx="minor">
                          <a:schemeClr val="dk1"/>
                        </a:fontRef>
                      </wps:style>
                      <wps:txbx>
                        <w:txbxContent>
                          <w:p w14:paraId="1B55EB3C" w14:textId="77777777" w:rsidR="00736F61" w:rsidRPr="00E576A6" w:rsidRDefault="00736F61" w:rsidP="00736F61">
                            <w:pPr>
                              <w:spacing w:after="0" w:line="240" w:lineRule="auto"/>
                              <w:rPr>
                                <w:rFonts w:asciiTheme="minorHAnsi" w:hAnsi="Aptos"/>
                                <w:b/>
                                <w:bCs/>
                                <w:color w:val="000000" w:themeColor="dark1"/>
                                <w:kern w:val="24"/>
                              </w:rPr>
                            </w:pPr>
                            <w:r w:rsidRPr="00E576A6">
                              <w:rPr>
                                <w:b/>
                                <w:bCs/>
                                <w:color w:val="000000" w:themeColor="dark1"/>
                                <w:kern w:val="24"/>
                              </w:rPr>
                              <w:t>Coercive, normative and mimetic pressures Functionalist/</w:t>
                            </w:r>
                            <w:r>
                              <w:rPr>
                                <w:b/>
                                <w:bCs/>
                                <w:color w:val="000000" w:themeColor="dark1"/>
                                <w:kern w:val="24"/>
                              </w:rPr>
                              <w:t xml:space="preserve"> </w:t>
                            </w:r>
                            <w:r w:rsidRPr="00E576A6">
                              <w:rPr>
                                <w:b/>
                                <w:bCs/>
                                <w:color w:val="000000" w:themeColor="dark1"/>
                                <w:kern w:val="24"/>
                              </w:rPr>
                              <w:t>Interpretivist</w:t>
                            </w:r>
                            <w:r w:rsidRPr="00E576A6">
                              <w:rPr>
                                <w:rFonts w:asciiTheme="minorHAnsi" w:hAnsi="Aptos"/>
                                <w:b/>
                                <w:bCs/>
                                <w:color w:val="000000" w:themeColor="dark1"/>
                                <w:kern w:val="24"/>
                              </w:rPr>
                              <w:t xml:space="preserve"> assumptions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2920591" id="TextBox 11" o:spid="_x0000_s1031" type="#_x0000_t202" style="position:absolute;left:0;text-align:left;margin-left:213.65pt;margin-top:13.85pt;width:238.7pt;height:34.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" fillcolor="#d35dc6 [2168]" strokecolor="#a02b93 [3208]" strokeweight="1pt">
                <v:fill color2="#ca3bba [2616]" o:opacity2="0" rotate="t" colors="0 #d09fc8;.5 #c692be;1 #c17eb6" focus="100%" type="gradient">
                  <o:fill v:ext="view" type="gradientUnscaled"/>
                </v:fill>
                <v:textbox>
                  <w:txbxContent>
                    <w:p w14:paraId="1B55EB3C" w14:textId="77777777" w:rsidR="00736F61" w:rsidRPr="00E576A6" w:rsidRDefault="00736F61" w:rsidP="00736F61">
                      <w:pPr>
                        <w:spacing w:after="0" w:line="240" w:lineRule="auto"/>
                        <w:rPr>
                          <w:rFonts w:asciiTheme="minorHAnsi" w:hAnsi="Aptos"/>
                          <w:b/>
                          <w:bCs/>
                          <w:color w:val="000000" w:themeColor="dark1"/>
                          <w:kern w:val="24"/>
                        </w:rPr>
                      </w:pPr>
                      <w:r w:rsidRPr="00E576A6">
                        <w:rPr>
                          <w:b/>
                          <w:bCs/>
                          <w:color w:val="000000" w:themeColor="dark1"/>
                          <w:kern w:val="24"/>
                        </w:rPr>
                        <w:t>Coercive, normative and mimetic pressures Functionalist/</w:t>
                      </w:r>
                      <w:r>
                        <w:rPr>
                          <w:b/>
                          <w:bCs/>
                          <w:color w:val="000000" w:themeColor="dark1"/>
                          <w:kern w:val="24"/>
                        </w:rPr>
                        <w:t xml:space="preserve"> </w:t>
                      </w:r>
                      <w:r w:rsidRPr="00E576A6">
                        <w:rPr>
                          <w:b/>
                          <w:bCs/>
                          <w:color w:val="000000" w:themeColor="dark1"/>
                          <w:kern w:val="24"/>
                        </w:rPr>
                        <w:t>Interpretivist</w:t>
                      </w:r>
                      <w:r w:rsidRPr="00E576A6">
                        <w:rPr>
                          <w:rFonts w:asciiTheme="minorHAnsi" w:hAnsi="Aptos"/>
                          <w:b/>
                          <w:bCs/>
                          <w:color w:val="000000" w:themeColor="dark1"/>
                          <w:kern w:val="24"/>
                        </w:rPr>
                        <w:t xml:space="preserve"> assumptions</w:t>
                      </w:r>
                    </w:p>
                  </w:txbxContent>
                </v:textbox>
              </v:shape>
            </w:pict>
          </mc:Fallback>
        </mc:AlternateContent>
      </w:r>
      <w:r w:rsidRPr="00CC1FC3">
        <w:rPr>
          <w:noProof/>
          <w:color w:val="0F1115"/>
        </w:rPr>
        <mc:AlternateContent>
          <mc:Choice Requires="wps">
            <w:drawing>
              <wp:anchor distT="0" distB="0" distL="114300" distR="114300" simplePos="0" relativeHeight="251696128" behindDoc="0" locked="0" layoutInCell="1" allowOverlap="1" wp14:anchorId="1C74206A" wp14:editId="2E0C4C63">
                <wp:simplePos x="0" y="0"/>
                <wp:positionH relativeFrom="column">
                  <wp:posOffset>357196</wp:posOffset>
                </wp:positionH>
                <wp:positionV relativeFrom="paragraph">
                  <wp:posOffset>420904</wp:posOffset>
                </wp:positionV>
                <wp:extent cx="360854" cy="0"/>
                <wp:effectExtent l="0" t="0" r="0" b="0"/>
                <wp:wrapNone/>
                <wp:docPr id="685660580" name="Straight Connector 1"/>
                <wp:cNvGraphicFramePr/>
                <a:graphic xmlns:a="http://schemas.openxmlformats.org/drawingml/2006/main">
                  <a:graphicData uri="http://schemas.microsoft.com/office/word/2010/wordprocessingShape">
                    <wps:wsp>
                      <wps:cNvCnPr/>
                      <wps:spPr>
                        <a:xfrm>
                          <a:off x="0" y="0"/>
                          <a:ext cx="360854"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6028606A" id="Straight Connector 1" o:spid="_x0000_s1026" style="position:absolute;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15pt,33.15pt" to="56.55pt,3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" strokecolor="#156082 [3204]" strokeweight="1.5pt">
                <v:stroke dashstyle="dash"/>
              </v:line>
            </w:pict>
          </mc:Fallback>
        </mc:AlternateContent>
      </w:r>
    </w:p>
    <w:p w14:paraId="7D973714"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p>
    <w:p w14:paraId="2D28FC58"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mc:AlternateContent>
          <mc:Choice Requires="wps">
            <w:drawing>
              <wp:anchor distT="0" distB="0" distL="114300" distR="114300" simplePos="0" relativeHeight="251697152" behindDoc="0" locked="0" layoutInCell="1" allowOverlap="1" wp14:anchorId="28DB4F8D" wp14:editId="0087A90C">
                <wp:simplePos x="0" y="0"/>
                <wp:positionH relativeFrom="column">
                  <wp:posOffset>1992630</wp:posOffset>
                </wp:positionH>
                <wp:positionV relativeFrom="paragraph">
                  <wp:posOffset>185623</wp:posOffset>
                </wp:positionV>
                <wp:extent cx="0" cy="278130"/>
                <wp:effectExtent l="95250" t="38100" r="57150" b="64770"/>
                <wp:wrapNone/>
                <wp:docPr id="185065120" name="Straight Arrow Connector 8"/>
                <wp:cNvGraphicFramePr/>
                <a:graphic xmlns:a="http://schemas.openxmlformats.org/drawingml/2006/main">
                  <a:graphicData uri="http://schemas.microsoft.com/office/word/2010/wordprocessingShape">
                    <wps:wsp>
                      <wps:cNvCnPr/>
                      <wps:spPr>
                        <a:xfrm flipV="1">
                          <a:off x="0" y="0"/>
                          <a:ext cx="0" cy="278130"/>
                        </a:xfrm>
                        <a:prstGeom prst="straightConnector1">
                          <a:avLst/>
                        </a:prstGeom>
                        <a:ln w="19050" cap="flat" cmpd="sng" algn="ctr">
                          <a:solidFill>
                            <a:schemeClr val="accent3"/>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10492232" id="Straight Arrow Connector 8" o:spid="_x0000_s1026" type="#_x0000_t32" style="position:absolute;margin-left:156.9pt;margin-top:14.6pt;width:0;height:21.9pt;flip: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" strokecolor="#196b24 [3206]" strokeweight="1.5pt">
                <v:stroke startarrow="open" endarrow="open"/>
              </v:shape>
            </w:pict>
          </mc:Fallback>
        </mc:AlternateContent>
      </w:r>
    </w:p>
    <w:p w14:paraId="18657C09"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w:lastRenderedPageBreak/>
        <mc:AlternateContent>
          <mc:Choice Requires="wps">
            <w:drawing>
              <wp:anchor distT="0" distB="0" distL="114300" distR="114300" simplePos="0" relativeHeight="251686912" behindDoc="0" locked="0" layoutInCell="1" allowOverlap="1" wp14:anchorId="6F6CD626" wp14:editId="3D6050C3">
                <wp:simplePos x="0" y="0"/>
                <wp:positionH relativeFrom="column">
                  <wp:posOffset>655955</wp:posOffset>
                </wp:positionH>
                <wp:positionV relativeFrom="paragraph">
                  <wp:posOffset>135052</wp:posOffset>
                </wp:positionV>
                <wp:extent cx="5033010" cy="643255"/>
                <wp:effectExtent l="0" t="0" r="15240" b="23495"/>
                <wp:wrapNone/>
                <wp:docPr id="1085592545" name="Rectangle 4"/>
                <wp:cNvGraphicFramePr/>
                <a:graphic xmlns:a="http://schemas.openxmlformats.org/drawingml/2006/main">
                  <a:graphicData uri="http://schemas.microsoft.com/office/word/2010/wordprocessingShape">
                    <wps:wsp>
                      <wps:cNvSpPr/>
                      <wps:spPr>
                        <a:xfrm>
                          <a:off x="0" y="0"/>
                          <a:ext cx="5033010" cy="643255"/>
                        </a:xfrm>
                        <a:prstGeom prst="rect">
                          <a:avLst/>
                        </a:prstGeom>
                        <a:gradFill>
                          <a:gsLst>
                            <a:gs pos="66000">
                              <a:schemeClr val="accent3">
                                <a:satMod val="103000"/>
                                <a:lumMod val="102000"/>
                                <a:tint val="94000"/>
                              </a:schemeClr>
                            </a:gs>
                            <a:gs pos="15596">
                              <a:schemeClr val="accent6">
                                <a:lumMod val="74000"/>
                                <a:lumOff val="26000"/>
                                <a:alpha val="57000"/>
                              </a:schemeClr>
                            </a:gs>
                            <a:gs pos="27000">
                              <a:schemeClr val="accent6">
                                <a:lumMod val="60000"/>
                                <a:lumOff val="40000"/>
                              </a:schemeClr>
                            </a:gs>
                            <a:gs pos="100000">
                              <a:schemeClr val="accent3">
                                <a:lumMod val="99000"/>
                                <a:satMod val="120000"/>
                                <a:shade val="78000"/>
                                <a:alpha val="79000"/>
                              </a:schemeClr>
                            </a:gs>
                          </a:gsLst>
                        </a:gradFill>
                        <a:ln/>
                      </wps:spPr>
                      <wps:style>
                        <a:lnRef idx="1">
                          <a:schemeClr val="accent3"/>
                        </a:lnRef>
                        <a:fillRef idx="3">
                          <a:schemeClr val="accent3"/>
                        </a:fillRef>
                        <a:effectRef idx="2">
                          <a:schemeClr val="accent3"/>
                        </a:effectRef>
                        <a:fontRef idx="minor">
                          <a:schemeClr val="lt1"/>
                        </a:fontRef>
                      </wps:style>
                      <wps:txbx>
                        <w:txbxContent>
                          <w:p w14:paraId="6829D173" w14:textId="77777777" w:rsidR="00736F61" w:rsidRPr="00E576A6" w:rsidRDefault="00736F61" w:rsidP="00736F61">
                            <w:pPr>
                              <w:spacing w:after="0" w:line="240" w:lineRule="auto"/>
                              <w:rPr>
                                <w:b/>
                                <w:bCs/>
                                <w:color w:val="000000" w:themeColor="text1"/>
                                <w:kern w:val="24"/>
                              </w:rPr>
                            </w:pPr>
                            <w:r w:rsidRPr="00E576A6">
                              <w:rPr>
                                <w:b/>
                                <w:bCs/>
                                <w:color w:val="000000" w:themeColor="text1"/>
                                <w:kern w:val="24"/>
                              </w:rPr>
                              <w:t>Micro level:</w:t>
                            </w:r>
                          </w:p>
                          <w:p w14:paraId="2755053E" w14:textId="77777777" w:rsidR="00736F61" w:rsidRPr="00E576A6" w:rsidRDefault="00736F61" w:rsidP="00736F61">
                            <w:pPr>
                              <w:spacing w:after="0" w:line="240" w:lineRule="auto"/>
                              <w:rPr>
                                <w:color w:val="000000" w:themeColor="text1"/>
                                <w:kern w:val="24"/>
                              </w:rPr>
                            </w:pPr>
                            <w:r w:rsidRPr="00E576A6">
                              <w:rPr>
                                <w:color w:val="000000" w:themeColor="text1"/>
                                <w:kern w:val="24"/>
                              </w:rPr>
                              <w:t>Workers’ experiences</w:t>
                            </w:r>
                          </w:p>
                          <w:p w14:paraId="03B6D48C" w14:textId="77777777" w:rsidR="00736F61" w:rsidRPr="00E576A6" w:rsidRDefault="00736F61" w:rsidP="00736F61">
                            <w:pPr>
                              <w:spacing w:after="0" w:line="240" w:lineRule="auto"/>
                              <w:rPr>
                                <w:color w:val="000000" w:themeColor="text1"/>
                                <w:kern w:val="24"/>
                              </w:rPr>
                            </w:pPr>
                            <w:r w:rsidRPr="00E576A6">
                              <w:rPr>
                                <w:color w:val="000000" w:themeColor="text1"/>
                                <w:kern w:val="24"/>
                              </w:rPr>
                              <w:t>Lived realities within supply chains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F6CD626" id="Rectangle 4" o:spid="_x0000_s1032" style="position:absolute;left:0;text-align:left;margin-left:51.65pt;margin-top:10.65pt;width:396.3pt;height:50.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" fillcolor="#73cf53 [2393]" strokecolor="#196b24 [3206]" strokeweight="1pt">
                <v:fill opacity="51773f" color2="#186923 [3174]" o:opacity2="37355f" rotate="t" colors="0 #74d053;10221f #74d053;17695f #8ed973;43254f #4a7e4e" focus="100%" type="gradient">
                  <o:fill v:ext="view" type="gradientUnscaled"/>
                </v:fill>
                <v:textbox>
                  <w:txbxContent>
                    <w:p w14:paraId="6829D173" w14:textId="77777777" w:rsidR="00736F61" w:rsidRPr="00E576A6" w:rsidRDefault="00736F61" w:rsidP="00736F61">
                      <w:pPr>
                        <w:spacing w:after="0" w:line="240" w:lineRule="auto"/>
                        <w:rPr>
                          <w:b/>
                          <w:bCs/>
                          <w:color w:val="000000" w:themeColor="text1"/>
                          <w:kern w:val="24"/>
                        </w:rPr>
                      </w:pPr>
                      <w:r w:rsidRPr="00E576A6">
                        <w:rPr>
                          <w:b/>
                          <w:bCs/>
                          <w:color w:val="000000" w:themeColor="text1"/>
                          <w:kern w:val="24"/>
                        </w:rPr>
                        <w:t>Micro level:</w:t>
                      </w:r>
                    </w:p>
                    <w:p w14:paraId="2755053E" w14:textId="77777777" w:rsidR="00736F61" w:rsidRPr="00E576A6" w:rsidRDefault="00736F61" w:rsidP="00736F61">
                      <w:pPr>
                        <w:spacing w:after="0" w:line="240" w:lineRule="auto"/>
                        <w:rPr>
                          <w:color w:val="000000" w:themeColor="text1"/>
                          <w:kern w:val="24"/>
                        </w:rPr>
                      </w:pPr>
                      <w:r w:rsidRPr="00E576A6">
                        <w:rPr>
                          <w:color w:val="000000" w:themeColor="text1"/>
                          <w:kern w:val="24"/>
                        </w:rPr>
                        <w:t>Workers’ experiences</w:t>
                      </w:r>
                    </w:p>
                    <w:p w14:paraId="03B6D48C" w14:textId="77777777" w:rsidR="00736F61" w:rsidRPr="00E576A6" w:rsidRDefault="00736F61" w:rsidP="00736F61">
                      <w:pPr>
                        <w:spacing w:after="0" w:line="240" w:lineRule="auto"/>
                        <w:rPr>
                          <w:color w:val="000000" w:themeColor="text1"/>
                          <w:kern w:val="24"/>
                        </w:rPr>
                      </w:pPr>
                      <w:r w:rsidRPr="00E576A6">
                        <w:rPr>
                          <w:color w:val="000000" w:themeColor="text1"/>
                          <w:kern w:val="24"/>
                        </w:rPr>
                        <w:t>Lived realities within supply chains</w:t>
                      </w:r>
                    </w:p>
                  </w:txbxContent>
                </v:textbox>
              </v:rect>
            </w:pict>
          </mc:Fallback>
        </mc:AlternateContent>
      </w:r>
      <w:r w:rsidRPr="00CC1FC3">
        <w:rPr>
          <w:noProof/>
          <w:color w:val="0F1115"/>
        </w:rPr>
        <mc:AlternateContent>
          <mc:Choice Requires="wps">
            <w:drawing>
              <wp:anchor distT="0" distB="0" distL="114300" distR="114300" simplePos="0" relativeHeight="251691008" behindDoc="0" locked="0" layoutInCell="1" allowOverlap="1" wp14:anchorId="33072FDE" wp14:editId="35C4281F">
                <wp:simplePos x="0" y="0"/>
                <wp:positionH relativeFrom="column">
                  <wp:posOffset>3399046</wp:posOffset>
                </wp:positionH>
                <wp:positionV relativeFrom="paragraph">
                  <wp:posOffset>173247</wp:posOffset>
                </wp:positionV>
                <wp:extent cx="2289810" cy="447740"/>
                <wp:effectExtent l="0" t="0" r="15240" b="28575"/>
                <wp:wrapNone/>
                <wp:docPr id="1640482540" name="TextBox 13"/>
                <wp:cNvGraphicFramePr/>
                <a:graphic xmlns:a="http://schemas.openxmlformats.org/drawingml/2006/main">
                  <a:graphicData uri="http://schemas.microsoft.com/office/word/2010/wordprocessingShape">
                    <wps:wsp>
                      <wps:cNvSpPr txBox="1"/>
                      <wps:spPr>
                        <a:xfrm>
                          <a:off x="0" y="0"/>
                          <a:ext cx="2289810" cy="447740"/>
                        </a:xfrm>
                        <a:prstGeom prst="rect">
                          <a:avLst/>
                        </a:prstGeom>
                        <a:gradFill>
                          <a:gsLst>
                            <a:gs pos="62000">
                              <a:schemeClr val="accent3">
                                <a:lumMod val="110000"/>
                                <a:satMod val="105000"/>
                                <a:tint val="67000"/>
                              </a:schemeClr>
                            </a:gs>
                            <a:gs pos="87000">
                              <a:schemeClr val="accent3">
                                <a:lumMod val="105000"/>
                                <a:satMod val="103000"/>
                                <a:tint val="73000"/>
                              </a:schemeClr>
                            </a:gs>
                            <a:gs pos="10000">
                              <a:schemeClr val="accent3">
                                <a:lumMod val="40000"/>
                                <a:lumOff val="60000"/>
                              </a:schemeClr>
                            </a:gs>
                          </a:gsLst>
                        </a:gradFill>
                        <a:ln/>
                      </wps:spPr>
                      <wps:style>
                        <a:lnRef idx="1">
                          <a:schemeClr val="accent3"/>
                        </a:lnRef>
                        <a:fillRef idx="2">
                          <a:schemeClr val="accent3"/>
                        </a:fillRef>
                        <a:effectRef idx="1">
                          <a:schemeClr val="accent3"/>
                        </a:effectRef>
                        <a:fontRef idx="minor">
                          <a:schemeClr val="dk1"/>
                        </a:fontRef>
                      </wps:style>
                      <wps:txbx>
                        <w:txbxContent>
                          <w:p w14:paraId="088AAFC9" w14:textId="77777777" w:rsidR="00736F61" w:rsidRPr="00C44674" w:rsidRDefault="00736F61" w:rsidP="00736F61">
                            <w:pPr>
                              <w:spacing w:after="0" w:line="240" w:lineRule="auto"/>
                              <w:rPr>
                                <w:b/>
                                <w:bCs/>
                                <w:color w:val="000000" w:themeColor="dark1"/>
                                <w:kern w:val="24"/>
                              </w:rPr>
                            </w:pPr>
                            <w:r w:rsidRPr="00C44674">
                              <w:rPr>
                                <w:b/>
                                <w:bCs/>
                                <w:color w:val="000000" w:themeColor="dark1"/>
                                <w:kern w:val="24"/>
                              </w:rPr>
                              <w:t>Institutional decoupling</w:t>
                            </w:r>
                          </w:p>
                          <w:p w14:paraId="4B86759B" w14:textId="77777777" w:rsidR="00736F61" w:rsidRPr="00C44674" w:rsidRDefault="00736F61" w:rsidP="00736F61">
                            <w:pPr>
                              <w:spacing w:after="0" w:line="240" w:lineRule="auto"/>
                              <w:rPr>
                                <w:b/>
                                <w:bCs/>
                                <w:color w:val="000000" w:themeColor="dark1"/>
                                <w:kern w:val="24"/>
                              </w:rPr>
                            </w:pPr>
                            <w:r w:rsidRPr="00C44674">
                              <w:rPr>
                                <w:b/>
                                <w:bCs/>
                                <w:color w:val="000000" w:themeColor="dark1"/>
                                <w:kern w:val="24"/>
                              </w:rPr>
                              <w:t>Interpretivist perspective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33072FDE" id="TextBox 13" o:spid="_x0000_s1033" type="#_x0000_t202" style="position:absolute;left:0;text-align:left;margin-left:267.65pt;margin-top:13.65pt;width:180.3pt;height:35.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" fillcolor="#84e290 [1302]" strokecolor="#196b24 [3206]" strokeweight="1pt">
                <v:fill color2="#2cbd3f [2358]" rotate="t" colors="0 #84e291;6554f #84e291;40632f #9db49e" focus="100%" type="gradient">
                  <o:fill v:ext="view" type="gradientUnscaled"/>
                </v:fill>
                <v:textbox>
                  <w:txbxContent>
                    <w:p w14:paraId="088AAFC9" w14:textId="77777777" w:rsidR="00736F61" w:rsidRPr="00C44674" w:rsidRDefault="00736F61" w:rsidP="00736F61">
                      <w:pPr>
                        <w:spacing w:after="0" w:line="240" w:lineRule="auto"/>
                        <w:rPr>
                          <w:b/>
                          <w:bCs/>
                          <w:color w:val="000000" w:themeColor="dark1"/>
                          <w:kern w:val="24"/>
                        </w:rPr>
                      </w:pPr>
                      <w:r w:rsidRPr="00C44674">
                        <w:rPr>
                          <w:b/>
                          <w:bCs/>
                          <w:color w:val="000000" w:themeColor="dark1"/>
                          <w:kern w:val="24"/>
                        </w:rPr>
                        <w:t>Institutional decoupling</w:t>
                      </w:r>
                    </w:p>
                    <w:p w14:paraId="4B86759B" w14:textId="77777777" w:rsidR="00736F61" w:rsidRPr="00C44674" w:rsidRDefault="00736F61" w:rsidP="00736F61">
                      <w:pPr>
                        <w:spacing w:after="0" w:line="240" w:lineRule="auto"/>
                        <w:rPr>
                          <w:b/>
                          <w:bCs/>
                          <w:color w:val="000000" w:themeColor="dark1"/>
                          <w:kern w:val="24"/>
                        </w:rPr>
                      </w:pPr>
                      <w:r w:rsidRPr="00C44674">
                        <w:rPr>
                          <w:b/>
                          <w:bCs/>
                          <w:color w:val="000000" w:themeColor="dark1"/>
                          <w:kern w:val="24"/>
                        </w:rPr>
                        <w:t>Interpretivist perspective</w:t>
                      </w:r>
                    </w:p>
                  </w:txbxContent>
                </v:textbox>
              </v:shape>
            </w:pict>
          </mc:Fallback>
        </mc:AlternateContent>
      </w:r>
      <w:r w:rsidRPr="00CC1FC3">
        <w:rPr>
          <w:noProof/>
          <w:color w:val="0F1115"/>
        </w:rPr>
        <mc:AlternateContent>
          <mc:Choice Requires="wps">
            <w:drawing>
              <wp:anchor distT="0" distB="0" distL="114300" distR="114300" simplePos="0" relativeHeight="251695104" behindDoc="0" locked="0" layoutInCell="1" allowOverlap="1" wp14:anchorId="41440A3F" wp14:editId="6A49FCAF">
                <wp:simplePos x="0" y="0"/>
                <wp:positionH relativeFrom="column">
                  <wp:posOffset>357351</wp:posOffset>
                </wp:positionH>
                <wp:positionV relativeFrom="paragraph">
                  <wp:posOffset>465716</wp:posOffset>
                </wp:positionV>
                <wp:extent cx="360854" cy="0"/>
                <wp:effectExtent l="0" t="0" r="0" b="0"/>
                <wp:wrapNone/>
                <wp:docPr id="312921292" name="Straight Connector 1"/>
                <wp:cNvGraphicFramePr/>
                <a:graphic xmlns:a="http://schemas.openxmlformats.org/drawingml/2006/main">
                  <a:graphicData uri="http://schemas.microsoft.com/office/word/2010/wordprocessingShape">
                    <wps:wsp>
                      <wps:cNvCnPr/>
                      <wps:spPr>
                        <a:xfrm>
                          <a:off x="0" y="0"/>
                          <a:ext cx="360854"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5E6EE28E" id="Straight Connector 1" o:spid="_x0000_s1026" style="position:absolute;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15pt,36.65pt" to="56.55pt,3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" strokecolor="#156082 [3204]" strokeweight="1.5pt">
                <v:stroke dashstyle="dash"/>
              </v:line>
            </w:pict>
          </mc:Fallback>
        </mc:AlternateContent>
      </w:r>
    </w:p>
    <w:p w14:paraId="0854245D"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p>
    <w:p w14:paraId="1F03B504" w14:textId="77777777" w:rsidR="00736F61" w:rsidRPr="00CC1FC3" w:rsidRDefault="00736F61" w:rsidP="00736F61">
      <w:pPr>
        <w:pStyle w:val="ds-markdown-paragraph"/>
        <w:shd w:val="clear" w:color="auto" w:fill="FFFFFF"/>
        <w:spacing w:before="0" w:beforeAutospacing="0" w:after="0" w:afterAutospacing="0" w:line="480" w:lineRule="auto"/>
        <w:jc w:val="center"/>
        <w:rPr>
          <w:color w:val="0F1115"/>
        </w:rPr>
      </w:pPr>
      <w:r w:rsidRPr="00CC1FC3">
        <w:rPr>
          <w:noProof/>
          <w:color w:val="0F1115"/>
        </w:rPr>
        <mc:AlternateContent>
          <mc:Choice Requires="wps">
            <w:drawing>
              <wp:anchor distT="0" distB="0" distL="114300" distR="114300" simplePos="0" relativeHeight="251687936" behindDoc="0" locked="0" layoutInCell="1" allowOverlap="1" wp14:anchorId="336FB1B2" wp14:editId="5F00D79F">
                <wp:simplePos x="0" y="0"/>
                <wp:positionH relativeFrom="column">
                  <wp:posOffset>384175</wp:posOffset>
                </wp:positionH>
                <wp:positionV relativeFrom="paragraph">
                  <wp:posOffset>124663</wp:posOffset>
                </wp:positionV>
                <wp:extent cx="5340985" cy="308610"/>
                <wp:effectExtent l="0" t="0" r="12065" b="15240"/>
                <wp:wrapNone/>
                <wp:docPr id="50464377" name="Rectangle 5"/>
                <wp:cNvGraphicFramePr/>
                <a:graphic xmlns:a="http://schemas.openxmlformats.org/drawingml/2006/main">
                  <a:graphicData uri="http://schemas.microsoft.com/office/word/2010/wordprocessingShape">
                    <wps:wsp>
                      <wps:cNvSpPr/>
                      <wps:spPr>
                        <a:xfrm>
                          <a:off x="0" y="0"/>
                          <a:ext cx="5340985" cy="308610"/>
                        </a:xfrm>
                        <a:prstGeom prst="rect">
                          <a:avLst/>
                        </a:prstGeom>
                        <a:solidFill>
                          <a:srgbClr val="F5F5F5"/>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2D2CEF15" w14:textId="77777777" w:rsidR="00736F61" w:rsidRPr="00A7352C" w:rsidRDefault="00736F61" w:rsidP="00736F61">
                            <w:pPr>
                              <w:jc w:val="center"/>
                              <w:rPr>
                                <w:color w:val="000000" w:themeColor="text1"/>
                                <w:kern w:val="24"/>
                              </w:rPr>
                            </w:pPr>
                            <w:r w:rsidRPr="00A7352C">
                              <w:rPr>
                                <w:color w:val="000000" w:themeColor="text1"/>
                                <w:kern w:val="24"/>
                              </w:rPr>
                              <w:t>Integral understanding of Modern Slavery</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36FB1B2" id="_x0000_s1034" style="position:absolute;left:0;text-align:left;margin-left:30.25pt;margin-top:9.8pt;width:420.55pt;height:24.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" fillcolor="#f5f5f5" strokeweight="1pt">
                <v:textbox>
                  <w:txbxContent>
                    <w:p w14:paraId="2D2CEF15" w14:textId="77777777" w:rsidR="00736F61" w:rsidRPr="00A7352C" w:rsidRDefault="00736F61" w:rsidP="00736F61">
                      <w:pPr>
                        <w:jc w:val="center"/>
                        <w:rPr>
                          <w:color w:val="000000" w:themeColor="text1"/>
                          <w:kern w:val="24"/>
                        </w:rPr>
                      </w:pPr>
                      <w:r w:rsidRPr="00A7352C">
                        <w:rPr>
                          <w:color w:val="000000" w:themeColor="text1"/>
                          <w:kern w:val="24"/>
                        </w:rPr>
                        <w:t>Integral understanding of Modern Slavery</w:t>
                      </w:r>
                    </w:p>
                  </w:txbxContent>
                </v:textbox>
              </v:rect>
            </w:pict>
          </mc:Fallback>
        </mc:AlternateContent>
      </w:r>
    </w:p>
    <w:p w14:paraId="6C441AE4" w14:textId="77777777" w:rsidR="00736F61" w:rsidRPr="00CC1FC3" w:rsidRDefault="00736F61" w:rsidP="00736F61">
      <w:pPr>
        <w:pStyle w:val="ds-markdown-paragraph"/>
        <w:shd w:val="clear" w:color="auto" w:fill="FFFFFF"/>
        <w:spacing w:before="0" w:beforeAutospacing="0" w:after="0" w:afterAutospacing="0" w:line="480" w:lineRule="auto"/>
        <w:jc w:val="center"/>
        <w:rPr>
          <w:color w:val="0F1115"/>
        </w:rPr>
      </w:pPr>
    </w:p>
    <w:p w14:paraId="0BC87EC3" w14:textId="77777777" w:rsidR="00736F61" w:rsidRDefault="00736F61" w:rsidP="00736F61">
      <w:pPr>
        <w:pStyle w:val="ds-markdown-paragraph"/>
        <w:shd w:val="clear" w:color="auto" w:fill="FFFFFF"/>
        <w:spacing w:before="0" w:beforeAutospacing="0" w:after="0" w:afterAutospacing="0" w:line="480" w:lineRule="auto"/>
        <w:jc w:val="center"/>
        <w:rPr>
          <w:color w:val="0F1115"/>
        </w:rPr>
      </w:pPr>
      <w:r w:rsidRPr="00CC1FC3">
        <w:rPr>
          <w:b/>
          <w:bCs/>
          <w:color w:val="0F1115"/>
        </w:rPr>
        <w:t xml:space="preserve">Figure </w:t>
      </w:r>
      <w:r>
        <w:rPr>
          <w:b/>
          <w:bCs/>
          <w:color w:val="0F1115"/>
        </w:rPr>
        <w:t>5</w:t>
      </w:r>
      <w:r w:rsidRPr="00CC1FC3">
        <w:rPr>
          <w:b/>
          <w:bCs/>
          <w:color w:val="0F1115"/>
        </w:rPr>
        <w:t>.2:</w:t>
      </w:r>
      <w:r w:rsidRPr="00CC1FC3">
        <w:rPr>
          <w:color w:val="0F1115"/>
        </w:rPr>
        <w:t xml:space="preserve"> Neo-institutional theoretical framework</w:t>
      </w:r>
    </w:p>
    <w:p w14:paraId="25B3C1E7" w14:textId="77777777" w:rsidR="00736F61" w:rsidRDefault="00736F61" w:rsidP="00736F61">
      <w:pPr>
        <w:pStyle w:val="Heading4"/>
        <w:rPr>
          <w:rStyle w:val="Strong"/>
          <w:rFonts w:cs="Times New Roman"/>
          <w:b/>
        </w:rPr>
      </w:pPr>
      <w:r w:rsidRPr="00CC1FC3">
        <w:rPr>
          <w:rStyle w:val="Strong"/>
          <w:rFonts w:cs="Times New Roman"/>
          <w:b/>
        </w:rPr>
        <w:t>5.2.6.</w:t>
      </w:r>
      <w:r>
        <w:rPr>
          <w:rStyle w:val="Strong"/>
          <w:b/>
        </w:rPr>
        <w:t>2</w:t>
      </w:r>
      <w:r w:rsidRPr="00CC1FC3">
        <w:rPr>
          <w:rStyle w:val="Strong"/>
          <w:rFonts w:cs="Times New Roman"/>
          <w:b/>
        </w:rPr>
        <w:t xml:space="preserve"> Synthesis through Pragmatism</w:t>
      </w:r>
    </w:p>
    <w:p w14:paraId="7C228432" w14:textId="77777777" w:rsidR="00736F61" w:rsidRPr="00CC1FC3" w:rsidRDefault="00736F61" w:rsidP="00736F61">
      <w:pPr>
        <w:pStyle w:val="ds-markdown-paragraph"/>
        <w:shd w:val="clear" w:color="auto" w:fill="FFFFFF" w:themeFill="background1"/>
        <w:spacing w:before="0" w:beforeAutospacing="0" w:after="0" w:afterAutospacing="0" w:line="480" w:lineRule="auto"/>
        <w:jc w:val="both"/>
        <w:rPr>
          <w:color w:val="0F1115"/>
        </w:rPr>
      </w:pPr>
      <w:r w:rsidRPr="00CC1FC3">
        <w:rPr>
          <w:color w:val="0F1115"/>
        </w:rPr>
        <w:t xml:space="preserve">The pragmatic paradigm provides the essential philosophical justification for combining these two distinct approaches. It resolves the apparent tension between functionalist and interpretivist worldviews by rejecting the proposition that one must choose a single, “pure” philosophical stance. Instead, pragmatism asserts that the nature of the research problem should dictate the methodological approach </w:t>
      </w:r>
      <w:sdt>
        <w:sdtPr>
          <w:rPr>
            <w:color w:val="000000"/>
          </w:rPr>
          <w:tag w:val="MENDELEY_CITATION_v3_eyJjaXRhdGlvbklEIjoiTUVOREVMRVlfQ0lUQVRJT05fMjc4Njg3OTAtYWQxZS00MWNhLTljM2EtODYzNmYwMjI1NWMw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442997841"/>
          <w:placeholder>
            <w:docPart w:val="1748487FCD3B495C87BBB7A672E65028"/>
          </w:placeholder>
        </w:sdtPr>
        <w:sdtEndPr/>
        <w:sdtContent>
          <w:r w:rsidRPr="00A73C12">
            <w:rPr>
              <w:color w:val="000000"/>
            </w:rPr>
            <w:t>(Creswell and Plano, 2018)</w:t>
          </w:r>
        </w:sdtContent>
      </w:sdt>
      <w:r w:rsidRPr="00CC1FC3">
        <w:rPr>
          <w:color w:val="0F1115"/>
        </w:rPr>
        <w:t>. The complex, multi-faceted problem of CMS</w:t>
      </w:r>
      <w:r>
        <w:rPr>
          <w:color w:val="0F1115"/>
        </w:rPr>
        <w:t xml:space="preserve">; </w:t>
      </w:r>
      <w:r w:rsidRPr="00CC1FC3">
        <w:rPr>
          <w:color w:val="0F1115"/>
        </w:rPr>
        <w:t>spanning objective global systems and subjective local experiences—cannot be fully understood from a single philosophical standpoint.</w:t>
      </w:r>
    </w:p>
    <w:p w14:paraId="533664BB"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color w:val="0F1115"/>
        </w:rPr>
        <w:t>This synthesis is not merely additive but integrative and explanatory. The two components work in concert to build a comprehensive explanation:</w:t>
      </w:r>
    </w:p>
    <w:p w14:paraId="68C3296E" w14:textId="77777777" w:rsidR="00736F61" w:rsidRPr="00CC1FC3" w:rsidRDefault="00736F61" w:rsidP="00736F61">
      <w:pPr>
        <w:pStyle w:val="ds-markdown-paragraph"/>
        <w:numPr>
          <w:ilvl w:val="0"/>
          <w:numId w:val="10"/>
        </w:numPr>
        <w:shd w:val="clear" w:color="auto" w:fill="FFFFFF"/>
        <w:spacing w:before="0" w:beforeAutospacing="0" w:after="0" w:afterAutospacing="0" w:line="480" w:lineRule="auto"/>
        <w:jc w:val="both"/>
        <w:rPr>
          <w:color w:val="0F1115"/>
        </w:rPr>
      </w:pPr>
      <w:r w:rsidRPr="00CC1FC3">
        <w:rPr>
          <w:rStyle w:val="Strong"/>
          <w:rFonts w:eastAsiaTheme="majorEastAsia"/>
          <w:b w:val="0"/>
          <w:color w:val="0F1115"/>
        </w:rPr>
        <w:t>NIT, applied through the macro-quantitative (functionalist) component, provides the </w:t>
      </w:r>
      <w:r w:rsidRPr="00CC1FC3">
        <w:rPr>
          <w:rStyle w:val="Emphasis"/>
          <w:rFonts w:eastAsiaTheme="majorEastAsia"/>
          <w:color w:val="0F1115"/>
        </w:rPr>
        <w:t>“what”</w:t>
      </w:r>
      <w:r w:rsidRPr="00CC1FC3">
        <w:rPr>
          <w:rStyle w:val="Strong"/>
          <w:rFonts w:eastAsiaTheme="majorEastAsia"/>
          <w:b w:val="0"/>
          <w:color w:val="0F1115"/>
        </w:rPr>
        <w:t> and the </w:t>
      </w:r>
      <w:r w:rsidRPr="00CC1FC3">
        <w:rPr>
          <w:rStyle w:val="Emphasis"/>
          <w:rFonts w:eastAsiaTheme="majorEastAsia"/>
          <w:color w:val="0F1115"/>
        </w:rPr>
        <w:t>“how.”</w:t>
      </w:r>
      <w:r w:rsidRPr="00CC1FC3">
        <w:rPr>
          <w:color w:val="0F1115"/>
        </w:rPr>
        <w:t> It identifies the broad patterns: </w:t>
      </w:r>
      <w:r w:rsidRPr="00CC1FC3">
        <w:rPr>
          <w:rStyle w:val="Emphasis"/>
          <w:rFonts w:eastAsiaTheme="majorEastAsia"/>
          <w:color w:val="0F1115"/>
        </w:rPr>
        <w:t>what</w:t>
      </w:r>
      <w:r w:rsidRPr="00CC1FC3">
        <w:rPr>
          <w:color w:val="0F1115"/>
        </w:rPr>
        <w:t> external pressures (coercive, mimetic, normative) are most significant, and </w:t>
      </w:r>
      <w:r w:rsidRPr="00CC1FC3">
        <w:rPr>
          <w:rStyle w:val="Emphasis"/>
          <w:rFonts w:eastAsiaTheme="majorEastAsia"/>
          <w:color w:val="0F1115"/>
        </w:rPr>
        <w:t>how</w:t>
      </w:r>
      <w:r w:rsidRPr="00CC1FC3">
        <w:rPr>
          <w:color w:val="0F1115"/>
        </w:rPr>
        <w:t> they correlate with the adoption of specific SGIs across a large population of firms. It maps the institutional landscape and the formal organisational responses.</w:t>
      </w:r>
    </w:p>
    <w:p w14:paraId="22195673" w14:textId="77777777" w:rsidR="00736F61" w:rsidRPr="00CC1FC3" w:rsidRDefault="00736F61" w:rsidP="00736F61">
      <w:pPr>
        <w:pStyle w:val="ds-markdown-paragraph"/>
        <w:numPr>
          <w:ilvl w:val="0"/>
          <w:numId w:val="10"/>
        </w:numPr>
        <w:shd w:val="clear" w:color="auto" w:fill="FFFFFF"/>
        <w:spacing w:before="0" w:beforeAutospacing="0" w:after="0" w:afterAutospacing="0" w:line="480" w:lineRule="auto"/>
        <w:jc w:val="both"/>
        <w:rPr>
          <w:color w:val="0F1115"/>
        </w:rPr>
      </w:pPr>
      <w:r w:rsidRPr="00CC1FC3">
        <w:rPr>
          <w:rStyle w:val="Strong"/>
          <w:rFonts w:eastAsiaTheme="majorEastAsia"/>
          <w:b w:val="0"/>
          <w:color w:val="0F1115"/>
        </w:rPr>
        <w:t>The micro-qualitative (interpretivist) component provides the </w:t>
      </w:r>
      <w:r w:rsidRPr="00CC1FC3">
        <w:rPr>
          <w:rStyle w:val="Emphasis"/>
          <w:rFonts w:eastAsiaTheme="majorEastAsia"/>
          <w:color w:val="0F1115"/>
        </w:rPr>
        <w:t>“why”</w:t>
      </w:r>
      <w:r w:rsidRPr="00CC1FC3">
        <w:rPr>
          <w:rStyle w:val="Strong"/>
          <w:rFonts w:eastAsiaTheme="majorEastAsia"/>
          <w:b w:val="0"/>
          <w:color w:val="0F1115"/>
        </w:rPr>
        <w:t> and reveals the human consequence.</w:t>
      </w:r>
      <w:r w:rsidRPr="00CC1FC3">
        <w:rPr>
          <w:color w:val="0F1115"/>
        </w:rPr>
        <w:t> It explores </w:t>
      </w:r>
      <w:r w:rsidRPr="00CC1FC3">
        <w:rPr>
          <w:rStyle w:val="Emphasis"/>
          <w:rFonts w:eastAsiaTheme="majorEastAsia"/>
          <w:color w:val="0F1115"/>
        </w:rPr>
        <w:t>why</w:t>
      </w:r>
      <w:r w:rsidRPr="00CC1FC3">
        <w:rPr>
          <w:color w:val="0F1115"/>
        </w:rPr>
        <w:t> the formal structures identified by the macro-analysis so often fail. It delves into the lived experience to uncover the social processes, localised rationalities, and hidden practices that constitute </w:t>
      </w:r>
      <w:r w:rsidRPr="00CC1FC3">
        <w:rPr>
          <w:rStyle w:val="Strong"/>
          <w:rFonts w:eastAsiaTheme="majorEastAsia"/>
          <w:b w:val="0"/>
          <w:color w:val="0F1115"/>
        </w:rPr>
        <w:t>decoupling</w:t>
      </w:r>
      <w:r w:rsidRPr="00CC1FC3">
        <w:rPr>
          <w:b/>
          <w:bCs/>
          <w:color w:val="0F1115"/>
        </w:rPr>
        <w:t> </w:t>
      </w:r>
      <w:r w:rsidRPr="00CC1FC3">
        <w:rPr>
          <w:color w:val="0F1115"/>
        </w:rPr>
        <w:t xml:space="preserve">in </w:t>
      </w:r>
      <w:r w:rsidRPr="00CC1FC3">
        <w:rPr>
          <w:color w:val="0F1115"/>
        </w:rPr>
        <w:lastRenderedPageBreak/>
        <w:t>action. This component gives meaning to the statistical patterns by exposing their real-world effects on human dignity and well-being.</w:t>
      </w:r>
    </w:p>
    <w:p w14:paraId="41164C6C" w14:textId="77777777" w:rsidR="00736F61" w:rsidRPr="00CC1FC3" w:rsidRDefault="00736F61" w:rsidP="00736F61">
      <w:pPr>
        <w:pStyle w:val="ds-markdown-paragraph"/>
        <w:shd w:val="clear" w:color="auto" w:fill="FFFFFF"/>
        <w:spacing w:before="0" w:beforeAutospacing="0" w:after="0" w:afterAutospacing="0" w:line="480" w:lineRule="auto"/>
        <w:ind w:firstLine="568"/>
        <w:jc w:val="both"/>
        <w:rPr>
          <w:color w:val="0F1115"/>
        </w:rPr>
      </w:pPr>
      <w:r w:rsidRPr="00CC1FC3">
        <w:rPr>
          <w:color w:val="0F1115"/>
        </w:rPr>
        <w:t>Therefore, pragmatism facilitates a research design in which quantitative data reveal a widespread phenomenon (the gap between policy and practice), and qualitative inquiry explains the mechanisms behind it (how and why decoupling occurs). Together, they provide a more complete, rigorous, and impactful analysis of CMS than either approach could achieve in isolation, fulfilling the core pragmatic tenet of selecting the methods that best address the problem at hand.</w:t>
      </w:r>
    </w:p>
    <w:p w14:paraId="0F7EB27D" w14:textId="77777777" w:rsidR="00736F61" w:rsidRDefault="00736F61" w:rsidP="00736F61">
      <w:pPr>
        <w:pStyle w:val="Heading3"/>
        <w:rPr>
          <w:rStyle w:val="Strong"/>
          <w:b/>
        </w:rPr>
      </w:pPr>
      <w:bookmarkStart w:id="24" w:name="_Toc215651861"/>
      <w:bookmarkStart w:id="25" w:name="_Toc220848361"/>
      <w:bookmarkStart w:id="26" w:name="_Toc221437652"/>
      <w:bookmarkStart w:id="27" w:name="_Toc215651831"/>
      <w:bookmarkStart w:id="28" w:name="_Toc220848335"/>
      <w:r w:rsidRPr="00CC1FC3">
        <w:t>5.</w:t>
      </w:r>
      <w:r>
        <w:t>2.6</w:t>
      </w:r>
      <w:r w:rsidRPr="00CC1FC3">
        <w:t xml:space="preserve"> Integration Strategy</w:t>
      </w:r>
      <w:bookmarkEnd w:id="24"/>
      <w:bookmarkEnd w:id="25"/>
      <w:r>
        <w:t xml:space="preserve"> and </w:t>
      </w:r>
      <w:r w:rsidRPr="00CC1FC3">
        <w:rPr>
          <w:rStyle w:val="Strong"/>
          <w:b/>
        </w:rPr>
        <w:t>Integrated Conceptual Framework</w:t>
      </w:r>
      <w:bookmarkEnd w:id="26"/>
    </w:p>
    <w:p w14:paraId="0A92246E" w14:textId="77777777" w:rsidR="00736F61" w:rsidRPr="00BE5DDC" w:rsidRDefault="00736F61" w:rsidP="00736F61">
      <w:pPr>
        <w:spacing w:line="480" w:lineRule="auto"/>
        <w:jc w:val="both"/>
        <w:rPr>
          <w:color w:val="EE0000"/>
        </w:rPr>
      </w:pPr>
      <w:r w:rsidRPr="00BE5DDC">
        <w:rPr>
          <w:color w:val="EE0000"/>
        </w:rPr>
        <w:t>The integration strategy of the thesis is embedded within the Integrated Conceptual Framework (see Figure 5.3), which operationalises the mixed-methods, multi-level research design across macro, meso, and micro levels. Guided by a critical realist ontology and a pragmatic epistemology, the framework structures how quantitative and qualitative components are connected, sequenced, and synthesised to produce coherent and theoretically informed explanations of CMS.</w:t>
      </w:r>
    </w:p>
    <w:p w14:paraId="238C3A39" w14:textId="77777777" w:rsidR="00736F61" w:rsidRPr="00BE5DDC" w:rsidRDefault="00736F61" w:rsidP="00736F61">
      <w:pPr>
        <w:spacing w:line="480" w:lineRule="auto"/>
        <w:ind w:firstLine="720"/>
        <w:jc w:val="both"/>
        <w:rPr>
          <w:color w:val="EE0000"/>
        </w:rPr>
      </w:pPr>
      <w:r w:rsidRPr="00BE5DDC">
        <w:rPr>
          <w:color w:val="EE0000"/>
        </w:rPr>
        <w:t>At the design level, integration is achieved through an explanatory sequential mixed-methods strategy, which is directly reflected in Figure 5.3. The macro-level analysis (RQ1) represents the institutional inputs, structured around the three forms of isomorphism from NIT: Coercive isomorphism (laws, regulations, and international frameworks), Mimetic isomorphism (uncertainty-driven imitation), and Normative isomorphism (professional networks and standards).</w:t>
      </w:r>
    </w:p>
    <w:p w14:paraId="55A26144" w14:textId="77777777" w:rsidR="00736F61" w:rsidRPr="00BE5DDC" w:rsidRDefault="00736F61" w:rsidP="00736F61">
      <w:pPr>
        <w:spacing w:line="480" w:lineRule="auto"/>
        <w:ind w:firstLine="720"/>
        <w:jc w:val="both"/>
        <w:rPr>
          <w:color w:val="EE0000"/>
        </w:rPr>
      </w:pPr>
      <w:r w:rsidRPr="00BE5DDC">
        <w:rPr>
          <w:color w:val="EE0000"/>
        </w:rPr>
        <w:t xml:space="preserve">These institutional pressures establish the structural context in which firms operate. These macro-level pressures feed into the meso-level analysis (RQ2 and RQ3), where firms respond through SGIs, including ACMS policies, board governance mechanisms, disclosures, </w:t>
      </w:r>
      <w:r w:rsidRPr="00BE5DDC">
        <w:rPr>
          <w:color w:val="EE0000"/>
        </w:rPr>
        <w:lastRenderedPageBreak/>
        <w:t>and supplier oversight. This represents the throughput stage of the framework, where institutional pressures are translated into formal organisational structures. The micro-level analysis (RQ4) is designed as a qualitative investigation of the “black box” of decoupling within Sri Lanka’s A&amp;TI. This strand does not merely run in parallel but is explicitly informed by patterns observed at the macro and meso levels, ensuring conceptual continuity across the research design.</w:t>
      </w:r>
    </w:p>
    <w:p w14:paraId="517A4F42" w14:textId="77777777" w:rsidR="00736F61" w:rsidRPr="00BE5DDC" w:rsidRDefault="00736F61" w:rsidP="00736F61">
      <w:pPr>
        <w:spacing w:line="480" w:lineRule="auto"/>
        <w:ind w:firstLine="720"/>
        <w:jc w:val="both"/>
        <w:rPr>
          <w:color w:val="EE0000"/>
        </w:rPr>
      </w:pPr>
      <w:r w:rsidRPr="00BE5DDC">
        <w:rPr>
          <w:color w:val="EE0000"/>
        </w:rPr>
        <w:t xml:space="preserve">At the methods level, integration is achieved by aligning different data sources and analytical techniques with specific components of the conceptual framework. The macro–meso quantitative component provides generalisable evidence using panel data, governance indicators, and firm-level SGI measures to examine how institutional pressures shape corporate responses to MS risks. The meso-level disclosure analysis examines how firms publicly communicate their ACMS commitments, allowing comparison between formal governance structures and substantive practices. The micro-level qualitative component uses </w:t>
      </w:r>
      <w:r w:rsidRPr="008E024A">
        <w:rPr>
          <w:rFonts w:eastAsia="Palatino Linotype"/>
          <w:color w:val="EE0000"/>
        </w:rPr>
        <w:t xml:space="preserve">semi-structured </w:t>
      </w:r>
      <w:r w:rsidRPr="00BE5DDC">
        <w:rPr>
          <w:color w:val="EE0000"/>
        </w:rPr>
        <w:t xml:space="preserve">interviews and questionnaire to explore workers lived experiences, local labour conditions, and the mechanisms through which decoupling occurs in practice. These methods are not treated as competing but as complementary. The quantitative strand establishes what is happening structurally, while the qualitative strand explains how and why these patterns unfold on the ground, particularly through the lens of institutional decoupling  </w:t>
      </w:r>
      <w:sdt>
        <w:sdtPr>
          <w:rPr>
            <w:color w:val="EE0000"/>
          </w:rPr>
          <w:tag w:val="MENDELEY_CITATION_v3_eyJjaXRhdGlvbklEIjoiTUVOREVMRVlfQ0lUQVRJT05fODk5ZjE3MmMtOGJhZS00YmE4LWI5ODctNjM2OTg0N2Q0Zjlm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615530828"/>
          <w:placeholder>
            <w:docPart w:val="BAC34E67F82F416E8A74E38224C5FA45"/>
          </w:placeholder>
        </w:sdtPr>
        <w:sdtEndPr/>
        <w:sdtContent>
          <w:r w:rsidRPr="00BE5DDC">
            <w:rPr>
              <w:color w:val="EE0000"/>
            </w:rPr>
            <w:t>(Creswell and Plano, 2018)</w:t>
          </w:r>
        </w:sdtContent>
      </w:sdt>
      <w:r w:rsidRPr="00BE5DDC">
        <w:rPr>
          <w:color w:val="EE0000"/>
        </w:rPr>
        <w:t>.</w:t>
      </w:r>
    </w:p>
    <w:p w14:paraId="5C3F83D9" w14:textId="77777777" w:rsidR="00736F61" w:rsidRPr="00BE5DDC" w:rsidRDefault="00736F61" w:rsidP="00736F61">
      <w:pPr>
        <w:spacing w:line="480" w:lineRule="auto"/>
        <w:ind w:firstLine="720"/>
        <w:jc w:val="both"/>
        <w:rPr>
          <w:color w:val="EE0000"/>
        </w:rPr>
      </w:pPr>
      <w:r w:rsidRPr="00BE5DDC">
        <w:rPr>
          <w:color w:val="EE0000"/>
        </w:rPr>
        <w:t>Decoupling is one of the key features of this integration. At the meso-level, decoupling captures the gap between formal SGIs and their actual implementation within corporate operations and supply chains. Firms may adopt policies to secure legitimacy without substantively altering labour practices. At the micro level, decoupling is examined as a lived process, revealing how corporate commitments translate (or fail to translate) into tangible outcomes for workers.</w:t>
      </w:r>
    </w:p>
    <w:p w14:paraId="0BB1F2C1" w14:textId="77777777" w:rsidR="00736F61" w:rsidRPr="00BE5DDC" w:rsidRDefault="00736F61" w:rsidP="00736F61">
      <w:pPr>
        <w:spacing w:line="480" w:lineRule="auto"/>
        <w:ind w:firstLine="720"/>
        <w:jc w:val="both"/>
        <w:rPr>
          <w:color w:val="EE0000"/>
        </w:rPr>
      </w:pPr>
      <w:r w:rsidRPr="00BE5DDC">
        <w:rPr>
          <w:color w:val="EE0000"/>
        </w:rPr>
        <w:lastRenderedPageBreak/>
        <w:t>At the interpretation level, integration occurs through the synthesis of evidence across macro, meso, and micro analyses to generate meta-inferences about CMS governance. This involves triangulating statistical patterns (macro–meso) with corporate disclosures and worker experiences (micro). Using NIT as a unifying theoretical lens to link institutional pressures, organisational responses, and labour outcomes. Interpreting quantitative findings through qualitative insights to explain why certain governance mechanisms appear effective in theory but weak in practice. The integrated framework therefore enables the study to move beyond descriptive analysis toward a deeper, multi-level explanation of CMS as both an institutional governance challenge and a lived social reality.</w:t>
      </w:r>
    </w:p>
    <w:p w14:paraId="44BA7E33" w14:textId="77777777" w:rsidR="00736F61" w:rsidRPr="00BE5DDC" w:rsidRDefault="00736F61" w:rsidP="00736F61">
      <w:pPr>
        <w:spacing w:line="480" w:lineRule="auto"/>
        <w:ind w:firstLine="720"/>
        <w:jc w:val="both"/>
        <w:rPr>
          <w:color w:val="EE0000"/>
        </w:rPr>
      </w:pPr>
      <w:r w:rsidRPr="00BE5DDC">
        <w:rPr>
          <w:strike/>
          <w:noProof/>
          <w:color w:val="EE0000"/>
        </w:rPr>
        <mc:AlternateContent>
          <mc:Choice Requires="wps">
            <w:drawing>
              <wp:anchor distT="0" distB="0" distL="114300" distR="114300" simplePos="0" relativeHeight="251700224" behindDoc="0" locked="0" layoutInCell="1" allowOverlap="1" wp14:anchorId="3E5CE66C" wp14:editId="0D009A26">
                <wp:simplePos x="0" y="0"/>
                <wp:positionH relativeFrom="column">
                  <wp:posOffset>4846955</wp:posOffset>
                </wp:positionH>
                <wp:positionV relativeFrom="paragraph">
                  <wp:posOffset>1776675</wp:posOffset>
                </wp:positionV>
                <wp:extent cx="1266991" cy="781050"/>
                <wp:effectExtent l="0" t="0" r="28575" b="19050"/>
                <wp:wrapNone/>
                <wp:docPr id="7" name="Rectangle 6">
                  <a:extLst xmlns:a="http://schemas.openxmlformats.org/drawingml/2006/main">
                    <a:ext uri="{FF2B5EF4-FFF2-40B4-BE49-F238E27FC236}">
                      <a16:creationId xmlns:a16="http://schemas.microsoft.com/office/drawing/2014/main" id="{6FC725D5-20C8-24F1-7ADE-BB939AFC71CA}"/>
                    </a:ext>
                  </a:extLst>
                </wp:docPr>
                <wp:cNvGraphicFramePr/>
                <a:graphic xmlns:a="http://schemas.openxmlformats.org/drawingml/2006/main">
                  <a:graphicData uri="http://schemas.microsoft.com/office/word/2010/wordprocessingShape">
                    <wps:wsp>
                      <wps:cNvSpPr/>
                      <wps:spPr>
                        <a:xfrm>
                          <a:off x="0" y="0"/>
                          <a:ext cx="1266991" cy="781050"/>
                        </a:xfrm>
                        <a:prstGeom prst="rect">
                          <a:avLst/>
                        </a:prstGeom>
                        <a:solidFill>
                          <a:srgbClr val="FFFAC8"/>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4458331A" w14:textId="77777777" w:rsidR="00736F61" w:rsidRPr="006A312C" w:rsidRDefault="00736F61" w:rsidP="00736F61">
                            <w:pPr>
                              <w:spacing w:after="0" w:line="240" w:lineRule="auto"/>
                              <w:jc w:val="center"/>
                              <w:rPr>
                                <w:b/>
                                <w:bCs/>
                                <w:color w:val="000000" w:themeColor="text1"/>
                                <w:kern w:val="24"/>
                                <w:sz w:val="22"/>
                                <w:szCs w:val="22"/>
                              </w:rPr>
                            </w:pPr>
                            <w:r w:rsidRPr="006A312C">
                              <w:rPr>
                                <w:b/>
                                <w:bCs/>
                                <w:color w:val="000000" w:themeColor="text1"/>
                                <w:kern w:val="24"/>
                                <w:sz w:val="22"/>
                                <w:szCs w:val="22"/>
                              </w:rPr>
                              <w:t>Micro-level analysis – RQ</w:t>
                            </w:r>
                            <w:r>
                              <w:rPr>
                                <w:b/>
                                <w:bCs/>
                                <w:color w:val="000000" w:themeColor="text1"/>
                                <w:kern w:val="24"/>
                                <w:sz w:val="22"/>
                                <w:szCs w:val="22"/>
                              </w:rPr>
                              <w:t>4</w:t>
                            </w:r>
                            <w:r w:rsidRPr="006A312C">
                              <w:rPr>
                                <w:b/>
                                <w:bCs/>
                                <w:color w:val="000000" w:themeColor="text1"/>
                                <w:kern w:val="24"/>
                                <w:sz w:val="22"/>
                                <w:szCs w:val="22"/>
                              </w:rPr>
                              <w:br/>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E5CE66C" id="_x0000_s1035" style="position:absolute;left:0;text-align:left;margin-left:381.65pt;margin-top:139.9pt;width:99.75pt;height:6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" fillcolor="#fffac8" strokeweight="1pt">
                <v:textbox>
                  <w:txbxContent>
                    <w:p w14:paraId="4458331A" w14:textId="77777777" w:rsidR="00736F61" w:rsidRPr="006A312C" w:rsidRDefault="00736F61" w:rsidP="00736F61">
                      <w:pPr>
                        <w:spacing w:after="0" w:line="240" w:lineRule="auto"/>
                        <w:jc w:val="center"/>
                        <w:rPr>
                          <w:b/>
                          <w:bCs/>
                          <w:color w:val="000000" w:themeColor="text1"/>
                          <w:kern w:val="24"/>
                          <w:sz w:val="22"/>
                          <w:szCs w:val="22"/>
                        </w:rPr>
                      </w:pPr>
                      <w:r w:rsidRPr="006A312C">
                        <w:rPr>
                          <w:b/>
                          <w:bCs/>
                          <w:color w:val="000000" w:themeColor="text1"/>
                          <w:kern w:val="24"/>
                          <w:sz w:val="22"/>
                          <w:szCs w:val="22"/>
                        </w:rPr>
                        <w:t>Micro-level analysis – RQ</w:t>
                      </w:r>
                      <w:r>
                        <w:rPr>
                          <w:b/>
                          <w:bCs/>
                          <w:color w:val="000000" w:themeColor="text1"/>
                          <w:kern w:val="24"/>
                          <w:sz w:val="22"/>
                          <w:szCs w:val="22"/>
                        </w:rPr>
                        <w:t>4</w:t>
                      </w:r>
                      <w:r w:rsidRPr="006A312C">
                        <w:rPr>
                          <w:b/>
                          <w:bCs/>
                          <w:color w:val="000000" w:themeColor="text1"/>
                          <w:kern w:val="24"/>
                          <w:sz w:val="22"/>
                          <w:szCs w:val="22"/>
                        </w:rPr>
                        <w:br/>
                      </w:r>
                    </w:p>
                  </w:txbxContent>
                </v:textbox>
              </v:rect>
            </w:pict>
          </mc:Fallback>
        </mc:AlternateContent>
      </w:r>
      <w:r w:rsidRPr="00BE5DDC">
        <w:rPr>
          <w:color w:val="EE0000"/>
        </w:rPr>
        <w:t xml:space="preserve">Elimination of CMS Practices, including reduced MS PREV and VULN, Stronger labour protections, more transparent and accountable supply chains, and alignment with SDGs and human rights principles. However, the framework explicitly acknowledges that this outcome is contingent rather than guaranteed, due to the mediating effect of decoupling. This makes the framework both analytically realistic and normatively relevant. </w:t>
      </w:r>
    </w:p>
    <w:bookmarkEnd w:id="27"/>
    <w:bookmarkEnd w:id="28"/>
    <w:p w14:paraId="41884B2F" w14:textId="77777777" w:rsidR="00736F61" w:rsidRPr="00CC1FC3" w:rsidRDefault="00736F61" w:rsidP="00736F61">
      <w:pPr>
        <w:pStyle w:val="ds-markdown-paragraph"/>
        <w:shd w:val="clear" w:color="auto" w:fill="FFFFFF"/>
        <w:spacing w:before="0" w:beforeAutospacing="0" w:after="0" w:line="480" w:lineRule="auto"/>
        <w:jc w:val="both"/>
        <w:rPr>
          <w:color w:val="0F1115"/>
        </w:rPr>
      </w:pPr>
      <w:r>
        <w:rPr>
          <w:noProof/>
          <w:color w:val="0F1115"/>
        </w:rPr>
        <mc:AlternateContent>
          <mc:Choice Requires="wps">
            <w:drawing>
              <wp:anchor distT="0" distB="0" distL="114300" distR="114300" simplePos="0" relativeHeight="251718656" behindDoc="0" locked="0" layoutInCell="1" allowOverlap="1" wp14:anchorId="6B266045" wp14:editId="3A48274F">
                <wp:simplePos x="0" y="0"/>
                <wp:positionH relativeFrom="column">
                  <wp:posOffset>4653805</wp:posOffset>
                </wp:positionH>
                <wp:positionV relativeFrom="paragraph">
                  <wp:posOffset>268798</wp:posOffset>
                </wp:positionV>
                <wp:extent cx="164685" cy="0"/>
                <wp:effectExtent l="0" t="76200" r="26035" b="95250"/>
                <wp:wrapNone/>
                <wp:docPr id="1775455815" name="Straight Arrow Connector 227"/>
                <wp:cNvGraphicFramePr/>
                <a:graphic xmlns:a="http://schemas.openxmlformats.org/drawingml/2006/main">
                  <a:graphicData uri="http://schemas.microsoft.com/office/word/2010/wordprocessingShape">
                    <wps:wsp>
                      <wps:cNvCnPr/>
                      <wps:spPr>
                        <a:xfrm>
                          <a:off x="0" y="0"/>
                          <a:ext cx="16468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3D4790D" id="Straight Arrow Connector 227" o:spid="_x0000_s1026" type="#_x0000_t32" style="position:absolute;margin-left:366.45pt;margin-top:21.15pt;width:12.95pt;height:0;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" strokecolor="black [3200]" strokeweight="1.5pt">
                <v:stroke endarrow="block" joinstyle="miter"/>
              </v:shape>
            </w:pict>
          </mc:Fallback>
        </mc:AlternateContent>
      </w:r>
      <w:r w:rsidRPr="00CC1FC3">
        <w:rPr>
          <w:noProof/>
          <w:color w:val="0F1115"/>
        </w:rPr>
        <mc:AlternateContent>
          <mc:Choice Requires="wps">
            <w:drawing>
              <wp:anchor distT="0" distB="0" distL="114300" distR="114300" simplePos="0" relativeHeight="251699200" behindDoc="0" locked="0" layoutInCell="1" allowOverlap="1" wp14:anchorId="7D18DF6E" wp14:editId="3E408815">
                <wp:simplePos x="0" y="0"/>
                <wp:positionH relativeFrom="column">
                  <wp:posOffset>-286247</wp:posOffset>
                </wp:positionH>
                <wp:positionV relativeFrom="paragraph">
                  <wp:posOffset>-63610</wp:posOffset>
                </wp:positionV>
                <wp:extent cx="4940052" cy="548640"/>
                <wp:effectExtent l="0" t="0" r="13335" b="22860"/>
                <wp:wrapNone/>
                <wp:docPr id="5" name="Rectangle 4">
                  <a:extLst xmlns:a="http://schemas.openxmlformats.org/drawingml/2006/main">
                    <a:ext uri="{FF2B5EF4-FFF2-40B4-BE49-F238E27FC236}">
                      <a16:creationId xmlns:a16="http://schemas.microsoft.com/office/drawing/2014/main" id="{5030F779-4B4C-6A05-872E-C85FC03B77BD}"/>
                    </a:ext>
                  </a:extLst>
                </wp:docPr>
                <wp:cNvGraphicFramePr/>
                <a:graphic xmlns:a="http://schemas.openxmlformats.org/drawingml/2006/main">
                  <a:graphicData uri="http://schemas.microsoft.com/office/word/2010/wordprocessingShape">
                    <wps:wsp>
                      <wps:cNvSpPr/>
                      <wps:spPr>
                        <a:xfrm>
                          <a:off x="0" y="0"/>
                          <a:ext cx="4940052" cy="548640"/>
                        </a:xfrm>
                        <a:prstGeom prst="rect">
                          <a:avLst/>
                        </a:prstGeom>
                        <a:solidFill>
                          <a:srgbClr val="FFFAC8"/>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40A1EDDD" w14:textId="77777777" w:rsidR="00736F61" w:rsidRPr="00167A37" w:rsidRDefault="00736F61" w:rsidP="00736F61">
                            <w:pPr>
                              <w:spacing w:after="0" w:line="240" w:lineRule="auto"/>
                              <w:jc w:val="center"/>
                              <w:rPr>
                                <w:b/>
                                <w:bCs/>
                                <w:color w:val="000000" w:themeColor="text1"/>
                                <w:kern w:val="24"/>
                                <w:sz w:val="22"/>
                                <w:szCs w:val="22"/>
                              </w:rPr>
                            </w:pPr>
                            <w:r w:rsidRPr="00167A37">
                              <w:rPr>
                                <w:b/>
                                <w:bCs/>
                                <w:color w:val="000000" w:themeColor="text1"/>
                                <w:kern w:val="24"/>
                                <w:sz w:val="22"/>
                                <w:szCs w:val="22"/>
                              </w:rPr>
                              <w:t>Macro-level analysis – RQ1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D18DF6E" id="_x0000_s1036" style="position:absolute;left:0;text-align:left;margin-left:-22.55pt;margin-top:-5pt;width:389pt;height:43.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" fillcolor="#fffac8" strokeweight="1pt">
                <v:textbox>
                  <w:txbxContent>
                    <w:p w14:paraId="40A1EDDD" w14:textId="77777777" w:rsidR="00736F61" w:rsidRPr="00167A37" w:rsidRDefault="00736F61" w:rsidP="00736F61">
                      <w:pPr>
                        <w:spacing w:after="0" w:line="240" w:lineRule="auto"/>
                        <w:jc w:val="center"/>
                        <w:rPr>
                          <w:b/>
                          <w:bCs/>
                          <w:color w:val="000000" w:themeColor="text1"/>
                          <w:kern w:val="24"/>
                          <w:sz w:val="22"/>
                          <w:szCs w:val="22"/>
                        </w:rPr>
                      </w:pPr>
                      <w:r w:rsidRPr="00167A37">
                        <w:rPr>
                          <w:b/>
                          <w:bCs/>
                          <w:color w:val="000000" w:themeColor="text1"/>
                          <w:kern w:val="24"/>
                          <w:sz w:val="22"/>
                          <w:szCs w:val="22"/>
                        </w:rPr>
                        <w:t>Macro-level analysis – RQ1</w:t>
                      </w:r>
                    </w:p>
                  </w:txbxContent>
                </v:textbox>
              </v:rect>
            </w:pict>
          </mc:Fallback>
        </mc:AlternateContent>
      </w:r>
      <w:r w:rsidRPr="00CC1FC3">
        <w:rPr>
          <w:noProof/>
          <w:color w:val="0F1115"/>
        </w:rPr>
        <mc:AlternateContent>
          <mc:Choice Requires="wps">
            <w:drawing>
              <wp:anchor distT="0" distB="0" distL="114300" distR="114300" simplePos="0" relativeHeight="251704320" behindDoc="0" locked="0" layoutInCell="1" allowOverlap="1" wp14:anchorId="4CB150B0" wp14:editId="49715F95">
                <wp:simplePos x="0" y="0"/>
                <wp:positionH relativeFrom="column">
                  <wp:posOffset>-288925</wp:posOffset>
                </wp:positionH>
                <wp:positionV relativeFrom="paragraph">
                  <wp:posOffset>390194</wp:posOffset>
                </wp:positionV>
                <wp:extent cx="1399540" cy="389255"/>
                <wp:effectExtent l="0" t="0" r="10160" b="10795"/>
                <wp:wrapNone/>
                <wp:docPr id="2" name="Rectangle 1">
                  <a:extLst xmlns:a="http://schemas.openxmlformats.org/drawingml/2006/main">
                    <a:ext uri="{FF2B5EF4-FFF2-40B4-BE49-F238E27FC236}">
                      <a16:creationId xmlns:a16="http://schemas.microsoft.com/office/drawing/2014/main" id="{A0E47FCF-A814-F09C-F6E4-DE28AEE7B0D3}"/>
                    </a:ext>
                  </a:extLst>
                </wp:docPr>
                <wp:cNvGraphicFramePr/>
                <a:graphic xmlns:a="http://schemas.openxmlformats.org/drawingml/2006/main">
                  <a:graphicData uri="http://schemas.microsoft.com/office/word/2010/wordprocessingShape">
                    <wps:wsp>
                      <wps:cNvSpPr/>
                      <wps:spPr>
                        <a:xfrm>
                          <a:off x="0" y="0"/>
                          <a:ext cx="1399540" cy="389255"/>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6C0146AC" w14:textId="77777777" w:rsidR="00736F61" w:rsidRPr="00167A37" w:rsidRDefault="00736F61" w:rsidP="00736F61">
                            <w:pPr>
                              <w:spacing w:line="240" w:lineRule="auto"/>
                              <w:jc w:val="center"/>
                              <w:rPr>
                                <w:color w:val="000000" w:themeColor="text1"/>
                                <w:kern w:val="24"/>
                                <w:sz w:val="20"/>
                                <w:szCs w:val="20"/>
                              </w:rPr>
                            </w:pPr>
                            <w:r w:rsidRPr="00167A37">
                              <w:rPr>
                                <w:color w:val="000000" w:themeColor="text1"/>
                                <w:kern w:val="24"/>
                                <w:sz w:val="20"/>
                                <w:szCs w:val="20"/>
                              </w:rPr>
                              <w:t>Coercive Isomorphism</w:t>
                            </w:r>
                            <w:r w:rsidRPr="00167A37">
                              <w:rPr>
                                <w:color w:val="000000" w:themeColor="text1"/>
                                <w:kern w:val="24"/>
                                <w:sz w:val="20"/>
                                <w:szCs w:val="20"/>
                              </w:rPr>
                              <w:br/>
                              <w:t>Laws, Regulations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CB150B0" id="Rectangle 1" o:spid="_x0000_s1037" style="position:absolute;left:0;text-align:left;margin-left:-22.75pt;margin-top:30.7pt;width:110.2pt;height:30.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" fillcolor="#dce6fa" strokeweight="1pt">
                <v:textbox>
                  <w:txbxContent>
                    <w:p w14:paraId="6C0146AC" w14:textId="77777777" w:rsidR="00736F61" w:rsidRPr="00167A37" w:rsidRDefault="00736F61" w:rsidP="00736F61">
                      <w:pPr>
                        <w:spacing w:line="240" w:lineRule="auto"/>
                        <w:jc w:val="center"/>
                        <w:rPr>
                          <w:color w:val="000000" w:themeColor="text1"/>
                          <w:kern w:val="24"/>
                          <w:sz w:val="20"/>
                          <w:szCs w:val="20"/>
                        </w:rPr>
                      </w:pPr>
                      <w:r w:rsidRPr="00167A37">
                        <w:rPr>
                          <w:color w:val="000000" w:themeColor="text1"/>
                          <w:kern w:val="24"/>
                          <w:sz w:val="20"/>
                          <w:szCs w:val="20"/>
                        </w:rPr>
                        <w:t>Coercive Isomorphism</w:t>
                      </w:r>
                      <w:r w:rsidRPr="00167A37">
                        <w:rPr>
                          <w:color w:val="000000" w:themeColor="text1"/>
                          <w:kern w:val="24"/>
                          <w:sz w:val="20"/>
                          <w:szCs w:val="20"/>
                        </w:rPr>
                        <w:br/>
                        <w:t>Laws, Regulations</w:t>
                      </w:r>
                    </w:p>
                  </w:txbxContent>
                </v:textbox>
              </v:rect>
            </w:pict>
          </mc:Fallback>
        </mc:AlternateContent>
      </w:r>
      <w:r w:rsidRPr="00CC1FC3">
        <w:rPr>
          <w:noProof/>
          <w:color w:val="0F1115"/>
        </w:rPr>
        <mc:AlternateContent>
          <mc:Choice Requires="wps">
            <w:drawing>
              <wp:anchor distT="0" distB="0" distL="114300" distR="114300" simplePos="0" relativeHeight="251701248" behindDoc="0" locked="0" layoutInCell="1" allowOverlap="1" wp14:anchorId="1D6CA355" wp14:editId="6BC2C34D">
                <wp:simplePos x="0" y="0"/>
                <wp:positionH relativeFrom="column">
                  <wp:posOffset>6720840</wp:posOffset>
                </wp:positionH>
                <wp:positionV relativeFrom="paragraph">
                  <wp:posOffset>3284220</wp:posOffset>
                </wp:positionV>
                <wp:extent cx="1828800" cy="731520"/>
                <wp:effectExtent l="0" t="0" r="19050" b="11430"/>
                <wp:wrapNone/>
                <wp:docPr id="8" name="Rectangle 7">
                  <a:extLst xmlns:a="http://schemas.openxmlformats.org/drawingml/2006/main">
                    <a:ext uri="{FF2B5EF4-FFF2-40B4-BE49-F238E27FC236}">
                      <a16:creationId xmlns:a16="http://schemas.microsoft.com/office/drawing/2014/main" id="{7A70B89D-FA3A-2BEF-4067-AF82B9FE0205}"/>
                    </a:ext>
                  </a:extLst>
                </wp:docPr>
                <wp:cNvGraphicFramePr/>
                <a:graphic xmlns:a="http://schemas.openxmlformats.org/drawingml/2006/main">
                  <a:graphicData uri="http://schemas.microsoft.com/office/word/2010/wordprocessingShape">
                    <wps:wsp>
                      <wps:cNvSpPr/>
                      <wps:spPr>
                        <a:xfrm>
                          <a:off x="0" y="0"/>
                          <a:ext cx="1828800" cy="731520"/>
                        </a:xfrm>
                        <a:prstGeom prst="rect">
                          <a:avLst/>
                        </a:prstGeom>
                        <a:solidFill>
                          <a:srgbClr val="FFC8E6"/>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313256FB" w14:textId="77777777" w:rsidR="00736F61" w:rsidRPr="0075179C" w:rsidRDefault="00736F61" w:rsidP="00736F61">
                            <w:pPr>
                              <w:jc w:val="center"/>
                              <w:rPr>
                                <w:b/>
                                <w:bCs/>
                                <w:color w:val="000000" w:themeColor="text1"/>
                                <w:kern w:val="24"/>
                              </w:rPr>
                            </w:pPr>
                            <w:r w:rsidRPr="0075179C">
                              <w:rPr>
                                <w:b/>
                                <w:bCs/>
                                <w:color w:val="000000" w:themeColor="text1"/>
                                <w:kern w:val="24"/>
                              </w:rPr>
                              <w:t>Decoupling</w:t>
                            </w:r>
                          </w:p>
                        </w:txbxContent>
                      </wps:txbx>
                      <wps:bodyPr rtlCol="0" anchor="ctr"/>
                    </wps:wsp>
                  </a:graphicData>
                </a:graphic>
              </wp:anchor>
            </w:drawing>
          </mc:Choice>
          <mc:Fallback>
            <w:pict>
              <v:rect w14:anchorId="1D6CA355" id="Rectangle 7" o:spid="_x0000_s1038" style="position:absolute;left:0;text-align:left;margin-left:529.2pt;margin-top:258.6pt;width:2in;height:57.6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" fillcolor="#ffc8e6" strokeweight="1pt">
                <v:textbox>
                  <w:txbxContent>
                    <w:p w14:paraId="313256FB" w14:textId="77777777" w:rsidR="00736F61" w:rsidRPr="0075179C" w:rsidRDefault="00736F61" w:rsidP="00736F61">
                      <w:pPr>
                        <w:jc w:val="center"/>
                        <w:rPr>
                          <w:b/>
                          <w:bCs/>
                          <w:color w:val="000000" w:themeColor="text1"/>
                          <w:kern w:val="24"/>
                        </w:rPr>
                      </w:pPr>
                      <w:r w:rsidRPr="0075179C">
                        <w:rPr>
                          <w:b/>
                          <w:bCs/>
                          <w:color w:val="000000" w:themeColor="text1"/>
                          <w:kern w:val="24"/>
                        </w:rPr>
                        <w:t>Decoupling</w:t>
                      </w:r>
                    </w:p>
                  </w:txbxContent>
                </v:textbox>
              </v:rect>
            </w:pict>
          </mc:Fallback>
        </mc:AlternateContent>
      </w:r>
    </w:p>
    <w:p w14:paraId="24B9300E"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Pr>
          <w:noProof/>
          <w:color w:val="0F1115"/>
        </w:rPr>
        <mc:AlternateContent>
          <mc:Choice Requires="wps">
            <w:drawing>
              <wp:anchor distT="0" distB="0" distL="114300" distR="114300" simplePos="0" relativeHeight="251719680" behindDoc="0" locked="0" layoutInCell="1" allowOverlap="1" wp14:anchorId="29CB4F7E" wp14:editId="77B56B9D">
                <wp:simplePos x="0" y="0"/>
                <wp:positionH relativeFrom="column">
                  <wp:posOffset>3789045</wp:posOffset>
                </wp:positionH>
                <wp:positionV relativeFrom="paragraph">
                  <wp:posOffset>42849</wp:posOffset>
                </wp:positionV>
                <wp:extent cx="1041400" cy="955040"/>
                <wp:effectExtent l="0" t="76200" r="0" b="35560"/>
                <wp:wrapNone/>
                <wp:docPr id="2012662460" name="Connector: Elbow 228"/>
                <wp:cNvGraphicFramePr/>
                <a:graphic xmlns:a="http://schemas.openxmlformats.org/drawingml/2006/main">
                  <a:graphicData uri="http://schemas.microsoft.com/office/word/2010/wordprocessingShape">
                    <wps:wsp>
                      <wps:cNvCnPr/>
                      <wps:spPr>
                        <a:xfrm flipV="1">
                          <a:off x="0" y="0"/>
                          <a:ext cx="1041400" cy="955040"/>
                        </a:xfrm>
                        <a:prstGeom prst="bentConnector3">
                          <a:avLst>
                            <a:gd name="adj1" fmla="val 8892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40015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28" o:spid="_x0000_s1026" type="#_x0000_t34" style="position:absolute;margin-left:298.35pt;margin-top:3.35pt;width:82pt;height:75.2pt;flip: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" adj="19207" strokecolor="black [3200]" strokeweight="1.5pt">
                <v:stroke endarrow="block"/>
              </v:shape>
            </w:pict>
          </mc:Fallback>
        </mc:AlternateContent>
      </w:r>
      <w:r w:rsidRPr="00CC1FC3">
        <w:rPr>
          <w:noProof/>
          <w:color w:val="0F1115"/>
        </w:rPr>
        <mc:AlternateContent>
          <mc:Choice Requires="wps">
            <w:drawing>
              <wp:anchor distT="45720" distB="45720" distL="114300" distR="114300" simplePos="0" relativeHeight="251707392" behindDoc="0" locked="0" layoutInCell="1" allowOverlap="1" wp14:anchorId="05EE53E2" wp14:editId="2314C3AB">
                <wp:simplePos x="0" y="0"/>
                <wp:positionH relativeFrom="column">
                  <wp:posOffset>4945380</wp:posOffset>
                </wp:positionH>
                <wp:positionV relativeFrom="paragraph">
                  <wp:posOffset>35560</wp:posOffset>
                </wp:positionV>
                <wp:extent cx="1170940" cy="667385"/>
                <wp:effectExtent l="0" t="0" r="1016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0940" cy="667385"/>
                        </a:xfrm>
                        <a:prstGeom prst="rect">
                          <a:avLst/>
                        </a:prstGeom>
                        <a:solidFill>
                          <a:schemeClr val="tx2">
                            <a:lumMod val="10000"/>
                            <a:lumOff val="90000"/>
                          </a:schemeClr>
                        </a:solidFill>
                        <a:ln w="9525">
                          <a:solidFill>
                            <a:srgbClr val="000000"/>
                          </a:solidFill>
                          <a:miter lim="800000"/>
                          <a:headEnd/>
                          <a:tailEnd/>
                        </a:ln>
                      </wps:spPr>
                      <wps:txbx>
                        <w:txbxContent>
                          <w:p w14:paraId="69B80AE6" w14:textId="77777777" w:rsidR="00736F61" w:rsidRPr="006A312C" w:rsidRDefault="00736F61" w:rsidP="00736F61">
                            <w:pPr>
                              <w:spacing w:line="240" w:lineRule="auto"/>
                              <w:jc w:val="center"/>
                              <w:rPr>
                                <w:color w:val="000000" w:themeColor="text1"/>
                                <w:kern w:val="24"/>
                                <w:sz w:val="20"/>
                                <w:szCs w:val="20"/>
                              </w:rPr>
                            </w:pPr>
                            <w:r w:rsidRPr="006A312C">
                              <w:rPr>
                                <w:color w:val="000000" w:themeColor="text1"/>
                                <w:kern w:val="24"/>
                                <w:sz w:val="20"/>
                                <w:szCs w:val="20"/>
                              </w:rPr>
                              <w:t>Investigation of the 'Black Box'</w:t>
                            </w:r>
                            <w:r w:rsidRPr="006A312C">
                              <w:rPr>
                                <w:color w:val="000000" w:themeColor="text1"/>
                                <w:kern w:val="24"/>
                                <w:sz w:val="20"/>
                                <w:szCs w:val="20"/>
                              </w:rPr>
                              <w:br/>
                              <w:t>Sri Lankan Context</w:t>
                            </w:r>
                          </w:p>
                          <w:p w14:paraId="548708F9" w14:textId="77777777" w:rsidR="00736F61" w:rsidRDefault="00736F61" w:rsidP="00736F6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EE53E2" id="Text Box 2" o:spid="_x0000_s1039" type="#_x0000_t202" style="position:absolute;left:0;text-align:left;margin-left:389.4pt;margin-top:2.8pt;width:92.2pt;height:52.5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" fillcolor="#dceaf7 [351]">
                <v:textbox>
                  <w:txbxContent>
                    <w:p w14:paraId="69B80AE6" w14:textId="77777777" w:rsidR="00736F61" w:rsidRPr="006A312C" w:rsidRDefault="00736F61" w:rsidP="00736F61">
                      <w:pPr>
                        <w:spacing w:line="240" w:lineRule="auto"/>
                        <w:jc w:val="center"/>
                        <w:rPr>
                          <w:color w:val="000000" w:themeColor="text1"/>
                          <w:kern w:val="24"/>
                          <w:sz w:val="20"/>
                          <w:szCs w:val="20"/>
                        </w:rPr>
                      </w:pPr>
                      <w:r w:rsidRPr="006A312C">
                        <w:rPr>
                          <w:color w:val="000000" w:themeColor="text1"/>
                          <w:kern w:val="24"/>
                          <w:sz w:val="20"/>
                          <w:szCs w:val="20"/>
                        </w:rPr>
                        <w:t>Investigation of the 'Black Box'</w:t>
                      </w:r>
                      <w:r w:rsidRPr="006A312C">
                        <w:rPr>
                          <w:color w:val="000000" w:themeColor="text1"/>
                          <w:kern w:val="24"/>
                          <w:sz w:val="20"/>
                          <w:szCs w:val="20"/>
                        </w:rPr>
                        <w:br/>
                        <w:t>Sri Lankan Context</w:t>
                      </w:r>
                    </w:p>
                    <w:p w14:paraId="548708F9" w14:textId="77777777" w:rsidR="00736F61" w:rsidRDefault="00736F61" w:rsidP="00736F61"/>
                  </w:txbxContent>
                </v:textbox>
                <w10:wrap type="square"/>
              </v:shape>
            </w:pict>
          </mc:Fallback>
        </mc:AlternateContent>
      </w:r>
      <w:r w:rsidRPr="00CC1FC3">
        <w:rPr>
          <w:noProof/>
          <w:color w:val="0F1115"/>
        </w:rPr>
        <mc:AlternateContent>
          <mc:Choice Requires="wps">
            <w:drawing>
              <wp:anchor distT="0" distB="0" distL="114300" distR="114300" simplePos="0" relativeHeight="251706368" behindDoc="0" locked="0" layoutInCell="1" allowOverlap="1" wp14:anchorId="6EA3444B" wp14:editId="087FF4E6">
                <wp:simplePos x="0" y="0"/>
                <wp:positionH relativeFrom="column">
                  <wp:posOffset>2859405</wp:posOffset>
                </wp:positionH>
                <wp:positionV relativeFrom="paragraph">
                  <wp:posOffset>18084</wp:posOffset>
                </wp:positionV>
                <wp:extent cx="1791335" cy="523240"/>
                <wp:effectExtent l="0" t="0" r="18415" b="10160"/>
                <wp:wrapNone/>
                <wp:docPr id="4" name="Rectangle 3">
                  <a:extLst xmlns:a="http://schemas.openxmlformats.org/drawingml/2006/main">
                    <a:ext uri="{FF2B5EF4-FFF2-40B4-BE49-F238E27FC236}">
                      <a16:creationId xmlns:a16="http://schemas.microsoft.com/office/drawing/2014/main" id="{D9DFFC01-AB57-84C9-D93B-A8E9FB234168}"/>
                    </a:ext>
                  </a:extLst>
                </wp:docPr>
                <wp:cNvGraphicFramePr/>
                <a:graphic xmlns:a="http://schemas.openxmlformats.org/drawingml/2006/main">
                  <a:graphicData uri="http://schemas.microsoft.com/office/word/2010/wordprocessingShape">
                    <wps:wsp>
                      <wps:cNvSpPr/>
                      <wps:spPr>
                        <a:xfrm>
                          <a:off x="0" y="0"/>
                          <a:ext cx="1791335" cy="523240"/>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760D58AF" w14:textId="77777777" w:rsidR="00736F61" w:rsidRPr="00F93842" w:rsidRDefault="00736F61" w:rsidP="00736F61">
                            <w:pPr>
                              <w:spacing w:after="0" w:line="240" w:lineRule="auto"/>
                              <w:jc w:val="center"/>
                              <w:rPr>
                                <w:color w:val="000000" w:themeColor="text1"/>
                                <w:kern w:val="24"/>
                                <w:sz w:val="19"/>
                                <w:szCs w:val="19"/>
                              </w:rPr>
                            </w:pPr>
                            <w:r w:rsidRPr="00F93842">
                              <w:rPr>
                                <w:color w:val="000000" w:themeColor="text1"/>
                                <w:kern w:val="24"/>
                                <w:sz w:val="19"/>
                                <w:szCs w:val="19"/>
                              </w:rPr>
                              <w:t>Normative Isomorphism</w:t>
                            </w:r>
                            <w:r w:rsidRPr="00F93842">
                              <w:rPr>
                                <w:color w:val="000000" w:themeColor="text1"/>
                                <w:kern w:val="24"/>
                                <w:sz w:val="19"/>
                                <w:szCs w:val="19"/>
                              </w:rPr>
                              <w:br/>
                              <w:t>Professionalization, Network, regulations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EA3444B" id="_x0000_s1040" style="position:absolute;left:0;text-align:left;margin-left:225.15pt;margin-top:1.4pt;width:141.05pt;height:41.2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" fillcolor="#dce6fa" strokeweight="1pt">
                <v:textbox>
                  <w:txbxContent>
                    <w:p w14:paraId="760D58AF" w14:textId="77777777" w:rsidR="00736F61" w:rsidRPr="00F93842" w:rsidRDefault="00736F61" w:rsidP="00736F61">
                      <w:pPr>
                        <w:spacing w:after="0" w:line="240" w:lineRule="auto"/>
                        <w:jc w:val="center"/>
                        <w:rPr>
                          <w:color w:val="000000" w:themeColor="text1"/>
                          <w:kern w:val="24"/>
                          <w:sz w:val="19"/>
                          <w:szCs w:val="19"/>
                        </w:rPr>
                      </w:pPr>
                      <w:r w:rsidRPr="00F93842">
                        <w:rPr>
                          <w:color w:val="000000" w:themeColor="text1"/>
                          <w:kern w:val="24"/>
                          <w:sz w:val="19"/>
                          <w:szCs w:val="19"/>
                        </w:rPr>
                        <w:t>Normative Isomorphism</w:t>
                      </w:r>
                      <w:r w:rsidRPr="00F93842">
                        <w:rPr>
                          <w:color w:val="000000" w:themeColor="text1"/>
                          <w:kern w:val="24"/>
                          <w:sz w:val="19"/>
                          <w:szCs w:val="19"/>
                        </w:rPr>
                        <w:br/>
                        <w:t>Professionalization, Network, regulations</w:t>
                      </w:r>
                    </w:p>
                  </w:txbxContent>
                </v:textbox>
              </v:rect>
            </w:pict>
          </mc:Fallback>
        </mc:AlternateContent>
      </w:r>
      <w:r w:rsidRPr="00CC1FC3">
        <w:rPr>
          <w:noProof/>
          <w:color w:val="0F1115"/>
        </w:rPr>
        <mc:AlternateContent>
          <mc:Choice Requires="wps">
            <w:drawing>
              <wp:anchor distT="0" distB="0" distL="114300" distR="114300" simplePos="0" relativeHeight="251705344" behindDoc="0" locked="0" layoutInCell="1" allowOverlap="1" wp14:anchorId="2FE2D494" wp14:editId="2C01EE02">
                <wp:simplePos x="0" y="0"/>
                <wp:positionH relativeFrom="column">
                  <wp:posOffset>1196340</wp:posOffset>
                </wp:positionH>
                <wp:positionV relativeFrom="paragraph">
                  <wp:posOffset>40309</wp:posOffset>
                </wp:positionV>
                <wp:extent cx="1569720" cy="389255"/>
                <wp:effectExtent l="0" t="0" r="11430" b="10795"/>
                <wp:wrapNone/>
                <wp:docPr id="3" name="Rectangle 2">
                  <a:extLst xmlns:a="http://schemas.openxmlformats.org/drawingml/2006/main">
                    <a:ext uri="{FF2B5EF4-FFF2-40B4-BE49-F238E27FC236}">
                      <a16:creationId xmlns:a16="http://schemas.microsoft.com/office/drawing/2014/main" id="{99384A82-EEED-7B0D-A44C-F05488935F0C}"/>
                    </a:ext>
                  </a:extLst>
                </wp:docPr>
                <wp:cNvGraphicFramePr/>
                <a:graphic xmlns:a="http://schemas.openxmlformats.org/drawingml/2006/main">
                  <a:graphicData uri="http://schemas.microsoft.com/office/word/2010/wordprocessingShape">
                    <wps:wsp>
                      <wps:cNvSpPr/>
                      <wps:spPr>
                        <a:xfrm>
                          <a:off x="0" y="0"/>
                          <a:ext cx="1569720" cy="389255"/>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7A80F16C" w14:textId="77777777" w:rsidR="00736F61" w:rsidRPr="00167A37" w:rsidRDefault="00736F61" w:rsidP="00736F61">
                            <w:pPr>
                              <w:spacing w:line="240" w:lineRule="auto"/>
                              <w:jc w:val="center"/>
                              <w:rPr>
                                <w:color w:val="000000" w:themeColor="text1"/>
                                <w:kern w:val="24"/>
                                <w:sz w:val="20"/>
                                <w:szCs w:val="20"/>
                              </w:rPr>
                            </w:pPr>
                            <w:r w:rsidRPr="00167A37">
                              <w:rPr>
                                <w:color w:val="000000" w:themeColor="text1"/>
                                <w:kern w:val="24"/>
                                <w:sz w:val="20"/>
                                <w:szCs w:val="20"/>
                              </w:rPr>
                              <w:t>Mimetic Isomorphism</w:t>
                            </w:r>
                            <w:r w:rsidRPr="00167A37">
                              <w:rPr>
                                <w:color w:val="000000" w:themeColor="text1"/>
                                <w:kern w:val="24"/>
                                <w:sz w:val="20"/>
                                <w:szCs w:val="20"/>
                              </w:rPr>
                              <w:br/>
                              <w:t>Uncertainty, Imitation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FE2D494" id="_x0000_s1041" style="position:absolute;left:0;text-align:left;margin-left:94.2pt;margin-top:3.15pt;width:123.6pt;height:30.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" fillcolor="#dce6fa" strokeweight="1pt">
                <v:textbox>
                  <w:txbxContent>
                    <w:p w14:paraId="7A80F16C" w14:textId="77777777" w:rsidR="00736F61" w:rsidRPr="00167A37" w:rsidRDefault="00736F61" w:rsidP="00736F61">
                      <w:pPr>
                        <w:spacing w:line="240" w:lineRule="auto"/>
                        <w:jc w:val="center"/>
                        <w:rPr>
                          <w:color w:val="000000" w:themeColor="text1"/>
                          <w:kern w:val="24"/>
                          <w:sz w:val="20"/>
                          <w:szCs w:val="20"/>
                        </w:rPr>
                      </w:pPr>
                      <w:r w:rsidRPr="00167A37">
                        <w:rPr>
                          <w:color w:val="000000" w:themeColor="text1"/>
                          <w:kern w:val="24"/>
                          <w:sz w:val="20"/>
                          <w:szCs w:val="20"/>
                        </w:rPr>
                        <w:t>Mimetic Isomorphism</w:t>
                      </w:r>
                      <w:r w:rsidRPr="00167A37">
                        <w:rPr>
                          <w:color w:val="000000" w:themeColor="text1"/>
                          <w:kern w:val="24"/>
                          <w:sz w:val="20"/>
                          <w:szCs w:val="20"/>
                        </w:rPr>
                        <w:br/>
                        <w:t>Uncertainty, Imitation</w:t>
                      </w:r>
                    </w:p>
                  </w:txbxContent>
                </v:textbox>
              </v:rect>
            </w:pict>
          </mc:Fallback>
        </mc:AlternateContent>
      </w:r>
    </w:p>
    <w:p w14:paraId="6F7544BA"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mc:AlternateContent>
          <mc:Choice Requires="wps">
            <w:drawing>
              <wp:anchor distT="0" distB="0" distL="114300" distR="114300" simplePos="0" relativeHeight="251714560" behindDoc="0" locked="0" layoutInCell="1" allowOverlap="1" wp14:anchorId="61149E10" wp14:editId="6F00B5C2">
                <wp:simplePos x="0" y="0"/>
                <wp:positionH relativeFrom="column">
                  <wp:posOffset>3480435</wp:posOffset>
                </wp:positionH>
                <wp:positionV relativeFrom="paragraph">
                  <wp:posOffset>191135</wp:posOffset>
                </wp:positionV>
                <wp:extent cx="0" cy="298450"/>
                <wp:effectExtent l="76200" t="0" r="57150" b="63500"/>
                <wp:wrapNone/>
                <wp:docPr id="557617724" name="Straight Arrow Connector 4"/>
                <wp:cNvGraphicFramePr/>
                <a:graphic xmlns:a="http://schemas.openxmlformats.org/drawingml/2006/main">
                  <a:graphicData uri="http://schemas.microsoft.com/office/word/2010/wordprocessingShape">
                    <wps:wsp>
                      <wps:cNvCnPr/>
                      <wps:spPr>
                        <a:xfrm>
                          <a:off x="0" y="0"/>
                          <a:ext cx="0" cy="298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B80700" id="Straight Arrow Connector 4" o:spid="_x0000_s1026" type="#_x0000_t32" style="position:absolute;margin-left:274.05pt;margin-top:15.05pt;width:0;height:23.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" strokecolor="black [3200]" strokeweight="1pt">
                <v:stroke endarrow="block" joinstyle="miter"/>
              </v:shape>
            </w:pict>
          </mc:Fallback>
        </mc:AlternateContent>
      </w:r>
      <w:r w:rsidRPr="00CC1FC3">
        <w:rPr>
          <w:noProof/>
          <w:color w:val="0F1115"/>
        </w:rPr>
        <mc:AlternateContent>
          <mc:Choice Requires="wps">
            <w:drawing>
              <wp:anchor distT="0" distB="0" distL="114300" distR="114300" simplePos="0" relativeHeight="251712512" behindDoc="0" locked="0" layoutInCell="1" allowOverlap="1" wp14:anchorId="0949CD8A" wp14:editId="6F5ED68F">
                <wp:simplePos x="0" y="0"/>
                <wp:positionH relativeFrom="column">
                  <wp:posOffset>1960880</wp:posOffset>
                </wp:positionH>
                <wp:positionV relativeFrom="paragraph">
                  <wp:posOffset>115138</wp:posOffset>
                </wp:positionV>
                <wp:extent cx="0" cy="367030"/>
                <wp:effectExtent l="76200" t="0" r="76200" b="52070"/>
                <wp:wrapNone/>
                <wp:docPr id="17685150" name="Straight Arrow Connector 2"/>
                <wp:cNvGraphicFramePr/>
                <a:graphic xmlns:a="http://schemas.openxmlformats.org/drawingml/2006/main">
                  <a:graphicData uri="http://schemas.microsoft.com/office/word/2010/wordprocessingShape">
                    <wps:wsp>
                      <wps:cNvCnPr/>
                      <wps:spPr>
                        <a:xfrm>
                          <a:off x="0" y="0"/>
                          <a:ext cx="0" cy="3670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CE4281" id="Straight Arrow Connector 2" o:spid="_x0000_s1026" type="#_x0000_t32" style="position:absolute;margin-left:154.4pt;margin-top:9.05pt;width:0;height:28.9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" strokecolor="black [3200]" strokeweight="1pt">
                <v:stroke endarrow="block" joinstyle="miter"/>
              </v:shape>
            </w:pict>
          </mc:Fallback>
        </mc:AlternateContent>
      </w:r>
      <w:r w:rsidRPr="00CC1FC3">
        <w:rPr>
          <w:noProof/>
          <w:color w:val="0F1115"/>
        </w:rPr>
        <mc:AlternateContent>
          <mc:Choice Requires="wps">
            <w:drawing>
              <wp:anchor distT="0" distB="0" distL="114300" distR="114300" simplePos="0" relativeHeight="251713536" behindDoc="0" locked="0" layoutInCell="1" allowOverlap="1" wp14:anchorId="245A2B54" wp14:editId="323D0743">
                <wp:simplePos x="0" y="0"/>
                <wp:positionH relativeFrom="column">
                  <wp:posOffset>480060</wp:posOffset>
                </wp:positionH>
                <wp:positionV relativeFrom="paragraph">
                  <wp:posOffset>104343</wp:posOffset>
                </wp:positionV>
                <wp:extent cx="0" cy="367030"/>
                <wp:effectExtent l="76200" t="0" r="76200" b="52070"/>
                <wp:wrapNone/>
                <wp:docPr id="1908139499" name="Straight Arrow Connector 2"/>
                <wp:cNvGraphicFramePr/>
                <a:graphic xmlns:a="http://schemas.openxmlformats.org/drawingml/2006/main">
                  <a:graphicData uri="http://schemas.microsoft.com/office/word/2010/wordprocessingShape">
                    <wps:wsp>
                      <wps:cNvCnPr/>
                      <wps:spPr>
                        <a:xfrm>
                          <a:off x="0" y="0"/>
                          <a:ext cx="0" cy="3670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B192634" id="Straight Arrow Connector 2" o:spid="_x0000_s1026" type="#_x0000_t32" style="position:absolute;margin-left:37.8pt;margin-top:8.2pt;width:0;height:28.9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" strokecolor="black [3200]" strokeweight="1pt">
                <v:stroke endarrow="block" joinstyle="miter"/>
              </v:shape>
            </w:pict>
          </mc:Fallback>
        </mc:AlternateContent>
      </w:r>
    </w:p>
    <w:p w14:paraId="00DA83E4"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mc:AlternateContent>
          <mc:Choice Requires="wps">
            <w:drawing>
              <wp:anchor distT="0" distB="0" distL="114300" distR="114300" simplePos="0" relativeHeight="251717632" behindDoc="0" locked="0" layoutInCell="1" allowOverlap="1" wp14:anchorId="6A4C75B2" wp14:editId="124C1E22">
                <wp:simplePos x="0" y="0"/>
                <wp:positionH relativeFrom="column">
                  <wp:posOffset>5494324</wp:posOffset>
                </wp:positionH>
                <wp:positionV relativeFrom="paragraph">
                  <wp:posOffset>51435</wp:posOffset>
                </wp:positionV>
                <wp:extent cx="0" cy="298450"/>
                <wp:effectExtent l="76200" t="0" r="57150" b="63500"/>
                <wp:wrapNone/>
                <wp:docPr id="1064209200" name="Straight Arrow Connector 4"/>
                <wp:cNvGraphicFramePr/>
                <a:graphic xmlns:a="http://schemas.openxmlformats.org/drawingml/2006/main">
                  <a:graphicData uri="http://schemas.microsoft.com/office/word/2010/wordprocessingShape">
                    <wps:wsp>
                      <wps:cNvCnPr/>
                      <wps:spPr>
                        <a:xfrm>
                          <a:off x="0" y="0"/>
                          <a:ext cx="0" cy="298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FFB4BAA" id="Straight Arrow Connector 4" o:spid="_x0000_s1026" type="#_x0000_t32" style="position:absolute;margin-left:432.6pt;margin-top:4.05pt;width:0;height:23.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" strokecolor="black [3200]" strokeweight="1pt">
                <v:stroke endarrow="block" joinstyle="miter"/>
              </v:shape>
            </w:pict>
          </mc:Fallback>
        </mc:AlternateContent>
      </w:r>
      <w:r w:rsidRPr="00CC1FC3">
        <w:rPr>
          <w:noProof/>
          <w:color w:val="0F1115"/>
        </w:rPr>
        <mc:AlternateContent>
          <mc:Choice Requires="wps">
            <w:drawing>
              <wp:anchor distT="0" distB="0" distL="114300" distR="114300" simplePos="0" relativeHeight="251710464" behindDoc="0" locked="0" layoutInCell="1" allowOverlap="1" wp14:anchorId="0D2CCA7B" wp14:editId="0A609925">
                <wp:simplePos x="0" y="0"/>
                <wp:positionH relativeFrom="column">
                  <wp:posOffset>0</wp:posOffset>
                </wp:positionH>
                <wp:positionV relativeFrom="paragraph">
                  <wp:posOffset>144348</wp:posOffset>
                </wp:positionV>
                <wp:extent cx="3827868" cy="478790"/>
                <wp:effectExtent l="0" t="0" r="20320" b="16510"/>
                <wp:wrapNone/>
                <wp:docPr id="2007936249" name="Rectangle 4"/>
                <wp:cNvGraphicFramePr/>
                <a:graphic xmlns:a="http://schemas.openxmlformats.org/drawingml/2006/main">
                  <a:graphicData uri="http://schemas.microsoft.com/office/word/2010/wordprocessingShape">
                    <wps:wsp>
                      <wps:cNvSpPr/>
                      <wps:spPr>
                        <a:xfrm>
                          <a:off x="0" y="0"/>
                          <a:ext cx="3827868" cy="478790"/>
                        </a:xfrm>
                        <a:prstGeom prst="rect">
                          <a:avLst/>
                        </a:prstGeom>
                        <a:solidFill>
                          <a:srgbClr val="FFFAC8"/>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7996E989" w14:textId="77777777" w:rsidR="00736F61" w:rsidRPr="00FC1122" w:rsidRDefault="00736F61" w:rsidP="00736F61">
                            <w:pPr>
                              <w:spacing w:after="0" w:line="240" w:lineRule="auto"/>
                              <w:jc w:val="center"/>
                              <w:rPr>
                                <w:b/>
                                <w:bCs/>
                                <w:color w:val="000000" w:themeColor="text1"/>
                                <w:kern w:val="24"/>
                                <w:sz w:val="22"/>
                                <w:szCs w:val="22"/>
                              </w:rPr>
                            </w:pPr>
                            <w:r w:rsidRPr="00FC1122">
                              <w:rPr>
                                <w:b/>
                                <w:bCs/>
                                <w:color w:val="000000" w:themeColor="text1"/>
                                <w:kern w:val="24"/>
                                <w:sz w:val="22"/>
                                <w:szCs w:val="22"/>
                              </w:rPr>
                              <w:t>Meso</w:t>
                            </w:r>
                            <w:r>
                              <w:rPr>
                                <w:b/>
                                <w:bCs/>
                                <w:color w:val="000000" w:themeColor="text1"/>
                                <w:kern w:val="24"/>
                                <w:sz w:val="22"/>
                                <w:szCs w:val="22"/>
                              </w:rPr>
                              <w:t>-l</w:t>
                            </w:r>
                            <w:r w:rsidRPr="00FC1122">
                              <w:rPr>
                                <w:b/>
                                <w:bCs/>
                                <w:color w:val="000000" w:themeColor="text1"/>
                                <w:kern w:val="24"/>
                                <w:sz w:val="22"/>
                                <w:szCs w:val="22"/>
                              </w:rPr>
                              <w:t>evel analysis- RQ2</w:t>
                            </w:r>
                            <w:r>
                              <w:rPr>
                                <w:b/>
                                <w:bCs/>
                                <w:color w:val="000000" w:themeColor="text1"/>
                                <w:kern w:val="24"/>
                                <w:sz w:val="22"/>
                                <w:szCs w:val="22"/>
                              </w:rPr>
                              <w:t xml:space="preserve"> and RQ3</w:t>
                            </w:r>
                          </w:p>
                          <w:p w14:paraId="2D8A234F" w14:textId="77777777" w:rsidR="00736F61" w:rsidRPr="00167A37" w:rsidRDefault="00736F61" w:rsidP="00736F61">
                            <w:pPr>
                              <w:spacing w:after="0" w:line="240" w:lineRule="auto"/>
                              <w:jc w:val="center"/>
                              <w:rPr>
                                <w:b/>
                                <w:bCs/>
                                <w:color w:val="000000" w:themeColor="text1"/>
                                <w:kern w:val="24"/>
                                <w:sz w:val="22"/>
                                <w:szCs w:val="22"/>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D2CCA7B" id="_x0000_s1042" style="position:absolute;left:0;text-align:left;margin-left:0;margin-top:11.35pt;width:301.4pt;height:37.7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" fillcolor="#fffac8" strokeweight="1pt">
                <v:textbox>
                  <w:txbxContent>
                    <w:p w14:paraId="7996E989" w14:textId="77777777" w:rsidR="00736F61" w:rsidRPr="00FC1122" w:rsidRDefault="00736F61" w:rsidP="00736F61">
                      <w:pPr>
                        <w:spacing w:after="0" w:line="240" w:lineRule="auto"/>
                        <w:jc w:val="center"/>
                        <w:rPr>
                          <w:b/>
                          <w:bCs/>
                          <w:color w:val="000000" w:themeColor="text1"/>
                          <w:kern w:val="24"/>
                          <w:sz w:val="22"/>
                          <w:szCs w:val="22"/>
                        </w:rPr>
                      </w:pPr>
                      <w:r w:rsidRPr="00FC1122">
                        <w:rPr>
                          <w:b/>
                          <w:bCs/>
                          <w:color w:val="000000" w:themeColor="text1"/>
                          <w:kern w:val="24"/>
                          <w:sz w:val="22"/>
                          <w:szCs w:val="22"/>
                        </w:rPr>
                        <w:t>Meso</w:t>
                      </w:r>
                      <w:r>
                        <w:rPr>
                          <w:b/>
                          <w:bCs/>
                          <w:color w:val="000000" w:themeColor="text1"/>
                          <w:kern w:val="24"/>
                          <w:sz w:val="22"/>
                          <w:szCs w:val="22"/>
                        </w:rPr>
                        <w:t>-l</w:t>
                      </w:r>
                      <w:r w:rsidRPr="00FC1122">
                        <w:rPr>
                          <w:b/>
                          <w:bCs/>
                          <w:color w:val="000000" w:themeColor="text1"/>
                          <w:kern w:val="24"/>
                          <w:sz w:val="22"/>
                          <w:szCs w:val="22"/>
                        </w:rPr>
                        <w:t>evel analysis- RQ2</w:t>
                      </w:r>
                      <w:r>
                        <w:rPr>
                          <w:b/>
                          <w:bCs/>
                          <w:color w:val="000000" w:themeColor="text1"/>
                          <w:kern w:val="24"/>
                          <w:sz w:val="22"/>
                          <w:szCs w:val="22"/>
                        </w:rPr>
                        <w:t xml:space="preserve"> and RQ3</w:t>
                      </w:r>
                    </w:p>
                    <w:p w14:paraId="2D8A234F" w14:textId="77777777" w:rsidR="00736F61" w:rsidRPr="00167A37" w:rsidRDefault="00736F61" w:rsidP="00736F61">
                      <w:pPr>
                        <w:spacing w:after="0" w:line="240" w:lineRule="auto"/>
                        <w:jc w:val="center"/>
                        <w:rPr>
                          <w:b/>
                          <w:bCs/>
                          <w:color w:val="000000" w:themeColor="text1"/>
                          <w:kern w:val="24"/>
                          <w:sz w:val="22"/>
                          <w:szCs w:val="22"/>
                        </w:rPr>
                      </w:pPr>
                    </w:p>
                  </w:txbxContent>
                </v:textbox>
              </v:rect>
            </w:pict>
          </mc:Fallback>
        </mc:AlternateContent>
      </w:r>
    </w:p>
    <w:p w14:paraId="5A028018"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mc:AlternateContent>
          <mc:Choice Requires="wps">
            <w:drawing>
              <wp:anchor distT="0" distB="0" distL="114300" distR="114300" simplePos="0" relativeHeight="251703296" behindDoc="0" locked="0" layoutInCell="1" allowOverlap="1" wp14:anchorId="36DFC65B" wp14:editId="41C96773">
                <wp:simplePos x="0" y="0"/>
                <wp:positionH relativeFrom="column">
                  <wp:posOffset>4807889</wp:posOffset>
                </wp:positionH>
                <wp:positionV relativeFrom="paragraph">
                  <wp:posOffset>38735</wp:posOffset>
                </wp:positionV>
                <wp:extent cx="1398132" cy="596265"/>
                <wp:effectExtent l="0" t="0" r="12065" b="13335"/>
                <wp:wrapNone/>
                <wp:docPr id="1936857056" name="Rectangle 9"/>
                <wp:cNvGraphicFramePr/>
                <a:graphic xmlns:a="http://schemas.openxmlformats.org/drawingml/2006/main">
                  <a:graphicData uri="http://schemas.microsoft.com/office/word/2010/wordprocessingShape">
                    <wps:wsp>
                      <wps:cNvSpPr/>
                      <wps:spPr>
                        <a:xfrm>
                          <a:off x="0" y="0"/>
                          <a:ext cx="1398132" cy="596265"/>
                        </a:xfrm>
                        <a:prstGeom prst="rect">
                          <a:avLst/>
                        </a:prstGeom>
                        <a:solidFill>
                          <a:srgbClr val="FFFAC8"/>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73D71538" w14:textId="77777777" w:rsidR="00736F61" w:rsidRPr="006A312C" w:rsidRDefault="00736F61" w:rsidP="00736F61">
                            <w:pPr>
                              <w:spacing w:line="240" w:lineRule="auto"/>
                              <w:jc w:val="center"/>
                              <w:rPr>
                                <w:color w:val="000000" w:themeColor="text1"/>
                                <w:kern w:val="24"/>
                                <w:sz w:val="20"/>
                                <w:szCs w:val="20"/>
                              </w:rPr>
                            </w:pPr>
                            <w:r w:rsidRPr="006A312C">
                              <w:rPr>
                                <w:color w:val="000000" w:themeColor="text1"/>
                                <w:kern w:val="24"/>
                                <w:sz w:val="20"/>
                                <w:szCs w:val="20"/>
                              </w:rPr>
                              <w:t xml:space="preserve">Explores mechanisms, experiences </w:t>
                            </w:r>
                            <w:r>
                              <w:rPr>
                                <w:color w:val="000000" w:themeColor="text1"/>
                                <w:kern w:val="24"/>
                                <w:sz w:val="20"/>
                                <w:szCs w:val="20"/>
                              </w:rPr>
                              <w:t>and</w:t>
                            </w:r>
                            <w:r w:rsidRPr="006A312C">
                              <w:rPr>
                                <w:color w:val="000000" w:themeColor="text1"/>
                                <w:kern w:val="24"/>
                                <w:sz w:val="20"/>
                                <w:szCs w:val="20"/>
                              </w:rPr>
                              <w:t xml:space="preserve"> logics of decoupling</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6DFC65B" id="Rectangle 9" o:spid="_x0000_s1043" style="position:absolute;left:0;text-align:left;margin-left:378.55pt;margin-top:3.05pt;width:110.1pt;height:46.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" fillcolor="#fffac8" strokeweight="1pt">
                <v:textbox>
                  <w:txbxContent>
                    <w:p w14:paraId="73D71538" w14:textId="77777777" w:rsidR="00736F61" w:rsidRPr="006A312C" w:rsidRDefault="00736F61" w:rsidP="00736F61">
                      <w:pPr>
                        <w:spacing w:line="240" w:lineRule="auto"/>
                        <w:jc w:val="center"/>
                        <w:rPr>
                          <w:color w:val="000000" w:themeColor="text1"/>
                          <w:kern w:val="24"/>
                          <w:sz w:val="20"/>
                          <w:szCs w:val="20"/>
                        </w:rPr>
                      </w:pPr>
                      <w:r w:rsidRPr="006A312C">
                        <w:rPr>
                          <w:color w:val="000000" w:themeColor="text1"/>
                          <w:kern w:val="24"/>
                          <w:sz w:val="20"/>
                          <w:szCs w:val="20"/>
                        </w:rPr>
                        <w:t xml:space="preserve">Explores mechanisms, experiences </w:t>
                      </w:r>
                      <w:r>
                        <w:rPr>
                          <w:color w:val="000000" w:themeColor="text1"/>
                          <w:kern w:val="24"/>
                          <w:sz w:val="20"/>
                          <w:szCs w:val="20"/>
                        </w:rPr>
                        <w:t>and</w:t>
                      </w:r>
                      <w:r w:rsidRPr="006A312C">
                        <w:rPr>
                          <w:color w:val="000000" w:themeColor="text1"/>
                          <w:kern w:val="24"/>
                          <w:sz w:val="20"/>
                          <w:szCs w:val="20"/>
                        </w:rPr>
                        <w:t xml:space="preserve"> logics of decoupling</w:t>
                      </w:r>
                    </w:p>
                  </w:txbxContent>
                </v:textbox>
              </v:rect>
            </w:pict>
          </mc:Fallback>
        </mc:AlternateContent>
      </w:r>
      <w:r w:rsidRPr="00CC1FC3">
        <w:rPr>
          <w:noProof/>
          <w:color w:val="0F1115"/>
        </w:rPr>
        <mc:AlternateContent>
          <mc:Choice Requires="wps">
            <w:drawing>
              <wp:anchor distT="0" distB="0" distL="114300" distR="114300" simplePos="0" relativeHeight="251711488" behindDoc="0" locked="0" layoutInCell="1" allowOverlap="1" wp14:anchorId="6692912C" wp14:editId="1FD8427E">
                <wp:simplePos x="0" y="0"/>
                <wp:positionH relativeFrom="column">
                  <wp:posOffset>269240</wp:posOffset>
                </wp:positionH>
                <wp:positionV relativeFrom="paragraph">
                  <wp:posOffset>147016</wp:posOffset>
                </wp:positionV>
                <wp:extent cx="3096260" cy="403225"/>
                <wp:effectExtent l="0" t="0" r="27940" b="15875"/>
                <wp:wrapNone/>
                <wp:docPr id="1574121275" name="Rectangle 5"/>
                <wp:cNvGraphicFramePr/>
                <a:graphic xmlns:a="http://schemas.openxmlformats.org/drawingml/2006/main">
                  <a:graphicData uri="http://schemas.microsoft.com/office/word/2010/wordprocessingShape">
                    <wps:wsp>
                      <wps:cNvSpPr/>
                      <wps:spPr>
                        <a:xfrm>
                          <a:off x="0" y="0"/>
                          <a:ext cx="3096260" cy="403225"/>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09674EDE" w14:textId="77777777" w:rsidR="00736F61" w:rsidRPr="00F93842" w:rsidRDefault="00736F61" w:rsidP="00736F61">
                            <w:pPr>
                              <w:spacing w:after="0" w:line="240" w:lineRule="auto"/>
                              <w:jc w:val="center"/>
                              <w:rPr>
                                <w:color w:val="000000" w:themeColor="text1"/>
                                <w:kern w:val="24"/>
                                <w:sz w:val="19"/>
                                <w:szCs w:val="19"/>
                              </w:rPr>
                            </w:pPr>
                            <w:r w:rsidRPr="00F93842">
                              <w:rPr>
                                <w:color w:val="000000" w:themeColor="text1"/>
                                <w:kern w:val="24"/>
                                <w:sz w:val="19"/>
                                <w:szCs w:val="19"/>
                              </w:rPr>
                              <w:t>Firm-Level Sustainability Governance Initiatives – SGI</w:t>
                            </w:r>
                            <w:r w:rsidRPr="00F93842">
                              <w:rPr>
                                <w:color w:val="000000" w:themeColor="text1"/>
                                <w:kern w:val="24"/>
                                <w:sz w:val="19"/>
                                <w:szCs w:val="19"/>
                              </w:rPr>
                              <w:br/>
                              <w:t>Policies and Disclosures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692912C" id="_x0000_s1044" style="position:absolute;left:0;text-align:left;margin-left:21.2pt;margin-top:11.6pt;width:243.8pt;height:31.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" fillcolor="#dce6fa" strokeweight="1pt">
                <v:textbox>
                  <w:txbxContent>
                    <w:p w14:paraId="09674EDE" w14:textId="77777777" w:rsidR="00736F61" w:rsidRPr="00F93842" w:rsidRDefault="00736F61" w:rsidP="00736F61">
                      <w:pPr>
                        <w:spacing w:after="0" w:line="240" w:lineRule="auto"/>
                        <w:jc w:val="center"/>
                        <w:rPr>
                          <w:color w:val="000000" w:themeColor="text1"/>
                          <w:kern w:val="24"/>
                          <w:sz w:val="19"/>
                          <w:szCs w:val="19"/>
                        </w:rPr>
                      </w:pPr>
                      <w:r w:rsidRPr="00F93842">
                        <w:rPr>
                          <w:color w:val="000000" w:themeColor="text1"/>
                          <w:kern w:val="24"/>
                          <w:sz w:val="19"/>
                          <w:szCs w:val="19"/>
                        </w:rPr>
                        <w:t>Firm-Level Sustainability Governance Initiatives – SGI</w:t>
                      </w:r>
                      <w:r w:rsidRPr="00F93842">
                        <w:rPr>
                          <w:color w:val="000000" w:themeColor="text1"/>
                          <w:kern w:val="24"/>
                          <w:sz w:val="19"/>
                          <w:szCs w:val="19"/>
                        </w:rPr>
                        <w:br/>
                        <w:t>Policies and Disclosures</w:t>
                      </w:r>
                    </w:p>
                  </w:txbxContent>
                </v:textbox>
              </v:rect>
            </w:pict>
          </mc:Fallback>
        </mc:AlternateContent>
      </w:r>
    </w:p>
    <w:p w14:paraId="2CF8F063"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rPr>
        <mc:AlternateContent>
          <mc:Choice Requires="wps">
            <w:drawing>
              <wp:anchor distT="0" distB="0" distL="114300" distR="114300" simplePos="0" relativeHeight="251709440" behindDoc="0" locked="0" layoutInCell="1" allowOverlap="1" wp14:anchorId="467B98C4" wp14:editId="0EA06B80">
                <wp:simplePos x="0" y="0"/>
                <wp:positionH relativeFrom="column">
                  <wp:posOffset>1350902</wp:posOffset>
                </wp:positionH>
                <wp:positionV relativeFrom="paragraph">
                  <wp:posOffset>215265</wp:posOffset>
                </wp:positionV>
                <wp:extent cx="926465" cy="252095"/>
                <wp:effectExtent l="0" t="0" r="0" b="0"/>
                <wp:wrapNone/>
                <wp:docPr id="724891837" name="Text Box 1"/>
                <wp:cNvGraphicFramePr/>
                <a:graphic xmlns:a="http://schemas.openxmlformats.org/drawingml/2006/main">
                  <a:graphicData uri="http://schemas.microsoft.com/office/word/2010/wordprocessingShape">
                    <wps:wsp>
                      <wps:cNvSpPr txBox="1"/>
                      <wps:spPr>
                        <a:xfrm>
                          <a:off x="0" y="0"/>
                          <a:ext cx="926465" cy="252095"/>
                        </a:xfrm>
                        <a:prstGeom prst="rect">
                          <a:avLst/>
                        </a:prstGeom>
                        <a:noFill/>
                        <a:ln w="6350">
                          <a:noFill/>
                        </a:ln>
                      </wps:spPr>
                      <wps:txbx>
                        <w:txbxContent>
                          <w:p w14:paraId="25D6D858" w14:textId="77777777" w:rsidR="00736F61" w:rsidRPr="002F1E8B" w:rsidRDefault="00736F61" w:rsidP="00736F61">
                            <w:pPr>
                              <w:rPr>
                                <w:sz w:val="20"/>
                                <w:szCs w:val="20"/>
                              </w:rPr>
                            </w:pPr>
                            <w:r w:rsidRPr="002F1E8B">
                              <w:rPr>
                                <w:sz w:val="20"/>
                                <w:szCs w:val="20"/>
                              </w:rPr>
                              <w:t xml:space="preserve">Decoupling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7B98C4" id="Text Box 1" o:spid="_x0000_s1045" type="#_x0000_t202" style="position:absolute;left:0;text-align:left;margin-left:106.35pt;margin-top:16.95pt;width:72.95pt;height:19.8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" filled="f" stroked="f" strokeweight=".5pt">
                <v:textbox>
                  <w:txbxContent>
                    <w:p w14:paraId="25D6D858" w14:textId="77777777" w:rsidR="00736F61" w:rsidRPr="002F1E8B" w:rsidRDefault="00736F61" w:rsidP="00736F61">
                      <w:pPr>
                        <w:rPr>
                          <w:sz w:val="20"/>
                          <w:szCs w:val="20"/>
                        </w:rPr>
                      </w:pPr>
                      <w:r w:rsidRPr="002F1E8B">
                        <w:rPr>
                          <w:sz w:val="20"/>
                          <w:szCs w:val="20"/>
                        </w:rPr>
                        <w:t xml:space="preserve">Decoupling </w:t>
                      </w:r>
                    </w:p>
                  </w:txbxContent>
                </v:textbox>
              </v:shape>
            </w:pict>
          </mc:Fallback>
        </mc:AlternateContent>
      </w:r>
    </w:p>
    <w:p w14:paraId="652AD8D5"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mc:AlternateContent>
          <mc:Choice Requires="wps">
            <w:drawing>
              <wp:anchor distT="45720" distB="45720" distL="114300" distR="114300" simplePos="0" relativeHeight="251708416" behindDoc="0" locked="0" layoutInCell="1" allowOverlap="1" wp14:anchorId="3B48CE3D" wp14:editId="731CD199">
                <wp:simplePos x="0" y="0"/>
                <wp:positionH relativeFrom="column">
                  <wp:posOffset>4937125</wp:posOffset>
                </wp:positionH>
                <wp:positionV relativeFrom="paragraph">
                  <wp:posOffset>81280</wp:posOffset>
                </wp:positionV>
                <wp:extent cx="926465" cy="252095"/>
                <wp:effectExtent l="0" t="0" r="6985" b="0"/>
                <wp:wrapSquare wrapText="bothSides"/>
                <wp:docPr id="14323787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6465" cy="252095"/>
                        </a:xfrm>
                        <a:prstGeom prst="rect">
                          <a:avLst/>
                        </a:prstGeom>
                        <a:solidFill>
                          <a:srgbClr val="FFFFFF"/>
                        </a:solidFill>
                        <a:ln w="9525">
                          <a:noFill/>
                          <a:miter lim="800000"/>
                          <a:headEnd/>
                          <a:tailEnd/>
                        </a:ln>
                      </wps:spPr>
                      <wps:txbx>
                        <w:txbxContent>
                          <w:p w14:paraId="47648A51" w14:textId="77777777" w:rsidR="00736F61" w:rsidRPr="002F1E8B" w:rsidRDefault="00736F61" w:rsidP="00736F61">
                            <w:pPr>
                              <w:rPr>
                                <w:sz w:val="20"/>
                                <w:szCs w:val="20"/>
                              </w:rPr>
                            </w:pPr>
                            <w:r w:rsidRPr="002F1E8B">
                              <w:rPr>
                                <w:sz w:val="20"/>
                                <w:szCs w:val="20"/>
                              </w:rPr>
                              <w:t xml:space="preserve">Decoupling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8CE3D" id="_x0000_s1046" type="#_x0000_t202" style="position:absolute;left:0;text-align:left;margin-left:388.75pt;margin-top:6.4pt;width:72.95pt;height:19.8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" stroked="f">
                <v:textbox>
                  <w:txbxContent>
                    <w:p w14:paraId="47648A51" w14:textId="77777777" w:rsidR="00736F61" w:rsidRPr="002F1E8B" w:rsidRDefault="00736F61" w:rsidP="00736F61">
                      <w:pPr>
                        <w:rPr>
                          <w:sz w:val="20"/>
                          <w:szCs w:val="20"/>
                        </w:rPr>
                      </w:pPr>
                      <w:r w:rsidRPr="002F1E8B">
                        <w:rPr>
                          <w:sz w:val="20"/>
                          <w:szCs w:val="20"/>
                        </w:rPr>
                        <w:t xml:space="preserve">Decoupling </w:t>
                      </w:r>
                    </w:p>
                  </w:txbxContent>
                </v:textbox>
                <w10:wrap type="square"/>
              </v:shape>
            </w:pict>
          </mc:Fallback>
        </mc:AlternateContent>
      </w:r>
      <w:r w:rsidRPr="00CC1FC3">
        <w:rPr>
          <w:noProof/>
          <w:color w:val="0F1115"/>
        </w:rPr>
        <mc:AlternateContent>
          <mc:Choice Requires="wps">
            <w:drawing>
              <wp:anchor distT="0" distB="0" distL="114300" distR="114300" simplePos="0" relativeHeight="251716608" behindDoc="0" locked="0" layoutInCell="1" allowOverlap="1" wp14:anchorId="33A1D9D0" wp14:editId="632DC485">
                <wp:simplePos x="0" y="0"/>
                <wp:positionH relativeFrom="column">
                  <wp:posOffset>5366429</wp:posOffset>
                </wp:positionH>
                <wp:positionV relativeFrom="paragraph">
                  <wp:posOffset>337820</wp:posOffset>
                </wp:positionV>
                <wp:extent cx="0" cy="233483"/>
                <wp:effectExtent l="95250" t="0" r="57150" b="52705"/>
                <wp:wrapNone/>
                <wp:docPr id="185293733" name="Straight Connector 7"/>
                <wp:cNvGraphicFramePr/>
                <a:graphic xmlns:a="http://schemas.openxmlformats.org/drawingml/2006/main">
                  <a:graphicData uri="http://schemas.microsoft.com/office/word/2010/wordprocessingShape">
                    <wps:wsp>
                      <wps:cNvCnPr/>
                      <wps:spPr>
                        <a:xfrm>
                          <a:off x="0" y="0"/>
                          <a:ext cx="0" cy="233483"/>
                        </a:xfrm>
                        <a:prstGeom prst="line">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B564D73" id="Straight Connector 7"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422.55pt,26.6pt" to="422.5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" strokecolor="black [3200]" strokeweight="1.5pt">
                <v:stroke endarrow="open"/>
              </v:line>
            </w:pict>
          </mc:Fallback>
        </mc:AlternateContent>
      </w:r>
      <w:r w:rsidRPr="00CC1FC3">
        <w:rPr>
          <w:noProof/>
          <w:color w:val="0F1115"/>
        </w:rPr>
        <mc:AlternateContent>
          <mc:Choice Requires="wps">
            <w:drawing>
              <wp:anchor distT="0" distB="0" distL="114300" distR="114300" simplePos="0" relativeHeight="251715584" behindDoc="0" locked="0" layoutInCell="1" allowOverlap="1" wp14:anchorId="6DD918DA" wp14:editId="3C9B4AAC">
                <wp:simplePos x="0" y="0"/>
                <wp:positionH relativeFrom="column">
                  <wp:posOffset>1828800</wp:posOffset>
                </wp:positionH>
                <wp:positionV relativeFrom="paragraph">
                  <wp:posOffset>111256</wp:posOffset>
                </wp:positionV>
                <wp:extent cx="0" cy="460507"/>
                <wp:effectExtent l="95250" t="0" r="57150" b="53975"/>
                <wp:wrapNone/>
                <wp:docPr id="85706426" name="Straight Connector 6"/>
                <wp:cNvGraphicFramePr/>
                <a:graphic xmlns:a="http://schemas.openxmlformats.org/drawingml/2006/main">
                  <a:graphicData uri="http://schemas.microsoft.com/office/word/2010/wordprocessingShape">
                    <wps:wsp>
                      <wps:cNvCnPr/>
                      <wps:spPr>
                        <a:xfrm>
                          <a:off x="0" y="0"/>
                          <a:ext cx="0" cy="460507"/>
                        </a:xfrm>
                        <a:prstGeom prst="line">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718E1DEC" id="Straight Connector 6"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2in,8.75pt" to="2in,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" strokecolor="black [3200]" strokeweight="1.5pt">
                <v:stroke endarrow="open"/>
              </v:line>
            </w:pict>
          </mc:Fallback>
        </mc:AlternateContent>
      </w:r>
    </w:p>
    <w:p w14:paraId="37CD5F89" w14:textId="77777777" w:rsidR="00736F61" w:rsidRPr="00CC1FC3" w:rsidRDefault="00736F61" w:rsidP="00736F61">
      <w:pPr>
        <w:pStyle w:val="ds-markdown-paragraph"/>
        <w:shd w:val="clear" w:color="auto" w:fill="FFFFFF"/>
        <w:spacing w:before="0" w:beforeAutospacing="0" w:after="0" w:afterAutospacing="0" w:line="480" w:lineRule="auto"/>
        <w:jc w:val="both"/>
        <w:rPr>
          <w:color w:val="0F1115"/>
        </w:rPr>
      </w:pPr>
      <w:r w:rsidRPr="00CC1FC3">
        <w:rPr>
          <w:noProof/>
          <w:color w:val="0F1115"/>
        </w:rPr>
        <mc:AlternateContent>
          <mc:Choice Requires="wps">
            <w:drawing>
              <wp:anchor distT="0" distB="0" distL="114300" distR="114300" simplePos="0" relativeHeight="251702272" behindDoc="0" locked="0" layoutInCell="1" allowOverlap="1" wp14:anchorId="2C8C7C7B" wp14:editId="249045EA">
                <wp:simplePos x="0" y="0"/>
                <wp:positionH relativeFrom="column">
                  <wp:posOffset>170180</wp:posOffset>
                </wp:positionH>
                <wp:positionV relativeFrom="paragraph">
                  <wp:posOffset>211658</wp:posOffset>
                </wp:positionV>
                <wp:extent cx="5826935" cy="296391"/>
                <wp:effectExtent l="0" t="0" r="21590" b="27940"/>
                <wp:wrapNone/>
                <wp:docPr id="9" name="Rectangle 8">
                  <a:extLst xmlns:a="http://schemas.openxmlformats.org/drawingml/2006/main">
                    <a:ext uri="{FF2B5EF4-FFF2-40B4-BE49-F238E27FC236}">
                      <a16:creationId xmlns:a16="http://schemas.microsoft.com/office/drawing/2014/main" id="{5F9CD217-12D8-510D-8C55-643F0129CD5E}"/>
                    </a:ext>
                  </a:extLst>
                </wp:docPr>
                <wp:cNvGraphicFramePr/>
                <a:graphic xmlns:a="http://schemas.openxmlformats.org/drawingml/2006/main">
                  <a:graphicData uri="http://schemas.microsoft.com/office/word/2010/wordprocessingShape">
                    <wps:wsp>
                      <wps:cNvSpPr/>
                      <wps:spPr>
                        <a:xfrm>
                          <a:off x="0" y="0"/>
                          <a:ext cx="5826935" cy="296391"/>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67C49747" w14:textId="77777777" w:rsidR="00736F61" w:rsidRPr="0075179C" w:rsidRDefault="00736F61" w:rsidP="00736F61">
                            <w:pPr>
                              <w:jc w:val="center"/>
                              <w:rPr>
                                <w:b/>
                                <w:bCs/>
                                <w:color w:val="000000" w:themeColor="text1"/>
                                <w:kern w:val="24"/>
                              </w:rPr>
                            </w:pPr>
                            <w:r w:rsidRPr="0075179C">
                              <w:rPr>
                                <w:b/>
                                <w:bCs/>
                                <w:color w:val="000000" w:themeColor="text1"/>
                                <w:kern w:val="24"/>
                              </w:rPr>
                              <w:t>Elimination of CMS Practices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C8C7C7B" id="Rectangle 8" o:spid="_x0000_s1047" style="position:absolute;left:0;text-align:left;margin-left:13.4pt;margin-top:16.65pt;width:458.8pt;height:23.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" fillcolor="#dce6fa" strokeweight="1pt">
                <v:textbox>
                  <w:txbxContent>
                    <w:p w14:paraId="67C49747" w14:textId="77777777" w:rsidR="00736F61" w:rsidRPr="0075179C" w:rsidRDefault="00736F61" w:rsidP="00736F61">
                      <w:pPr>
                        <w:jc w:val="center"/>
                        <w:rPr>
                          <w:b/>
                          <w:bCs/>
                          <w:color w:val="000000" w:themeColor="text1"/>
                          <w:kern w:val="24"/>
                        </w:rPr>
                      </w:pPr>
                      <w:r w:rsidRPr="0075179C">
                        <w:rPr>
                          <w:b/>
                          <w:bCs/>
                          <w:color w:val="000000" w:themeColor="text1"/>
                          <w:kern w:val="24"/>
                        </w:rPr>
                        <w:t>Elimination of CMS Practices</w:t>
                      </w:r>
                    </w:p>
                  </w:txbxContent>
                </v:textbox>
              </v:rect>
            </w:pict>
          </mc:Fallback>
        </mc:AlternateContent>
      </w:r>
    </w:p>
    <w:p w14:paraId="5CD6E3C8" w14:textId="77777777" w:rsidR="00736F61" w:rsidRPr="00CC1FC3" w:rsidRDefault="00736F61" w:rsidP="00736F61">
      <w:pPr>
        <w:pStyle w:val="ds-markdown-paragraph"/>
        <w:shd w:val="clear" w:color="auto" w:fill="FFFFFF"/>
        <w:spacing w:before="0" w:beforeAutospacing="0" w:after="0" w:afterAutospacing="0" w:line="480" w:lineRule="auto"/>
        <w:jc w:val="center"/>
        <w:rPr>
          <w:color w:val="0F1115"/>
        </w:rPr>
      </w:pPr>
    </w:p>
    <w:p w14:paraId="3AED67C4" w14:textId="77777777" w:rsidR="00736F61" w:rsidRPr="00CC1FC3" w:rsidRDefault="00736F61" w:rsidP="00736F61">
      <w:pPr>
        <w:pStyle w:val="ds-markdown-paragraph"/>
        <w:shd w:val="clear" w:color="auto" w:fill="FFFFFF"/>
        <w:spacing w:before="0" w:beforeAutospacing="0" w:after="0" w:afterAutospacing="0" w:line="480" w:lineRule="auto"/>
        <w:jc w:val="center"/>
        <w:rPr>
          <w:rStyle w:val="Strong"/>
          <w:rFonts w:eastAsiaTheme="majorEastAsia"/>
          <w:b w:val="0"/>
          <w:color w:val="0F1115"/>
        </w:rPr>
      </w:pPr>
      <w:r w:rsidRPr="00CC1FC3">
        <w:rPr>
          <w:b/>
          <w:bCs/>
          <w:color w:val="0F1115"/>
        </w:rPr>
        <w:t xml:space="preserve">Figure </w:t>
      </w:r>
      <w:r>
        <w:rPr>
          <w:b/>
          <w:bCs/>
          <w:color w:val="0F1115"/>
        </w:rPr>
        <w:t>5</w:t>
      </w:r>
      <w:r w:rsidRPr="00CC1FC3">
        <w:rPr>
          <w:b/>
          <w:bCs/>
          <w:color w:val="0F1115"/>
        </w:rPr>
        <w:t>.3:</w:t>
      </w:r>
      <w:r w:rsidRPr="00CC1FC3">
        <w:rPr>
          <w:color w:val="0F1115"/>
        </w:rPr>
        <w:t xml:space="preserve"> </w:t>
      </w:r>
      <w:r w:rsidRPr="00CC1FC3">
        <w:rPr>
          <w:rStyle w:val="Strong"/>
          <w:rFonts w:eastAsiaTheme="majorEastAsia"/>
          <w:b w:val="0"/>
          <w:color w:val="0F1115"/>
        </w:rPr>
        <w:t>Integrated Conceptual Framework</w:t>
      </w:r>
    </w:p>
    <w:p w14:paraId="40B2AA90" w14:textId="77777777" w:rsidR="00736F61" w:rsidRPr="00CC1FC3" w:rsidRDefault="00736F61" w:rsidP="00736F61">
      <w:pPr>
        <w:pStyle w:val="Heading2"/>
      </w:pPr>
      <w:bookmarkStart w:id="29" w:name="_Toc220848352"/>
      <w:bookmarkStart w:id="30" w:name="_Toc221437653"/>
      <w:bookmarkEnd w:id="13"/>
      <w:bookmarkEnd w:id="14"/>
      <w:bookmarkEnd w:id="15"/>
      <w:bookmarkEnd w:id="16"/>
      <w:r w:rsidRPr="00CC1FC3">
        <w:lastRenderedPageBreak/>
        <w:t>5.3 Research design</w:t>
      </w:r>
      <w:bookmarkEnd w:id="29"/>
      <w:bookmarkEnd w:id="30"/>
    </w:p>
    <w:p w14:paraId="2146206B" w14:textId="77777777" w:rsidR="00736F61" w:rsidRPr="00CC1FC3" w:rsidRDefault="00736F61" w:rsidP="00736F61">
      <w:pPr>
        <w:pStyle w:val="Heading3"/>
      </w:pPr>
      <w:bookmarkStart w:id="31" w:name="_Toc159763550"/>
      <w:bookmarkStart w:id="32" w:name="_Toc215651858"/>
      <w:bookmarkStart w:id="33" w:name="_Toc220848358"/>
      <w:bookmarkStart w:id="34" w:name="_Toc221437654"/>
      <w:r w:rsidRPr="00CC1FC3">
        <w:t>5.3.1 Different types of mixed methods design</w:t>
      </w:r>
      <w:bookmarkEnd w:id="31"/>
      <w:bookmarkEnd w:id="32"/>
      <w:bookmarkEnd w:id="33"/>
      <w:bookmarkEnd w:id="34"/>
    </w:p>
    <w:p w14:paraId="1A567500" w14:textId="77777777" w:rsidR="00736F61" w:rsidRPr="00CC1FC3" w:rsidRDefault="002856A2" w:rsidP="00736F61">
      <w:pPr>
        <w:spacing w:after="0" w:line="480" w:lineRule="auto"/>
        <w:jc w:val="both"/>
        <w:rPr>
          <w:rFonts w:eastAsia="Palatino Linotype"/>
        </w:rPr>
      </w:pPr>
      <w:sdt>
        <w:sdtPr>
          <w:rPr>
            <w:rFonts w:eastAsia="Palatino Linotype"/>
          </w:rPr>
          <w:tag w:val="MENDELEY_CITATION_v3_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"/>
          <w:id w:val="2118705186"/>
          <w:placeholder>
            <w:docPart w:val="4EC028278930489E856F4DB75DF94358"/>
          </w:placeholder>
        </w:sdtPr>
        <w:sdtEndPr/>
        <w:sdtContent>
          <w:r w:rsidR="00736F61" w:rsidRPr="00A73C12">
            <w:rPr>
              <w:rFonts w:eastAsia="Palatino Linotype"/>
            </w:rPr>
            <w:t>Bryman and Bell (2015)</w:t>
          </w:r>
        </w:sdtContent>
      </w:sdt>
      <w:r w:rsidR="00736F61" w:rsidRPr="00CC1FC3">
        <w:rPr>
          <w:rFonts w:eastAsia="Palatino Linotype"/>
        </w:rPr>
        <w:t xml:space="preserve"> have presented four basic mixed research designs out of six (</w:t>
      </w:r>
      <w:sdt>
        <w:sdtPr>
          <w:rPr>
            <w:rFonts w:eastAsia="Palatino Linotype"/>
          </w:rPr>
          <w:tag w:val="MENDELEY_CITATION_v3_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"/>
          <w:id w:val="-473288907"/>
          <w:placeholder>
            <w:docPart w:val="B86279CCD59A40CABF3683DDAD4ED88D"/>
          </w:placeholder>
        </w:sdtPr>
        <w:sdtEndPr/>
        <w:sdtContent>
          <w:r w:rsidR="00736F61" w:rsidRPr="00A73C12">
            <w:rPr>
              <w:rFonts w:eastAsia="Palatino Linotype"/>
            </w:rPr>
            <w:t>Creswell and Plano, 2011)</w:t>
          </w:r>
        </w:sdtContent>
      </w:sdt>
      <w:r w:rsidR="00736F61" w:rsidRPr="00CC1FC3">
        <w:rPr>
          <w:rFonts w:eastAsia="Palatino Linotype"/>
        </w:rPr>
        <w:t xml:space="preserve">. See Figure </w:t>
      </w:r>
      <w:r w:rsidR="00736F61">
        <w:rPr>
          <w:rFonts w:eastAsia="Palatino Linotype"/>
        </w:rPr>
        <w:t>5</w:t>
      </w:r>
      <w:r w:rsidR="00736F61" w:rsidRPr="00CC1FC3">
        <w:rPr>
          <w:rFonts w:eastAsia="Palatino Linotype"/>
        </w:rPr>
        <w:t>.</w:t>
      </w:r>
      <w:r w:rsidR="00736F61">
        <w:rPr>
          <w:rFonts w:eastAsia="Palatino Linotype"/>
        </w:rPr>
        <w:t>4</w:t>
      </w:r>
      <w:r w:rsidR="00736F61" w:rsidRPr="00CC1FC3">
        <w:rPr>
          <w:rFonts w:eastAsia="Palatino Linotype"/>
        </w:rPr>
        <w:t xml:space="preserve"> for the four basic components of the mixed-methods design. However, the </w:t>
      </w:r>
      <w:sdt>
        <w:sdtPr>
          <w:rPr>
            <w:rFonts w:eastAsia="Palatino Linotype"/>
          </w:rPr>
          <w:tag w:val="MENDELEY_CITATION_v3_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"/>
          <w:id w:val="-1316023567"/>
          <w:placeholder>
            <w:docPart w:val="72E1DB3670DC4F65878967A814C47F3A"/>
          </w:placeholder>
        </w:sdtPr>
        <w:sdtEndPr/>
        <w:sdtContent>
          <w:r w:rsidR="00736F61" w:rsidRPr="00A73C12">
            <w:rPr>
              <w:rFonts w:eastAsia="Palatino Linotype"/>
            </w:rPr>
            <w:t>Guest and Fleming (2015, p. 587)</w:t>
          </w:r>
        </w:sdtContent>
      </w:sdt>
      <w:r w:rsidR="00736F61" w:rsidRPr="00CC1FC3">
        <w:rPr>
          <w:rFonts w:eastAsia="Palatino Linotype"/>
        </w:rPr>
        <w:t xml:space="preserve"> had expanded by presenting all six mixed methods designs while adding </w:t>
      </w:r>
      <w:r w:rsidR="00736F61">
        <w:rPr>
          <w:rFonts w:eastAsia="Palatino Linotype"/>
        </w:rPr>
        <w:t>t</w:t>
      </w:r>
      <w:r w:rsidR="00736F61" w:rsidRPr="00CC1FC3">
        <w:rPr>
          <w:rFonts w:eastAsia="Palatino Linotype"/>
        </w:rPr>
        <w:t>ransformative (theoretical framework seeking to address the needs of a specific population and to call for change) and multi-phase designs (sequential and concurrent strands, collected over a period, and the implementation of distinct projects or phases within an overall program of study). Among the different research designs, this study used the explanatory sequential design to interpret its overall findings.</w:t>
      </w:r>
    </w:p>
    <w:p w14:paraId="01D34976" w14:textId="77777777" w:rsidR="00736F61" w:rsidRPr="00CC1FC3" w:rsidRDefault="00736F61" w:rsidP="00736F61">
      <w:pPr>
        <w:pStyle w:val="ListParagraph"/>
        <w:numPr>
          <w:ilvl w:val="0"/>
          <w:numId w:val="29"/>
        </w:numPr>
        <w:spacing w:line="259" w:lineRule="auto"/>
        <w:rPr>
          <w:b/>
          <w:bCs/>
        </w:rPr>
      </w:pPr>
      <w:r w:rsidRPr="00CC1FC3">
        <w:rPr>
          <w:b/>
          <w:bCs/>
        </w:rPr>
        <w:t>Convergent parallel design</w:t>
      </w:r>
    </w:p>
    <w:p w14:paraId="21B5D9C8" w14:textId="77777777" w:rsidR="00736F61" w:rsidRPr="00CC1FC3" w:rsidRDefault="00736F61" w:rsidP="00736F61">
      <w:pPr>
        <w:spacing w:line="360" w:lineRule="auto"/>
        <w:rPr>
          <w:rFonts w:eastAsia="Palatino Linotype"/>
          <w:b/>
          <w:bCs/>
        </w:rPr>
      </w:pPr>
      <w:r w:rsidRPr="00CC1FC3">
        <w:rPr>
          <w:rFonts w:eastAsia="Palatino Linotype"/>
          <w:b/>
          <w:bCs/>
          <w:noProof/>
        </w:rPr>
        <mc:AlternateContent>
          <mc:Choice Requires="wps">
            <w:drawing>
              <wp:anchor distT="0" distB="0" distL="114300" distR="114300" simplePos="0" relativeHeight="251659264" behindDoc="0" locked="0" layoutInCell="1" allowOverlap="1" wp14:anchorId="4DD6E392" wp14:editId="47E52F68">
                <wp:simplePos x="0" y="0"/>
                <wp:positionH relativeFrom="column">
                  <wp:posOffset>1</wp:posOffset>
                </wp:positionH>
                <wp:positionV relativeFrom="paragraph">
                  <wp:posOffset>41366</wp:posOffset>
                </wp:positionV>
                <wp:extent cx="1371328" cy="297180"/>
                <wp:effectExtent l="0" t="0" r="19685" b="26670"/>
                <wp:wrapNone/>
                <wp:docPr id="408832212" name="Text Box 2"/>
                <wp:cNvGraphicFramePr/>
                <a:graphic xmlns:a="http://schemas.openxmlformats.org/drawingml/2006/main">
                  <a:graphicData uri="http://schemas.microsoft.com/office/word/2010/wordprocessingShape">
                    <wps:wsp>
                      <wps:cNvSpPr txBox="1"/>
                      <wps:spPr>
                        <a:xfrm>
                          <a:off x="0" y="0"/>
                          <a:ext cx="1371328" cy="297180"/>
                        </a:xfrm>
                        <a:prstGeom prst="rect">
                          <a:avLst/>
                        </a:prstGeom>
                        <a:solidFill>
                          <a:schemeClr val="lt1"/>
                        </a:solidFill>
                        <a:ln w="19050">
                          <a:solidFill>
                            <a:prstClr val="black"/>
                          </a:solidFill>
                        </a:ln>
                      </wps:spPr>
                      <wps:txbx>
                        <w:txbxContent>
                          <w:p w14:paraId="36AEFDE7" w14:textId="77777777" w:rsidR="00736F61" w:rsidRDefault="00736F61" w:rsidP="00736F61">
                            <w:pPr>
                              <w:jc w:val="center"/>
                            </w:pPr>
                            <w:r>
                              <w:t>Quantitative</w:t>
                            </w:r>
                          </w:p>
                          <w:p w14:paraId="724F4E79" w14:textId="77777777" w:rsidR="00736F61" w:rsidRDefault="00736F61" w:rsidP="00736F6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D6E392" id="_x0000_s1048" type="#_x0000_t202" style="position:absolute;margin-left:0;margin-top:3.25pt;width:108pt;height:23.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" fillcolor="white [3201]" strokeweight="1.5pt">
                <v:textbox>
                  <w:txbxContent>
                    <w:p w14:paraId="36AEFDE7" w14:textId="77777777" w:rsidR="00736F61" w:rsidRDefault="00736F61" w:rsidP="00736F61">
                      <w:pPr>
                        <w:jc w:val="center"/>
                      </w:pPr>
                      <w:r>
                        <w:t>Quantitative</w:t>
                      </w:r>
                    </w:p>
                    <w:p w14:paraId="724F4E79" w14:textId="77777777" w:rsidR="00736F61" w:rsidRDefault="00736F61" w:rsidP="00736F61">
                      <w:pPr>
                        <w:jc w:val="center"/>
                      </w:pPr>
                    </w:p>
                  </w:txbxContent>
                </v:textbox>
              </v:shape>
            </w:pict>
          </mc:Fallback>
        </mc:AlternateContent>
      </w:r>
      <w:r w:rsidRPr="00CC1FC3">
        <w:rPr>
          <w:rFonts w:eastAsia="Palatino Linotype"/>
          <w:b/>
          <w:bCs/>
          <w:noProof/>
        </w:rPr>
        <mc:AlternateContent>
          <mc:Choice Requires="wps">
            <w:drawing>
              <wp:anchor distT="0" distB="0" distL="114300" distR="114300" simplePos="0" relativeHeight="251664384" behindDoc="0" locked="0" layoutInCell="1" allowOverlap="1" wp14:anchorId="3E587AAE" wp14:editId="63672D24">
                <wp:simplePos x="0" y="0"/>
                <wp:positionH relativeFrom="column">
                  <wp:posOffset>1690370</wp:posOffset>
                </wp:positionH>
                <wp:positionV relativeFrom="paragraph">
                  <wp:posOffset>120015</wp:posOffset>
                </wp:positionV>
                <wp:extent cx="0" cy="572951"/>
                <wp:effectExtent l="0" t="0" r="38100" b="36830"/>
                <wp:wrapNone/>
                <wp:docPr id="1442106291" name="Straight Connector 6"/>
                <wp:cNvGraphicFramePr/>
                <a:graphic xmlns:a="http://schemas.openxmlformats.org/drawingml/2006/main">
                  <a:graphicData uri="http://schemas.microsoft.com/office/word/2010/wordprocessingShape">
                    <wps:wsp>
                      <wps:cNvCnPr/>
                      <wps:spPr>
                        <a:xfrm>
                          <a:off x="0" y="0"/>
                          <a:ext cx="0" cy="57295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FA4F08"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33.1pt,9.45pt" to="133.1pt,5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" strokecolor="black [3200]" strokeweight="1pt">
                <v:stroke joinstyle="miter"/>
              </v:line>
            </w:pict>
          </mc:Fallback>
        </mc:AlternateContent>
      </w:r>
      <w:r w:rsidRPr="00CC1FC3">
        <w:rPr>
          <w:rFonts w:eastAsia="Palatino Linotype"/>
          <w:b/>
          <w:bCs/>
          <w:noProof/>
        </w:rPr>
        <mc:AlternateContent>
          <mc:Choice Requires="wps">
            <w:drawing>
              <wp:anchor distT="0" distB="0" distL="114300" distR="114300" simplePos="0" relativeHeight="251666432" behindDoc="0" locked="0" layoutInCell="1" allowOverlap="1" wp14:anchorId="083BA64F" wp14:editId="7367CB36">
                <wp:simplePos x="0" y="0"/>
                <wp:positionH relativeFrom="column">
                  <wp:posOffset>1378857</wp:posOffset>
                </wp:positionH>
                <wp:positionV relativeFrom="paragraph">
                  <wp:posOffset>120378</wp:posOffset>
                </wp:positionV>
                <wp:extent cx="312057" cy="0"/>
                <wp:effectExtent l="0" t="0" r="0" b="0"/>
                <wp:wrapNone/>
                <wp:docPr id="1670710519" name="Straight Connector 8"/>
                <wp:cNvGraphicFramePr/>
                <a:graphic xmlns:a="http://schemas.openxmlformats.org/drawingml/2006/main">
                  <a:graphicData uri="http://schemas.microsoft.com/office/word/2010/wordprocessingShape">
                    <wps:wsp>
                      <wps:cNvCnPr/>
                      <wps:spPr>
                        <a:xfrm flipH="1">
                          <a:off x="0" y="0"/>
                          <a:ext cx="31205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0EEEB7" id="Straight Connector 8"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108.55pt,9.5pt" to="133.1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" strokecolor="black [3200]" strokeweight="1pt">
                <v:stroke joinstyle="miter"/>
              </v:line>
            </w:pict>
          </mc:Fallback>
        </mc:AlternateContent>
      </w:r>
      <w:r w:rsidRPr="00CC1FC3">
        <w:rPr>
          <w:rFonts w:eastAsia="Palatino Linotype"/>
          <w:b/>
          <w:bCs/>
          <w:noProof/>
        </w:rPr>
        <mc:AlternateContent>
          <mc:Choice Requires="wps">
            <w:drawing>
              <wp:anchor distT="0" distB="0" distL="114300" distR="114300" simplePos="0" relativeHeight="251663360" behindDoc="0" locked="0" layoutInCell="1" allowOverlap="1" wp14:anchorId="6FEBBE64" wp14:editId="41F3F232">
                <wp:simplePos x="0" y="0"/>
                <wp:positionH relativeFrom="column">
                  <wp:posOffset>3562985</wp:posOffset>
                </wp:positionH>
                <wp:positionV relativeFrom="paragraph">
                  <wp:posOffset>337729</wp:posOffset>
                </wp:positionV>
                <wp:extent cx="755015" cy="0"/>
                <wp:effectExtent l="0" t="76200" r="26035" b="95250"/>
                <wp:wrapNone/>
                <wp:docPr id="1472946843" name="Straight Arrow Connector 5"/>
                <wp:cNvGraphicFramePr/>
                <a:graphic xmlns:a="http://schemas.openxmlformats.org/drawingml/2006/main">
                  <a:graphicData uri="http://schemas.microsoft.com/office/word/2010/wordprocessingShape">
                    <wps:wsp>
                      <wps:cNvCnPr/>
                      <wps:spPr>
                        <a:xfrm>
                          <a:off x="0" y="0"/>
                          <a:ext cx="7550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EA7BE1B" id="Straight Arrow Connector 5" o:spid="_x0000_s1026" type="#_x0000_t32" style="position:absolute;margin-left:280.55pt;margin-top:26.6pt;width:59.45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" strokecolor="black [3200]" strokeweight="1pt">
                <v:stroke endarrow="block" joinstyle="miter"/>
              </v:shape>
            </w:pict>
          </mc:Fallback>
        </mc:AlternateContent>
      </w:r>
      <w:r w:rsidRPr="00CC1FC3">
        <w:rPr>
          <w:rFonts w:eastAsia="Palatino Linotype"/>
          <w:b/>
          <w:bCs/>
          <w:noProof/>
        </w:rPr>
        <mc:AlternateContent>
          <mc:Choice Requires="wps">
            <w:drawing>
              <wp:anchor distT="0" distB="0" distL="114300" distR="114300" simplePos="0" relativeHeight="251661312" behindDoc="0" locked="0" layoutInCell="1" allowOverlap="1" wp14:anchorId="469F4959" wp14:editId="67CDA55C">
                <wp:simplePos x="0" y="0"/>
                <wp:positionH relativeFrom="column">
                  <wp:posOffset>2437765</wp:posOffset>
                </wp:positionH>
                <wp:positionV relativeFrom="paragraph">
                  <wp:posOffset>122101</wp:posOffset>
                </wp:positionV>
                <wp:extent cx="1124857" cy="486229"/>
                <wp:effectExtent l="0" t="0" r="18415" b="28575"/>
                <wp:wrapNone/>
                <wp:docPr id="1752858294" name="Text Box 2"/>
                <wp:cNvGraphicFramePr/>
                <a:graphic xmlns:a="http://schemas.openxmlformats.org/drawingml/2006/main">
                  <a:graphicData uri="http://schemas.microsoft.com/office/word/2010/wordprocessingShape">
                    <wps:wsp>
                      <wps:cNvSpPr txBox="1"/>
                      <wps:spPr>
                        <a:xfrm>
                          <a:off x="0" y="0"/>
                          <a:ext cx="1124857" cy="486229"/>
                        </a:xfrm>
                        <a:prstGeom prst="rect">
                          <a:avLst/>
                        </a:prstGeom>
                        <a:solidFill>
                          <a:schemeClr val="lt1"/>
                        </a:solidFill>
                        <a:ln w="19050">
                          <a:solidFill>
                            <a:prstClr val="black"/>
                          </a:solidFill>
                        </a:ln>
                      </wps:spPr>
                      <wps:txbx>
                        <w:txbxContent>
                          <w:p w14:paraId="1037D207" w14:textId="77777777" w:rsidR="00736F61" w:rsidRDefault="00736F61" w:rsidP="00736F61">
                            <w:r>
                              <w:t>Compare and/or merged</w:t>
                            </w:r>
                          </w:p>
                          <w:p w14:paraId="4880FDA8" w14:textId="77777777" w:rsidR="00736F61" w:rsidRDefault="00736F61" w:rsidP="00736F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9F4959" id="_x0000_s1049" type="#_x0000_t202" style="position:absolute;margin-left:191.95pt;margin-top:9.6pt;width:88.55pt;height:38.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" fillcolor="white [3201]" strokeweight="1.5pt">
                <v:textbox>
                  <w:txbxContent>
                    <w:p w14:paraId="1037D207" w14:textId="77777777" w:rsidR="00736F61" w:rsidRDefault="00736F61" w:rsidP="00736F61">
                      <w:r>
                        <w:t>Compare and/or merged</w:t>
                      </w:r>
                    </w:p>
                    <w:p w14:paraId="4880FDA8" w14:textId="77777777" w:rsidR="00736F61" w:rsidRDefault="00736F61" w:rsidP="00736F61"/>
                  </w:txbxContent>
                </v:textbox>
              </v:shape>
            </w:pict>
          </mc:Fallback>
        </mc:AlternateContent>
      </w:r>
      <w:r w:rsidRPr="00CC1FC3">
        <w:rPr>
          <w:rFonts w:eastAsia="Palatino Linotype"/>
          <w:b/>
          <w:bCs/>
          <w:noProof/>
        </w:rPr>
        <mc:AlternateContent>
          <mc:Choice Requires="wps">
            <w:drawing>
              <wp:anchor distT="0" distB="0" distL="114300" distR="114300" simplePos="0" relativeHeight="251662336" behindDoc="0" locked="0" layoutInCell="1" allowOverlap="1" wp14:anchorId="574DA5F1" wp14:editId="58E4017D">
                <wp:simplePos x="0" y="0"/>
                <wp:positionH relativeFrom="column">
                  <wp:posOffset>4390481</wp:posOffset>
                </wp:positionH>
                <wp:positionV relativeFrom="paragraph">
                  <wp:posOffset>214811</wp:posOffset>
                </wp:positionV>
                <wp:extent cx="1124585" cy="275771"/>
                <wp:effectExtent l="0" t="0" r="18415" b="10160"/>
                <wp:wrapNone/>
                <wp:docPr id="1911622826" name="Text Box 2"/>
                <wp:cNvGraphicFramePr/>
                <a:graphic xmlns:a="http://schemas.openxmlformats.org/drawingml/2006/main">
                  <a:graphicData uri="http://schemas.microsoft.com/office/word/2010/wordprocessingShape">
                    <wps:wsp>
                      <wps:cNvSpPr txBox="1"/>
                      <wps:spPr>
                        <a:xfrm>
                          <a:off x="0" y="0"/>
                          <a:ext cx="1124585" cy="275771"/>
                        </a:xfrm>
                        <a:prstGeom prst="rect">
                          <a:avLst/>
                        </a:prstGeom>
                        <a:solidFill>
                          <a:schemeClr val="lt1"/>
                        </a:solidFill>
                        <a:ln w="19050">
                          <a:solidFill>
                            <a:prstClr val="black"/>
                          </a:solidFill>
                        </a:ln>
                      </wps:spPr>
                      <wps:txbx>
                        <w:txbxContent>
                          <w:p w14:paraId="06E3DBD8" w14:textId="77777777" w:rsidR="00736F61" w:rsidRDefault="00736F61" w:rsidP="00736F61">
                            <w:pPr>
                              <w:jc w:val="center"/>
                            </w:pPr>
                            <w:r>
                              <w:t>Findings</w:t>
                            </w:r>
                          </w:p>
                          <w:p w14:paraId="6E75A43D" w14:textId="77777777" w:rsidR="00736F61" w:rsidRDefault="00736F61" w:rsidP="00736F6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4DA5F1" id="_x0000_s1050" type="#_x0000_t202" style="position:absolute;margin-left:345.7pt;margin-top:16.9pt;width:88.55pt;height:21.7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" fillcolor="white [3201]" strokeweight="1.5pt">
                <v:textbox>
                  <w:txbxContent>
                    <w:p w14:paraId="06E3DBD8" w14:textId="77777777" w:rsidR="00736F61" w:rsidRDefault="00736F61" w:rsidP="00736F61">
                      <w:pPr>
                        <w:jc w:val="center"/>
                      </w:pPr>
                      <w:r>
                        <w:t>Findings</w:t>
                      </w:r>
                    </w:p>
                    <w:p w14:paraId="6E75A43D" w14:textId="77777777" w:rsidR="00736F61" w:rsidRDefault="00736F61" w:rsidP="00736F61">
                      <w:pPr>
                        <w:jc w:val="center"/>
                      </w:pPr>
                    </w:p>
                  </w:txbxContent>
                </v:textbox>
              </v:shape>
            </w:pict>
          </mc:Fallback>
        </mc:AlternateContent>
      </w:r>
    </w:p>
    <w:p w14:paraId="5870A40D" w14:textId="77777777" w:rsidR="00736F61" w:rsidRPr="00CC1FC3" w:rsidRDefault="00736F61" w:rsidP="00736F61">
      <w:pPr>
        <w:spacing w:line="360" w:lineRule="auto"/>
        <w:rPr>
          <w:rFonts w:eastAsia="Palatino Linotype"/>
        </w:rPr>
      </w:pPr>
      <w:r w:rsidRPr="00CC1FC3">
        <w:rPr>
          <w:rFonts w:eastAsia="Palatino Linotype"/>
          <w:b/>
          <w:bCs/>
          <w:noProof/>
        </w:rPr>
        <mc:AlternateContent>
          <mc:Choice Requires="wps">
            <w:drawing>
              <wp:anchor distT="0" distB="0" distL="114300" distR="114300" simplePos="0" relativeHeight="251660288" behindDoc="0" locked="0" layoutInCell="1" allowOverlap="1" wp14:anchorId="3E1A0AAD" wp14:editId="081868C4">
                <wp:simplePos x="0" y="0"/>
                <wp:positionH relativeFrom="column">
                  <wp:posOffset>0</wp:posOffset>
                </wp:positionH>
                <wp:positionV relativeFrom="paragraph">
                  <wp:posOffset>148590</wp:posOffset>
                </wp:positionV>
                <wp:extent cx="1370965" cy="297180"/>
                <wp:effectExtent l="0" t="0" r="19685" b="26670"/>
                <wp:wrapNone/>
                <wp:docPr id="1972797092" name="Text Box 2"/>
                <wp:cNvGraphicFramePr/>
                <a:graphic xmlns:a="http://schemas.openxmlformats.org/drawingml/2006/main">
                  <a:graphicData uri="http://schemas.microsoft.com/office/word/2010/wordprocessingShape">
                    <wps:wsp>
                      <wps:cNvSpPr txBox="1"/>
                      <wps:spPr>
                        <a:xfrm>
                          <a:off x="0" y="0"/>
                          <a:ext cx="1370965" cy="297180"/>
                        </a:xfrm>
                        <a:prstGeom prst="rect">
                          <a:avLst/>
                        </a:prstGeom>
                        <a:solidFill>
                          <a:schemeClr val="lt1"/>
                        </a:solidFill>
                        <a:ln w="19050">
                          <a:solidFill>
                            <a:prstClr val="black"/>
                          </a:solidFill>
                        </a:ln>
                      </wps:spPr>
                      <wps:txbx>
                        <w:txbxContent>
                          <w:p w14:paraId="2AAAC839" w14:textId="77777777" w:rsidR="00736F61" w:rsidRDefault="00736F61" w:rsidP="00736F61">
                            <w:pPr>
                              <w:jc w:val="center"/>
                            </w:pPr>
                            <w:r>
                              <w:t>Qualitative</w:t>
                            </w:r>
                          </w:p>
                          <w:p w14:paraId="74CFF8FD" w14:textId="77777777" w:rsidR="00736F61" w:rsidRDefault="00736F61" w:rsidP="00736F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A0AAD" id="_x0000_s1051" type="#_x0000_t202" style="position:absolute;margin-left:0;margin-top:11.7pt;width:107.95pt;height:23.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" fillcolor="white [3201]" strokeweight="1.5pt">
                <v:textbox>
                  <w:txbxContent>
                    <w:p w14:paraId="2AAAC839" w14:textId="77777777" w:rsidR="00736F61" w:rsidRDefault="00736F61" w:rsidP="00736F61">
                      <w:pPr>
                        <w:jc w:val="center"/>
                      </w:pPr>
                      <w:r>
                        <w:t>Qualitative</w:t>
                      </w:r>
                    </w:p>
                    <w:p w14:paraId="74CFF8FD" w14:textId="77777777" w:rsidR="00736F61" w:rsidRDefault="00736F61" w:rsidP="00736F61"/>
                  </w:txbxContent>
                </v:textbox>
              </v:shape>
            </w:pict>
          </mc:Fallback>
        </mc:AlternateContent>
      </w:r>
      <w:r w:rsidRPr="00CC1FC3">
        <w:rPr>
          <w:rFonts w:eastAsia="Palatino Linotype"/>
          <w:b/>
          <w:bCs/>
          <w:noProof/>
        </w:rPr>
        <mc:AlternateContent>
          <mc:Choice Requires="wps">
            <w:drawing>
              <wp:anchor distT="0" distB="0" distL="114300" distR="114300" simplePos="0" relativeHeight="251667456" behindDoc="0" locked="0" layoutInCell="1" allowOverlap="1" wp14:anchorId="2B77D97B" wp14:editId="2FDF18F4">
                <wp:simplePos x="0" y="0"/>
                <wp:positionH relativeFrom="column">
                  <wp:posOffset>1375410</wp:posOffset>
                </wp:positionH>
                <wp:positionV relativeFrom="paragraph">
                  <wp:posOffset>344170</wp:posOffset>
                </wp:positionV>
                <wp:extent cx="311785" cy="0"/>
                <wp:effectExtent l="0" t="0" r="0" b="0"/>
                <wp:wrapNone/>
                <wp:docPr id="1177952342" name="Straight Connector 8"/>
                <wp:cNvGraphicFramePr/>
                <a:graphic xmlns:a="http://schemas.openxmlformats.org/drawingml/2006/main">
                  <a:graphicData uri="http://schemas.microsoft.com/office/word/2010/wordprocessingShape">
                    <wps:wsp>
                      <wps:cNvCnPr/>
                      <wps:spPr>
                        <a:xfrm flipH="1">
                          <a:off x="0" y="0"/>
                          <a:ext cx="31178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A844D1A" id="Straight Connector 8" o:spid="_x0000_s1026" style="position:absolute;flip:x;z-index:251667456;visibility:visible;mso-wrap-style:square;mso-wrap-distance-left:9pt;mso-wrap-distance-top:0;mso-wrap-distance-right:9pt;mso-wrap-distance-bottom:0;mso-position-horizontal:absolute;mso-position-horizontal-relative:text;mso-position-vertical:absolute;mso-position-vertical-relative:text" from="108.3pt,27.1pt" to="132.85pt,2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" strokecolor="black [3200]" strokeweight="1pt">
                <v:stroke joinstyle="miter"/>
              </v:line>
            </w:pict>
          </mc:Fallback>
        </mc:AlternateContent>
      </w:r>
      <w:r w:rsidRPr="00CC1FC3">
        <w:rPr>
          <w:rFonts w:eastAsia="Palatino Linotype"/>
          <w:b/>
          <w:bCs/>
          <w:noProof/>
        </w:rPr>
        <mc:AlternateContent>
          <mc:Choice Requires="wps">
            <w:drawing>
              <wp:anchor distT="0" distB="0" distL="114300" distR="114300" simplePos="0" relativeHeight="251665408" behindDoc="0" locked="0" layoutInCell="1" allowOverlap="1" wp14:anchorId="1CCD173E" wp14:editId="03016DC2">
                <wp:simplePos x="0" y="0"/>
                <wp:positionH relativeFrom="column">
                  <wp:posOffset>1690914</wp:posOffset>
                </wp:positionH>
                <wp:positionV relativeFrom="paragraph">
                  <wp:posOffset>53884</wp:posOffset>
                </wp:positionV>
                <wp:extent cx="747486" cy="0"/>
                <wp:effectExtent l="0" t="76200" r="14605" b="95250"/>
                <wp:wrapNone/>
                <wp:docPr id="1463305296" name="Straight Arrow Connector 7"/>
                <wp:cNvGraphicFramePr/>
                <a:graphic xmlns:a="http://schemas.openxmlformats.org/drawingml/2006/main">
                  <a:graphicData uri="http://schemas.microsoft.com/office/word/2010/wordprocessingShape">
                    <wps:wsp>
                      <wps:cNvCnPr/>
                      <wps:spPr>
                        <a:xfrm>
                          <a:off x="0" y="0"/>
                          <a:ext cx="74748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8E53E5D" id="Straight Arrow Connector 7" o:spid="_x0000_s1026" type="#_x0000_t32" style="position:absolute;margin-left:133.15pt;margin-top:4.25pt;width:58.85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" strokecolor="black [3200]" strokeweight="1pt">
                <v:stroke endarrow="block" joinstyle="miter"/>
              </v:shape>
            </w:pict>
          </mc:Fallback>
        </mc:AlternateContent>
      </w:r>
      <w:r w:rsidRPr="00CC1FC3">
        <w:rPr>
          <w:rFonts w:eastAsia="Palatino Linotype"/>
        </w:rPr>
        <w:t xml:space="preserve">  </w:t>
      </w:r>
    </w:p>
    <w:p w14:paraId="745261C2" w14:textId="77777777" w:rsidR="00736F61" w:rsidRPr="00CC1FC3" w:rsidRDefault="00736F61" w:rsidP="00736F61">
      <w:pPr>
        <w:spacing w:line="360" w:lineRule="auto"/>
        <w:rPr>
          <w:rFonts w:eastAsia="Palatino Linotype"/>
        </w:rPr>
      </w:pPr>
    </w:p>
    <w:p w14:paraId="177D43EB" w14:textId="77777777" w:rsidR="00736F61" w:rsidRPr="00CC1FC3" w:rsidRDefault="00736F61" w:rsidP="00736F61">
      <w:pPr>
        <w:pStyle w:val="ListParagraph"/>
        <w:numPr>
          <w:ilvl w:val="0"/>
          <w:numId w:val="30"/>
        </w:numPr>
        <w:spacing w:line="259" w:lineRule="auto"/>
      </w:pPr>
      <w:r w:rsidRPr="00CC1FC3">
        <w:rPr>
          <w:b/>
          <w:bCs/>
        </w:rPr>
        <w:t>Exploratory sequential design</w:t>
      </w:r>
      <w:r w:rsidRPr="00CC1FC3">
        <w:rPr>
          <w:noProof/>
        </w:rPr>
        <mc:AlternateContent>
          <mc:Choice Requires="wps">
            <w:drawing>
              <wp:anchor distT="0" distB="0" distL="114300" distR="114300" simplePos="0" relativeHeight="251669504" behindDoc="0" locked="0" layoutInCell="1" allowOverlap="1" wp14:anchorId="68DC62D9" wp14:editId="69C90196">
                <wp:simplePos x="0" y="0"/>
                <wp:positionH relativeFrom="column">
                  <wp:posOffset>1257300</wp:posOffset>
                </wp:positionH>
                <wp:positionV relativeFrom="paragraph">
                  <wp:posOffset>158750</wp:posOffset>
                </wp:positionV>
                <wp:extent cx="1704975" cy="561975"/>
                <wp:effectExtent l="0" t="19050" r="47625" b="47625"/>
                <wp:wrapNone/>
                <wp:docPr id="1639171174" name="Arrow: Right 1"/>
                <wp:cNvGraphicFramePr/>
                <a:graphic xmlns:a="http://schemas.openxmlformats.org/drawingml/2006/main">
                  <a:graphicData uri="http://schemas.microsoft.com/office/word/2010/wordprocessingShape">
                    <wps:wsp>
                      <wps:cNvSpPr/>
                      <wps:spPr>
                        <a:xfrm>
                          <a:off x="0" y="0"/>
                          <a:ext cx="1704975" cy="561975"/>
                        </a:xfrm>
                        <a:prstGeom prst="rightArrow">
                          <a:avLst/>
                        </a:prstGeom>
                      </wps:spPr>
                      <wps:style>
                        <a:lnRef idx="2">
                          <a:schemeClr val="dk1"/>
                        </a:lnRef>
                        <a:fillRef idx="1">
                          <a:schemeClr val="lt1"/>
                        </a:fillRef>
                        <a:effectRef idx="0">
                          <a:schemeClr val="dk1"/>
                        </a:effectRef>
                        <a:fontRef idx="minor">
                          <a:schemeClr val="dk1"/>
                        </a:fontRef>
                      </wps:style>
                      <wps:txbx>
                        <w:txbxContent>
                          <w:p w14:paraId="511BCD68" w14:textId="77777777" w:rsidR="00736F61" w:rsidRDefault="00736F61" w:rsidP="00736F61">
                            <w:pPr>
                              <w:jc w:val="center"/>
                            </w:pPr>
                            <w:r>
                              <w:t>Act as preparation for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8DC62D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52" type="#_x0000_t13" style="position:absolute;left:0;text-align:left;margin-left:99pt;margin-top:12.5pt;width:134.25pt;height:44.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" adj="18040" fillcolor="white [3201]" strokecolor="black [3200]" strokeweight="1.5pt">
                <v:textbox>
                  <w:txbxContent>
                    <w:p w14:paraId="511BCD68" w14:textId="77777777" w:rsidR="00736F61" w:rsidRDefault="00736F61" w:rsidP="00736F61">
                      <w:pPr>
                        <w:jc w:val="center"/>
                      </w:pPr>
                      <w:r>
                        <w:t>Act as preparation for</w:t>
                      </w:r>
                    </w:p>
                  </w:txbxContent>
                </v:textbox>
              </v:shape>
            </w:pict>
          </mc:Fallback>
        </mc:AlternateContent>
      </w:r>
    </w:p>
    <w:p w14:paraId="3BA34C56" w14:textId="77777777" w:rsidR="00736F61" w:rsidRPr="00CC1FC3" w:rsidRDefault="00736F61" w:rsidP="00736F61">
      <w:pPr>
        <w:spacing w:line="360" w:lineRule="auto"/>
        <w:rPr>
          <w:rFonts w:eastAsia="Palatino Linotype"/>
        </w:rPr>
      </w:pPr>
      <w:r w:rsidRPr="00CC1FC3">
        <w:rPr>
          <w:rFonts w:eastAsia="Palatino Linotype"/>
          <w:b/>
          <w:bCs/>
          <w:noProof/>
        </w:rPr>
        <mc:AlternateContent>
          <mc:Choice Requires="wps">
            <w:drawing>
              <wp:anchor distT="0" distB="0" distL="114300" distR="114300" simplePos="0" relativeHeight="251671552" behindDoc="0" locked="0" layoutInCell="1" allowOverlap="1" wp14:anchorId="5F4ED7C5" wp14:editId="6EB87934">
                <wp:simplePos x="0" y="0"/>
                <wp:positionH relativeFrom="column">
                  <wp:posOffset>5019675</wp:posOffset>
                </wp:positionH>
                <wp:positionV relativeFrom="paragraph">
                  <wp:posOffset>8890</wp:posOffset>
                </wp:positionV>
                <wp:extent cx="1124585" cy="275590"/>
                <wp:effectExtent l="0" t="0" r="18415" b="10160"/>
                <wp:wrapNone/>
                <wp:docPr id="927314539" name="Text Box 2"/>
                <wp:cNvGraphicFramePr/>
                <a:graphic xmlns:a="http://schemas.openxmlformats.org/drawingml/2006/main">
                  <a:graphicData uri="http://schemas.microsoft.com/office/word/2010/wordprocessingShape">
                    <wps:wsp>
                      <wps:cNvSpPr txBox="1"/>
                      <wps:spPr>
                        <a:xfrm>
                          <a:off x="0" y="0"/>
                          <a:ext cx="1124585" cy="275590"/>
                        </a:xfrm>
                        <a:prstGeom prst="rect">
                          <a:avLst/>
                        </a:prstGeom>
                        <a:solidFill>
                          <a:schemeClr val="lt1"/>
                        </a:solidFill>
                        <a:ln w="19050">
                          <a:solidFill>
                            <a:prstClr val="black"/>
                          </a:solidFill>
                        </a:ln>
                      </wps:spPr>
                      <wps:txbx>
                        <w:txbxContent>
                          <w:p w14:paraId="5705B794" w14:textId="77777777" w:rsidR="00736F61" w:rsidRDefault="00736F61" w:rsidP="00736F61">
                            <w:pPr>
                              <w:jc w:val="center"/>
                            </w:pPr>
                            <w:r>
                              <w:t>Findings</w:t>
                            </w:r>
                          </w:p>
                          <w:p w14:paraId="11607C3D" w14:textId="77777777" w:rsidR="00736F61" w:rsidRDefault="00736F61" w:rsidP="00736F6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4ED7C5" id="_x0000_s1053" type="#_x0000_t202" style="position:absolute;margin-left:395.25pt;margin-top:.7pt;width:88.55pt;height:21.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" fillcolor="white [3201]" strokeweight="1.5pt">
                <v:textbox>
                  <w:txbxContent>
                    <w:p w14:paraId="5705B794" w14:textId="77777777" w:rsidR="00736F61" w:rsidRDefault="00736F61" w:rsidP="00736F61">
                      <w:pPr>
                        <w:jc w:val="center"/>
                      </w:pPr>
                      <w:r>
                        <w:t>Findings</w:t>
                      </w:r>
                    </w:p>
                    <w:p w14:paraId="11607C3D" w14:textId="77777777" w:rsidR="00736F61" w:rsidRDefault="00736F61" w:rsidP="00736F61">
                      <w:pPr>
                        <w:jc w:val="center"/>
                      </w:pPr>
                    </w:p>
                  </w:txbxContent>
                </v:textbox>
              </v:shape>
            </w:pict>
          </mc:Fallback>
        </mc:AlternateContent>
      </w:r>
      <w:r w:rsidRPr="00CC1FC3">
        <w:rPr>
          <w:rFonts w:eastAsia="Palatino Linotype"/>
          <w:b/>
          <w:bCs/>
          <w:noProof/>
        </w:rPr>
        <mc:AlternateContent>
          <mc:Choice Requires="wps">
            <w:drawing>
              <wp:anchor distT="0" distB="0" distL="114300" distR="114300" simplePos="0" relativeHeight="251672576" behindDoc="0" locked="0" layoutInCell="1" allowOverlap="1" wp14:anchorId="360EBB86" wp14:editId="6E3CD26D">
                <wp:simplePos x="0" y="0"/>
                <wp:positionH relativeFrom="column">
                  <wp:posOffset>4258945</wp:posOffset>
                </wp:positionH>
                <wp:positionV relativeFrom="paragraph">
                  <wp:posOffset>160020</wp:posOffset>
                </wp:positionV>
                <wp:extent cx="755015" cy="0"/>
                <wp:effectExtent l="0" t="76200" r="26035" b="95250"/>
                <wp:wrapNone/>
                <wp:docPr id="1430167990" name="Straight Arrow Connector 5"/>
                <wp:cNvGraphicFramePr/>
                <a:graphic xmlns:a="http://schemas.openxmlformats.org/drawingml/2006/main">
                  <a:graphicData uri="http://schemas.microsoft.com/office/word/2010/wordprocessingShape">
                    <wps:wsp>
                      <wps:cNvCnPr/>
                      <wps:spPr>
                        <a:xfrm>
                          <a:off x="0" y="0"/>
                          <a:ext cx="7550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B6455B" id="Straight Arrow Connector 5" o:spid="_x0000_s1026" type="#_x0000_t32" style="position:absolute;margin-left:335.35pt;margin-top:12.6pt;width:59.4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" strokecolor="black [3200]" strokeweight="1pt">
                <v:stroke endarrow="block" joinstyle="miter"/>
              </v:shape>
            </w:pict>
          </mc:Fallback>
        </mc:AlternateContent>
      </w:r>
      <w:r w:rsidRPr="00CC1FC3">
        <w:rPr>
          <w:rFonts w:eastAsia="Palatino Linotype"/>
          <w:b/>
          <w:bCs/>
          <w:noProof/>
        </w:rPr>
        <mc:AlternateContent>
          <mc:Choice Requires="wps">
            <w:drawing>
              <wp:anchor distT="0" distB="0" distL="114300" distR="114300" simplePos="0" relativeHeight="251670528" behindDoc="0" locked="0" layoutInCell="1" allowOverlap="1" wp14:anchorId="2E619C21" wp14:editId="71AF73A1">
                <wp:simplePos x="0" y="0"/>
                <wp:positionH relativeFrom="column">
                  <wp:posOffset>3105150</wp:posOffset>
                </wp:positionH>
                <wp:positionV relativeFrom="paragraph">
                  <wp:posOffset>8890</wp:posOffset>
                </wp:positionV>
                <wp:extent cx="1124585" cy="297180"/>
                <wp:effectExtent l="0" t="0" r="18415" b="26670"/>
                <wp:wrapNone/>
                <wp:docPr id="350845393" name="Text Box 2"/>
                <wp:cNvGraphicFramePr/>
                <a:graphic xmlns:a="http://schemas.openxmlformats.org/drawingml/2006/main">
                  <a:graphicData uri="http://schemas.microsoft.com/office/word/2010/wordprocessingShape">
                    <wps:wsp>
                      <wps:cNvSpPr txBox="1"/>
                      <wps:spPr>
                        <a:xfrm>
                          <a:off x="0" y="0"/>
                          <a:ext cx="1124585" cy="297180"/>
                        </a:xfrm>
                        <a:prstGeom prst="rect">
                          <a:avLst/>
                        </a:prstGeom>
                        <a:solidFill>
                          <a:schemeClr val="lt1"/>
                        </a:solidFill>
                        <a:ln w="19050">
                          <a:solidFill>
                            <a:prstClr val="black"/>
                          </a:solidFill>
                        </a:ln>
                      </wps:spPr>
                      <wps:txbx>
                        <w:txbxContent>
                          <w:p w14:paraId="164B5EDF" w14:textId="77777777" w:rsidR="00736F61" w:rsidRDefault="00736F61" w:rsidP="00736F61">
                            <w:pPr>
                              <w:jc w:val="center"/>
                            </w:pPr>
                            <w:r>
                              <w:t>Quantitative</w:t>
                            </w:r>
                          </w:p>
                          <w:p w14:paraId="64833F64" w14:textId="77777777" w:rsidR="00736F61" w:rsidRDefault="00736F61" w:rsidP="00736F6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619C21" id="_x0000_s1054" type="#_x0000_t202" style="position:absolute;margin-left:244.5pt;margin-top:.7pt;width:88.55pt;height:23.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" fillcolor="white [3201]" strokeweight="1.5pt">
                <v:textbox>
                  <w:txbxContent>
                    <w:p w14:paraId="164B5EDF" w14:textId="77777777" w:rsidR="00736F61" w:rsidRDefault="00736F61" w:rsidP="00736F61">
                      <w:pPr>
                        <w:jc w:val="center"/>
                      </w:pPr>
                      <w:r>
                        <w:t>Quantitative</w:t>
                      </w:r>
                    </w:p>
                    <w:p w14:paraId="64833F64" w14:textId="77777777" w:rsidR="00736F61" w:rsidRDefault="00736F61" w:rsidP="00736F61">
                      <w:pPr>
                        <w:jc w:val="center"/>
                      </w:pPr>
                    </w:p>
                  </w:txbxContent>
                </v:textbox>
              </v:shape>
            </w:pict>
          </mc:Fallback>
        </mc:AlternateContent>
      </w:r>
      <w:r w:rsidRPr="00CC1FC3">
        <w:rPr>
          <w:rFonts w:eastAsia="Palatino Linotype"/>
          <w:b/>
          <w:bCs/>
          <w:noProof/>
        </w:rPr>
        <mc:AlternateContent>
          <mc:Choice Requires="wps">
            <w:drawing>
              <wp:anchor distT="0" distB="0" distL="114300" distR="114300" simplePos="0" relativeHeight="251668480" behindDoc="0" locked="0" layoutInCell="1" allowOverlap="1" wp14:anchorId="72F3D8ED" wp14:editId="0FD5FC9A">
                <wp:simplePos x="0" y="0"/>
                <wp:positionH relativeFrom="column">
                  <wp:posOffset>0</wp:posOffset>
                </wp:positionH>
                <wp:positionV relativeFrom="paragraph">
                  <wp:posOffset>0</wp:posOffset>
                </wp:positionV>
                <wp:extent cx="1124585" cy="297180"/>
                <wp:effectExtent l="0" t="0" r="18415" b="26670"/>
                <wp:wrapNone/>
                <wp:docPr id="1628473861" name="Text Box 2"/>
                <wp:cNvGraphicFramePr/>
                <a:graphic xmlns:a="http://schemas.openxmlformats.org/drawingml/2006/main">
                  <a:graphicData uri="http://schemas.microsoft.com/office/word/2010/wordprocessingShape">
                    <wps:wsp>
                      <wps:cNvSpPr txBox="1"/>
                      <wps:spPr>
                        <a:xfrm>
                          <a:off x="0" y="0"/>
                          <a:ext cx="1124585" cy="297180"/>
                        </a:xfrm>
                        <a:prstGeom prst="rect">
                          <a:avLst/>
                        </a:prstGeom>
                        <a:solidFill>
                          <a:schemeClr val="lt1"/>
                        </a:solidFill>
                        <a:ln w="19050">
                          <a:solidFill>
                            <a:prstClr val="black"/>
                          </a:solidFill>
                        </a:ln>
                      </wps:spPr>
                      <wps:txbx>
                        <w:txbxContent>
                          <w:p w14:paraId="6A047B73" w14:textId="77777777" w:rsidR="00736F61" w:rsidRDefault="00736F61" w:rsidP="00736F61">
                            <w:pPr>
                              <w:jc w:val="center"/>
                            </w:pPr>
                            <w:r>
                              <w:t>Quantitative</w:t>
                            </w:r>
                          </w:p>
                          <w:p w14:paraId="4900EC41" w14:textId="77777777" w:rsidR="00736F61" w:rsidRDefault="00736F61" w:rsidP="00736F6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F3D8ED" id="_x0000_s1055" type="#_x0000_t202" style="position:absolute;margin-left:0;margin-top:0;width:88.55pt;height:23.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" fillcolor="white [3201]" strokeweight="1.5pt">
                <v:textbox>
                  <w:txbxContent>
                    <w:p w14:paraId="6A047B73" w14:textId="77777777" w:rsidR="00736F61" w:rsidRDefault="00736F61" w:rsidP="00736F61">
                      <w:pPr>
                        <w:jc w:val="center"/>
                      </w:pPr>
                      <w:r>
                        <w:t>Quantitative</w:t>
                      </w:r>
                    </w:p>
                    <w:p w14:paraId="4900EC41" w14:textId="77777777" w:rsidR="00736F61" w:rsidRDefault="00736F61" w:rsidP="00736F61">
                      <w:pPr>
                        <w:jc w:val="center"/>
                      </w:pPr>
                    </w:p>
                  </w:txbxContent>
                </v:textbox>
              </v:shape>
            </w:pict>
          </mc:Fallback>
        </mc:AlternateContent>
      </w:r>
    </w:p>
    <w:p w14:paraId="02B46167" w14:textId="77777777" w:rsidR="00736F61" w:rsidRPr="00CC1FC3" w:rsidRDefault="00736F61" w:rsidP="00736F61">
      <w:pPr>
        <w:spacing w:line="360" w:lineRule="auto"/>
        <w:rPr>
          <w:rFonts w:eastAsia="Palatino Linotype"/>
        </w:rPr>
      </w:pPr>
    </w:p>
    <w:p w14:paraId="5D095DF2" w14:textId="77777777" w:rsidR="00736F61" w:rsidRPr="00CC1FC3" w:rsidRDefault="00736F61" w:rsidP="00736F61">
      <w:pPr>
        <w:pStyle w:val="ListParagraph"/>
        <w:numPr>
          <w:ilvl w:val="0"/>
          <w:numId w:val="31"/>
        </w:numPr>
        <w:spacing w:line="259" w:lineRule="auto"/>
      </w:pPr>
      <w:r w:rsidRPr="00CC1FC3">
        <w:rPr>
          <w:noProof/>
        </w:rPr>
        <mc:AlternateContent>
          <mc:Choice Requires="wps">
            <w:drawing>
              <wp:anchor distT="0" distB="0" distL="114300" distR="114300" simplePos="0" relativeHeight="251674624" behindDoc="0" locked="0" layoutInCell="1" allowOverlap="1" wp14:anchorId="1F486734" wp14:editId="37AC05C4">
                <wp:simplePos x="0" y="0"/>
                <wp:positionH relativeFrom="column">
                  <wp:posOffset>1213164</wp:posOffset>
                </wp:positionH>
                <wp:positionV relativeFrom="paragraph">
                  <wp:posOffset>159599</wp:posOffset>
                </wp:positionV>
                <wp:extent cx="1750243" cy="578478"/>
                <wp:effectExtent l="0" t="19050" r="40640" b="31750"/>
                <wp:wrapNone/>
                <wp:docPr id="1094944524" name="Arrow: Right 1"/>
                <wp:cNvGraphicFramePr/>
                <a:graphic xmlns:a="http://schemas.openxmlformats.org/drawingml/2006/main">
                  <a:graphicData uri="http://schemas.microsoft.com/office/word/2010/wordprocessingShape">
                    <wps:wsp>
                      <wps:cNvSpPr/>
                      <wps:spPr>
                        <a:xfrm>
                          <a:off x="0" y="0"/>
                          <a:ext cx="1750243" cy="578478"/>
                        </a:xfrm>
                        <a:prstGeom prst="rightArrow">
                          <a:avLst/>
                        </a:prstGeom>
                      </wps:spPr>
                      <wps:style>
                        <a:lnRef idx="2">
                          <a:schemeClr val="dk1"/>
                        </a:lnRef>
                        <a:fillRef idx="1">
                          <a:schemeClr val="lt1"/>
                        </a:fillRef>
                        <a:effectRef idx="0">
                          <a:schemeClr val="dk1"/>
                        </a:effectRef>
                        <a:fontRef idx="minor">
                          <a:schemeClr val="dk1"/>
                        </a:fontRef>
                      </wps:style>
                      <wps:txbx>
                        <w:txbxContent>
                          <w:p w14:paraId="5FFA6316" w14:textId="77777777" w:rsidR="00736F61" w:rsidRPr="00591334" w:rsidRDefault="00736F61" w:rsidP="00736F61">
                            <w:pPr>
                              <w:jc w:val="center"/>
                              <w:rPr>
                                <w:sz w:val="20"/>
                                <w:szCs w:val="20"/>
                              </w:rPr>
                            </w:pPr>
                            <w:r w:rsidRPr="00591334">
                              <w:rPr>
                                <w:sz w:val="20"/>
                                <w:szCs w:val="20"/>
                              </w:rPr>
                              <w:t>Explained or elaborated by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86734" id="_x0000_s1056" type="#_x0000_t13" style="position:absolute;left:0;text-align:left;margin-left:95.5pt;margin-top:12.55pt;width:137.8pt;height:45.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" adj="18030" fillcolor="white [3201]" strokecolor="black [3200]" strokeweight="1.5pt">
                <v:textbox>
                  <w:txbxContent>
                    <w:p w14:paraId="5FFA6316" w14:textId="77777777" w:rsidR="00736F61" w:rsidRPr="00591334" w:rsidRDefault="00736F61" w:rsidP="00736F61">
                      <w:pPr>
                        <w:jc w:val="center"/>
                        <w:rPr>
                          <w:sz w:val="20"/>
                          <w:szCs w:val="20"/>
                        </w:rPr>
                      </w:pPr>
                      <w:r w:rsidRPr="00591334">
                        <w:rPr>
                          <w:sz w:val="20"/>
                          <w:szCs w:val="20"/>
                        </w:rPr>
                        <w:t>Explained or elaborated by</w:t>
                      </w:r>
                    </w:p>
                  </w:txbxContent>
                </v:textbox>
              </v:shape>
            </w:pict>
          </mc:Fallback>
        </mc:AlternateContent>
      </w:r>
      <w:r w:rsidRPr="00CC1FC3">
        <w:rPr>
          <w:b/>
          <w:bCs/>
        </w:rPr>
        <w:t>Explanatory sequential design</w:t>
      </w:r>
    </w:p>
    <w:p w14:paraId="4B65E93A" w14:textId="77777777" w:rsidR="00736F61" w:rsidRPr="00CC1FC3" w:rsidRDefault="00736F61" w:rsidP="00736F61">
      <w:pPr>
        <w:spacing w:line="360" w:lineRule="auto"/>
        <w:rPr>
          <w:rFonts w:eastAsia="Palatino Linotype"/>
        </w:rPr>
      </w:pPr>
      <w:r w:rsidRPr="00CC1FC3">
        <w:rPr>
          <w:rFonts w:eastAsia="Palatino Linotype"/>
          <w:b/>
          <w:bCs/>
          <w:noProof/>
        </w:rPr>
        <mc:AlternateContent>
          <mc:Choice Requires="wps">
            <w:drawing>
              <wp:anchor distT="0" distB="0" distL="114300" distR="114300" simplePos="0" relativeHeight="251676672" behindDoc="0" locked="0" layoutInCell="1" allowOverlap="1" wp14:anchorId="5D65FBCE" wp14:editId="2C79F23E">
                <wp:simplePos x="0" y="0"/>
                <wp:positionH relativeFrom="column">
                  <wp:posOffset>5019675</wp:posOffset>
                </wp:positionH>
                <wp:positionV relativeFrom="paragraph">
                  <wp:posOffset>8890</wp:posOffset>
                </wp:positionV>
                <wp:extent cx="1124585" cy="275590"/>
                <wp:effectExtent l="0" t="0" r="18415" b="10160"/>
                <wp:wrapNone/>
                <wp:docPr id="59797717" name="Text Box 2"/>
                <wp:cNvGraphicFramePr/>
                <a:graphic xmlns:a="http://schemas.openxmlformats.org/drawingml/2006/main">
                  <a:graphicData uri="http://schemas.microsoft.com/office/word/2010/wordprocessingShape">
                    <wps:wsp>
                      <wps:cNvSpPr txBox="1"/>
                      <wps:spPr>
                        <a:xfrm>
                          <a:off x="0" y="0"/>
                          <a:ext cx="1124585" cy="275590"/>
                        </a:xfrm>
                        <a:prstGeom prst="rect">
                          <a:avLst/>
                        </a:prstGeom>
                        <a:solidFill>
                          <a:schemeClr val="lt1"/>
                        </a:solidFill>
                        <a:ln w="19050">
                          <a:solidFill>
                            <a:prstClr val="black"/>
                          </a:solidFill>
                        </a:ln>
                      </wps:spPr>
                      <wps:txbx>
                        <w:txbxContent>
                          <w:p w14:paraId="6E2D6FE3" w14:textId="77777777" w:rsidR="00736F61" w:rsidRDefault="00736F61" w:rsidP="00736F61">
                            <w:pPr>
                              <w:jc w:val="center"/>
                            </w:pPr>
                            <w:r>
                              <w:t>Findings</w:t>
                            </w:r>
                          </w:p>
                          <w:p w14:paraId="602A44C9" w14:textId="77777777" w:rsidR="00736F61" w:rsidRDefault="00736F61" w:rsidP="00736F6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65FBCE" id="_x0000_s1057" type="#_x0000_t202" style="position:absolute;margin-left:395.25pt;margin-top:.7pt;width:88.55pt;height:21.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" fillcolor="white [3201]" strokeweight="1.5pt">
                <v:textbox>
                  <w:txbxContent>
                    <w:p w14:paraId="6E2D6FE3" w14:textId="77777777" w:rsidR="00736F61" w:rsidRDefault="00736F61" w:rsidP="00736F61">
                      <w:pPr>
                        <w:jc w:val="center"/>
                      </w:pPr>
                      <w:r>
                        <w:t>Findings</w:t>
                      </w:r>
                    </w:p>
                    <w:p w14:paraId="602A44C9" w14:textId="77777777" w:rsidR="00736F61" w:rsidRDefault="00736F61" w:rsidP="00736F61">
                      <w:pPr>
                        <w:jc w:val="center"/>
                      </w:pPr>
                    </w:p>
                  </w:txbxContent>
                </v:textbox>
              </v:shape>
            </w:pict>
          </mc:Fallback>
        </mc:AlternateContent>
      </w:r>
      <w:r w:rsidRPr="00CC1FC3">
        <w:rPr>
          <w:rFonts w:eastAsia="Palatino Linotype"/>
          <w:b/>
          <w:bCs/>
          <w:noProof/>
        </w:rPr>
        <mc:AlternateContent>
          <mc:Choice Requires="wps">
            <w:drawing>
              <wp:anchor distT="0" distB="0" distL="114300" distR="114300" simplePos="0" relativeHeight="251677696" behindDoc="0" locked="0" layoutInCell="1" allowOverlap="1" wp14:anchorId="5D4EF748" wp14:editId="39717F4A">
                <wp:simplePos x="0" y="0"/>
                <wp:positionH relativeFrom="column">
                  <wp:posOffset>4258945</wp:posOffset>
                </wp:positionH>
                <wp:positionV relativeFrom="paragraph">
                  <wp:posOffset>160020</wp:posOffset>
                </wp:positionV>
                <wp:extent cx="755015" cy="0"/>
                <wp:effectExtent l="0" t="76200" r="26035" b="95250"/>
                <wp:wrapNone/>
                <wp:docPr id="1917336885" name="Straight Arrow Connector 5"/>
                <wp:cNvGraphicFramePr/>
                <a:graphic xmlns:a="http://schemas.openxmlformats.org/drawingml/2006/main">
                  <a:graphicData uri="http://schemas.microsoft.com/office/word/2010/wordprocessingShape">
                    <wps:wsp>
                      <wps:cNvCnPr/>
                      <wps:spPr>
                        <a:xfrm>
                          <a:off x="0" y="0"/>
                          <a:ext cx="7550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79961BF" id="Straight Arrow Connector 5" o:spid="_x0000_s1026" type="#_x0000_t32" style="position:absolute;margin-left:335.35pt;margin-top:12.6pt;width:59.4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" strokecolor="black [3200]" strokeweight="1pt">
                <v:stroke endarrow="block" joinstyle="miter"/>
              </v:shape>
            </w:pict>
          </mc:Fallback>
        </mc:AlternateContent>
      </w:r>
      <w:r w:rsidRPr="00CC1FC3">
        <w:rPr>
          <w:rFonts w:eastAsia="Palatino Linotype"/>
          <w:b/>
          <w:bCs/>
          <w:noProof/>
        </w:rPr>
        <mc:AlternateContent>
          <mc:Choice Requires="wps">
            <w:drawing>
              <wp:anchor distT="0" distB="0" distL="114300" distR="114300" simplePos="0" relativeHeight="251675648" behindDoc="0" locked="0" layoutInCell="1" allowOverlap="1" wp14:anchorId="522D1691" wp14:editId="26C7ACF7">
                <wp:simplePos x="0" y="0"/>
                <wp:positionH relativeFrom="column">
                  <wp:posOffset>3105150</wp:posOffset>
                </wp:positionH>
                <wp:positionV relativeFrom="paragraph">
                  <wp:posOffset>8890</wp:posOffset>
                </wp:positionV>
                <wp:extent cx="1124585" cy="297180"/>
                <wp:effectExtent l="0" t="0" r="18415" b="26670"/>
                <wp:wrapNone/>
                <wp:docPr id="476633234" name="Text Box 2"/>
                <wp:cNvGraphicFramePr/>
                <a:graphic xmlns:a="http://schemas.openxmlformats.org/drawingml/2006/main">
                  <a:graphicData uri="http://schemas.microsoft.com/office/word/2010/wordprocessingShape">
                    <wps:wsp>
                      <wps:cNvSpPr txBox="1"/>
                      <wps:spPr>
                        <a:xfrm>
                          <a:off x="0" y="0"/>
                          <a:ext cx="1124585" cy="297180"/>
                        </a:xfrm>
                        <a:prstGeom prst="rect">
                          <a:avLst/>
                        </a:prstGeom>
                        <a:solidFill>
                          <a:schemeClr val="lt1"/>
                        </a:solidFill>
                        <a:ln w="19050">
                          <a:solidFill>
                            <a:prstClr val="black"/>
                          </a:solidFill>
                        </a:ln>
                      </wps:spPr>
                      <wps:txbx>
                        <w:txbxContent>
                          <w:p w14:paraId="4C14448F" w14:textId="77777777" w:rsidR="00736F61" w:rsidRDefault="00736F61" w:rsidP="00736F61">
                            <w:pPr>
                              <w:jc w:val="center"/>
                            </w:pPr>
                            <w:r>
                              <w:t>Qualitative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2D1691" id="_x0000_s1058" type="#_x0000_t202" style="position:absolute;margin-left:244.5pt;margin-top:.7pt;width:88.55pt;height:23.4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" fillcolor="white [3201]" strokeweight="1.5pt">
                <v:textbox>
                  <w:txbxContent>
                    <w:p w14:paraId="4C14448F" w14:textId="77777777" w:rsidR="00736F61" w:rsidRDefault="00736F61" w:rsidP="00736F61">
                      <w:pPr>
                        <w:jc w:val="center"/>
                      </w:pPr>
                      <w:r>
                        <w:t>Qualitative</w:t>
                      </w:r>
                    </w:p>
                  </w:txbxContent>
                </v:textbox>
              </v:shape>
            </w:pict>
          </mc:Fallback>
        </mc:AlternateContent>
      </w:r>
      <w:r w:rsidRPr="00CC1FC3">
        <w:rPr>
          <w:rFonts w:eastAsia="Palatino Linotype"/>
          <w:b/>
          <w:bCs/>
          <w:noProof/>
        </w:rPr>
        <mc:AlternateContent>
          <mc:Choice Requires="wps">
            <w:drawing>
              <wp:anchor distT="0" distB="0" distL="114300" distR="114300" simplePos="0" relativeHeight="251673600" behindDoc="0" locked="0" layoutInCell="1" allowOverlap="1" wp14:anchorId="554355F9" wp14:editId="13460DEC">
                <wp:simplePos x="0" y="0"/>
                <wp:positionH relativeFrom="column">
                  <wp:posOffset>0</wp:posOffset>
                </wp:positionH>
                <wp:positionV relativeFrom="paragraph">
                  <wp:posOffset>0</wp:posOffset>
                </wp:positionV>
                <wp:extent cx="1124585" cy="297180"/>
                <wp:effectExtent l="0" t="0" r="18415" b="26670"/>
                <wp:wrapNone/>
                <wp:docPr id="767391457" name="Text Box 2"/>
                <wp:cNvGraphicFramePr/>
                <a:graphic xmlns:a="http://schemas.openxmlformats.org/drawingml/2006/main">
                  <a:graphicData uri="http://schemas.microsoft.com/office/word/2010/wordprocessingShape">
                    <wps:wsp>
                      <wps:cNvSpPr txBox="1"/>
                      <wps:spPr>
                        <a:xfrm>
                          <a:off x="0" y="0"/>
                          <a:ext cx="1124585" cy="297180"/>
                        </a:xfrm>
                        <a:prstGeom prst="rect">
                          <a:avLst/>
                        </a:prstGeom>
                        <a:solidFill>
                          <a:schemeClr val="lt1"/>
                        </a:solidFill>
                        <a:ln w="19050">
                          <a:solidFill>
                            <a:prstClr val="black"/>
                          </a:solidFill>
                        </a:ln>
                      </wps:spPr>
                      <wps:txbx>
                        <w:txbxContent>
                          <w:p w14:paraId="7C03FD84" w14:textId="77777777" w:rsidR="00736F61" w:rsidRDefault="00736F61" w:rsidP="00736F61">
                            <w:pPr>
                              <w:jc w:val="center"/>
                            </w:pPr>
                            <w:r>
                              <w:t>Quantitative</w:t>
                            </w:r>
                          </w:p>
                          <w:p w14:paraId="4021AD42" w14:textId="77777777" w:rsidR="00736F61" w:rsidRDefault="00736F61" w:rsidP="00736F6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4355F9" id="_x0000_s1059" type="#_x0000_t202" style="position:absolute;margin-left:0;margin-top:0;width:88.55pt;height:23.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" fillcolor="white [3201]" strokeweight="1.5pt">
                <v:textbox>
                  <w:txbxContent>
                    <w:p w14:paraId="7C03FD84" w14:textId="77777777" w:rsidR="00736F61" w:rsidRDefault="00736F61" w:rsidP="00736F61">
                      <w:pPr>
                        <w:jc w:val="center"/>
                      </w:pPr>
                      <w:r>
                        <w:t>Quantitative</w:t>
                      </w:r>
                    </w:p>
                    <w:p w14:paraId="4021AD42" w14:textId="77777777" w:rsidR="00736F61" w:rsidRDefault="00736F61" w:rsidP="00736F61">
                      <w:pPr>
                        <w:jc w:val="center"/>
                      </w:pPr>
                    </w:p>
                  </w:txbxContent>
                </v:textbox>
              </v:shape>
            </w:pict>
          </mc:Fallback>
        </mc:AlternateContent>
      </w:r>
    </w:p>
    <w:p w14:paraId="1FB13E86" w14:textId="77777777" w:rsidR="00736F61" w:rsidRPr="00CC1FC3" w:rsidRDefault="00736F61" w:rsidP="00736F61">
      <w:pPr>
        <w:rPr>
          <w:rFonts w:eastAsia="Palatino Linotype"/>
        </w:rPr>
      </w:pPr>
    </w:p>
    <w:p w14:paraId="6DB85618" w14:textId="77777777" w:rsidR="00736F61" w:rsidRPr="00CC1FC3" w:rsidRDefault="00736F61" w:rsidP="00736F61">
      <w:pPr>
        <w:pStyle w:val="ListParagraph"/>
        <w:numPr>
          <w:ilvl w:val="0"/>
          <w:numId w:val="32"/>
        </w:numPr>
        <w:spacing w:line="259" w:lineRule="auto"/>
        <w:rPr>
          <w:rFonts w:eastAsia="Palatino Linotype"/>
          <w:b/>
          <w:bCs/>
        </w:rPr>
      </w:pPr>
      <w:r w:rsidRPr="00CC1FC3">
        <w:rPr>
          <w:rFonts w:eastAsia="Palatino Linotype"/>
          <w:b/>
          <w:bCs/>
          <w:noProof/>
        </w:rPr>
        <mc:AlternateContent>
          <mc:Choice Requires="wps">
            <w:drawing>
              <wp:anchor distT="0" distB="0" distL="114300" distR="114300" simplePos="0" relativeHeight="251678720" behindDoc="0" locked="0" layoutInCell="1" allowOverlap="1" wp14:anchorId="0190CFC2" wp14:editId="2B7F01B8">
                <wp:simplePos x="0" y="0"/>
                <wp:positionH relativeFrom="column">
                  <wp:posOffset>19050</wp:posOffset>
                </wp:positionH>
                <wp:positionV relativeFrom="paragraph">
                  <wp:posOffset>300990</wp:posOffset>
                </wp:positionV>
                <wp:extent cx="1971675" cy="647700"/>
                <wp:effectExtent l="0" t="0" r="28575" b="19050"/>
                <wp:wrapNone/>
                <wp:docPr id="1830710301" name="Text Box 2"/>
                <wp:cNvGraphicFramePr/>
                <a:graphic xmlns:a="http://schemas.openxmlformats.org/drawingml/2006/main">
                  <a:graphicData uri="http://schemas.microsoft.com/office/word/2010/wordprocessingShape">
                    <wps:wsp>
                      <wps:cNvSpPr txBox="1"/>
                      <wps:spPr>
                        <a:xfrm>
                          <a:off x="0" y="0"/>
                          <a:ext cx="1971675" cy="647700"/>
                        </a:xfrm>
                        <a:prstGeom prst="rect">
                          <a:avLst/>
                        </a:prstGeom>
                        <a:solidFill>
                          <a:schemeClr val="lt1"/>
                        </a:solidFill>
                        <a:ln w="19050">
                          <a:solidFill>
                            <a:prstClr val="black"/>
                          </a:solidFill>
                        </a:ln>
                      </wps:spPr>
                      <wps:txbx>
                        <w:txbxContent>
                          <w:p w14:paraId="1EA08AD7" w14:textId="77777777" w:rsidR="00736F61" w:rsidRDefault="00736F61" w:rsidP="00736F61">
                            <w:r>
                              <w:t>Quantitative or qualitative</w:t>
                            </w:r>
                          </w:p>
                          <w:p w14:paraId="0FFB10BB" w14:textId="77777777" w:rsidR="00736F61" w:rsidRDefault="00736F61" w:rsidP="00736F61">
                            <w:r>
                              <w:t>Qualitative or Quantitative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90CFC2" id="_x0000_s1060" type="#_x0000_t202" style="position:absolute;left:0;text-align:left;margin-left:1.5pt;margin-top:23.7pt;width:155.25pt;height:51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" fillcolor="white [3201]" strokeweight="1.5pt">
                <v:textbox>
                  <w:txbxContent>
                    <w:p w14:paraId="1EA08AD7" w14:textId="77777777" w:rsidR="00736F61" w:rsidRDefault="00736F61" w:rsidP="00736F61">
                      <w:r>
                        <w:t>Quantitative or qualitative</w:t>
                      </w:r>
                    </w:p>
                    <w:p w14:paraId="0FFB10BB" w14:textId="77777777" w:rsidR="00736F61" w:rsidRDefault="00736F61" w:rsidP="00736F61">
                      <w:r>
                        <w:t>Qualitative or Quantitative</w:t>
                      </w:r>
                    </w:p>
                  </w:txbxContent>
                </v:textbox>
              </v:shape>
            </w:pict>
          </mc:Fallback>
        </mc:AlternateContent>
      </w:r>
      <w:r w:rsidRPr="00CC1FC3">
        <w:rPr>
          <w:rFonts w:eastAsia="Palatino Linotype"/>
          <w:b/>
          <w:bCs/>
          <w:noProof/>
        </w:rPr>
        <mc:AlternateContent>
          <mc:Choice Requires="wps">
            <w:drawing>
              <wp:anchor distT="0" distB="0" distL="114300" distR="114300" simplePos="0" relativeHeight="251680768" behindDoc="0" locked="0" layoutInCell="1" allowOverlap="1" wp14:anchorId="4271CB2F" wp14:editId="228C992A">
                <wp:simplePos x="0" y="0"/>
                <wp:positionH relativeFrom="column">
                  <wp:posOffset>2020570</wp:posOffset>
                </wp:positionH>
                <wp:positionV relativeFrom="paragraph">
                  <wp:posOffset>617855</wp:posOffset>
                </wp:positionV>
                <wp:extent cx="755015" cy="0"/>
                <wp:effectExtent l="0" t="76200" r="26035" b="95250"/>
                <wp:wrapNone/>
                <wp:docPr id="549202370" name="Straight Arrow Connector 5"/>
                <wp:cNvGraphicFramePr/>
                <a:graphic xmlns:a="http://schemas.openxmlformats.org/drawingml/2006/main">
                  <a:graphicData uri="http://schemas.microsoft.com/office/word/2010/wordprocessingShape">
                    <wps:wsp>
                      <wps:cNvCnPr/>
                      <wps:spPr>
                        <a:xfrm>
                          <a:off x="0" y="0"/>
                          <a:ext cx="7550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25E931" id="Straight Arrow Connector 5" o:spid="_x0000_s1026" type="#_x0000_t32" style="position:absolute;margin-left:159.1pt;margin-top:48.65pt;width:59.4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" strokecolor="black [3200]" strokeweight="1pt">
                <v:stroke endarrow="block" joinstyle="miter"/>
              </v:shape>
            </w:pict>
          </mc:Fallback>
        </mc:AlternateContent>
      </w:r>
      <w:r w:rsidRPr="00CC1FC3">
        <w:rPr>
          <w:rFonts w:eastAsia="Palatino Linotype"/>
          <w:b/>
          <w:bCs/>
          <w:noProof/>
        </w:rPr>
        <mc:AlternateContent>
          <mc:Choice Requires="wps">
            <w:drawing>
              <wp:anchor distT="0" distB="0" distL="114300" distR="114300" simplePos="0" relativeHeight="251679744" behindDoc="0" locked="0" layoutInCell="1" allowOverlap="1" wp14:anchorId="06DC9C34" wp14:editId="5861365B">
                <wp:simplePos x="0" y="0"/>
                <wp:positionH relativeFrom="column">
                  <wp:posOffset>2781300</wp:posOffset>
                </wp:positionH>
                <wp:positionV relativeFrom="paragraph">
                  <wp:posOffset>466725</wp:posOffset>
                </wp:positionV>
                <wp:extent cx="1124585" cy="275590"/>
                <wp:effectExtent l="0" t="0" r="18415" b="10160"/>
                <wp:wrapNone/>
                <wp:docPr id="572114244" name="Text Box 2"/>
                <wp:cNvGraphicFramePr/>
                <a:graphic xmlns:a="http://schemas.openxmlformats.org/drawingml/2006/main">
                  <a:graphicData uri="http://schemas.microsoft.com/office/word/2010/wordprocessingShape">
                    <wps:wsp>
                      <wps:cNvSpPr txBox="1"/>
                      <wps:spPr>
                        <a:xfrm>
                          <a:off x="0" y="0"/>
                          <a:ext cx="1124585" cy="275590"/>
                        </a:xfrm>
                        <a:prstGeom prst="rect">
                          <a:avLst/>
                        </a:prstGeom>
                        <a:solidFill>
                          <a:schemeClr val="lt1"/>
                        </a:solidFill>
                        <a:ln w="19050">
                          <a:solidFill>
                            <a:prstClr val="black"/>
                          </a:solidFill>
                        </a:ln>
                      </wps:spPr>
                      <wps:txbx>
                        <w:txbxContent>
                          <w:p w14:paraId="5DB19745" w14:textId="77777777" w:rsidR="00736F61" w:rsidRDefault="00736F61" w:rsidP="00736F61">
                            <w:pPr>
                              <w:jc w:val="center"/>
                            </w:pPr>
                            <w:r>
                              <w:t>Findings</w:t>
                            </w:r>
                          </w:p>
                          <w:p w14:paraId="01051008" w14:textId="77777777" w:rsidR="00736F61" w:rsidRDefault="00736F61" w:rsidP="00736F6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DC9C34" id="_x0000_s1061" type="#_x0000_t202" style="position:absolute;left:0;text-align:left;margin-left:219pt;margin-top:36.75pt;width:88.55pt;height:21.7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" fillcolor="white [3201]" strokeweight="1.5pt">
                <v:textbox>
                  <w:txbxContent>
                    <w:p w14:paraId="5DB19745" w14:textId="77777777" w:rsidR="00736F61" w:rsidRDefault="00736F61" w:rsidP="00736F61">
                      <w:pPr>
                        <w:jc w:val="center"/>
                      </w:pPr>
                      <w:r>
                        <w:t>Findings</w:t>
                      </w:r>
                    </w:p>
                    <w:p w14:paraId="01051008" w14:textId="77777777" w:rsidR="00736F61" w:rsidRDefault="00736F61" w:rsidP="00736F61">
                      <w:pPr>
                        <w:jc w:val="center"/>
                      </w:pPr>
                    </w:p>
                  </w:txbxContent>
                </v:textbox>
              </v:shape>
            </w:pict>
          </mc:Fallback>
        </mc:AlternateContent>
      </w:r>
      <w:r w:rsidRPr="00CC1FC3">
        <w:rPr>
          <w:b/>
          <w:bCs/>
        </w:rPr>
        <w:t>Embedded design</w:t>
      </w:r>
      <w:r w:rsidRPr="00CC1FC3">
        <w:rPr>
          <w:rFonts w:eastAsia="Palatino Linotype"/>
          <w:b/>
          <w:bCs/>
          <w:noProof/>
        </w:rPr>
        <w:t xml:space="preserve"> </w:t>
      </w:r>
    </w:p>
    <w:p w14:paraId="53CBD87E" w14:textId="77777777" w:rsidR="00736F61" w:rsidRPr="00CC1FC3" w:rsidRDefault="00736F61" w:rsidP="00736F61">
      <w:pPr>
        <w:spacing w:line="360" w:lineRule="auto"/>
        <w:rPr>
          <w:rFonts w:eastAsia="Palatino Linotype"/>
        </w:rPr>
      </w:pPr>
    </w:p>
    <w:p w14:paraId="4E3D4AB1" w14:textId="77777777" w:rsidR="00736F61" w:rsidRPr="00CC1FC3" w:rsidRDefault="00736F61" w:rsidP="00736F61">
      <w:pPr>
        <w:spacing w:line="360" w:lineRule="auto"/>
        <w:rPr>
          <w:rFonts w:eastAsia="Palatino Linotype"/>
        </w:rPr>
      </w:pPr>
    </w:p>
    <w:p w14:paraId="206737E0" w14:textId="77777777" w:rsidR="00736F61" w:rsidRPr="00CC1FC3" w:rsidRDefault="00736F61" w:rsidP="00736F61">
      <w:pPr>
        <w:spacing w:line="360" w:lineRule="auto"/>
        <w:jc w:val="center"/>
        <w:rPr>
          <w:rFonts w:eastAsia="Palatino Linotype"/>
        </w:rPr>
      </w:pPr>
      <w:r w:rsidRPr="00CC1FC3">
        <w:rPr>
          <w:rFonts w:eastAsia="Palatino Linotype"/>
          <w:b/>
          <w:bCs/>
        </w:rPr>
        <w:t xml:space="preserve">Figure </w:t>
      </w:r>
      <w:r>
        <w:rPr>
          <w:rFonts w:eastAsia="Palatino Linotype"/>
          <w:b/>
          <w:bCs/>
        </w:rPr>
        <w:t>5</w:t>
      </w:r>
      <w:r w:rsidRPr="00CC1FC3">
        <w:rPr>
          <w:rFonts w:eastAsia="Palatino Linotype"/>
          <w:b/>
          <w:bCs/>
        </w:rPr>
        <w:t>.</w:t>
      </w:r>
      <w:r>
        <w:rPr>
          <w:rFonts w:eastAsia="Palatino Linotype"/>
          <w:b/>
          <w:bCs/>
        </w:rPr>
        <w:t>4</w:t>
      </w:r>
      <w:r w:rsidRPr="00CC1FC3">
        <w:rPr>
          <w:rFonts w:eastAsia="Palatino Linotype"/>
        </w:rPr>
        <w:t xml:space="preserve"> Four basic Mixed Methods Design</w:t>
      </w:r>
    </w:p>
    <w:p w14:paraId="32D76278" w14:textId="77777777" w:rsidR="00736F61" w:rsidRPr="00CC1FC3" w:rsidRDefault="00736F61" w:rsidP="00736F61">
      <w:pPr>
        <w:spacing w:line="360" w:lineRule="auto"/>
        <w:jc w:val="center"/>
        <w:rPr>
          <w:rFonts w:eastAsia="Palatino Linotype"/>
        </w:rPr>
      </w:pPr>
      <w:r w:rsidRPr="00CC1FC3">
        <w:rPr>
          <w:rFonts w:eastAsia="Palatino Linotype"/>
          <w:b/>
          <w:bCs/>
        </w:rPr>
        <w:t>Source:</w:t>
      </w:r>
      <w:r w:rsidRPr="00CC1FC3">
        <w:rPr>
          <w:rFonts w:eastAsia="Palatino Linotype"/>
        </w:rPr>
        <w:t xml:space="preserve"> </w:t>
      </w:r>
      <w:sdt>
        <w:sdtPr>
          <w:rPr>
            <w:rFonts w:eastAsia="Palatino Linotype"/>
          </w:rPr>
          <w:tag w:val="MENDELEY_CITATION_v3_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"/>
          <w:id w:val="1952280483"/>
          <w:placeholder>
            <w:docPart w:val="DB74AD992BB54645B69E0356DD125BD4"/>
          </w:placeholder>
        </w:sdtPr>
        <w:sdtEndPr/>
        <w:sdtContent>
          <w:r w:rsidRPr="00A73C12">
            <w:rPr>
              <w:rFonts w:eastAsia="Palatino Linotype"/>
            </w:rPr>
            <w:t>Bell et al., 2019, p. 573</w:t>
          </w:r>
        </w:sdtContent>
      </w:sdt>
    </w:p>
    <w:p w14:paraId="0BE9641F" w14:textId="77777777" w:rsidR="00736F61" w:rsidRPr="00CC1FC3" w:rsidRDefault="00736F61" w:rsidP="00736F61">
      <w:pPr>
        <w:pStyle w:val="Heading3"/>
      </w:pPr>
      <w:bookmarkStart w:id="35" w:name="_Toc215651859"/>
      <w:bookmarkStart w:id="36" w:name="_Toc220848359"/>
      <w:bookmarkStart w:id="37" w:name="_Toc221437655"/>
      <w:r w:rsidRPr="00CC1FC3">
        <w:lastRenderedPageBreak/>
        <w:t>5.3.2 Pros and Cons of Mixed Method</w:t>
      </w:r>
      <w:bookmarkEnd w:id="35"/>
      <w:bookmarkEnd w:id="36"/>
      <w:r>
        <w:t>s Design</w:t>
      </w:r>
      <w:bookmarkEnd w:id="37"/>
    </w:p>
    <w:p w14:paraId="13B2BA87" w14:textId="77777777" w:rsidR="00736F61" w:rsidRDefault="00736F61" w:rsidP="00736F61">
      <w:pPr>
        <w:spacing w:line="480" w:lineRule="auto"/>
        <w:ind w:left="142" w:firstLine="578"/>
        <w:jc w:val="both"/>
      </w:pPr>
      <w:r w:rsidRPr="00CC1FC3">
        <w:t xml:space="preserve">Mixed-methods research offers a comprehensive framework that integrates qualitative and quantitative approaches, enabling researchers to capture both the depth and breadth of a phenomenon. Its strengths lie in enhancing validity through triangulation, contextualising statistical findings, and producing insights applicable to real-world contexts </w:t>
      </w:r>
      <w:sdt>
        <w:sdtPr>
          <w:tag w:val="MENDELEY_CITATION_v3_eyJjaXRhdGlvbklEIjoiTUVOREVMRVlfQ0lUQVRJT05fOTdjNzY4YWMtOTRmNi00Y2I5LWJlMmMtMWRhNDEyN2E2ZWJmIiwicHJvcGVydGllcyI6eyJub3RlSW5kZXgiOjB9LCJpc0VkaXRlZCI6ZmFsc2UsIm1hbnVhbE92ZXJyaWRlIjp7ImlzTWFudWFsbHlPdmVycmlkZGVuIjpmYWxzZSwiY2l0ZXByb2NUZXh0IjoiKENyZXN3ZWxsIGFuZCBQbGFubywgMjAxODsgVGVkZGxpZSBhbmQgVGFzaGFra29yaSwgMjAwOS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"/>
          <w:id w:val="1372657153"/>
          <w:placeholder>
            <w:docPart w:val="564E8B78608145CC9E8FA4AC988DB07D"/>
          </w:placeholder>
        </w:sdtPr>
        <w:sdtEndPr/>
        <w:sdtContent>
          <w:r w:rsidRPr="00A73C12">
            <w:t xml:space="preserve">(Creswell and Plano, 2018; Teddlie and </w:t>
          </w:r>
          <w:proofErr w:type="spellStart"/>
          <w:r w:rsidRPr="00A73C12">
            <w:t>Tashakkori</w:t>
          </w:r>
          <w:proofErr w:type="spellEnd"/>
          <w:r w:rsidRPr="00A73C12">
            <w:t>, 2009)</w:t>
          </w:r>
        </w:sdtContent>
      </w:sdt>
      <w:r w:rsidRPr="00CC1FC3">
        <w:t xml:space="preserve">. However, the approach also presents notable challenges, including the need for methodological expertise, increased time and resource demands, and potential complexity in integrating diverse data types </w:t>
      </w:r>
      <w:sdt>
        <w:sdtPr>
          <w:tag w:val="MENDELEY_CITATION_v3_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"/>
          <w:id w:val="1912741691"/>
          <w:placeholder>
            <w:docPart w:val="564E8B78608145CC9E8FA4AC988DB07D"/>
          </w:placeholder>
        </w:sdtPr>
        <w:sdtEndPr/>
        <w:sdtContent>
          <w:r w:rsidRPr="00A73C12">
            <w:t>(Bergman, 2008; Gibson, 2017)</w:t>
          </w:r>
        </w:sdtContent>
      </w:sdt>
      <w:r w:rsidRPr="00CC1FC3">
        <w:t xml:space="preserve">. Despite these limitations, when applied rigorously, mixed methods research remains a robust design that enriches understanding and strengthens the robustness of empirical inquiry. A summary of the principal advantages and disadvantages of mixed methods research is presented in Table </w:t>
      </w:r>
      <w:r>
        <w:t>5</w:t>
      </w:r>
      <w:r w:rsidRPr="00CC1FC3">
        <w:t>.1.</w:t>
      </w:r>
    </w:p>
    <w:p w14:paraId="4AAA8889" w14:textId="77777777" w:rsidR="00736F61" w:rsidRDefault="00736F61" w:rsidP="00736F61">
      <w:pPr>
        <w:spacing w:before="100" w:beforeAutospacing="1" w:after="100" w:afterAutospacing="1" w:line="240" w:lineRule="auto"/>
      </w:pPr>
      <w:r w:rsidRPr="00CC1FC3">
        <w:rPr>
          <w:b/>
          <w:bCs/>
        </w:rPr>
        <w:t xml:space="preserve">Table </w:t>
      </w:r>
      <w:r>
        <w:rPr>
          <w:b/>
          <w:bCs/>
        </w:rPr>
        <w:t>5</w:t>
      </w:r>
      <w:r w:rsidRPr="00CC1FC3">
        <w:rPr>
          <w:b/>
          <w:bCs/>
        </w:rPr>
        <w:t>.1:</w:t>
      </w:r>
      <w:r w:rsidRPr="00CC1FC3">
        <w:t xml:space="preserve"> Advantages and Disadvantages of Mixed Methods Research</w:t>
      </w:r>
    </w:p>
    <w:p w14:paraId="0B44D227" w14:textId="77777777" w:rsidR="00736F61" w:rsidRPr="00CC1FC3" w:rsidRDefault="00736F61" w:rsidP="00736F61">
      <w:pPr>
        <w:spacing w:before="100" w:beforeAutospacing="1" w:after="100" w:afterAutospacing="1" w:line="240" w:lineRule="auto"/>
      </w:pPr>
    </w:p>
    <w:tbl>
      <w:tblPr>
        <w:tblpPr w:leftFromText="180" w:rightFromText="180" w:vertAnchor="page" w:horzAnchor="margin" w:tblpY="1336"/>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2164"/>
        <w:gridCol w:w="2667"/>
        <w:gridCol w:w="2381"/>
        <w:gridCol w:w="1814"/>
      </w:tblGrid>
      <w:tr w:rsidR="00736F61" w:rsidRPr="00CC1FC3" w14:paraId="6A8A2924" w14:textId="77777777" w:rsidTr="00736F61">
        <w:trPr>
          <w:tblHeader/>
          <w:tblCellSpacing w:w="15" w:type="dxa"/>
        </w:trPr>
        <w:tc>
          <w:tcPr>
            <w:tcW w:w="0" w:type="auto"/>
            <w:tcBorders>
              <w:top w:val="nil"/>
              <w:bottom w:val="single" w:sz="4" w:space="0" w:color="auto"/>
            </w:tcBorders>
            <w:vAlign w:val="center"/>
            <w:hideMark/>
          </w:tcPr>
          <w:p w14:paraId="6F1B372C" w14:textId="77777777" w:rsidR="00736F61" w:rsidRPr="00CC1FC3" w:rsidRDefault="00736F61" w:rsidP="00736F61">
            <w:pPr>
              <w:spacing w:after="0" w:line="240" w:lineRule="auto"/>
              <w:jc w:val="center"/>
              <w:rPr>
                <w:rFonts w:eastAsia="Times New Roman"/>
                <w:b/>
                <w:bCs/>
                <w:color w:val="auto"/>
                <w:lang w:eastAsia="en-GB"/>
              </w:rPr>
            </w:pPr>
            <w:bookmarkStart w:id="38" w:name="_Toc215651860"/>
            <w:bookmarkStart w:id="39" w:name="_Toc220848360"/>
            <w:bookmarkStart w:id="40" w:name="_Toc221437656"/>
            <w:r w:rsidRPr="00CC1FC3">
              <w:rPr>
                <w:rFonts w:eastAsia="Times New Roman"/>
                <w:b/>
                <w:bCs/>
                <w:color w:val="auto"/>
                <w:lang w:eastAsia="en-GB"/>
              </w:rPr>
              <w:lastRenderedPageBreak/>
              <w:t>Aspect</w:t>
            </w:r>
          </w:p>
        </w:tc>
        <w:tc>
          <w:tcPr>
            <w:tcW w:w="0" w:type="auto"/>
            <w:tcBorders>
              <w:top w:val="nil"/>
              <w:bottom w:val="single" w:sz="4" w:space="0" w:color="auto"/>
            </w:tcBorders>
            <w:vAlign w:val="center"/>
            <w:hideMark/>
          </w:tcPr>
          <w:p w14:paraId="02208E52" w14:textId="77777777" w:rsidR="00736F61" w:rsidRPr="00CC1FC3" w:rsidRDefault="00736F61" w:rsidP="00736F61">
            <w:pPr>
              <w:spacing w:after="0" w:line="240" w:lineRule="auto"/>
              <w:jc w:val="center"/>
              <w:rPr>
                <w:rFonts w:eastAsia="Times New Roman"/>
                <w:b/>
                <w:bCs/>
                <w:color w:val="auto"/>
                <w:lang w:eastAsia="en-GB"/>
              </w:rPr>
            </w:pPr>
            <w:r w:rsidRPr="00CC1FC3">
              <w:rPr>
                <w:rFonts w:eastAsia="Times New Roman"/>
                <w:b/>
                <w:bCs/>
                <w:color w:val="auto"/>
                <w:lang w:eastAsia="en-GB"/>
              </w:rPr>
              <w:t>Advantages</w:t>
            </w:r>
          </w:p>
        </w:tc>
        <w:tc>
          <w:tcPr>
            <w:tcW w:w="0" w:type="auto"/>
            <w:tcBorders>
              <w:top w:val="nil"/>
              <w:bottom w:val="single" w:sz="4" w:space="0" w:color="auto"/>
            </w:tcBorders>
            <w:vAlign w:val="center"/>
            <w:hideMark/>
          </w:tcPr>
          <w:p w14:paraId="360092AB" w14:textId="77777777" w:rsidR="00736F61" w:rsidRPr="00CC1FC3" w:rsidRDefault="00736F61" w:rsidP="00736F61">
            <w:pPr>
              <w:spacing w:after="0" w:line="240" w:lineRule="auto"/>
              <w:jc w:val="center"/>
              <w:rPr>
                <w:rFonts w:eastAsia="Times New Roman"/>
                <w:b/>
                <w:bCs/>
                <w:color w:val="auto"/>
                <w:lang w:eastAsia="en-GB"/>
              </w:rPr>
            </w:pPr>
            <w:r w:rsidRPr="00CC1FC3">
              <w:rPr>
                <w:rFonts w:eastAsia="Times New Roman"/>
                <w:b/>
                <w:bCs/>
                <w:color w:val="auto"/>
                <w:lang w:eastAsia="en-GB"/>
              </w:rPr>
              <w:t>Disadvantages</w:t>
            </w:r>
          </w:p>
        </w:tc>
        <w:tc>
          <w:tcPr>
            <w:tcW w:w="0" w:type="auto"/>
            <w:tcBorders>
              <w:top w:val="nil"/>
              <w:bottom w:val="single" w:sz="4" w:space="0" w:color="auto"/>
            </w:tcBorders>
            <w:vAlign w:val="center"/>
            <w:hideMark/>
          </w:tcPr>
          <w:p w14:paraId="4F076A69" w14:textId="77777777" w:rsidR="00736F61" w:rsidRPr="00CC1FC3" w:rsidRDefault="00736F61" w:rsidP="00736F61">
            <w:pPr>
              <w:spacing w:after="0" w:line="240" w:lineRule="auto"/>
              <w:jc w:val="center"/>
              <w:rPr>
                <w:rFonts w:eastAsia="Times New Roman"/>
                <w:b/>
                <w:bCs/>
                <w:color w:val="auto"/>
                <w:lang w:eastAsia="en-GB"/>
              </w:rPr>
            </w:pPr>
            <w:r w:rsidRPr="00CC1FC3">
              <w:rPr>
                <w:rFonts w:eastAsia="Times New Roman"/>
                <w:b/>
                <w:bCs/>
                <w:color w:val="auto"/>
                <w:lang w:eastAsia="en-GB"/>
              </w:rPr>
              <w:t>Key References</w:t>
            </w:r>
          </w:p>
        </w:tc>
      </w:tr>
      <w:tr w:rsidR="00736F61" w:rsidRPr="00CC1FC3" w14:paraId="759312E0" w14:textId="77777777" w:rsidTr="00736F61">
        <w:trPr>
          <w:tblCellSpacing w:w="15" w:type="dxa"/>
        </w:trPr>
        <w:tc>
          <w:tcPr>
            <w:tcW w:w="0" w:type="auto"/>
            <w:vAlign w:val="center"/>
            <w:hideMark/>
          </w:tcPr>
          <w:p w14:paraId="5159329A" w14:textId="77777777" w:rsidR="00736F61" w:rsidRPr="00CC1FC3" w:rsidRDefault="00736F61" w:rsidP="00736F61">
            <w:pPr>
              <w:spacing w:after="0" w:line="240" w:lineRule="auto"/>
              <w:rPr>
                <w:rFonts w:eastAsia="Times New Roman"/>
                <w:color w:val="auto"/>
                <w:lang w:eastAsia="en-GB"/>
              </w:rPr>
            </w:pPr>
            <w:r w:rsidRPr="00CC1FC3">
              <w:rPr>
                <w:rFonts w:eastAsia="Times New Roman"/>
                <w:b/>
                <w:bCs/>
                <w:color w:val="auto"/>
                <w:lang w:eastAsia="en-GB"/>
              </w:rPr>
              <w:t>Comprehensiveness</w:t>
            </w:r>
          </w:p>
        </w:tc>
        <w:tc>
          <w:tcPr>
            <w:tcW w:w="0" w:type="auto"/>
            <w:vAlign w:val="center"/>
            <w:hideMark/>
          </w:tcPr>
          <w:p w14:paraId="65F726B1"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Combines qualitative depth with quantitative breadth, offering a holistic understanding of complex phenomena.</w:t>
            </w:r>
          </w:p>
        </w:tc>
        <w:tc>
          <w:tcPr>
            <w:tcW w:w="0" w:type="auto"/>
            <w:vAlign w:val="center"/>
            <w:hideMark/>
          </w:tcPr>
          <w:p w14:paraId="559451F4"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Integration can be conceptually and practically demanding.</w:t>
            </w:r>
          </w:p>
        </w:tc>
        <w:sdt>
          <w:sdtPr>
            <w:rPr>
              <w:rFonts w:eastAsia="Times New Roman"/>
              <w:lang w:eastAsia="en-GB"/>
            </w:rPr>
            <w:tag w:val="MENDELEY_CITATION_v3_eyJjaXRhdGlvbklEIjoiTUVOREVMRVlfQ0lUQVRJT05fZjgwOTc4NTItN2JmYi00MmNjLTljNTMtZjVjNTg0MmMzNjM2IiwicHJvcGVydGllcyI6eyJub3RlSW5kZXgiOjB9LCJpc0VkaXRlZCI6ZmFsc2UsIm1hbnVhbE92ZXJyaWRlIjp7ImlzTWFudWFsbHlPdmVycmlkZGVuIjpmYWxzZSwiY2l0ZXByb2NUZXh0IjoiKENyZXN3ZWxsIGFuZCBQbGFubywgMjAxODsgVGVkZGxpZSBhbmQgVGFzaGFra29yaSwgMjAwOS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"/>
            <w:id w:val="1569227500"/>
            <w:placeholder>
              <w:docPart w:val="5AD5D67B08F34AC89B03C13459C1B85B"/>
            </w:placeholder>
          </w:sdtPr>
          <w:sdtEndPr/>
          <w:sdtContent>
            <w:tc>
              <w:tcPr>
                <w:tcW w:w="0" w:type="auto"/>
                <w:vAlign w:val="center"/>
                <w:hideMark/>
              </w:tcPr>
              <w:p w14:paraId="3618EEEF" w14:textId="77777777" w:rsidR="00736F61" w:rsidRPr="00CC1FC3" w:rsidRDefault="00736F61" w:rsidP="00736F61">
                <w:pPr>
                  <w:spacing w:after="0" w:line="240" w:lineRule="auto"/>
                  <w:rPr>
                    <w:rFonts w:eastAsia="Times New Roman"/>
                    <w:color w:val="auto"/>
                    <w:lang w:eastAsia="en-GB"/>
                  </w:rPr>
                </w:pPr>
                <w:r w:rsidRPr="00A73C12">
                  <w:rPr>
                    <w:rFonts w:eastAsia="Times New Roman"/>
                    <w:lang w:eastAsia="en-GB"/>
                  </w:rPr>
                  <w:t xml:space="preserve">(Creswell and Plano, 2018; Teddlie and </w:t>
                </w:r>
                <w:proofErr w:type="spellStart"/>
                <w:r w:rsidRPr="00A73C12">
                  <w:rPr>
                    <w:rFonts w:eastAsia="Times New Roman"/>
                    <w:lang w:eastAsia="en-GB"/>
                  </w:rPr>
                  <w:t>Tashakkori</w:t>
                </w:r>
                <w:proofErr w:type="spellEnd"/>
                <w:r w:rsidRPr="00A73C12">
                  <w:rPr>
                    <w:rFonts w:eastAsia="Times New Roman"/>
                    <w:lang w:eastAsia="en-GB"/>
                  </w:rPr>
                  <w:t>, 2009)</w:t>
                </w:r>
              </w:p>
            </w:tc>
          </w:sdtContent>
        </w:sdt>
      </w:tr>
      <w:tr w:rsidR="00736F61" w:rsidRPr="00CC1FC3" w14:paraId="1D329403" w14:textId="77777777" w:rsidTr="00736F61">
        <w:trPr>
          <w:tblCellSpacing w:w="15" w:type="dxa"/>
        </w:trPr>
        <w:tc>
          <w:tcPr>
            <w:tcW w:w="0" w:type="auto"/>
            <w:vAlign w:val="center"/>
            <w:hideMark/>
          </w:tcPr>
          <w:p w14:paraId="2648033A" w14:textId="77777777" w:rsidR="00736F61" w:rsidRPr="00CC1FC3" w:rsidRDefault="00736F61" w:rsidP="00736F61">
            <w:pPr>
              <w:spacing w:after="0" w:line="240" w:lineRule="auto"/>
              <w:rPr>
                <w:rFonts w:eastAsia="Times New Roman"/>
                <w:color w:val="auto"/>
                <w:lang w:eastAsia="en-GB"/>
              </w:rPr>
            </w:pPr>
            <w:r w:rsidRPr="00CC1FC3">
              <w:rPr>
                <w:rFonts w:eastAsia="Times New Roman"/>
                <w:b/>
                <w:bCs/>
                <w:color w:val="auto"/>
                <w:lang w:eastAsia="en-GB"/>
              </w:rPr>
              <w:t>Triangulation</w:t>
            </w:r>
          </w:p>
        </w:tc>
        <w:tc>
          <w:tcPr>
            <w:tcW w:w="0" w:type="auto"/>
            <w:vAlign w:val="center"/>
            <w:hideMark/>
          </w:tcPr>
          <w:p w14:paraId="33B0989F"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Enables validation of findings across different data sources, enhancing credibility and reliability.</w:t>
            </w:r>
          </w:p>
        </w:tc>
        <w:tc>
          <w:tcPr>
            <w:tcW w:w="0" w:type="auto"/>
            <w:vAlign w:val="center"/>
            <w:hideMark/>
          </w:tcPr>
          <w:p w14:paraId="18DBC95B"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Merging results may be challenging and open to the researcher’s interpretation.</w:t>
            </w:r>
          </w:p>
        </w:tc>
        <w:tc>
          <w:tcPr>
            <w:tcW w:w="0" w:type="auto"/>
            <w:vAlign w:val="center"/>
            <w:hideMark/>
          </w:tcPr>
          <w:sdt>
            <w:sdtPr>
              <w:rPr>
                <w:rFonts w:eastAsia="Times New Roman"/>
                <w:lang w:eastAsia="en-GB"/>
              </w:rPr>
              <w:tag w:val="MENDELEY_CITATION_v3_eyJjaXRhdGlvbklEIjoiTUVOREVMRVlfQ0lUQVRJT05fMzAwYWIyNjAtYWNlZC00MTJiLWJhNTgtNjQxYmYwMjdlMjJmIiwicHJvcGVydGllcyI6eyJub3RlSW5kZXgiOjB9LCJpc0VkaXRlZCI6ZmFsc2UsIm1hbnVhbE92ZXJyaWRlIjp7ImlzTWFudWFsbHlPdmVycmlkZGVuIjpmYWxzZSwiY2l0ZXByb2NUZXh0IjoiKEJyYW5uZW4sIDE5OTI7IFRlZGRsaWUgYW5kIFRhc2hha2tvcmksIDIwMDkpIiwibWFudWFsT3ZlcnJpZGVUZXh0IjoiIn0sImNpdGF0aW9uSXRlbXMiOlt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"/>
              <w:id w:val="1387609340"/>
              <w:placeholder>
                <w:docPart w:val="5AD5D67B08F34AC89B03C13459C1B85B"/>
              </w:placeholder>
            </w:sdtPr>
            <w:sdtEndPr/>
            <w:sdtContent>
              <w:p w14:paraId="42C86760" w14:textId="77777777" w:rsidR="00736F61" w:rsidRPr="00CC1FC3" w:rsidRDefault="00736F61" w:rsidP="00736F61">
                <w:pPr>
                  <w:spacing w:after="0" w:line="240" w:lineRule="auto"/>
                  <w:rPr>
                    <w:rFonts w:eastAsia="Times New Roman"/>
                    <w:color w:val="auto"/>
                    <w:lang w:eastAsia="en-GB"/>
                  </w:rPr>
                </w:pPr>
                <w:r w:rsidRPr="00A73C12">
                  <w:rPr>
                    <w:rFonts w:eastAsia="Times New Roman"/>
                    <w:lang w:eastAsia="en-GB"/>
                  </w:rPr>
                  <w:t xml:space="preserve">(Brannen, 1992; Teddlie and </w:t>
                </w:r>
                <w:proofErr w:type="spellStart"/>
                <w:r w:rsidRPr="00A73C12">
                  <w:rPr>
                    <w:rFonts w:eastAsia="Times New Roman"/>
                    <w:lang w:eastAsia="en-GB"/>
                  </w:rPr>
                  <w:t>Tashakkori</w:t>
                </w:r>
                <w:proofErr w:type="spellEnd"/>
                <w:r w:rsidRPr="00A73C12">
                  <w:rPr>
                    <w:rFonts w:eastAsia="Times New Roman"/>
                    <w:lang w:eastAsia="en-GB"/>
                  </w:rPr>
                  <w:t>, 2009)</w:t>
                </w:r>
              </w:p>
            </w:sdtContent>
          </w:sdt>
        </w:tc>
      </w:tr>
      <w:tr w:rsidR="00736F61" w:rsidRPr="00CC1FC3" w14:paraId="2CBEE108" w14:textId="77777777" w:rsidTr="00736F61">
        <w:trPr>
          <w:tblCellSpacing w:w="15" w:type="dxa"/>
        </w:trPr>
        <w:tc>
          <w:tcPr>
            <w:tcW w:w="0" w:type="auto"/>
            <w:vAlign w:val="center"/>
            <w:hideMark/>
          </w:tcPr>
          <w:p w14:paraId="3864EB2A" w14:textId="77777777" w:rsidR="00736F61" w:rsidRPr="00CC1FC3" w:rsidRDefault="00736F61" w:rsidP="00736F61">
            <w:pPr>
              <w:spacing w:after="0" w:line="240" w:lineRule="auto"/>
              <w:rPr>
                <w:rFonts w:eastAsia="Times New Roman"/>
                <w:color w:val="auto"/>
                <w:lang w:eastAsia="en-GB"/>
              </w:rPr>
            </w:pPr>
            <w:r w:rsidRPr="00CC1FC3">
              <w:rPr>
                <w:rFonts w:eastAsia="Times New Roman"/>
                <w:b/>
                <w:bCs/>
                <w:color w:val="auto"/>
                <w:lang w:eastAsia="en-GB"/>
              </w:rPr>
              <w:t>Contextual Insight</w:t>
            </w:r>
          </w:p>
        </w:tc>
        <w:tc>
          <w:tcPr>
            <w:tcW w:w="0" w:type="auto"/>
            <w:vAlign w:val="center"/>
            <w:hideMark/>
          </w:tcPr>
          <w:p w14:paraId="129E8D51"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 xml:space="preserve">Qualitative data explain the </w:t>
            </w:r>
            <w:r w:rsidRPr="00CC1FC3">
              <w:rPr>
                <w:rFonts w:eastAsia="Times New Roman"/>
                <w:i/>
                <w:iCs/>
                <w:color w:val="auto"/>
                <w:lang w:eastAsia="en-GB"/>
              </w:rPr>
              <w:t>why</w:t>
            </w:r>
            <w:r w:rsidRPr="00CC1FC3">
              <w:rPr>
                <w:rFonts w:eastAsia="Times New Roman"/>
                <w:color w:val="auto"/>
                <w:lang w:eastAsia="en-GB"/>
              </w:rPr>
              <w:t xml:space="preserve"> behind quantitative </w:t>
            </w:r>
            <w:r w:rsidRPr="00CC1FC3">
              <w:rPr>
                <w:rFonts w:eastAsia="Times New Roman"/>
                <w:i/>
                <w:iCs/>
                <w:color w:val="auto"/>
                <w:lang w:eastAsia="en-GB"/>
              </w:rPr>
              <w:t>what</w:t>
            </w:r>
            <w:r w:rsidRPr="00CC1FC3">
              <w:rPr>
                <w:rFonts w:eastAsia="Times New Roman"/>
                <w:color w:val="auto"/>
                <w:lang w:eastAsia="en-GB"/>
              </w:rPr>
              <w:t xml:space="preserve"> and </w:t>
            </w:r>
            <w:r w:rsidRPr="00CC1FC3">
              <w:rPr>
                <w:rFonts w:eastAsia="Times New Roman"/>
                <w:i/>
                <w:iCs/>
                <w:color w:val="auto"/>
                <w:lang w:eastAsia="en-GB"/>
              </w:rPr>
              <w:t>how</w:t>
            </w:r>
            <w:r w:rsidRPr="00CC1FC3">
              <w:rPr>
                <w:rFonts w:eastAsia="Times New Roman"/>
                <w:color w:val="auto"/>
                <w:lang w:eastAsia="en-GB"/>
              </w:rPr>
              <w:t>, providing richer insights.</w:t>
            </w:r>
          </w:p>
        </w:tc>
        <w:tc>
          <w:tcPr>
            <w:tcW w:w="0" w:type="auto"/>
            <w:vAlign w:val="center"/>
            <w:hideMark/>
          </w:tcPr>
          <w:p w14:paraId="67A014D8"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Requires expertise in both methods, which may exceed the researcher’s capacity.</w:t>
            </w:r>
          </w:p>
        </w:tc>
        <w:tc>
          <w:tcPr>
            <w:tcW w:w="0" w:type="auto"/>
            <w:vAlign w:val="center"/>
            <w:hideMark/>
          </w:tcPr>
          <w:sdt>
            <w:sdtPr>
              <w:rPr>
                <w:rFonts w:eastAsia="Times New Roman"/>
                <w:lang w:eastAsia="en-GB"/>
              </w:rPr>
              <w:tag w:val="MENDELEY_CITATION_v3_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"/>
              <w:id w:val="-172872978"/>
              <w:placeholder>
                <w:docPart w:val="5AD5D67B08F34AC89B03C13459C1B85B"/>
              </w:placeholder>
            </w:sdtPr>
            <w:sdtEndPr/>
            <w:sdtContent>
              <w:p w14:paraId="034C9A0F" w14:textId="77777777" w:rsidR="00736F61" w:rsidRPr="00CC1FC3" w:rsidRDefault="00736F61" w:rsidP="00736F61">
                <w:pPr>
                  <w:spacing w:after="0" w:line="240" w:lineRule="auto"/>
                  <w:rPr>
                    <w:rFonts w:eastAsia="Times New Roman"/>
                    <w:color w:val="auto"/>
                    <w:lang w:eastAsia="en-GB"/>
                  </w:rPr>
                </w:pPr>
                <w:r w:rsidRPr="00A73C12">
                  <w:rPr>
                    <w:rFonts w:eastAsia="Times New Roman"/>
                  </w:rPr>
                  <w:t xml:space="preserve">(Bryman and Bell, 2015; Morse </w:t>
                </w:r>
                <w:r w:rsidRPr="00A73C12">
                  <w:rPr>
                    <w:rFonts w:eastAsia="Times New Roman"/>
                    <w:i/>
                    <w:iCs/>
                  </w:rPr>
                  <w:t>et al.</w:t>
                </w:r>
                <w:r w:rsidRPr="00A73C12">
                  <w:rPr>
                    <w:rFonts w:eastAsia="Times New Roman"/>
                  </w:rPr>
                  <w:t>, 2002)</w:t>
                </w:r>
              </w:p>
            </w:sdtContent>
          </w:sdt>
        </w:tc>
      </w:tr>
      <w:tr w:rsidR="00736F61" w:rsidRPr="00CC1FC3" w14:paraId="000B677B" w14:textId="77777777" w:rsidTr="00736F61">
        <w:trPr>
          <w:tblCellSpacing w:w="15" w:type="dxa"/>
        </w:trPr>
        <w:tc>
          <w:tcPr>
            <w:tcW w:w="0" w:type="auto"/>
            <w:vAlign w:val="center"/>
            <w:hideMark/>
          </w:tcPr>
          <w:p w14:paraId="31CBB07F" w14:textId="77777777" w:rsidR="00736F61" w:rsidRPr="00CC1FC3" w:rsidRDefault="00736F61" w:rsidP="00736F61">
            <w:pPr>
              <w:spacing w:after="0" w:line="240" w:lineRule="auto"/>
              <w:rPr>
                <w:rFonts w:eastAsia="Times New Roman"/>
                <w:color w:val="auto"/>
                <w:lang w:eastAsia="en-GB"/>
              </w:rPr>
            </w:pPr>
            <w:r w:rsidRPr="00CC1FC3">
              <w:rPr>
                <w:rFonts w:eastAsia="Times New Roman"/>
                <w:b/>
                <w:bCs/>
                <w:color w:val="auto"/>
                <w:lang w:eastAsia="en-GB"/>
              </w:rPr>
              <w:t>Validity and Robustness</w:t>
            </w:r>
          </w:p>
        </w:tc>
        <w:tc>
          <w:tcPr>
            <w:tcW w:w="0" w:type="auto"/>
            <w:vAlign w:val="center"/>
            <w:hideMark/>
          </w:tcPr>
          <w:p w14:paraId="6E3ED8A4"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Reduces limitations of single method designs and strengthens overall validity.</w:t>
            </w:r>
          </w:p>
        </w:tc>
        <w:tc>
          <w:tcPr>
            <w:tcW w:w="0" w:type="auto"/>
            <w:vAlign w:val="center"/>
            <w:hideMark/>
          </w:tcPr>
          <w:p w14:paraId="7C0A09FB"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Potential for researcher bias during data integration and interpretation.</w:t>
            </w:r>
          </w:p>
        </w:tc>
        <w:tc>
          <w:tcPr>
            <w:tcW w:w="0" w:type="auto"/>
            <w:vAlign w:val="center"/>
            <w:hideMark/>
          </w:tcPr>
          <w:sdt>
            <w:sdtPr>
              <w:rPr>
                <w:rFonts w:eastAsia="Times New Roman"/>
                <w:lang w:eastAsia="en-GB"/>
              </w:rPr>
              <w:tag w:val="MENDELEY_CITATION_v3_eyJjaXRhdGlvbklEIjoiTUVOREVMRVlfQ0lUQVRJT05fOGI2NzEyNzgtZDIwYi00ZTQ4LWI0NDEtNWVhZjFmMDVkYTE0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"/>
              <w:id w:val="-749187114"/>
              <w:placeholder>
                <w:docPart w:val="5AD5D67B08F34AC89B03C13459C1B85B"/>
              </w:placeholder>
            </w:sdtPr>
            <w:sdtEndPr/>
            <w:sdtContent>
              <w:p w14:paraId="282DCC82" w14:textId="77777777" w:rsidR="00736F61" w:rsidRPr="00CC1FC3" w:rsidRDefault="00736F61" w:rsidP="00736F61">
                <w:pPr>
                  <w:spacing w:after="0" w:line="240" w:lineRule="auto"/>
                  <w:rPr>
                    <w:rFonts w:eastAsia="Times New Roman"/>
                    <w:color w:val="auto"/>
                    <w:lang w:eastAsia="en-GB"/>
                  </w:rPr>
                </w:pPr>
                <w:r w:rsidRPr="00A73C12">
                  <w:rPr>
                    <w:rFonts w:eastAsia="Times New Roman"/>
                    <w:lang w:eastAsia="en-GB"/>
                  </w:rPr>
                  <w:t>(Creswell and Plano, 2018; Guest and Fleming, 2015)</w:t>
                </w:r>
              </w:p>
            </w:sdtContent>
          </w:sdt>
        </w:tc>
      </w:tr>
      <w:tr w:rsidR="00736F61" w:rsidRPr="00CC1FC3" w14:paraId="2C77F1D2" w14:textId="77777777" w:rsidTr="00736F61">
        <w:trPr>
          <w:tblCellSpacing w:w="15" w:type="dxa"/>
        </w:trPr>
        <w:tc>
          <w:tcPr>
            <w:tcW w:w="0" w:type="auto"/>
            <w:vAlign w:val="center"/>
            <w:hideMark/>
          </w:tcPr>
          <w:p w14:paraId="508D7B67" w14:textId="77777777" w:rsidR="00736F61" w:rsidRPr="00CC1FC3" w:rsidRDefault="00736F61" w:rsidP="00736F61">
            <w:pPr>
              <w:spacing w:after="0" w:line="240" w:lineRule="auto"/>
              <w:rPr>
                <w:rFonts w:eastAsia="Times New Roman"/>
                <w:color w:val="auto"/>
                <w:lang w:eastAsia="en-GB"/>
              </w:rPr>
            </w:pPr>
            <w:r w:rsidRPr="00CC1FC3">
              <w:rPr>
                <w:rFonts w:eastAsia="Times New Roman"/>
                <w:b/>
                <w:bCs/>
                <w:color w:val="auto"/>
                <w:lang w:eastAsia="en-GB"/>
              </w:rPr>
              <w:t>Practical Utility</w:t>
            </w:r>
          </w:p>
        </w:tc>
        <w:tc>
          <w:tcPr>
            <w:tcW w:w="0" w:type="auto"/>
            <w:vAlign w:val="center"/>
            <w:hideMark/>
          </w:tcPr>
          <w:p w14:paraId="5EC3EE37"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Produces findings applicable to real-world contexts (e.g., education, healthcare, social sciences).</w:t>
            </w:r>
          </w:p>
        </w:tc>
        <w:tc>
          <w:tcPr>
            <w:tcW w:w="0" w:type="auto"/>
            <w:vAlign w:val="center"/>
            <w:hideMark/>
          </w:tcPr>
          <w:p w14:paraId="1D96AC9E"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Involves high time, cost, and resource demands.</w:t>
            </w:r>
          </w:p>
        </w:tc>
        <w:tc>
          <w:tcPr>
            <w:tcW w:w="0" w:type="auto"/>
            <w:vAlign w:val="center"/>
            <w:hideMark/>
          </w:tcPr>
          <w:sdt>
            <w:sdtPr>
              <w:rPr>
                <w:rFonts w:eastAsia="Times New Roman"/>
                <w:lang w:eastAsia="en-GB"/>
              </w:rPr>
              <w:tag w:val="MENDELEY_CITATION_v3_eyJjaXRhdGlvbklEIjoiTUVOREVMRVlfQ0lUQVRJT05fOTI4NWEwZTItZDRjMS00ZjRkLWFiYTMtZDg3OTMyMmZjY2Y2IiwicHJvcGVydGllcyI6eyJub3RlSW5kZXgiOjB9LCJpc0VkaXRlZCI6ZmFsc2UsIm1hbnVhbE92ZXJyaWRlIjp7ImlzTWFudWFsbHlPdmVycmlkZGVuIjpmYWxzZSwiY2l0ZXByb2NUZXh0IjoiKEJlcmdtYW4sIDIwMDg7I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
              <w:id w:val="4563010"/>
              <w:placeholder>
                <w:docPart w:val="5AD5D67B08F34AC89B03C13459C1B85B"/>
              </w:placeholder>
            </w:sdtPr>
            <w:sdtEndPr/>
            <w:sdtContent>
              <w:p w14:paraId="3868EDCF" w14:textId="77777777" w:rsidR="00736F61" w:rsidRPr="00CC1FC3" w:rsidRDefault="00736F61" w:rsidP="00736F61">
                <w:pPr>
                  <w:spacing w:after="0" w:line="240" w:lineRule="auto"/>
                  <w:rPr>
                    <w:rFonts w:eastAsia="Times New Roman"/>
                    <w:color w:val="auto"/>
                    <w:lang w:eastAsia="en-GB"/>
                  </w:rPr>
                </w:pPr>
                <w:r w:rsidRPr="00A73C12">
                  <w:rPr>
                    <w:rFonts w:eastAsia="Times New Roman"/>
                    <w:lang w:eastAsia="en-GB"/>
                  </w:rPr>
                  <w:t>(Bergman, 2008; Creswell and Plano, 2018)</w:t>
                </w:r>
              </w:p>
            </w:sdtContent>
          </w:sdt>
        </w:tc>
      </w:tr>
      <w:tr w:rsidR="00736F61" w:rsidRPr="00CC1FC3" w14:paraId="4A383D07" w14:textId="77777777" w:rsidTr="00736F61">
        <w:trPr>
          <w:tblCellSpacing w:w="15" w:type="dxa"/>
        </w:trPr>
        <w:tc>
          <w:tcPr>
            <w:tcW w:w="0" w:type="auto"/>
            <w:vAlign w:val="center"/>
            <w:hideMark/>
          </w:tcPr>
          <w:p w14:paraId="1084D40B" w14:textId="77777777" w:rsidR="00736F61" w:rsidRPr="00CC1FC3" w:rsidRDefault="00736F61" w:rsidP="00736F61">
            <w:pPr>
              <w:spacing w:after="0" w:line="240" w:lineRule="auto"/>
              <w:rPr>
                <w:rFonts w:eastAsia="Times New Roman"/>
                <w:color w:val="auto"/>
                <w:lang w:eastAsia="en-GB"/>
              </w:rPr>
            </w:pPr>
            <w:r w:rsidRPr="00CC1FC3">
              <w:rPr>
                <w:rFonts w:eastAsia="Times New Roman"/>
                <w:b/>
                <w:bCs/>
                <w:color w:val="auto"/>
                <w:lang w:eastAsia="en-GB"/>
              </w:rPr>
              <w:t>Flexibility</w:t>
            </w:r>
          </w:p>
        </w:tc>
        <w:tc>
          <w:tcPr>
            <w:tcW w:w="0" w:type="auto"/>
            <w:vAlign w:val="center"/>
            <w:hideMark/>
          </w:tcPr>
          <w:p w14:paraId="52C759CD"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Allows adaptation during the research process as new insights emerge.</w:t>
            </w:r>
          </w:p>
        </w:tc>
        <w:tc>
          <w:tcPr>
            <w:tcW w:w="0" w:type="auto"/>
            <w:vAlign w:val="center"/>
            <w:hideMark/>
          </w:tcPr>
          <w:p w14:paraId="44CCE2F7" w14:textId="77777777" w:rsidR="00736F61" w:rsidRPr="00CC1FC3" w:rsidRDefault="00736F61" w:rsidP="00736F61">
            <w:pPr>
              <w:spacing w:after="0" w:line="240" w:lineRule="auto"/>
              <w:rPr>
                <w:rFonts w:eastAsia="Times New Roman"/>
                <w:color w:val="auto"/>
                <w:lang w:eastAsia="en-GB"/>
              </w:rPr>
            </w:pPr>
            <w:r w:rsidRPr="00CC1FC3">
              <w:rPr>
                <w:rFonts w:eastAsia="Times New Roman"/>
                <w:color w:val="auto"/>
                <w:lang w:eastAsia="en-GB"/>
              </w:rPr>
              <w:t>Logistical and analytical complexity in managing multiple data types.</w:t>
            </w:r>
          </w:p>
        </w:tc>
        <w:tc>
          <w:tcPr>
            <w:tcW w:w="0" w:type="auto"/>
            <w:vAlign w:val="center"/>
            <w:hideMark/>
          </w:tcPr>
          <w:sdt>
            <w:sdtPr>
              <w:rPr>
                <w:rFonts w:eastAsia="Times New Roman"/>
                <w:lang w:eastAsia="en-GB"/>
              </w:rPr>
              <w:tag w:val="MENDELEY_CITATION_v3_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iLCJwdWJsaXNoZXIiOiJTQUdFIFB1YmxpY2F0aW9ucyBJbmMuIiwiaXNzdWUiOiIyIiwidm9sdW1lIjoiMjAifSwiaXNUZW1wb3JhcnkiOmZhbHNlfV19"/>
              <w:id w:val="-233697568"/>
              <w:placeholder>
                <w:docPart w:val="5AD5D67B08F34AC89B03C13459C1B85B"/>
              </w:placeholder>
            </w:sdtPr>
            <w:sdtEndPr/>
            <w:sdtContent>
              <w:p w14:paraId="032C013D" w14:textId="77777777" w:rsidR="00736F61" w:rsidRPr="00CC1FC3" w:rsidRDefault="00736F61" w:rsidP="00736F61">
                <w:pPr>
                  <w:spacing w:after="0" w:line="240" w:lineRule="auto"/>
                  <w:rPr>
                    <w:rFonts w:eastAsia="Times New Roman"/>
                    <w:color w:val="auto"/>
                    <w:lang w:eastAsia="en-GB"/>
                  </w:rPr>
                </w:pPr>
                <w:r w:rsidRPr="00A73C12">
                  <w:rPr>
                    <w:rFonts w:eastAsia="Times New Roman"/>
                    <w:lang w:eastAsia="en-GB"/>
                  </w:rPr>
                  <w:t>(Brannen, 1992; Creswell and Plano, 2018; Gibson, 2017)</w:t>
                </w:r>
              </w:p>
            </w:sdtContent>
          </w:sdt>
        </w:tc>
      </w:tr>
    </w:tbl>
    <w:p w14:paraId="4CEBB8A9" w14:textId="77777777" w:rsidR="00736F61" w:rsidRPr="00CC1FC3" w:rsidRDefault="00736F61" w:rsidP="00736F61">
      <w:pPr>
        <w:pStyle w:val="Heading3"/>
      </w:pPr>
      <w:r w:rsidRPr="00CC1FC3">
        <w:t xml:space="preserve">5.3.3 Rationale for Multi-phase </w:t>
      </w:r>
      <w:r>
        <w:t>A</w:t>
      </w:r>
      <w:r w:rsidRPr="00CC1FC3">
        <w:t>pproach</w:t>
      </w:r>
      <w:bookmarkEnd w:id="38"/>
      <w:bookmarkEnd w:id="39"/>
      <w:bookmarkEnd w:id="40"/>
    </w:p>
    <w:p w14:paraId="0A181A4B" w14:textId="77777777" w:rsidR="00736F61" w:rsidRDefault="00736F61" w:rsidP="00736F61">
      <w:pPr>
        <w:spacing w:after="0" w:line="480" w:lineRule="auto"/>
        <w:jc w:val="both"/>
        <w:rPr>
          <w:rFonts w:eastAsia="Times New Roman"/>
          <w:color w:val="000000" w:themeColor="text1"/>
        </w:rPr>
      </w:pPr>
    </w:p>
    <w:p w14:paraId="59B55C20" w14:textId="77777777" w:rsidR="00736F61" w:rsidRPr="00CC1FC3" w:rsidRDefault="00736F61" w:rsidP="00736F61">
      <w:pPr>
        <w:spacing w:after="0" w:line="480" w:lineRule="auto"/>
        <w:ind w:firstLine="720"/>
        <w:jc w:val="both"/>
        <w:rPr>
          <w:rFonts w:eastAsia="Times New Roman"/>
          <w:color w:val="000000" w:themeColor="text1"/>
        </w:rPr>
      </w:pPr>
      <w:r w:rsidRPr="00CC1FC3">
        <w:rPr>
          <w:rFonts w:eastAsia="Times New Roman"/>
          <w:color w:val="000000" w:themeColor="text1"/>
        </w:rPr>
        <w:t xml:space="preserve">The multi-phase structure adopted in this study is grounded in the logic of the explanatory sequential mixed-methods design, which begins with quantitative analysis and is subsequently enriched through qualitative inquiry. This sequencing is particularly suited to the study of CMS, a phenomenon that is institutional, multi-layered, and often intentionally obscured within global production systems </w:t>
      </w:r>
      <w:sdt>
        <w:sdtPr>
          <w:rPr>
            <w:rFonts w:eastAsia="Times New Roman"/>
          </w:rPr>
          <w:tag w:val="MENDELEY_CITATION_v3_eyJjaXRhdGlvbklEIjoiTUVOREVMRVlfQ0lUQVRJT05fZThjMTdiYWYtYWMwNy00ZTE4LTk3Y2MtY2QwZmVjZTJmZDc4IiwicHJvcGVydGllcyI6eyJub3RlSW5kZXgiOjB9LCJpc0VkaXRlZCI6ZmFsc2UsIm1hbnVhbE92ZXJyaWRlIjp7ImlzTWFudWFsbHlPdmVycmlkZGVuIjpmYWxzZSwiY2l0ZXByb2NUZXh0IjoiKEJlcmdtYW4sIDIwMDg7I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
          <w:id w:val="1823457606"/>
          <w:placeholder>
            <w:docPart w:val="D57847D860CD4AD4AC214098A9F8F251"/>
          </w:placeholder>
        </w:sdtPr>
        <w:sdtEndPr/>
        <w:sdtContent>
          <w:r w:rsidRPr="00A73C12">
            <w:rPr>
              <w:rFonts w:eastAsia="Times New Roman"/>
            </w:rPr>
            <w:t>(Bergman, 2008; Creswell and Plano, 2018)</w:t>
          </w:r>
        </w:sdtContent>
      </w:sdt>
      <w:r w:rsidRPr="00CC1FC3">
        <w:rPr>
          <w:rFonts w:eastAsia="Times New Roman"/>
          <w:color w:val="000000" w:themeColor="text1"/>
        </w:rPr>
        <w:t xml:space="preserve">. The approach enables the research to address the “what,” “how,” and “why” of CMS governance in a systematic and theoretically coherent manner </w:t>
      </w:r>
      <w:sdt>
        <w:sdtPr>
          <w:rPr>
            <w:rFonts w:eastAsia="Times New Roman"/>
          </w:rPr>
          <w:tag w:val="MENDELEY_CITATION_v3_eyJjaXRhdGlvbklEIjoiTUVOREVMRVlfQ0lUQVRJT05fNDQ2Mzg5NzQtMzQ0YS00NGIxLWJhMDItOGU2M2U1MjJlOTc1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
          <w:id w:val="548112873"/>
          <w:placeholder>
            <w:docPart w:val="D57847D860CD4AD4AC214098A9F8F251"/>
          </w:placeholder>
        </w:sdtPr>
        <w:sdtEndPr/>
        <w:sdtContent>
          <w:r w:rsidRPr="00A73C12">
            <w:rPr>
              <w:rFonts w:eastAsia="Times New Roman"/>
            </w:rPr>
            <w:t>(Creswell and Plano, 2018; Guest and Fleming, 2015)</w:t>
          </w:r>
        </w:sdtContent>
      </w:sdt>
      <w:r w:rsidRPr="00CC1FC3">
        <w:rPr>
          <w:rFonts w:eastAsia="Times New Roman"/>
          <w:color w:val="000000" w:themeColor="text1"/>
        </w:rPr>
        <w:t>.</w:t>
      </w:r>
    </w:p>
    <w:p w14:paraId="1D9C3043" w14:textId="77777777" w:rsidR="00736F61" w:rsidRPr="00CC1FC3" w:rsidRDefault="00736F61" w:rsidP="00736F61">
      <w:pPr>
        <w:spacing w:after="0" w:line="480" w:lineRule="auto"/>
        <w:ind w:firstLine="720"/>
        <w:jc w:val="both"/>
        <w:rPr>
          <w:rFonts w:eastAsia="Times New Roman"/>
          <w:color w:val="000000" w:themeColor="text1"/>
        </w:rPr>
      </w:pPr>
      <w:r w:rsidRPr="00CC1FC3">
        <w:rPr>
          <w:rFonts w:eastAsia="Times New Roman"/>
          <w:color w:val="000000" w:themeColor="text1"/>
        </w:rPr>
        <w:lastRenderedPageBreak/>
        <w:t>The first phase—macro- and meso-level quantitative analysis—provides broad, generalisable insights into the structural patterns shaping CMS outcomes across countries and MNCs. By examining large-scale datasets (WGI, SDGI, IHDI, GSI, and G500 corporate governance indicators), this phase identifies statistically significant relationships between institutional conditions, SGIs, and ACMS commitments. However, quantitative patterns alone cannot fully explain the mechanisms underlying these relationships, nor can they reveal the organisational, cultural, and power dynamics that underpin corporate behaviour. Quantitative findings often point to associations but leave unanswered questions about causality, contradictions, and the real-world translation of policies into practice.</w:t>
      </w:r>
    </w:p>
    <w:p w14:paraId="0BF43EC1" w14:textId="77777777" w:rsidR="00736F61" w:rsidRPr="00CC1FC3" w:rsidRDefault="00736F61" w:rsidP="00736F61">
      <w:pPr>
        <w:spacing w:after="0" w:line="480" w:lineRule="auto"/>
        <w:ind w:firstLine="720"/>
        <w:jc w:val="both"/>
        <w:rPr>
          <w:rFonts w:eastAsia="Times New Roman"/>
          <w:color w:val="000000" w:themeColor="text1"/>
        </w:rPr>
      </w:pPr>
      <w:r w:rsidRPr="00CC1FC3">
        <w:rPr>
          <w:rFonts w:eastAsia="Times New Roman"/>
          <w:color w:val="000000" w:themeColor="text1"/>
        </w:rPr>
        <w:t xml:space="preserve">For this reason, the second and third phases introduce qualitative analysis to illuminate the meanings, processes, and lived realities behind the statistical associations. The meso-level qualitative extension examines corporate disclosures to interrogate whether firms’ ACMS commitments are substantive or symbolic, thereby uncovering potential institutional decoupling between policy and performance. This step is essential because NIT argues that organisations often adopt formal structures—such as CSR policies, codes of conduct, or human rights statements—not necessarily to enforce them, but to gain legitimacy under coercive, normative, and mimetic pressures </w:t>
      </w:r>
      <w:sdt>
        <w:sdtPr>
          <w:rPr>
            <w:rFonts w:eastAsia="Times New Roman"/>
          </w:rPr>
          <w:tag w:val="MENDELEY_CITATION_v3_eyJjaXRhdGlvbklEIjoiTUVOREVMRVlfQ0lUQVRJT05fMGFmMzYyYTYtYmUzNy00OWE4LWEyNmItMDFmYjllNGFjNWUy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
          <w:id w:val="1604458118"/>
          <w:placeholder>
            <w:docPart w:val="E6ACD602BDA547D09E2EDBC6FFF7DEC0"/>
          </w:placeholder>
        </w:sdtPr>
        <w:sdtEndPr/>
        <w:sdtContent>
          <w:r w:rsidRPr="00A73C12">
            <w:rPr>
              <w:rFonts w:eastAsia="Times New Roman"/>
            </w:rPr>
            <w:t>(DiMaggio and Powell, 1983; Meyer and Rowan, 1977)</w:t>
          </w:r>
        </w:sdtContent>
      </w:sdt>
      <w:r w:rsidRPr="00CC1FC3">
        <w:rPr>
          <w:rFonts w:eastAsia="Times New Roman"/>
          <w:color w:val="000000" w:themeColor="text1"/>
        </w:rPr>
        <w:t>. Qualitative scrutiny of disclosure texts is therefore needed to determine whether these structures function as genuine governance mechanisms or performative tools used to manage reputation and compliance expectations.</w:t>
      </w:r>
    </w:p>
    <w:p w14:paraId="34181F5F" w14:textId="77777777" w:rsidR="00736F61" w:rsidRPr="00CC1FC3" w:rsidRDefault="00736F61" w:rsidP="00736F61">
      <w:pPr>
        <w:spacing w:after="0" w:line="480" w:lineRule="auto"/>
        <w:ind w:firstLine="720"/>
        <w:jc w:val="both"/>
        <w:rPr>
          <w:rFonts w:eastAsia="Times New Roman"/>
          <w:color w:val="000000" w:themeColor="text1"/>
        </w:rPr>
      </w:pPr>
      <w:r w:rsidRPr="00CC1FC3">
        <w:rPr>
          <w:rFonts w:eastAsia="Times New Roman"/>
          <w:color w:val="000000" w:themeColor="text1"/>
        </w:rPr>
        <w:t xml:space="preserve">The final qualitative phase—micro-level </w:t>
      </w:r>
      <w:r w:rsidRPr="008E024A">
        <w:rPr>
          <w:rFonts w:eastAsia="Palatino Linotype"/>
          <w:color w:val="EE0000"/>
        </w:rPr>
        <w:t xml:space="preserve">semi-structured </w:t>
      </w:r>
      <w:r w:rsidRPr="00CC1FC3">
        <w:rPr>
          <w:rFonts w:eastAsia="Times New Roman"/>
          <w:color w:val="000000" w:themeColor="text1"/>
        </w:rPr>
        <w:t xml:space="preserve">interviews and </w:t>
      </w:r>
      <w:r>
        <w:rPr>
          <w:rFonts w:eastAsia="Times New Roman"/>
          <w:color w:val="000000" w:themeColor="text1"/>
        </w:rPr>
        <w:t xml:space="preserve">questionnaire </w:t>
      </w:r>
      <w:r w:rsidRPr="00CC1FC3">
        <w:rPr>
          <w:rFonts w:eastAsia="Times New Roman"/>
          <w:color w:val="000000" w:themeColor="text1"/>
        </w:rPr>
        <w:t xml:space="preserve">provides bottom-up empirical grounding by examining how global and corporate commitments are experienced by workers, supervisors, and labour actors within Sri Lanka’s A&amp;TI. This phase is crucial for revealing the everyday realities of CMS, including exploitation patterns, power asymmetries, audit failures, and worker resistance. Micro-level insights help explain </w:t>
      </w:r>
      <w:r w:rsidRPr="00CC1FC3">
        <w:rPr>
          <w:rFonts w:eastAsia="Times New Roman"/>
          <w:color w:val="000000" w:themeColor="text1"/>
        </w:rPr>
        <w:lastRenderedPageBreak/>
        <w:t>why specific quantitative patterns may appear contradictory (e.g., high disclosure alongside persistent exploitation) and allow the study to map the full cycle of institutional pressures, corporate responses, and labour outcomes.</w:t>
      </w:r>
    </w:p>
    <w:p w14:paraId="1C784E44" w14:textId="77777777" w:rsidR="00736F61" w:rsidRPr="00CC1FC3" w:rsidRDefault="00736F61" w:rsidP="00736F61">
      <w:pPr>
        <w:spacing w:after="0" w:line="480" w:lineRule="auto"/>
        <w:ind w:firstLine="720"/>
        <w:jc w:val="both"/>
        <w:rPr>
          <w:rFonts w:eastAsia="Times New Roman"/>
          <w:color w:val="000000" w:themeColor="text1"/>
        </w:rPr>
      </w:pPr>
      <w:r w:rsidRPr="00CC1FC3">
        <w:rPr>
          <w:rFonts w:eastAsia="Times New Roman"/>
          <w:color w:val="000000" w:themeColor="text1"/>
        </w:rPr>
        <w:t>Together, these phases facilitate methodological triangulation by integrating findings across multiple data sources, analytical levels, and institutional actors. This triangulated approach strengthens validity and allows the study to uncover institutional contradictions and decoupling processes that would remain invisible under a single-method design. The multi-phase structure, therefore, reflects both the complexity of CMS governance and the theoretical requirements of NIT, which emphasises multi-level, dynamic interactions between institutional environments, organisational structures, and human agency.</w:t>
      </w:r>
    </w:p>
    <w:p w14:paraId="4E5F3682" w14:textId="77777777" w:rsidR="00736F61" w:rsidRPr="00CC1FC3" w:rsidRDefault="00736F61" w:rsidP="00736F61">
      <w:pPr>
        <w:pStyle w:val="Heading3"/>
      </w:pPr>
      <w:bookmarkStart w:id="41" w:name="_Toc215651862"/>
      <w:bookmarkStart w:id="42" w:name="_Toc220848362"/>
      <w:bookmarkStart w:id="43" w:name="_Toc221437657"/>
      <w:r w:rsidRPr="00CC1FC3">
        <w:t>5.3.5 Mixed-Method Research Design: Explanatory Sequential Design</w:t>
      </w:r>
      <w:bookmarkEnd w:id="41"/>
      <w:bookmarkEnd w:id="42"/>
      <w:bookmarkEnd w:id="43"/>
    </w:p>
    <w:p w14:paraId="35BAEEB8" w14:textId="77777777" w:rsidR="00736F61" w:rsidRPr="00CC1FC3" w:rsidRDefault="00736F61" w:rsidP="00736F61">
      <w:pPr>
        <w:spacing w:after="0" w:line="480" w:lineRule="auto"/>
        <w:ind w:firstLine="720"/>
        <w:jc w:val="both"/>
      </w:pPr>
      <w:r w:rsidRPr="00CC1FC3">
        <w:rPr>
          <w:rFonts w:eastAsia="Palatino Linotype"/>
        </w:rPr>
        <w:t xml:space="preserve">This study adopts an explanatory sequential mixed-methods design, which involves a two-step process where quantitative data collection and analysis are conducted first, followed by qualitative data collection and interpretation </w:t>
      </w:r>
      <w:sdt>
        <w:sdtPr>
          <w:rPr>
            <w:rFonts w:eastAsia="Palatino Linotype"/>
          </w:rPr>
          <w:tag w:val="MENDELEY_CITATION_v3_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"/>
          <w:id w:val="483595718"/>
          <w:placeholder>
            <w:docPart w:val="71DC9F3B43A040DCAC18F07D68AD007B"/>
          </w:placeholder>
        </w:sdtPr>
        <w:sdtEndPr/>
        <w:sdtContent>
          <w:r w:rsidRPr="00A73C12">
            <w:rPr>
              <w:rFonts w:eastAsia="Times New Roman"/>
            </w:rPr>
            <w:t>(Bell et al., 2019; Bryman and Bell, 2015; Creswell, 2009; Creswell and Plano, 2011, 2018; Guest and Fleming, 2015)</w:t>
          </w:r>
        </w:sdtContent>
      </w:sdt>
      <w:r w:rsidRPr="00CC1FC3">
        <w:rPr>
          <w:rFonts w:eastAsia="Palatino Linotype"/>
        </w:rPr>
        <w:t xml:space="preserve">. </w:t>
      </w:r>
      <w:r w:rsidRPr="00CC1FC3">
        <w:t xml:space="preserve">In this design, quantitative findings provide the foundation for subsequent qualitative inquiry, enabling the researcher to explain, elaborate, and contextualise statistical patterns through interpretive exploration </w:t>
      </w:r>
      <w:sdt>
        <w:sdtPr>
          <w:tag w:val="MENDELEY_CITATION_v3_eyJjaXRhdGlvbklEIjoiTUVOREVMRVlfQ0lUQVRJT05fN2M4NGU2MGEtMWY1Ni00NGEzLWI5ZTctYTBmZGRhMzU2ZDA4IiwicHJvcGVydGllcyI6eyJub3RlSW5kZXgiOjB9LCJpc0VkaXRlZCI6ZmFsc2UsIm1hbnVhbE92ZXJyaWRlIjp7ImlzTWFudWFsbHlPdmVycmlkZGVuIjpmYWxzZSwiY2l0ZXByb2NUZXh0IjoiK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1dfQ=="/>
          <w:id w:val="-126635400"/>
          <w:placeholder>
            <w:docPart w:val="C9E43D16C4B840089997E08D91CAEA46"/>
          </w:placeholder>
        </w:sdtPr>
        <w:sdtEndPr/>
        <w:sdtContent>
          <w:r w:rsidRPr="00A73C12">
            <w:t>(Creswell, 2014)</w:t>
          </w:r>
        </w:sdtContent>
      </w:sdt>
      <w:r w:rsidRPr="00CC1FC3">
        <w:t xml:space="preserve">. The approach allows for systematic integration, in which qualitative insights help clarify the mechanisms and contextual factors underlying quantitative relationships </w:t>
      </w:r>
      <w:sdt>
        <w:sdtPr>
          <w:tag w:val="MENDELEY_CITATION_v3_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"/>
          <w:id w:val="869184614"/>
          <w:placeholder>
            <w:docPart w:val="C9E43D16C4B840089997E08D91CAEA46"/>
          </w:placeholder>
        </w:sdtPr>
        <w:sdtEndPr/>
        <w:sdtContent>
          <w:r w:rsidRPr="00A73C12">
            <w:t>(Bryman and Bell, 2015; Bell et al, 2019)</w:t>
          </w:r>
        </w:sdtContent>
      </w:sdt>
      <w:r w:rsidRPr="00CC1FC3">
        <w:t>.</w:t>
      </w:r>
    </w:p>
    <w:p w14:paraId="5F64EC59" w14:textId="77777777" w:rsidR="00736F61" w:rsidRPr="00CC1FC3" w:rsidRDefault="00736F61" w:rsidP="00736F61">
      <w:pPr>
        <w:spacing w:after="0" w:line="480" w:lineRule="auto"/>
        <w:ind w:firstLine="720"/>
        <w:jc w:val="both"/>
        <w:rPr>
          <w:rFonts w:eastAsia="Palatino Linotype"/>
        </w:rPr>
      </w:pPr>
      <w:r w:rsidRPr="00CC1FC3">
        <w:rPr>
          <w:rFonts w:eastAsia="Palatino Linotype"/>
        </w:rPr>
        <w:t xml:space="preserve">The explanatory sequential design was selected because it provides both breadth and depth of understanding—quantitative analyses identify empirical relationships across global institutional and corporate sustainability governance systems. In contrast, qualitative analyses uncover the human, organisational, and contextual dimensions shaping those outcomes. As argued by </w:t>
      </w:r>
      <w:sdt>
        <w:sdtPr>
          <w:rPr>
            <w:rFonts w:eastAsia="Palatino Linotype"/>
          </w:rPr>
          <w:tag w:val="MENDELEY_CITATION_v3_eyJjaXRhdGlvbklEIjoiTUVOREVMRVlfQ0lUQVRJT05fZjcwOTdmOWUtNTJhMy00MTQ3LWI2YmItNTFlMDFkYmJjNjQ3IiwicHJvcGVydGllcyI6eyJub3RlSW5kZXgiOjB9LCJpc0VkaXRlZCI6ZmFsc2UsIm1hbnVhbE92ZXJyaWRlIjp7ImlzTWFudWFsbHlPdmVycmlkZGVuIjp0cnVlLCJjaXRlcHJvY1RleHQiOiIoQ3Jlc3dlbGwgYW5kIFBsYW5vLCAyMDE4KSIsIm1hbnVhbE92ZXJyaWRlVGV4dCI6IkNyZXN3ZWxsIGFuZCBQbGFubyAoMjAxOCk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1210654708"/>
          <w:placeholder>
            <w:docPart w:val="C9E43D16C4B840089997E08D91CAEA46"/>
          </w:placeholder>
        </w:sdtPr>
        <w:sdtEndPr/>
        <w:sdtContent>
          <w:r w:rsidRPr="00A73C12">
            <w:rPr>
              <w:rFonts w:eastAsia="Palatino Linotype"/>
            </w:rPr>
            <w:t>Creswell and Plano (2018)</w:t>
          </w:r>
        </w:sdtContent>
      </w:sdt>
      <w:r w:rsidRPr="00CC1FC3">
        <w:rPr>
          <w:rFonts w:eastAsia="Palatino Linotype"/>
        </w:rPr>
        <w:t xml:space="preserve">, this design is particularly valuable when the initial </w:t>
      </w:r>
      <w:r w:rsidRPr="00CC1FC3">
        <w:rPr>
          <w:rFonts w:eastAsia="Palatino Linotype"/>
        </w:rPr>
        <w:lastRenderedPageBreak/>
        <w:t xml:space="preserve">quantitative phase identifies significant trends or anomalies that require further qualitative explanation. Accordingly, this thesis applies the explanatory sequential design across three interrelated phases representing the macro-, meso-, and micro-levels of CMS analysis. See Figure </w:t>
      </w:r>
      <w:r>
        <w:rPr>
          <w:rFonts w:eastAsia="Palatino Linotype"/>
        </w:rPr>
        <w:t>5</w:t>
      </w:r>
      <w:r w:rsidRPr="00CC1FC3">
        <w:rPr>
          <w:rFonts w:eastAsia="Palatino Linotype"/>
        </w:rPr>
        <w:t>.</w:t>
      </w:r>
      <w:r>
        <w:rPr>
          <w:rFonts w:eastAsia="Palatino Linotype"/>
        </w:rPr>
        <w:t>5</w:t>
      </w:r>
      <w:r w:rsidRPr="00CC1FC3">
        <w:rPr>
          <w:rFonts w:eastAsia="Palatino Linotype"/>
        </w:rPr>
        <w:t xml:space="preserve"> below for better clarity. </w:t>
      </w:r>
    </w:p>
    <w:p w14:paraId="3DCBF490" w14:textId="77777777" w:rsidR="00736F61" w:rsidRPr="00CC1FC3" w:rsidRDefault="00736F61" w:rsidP="00736F61">
      <w:pPr>
        <w:spacing w:after="0" w:line="480" w:lineRule="auto"/>
        <w:ind w:firstLine="720"/>
        <w:jc w:val="both"/>
        <w:rPr>
          <w:rFonts w:eastAsia="Palatino Linotype"/>
        </w:rPr>
      </w:pPr>
      <w:r w:rsidRPr="00CC1FC3">
        <w:rPr>
          <w:rFonts w:eastAsia="Palatino Linotype"/>
        </w:rPr>
        <w:t>This design ensures a logical sequencing of inquiry, where macro- and meso-level quantitative findings inform the development of qualitative instruments and guide case and participant selection. The integration of both data types occurs during the interpretation phase through meta-inference and triangulation, producing a cohesive understanding of how institutional, organisational, and human-level dynamics interact to sustain or challenge CMS practices.</w:t>
      </w:r>
    </w:p>
    <w:p w14:paraId="5472172C" w14:textId="77777777" w:rsidR="00736F61" w:rsidRDefault="00736F61" w:rsidP="00736F61">
      <w:pPr>
        <w:spacing w:after="0" w:line="480" w:lineRule="auto"/>
        <w:ind w:firstLine="720"/>
        <w:jc w:val="both"/>
        <w:rPr>
          <w:rFonts w:eastAsia="Palatino Linotype"/>
        </w:rPr>
      </w:pPr>
      <w:r w:rsidRPr="00CC1FC3">
        <w:rPr>
          <w:rFonts w:eastAsia="Palatino Linotype"/>
        </w:rPr>
        <w:t>The explanatory sequential approach aligns closely with the NIT framework that underpins this research. It allows empirical testing of institutional pressures—coercive, normative, and mimetic—through quantitative modelling, followed by qualitative exploration of how these pressures manifest in organisational practices and worker experiences. This design thus facilitates a robust, multi-level understanding of the institutional drivers, corporate behaviours, and lived realities of MS in global supply chains.</w:t>
      </w:r>
    </w:p>
    <w:p w14:paraId="37EFCB2D" w14:textId="77777777" w:rsidR="00736F61" w:rsidRDefault="00736F61" w:rsidP="00736F61">
      <w:pPr>
        <w:spacing w:after="0" w:line="480" w:lineRule="auto"/>
        <w:ind w:firstLine="720"/>
        <w:jc w:val="both"/>
        <w:rPr>
          <w:rFonts w:eastAsia="Palatino Linotype"/>
        </w:rPr>
      </w:pPr>
    </w:p>
    <w:p w14:paraId="05524F2C" w14:textId="77777777" w:rsidR="00736F61" w:rsidRDefault="00736F61" w:rsidP="00736F61">
      <w:pPr>
        <w:spacing w:after="0" w:line="480" w:lineRule="auto"/>
        <w:ind w:firstLine="720"/>
        <w:jc w:val="both"/>
        <w:rPr>
          <w:rFonts w:eastAsia="Palatino Linotype"/>
        </w:rPr>
      </w:pPr>
    </w:p>
    <w:p w14:paraId="41B40BF3" w14:textId="77777777" w:rsidR="00736F61" w:rsidRDefault="00736F61" w:rsidP="00736F61">
      <w:pPr>
        <w:spacing w:after="0" w:line="480" w:lineRule="auto"/>
        <w:ind w:firstLine="720"/>
        <w:jc w:val="both"/>
        <w:rPr>
          <w:rFonts w:eastAsia="Palatino Linotype"/>
        </w:rPr>
      </w:pPr>
    </w:p>
    <w:p w14:paraId="333B2F43" w14:textId="77777777" w:rsidR="00736F61" w:rsidRDefault="00736F61" w:rsidP="00736F61">
      <w:pPr>
        <w:spacing w:after="0" w:line="480" w:lineRule="auto"/>
        <w:ind w:firstLine="720"/>
        <w:jc w:val="both"/>
        <w:rPr>
          <w:rFonts w:eastAsia="Palatino Linotype"/>
        </w:rPr>
      </w:pPr>
    </w:p>
    <w:p w14:paraId="0090E9D9" w14:textId="77777777" w:rsidR="00736F61" w:rsidRDefault="00736F61" w:rsidP="00736F61">
      <w:pPr>
        <w:spacing w:after="0" w:line="480" w:lineRule="auto"/>
        <w:ind w:firstLine="720"/>
        <w:jc w:val="both"/>
        <w:rPr>
          <w:rFonts w:eastAsia="Palatino Linotype"/>
        </w:rPr>
      </w:pPr>
    </w:p>
    <w:p w14:paraId="5267C867" w14:textId="77777777" w:rsidR="00736F61" w:rsidRDefault="00736F61" w:rsidP="00736F61">
      <w:pPr>
        <w:spacing w:after="0" w:line="480" w:lineRule="auto"/>
        <w:ind w:firstLine="720"/>
        <w:jc w:val="both"/>
        <w:rPr>
          <w:rFonts w:eastAsia="Palatino Linotype"/>
        </w:rPr>
      </w:pPr>
    </w:p>
    <w:p w14:paraId="727FF574" w14:textId="77777777" w:rsidR="00736F61" w:rsidRDefault="00736F61" w:rsidP="00736F61">
      <w:pPr>
        <w:spacing w:after="0" w:line="480" w:lineRule="auto"/>
        <w:ind w:firstLine="720"/>
        <w:jc w:val="both"/>
        <w:rPr>
          <w:rFonts w:eastAsia="Palatino Linotype"/>
        </w:rPr>
      </w:pPr>
    </w:p>
    <w:p w14:paraId="31F846DF" w14:textId="77777777" w:rsidR="00736F61" w:rsidRDefault="00736F61" w:rsidP="00736F61">
      <w:pPr>
        <w:spacing w:after="0" w:line="480" w:lineRule="auto"/>
        <w:ind w:firstLine="720"/>
        <w:jc w:val="both"/>
        <w:rPr>
          <w:rFonts w:eastAsia="Palatino Linotype"/>
        </w:rPr>
      </w:pPr>
    </w:p>
    <w:p w14:paraId="1CC3A9DD" w14:textId="77777777" w:rsidR="00736F61" w:rsidRPr="00CC1FC3" w:rsidRDefault="00736F61" w:rsidP="00736F61">
      <w:pPr>
        <w:spacing w:after="0" w:line="480" w:lineRule="auto"/>
        <w:jc w:val="both"/>
      </w:pPr>
      <w:r w:rsidRPr="00CC1FC3">
        <w:rPr>
          <w:noProof/>
        </w:rPr>
        <mc:AlternateContent>
          <mc:Choice Requires="wpg">
            <w:drawing>
              <wp:anchor distT="0" distB="0" distL="114300" distR="114300" simplePos="0" relativeHeight="251682816" behindDoc="0" locked="0" layoutInCell="1" allowOverlap="1" wp14:anchorId="246F1521" wp14:editId="548A652F">
                <wp:simplePos x="0" y="0"/>
                <wp:positionH relativeFrom="column">
                  <wp:posOffset>27360</wp:posOffset>
                </wp:positionH>
                <wp:positionV relativeFrom="paragraph">
                  <wp:posOffset>252779</wp:posOffset>
                </wp:positionV>
                <wp:extent cx="6025515" cy="4972685"/>
                <wp:effectExtent l="0" t="0" r="13335" b="18415"/>
                <wp:wrapNone/>
                <wp:docPr id="43" name="Group 42">
                  <a:extLst xmlns:a="http://schemas.openxmlformats.org/drawingml/2006/main">
                    <a:ext uri="{FF2B5EF4-FFF2-40B4-BE49-F238E27FC236}">
                      <a16:creationId xmlns:a16="http://schemas.microsoft.com/office/drawing/2014/main" id="{5061A0F8-B75D-2A82-6C6B-A8E16845D562}"/>
                    </a:ext>
                  </a:extLst>
                </wp:docPr>
                <wp:cNvGraphicFramePr/>
                <a:graphic xmlns:a="http://schemas.openxmlformats.org/drawingml/2006/main">
                  <a:graphicData uri="http://schemas.microsoft.com/office/word/2010/wordprocessingGroup">
                    <wpg:wgp>
                      <wpg:cNvGrpSpPr/>
                      <wpg:grpSpPr>
                        <a:xfrm>
                          <a:off x="0" y="0"/>
                          <a:ext cx="6025515" cy="4972685"/>
                          <a:chOff x="0" y="1"/>
                          <a:chExt cx="6025515" cy="4972685"/>
                        </a:xfrm>
                      </wpg:grpSpPr>
                      <wps:wsp>
                        <wps:cNvPr id="1119739817" name="TextBox 10">
                          <a:extLst>
                            <a:ext uri="{FF2B5EF4-FFF2-40B4-BE49-F238E27FC236}">
                              <a16:creationId xmlns:a16="http://schemas.microsoft.com/office/drawing/2014/main" id="{94D2D2F4-826A-0088-8553-B5727F0B97A0}"/>
                            </a:ext>
                          </a:extLst>
                        </wps:cNvPr>
                        <wps:cNvSpPr txBox="1"/>
                        <wps:spPr>
                          <a:xfrm>
                            <a:off x="726902" y="1"/>
                            <a:ext cx="4571365" cy="1092266"/>
                          </a:xfrm>
                          <a:prstGeom prst="rect">
                            <a:avLst/>
                          </a:prstGeom>
                        </wps:spPr>
                        <wps:style>
                          <a:lnRef idx="2">
                            <a:schemeClr val="dk1"/>
                          </a:lnRef>
                          <a:fillRef idx="1">
                            <a:schemeClr val="lt1"/>
                          </a:fillRef>
                          <a:effectRef idx="0">
                            <a:schemeClr val="dk1"/>
                          </a:effectRef>
                          <a:fontRef idx="minor">
                            <a:schemeClr val="dk1"/>
                          </a:fontRef>
                        </wps:style>
                        <wps:txbx>
                          <w:txbxContent>
                            <w:p w14:paraId="77CDEE04" w14:textId="77777777" w:rsidR="00736F61" w:rsidRDefault="00736F61" w:rsidP="00736F61">
                              <w:pPr>
                                <w:spacing w:after="0"/>
                                <w:rPr>
                                  <w:b/>
                                  <w:color w:val="000000" w:themeColor="dark1"/>
                                  <w:kern w:val="24"/>
                                </w:rPr>
                              </w:pPr>
                              <w:r>
                                <w:rPr>
                                  <w:b/>
                                  <w:color w:val="000000" w:themeColor="dark1"/>
                                  <w:kern w:val="24"/>
                                </w:rPr>
                                <w:t>Phase I – Macro-Level Quantitative Analysis</w:t>
                              </w:r>
                            </w:p>
                            <w:p w14:paraId="3230FDC0" w14:textId="77777777" w:rsidR="00736F61" w:rsidRDefault="00736F61" w:rsidP="00736F61">
                              <w:pPr>
                                <w:spacing w:after="0"/>
                                <w:rPr>
                                  <w:color w:val="000000" w:themeColor="dark1"/>
                                  <w:kern w:val="24"/>
                                </w:rPr>
                              </w:pPr>
                              <w:r>
                                <w:rPr>
                                  <w:color w:val="000000" w:themeColor="dark1"/>
                                  <w:kern w:val="24"/>
                                </w:rPr>
                                <w:t>│</w:t>
                              </w:r>
                            </w:p>
                            <w:p w14:paraId="1C83709D" w14:textId="77777777" w:rsidR="00736F61" w:rsidRDefault="00736F61" w:rsidP="00736F61">
                              <w:pPr>
                                <w:spacing w:after="0"/>
                                <w:rPr>
                                  <w:color w:val="000000" w:themeColor="dark1"/>
                                  <w:kern w:val="24"/>
                                </w:rPr>
                              </w:pPr>
                              <w:r>
                                <w:rPr>
                                  <w:color w:val="000000" w:themeColor="dark1"/>
                                  <w:kern w:val="24"/>
                                </w:rPr>
                                <w:t>├── Data: WGI, HDI, SDGI, GSI (Institutional datasets)</w:t>
                              </w:r>
                            </w:p>
                            <w:p w14:paraId="798403E9" w14:textId="77777777" w:rsidR="00736F61" w:rsidRDefault="00736F61" w:rsidP="00736F61">
                              <w:pPr>
                                <w:spacing w:after="0"/>
                                <w:rPr>
                                  <w:color w:val="000000" w:themeColor="dark1"/>
                                  <w:kern w:val="24"/>
                                </w:rPr>
                              </w:pPr>
                              <w:r>
                                <w:rPr>
                                  <w:color w:val="000000" w:themeColor="dark1"/>
                                  <w:kern w:val="24"/>
                                </w:rPr>
                                <w:t>├── Analysis: Panel regression (FE/RE, IV-2SLS)</w:t>
                              </w:r>
                            </w:p>
                            <w:p w14:paraId="5896E96B" w14:textId="77777777" w:rsidR="00736F61" w:rsidRDefault="00736F61" w:rsidP="00736F61">
                              <w:pPr>
                                <w:spacing w:after="0"/>
                                <w:rPr>
                                  <w:color w:val="000000" w:themeColor="dark1"/>
                                  <w:kern w:val="24"/>
                                </w:rPr>
                              </w:pPr>
                              <w:r>
                                <w:rPr>
                                  <w:color w:val="000000" w:themeColor="dark1"/>
                                  <w:kern w:val="24"/>
                                </w:rPr>
                                <w:t>└── Output: Global governance drivers of MS outcomes</w:t>
                              </w:r>
                            </w:p>
                          </w:txbxContent>
                        </wps:txbx>
                        <wps:bodyPr wrap="square">
                          <a:noAutofit/>
                        </wps:bodyPr>
                      </wps:wsp>
                      <wps:wsp>
                        <wps:cNvPr id="1360963985" name="TextBox 5">
                          <a:extLst>
                            <a:ext uri="{FF2B5EF4-FFF2-40B4-BE49-F238E27FC236}">
                              <a16:creationId xmlns:a16="http://schemas.microsoft.com/office/drawing/2014/main" id="{0597A335-25F0-2E5E-4588-E397CCBE86D8}"/>
                            </a:ext>
                          </a:extLst>
                        </wps:cNvPr>
                        <wps:cNvSpPr txBox="1"/>
                        <wps:spPr>
                          <a:xfrm>
                            <a:off x="240892" y="1413309"/>
                            <a:ext cx="5442585" cy="1125220"/>
                          </a:xfrm>
                          <a:prstGeom prst="rect">
                            <a:avLst/>
                          </a:prstGeom>
                        </wps:spPr>
                        <wps:style>
                          <a:lnRef idx="2">
                            <a:schemeClr val="dk1"/>
                          </a:lnRef>
                          <a:fillRef idx="1">
                            <a:schemeClr val="lt1"/>
                          </a:fillRef>
                          <a:effectRef idx="0">
                            <a:schemeClr val="dk1"/>
                          </a:effectRef>
                          <a:fontRef idx="minor">
                            <a:schemeClr val="dk1"/>
                          </a:fontRef>
                        </wps:style>
                        <wps:txbx>
                          <w:txbxContent>
                            <w:p w14:paraId="11013CC5" w14:textId="77777777" w:rsidR="00736F61" w:rsidRDefault="00736F61" w:rsidP="00736F61">
                              <w:pPr>
                                <w:spacing w:after="0"/>
                                <w:rPr>
                                  <w:b/>
                                  <w:color w:val="000000" w:themeColor="dark1"/>
                                  <w:kern w:val="24"/>
                                </w:rPr>
                              </w:pPr>
                              <w:r>
                                <w:rPr>
                                  <w:b/>
                                  <w:color w:val="000000" w:themeColor="dark1"/>
                                  <w:kern w:val="24"/>
                                </w:rPr>
                                <w:t>Phase II – Meso-Level Corporate Analysis</w:t>
                              </w:r>
                            </w:p>
                            <w:p w14:paraId="778514A0" w14:textId="77777777" w:rsidR="00736F61" w:rsidRDefault="00736F61" w:rsidP="00736F61">
                              <w:pPr>
                                <w:spacing w:after="0"/>
                                <w:rPr>
                                  <w:color w:val="000000" w:themeColor="dark1"/>
                                  <w:kern w:val="24"/>
                                </w:rPr>
                              </w:pPr>
                              <w:r>
                                <w:rPr>
                                  <w:color w:val="000000" w:themeColor="dark1"/>
                                  <w:kern w:val="24"/>
                                </w:rPr>
                                <w:t>│</w:t>
                              </w:r>
                            </w:p>
                            <w:p w14:paraId="47752DC5" w14:textId="77777777" w:rsidR="00736F61" w:rsidRDefault="00736F61" w:rsidP="00736F61">
                              <w:pPr>
                                <w:spacing w:after="0"/>
                                <w:rPr>
                                  <w:color w:val="000000" w:themeColor="dark1"/>
                                  <w:kern w:val="24"/>
                                </w:rPr>
                              </w:pPr>
                              <w:r>
                                <w:rPr>
                                  <w:color w:val="000000" w:themeColor="dark1"/>
                                  <w:kern w:val="24"/>
                                </w:rPr>
                                <w:t>├── Quantitative Strand: G-500 dataset (SGIs, ACMS index)</w:t>
                              </w:r>
                            </w:p>
                            <w:p w14:paraId="7569AAEA" w14:textId="77777777" w:rsidR="00736F61" w:rsidRDefault="00736F61" w:rsidP="00736F61">
                              <w:pPr>
                                <w:spacing w:after="0"/>
                                <w:rPr>
                                  <w:color w:val="000000" w:themeColor="dark1"/>
                                  <w:kern w:val="24"/>
                                </w:rPr>
                              </w:pPr>
                              <w:r>
                                <w:rPr>
                                  <w:color w:val="000000" w:themeColor="dark1"/>
                                  <w:kern w:val="24"/>
                                </w:rPr>
                                <w:t>├── Qualitative Strand: Disclosure analysis (Nike, Dior, Inditex)</w:t>
                              </w:r>
                            </w:p>
                            <w:p w14:paraId="71CED6BB" w14:textId="77777777" w:rsidR="00736F61" w:rsidRDefault="00736F61" w:rsidP="00736F61">
                              <w:pPr>
                                <w:spacing w:after="0"/>
                                <w:rPr>
                                  <w:color w:val="000000" w:themeColor="dark1"/>
                                  <w:kern w:val="24"/>
                                </w:rPr>
                              </w:pPr>
                              <w:r>
                                <w:rPr>
                                  <w:color w:val="000000" w:themeColor="dark1"/>
                                  <w:kern w:val="24"/>
                                </w:rPr>
                                <w:t>└── Output: Corporate sustainability practices and symbolic accountability</w:t>
                              </w:r>
                            </w:p>
                          </w:txbxContent>
                        </wps:txbx>
                        <wps:bodyPr wrap="square" rtlCol="0">
                          <a:spAutoFit/>
                        </wps:bodyPr>
                      </wps:wsp>
                      <wps:wsp>
                        <wps:cNvPr id="512734577" name="TextBox 6">
                          <a:extLst>
                            <a:ext uri="{FF2B5EF4-FFF2-40B4-BE49-F238E27FC236}">
                              <a16:creationId xmlns:a16="http://schemas.microsoft.com/office/drawing/2014/main" id="{8FC138F0-4D6F-FDD5-DFA5-4A851601F3A9}"/>
                            </a:ext>
                          </a:extLst>
                        </wps:cNvPr>
                        <wps:cNvSpPr txBox="1"/>
                        <wps:spPr>
                          <a:xfrm>
                            <a:off x="240892" y="2937880"/>
                            <a:ext cx="5442585" cy="922655"/>
                          </a:xfrm>
                          <a:prstGeom prst="rect">
                            <a:avLst/>
                          </a:prstGeom>
                        </wps:spPr>
                        <wps:style>
                          <a:lnRef idx="2">
                            <a:schemeClr val="dk1"/>
                          </a:lnRef>
                          <a:fillRef idx="1">
                            <a:schemeClr val="lt1"/>
                          </a:fillRef>
                          <a:effectRef idx="0">
                            <a:schemeClr val="dk1"/>
                          </a:effectRef>
                          <a:fontRef idx="minor">
                            <a:schemeClr val="dk1"/>
                          </a:fontRef>
                        </wps:style>
                        <wps:txbx>
                          <w:txbxContent>
                            <w:p w14:paraId="456470F3" w14:textId="77777777" w:rsidR="00736F61" w:rsidRDefault="00736F61" w:rsidP="00736F61">
                              <w:pPr>
                                <w:spacing w:after="0"/>
                                <w:rPr>
                                  <w:b/>
                                  <w:color w:val="000000" w:themeColor="dark1"/>
                                  <w:kern w:val="24"/>
                                </w:rPr>
                              </w:pPr>
                              <w:r>
                                <w:rPr>
                                  <w:b/>
                                  <w:color w:val="000000" w:themeColor="dark1"/>
                                  <w:kern w:val="24"/>
                                </w:rPr>
                                <w:t>Phase III – Micro-Level Qualitative Analysis</w:t>
                              </w:r>
                            </w:p>
                            <w:p w14:paraId="394DF8D6" w14:textId="77777777" w:rsidR="00736F61" w:rsidRDefault="00736F61" w:rsidP="00736F61">
                              <w:pPr>
                                <w:spacing w:after="0"/>
                                <w:rPr>
                                  <w:color w:val="000000" w:themeColor="dark1"/>
                                  <w:kern w:val="24"/>
                                </w:rPr>
                              </w:pPr>
                              <w:r>
                                <w:rPr>
                                  <w:color w:val="000000" w:themeColor="dark1"/>
                                  <w:kern w:val="24"/>
                                </w:rPr>
                                <w:t>├── Data: 52 Interviews (Sri Lanka A&amp;TI)</w:t>
                              </w:r>
                            </w:p>
                            <w:p w14:paraId="7F500C6B" w14:textId="77777777" w:rsidR="00736F61" w:rsidRDefault="00736F61" w:rsidP="00736F61">
                              <w:pPr>
                                <w:spacing w:after="0"/>
                                <w:rPr>
                                  <w:color w:val="000000" w:themeColor="dark1"/>
                                  <w:kern w:val="24"/>
                                </w:rPr>
                              </w:pPr>
                              <w:r>
                                <w:rPr>
                                  <w:color w:val="000000" w:themeColor="dark1"/>
                                  <w:kern w:val="24"/>
                                </w:rPr>
                                <w:t>├── Analysis: Thematic coding (NVivo, NIT framework)</w:t>
                              </w:r>
                            </w:p>
                            <w:p w14:paraId="3CF96D8A" w14:textId="77777777" w:rsidR="00736F61" w:rsidRDefault="00736F61" w:rsidP="00736F61">
                              <w:pPr>
                                <w:spacing w:after="0"/>
                                <w:rPr>
                                  <w:color w:val="000000" w:themeColor="dark1"/>
                                  <w:kern w:val="24"/>
                                </w:rPr>
                              </w:pPr>
                              <w:r>
                                <w:rPr>
                                  <w:color w:val="000000" w:themeColor="dark1"/>
                                  <w:kern w:val="24"/>
                                </w:rPr>
                                <w:t>└── Output: Worker experiences, decoupling, and grassroots accountability</w:t>
                              </w:r>
                            </w:p>
                          </w:txbxContent>
                        </wps:txbx>
                        <wps:bodyPr wrap="square" rtlCol="0">
                          <a:spAutoFit/>
                        </wps:bodyPr>
                      </wps:wsp>
                      <wps:wsp>
                        <wps:cNvPr id="144967215" name="TextBox 8">
                          <a:extLst>
                            <a:ext uri="{FF2B5EF4-FFF2-40B4-BE49-F238E27FC236}">
                              <a16:creationId xmlns:a16="http://schemas.microsoft.com/office/drawing/2014/main" id="{637735E9-392E-C3A5-8901-15B41A4F443E}"/>
                            </a:ext>
                          </a:extLst>
                        </wps:cNvPr>
                        <wps:cNvSpPr txBox="1"/>
                        <wps:spPr>
                          <a:xfrm>
                            <a:off x="0" y="4253231"/>
                            <a:ext cx="6025515" cy="719455"/>
                          </a:xfrm>
                          <a:prstGeom prst="rect">
                            <a:avLst/>
                          </a:prstGeom>
                        </wps:spPr>
                        <wps:style>
                          <a:lnRef idx="2">
                            <a:schemeClr val="dk1"/>
                          </a:lnRef>
                          <a:fillRef idx="1">
                            <a:schemeClr val="lt1"/>
                          </a:fillRef>
                          <a:effectRef idx="0">
                            <a:schemeClr val="dk1"/>
                          </a:effectRef>
                          <a:fontRef idx="minor">
                            <a:schemeClr val="dk1"/>
                          </a:fontRef>
                        </wps:style>
                        <wps:txbx>
                          <w:txbxContent>
                            <w:p w14:paraId="4A85AD70" w14:textId="77777777" w:rsidR="00736F61" w:rsidRDefault="00736F61" w:rsidP="00736F61">
                              <w:pPr>
                                <w:rPr>
                                  <w:b/>
                                  <w:color w:val="000000" w:themeColor="dark1"/>
                                  <w:kern w:val="24"/>
                                </w:rPr>
                              </w:pPr>
                              <w:r>
                                <w:rPr>
                                  <w:b/>
                                  <w:color w:val="000000" w:themeColor="dark1"/>
                                  <w:kern w:val="24"/>
                                </w:rPr>
                                <w:t>Integration and Meta-Inference</w:t>
                              </w:r>
                            </w:p>
                            <w:p w14:paraId="055B73E3" w14:textId="77777777" w:rsidR="00736F61" w:rsidRDefault="00736F61" w:rsidP="00736F61">
                              <w:pPr>
                                <w:rPr>
                                  <w:color w:val="000000" w:themeColor="dark1"/>
                                  <w:kern w:val="24"/>
                                </w:rPr>
                              </w:pPr>
                              <w:r>
                                <w:rPr>
                                  <w:color w:val="000000" w:themeColor="dark1"/>
                                  <w:kern w:val="24"/>
                                </w:rPr>
                                <w:t>└── Synthesised multi-level understanding of CMS as an institutional governance failure</w:t>
                              </w:r>
                            </w:p>
                          </w:txbxContent>
                        </wps:txbx>
                        <wps:bodyPr wrap="square" rtlCol="0">
                          <a:spAutoFit/>
                        </wps:bodyPr>
                      </wps:wsp>
                      <wps:wsp>
                        <wps:cNvPr id="1843880607" name="Straight Arrow Connector 1843880607">
                          <a:extLst>
                            <a:ext uri="{FF2B5EF4-FFF2-40B4-BE49-F238E27FC236}">
                              <a16:creationId xmlns:a16="http://schemas.microsoft.com/office/drawing/2014/main" id="{6083A573-2665-13DE-0579-FC18DFAB74F0}"/>
                            </a:ext>
                          </a:extLst>
                        </wps:cNvPr>
                        <wps:cNvCnPr>
                          <a:cxnSpLocks/>
                          <a:stCxn id="1119739817" idx="2"/>
                        </wps:cNvCnPr>
                        <wps:spPr>
                          <a:xfrm>
                            <a:off x="3012585" y="1092267"/>
                            <a:ext cx="363" cy="30561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883079761" name="Straight Arrow Connector 883079761">
                          <a:extLst>
                            <a:ext uri="{FF2B5EF4-FFF2-40B4-BE49-F238E27FC236}">
                              <a16:creationId xmlns:a16="http://schemas.microsoft.com/office/drawing/2014/main" id="{BD572736-8B48-BE77-5C22-3A40127FDA64}"/>
                            </a:ext>
                          </a:extLst>
                        </wps:cNvPr>
                        <wps:cNvCnPr>
                          <a:cxnSpLocks/>
                        </wps:cNvCnPr>
                        <wps:spPr>
                          <a:xfrm>
                            <a:off x="3012948" y="2554272"/>
                            <a:ext cx="0" cy="38364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532434128" name="Straight Arrow Connector 1532434128">
                          <a:extLst>
                            <a:ext uri="{FF2B5EF4-FFF2-40B4-BE49-F238E27FC236}">
                              <a16:creationId xmlns:a16="http://schemas.microsoft.com/office/drawing/2014/main" id="{10ED1AF5-F299-B8B0-D38D-C2D6FC1FD303}"/>
                            </a:ext>
                          </a:extLst>
                        </wps:cNvPr>
                        <wps:cNvCnPr/>
                        <wps:spPr>
                          <a:xfrm>
                            <a:off x="3012947" y="3844396"/>
                            <a:ext cx="0" cy="41743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891694033" name="TextBox 22">
                          <a:extLst>
                            <a:ext uri="{FF2B5EF4-FFF2-40B4-BE49-F238E27FC236}">
                              <a16:creationId xmlns:a16="http://schemas.microsoft.com/office/drawing/2014/main" id="{1421BCC6-84FE-7641-3072-466F28498D72}"/>
                            </a:ext>
                          </a:extLst>
                        </wps:cNvPr>
                        <wps:cNvSpPr txBox="1"/>
                        <wps:spPr>
                          <a:xfrm>
                            <a:off x="3169304" y="1092409"/>
                            <a:ext cx="836930" cy="396240"/>
                          </a:xfrm>
                          <a:prstGeom prst="rect">
                            <a:avLst/>
                          </a:prstGeom>
                          <a:noFill/>
                        </wps:spPr>
                        <wps:txbx>
                          <w:txbxContent>
                            <w:p w14:paraId="71860405" w14:textId="77777777" w:rsidR="00736F61" w:rsidRDefault="00736F61" w:rsidP="00736F61">
                              <w:pPr>
                                <w:rPr>
                                  <w:color w:val="000000" w:themeColor="text1"/>
                                  <w:kern w:val="24"/>
                                </w:rPr>
                              </w:pPr>
                              <w:r>
                                <w:rPr>
                                  <w:color w:val="000000" w:themeColor="text1"/>
                                  <w:kern w:val="24"/>
                                </w:rPr>
                                <w:t>informs</w:t>
                              </w:r>
                            </w:p>
                          </w:txbxContent>
                        </wps:txbx>
                        <wps:bodyPr wrap="square">
                          <a:spAutoFit/>
                        </wps:bodyPr>
                      </wps:wsp>
                      <wps:wsp>
                        <wps:cNvPr id="360394230" name="TextBox 23">
                          <a:extLst>
                            <a:ext uri="{FF2B5EF4-FFF2-40B4-BE49-F238E27FC236}">
                              <a16:creationId xmlns:a16="http://schemas.microsoft.com/office/drawing/2014/main" id="{E3BA5A8E-F5D4-7519-259E-1798503256DB}"/>
                            </a:ext>
                          </a:extLst>
                        </wps:cNvPr>
                        <wps:cNvSpPr txBox="1"/>
                        <wps:spPr>
                          <a:xfrm>
                            <a:off x="3109539" y="2614926"/>
                            <a:ext cx="836930" cy="253781"/>
                          </a:xfrm>
                          <a:prstGeom prst="rect">
                            <a:avLst/>
                          </a:prstGeom>
                          <a:noFill/>
                        </wps:spPr>
                        <wps:txbx>
                          <w:txbxContent>
                            <w:p w14:paraId="0701A96E" w14:textId="77777777" w:rsidR="00736F61" w:rsidRDefault="00736F61" w:rsidP="00736F61">
                              <w:pPr>
                                <w:rPr>
                                  <w:color w:val="000000" w:themeColor="text1"/>
                                  <w:kern w:val="24"/>
                                </w:rPr>
                              </w:pPr>
                              <w:r>
                                <w:rPr>
                                  <w:color w:val="000000" w:themeColor="text1"/>
                                  <w:kern w:val="24"/>
                                </w:rPr>
                                <w:t>informs</w:t>
                              </w:r>
                            </w:p>
                          </w:txbxContent>
                        </wps:txbx>
                        <wps:bodyPr wrap="square">
                          <a:noAutofit/>
                        </wps:bodyPr>
                      </wps:wsp>
                    </wpg:wgp>
                  </a:graphicData>
                </a:graphic>
                <wp14:sizeRelV relativeFrom="margin">
                  <wp14:pctHeight>0</wp14:pctHeight>
                </wp14:sizeRelV>
              </wp:anchor>
            </w:drawing>
          </mc:Choice>
          <mc:Fallback>
            <w:pict>
              <v:group w14:anchorId="246F1521" id="Group 42" o:spid="_x0000_s1062" style="position:absolute;left:0;text-align:left;margin-left:2.15pt;margin-top:19.9pt;width:474.45pt;height:391.55pt;z-index:251682816;mso-height-relative:margin" coordorigin="" coordsize="60255,497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">
                <v:shape id="TextBox 10" o:spid="_x0000_s1063" type="#_x0000_t202" style="position:absolute;left:7269;width:45713;height:109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" fillcolor="white [3201]" strokecolor="black [3200]" strokeweight="1.5pt">
                  <v:textbox>
                    <w:txbxContent>
                      <w:p w14:paraId="77CDEE04" w14:textId="77777777" w:rsidR="00736F61" w:rsidRDefault="00736F61" w:rsidP="00736F61">
                        <w:pPr>
                          <w:spacing w:after="0"/>
                          <w:rPr>
                            <w:b/>
                            <w:color w:val="000000" w:themeColor="dark1"/>
                            <w:kern w:val="24"/>
                          </w:rPr>
                        </w:pPr>
                        <w:r>
                          <w:rPr>
                            <w:b/>
                            <w:color w:val="000000" w:themeColor="dark1"/>
                            <w:kern w:val="24"/>
                          </w:rPr>
                          <w:t>Phase I – Macro-Level Quantitative Analysis</w:t>
                        </w:r>
                      </w:p>
                      <w:p w14:paraId="3230FDC0" w14:textId="77777777" w:rsidR="00736F61" w:rsidRDefault="00736F61" w:rsidP="00736F61">
                        <w:pPr>
                          <w:spacing w:after="0"/>
                          <w:rPr>
                            <w:color w:val="000000" w:themeColor="dark1"/>
                            <w:kern w:val="24"/>
                          </w:rPr>
                        </w:pPr>
                        <w:r>
                          <w:rPr>
                            <w:color w:val="000000" w:themeColor="dark1"/>
                            <w:kern w:val="24"/>
                          </w:rPr>
                          <w:t>│</w:t>
                        </w:r>
                      </w:p>
                      <w:p w14:paraId="1C83709D" w14:textId="77777777" w:rsidR="00736F61" w:rsidRDefault="00736F61" w:rsidP="00736F61">
                        <w:pPr>
                          <w:spacing w:after="0"/>
                          <w:rPr>
                            <w:color w:val="000000" w:themeColor="dark1"/>
                            <w:kern w:val="24"/>
                          </w:rPr>
                        </w:pPr>
                        <w:r>
                          <w:rPr>
                            <w:color w:val="000000" w:themeColor="dark1"/>
                            <w:kern w:val="24"/>
                          </w:rPr>
                          <w:t>├── Data: WGI, HDI, SDGI, GSI (Institutional datasets)</w:t>
                        </w:r>
                      </w:p>
                      <w:p w14:paraId="798403E9" w14:textId="77777777" w:rsidR="00736F61" w:rsidRDefault="00736F61" w:rsidP="00736F61">
                        <w:pPr>
                          <w:spacing w:after="0"/>
                          <w:rPr>
                            <w:color w:val="000000" w:themeColor="dark1"/>
                            <w:kern w:val="24"/>
                          </w:rPr>
                        </w:pPr>
                        <w:r>
                          <w:rPr>
                            <w:color w:val="000000" w:themeColor="dark1"/>
                            <w:kern w:val="24"/>
                          </w:rPr>
                          <w:t>├── Analysis: Panel regression (FE/RE, IV-2SLS)</w:t>
                        </w:r>
                      </w:p>
                      <w:p w14:paraId="5896E96B" w14:textId="77777777" w:rsidR="00736F61" w:rsidRDefault="00736F61" w:rsidP="00736F61">
                        <w:pPr>
                          <w:spacing w:after="0"/>
                          <w:rPr>
                            <w:color w:val="000000" w:themeColor="dark1"/>
                            <w:kern w:val="24"/>
                          </w:rPr>
                        </w:pPr>
                        <w:r>
                          <w:rPr>
                            <w:color w:val="000000" w:themeColor="dark1"/>
                            <w:kern w:val="24"/>
                          </w:rPr>
                          <w:t>└── Output: Global governance drivers of MS outcomes</w:t>
                        </w:r>
                      </w:p>
                    </w:txbxContent>
                  </v:textbox>
                </v:shape>
                <v:shape id="TextBox 5" o:spid="_x0000_s1064" type="#_x0000_t202" style="position:absolute;left:2408;top:14133;width:54426;height:11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" fillcolor="white [3201]" strokecolor="black [3200]" strokeweight="1.5pt">
                  <v:textbox style="mso-fit-shape-to-text:t">
                    <w:txbxContent>
                      <w:p w14:paraId="11013CC5" w14:textId="77777777" w:rsidR="00736F61" w:rsidRDefault="00736F61" w:rsidP="00736F61">
                        <w:pPr>
                          <w:spacing w:after="0"/>
                          <w:rPr>
                            <w:b/>
                            <w:color w:val="000000" w:themeColor="dark1"/>
                            <w:kern w:val="24"/>
                          </w:rPr>
                        </w:pPr>
                        <w:r>
                          <w:rPr>
                            <w:b/>
                            <w:color w:val="000000" w:themeColor="dark1"/>
                            <w:kern w:val="24"/>
                          </w:rPr>
                          <w:t>Phase II – Meso-Level Corporate Analysis</w:t>
                        </w:r>
                      </w:p>
                      <w:p w14:paraId="778514A0" w14:textId="77777777" w:rsidR="00736F61" w:rsidRDefault="00736F61" w:rsidP="00736F61">
                        <w:pPr>
                          <w:spacing w:after="0"/>
                          <w:rPr>
                            <w:color w:val="000000" w:themeColor="dark1"/>
                            <w:kern w:val="24"/>
                          </w:rPr>
                        </w:pPr>
                        <w:r>
                          <w:rPr>
                            <w:color w:val="000000" w:themeColor="dark1"/>
                            <w:kern w:val="24"/>
                          </w:rPr>
                          <w:t>│</w:t>
                        </w:r>
                      </w:p>
                      <w:p w14:paraId="47752DC5" w14:textId="77777777" w:rsidR="00736F61" w:rsidRDefault="00736F61" w:rsidP="00736F61">
                        <w:pPr>
                          <w:spacing w:after="0"/>
                          <w:rPr>
                            <w:color w:val="000000" w:themeColor="dark1"/>
                            <w:kern w:val="24"/>
                          </w:rPr>
                        </w:pPr>
                        <w:r>
                          <w:rPr>
                            <w:color w:val="000000" w:themeColor="dark1"/>
                            <w:kern w:val="24"/>
                          </w:rPr>
                          <w:t>├── Quantitative Strand: G-500 dataset (SGIs, ACMS index)</w:t>
                        </w:r>
                      </w:p>
                      <w:p w14:paraId="7569AAEA" w14:textId="77777777" w:rsidR="00736F61" w:rsidRDefault="00736F61" w:rsidP="00736F61">
                        <w:pPr>
                          <w:spacing w:after="0"/>
                          <w:rPr>
                            <w:color w:val="000000" w:themeColor="dark1"/>
                            <w:kern w:val="24"/>
                          </w:rPr>
                        </w:pPr>
                        <w:r>
                          <w:rPr>
                            <w:color w:val="000000" w:themeColor="dark1"/>
                            <w:kern w:val="24"/>
                          </w:rPr>
                          <w:t>├── Qualitative Strand: Disclosure analysis (Nike, Dior, Inditex)</w:t>
                        </w:r>
                      </w:p>
                      <w:p w14:paraId="71CED6BB" w14:textId="77777777" w:rsidR="00736F61" w:rsidRDefault="00736F61" w:rsidP="00736F61">
                        <w:pPr>
                          <w:spacing w:after="0"/>
                          <w:rPr>
                            <w:color w:val="000000" w:themeColor="dark1"/>
                            <w:kern w:val="24"/>
                          </w:rPr>
                        </w:pPr>
                        <w:r>
                          <w:rPr>
                            <w:color w:val="000000" w:themeColor="dark1"/>
                            <w:kern w:val="24"/>
                          </w:rPr>
                          <w:t>└── Output: Corporate sustainability practices and symbolic accountability</w:t>
                        </w:r>
                      </w:p>
                    </w:txbxContent>
                  </v:textbox>
                </v:shape>
                <v:shape id="TextBox 6" o:spid="_x0000_s1065" type="#_x0000_t202" style="position:absolute;left:2408;top:29378;width:54426;height:9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" fillcolor="white [3201]" strokecolor="black [3200]" strokeweight="1.5pt">
                  <v:textbox style="mso-fit-shape-to-text:t">
                    <w:txbxContent>
                      <w:p w14:paraId="456470F3" w14:textId="77777777" w:rsidR="00736F61" w:rsidRDefault="00736F61" w:rsidP="00736F61">
                        <w:pPr>
                          <w:spacing w:after="0"/>
                          <w:rPr>
                            <w:b/>
                            <w:color w:val="000000" w:themeColor="dark1"/>
                            <w:kern w:val="24"/>
                          </w:rPr>
                        </w:pPr>
                        <w:r>
                          <w:rPr>
                            <w:b/>
                            <w:color w:val="000000" w:themeColor="dark1"/>
                            <w:kern w:val="24"/>
                          </w:rPr>
                          <w:t>Phase III – Micro-Level Qualitative Analysis</w:t>
                        </w:r>
                      </w:p>
                      <w:p w14:paraId="394DF8D6" w14:textId="77777777" w:rsidR="00736F61" w:rsidRDefault="00736F61" w:rsidP="00736F61">
                        <w:pPr>
                          <w:spacing w:after="0"/>
                          <w:rPr>
                            <w:color w:val="000000" w:themeColor="dark1"/>
                            <w:kern w:val="24"/>
                          </w:rPr>
                        </w:pPr>
                        <w:r>
                          <w:rPr>
                            <w:color w:val="000000" w:themeColor="dark1"/>
                            <w:kern w:val="24"/>
                          </w:rPr>
                          <w:t>├── Data: 52 Interviews (Sri Lanka A&amp;TI)</w:t>
                        </w:r>
                      </w:p>
                      <w:p w14:paraId="7F500C6B" w14:textId="77777777" w:rsidR="00736F61" w:rsidRDefault="00736F61" w:rsidP="00736F61">
                        <w:pPr>
                          <w:spacing w:after="0"/>
                          <w:rPr>
                            <w:color w:val="000000" w:themeColor="dark1"/>
                            <w:kern w:val="24"/>
                          </w:rPr>
                        </w:pPr>
                        <w:r>
                          <w:rPr>
                            <w:color w:val="000000" w:themeColor="dark1"/>
                            <w:kern w:val="24"/>
                          </w:rPr>
                          <w:t>├── Analysis: Thematic coding (NVivo, NIT framework)</w:t>
                        </w:r>
                      </w:p>
                      <w:p w14:paraId="3CF96D8A" w14:textId="77777777" w:rsidR="00736F61" w:rsidRDefault="00736F61" w:rsidP="00736F61">
                        <w:pPr>
                          <w:spacing w:after="0"/>
                          <w:rPr>
                            <w:color w:val="000000" w:themeColor="dark1"/>
                            <w:kern w:val="24"/>
                          </w:rPr>
                        </w:pPr>
                        <w:r>
                          <w:rPr>
                            <w:color w:val="000000" w:themeColor="dark1"/>
                            <w:kern w:val="24"/>
                          </w:rPr>
                          <w:t>└── Output: Worker experiences, decoupling, and grassroots accountability</w:t>
                        </w:r>
                      </w:p>
                    </w:txbxContent>
                  </v:textbox>
                </v:shape>
                <v:shape id="TextBox 8" o:spid="_x0000_s1066" type="#_x0000_t202" style="position:absolute;top:42532;width:60255;height:7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" fillcolor="white [3201]" strokecolor="black [3200]" strokeweight="1.5pt">
                  <v:textbox style="mso-fit-shape-to-text:t">
                    <w:txbxContent>
                      <w:p w14:paraId="4A85AD70" w14:textId="77777777" w:rsidR="00736F61" w:rsidRDefault="00736F61" w:rsidP="00736F61">
                        <w:pPr>
                          <w:rPr>
                            <w:b/>
                            <w:color w:val="000000" w:themeColor="dark1"/>
                            <w:kern w:val="24"/>
                          </w:rPr>
                        </w:pPr>
                        <w:r>
                          <w:rPr>
                            <w:b/>
                            <w:color w:val="000000" w:themeColor="dark1"/>
                            <w:kern w:val="24"/>
                          </w:rPr>
                          <w:t>Integration and Meta-Inference</w:t>
                        </w:r>
                      </w:p>
                      <w:p w14:paraId="055B73E3" w14:textId="77777777" w:rsidR="00736F61" w:rsidRDefault="00736F61" w:rsidP="00736F61">
                        <w:pPr>
                          <w:rPr>
                            <w:color w:val="000000" w:themeColor="dark1"/>
                            <w:kern w:val="24"/>
                          </w:rPr>
                        </w:pPr>
                        <w:r>
                          <w:rPr>
                            <w:color w:val="000000" w:themeColor="dark1"/>
                            <w:kern w:val="24"/>
                          </w:rPr>
                          <w:t>└── Synthesised multi-level understanding of CMS as an institutional governance failure</w:t>
                        </w:r>
                      </w:p>
                    </w:txbxContent>
                  </v:textbox>
                </v:shape>
                <v:shape id="Straight Arrow Connector 1843880607" o:spid="_x0000_s1067" type="#_x0000_t32" style="position:absolute;left:30125;top:10922;width:4;height:30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" strokecolor="black [3200]" strokeweight="1.5pt">
                  <v:stroke endarrow="block" joinstyle="miter"/>
                  <o:lock v:ext="edit" shapetype="f"/>
                </v:shape>
                <v:shape id="Straight Arrow Connector 883079761" o:spid="_x0000_s1068" type="#_x0000_t32" style="position:absolute;left:30129;top:25542;width:0;height:38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" strokecolor="black [3200]" strokeweight="1.5pt">
                  <v:stroke endarrow="block" joinstyle="miter"/>
                  <o:lock v:ext="edit" shapetype="f"/>
                </v:shape>
                <v:shape id="Straight Arrow Connector 1532434128" o:spid="_x0000_s1069" type="#_x0000_t32" style="position:absolute;left:30129;top:38443;width:0;height:41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" strokecolor="black [3200]" strokeweight="1.5pt">
                  <v:stroke endarrow="block" joinstyle="miter"/>
                </v:shape>
                <v:shape id="TextBox 22" o:spid="_x0000_s1070" type="#_x0000_t202" style="position:absolute;left:31693;top:10924;width:8369;height:39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" filled="f" stroked="f">
                  <v:textbox style="mso-fit-shape-to-text:t">
                    <w:txbxContent>
                      <w:p w14:paraId="71860405" w14:textId="77777777" w:rsidR="00736F61" w:rsidRDefault="00736F61" w:rsidP="00736F61">
                        <w:pPr>
                          <w:rPr>
                            <w:color w:val="000000" w:themeColor="text1"/>
                            <w:kern w:val="24"/>
                          </w:rPr>
                        </w:pPr>
                        <w:r>
                          <w:rPr>
                            <w:color w:val="000000" w:themeColor="text1"/>
                            <w:kern w:val="24"/>
                          </w:rPr>
                          <w:t>informs</w:t>
                        </w:r>
                      </w:p>
                    </w:txbxContent>
                  </v:textbox>
                </v:shape>
                <v:shape id="TextBox 23" o:spid="_x0000_s1071" type="#_x0000_t202" style="position:absolute;left:31095;top:26149;width:8369;height:25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" filled="f" stroked="f">
                  <v:textbox>
                    <w:txbxContent>
                      <w:p w14:paraId="0701A96E" w14:textId="77777777" w:rsidR="00736F61" w:rsidRDefault="00736F61" w:rsidP="00736F61">
                        <w:pPr>
                          <w:rPr>
                            <w:color w:val="000000" w:themeColor="text1"/>
                            <w:kern w:val="24"/>
                          </w:rPr>
                        </w:pPr>
                        <w:r>
                          <w:rPr>
                            <w:color w:val="000000" w:themeColor="text1"/>
                            <w:kern w:val="24"/>
                          </w:rPr>
                          <w:t>informs</w:t>
                        </w:r>
                      </w:p>
                    </w:txbxContent>
                  </v:textbox>
                </v:shape>
              </v:group>
            </w:pict>
          </mc:Fallback>
        </mc:AlternateContent>
      </w:r>
    </w:p>
    <w:p w14:paraId="19583664" w14:textId="77777777" w:rsidR="00736F61" w:rsidRPr="00CC1FC3" w:rsidRDefault="00736F61" w:rsidP="00736F61">
      <w:pPr>
        <w:spacing w:after="0" w:line="480" w:lineRule="auto"/>
        <w:jc w:val="both"/>
      </w:pPr>
    </w:p>
    <w:p w14:paraId="682B4928" w14:textId="77777777" w:rsidR="00736F61" w:rsidRPr="00CC1FC3" w:rsidRDefault="00736F61" w:rsidP="00736F61">
      <w:pPr>
        <w:spacing w:after="0" w:line="480" w:lineRule="auto"/>
        <w:jc w:val="both"/>
      </w:pPr>
    </w:p>
    <w:p w14:paraId="5FA27186" w14:textId="77777777" w:rsidR="00736F61" w:rsidRPr="00CC1FC3" w:rsidRDefault="00736F61" w:rsidP="00736F61">
      <w:pPr>
        <w:spacing w:after="0" w:line="480" w:lineRule="auto"/>
        <w:jc w:val="both"/>
      </w:pPr>
    </w:p>
    <w:p w14:paraId="75EA1464" w14:textId="77777777" w:rsidR="00736F61" w:rsidRPr="00CC1FC3" w:rsidRDefault="00736F61" w:rsidP="00736F61">
      <w:pPr>
        <w:spacing w:after="0" w:line="480" w:lineRule="auto"/>
        <w:jc w:val="both"/>
      </w:pPr>
    </w:p>
    <w:p w14:paraId="301D440E" w14:textId="77777777" w:rsidR="00736F61" w:rsidRPr="00CC1FC3" w:rsidRDefault="00736F61" w:rsidP="00736F61">
      <w:pPr>
        <w:spacing w:after="0" w:line="480" w:lineRule="auto"/>
        <w:jc w:val="both"/>
      </w:pPr>
    </w:p>
    <w:p w14:paraId="6DC88D26" w14:textId="77777777" w:rsidR="00736F61" w:rsidRPr="00CC1FC3" w:rsidRDefault="00736F61" w:rsidP="00736F61">
      <w:pPr>
        <w:spacing w:after="0" w:line="480" w:lineRule="auto"/>
        <w:jc w:val="both"/>
      </w:pPr>
    </w:p>
    <w:p w14:paraId="41DBD042" w14:textId="77777777" w:rsidR="00736F61" w:rsidRPr="00CC1FC3" w:rsidRDefault="00736F61" w:rsidP="00736F61">
      <w:pPr>
        <w:spacing w:after="0" w:line="480" w:lineRule="auto"/>
        <w:jc w:val="both"/>
      </w:pPr>
    </w:p>
    <w:p w14:paraId="28D14BB8" w14:textId="77777777" w:rsidR="00736F61" w:rsidRPr="00CC1FC3" w:rsidRDefault="00736F61" w:rsidP="00736F61">
      <w:pPr>
        <w:spacing w:after="0" w:line="480" w:lineRule="auto"/>
        <w:jc w:val="both"/>
      </w:pPr>
    </w:p>
    <w:p w14:paraId="0052A039" w14:textId="77777777" w:rsidR="00736F61" w:rsidRPr="00CC1FC3" w:rsidRDefault="00736F61" w:rsidP="00736F61">
      <w:pPr>
        <w:spacing w:after="0" w:line="480" w:lineRule="auto"/>
        <w:jc w:val="both"/>
      </w:pPr>
    </w:p>
    <w:p w14:paraId="7CD95E08" w14:textId="77777777" w:rsidR="00736F61" w:rsidRPr="00CC1FC3" w:rsidRDefault="00736F61" w:rsidP="00736F61">
      <w:pPr>
        <w:spacing w:after="0" w:line="480" w:lineRule="auto"/>
        <w:jc w:val="both"/>
      </w:pPr>
    </w:p>
    <w:p w14:paraId="39F94302" w14:textId="77777777" w:rsidR="00736F61" w:rsidRPr="00CC1FC3" w:rsidRDefault="00736F61" w:rsidP="00736F61">
      <w:pPr>
        <w:spacing w:after="0" w:line="480" w:lineRule="auto"/>
        <w:jc w:val="both"/>
      </w:pPr>
    </w:p>
    <w:p w14:paraId="2A8C6D62" w14:textId="77777777" w:rsidR="00736F61" w:rsidRDefault="00736F61" w:rsidP="00736F61">
      <w:pPr>
        <w:spacing w:after="0" w:line="480" w:lineRule="auto"/>
        <w:jc w:val="both"/>
      </w:pPr>
    </w:p>
    <w:p w14:paraId="684D1148" w14:textId="77777777" w:rsidR="00736F61" w:rsidRDefault="00736F61" w:rsidP="00736F61">
      <w:pPr>
        <w:spacing w:after="0" w:line="480" w:lineRule="auto"/>
        <w:jc w:val="both"/>
      </w:pPr>
    </w:p>
    <w:p w14:paraId="6F9CD856" w14:textId="77777777" w:rsidR="00736F61" w:rsidRDefault="00736F61" w:rsidP="00736F61">
      <w:pPr>
        <w:spacing w:after="0" w:line="480" w:lineRule="auto"/>
        <w:jc w:val="both"/>
      </w:pPr>
    </w:p>
    <w:p w14:paraId="6F244BA2" w14:textId="77777777" w:rsidR="00736F61" w:rsidRPr="00CC1FC3" w:rsidRDefault="00736F61" w:rsidP="00736F61">
      <w:pPr>
        <w:jc w:val="center"/>
      </w:pPr>
      <w:r w:rsidRPr="00CC1FC3">
        <w:rPr>
          <w:rStyle w:val="Strong"/>
          <w:color w:val="auto"/>
        </w:rPr>
        <w:t xml:space="preserve">Figure </w:t>
      </w:r>
      <w:r>
        <w:rPr>
          <w:rStyle w:val="Strong"/>
          <w:color w:val="auto"/>
        </w:rPr>
        <w:t>5</w:t>
      </w:r>
      <w:r w:rsidRPr="00CC1FC3">
        <w:rPr>
          <w:rStyle w:val="Strong"/>
          <w:color w:val="auto"/>
        </w:rPr>
        <w:t>.</w:t>
      </w:r>
      <w:r>
        <w:rPr>
          <w:rStyle w:val="Strong"/>
          <w:color w:val="auto"/>
        </w:rPr>
        <w:t>5</w:t>
      </w:r>
      <w:r w:rsidRPr="00CC1FC3">
        <w:rPr>
          <w:rStyle w:val="Strong"/>
          <w:color w:val="auto"/>
        </w:rPr>
        <w:t xml:space="preserve">: </w:t>
      </w:r>
      <w:r w:rsidRPr="00CC1FC3">
        <w:rPr>
          <w:rStyle w:val="Strong"/>
          <w:b w:val="0"/>
          <w:bCs w:val="0"/>
          <w:color w:val="auto"/>
        </w:rPr>
        <w:t xml:space="preserve">Three-Phase </w:t>
      </w:r>
      <w:r w:rsidRPr="00CC1FC3">
        <w:rPr>
          <w:rFonts w:eastAsia="Palatino Linotype"/>
        </w:rPr>
        <w:t xml:space="preserve">Explanatory sequential design </w:t>
      </w:r>
    </w:p>
    <w:p w14:paraId="5E76715F" w14:textId="77777777" w:rsidR="00736F61" w:rsidRDefault="00736F61" w:rsidP="00736F61">
      <w:pPr>
        <w:pStyle w:val="Heading4"/>
      </w:pPr>
      <w:bookmarkStart w:id="44" w:name="_Toc215651865"/>
      <w:bookmarkStart w:id="45" w:name="_Toc220848365"/>
      <w:bookmarkStart w:id="46" w:name="_Toc159763554"/>
      <w:bookmarkStart w:id="47" w:name="_Toc215651863"/>
      <w:bookmarkStart w:id="48" w:name="_Toc220848363"/>
      <w:r w:rsidRPr="00CC1FC3">
        <w:t>5.3.5.1 Quantitative Approach</w:t>
      </w:r>
      <w:bookmarkEnd w:id="44"/>
      <w:bookmarkEnd w:id="45"/>
    </w:p>
    <w:p w14:paraId="00E83C88" w14:textId="77777777" w:rsidR="00736F61" w:rsidRPr="00CC1FC3" w:rsidRDefault="00736F61" w:rsidP="00736F61">
      <w:pPr>
        <w:spacing w:after="0" w:line="480" w:lineRule="auto"/>
        <w:jc w:val="both"/>
        <w:rPr>
          <w:color w:val="auto"/>
        </w:rPr>
      </w:pPr>
      <w:r w:rsidRPr="00CC1FC3">
        <w:rPr>
          <w:color w:val="auto"/>
        </w:rPr>
        <w:t>The quantitative component of this research comprises two interconnected phases—the macro-level</w:t>
      </w:r>
      <w:r>
        <w:rPr>
          <w:color w:val="auto"/>
        </w:rPr>
        <w:t xml:space="preserve"> </w:t>
      </w:r>
      <w:r w:rsidRPr="00CC1FC3">
        <w:rPr>
          <w:color w:val="auto"/>
        </w:rPr>
        <w:t xml:space="preserve">and the meso-level to investigate how institutional, governance, and sustainability factors influence the </w:t>
      </w:r>
      <w:r>
        <w:rPr>
          <w:color w:val="auto"/>
        </w:rPr>
        <w:t>PREV, VULN</w:t>
      </w:r>
      <w:r w:rsidRPr="00CC1FC3">
        <w:rPr>
          <w:color w:val="auto"/>
        </w:rPr>
        <w:t xml:space="preserve"> and </w:t>
      </w:r>
      <w:r>
        <w:rPr>
          <w:color w:val="auto"/>
        </w:rPr>
        <w:t>government response to MSRM</w:t>
      </w:r>
      <w:r w:rsidRPr="00CC1FC3">
        <w:rPr>
          <w:color w:val="auto"/>
        </w:rPr>
        <w:t>. Both phases rely on secondary data from established, publicly accessible, and verifiable global databases to ensure analytical rigour, replicability, and cross-national comparability.</w:t>
      </w:r>
    </w:p>
    <w:p w14:paraId="6866D9E9" w14:textId="77777777" w:rsidR="00736F61" w:rsidRPr="00CC1FC3" w:rsidRDefault="00736F61" w:rsidP="00736F61">
      <w:pPr>
        <w:spacing w:after="0" w:line="480" w:lineRule="auto"/>
        <w:ind w:firstLine="720"/>
        <w:jc w:val="both"/>
        <w:rPr>
          <w:color w:val="auto"/>
        </w:rPr>
      </w:pPr>
      <w:r w:rsidRPr="00CC1FC3">
        <w:rPr>
          <w:color w:val="auto"/>
        </w:rPr>
        <w:t xml:space="preserve">The quantitative strand did not employ primary survey instruments but instead utilised a structured secondary data extraction approach, consistent with best practices in institutional and corporate governance research </w:t>
      </w:r>
      <w:sdt>
        <w:sdtPr>
          <w:tag w:val="MENDELEY_CITATION_v3_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
          <w:id w:val="48035317"/>
          <w:placeholder>
            <w:docPart w:val="0EF52017AF0B4D21842A31CABCAE471B"/>
          </w:placeholder>
        </w:sdtPr>
        <w:sdtEndPr/>
        <w:sdtContent>
          <w:r w:rsidRPr="00A73C12">
            <w:rPr>
              <w:rFonts w:eastAsia="Times New Roman"/>
            </w:rPr>
            <w:t xml:space="preserve">(Albitar </w:t>
          </w:r>
          <w:r w:rsidRPr="00A73C12">
            <w:rPr>
              <w:rFonts w:eastAsia="Times New Roman"/>
              <w:i/>
              <w:iCs/>
            </w:rPr>
            <w:t>et al.</w:t>
          </w:r>
          <w:r w:rsidRPr="00A73C12">
            <w:rPr>
              <w:rFonts w:eastAsia="Times New Roman"/>
            </w:rPr>
            <w:t xml:space="preserve">, 2025; Cheng </w:t>
          </w:r>
          <w:r w:rsidRPr="00A73C12">
            <w:rPr>
              <w:rFonts w:eastAsia="Times New Roman"/>
              <w:i/>
              <w:iCs/>
            </w:rPr>
            <w:t>et al.</w:t>
          </w:r>
          <w:r w:rsidRPr="00A73C12">
            <w:rPr>
              <w:rFonts w:eastAsia="Times New Roman"/>
            </w:rPr>
            <w:t xml:space="preserve">, 2014; Ullah </w:t>
          </w:r>
          <w:r w:rsidRPr="00A73C12">
            <w:rPr>
              <w:rFonts w:eastAsia="Times New Roman"/>
              <w:i/>
              <w:iCs/>
            </w:rPr>
            <w:t>et al.</w:t>
          </w:r>
          <w:r w:rsidRPr="00A73C12">
            <w:rPr>
              <w:rFonts w:eastAsia="Times New Roman"/>
            </w:rPr>
            <w:t>, 2021)</w:t>
          </w:r>
        </w:sdtContent>
      </w:sdt>
      <w:r w:rsidRPr="00CC1FC3">
        <w:rPr>
          <w:color w:val="auto"/>
        </w:rPr>
        <w:t xml:space="preserve">. Data were collected through a combination of global institutional datasets and Refinitiv Eikon </w:t>
      </w:r>
      <w:r w:rsidRPr="00CC1FC3">
        <w:rPr>
          <w:color w:val="auto"/>
        </w:rPr>
        <w:lastRenderedPageBreak/>
        <w:t>databases. A purposive sampling strategy was applied at both levels, guided by theoretical and empirical relevance rather than randomness.</w:t>
      </w:r>
    </w:p>
    <w:p w14:paraId="4CC2BBCD" w14:textId="77777777" w:rsidR="00736F61" w:rsidRPr="00CC1FC3" w:rsidRDefault="00736F61" w:rsidP="00736F61">
      <w:pPr>
        <w:spacing w:before="100" w:beforeAutospacing="1" w:after="0" w:line="480" w:lineRule="auto"/>
        <w:ind w:firstLine="720"/>
        <w:jc w:val="both"/>
      </w:pPr>
      <w:r w:rsidRPr="00CC1FC3">
        <w:t xml:space="preserve">This research adopts a </w:t>
      </w:r>
      <w:r w:rsidRPr="00CC1FC3">
        <w:rPr>
          <w:rStyle w:val="Strong"/>
          <w:rFonts w:eastAsiaTheme="majorEastAsia"/>
          <w:b w:val="0"/>
          <w:bCs w:val="0"/>
        </w:rPr>
        <w:t>quantitative, longitudinal, macro-comparative research design</w:t>
      </w:r>
      <w:r w:rsidRPr="00CC1FC3">
        <w:t xml:space="preserve"> guided by </w:t>
      </w:r>
      <w:r w:rsidRPr="00CC1FC3">
        <w:rPr>
          <w:rStyle w:val="Strong"/>
          <w:rFonts w:eastAsiaTheme="majorEastAsia"/>
          <w:b w:val="0"/>
          <w:bCs w:val="0"/>
        </w:rPr>
        <w:t>deductive reasoning</w:t>
      </w:r>
      <w:r w:rsidRPr="00CC1FC3">
        <w:t xml:space="preserve">, in which theoretical constructs derived from NIT   are operationalised and empirically assessed using panel data analysis </w:t>
      </w:r>
      <w:sdt>
        <w:sdtPr>
          <w:tag w:val="MENDELEY_CITATION_v3_eyJjaXRhdGlvbklEIjoiTUVOREVMRVlfQ0lUQVRJT05fZmY1ZDRkYzktOTE3Ny00YTA1LTk4YjctZWEwZDM4ODQzMjAz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178190765"/>
          <w:placeholder>
            <w:docPart w:val="F967EBB8666F43BDB76CB993F3497184"/>
          </w:placeholder>
        </w:sdtPr>
        <w:sdtEndPr/>
        <w:sdtContent>
          <w:r w:rsidRPr="00A73C12">
            <w:t>(DiMaggio and Powell, 1983; Scott, 2013)</w:t>
          </w:r>
        </w:sdtContent>
      </w:sdt>
      <w:r w:rsidRPr="00CC1FC3">
        <w:t xml:space="preserve">. The core rationale underpinning this approach is the need to capture structural and institutional variation across countries and over time, thereby allowing for a rigorous examination of how national-level governance and socio-economic development influence MS </w:t>
      </w:r>
      <w:r>
        <w:t>PREV</w:t>
      </w:r>
      <w:r w:rsidRPr="00CC1FC3">
        <w:t xml:space="preserve">, </w:t>
      </w:r>
      <w:r>
        <w:t>VULN</w:t>
      </w:r>
      <w:r w:rsidRPr="00CC1FC3">
        <w:t xml:space="preserve">, </w:t>
      </w:r>
      <w:r w:rsidRPr="00582C3A">
        <w:rPr>
          <w:color w:val="EE0000"/>
        </w:rPr>
        <w:t xml:space="preserve">and </w:t>
      </w:r>
      <w:r>
        <w:rPr>
          <w:color w:val="EE0000"/>
        </w:rPr>
        <w:t xml:space="preserve">government </w:t>
      </w:r>
      <w:r w:rsidRPr="00582C3A">
        <w:rPr>
          <w:color w:val="EE0000"/>
        </w:rPr>
        <w:t xml:space="preserve">responses </w:t>
      </w:r>
      <w:r>
        <w:rPr>
          <w:color w:val="EE0000"/>
        </w:rPr>
        <w:t xml:space="preserve">to </w:t>
      </w:r>
      <w:r w:rsidRPr="00582C3A">
        <w:rPr>
          <w:color w:val="EE0000"/>
        </w:rPr>
        <w:t xml:space="preserve">MSRM </w:t>
      </w:r>
      <w:sdt>
        <w:sdtPr>
          <w:tag w:val="MENDELEY_CITATION_v3_eyJjaXRhdGlvbklEIjoiTUVOREVMRVlfQ0lUQVRJT05fYTg4MzliYmMtODdmYS00MmJjLTg5NDAtMGY5ODA2ZmM0M2NlIiwicHJvcGVydGllcyI6eyJub3RlSW5kZXgiOjB9LCJpc0VkaXRlZCI6ZmFsc2UsIm1hbnVhbE92ZXJyaWRlIjp7ImlzTWFudWFsbHlPdmVycmlkZGVuIjpmYWxzZSwiY2l0ZXByb2NUZXh0IjoiKEVsYW1lciA8aT5ldCBhbC48L2k+LCAyMDIw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0YjhjNGNmOS02YjU1LTMxYTEtODhhNC02ODcxNjQ1OWU0ODMiLCJpdGVtRGF0YSI6eyJ0eXBlIjoiYXJ0aWNsZS1qb3VybmFsIiwiaWQiOiI0YjhjNGNmOS02YjU1LTMxYTEtODhhNC02ODcxNjQ1OWU0ODMiLCJ0aXRsZSI6IklzbGFtaWMgR292ZXJuYW5jZSwgTmF0aW9uYWwgR292ZXJuYW5jZSwgYW5kIEJhbmsgUmlzayBNYW5hZ2VtZW50IGFuZCBEaXNjbG9zdXJlIGluIE1FTkEgQ291bnRyaWVzIiwiYXV0aG9yIjpbeyJmYW1pbHkiOiJFbGFtZXI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"/>
          <w:id w:val="1299337708"/>
          <w:placeholder>
            <w:docPart w:val="C7840E883D8B4292AB84FCE4321E5346"/>
          </w:placeholder>
        </w:sdtPr>
        <w:sdtEndPr/>
        <w:sdtContent>
          <w:r w:rsidRPr="00A73C12">
            <w:rPr>
              <w:rFonts w:eastAsia="Times New Roman"/>
            </w:rPr>
            <w:t>(</w:t>
          </w:r>
          <w:proofErr w:type="spellStart"/>
          <w:r w:rsidRPr="00A73C12">
            <w:rPr>
              <w:rFonts w:eastAsia="Times New Roman"/>
            </w:rPr>
            <w:t>Elamer</w:t>
          </w:r>
          <w:proofErr w:type="spellEnd"/>
          <w:r w:rsidRPr="00A73C12">
            <w:rPr>
              <w:rFonts w:eastAsia="Times New Roman"/>
            </w:rPr>
            <w:t xml:space="preserve"> </w:t>
          </w:r>
          <w:r w:rsidRPr="00A73C12">
            <w:rPr>
              <w:rFonts w:eastAsia="Times New Roman"/>
              <w:i/>
              <w:iCs/>
            </w:rPr>
            <w:t>et al.</w:t>
          </w:r>
          <w:r w:rsidRPr="00A73C12">
            <w:rPr>
              <w:rFonts w:eastAsia="Times New Roman"/>
            </w:rPr>
            <w:t xml:space="preserve">, 2020; Moussa </w:t>
          </w:r>
          <w:r w:rsidRPr="00A73C12">
            <w:rPr>
              <w:rFonts w:eastAsia="Times New Roman"/>
              <w:i/>
              <w:iCs/>
            </w:rPr>
            <w:t>et al.</w:t>
          </w:r>
          <w:r w:rsidRPr="00A73C12">
            <w:rPr>
              <w:rFonts w:eastAsia="Times New Roman"/>
            </w:rPr>
            <w:t>, 2022)</w:t>
          </w:r>
        </w:sdtContent>
      </w:sdt>
      <w:r w:rsidRPr="00CC1FC3">
        <w:t xml:space="preserve">. </w:t>
      </w:r>
      <w:r w:rsidRPr="00CC1FC3">
        <w:rPr>
          <w:rFonts w:eastAsia="Times New Roman"/>
          <w:color w:val="000000" w:themeColor="text1"/>
        </w:rPr>
        <w:t>Using longitudinal global panel data from 2016, 2018, and 202</w:t>
      </w:r>
      <w:r>
        <w:rPr>
          <w:rFonts w:eastAsia="Times New Roman"/>
          <w:color w:val="000000" w:themeColor="text1"/>
        </w:rPr>
        <w:t>3</w:t>
      </w:r>
      <w:r w:rsidRPr="00CC1FC3">
        <w:rPr>
          <w:rFonts w:eastAsia="Times New Roman"/>
          <w:color w:val="000000" w:themeColor="text1"/>
        </w:rPr>
        <w:t>, the study models how variations in IEQ, SDGI, and HDI affect MS outcomes across countries. The inclusion of macroeconomic controls—such as GDP growth, FDI, inflation, net migration, and the female share of the population—ensures that structural or demographic differences do not confound the results.</w:t>
      </w:r>
    </w:p>
    <w:p w14:paraId="65AB8BF3" w14:textId="77777777" w:rsidR="00736F61" w:rsidRPr="00CC1FC3" w:rsidRDefault="00736F61" w:rsidP="00736F61">
      <w:pPr>
        <w:spacing w:after="0" w:line="480" w:lineRule="auto"/>
        <w:jc w:val="both"/>
        <w:rPr>
          <w:rFonts w:eastAsia="Times New Roman"/>
          <w:color w:val="000000" w:themeColor="text1"/>
        </w:rPr>
      </w:pPr>
      <w:r w:rsidRPr="00CC1FC3">
        <w:rPr>
          <w:rFonts w:eastAsia="Times New Roman"/>
          <w:color w:val="000000" w:themeColor="text1"/>
        </w:rPr>
        <w:t xml:space="preserve"> </w:t>
      </w:r>
      <w:r w:rsidRPr="00CC1FC3">
        <w:tab/>
      </w:r>
      <w:r w:rsidRPr="00CC1FC3">
        <w:rPr>
          <w:rFonts w:eastAsia="Times New Roman"/>
          <w:color w:val="000000" w:themeColor="text1"/>
        </w:rPr>
        <w:t xml:space="preserve">At the meso-level, the quantitative component focuses on firm-level governance dynamics, using data from G500 MNCs (2009–2023) to assess the impact of SGIs on CMS commitments. This analysis captures how institutional pressures manifest in corporate structures and sustainability practices, highlighting both normative and mimetic responses to external accountability expectations. </w:t>
      </w:r>
    </w:p>
    <w:p w14:paraId="0124D960" w14:textId="77777777" w:rsidR="00736F61" w:rsidRPr="00CC1FC3" w:rsidRDefault="00736F61" w:rsidP="00736F61">
      <w:pPr>
        <w:spacing w:line="480" w:lineRule="auto"/>
        <w:ind w:firstLine="720"/>
        <w:jc w:val="both"/>
      </w:pPr>
      <w:r w:rsidRPr="00CC1FC3">
        <w:rPr>
          <w:rFonts w:eastAsia="Times New Roman"/>
          <w:color w:val="000000" w:themeColor="text1"/>
        </w:rPr>
        <w:t xml:space="preserve">Together, these quantitative analyses bridge the structural and organisational dimensions of MS and CMS, linking institutional environments with corporate conduct and disclosure behaviour. The integration of global and firm-level datasets strengthens the validity and generalisability of findings, while the longitudinal design enables examination of dynamic trends over time. Overall, the quantitative approach provides a rigorous, evidence-based </w:t>
      </w:r>
      <w:r w:rsidRPr="00CC1FC3">
        <w:rPr>
          <w:rFonts w:eastAsia="Times New Roman"/>
          <w:color w:val="000000" w:themeColor="text1"/>
        </w:rPr>
        <w:lastRenderedPageBreak/>
        <w:t>foundation for understanding how governance systems at different levels interact to influence the persistence and eradication of MS in global supply chains.</w:t>
      </w:r>
    </w:p>
    <w:p w14:paraId="7DB3E128" w14:textId="77777777" w:rsidR="00736F61" w:rsidRPr="00CC1FC3" w:rsidRDefault="00736F61" w:rsidP="00736F61">
      <w:pPr>
        <w:spacing w:after="0" w:line="480" w:lineRule="auto"/>
        <w:ind w:firstLine="720"/>
        <w:jc w:val="both"/>
      </w:pPr>
      <w:r w:rsidRPr="00CC1FC3">
        <w:rPr>
          <w:rFonts w:eastAsia="Palatino Linotype"/>
        </w:rPr>
        <w:t xml:space="preserve"> </w:t>
      </w:r>
      <w:r w:rsidRPr="00CC1FC3">
        <w:rPr>
          <w:rStyle w:val="eop"/>
          <w:rFonts w:eastAsia="Palatino Linotype"/>
        </w:rPr>
        <w:t xml:space="preserve"> Longitudinal studies are commonly associated with positivist methodology due to their emphasis on quantifiable data and causal inference </w:t>
      </w:r>
      <w:sdt>
        <w:sdtPr>
          <w:rPr>
            <w:rStyle w:val="eop"/>
            <w:rFonts w:eastAsia="Palatino Linotype"/>
          </w:rPr>
          <w:tag w:val="MENDELEY_CITATION_v3_eyJjaXRhdGlvbklEIjoiTUVOREVMRVlfQ0lUQVRJT05fZmE3ODQ5MmQtMmU3OS00MGU4LWE5ODAtNDY0ZmI5OGI1Nzc3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
          <w:id w:val="2134288257"/>
        </w:sdtPr>
        <w:sdtEndPr>
          <w:rPr>
            <w:rStyle w:val="eop"/>
          </w:rPr>
        </w:sdtEndPr>
        <w:sdtContent>
          <w:r w:rsidRPr="00A73C12">
            <w:rPr>
              <w:rStyle w:val="eop"/>
              <w:rFonts w:eastAsia="Palatino Linotype"/>
            </w:rPr>
            <w:t>(Collis and Hussey, 2021)</w:t>
          </w:r>
        </w:sdtContent>
      </w:sdt>
      <w:r w:rsidRPr="00CC1FC3">
        <w:rPr>
          <w:rStyle w:val="eop"/>
          <w:rFonts w:eastAsia="Palatino Linotype"/>
        </w:rPr>
        <w:t xml:space="preserve">. However, in some instances, longitudinal studies can also align with an interpretivist paradigm, particularly when exploring complex social phenomena or understanding the dynamics of research problems over time </w:t>
      </w:r>
      <w:sdt>
        <w:sdtPr>
          <w:rPr>
            <w:rStyle w:val="eop"/>
            <w:rFonts w:eastAsia="Palatino Linotype"/>
          </w:rPr>
          <w:tag w:val="MENDELEY_CITATION_v3_eyJjaXRhdGlvbklEIjoiTUVOREVMRVlfQ0lUQVRJT05fYTZhYTBlYjItYzcyZC00YWE5LTk4NzQtZDFjMTAwZjdkOGUzIiwicHJvcGVydGllcyI6eyJub3RlSW5kZXgiOjB9LCJpc0VkaXRlZCI6ZmFsc2UsIm1hbnVhbE92ZXJyaWRlIjp7ImlzTWFudWFsbHlPdmVycmlkZGVuIjpmYWxzZSwiY2l0ZXByb2NUZXh0IjoiKEJlcmdtYW4sIDIwMDgpIiwibWFudWFsT3ZlcnJpZGVUZXh0IjoiIn0sImNpdGF0aW9uSXRlbXMiOlt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V19"/>
          <w:id w:val="-1763451555"/>
          <w:placeholder>
            <w:docPart w:val="C7840E883D8B4292AB84FCE4321E5346"/>
          </w:placeholder>
        </w:sdtPr>
        <w:sdtEndPr>
          <w:rPr>
            <w:rStyle w:val="eop"/>
          </w:rPr>
        </w:sdtEndPr>
        <w:sdtContent>
          <w:r w:rsidRPr="00A73C12">
            <w:rPr>
              <w:rStyle w:val="eop"/>
              <w:rFonts w:eastAsia="Palatino Linotype"/>
            </w:rPr>
            <w:t>(Bergman, 2008)</w:t>
          </w:r>
        </w:sdtContent>
      </w:sdt>
      <w:r w:rsidRPr="00CC1FC3">
        <w:rPr>
          <w:rStyle w:val="eop"/>
          <w:rFonts w:eastAsia="Palatino Linotype"/>
        </w:rPr>
        <w:t xml:space="preserve">. A longitudinal study, which observes the same group of subjects over an extended period, embodies the principles of positivist methodology by rigorously examining empirical data to uncover patterns and regularities in human behaviour </w:t>
      </w:r>
      <w:sdt>
        <w:sdtPr>
          <w:rPr>
            <w:rStyle w:val="eop"/>
            <w:rFonts w:eastAsia="Palatino Linotype"/>
          </w:rPr>
          <w:tag w:val="MENDELEY_CITATION_v3_eyJjaXRhdGlvbklEIjoiTUVOREVMRVlfQ0lUQVRJT05fYjc3M2RmY2ItNDcyNC00OWQ4LWI3NWItZjBhMTc0ZTEyMmI2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
          <w:id w:val="1491134603"/>
        </w:sdtPr>
        <w:sdtEndPr>
          <w:rPr>
            <w:rStyle w:val="eop"/>
          </w:rPr>
        </w:sdtEndPr>
        <w:sdtContent>
          <w:r w:rsidRPr="00A73C12">
            <w:rPr>
              <w:rStyle w:val="eop"/>
              <w:rFonts w:eastAsia="Palatino Linotype"/>
            </w:rPr>
            <w:t>(Collis and Hussey, 2021)</w:t>
          </w:r>
        </w:sdtContent>
      </w:sdt>
      <w:r w:rsidRPr="00CC1FC3">
        <w:rPr>
          <w:rStyle w:val="eop"/>
          <w:rFonts w:eastAsia="Palatino Linotype"/>
        </w:rPr>
        <w:t xml:space="preserve">. This research design enables systematic tracking of changes in variables of interest over time, providing insights into developmental trajectories, causal relationships, and the dynamic nature of social phenomena. However, longitudinal studies can also incorporate elements of cross-sectional analysis by collecting data from different groups of subjects at each time point, thus offering a broader perspective on population dynamics </w:t>
      </w:r>
      <w:sdt>
        <w:sdtPr>
          <w:rPr>
            <w:rStyle w:val="eop"/>
            <w:rFonts w:eastAsia="Palatino Linotype"/>
          </w:rPr>
          <w:tag w:val="MENDELEY_CITATION_v3_eyJjaXRhdGlvbklEIjoiTUVOREVMRVlfQ0lUQVRJT05fYjU0YTc5YmMtN2RmOC00MzA1LWE0MDUtMjUwZGRiYzBlMmMwIiwicHJvcGVydGllcyI6eyJub3RlSW5kZXgiOjB9LCJpc0VkaXRlZCI6ZmFsc2UsIm1hbnVhbE92ZXJyaWRlIjp7ImlzTWFudWFsbHlPdmVycmlkZGVuIjpmYWxzZSwiY2l0ZXByb2NUZXh0IjoiKEJlcmdtYW4sIDIwMDg7I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
          <w:id w:val="1932384188"/>
          <w:placeholder>
            <w:docPart w:val="C7840E883D8B4292AB84FCE4321E5346"/>
          </w:placeholder>
        </w:sdtPr>
        <w:sdtEndPr>
          <w:rPr>
            <w:rStyle w:val="eop"/>
          </w:rPr>
        </w:sdtEndPr>
        <w:sdtContent>
          <w:r w:rsidRPr="00A73C12">
            <w:rPr>
              <w:rStyle w:val="eop"/>
              <w:rFonts w:eastAsia="Palatino Linotype"/>
            </w:rPr>
            <w:t>(Bergman, 2008; Creswell, 2014)</w:t>
          </w:r>
        </w:sdtContent>
      </w:sdt>
      <w:r w:rsidRPr="00CC1FC3">
        <w:rPr>
          <w:rStyle w:val="eop"/>
          <w:rFonts w:eastAsia="Palatino Linotype"/>
        </w:rPr>
        <w:t xml:space="preserve">. </w:t>
      </w:r>
    </w:p>
    <w:p w14:paraId="78D1BEF4" w14:textId="77777777" w:rsidR="00736F61" w:rsidRPr="00CC1FC3" w:rsidRDefault="00736F61" w:rsidP="00736F61">
      <w:pPr>
        <w:spacing w:after="0" w:line="480" w:lineRule="auto"/>
        <w:ind w:firstLine="720"/>
        <w:jc w:val="both"/>
      </w:pPr>
      <w:r w:rsidRPr="00CC1FC3">
        <w:rPr>
          <w:rStyle w:val="eop"/>
          <w:rFonts w:eastAsia="Palatino Linotype"/>
        </w:rPr>
        <w:t xml:space="preserve"> Through this longitudinal lens, the study seeks to go beyond mere correlation and causation, delving into the nuanced interactions and contextual factors that shape business practices related to the research problem. This interpretivist perspective allows for a deeper understanding of how these variables are socially constructed and influenced by broader societal dynamics. By combining the longitudinal approach with cross-sectional elements, this study generates comprehensive insights into how variables interact and evolve over time within a population</w:t>
      </w:r>
      <w:r>
        <w:rPr>
          <w:rStyle w:val="eop"/>
          <w:rFonts w:eastAsia="Palatino Linotype"/>
        </w:rPr>
        <w:t>.</w:t>
      </w:r>
    </w:p>
    <w:p w14:paraId="219792F3" w14:textId="77777777" w:rsidR="00736F61" w:rsidRPr="00CC1FC3" w:rsidRDefault="00736F61" w:rsidP="00736F61">
      <w:pPr>
        <w:spacing w:after="0" w:line="480" w:lineRule="auto"/>
        <w:ind w:firstLine="720"/>
        <w:jc w:val="both"/>
        <w:rPr>
          <w:rStyle w:val="eop"/>
          <w:rFonts w:eastAsia="Palatino Linotype"/>
        </w:rPr>
      </w:pPr>
      <w:r w:rsidRPr="00CC1FC3">
        <w:rPr>
          <w:rStyle w:val="eop"/>
          <w:rFonts w:eastAsia="Palatino Linotype"/>
        </w:rPr>
        <w:t xml:space="preserve">Table </w:t>
      </w:r>
      <w:r>
        <w:rPr>
          <w:rStyle w:val="eop"/>
          <w:rFonts w:eastAsia="Palatino Linotype"/>
        </w:rPr>
        <w:t>5</w:t>
      </w:r>
      <w:r w:rsidRPr="00CC1FC3">
        <w:rPr>
          <w:rStyle w:val="eop"/>
          <w:rFonts w:eastAsia="Palatino Linotype"/>
        </w:rPr>
        <w:t>.</w:t>
      </w:r>
      <w:r>
        <w:rPr>
          <w:rStyle w:val="eop"/>
          <w:rFonts w:eastAsia="Palatino Linotype"/>
        </w:rPr>
        <w:t>2</w:t>
      </w:r>
      <w:r w:rsidRPr="00CC1FC3">
        <w:rPr>
          <w:rStyle w:val="eop"/>
          <w:rFonts w:eastAsia="Palatino Linotype"/>
        </w:rPr>
        <w:t xml:space="preserve"> summarises the key advantages and disadvantages of the quantitative research approach adopted in this research. While it offers objectivity, scalability, and empirical rigour, </w:t>
      </w:r>
      <w:r w:rsidRPr="00CC1FC3">
        <w:rPr>
          <w:rStyle w:val="eop"/>
          <w:rFonts w:eastAsia="Palatino Linotype"/>
        </w:rPr>
        <w:lastRenderedPageBreak/>
        <w:t>its limitations in contextual interpretation are mitigated through the complementary qualitative phase of this mixed-methods design.</w:t>
      </w:r>
    </w:p>
    <w:p w14:paraId="4EED34F1" w14:textId="77777777" w:rsidR="00736F61" w:rsidRPr="00CC1FC3" w:rsidRDefault="00736F61" w:rsidP="00736F61">
      <w:pPr>
        <w:tabs>
          <w:tab w:val="left" w:pos="5620"/>
        </w:tabs>
      </w:pPr>
      <w:r w:rsidRPr="00CC1FC3">
        <w:rPr>
          <w:b/>
          <w:bCs/>
        </w:rPr>
        <w:t xml:space="preserve">Table </w:t>
      </w:r>
      <w:r>
        <w:rPr>
          <w:b/>
          <w:bCs/>
        </w:rPr>
        <w:t>5</w:t>
      </w:r>
      <w:r w:rsidRPr="00CC1FC3">
        <w:rPr>
          <w:b/>
          <w:bCs/>
        </w:rPr>
        <w:t>.</w:t>
      </w:r>
      <w:r>
        <w:rPr>
          <w:b/>
          <w:bCs/>
        </w:rPr>
        <w:t>2</w:t>
      </w:r>
      <w:r w:rsidRPr="00CC1FC3">
        <w:t>: Advantages and Disadvantages of the Quantitative Research Approach</w:t>
      </w:r>
      <w:r w:rsidRPr="00CC1FC3">
        <w:tab/>
      </w:r>
    </w:p>
    <w:tbl>
      <w:tblPr>
        <w:tblW w:w="9026" w:type="dxa"/>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4699"/>
        <w:gridCol w:w="4327"/>
      </w:tblGrid>
      <w:tr w:rsidR="00736F61" w:rsidRPr="00CC1FC3" w14:paraId="3C67EE22" w14:textId="77777777" w:rsidTr="003F3255">
        <w:trPr>
          <w:trHeight w:val="293"/>
          <w:tblHeader/>
          <w:tblCellSpacing w:w="15" w:type="dxa"/>
        </w:trPr>
        <w:tc>
          <w:tcPr>
            <w:tcW w:w="0" w:type="auto"/>
            <w:tcBorders>
              <w:top w:val="nil"/>
              <w:bottom w:val="single" w:sz="4" w:space="0" w:color="auto"/>
            </w:tcBorders>
            <w:vAlign w:val="center"/>
            <w:hideMark/>
          </w:tcPr>
          <w:p w14:paraId="7D14D205" w14:textId="77777777" w:rsidR="00736F61" w:rsidRPr="00CC1FC3" w:rsidRDefault="00736F61" w:rsidP="003F224E">
            <w:pPr>
              <w:spacing w:after="0" w:line="240" w:lineRule="auto"/>
              <w:jc w:val="center"/>
              <w:rPr>
                <w:rFonts w:eastAsia="Times New Roman"/>
                <w:b/>
                <w:bCs/>
                <w:color w:val="auto"/>
                <w:lang w:eastAsia="en-GB"/>
              </w:rPr>
            </w:pPr>
            <w:r w:rsidRPr="00CC1FC3">
              <w:rPr>
                <w:rFonts w:eastAsia="Times New Roman"/>
                <w:b/>
                <w:bCs/>
                <w:color w:val="auto"/>
                <w:lang w:eastAsia="en-GB"/>
              </w:rPr>
              <w:t>Advantages (Strengths)</w:t>
            </w:r>
          </w:p>
        </w:tc>
        <w:tc>
          <w:tcPr>
            <w:tcW w:w="0" w:type="auto"/>
            <w:tcBorders>
              <w:top w:val="nil"/>
              <w:bottom w:val="single" w:sz="4" w:space="0" w:color="auto"/>
            </w:tcBorders>
            <w:vAlign w:val="center"/>
            <w:hideMark/>
          </w:tcPr>
          <w:p w14:paraId="22CA0D2B" w14:textId="77777777" w:rsidR="00736F61" w:rsidRPr="00CC1FC3" w:rsidRDefault="00736F61" w:rsidP="003F224E">
            <w:pPr>
              <w:spacing w:after="0" w:line="240" w:lineRule="auto"/>
              <w:jc w:val="center"/>
              <w:rPr>
                <w:rFonts w:eastAsia="Times New Roman"/>
                <w:b/>
                <w:bCs/>
                <w:color w:val="auto"/>
                <w:lang w:eastAsia="en-GB"/>
              </w:rPr>
            </w:pPr>
            <w:r w:rsidRPr="00CC1FC3">
              <w:rPr>
                <w:rFonts w:eastAsia="Times New Roman"/>
                <w:b/>
                <w:bCs/>
                <w:color w:val="auto"/>
                <w:lang w:eastAsia="en-GB"/>
              </w:rPr>
              <w:t>Disadvantages (Limitations)</w:t>
            </w:r>
          </w:p>
        </w:tc>
      </w:tr>
      <w:tr w:rsidR="00736F61" w:rsidRPr="00CC1FC3" w14:paraId="261E258F" w14:textId="77777777" w:rsidTr="003F3255">
        <w:trPr>
          <w:trHeight w:val="1174"/>
          <w:tblCellSpacing w:w="15" w:type="dxa"/>
        </w:trPr>
        <w:tc>
          <w:tcPr>
            <w:tcW w:w="0" w:type="auto"/>
            <w:vAlign w:val="center"/>
            <w:hideMark/>
          </w:tcPr>
          <w:p w14:paraId="7A275B13"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1. </w:t>
            </w:r>
            <w:r w:rsidRPr="00CC1FC3">
              <w:rPr>
                <w:rFonts w:eastAsia="Times New Roman"/>
                <w:b/>
                <w:bCs/>
                <w:color w:val="auto"/>
                <w:lang w:eastAsia="en-GB"/>
              </w:rPr>
              <w:t>Objectivity and Replicability</w:t>
            </w:r>
            <w:r w:rsidRPr="00CC1FC3">
              <w:rPr>
                <w:rFonts w:eastAsia="Times New Roman"/>
                <w:color w:val="auto"/>
                <w:lang w:eastAsia="en-GB"/>
              </w:rPr>
              <w:t xml:space="preserve"> – Ensures consistency and reliability through standardised data collection and statistical analysis.</w:t>
            </w:r>
          </w:p>
        </w:tc>
        <w:tc>
          <w:tcPr>
            <w:tcW w:w="0" w:type="auto"/>
            <w:vAlign w:val="center"/>
            <w:hideMark/>
          </w:tcPr>
          <w:p w14:paraId="52DDE81B"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1. </w:t>
            </w:r>
            <w:r w:rsidRPr="00CC1FC3">
              <w:rPr>
                <w:rFonts w:eastAsia="Times New Roman"/>
                <w:b/>
                <w:bCs/>
                <w:color w:val="auto"/>
                <w:lang w:eastAsia="en-GB"/>
              </w:rPr>
              <w:t>Limited Contextual Understanding</w:t>
            </w:r>
            <w:r w:rsidRPr="00CC1FC3">
              <w:rPr>
                <w:rFonts w:eastAsia="Times New Roman"/>
                <w:color w:val="auto"/>
                <w:lang w:eastAsia="en-GB"/>
              </w:rPr>
              <w:t xml:space="preserve"> – Fails to capture human experiences, perceptions, and contextual nuances behind data patterns.</w:t>
            </w:r>
          </w:p>
        </w:tc>
      </w:tr>
      <w:tr w:rsidR="00736F61" w:rsidRPr="00CC1FC3" w14:paraId="2C0DFA05" w14:textId="77777777" w:rsidTr="003F3255">
        <w:trPr>
          <w:trHeight w:val="1174"/>
          <w:tblCellSpacing w:w="15" w:type="dxa"/>
        </w:trPr>
        <w:tc>
          <w:tcPr>
            <w:tcW w:w="0" w:type="auto"/>
            <w:vAlign w:val="center"/>
            <w:hideMark/>
          </w:tcPr>
          <w:p w14:paraId="6D9398F1"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2. </w:t>
            </w:r>
            <w:r w:rsidRPr="00CC1FC3">
              <w:rPr>
                <w:rFonts w:eastAsia="Times New Roman"/>
                <w:b/>
                <w:bCs/>
                <w:color w:val="auto"/>
                <w:lang w:eastAsia="en-GB"/>
              </w:rPr>
              <w:t>Generalizability</w:t>
            </w:r>
            <w:r w:rsidRPr="00CC1FC3">
              <w:rPr>
                <w:rFonts w:eastAsia="Times New Roman"/>
                <w:color w:val="auto"/>
                <w:lang w:eastAsia="en-GB"/>
              </w:rPr>
              <w:t xml:space="preserve"> – Large, representative samples (e.g., Global 500 firms over 14 years) enable findings to be applied across wider populations or industries.</w:t>
            </w:r>
          </w:p>
        </w:tc>
        <w:tc>
          <w:tcPr>
            <w:tcW w:w="0" w:type="auto"/>
            <w:vAlign w:val="center"/>
            <w:hideMark/>
          </w:tcPr>
          <w:p w14:paraId="525F4604"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2. </w:t>
            </w:r>
            <w:r w:rsidRPr="00CC1FC3">
              <w:rPr>
                <w:rFonts w:eastAsia="Times New Roman"/>
                <w:b/>
                <w:bCs/>
                <w:color w:val="auto"/>
                <w:lang w:eastAsia="en-GB"/>
              </w:rPr>
              <w:t>Over-Simplification of Complex Phenomena</w:t>
            </w:r>
            <w:r w:rsidRPr="00CC1FC3">
              <w:rPr>
                <w:rFonts w:eastAsia="Times New Roman"/>
                <w:color w:val="auto"/>
                <w:lang w:eastAsia="en-GB"/>
              </w:rPr>
              <w:t xml:space="preserve"> – Reduces multi-dimensional issues like </w:t>
            </w:r>
            <w:r>
              <w:rPr>
                <w:rFonts w:eastAsia="Times New Roman"/>
                <w:color w:val="auto"/>
                <w:lang w:eastAsia="en-GB"/>
              </w:rPr>
              <w:t>MS</w:t>
            </w:r>
            <w:r w:rsidRPr="00CC1FC3">
              <w:rPr>
                <w:rFonts w:eastAsia="Times New Roman"/>
                <w:color w:val="auto"/>
                <w:lang w:eastAsia="en-GB"/>
              </w:rPr>
              <w:t xml:space="preserve"> or sustainability to quantifiable indicators.</w:t>
            </w:r>
          </w:p>
        </w:tc>
      </w:tr>
      <w:tr w:rsidR="00736F61" w:rsidRPr="00CC1FC3" w14:paraId="7FA59CF9" w14:textId="77777777" w:rsidTr="003F3255">
        <w:trPr>
          <w:trHeight w:val="1174"/>
          <w:tblCellSpacing w:w="15" w:type="dxa"/>
        </w:trPr>
        <w:tc>
          <w:tcPr>
            <w:tcW w:w="0" w:type="auto"/>
            <w:vAlign w:val="center"/>
            <w:hideMark/>
          </w:tcPr>
          <w:p w14:paraId="2F3D613E"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3. </w:t>
            </w:r>
            <w:r w:rsidRPr="00CC1FC3">
              <w:rPr>
                <w:rFonts w:eastAsia="Times New Roman"/>
                <w:b/>
                <w:bCs/>
                <w:color w:val="auto"/>
                <w:lang w:eastAsia="en-GB"/>
              </w:rPr>
              <w:t>Causal Analysis</w:t>
            </w:r>
            <w:r w:rsidRPr="00CC1FC3">
              <w:rPr>
                <w:rFonts w:eastAsia="Times New Roman"/>
                <w:color w:val="auto"/>
                <w:lang w:eastAsia="en-GB"/>
              </w:rPr>
              <w:t xml:space="preserve"> – Enables identification of relationships and causality among variables through techniques such as regression and correlation analysis.</w:t>
            </w:r>
          </w:p>
        </w:tc>
        <w:tc>
          <w:tcPr>
            <w:tcW w:w="0" w:type="auto"/>
            <w:vAlign w:val="center"/>
            <w:hideMark/>
          </w:tcPr>
          <w:p w14:paraId="60C84FAD"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3. </w:t>
            </w:r>
            <w:r w:rsidRPr="00CC1FC3">
              <w:rPr>
                <w:rFonts w:eastAsia="Times New Roman"/>
                <w:b/>
                <w:bCs/>
                <w:color w:val="auto"/>
                <w:lang w:eastAsia="en-GB"/>
              </w:rPr>
              <w:t>Dependence on Secondary Data Quality</w:t>
            </w:r>
            <w:r w:rsidRPr="00CC1FC3">
              <w:rPr>
                <w:rFonts w:eastAsia="Times New Roman"/>
                <w:color w:val="auto"/>
                <w:lang w:eastAsia="en-GB"/>
              </w:rPr>
              <w:t xml:space="preserve"> – Inconsistent or missing data across countries or firms may affect accuracy and validity.</w:t>
            </w:r>
          </w:p>
        </w:tc>
      </w:tr>
      <w:tr w:rsidR="00736F61" w:rsidRPr="00CC1FC3" w14:paraId="38F48B69" w14:textId="77777777" w:rsidTr="003F3255">
        <w:trPr>
          <w:trHeight w:val="1174"/>
          <w:tblCellSpacing w:w="15" w:type="dxa"/>
        </w:trPr>
        <w:tc>
          <w:tcPr>
            <w:tcW w:w="0" w:type="auto"/>
            <w:vAlign w:val="center"/>
            <w:hideMark/>
          </w:tcPr>
          <w:p w14:paraId="0F8409B3"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4. </w:t>
            </w:r>
            <w:r w:rsidRPr="00CC1FC3">
              <w:rPr>
                <w:rFonts w:eastAsia="Times New Roman"/>
                <w:b/>
                <w:bCs/>
                <w:color w:val="auto"/>
                <w:lang w:eastAsia="en-GB"/>
              </w:rPr>
              <w:t>Efficiency and Precision</w:t>
            </w:r>
            <w:r w:rsidRPr="00CC1FC3">
              <w:rPr>
                <w:rFonts w:eastAsia="Times New Roman"/>
                <w:color w:val="auto"/>
                <w:lang w:eastAsia="en-GB"/>
              </w:rPr>
              <w:t xml:space="preserve"> – Facilitates systematic data analysis, offering clarity and measurable insights in less time compared to qualitative methods.</w:t>
            </w:r>
          </w:p>
        </w:tc>
        <w:tc>
          <w:tcPr>
            <w:tcW w:w="0" w:type="auto"/>
            <w:vAlign w:val="center"/>
            <w:hideMark/>
          </w:tcPr>
          <w:p w14:paraId="5774DAA3"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4. </w:t>
            </w:r>
            <w:r w:rsidRPr="00CC1FC3">
              <w:rPr>
                <w:rFonts w:eastAsia="Times New Roman"/>
                <w:b/>
                <w:bCs/>
                <w:color w:val="auto"/>
                <w:lang w:eastAsia="en-GB"/>
              </w:rPr>
              <w:t>Rigid Research Design</w:t>
            </w:r>
            <w:r w:rsidRPr="00CC1FC3">
              <w:rPr>
                <w:rFonts w:eastAsia="Times New Roman"/>
                <w:color w:val="auto"/>
                <w:lang w:eastAsia="en-GB"/>
              </w:rPr>
              <w:t xml:space="preserve"> – Reliance on predefined hypotheses and variables limits flexibility to explore emerging themes or unexpected results.</w:t>
            </w:r>
          </w:p>
        </w:tc>
      </w:tr>
      <w:tr w:rsidR="00736F61" w:rsidRPr="00CC1FC3" w14:paraId="08194A8E" w14:textId="77777777" w:rsidTr="003F3255">
        <w:trPr>
          <w:trHeight w:val="1174"/>
          <w:tblCellSpacing w:w="15" w:type="dxa"/>
        </w:trPr>
        <w:tc>
          <w:tcPr>
            <w:tcW w:w="0" w:type="auto"/>
            <w:vAlign w:val="center"/>
            <w:hideMark/>
          </w:tcPr>
          <w:p w14:paraId="18952013"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5. </w:t>
            </w:r>
            <w:r w:rsidRPr="00CC1FC3">
              <w:rPr>
                <w:rFonts w:eastAsia="Times New Roman"/>
                <w:b/>
                <w:bCs/>
                <w:color w:val="auto"/>
                <w:lang w:eastAsia="en-GB"/>
              </w:rPr>
              <w:t>Comparability</w:t>
            </w:r>
            <w:r w:rsidRPr="00CC1FC3">
              <w:rPr>
                <w:rFonts w:eastAsia="Times New Roman"/>
                <w:color w:val="auto"/>
                <w:lang w:eastAsia="en-GB"/>
              </w:rPr>
              <w:t xml:space="preserve"> – Allows cross-national or cross-industry comparison using standardised indicators such as SDGI, HDI, or ESG metrics.</w:t>
            </w:r>
          </w:p>
        </w:tc>
        <w:tc>
          <w:tcPr>
            <w:tcW w:w="0" w:type="auto"/>
            <w:vAlign w:val="center"/>
            <w:hideMark/>
          </w:tcPr>
          <w:p w14:paraId="2BFC4614"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5. </w:t>
            </w:r>
            <w:r w:rsidRPr="00CC1FC3">
              <w:rPr>
                <w:rFonts w:eastAsia="Times New Roman"/>
                <w:b/>
                <w:bCs/>
                <w:color w:val="auto"/>
                <w:lang w:eastAsia="en-GB"/>
              </w:rPr>
              <w:t>Measurement and Response Bias</w:t>
            </w:r>
            <w:r w:rsidRPr="00CC1FC3">
              <w:rPr>
                <w:rFonts w:eastAsia="Times New Roman"/>
                <w:color w:val="auto"/>
                <w:lang w:eastAsia="en-GB"/>
              </w:rPr>
              <w:t xml:space="preserve"> – Survey or secondary data may contain errors, misreporting, or biases in coding and interpretation.</w:t>
            </w:r>
          </w:p>
        </w:tc>
      </w:tr>
      <w:tr w:rsidR="00736F61" w:rsidRPr="00CC1FC3" w14:paraId="35302075" w14:textId="77777777" w:rsidTr="003F3255">
        <w:trPr>
          <w:trHeight w:val="1174"/>
          <w:tblCellSpacing w:w="15" w:type="dxa"/>
        </w:trPr>
        <w:tc>
          <w:tcPr>
            <w:tcW w:w="0" w:type="auto"/>
            <w:vAlign w:val="center"/>
            <w:hideMark/>
          </w:tcPr>
          <w:p w14:paraId="4D4DE288"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6. </w:t>
            </w:r>
            <w:r w:rsidRPr="00CC1FC3">
              <w:rPr>
                <w:rFonts w:eastAsia="Times New Roman"/>
                <w:b/>
                <w:bCs/>
                <w:color w:val="auto"/>
                <w:lang w:eastAsia="en-GB"/>
              </w:rPr>
              <w:t>Supports Hypothes</w:t>
            </w:r>
            <w:r>
              <w:rPr>
                <w:rFonts w:eastAsia="Times New Roman"/>
                <w:b/>
                <w:bCs/>
                <w:color w:val="auto"/>
                <w:lang w:eastAsia="en-GB"/>
              </w:rPr>
              <w:t>e</w:t>
            </w:r>
            <w:r w:rsidRPr="00CC1FC3">
              <w:rPr>
                <w:rFonts w:eastAsia="Times New Roman"/>
                <w:b/>
                <w:bCs/>
                <w:color w:val="auto"/>
                <w:lang w:eastAsia="en-GB"/>
              </w:rPr>
              <w:t>s Testing</w:t>
            </w:r>
            <w:r w:rsidRPr="00CC1FC3">
              <w:rPr>
                <w:rFonts w:eastAsia="Times New Roman"/>
                <w:color w:val="auto"/>
                <w:lang w:eastAsia="en-GB"/>
              </w:rPr>
              <w:t xml:space="preserve"> – Strengthens theory-building by empirically validating relationships within and across governance levels.</w:t>
            </w:r>
          </w:p>
        </w:tc>
        <w:tc>
          <w:tcPr>
            <w:tcW w:w="0" w:type="auto"/>
            <w:vAlign w:val="center"/>
            <w:hideMark/>
          </w:tcPr>
          <w:p w14:paraId="3FF8570B" w14:textId="77777777" w:rsidR="00736F61" w:rsidRPr="00CC1FC3" w:rsidRDefault="00736F61" w:rsidP="003F224E">
            <w:pPr>
              <w:spacing w:after="0" w:line="240" w:lineRule="auto"/>
              <w:jc w:val="both"/>
              <w:rPr>
                <w:rFonts w:eastAsia="Times New Roman"/>
                <w:color w:val="auto"/>
                <w:lang w:eastAsia="en-GB"/>
              </w:rPr>
            </w:pPr>
            <w:r w:rsidRPr="00CC1FC3">
              <w:rPr>
                <w:rFonts w:eastAsia="Times New Roman"/>
                <w:color w:val="auto"/>
                <w:lang w:eastAsia="en-GB"/>
              </w:rPr>
              <w:t xml:space="preserve">6. </w:t>
            </w:r>
            <w:r w:rsidRPr="00CC1FC3">
              <w:rPr>
                <w:rFonts w:eastAsia="Times New Roman"/>
                <w:b/>
                <w:bCs/>
                <w:color w:val="auto"/>
                <w:lang w:eastAsia="en-GB"/>
              </w:rPr>
              <w:t>Lack of Depth</w:t>
            </w:r>
            <w:r w:rsidRPr="00CC1FC3">
              <w:rPr>
                <w:rFonts w:eastAsia="Times New Roman"/>
                <w:color w:val="auto"/>
                <w:lang w:eastAsia="en-GB"/>
              </w:rPr>
              <w:t xml:space="preserve"> – Quantitative results may identify ‘what’ and ‘how much,’ but not fully explain the ‘why’ behind observed behaviours.</w:t>
            </w:r>
          </w:p>
        </w:tc>
      </w:tr>
    </w:tbl>
    <w:p w14:paraId="1259EBB8" w14:textId="77777777" w:rsidR="00736F61" w:rsidRPr="00CC1FC3" w:rsidRDefault="00736F61" w:rsidP="00736F61">
      <w:pPr>
        <w:pStyle w:val="Heading4"/>
      </w:pPr>
      <w:bookmarkStart w:id="49" w:name="_Toc215651866"/>
      <w:bookmarkStart w:id="50" w:name="_Toc220848366"/>
      <w:r w:rsidRPr="00CC1FC3">
        <w:t xml:space="preserve">5.3.5.2 Qualitative </w:t>
      </w:r>
      <w:r w:rsidRPr="00CC1FC3">
        <w:rPr>
          <w:rStyle w:val="Heading3Char"/>
          <w:b/>
        </w:rPr>
        <w:t>Approach</w:t>
      </w:r>
      <w:bookmarkEnd w:id="49"/>
      <w:bookmarkEnd w:id="50"/>
    </w:p>
    <w:p w14:paraId="1EB4A2B3" w14:textId="77777777" w:rsidR="00736F61" w:rsidRPr="00CC1FC3" w:rsidRDefault="00736F61" w:rsidP="00736F61">
      <w:pPr>
        <w:pStyle w:val="Heading5"/>
        <w:spacing w:line="480" w:lineRule="auto"/>
        <w:rPr>
          <w:rFonts w:cs="Times New Roman"/>
        </w:rPr>
      </w:pPr>
      <w:bookmarkStart w:id="51" w:name="_Toc215651867"/>
      <w:bookmarkStart w:id="52" w:name="_Toc220848367"/>
      <w:r w:rsidRPr="00CC1FC3">
        <w:rPr>
          <w:rFonts w:cs="Times New Roman"/>
        </w:rPr>
        <w:t xml:space="preserve">5.3.5.2.1 Disclosure Analysis -Meso-Level </w:t>
      </w:r>
      <w:bookmarkEnd w:id="51"/>
      <w:bookmarkEnd w:id="52"/>
    </w:p>
    <w:p w14:paraId="12D270FE" w14:textId="77777777" w:rsidR="00736F61" w:rsidRPr="00CC1FC3" w:rsidRDefault="00736F61" w:rsidP="00736F61">
      <w:pPr>
        <w:spacing w:after="0" w:line="480" w:lineRule="auto"/>
        <w:ind w:firstLine="720"/>
        <w:jc w:val="both"/>
        <w:rPr>
          <w:color w:val="auto"/>
        </w:rPr>
      </w:pPr>
      <w:r w:rsidRPr="00CC1FC3">
        <w:rPr>
          <w:color w:val="auto"/>
        </w:rPr>
        <w:t>This qualitative phase focuses specifically on corporate disclosure practices among leading apparel and textile MNCs, providing insight into how firms narrate, legitimise, and operationalise their commitments to A</w:t>
      </w:r>
      <w:r>
        <w:rPr>
          <w:color w:val="auto"/>
        </w:rPr>
        <w:t>C</w:t>
      </w:r>
      <w:r w:rsidRPr="00CC1FC3">
        <w:rPr>
          <w:color w:val="auto"/>
        </w:rPr>
        <w:t>MS. By analysing annual reports (AR), integrated annual reports (IAR), impact reports (IR), CMS statements, sustainability reports, human rights policies, and related governance disclosures, media reports, this phase assesses whether firms demonstrate substantive accountability or engage in symbolic compliance.</w:t>
      </w:r>
    </w:p>
    <w:p w14:paraId="2E456A16" w14:textId="77777777" w:rsidR="00736F61" w:rsidRPr="002D0C67" w:rsidRDefault="00736F61" w:rsidP="00736F61">
      <w:pPr>
        <w:rPr>
          <w:b/>
          <w:bCs/>
          <w:color w:val="auto"/>
          <w:u w:val="single"/>
        </w:rPr>
      </w:pPr>
      <w:r w:rsidRPr="002D0C67">
        <w:rPr>
          <w:b/>
          <w:bCs/>
          <w:color w:val="auto"/>
          <w:u w:val="single"/>
        </w:rPr>
        <w:lastRenderedPageBreak/>
        <w:t xml:space="preserve">Strengths and Weaknesses of the Disclosure Analysis </w:t>
      </w:r>
    </w:p>
    <w:p w14:paraId="38038F1B" w14:textId="77777777" w:rsidR="00736F61" w:rsidRPr="002D0C67" w:rsidRDefault="00736F61" w:rsidP="00736F61">
      <w:pPr>
        <w:spacing w:after="0" w:line="480" w:lineRule="auto"/>
        <w:jc w:val="both"/>
        <w:rPr>
          <w:color w:val="auto"/>
        </w:rPr>
      </w:pPr>
      <w:r w:rsidRPr="002D0C67">
        <w:rPr>
          <w:color w:val="auto"/>
        </w:rPr>
        <w:t>The meso-level disclosure analysis offers valuable insight into how leading apparel and textile MNCs publicly construct and communicate their commitments to ACMS governance. By examining multiple reporting channels</w:t>
      </w:r>
      <w:r w:rsidRPr="002D0C67">
        <w:rPr>
          <w:color w:val="EE0000"/>
        </w:rPr>
        <w:t xml:space="preserve"> over the recent </w:t>
      </w:r>
      <w:r>
        <w:rPr>
          <w:color w:val="auto"/>
        </w:rPr>
        <w:t>f</w:t>
      </w:r>
      <w:r w:rsidRPr="002D0C67">
        <w:rPr>
          <w:color w:val="auto"/>
        </w:rPr>
        <w:t xml:space="preserve">ive years, the method provides longitudinal visibility into shifts in transparency, due diligence practices, and the extent to which firms demonstrate substantive accountability or symbolic compliance. This strengthens the overall mixed-methods design by enabling triangulation between institutional pressures, corporate governance mechanisms, and on-the-ground realities in supplier contexts. </w:t>
      </w:r>
    </w:p>
    <w:p w14:paraId="7B95D2BA" w14:textId="77777777" w:rsidR="00736F61" w:rsidRPr="002D0C67" w:rsidRDefault="00736F61" w:rsidP="00736F61">
      <w:pPr>
        <w:spacing w:after="0" w:line="480" w:lineRule="auto"/>
        <w:ind w:firstLine="720"/>
        <w:jc w:val="both"/>
        <w:rPr>
          <w:color w:val="auto"/>
        </w:rPr>
      </w:pPr>
      <w:r w:rsidRPr="002D0C67">
        <w:rPr>
          <w:color w:val="auto"/>
        </w:rPr>
        <w:t xml:space="preserve">However, the approach also carries inherent limitations. Corporate reports are self-produced, strategically curated narratives that may omit sensitive information, emphasise reputational goals, or exaggerate compliance efforts </w:t>
      </w:r>
      <w:sdt>
        <w:sdtPr>
          <w:rPr>
            <w:color w:val="auto"/>
          </w:rPr>
          <w:tag w:val="MENDELEY_CITATION_v3_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"/>
          <w:id w:val="-570510693"/>
          <w:placeholder>
            <w:docPart w:val="77BA1B61F7644BD3B1AB90520EFD32ED"/>
          </w:placeholder>
        </w:sdtPr>
        <w:sdtEndPr/>
        <w:sdtContent>
          <w:r w:rsidRPr="002D0C67">
            <w:rPr>
              <w:rFonts w:eastAsia="Times New Roman"/>
              <w:color w:val="auto"/>
            </w:rPr>
            <w:t xml:space="preserve">(Creswell, 2014; </w:t>
          </w:r>
          <w:proofErr w:type="spellStart"/>
          <w:r w:rsidRPr="002D0C67">
            <w:rPr>
              <w:rFonts w:eastAsia="Times New Roman"/>
              <w:color w:val="auto"/>
            </w:rPr>
            <w:t>Karamatzanis</w:t>
          </w:r>
          <w:proofErr w:type="spellEnd"/>
          <w:r w:rsidRPr="002D0C67">
            <w:rPr>
              <w:rFonts w:eastAsia="Times New Roman"/>
              <w:color w:val="auto"/>
            </w:rPr>
            <w:t xml:space="preserve"> et al., 2025)</w:t>
          </w:r>
        </w:sdtContent>
      </w:sdt>
      <w:r w:rsidRPr="002D0C67">
        <w:rPr>
          <w:color w:val="auto"/>
        </w:rPr>
        <w:t>. Variations in reporting standards across firms and jurisdictions further complicate comparability, and disclosures may not accurately reflect operational practices within lower-tier supply chains. These strengths and weaknesses are recognised in the interpretation of the findings and are detailed comprehensively in Table 5.3.</w:t>
      </w:r>
    </w:p>
    <w:p w14:paraId="3DC21432" w14:textId="77777777" w:rsidR="00736F61" w:rsidRPr="00CC1FC3" w:rsidRDefault="00736F61" w:rsidP="00736F61">
      <w:pPr>
        <w:rPr>
          <w:rFonts w:eastAsia="Times New Roman"/>
        </w:rPr>
      </w:pPr>
      <w:r w:rsidRPr="00CC1FC3">
        <w:rPr>
          <w:b/>
          <w:bCs/>
        </w:rPr>
        <w:t xml:space="preserve">Table </w:t>
      </w:r>
      <w:r>
        <w:rPr>
          <w:b/>
          <w:bCs/>
        </w:rPr>
        <w:t>5</w:t>
      </w:r>
      <w:r w:rsidRPr="00CC1FC3">
        <w:rPr>
          <w:b/>
          <w:bCs/>
        </w:rPr>
        <w:t>.</w:t>
      </w:r>
      <w:r>
        <w:rPr>
          <w:b/>
          <w:bCs/>
        </w:rPr>
        <w:t>3</w:t>
      </w:r>
      <w:r w:rsidRPr="00CC1FC3">
        <w:t xml:space="preserve">: </w:t>
      </w:r>
      <w:r w:rsidRPr="00CC1FC3">
        <w:rPr>
          <w:rFonts w:eastAsia="Times New Roman"/>
        </w:rPr>
        <w:t xml:space="preserve">Strengths and Limitations of the Disclosure Analysis </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786"/>
        <w:gridCol w:w="3935"/>
        <w:gridCol w:w="3305"/>
      </w:tblGrid>
      <w:tr w:rsidR="00736F61" w:rsidRPr="008943AA" w14:paraId="64C11947" w14:textId="77777777" w:rsidTr="00BB0B26">
        <w:trPr>
          <w:tblHeader/>
          <w:tblCellSpacing w:w="15" w:type="dxa"/>
        </w:trPr>
        <w:tc>
          <w:tcPr>
            <w:tcW w:w="0" w:type="auto"/>
            <w:tcBorders>
              <w:top w:val="nil"/>
              <w:bottom w:val="single" w:sz="4" w:space="0" w:color="auto"/>
            </w:tcBorders>
            <w:vAlign w:val="center"/>
            <w:hideMark/>
          </w:tcPr>
          <w:p w14:paraId="598D87EC" w14:textId="77777777" w:rsidR="00736F61" w:rsidRPr="008943AA" w:rsidRDefault="00736F61" w:rsidP="003F224E">
            <w:pPr>
              <w:spacing w:after="0" w:line="240" w:lineRule="auto"/>
              <w:jc w:val="center"/>
              <w:rPr>
                <w:rFonts w:eastAsia="Times New Roman"/>
                <w:b/>
                <w:bCs/>
                <w:color w:val="auto"/>
                <w:sz w:val="20"/>
                <w:szCs w:val="20"/>
                <w:lang w:eastAsia="en-GB"/>
              </w:rPr>
            </w:pPr>
            <w:r w:rsidRPr="008943AA">
              <w:rPr>
                <w:rFonts w:eastAsia="Times New Roman"/>
                <w:b/>
                <w:bCs/>
                <w:color w:val="auto"/>
                <w:sz w:val="20"/>
                <w:szCs w:val="20"/>
                <w:lang w:eastAsia="en-GB"/>
              </w:rPr>
              <w:t>Aspect</w:t>
            </w:r>
          </w:p>
        </w:tc>
        <w:tc>
          <w:tcPr>
            <w:tcW w:w="0" w:type="auto"/>
            <w:tcBorders>
              <w:top w:val="nil"/>
              <w:bottom w:val="single" w:sz="4" w:space="0" w:color="auto"/>
            </w:tcBorders>
            <w:vAlign w:val="center"/>
            <w:hideMark/>
          </w:tcPr>
          <w:p w14:paraId="25A446B2" w14:textId="77777777" w:rsidR="00736F61" w:rsidRPr="008943AA" w:rsidRDefault="00736F61" w:rsidP="003F224E">
            <w:pPr>
              <w:spacing w:after="0" w:line="240" w:lineRule="auto"/>
              <w:jc w:val="center"/>
              <w:rPr>
                <w:rFonts w:eastAsia="Times New Roman"/>
                <w:b/>
                <w:bCs/>
                <w:color w:val="auto"/>
                <w:sz w:val="20"/>
                <w:szCs w:val="20"/>
                <w:lang w:eastAsia="en-GB"/>
              </w:rPr>
            </w:pPr>
            <w:r w:rsidRPr="008943AA">
              <w:rPr>
                <w:rFonts w:eastAsia="Times New Roman"/>
                <w:b/>
                <w:bCs/>
                <w:color w:val="auto"/>
                <w:sz w:val="20"/>
                <w:szCs w:val="20"/>
                <w:lang w:eastAsia="en-GB"/>
              </w:rPr>
              <w:t>Strengths</w:t>
            </w:r>
          </w:p>
        </w:tc>
        <w:tc>
          <w:tcPr>
            <w:tcW w:w="0" w:type="auto"/>
            <w:tcBorders>
              <w:top w:val="nil"/>
              <w:bottom w:val="single" w:sz="4" w:space="0" w:color="auto"/>
            </w:tcBorders>
            <w:vAlign w:val="center"/>
            <w:hideMark/>
          </w:tcPr>
          <w:p w14:paraId="2A38EBF7" w14:textId="77777777" w:rsidR="00736F61" w:rsidRPr="008943AA" w:rsidRDefault="00736F61" w:rsidP="003F224E">
            <w:pPr>
              <w:spacing w:after="0" w:line="240" w:lineRule="auto"/>
              <w:jc w:val="center"/>
              <w:rPr>
                <w:rFonts w:eastAsia="Times New Roman"/>
                <w:b/>
                <w:bCs/>
                <w:color w:val="auto"/>
                <w:sz w:val="20"/>
                <w:szCs w:val="20"/>
                <w:lang w:eastAsia="en-GB"/>
              </w:rPr>
            </w:pPr>
            <w:r w:rsidRPr="008943AA">
              <w:rPr>
                <w:rFonts w:eastAsia="Times New Roman"/>
                <w:b/>
                <w:bCs/>
                <w:color w:val="auto"/>
                <w:sz w:val="20"/>
                <w:szCs w:val="20"/>
                <w:lang w:eastAsia="en-GB"/>
              </w:rPr>
              <w:t>Limitations</w:t>
            </w:r>
          </w:p>
        </w:tc>
      </w:tr>
      <w:tr w:rsidR="00736F61" w:rsidRPr="008943AA" w14:paraId="7AC94118" w14:textId="77777777" w:rsidTr="00BB0B26">
        <w:trPr>
          <w:tblCellSpacing w:w="15" w:type="dxa"/>
        </w:trPr>
        <w:tc>
          <w:tcPr>
            <w:tcW w:w="0" w:type="auto"/>
            <w:vAlign w:val="center"/>
            <w:hideMark/>
          </w:tcPr>
          <w:p w14:paraId="5EF39B9F"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Access and Availability</w:t>
            </w:r>
          </w:p>
        </w:tc>
        <w:tc>
          <w:tcPr>
            <w:tcW w:w="0" w:type="auto"/>
            <w:vAlign w:val="center"/>
            <w:hideMark/>
          </w:tcPr>
          <w:p w14:paraId="42A61301"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Corporate reports are publicly available, verifiable, and auditable, enabling transparent, replicable analysis across years and firms.</w:t>
            </w:r>
          </w:p>
        </w:tc>
        <w:tc>
          <w:tcPr>
            <w:tcW w:w="0" w:type="auto"/>
            <w:vAlign w:val="center"/>
            <w:hideMark/>
          </w:tcPr>
          <w:p w14:paraId="7833EAF2"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Disclosure quality varies across firms and countries; not all relevant information is disclosed, creating potential data gaps.</w:t>
            </w:r>
          </w:p>
        </w:tc>
      </w:tr>
      <w:tr w:rsidR="00736F61" w:rsidRPr="008943AA" w14:paraId="2ECAAB5C" w14:textId="77777777" w:rsidTr="00BB0B26">
        <w:trPr>
          <w:tblCellSpacing w:w="15" w:type="dxa"/>
        </w:trPr>
        <w:tc>
          <w:tcPr>
            <w:tcW w:w="0" w:type="auto"/>
            <w:vAlign w:val="center"/>
            <w:hideMark/>
          </w:tcPr>
          <w:p w14:paraId="15D3273D"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Longitudinal Insight</w:t>
            </w:r>
          </w:p>
        </w:tc>
        <w:tc>
          <w:tcPr>
            <w:tcW w:w="0" w:type="auto"/>
            <w:vAlign w:val="center"/>
            <w:hideMark/>
          </w:tcPr>
          <w:p w14:paraId="609509D4"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Enables tracking of changes in reporting quality, narrative framing, and AMS commitments over time (2019–2023).</w:t>
            </w:r>
          </w:p>
        </w:tc>
        <w:tc>
          <w:tcPr>
            <w:tcW w:w="0" w:type="auto"/>
            <w:vAlign w:val="center"/>
            <w:hideMark/>
          </w:tcPr>
          <w:p w14:paraId="50A6EC79"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Difficult to confirm whether improvements reflect real change or strategic reporting adjustments (“narrative inflation”).</w:t>
            </w:r>
          </w:p>
        </w:tc>
      </w:tr>
      <w:tr w:rsidR="00736F61" w:rsidRPr="008943AA" w14:paraId="16FBC8FF" w14:textId="77777777" w:rsidTr="00BB0B26">
        <w:trPr>
          <w:tblCellSpacing w:w="15" w:type="dxa"/>
        </w:trPr>
        <w:tc>
          <w:tcPr>
            <w:tcW w:w="0" w:type="auto"/>
            <w:vAlign w:val="center"/>
            <w:hideMark/>
          </w:tcPr>
          <w:p w14:paraId="301CB440"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Analytical Depth</w:t>
            </w:r>
          </w:p>
        </w:tc>
        <w:tc>
          <w:tcPr>
            <w:tcW w:w="0" w:type="auto"/>
            <w:vAlign w:val="center"/>
            <w:hideMark/>
          </w:tcPr>
          <w:p w14:paraId="583BCE32"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Offers nuanced insight into governance structures, due diligence processes, and corporate intentions that are not visible in quantitative datasets.</w:t>
            </w:r>
          </w:p>
        </w:tc>
        <w:tc>
          <w:tcPr>
            <w:tcW w:w="0" w:type="auto"/>
            <w:vAlign w:val="center"/>
            <w:hideMark/>
          </w:tcPr>
          <w:p w14:paraId="096230EE"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Reports often emphasise policy intentions rather than operational outcomes, limiting the ability to assess implementation.</w:t>
            </w:r>
          </w:p>
        </w:tc>
      </w:tr>
      <w:tr w:rsidR="00736F61" w:rsidRPr="008943AA" w14:paraId="344B7948" w14:textId="77777777" w:rsidTr="00BB0B26">
        <w:trPr>
          <w:tblCellSpacing w:w="15" w:type="dxa"/>
        </w:trPr>
        <w:tc>
          <w:tcPr>
            <w:tcW w:w="0" w:type="auto"/>
            <w:vAlign w:val="center"/>
            <w:hideMark/>
          </w:tcPr>
          <w:p w14:paraId="545A8A65"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Triangulation Value</w:t>
            </w:r>
          </w:p>
        </w:tc>
        <w:tc>
          <w:tcPr>
            <w:tcW w:w="0" w:type="auto"/>
            <w:vAlign w:val="center"/>
            <w:hideMark/>
          </w:tcPr>
          <w:p w14:paraId="307C2187"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Strengthens mixed methods design by linking institutional pressures (macro), governance practices (meso), and worker experiences (micro).</w:t>
            </w:r>
          </w:p>
        </w:tc>
        <w:tc>
          <w:tcPr>
            <w:tcW w:w="0" w:type="auto"/>
            <w:vAlign w:val="center"/>
            <w:hideMark/>
          </w:tcPr>
          <w:p w14:paraId="251F13E8"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Corporate narratives may conflict with worker accounts, complicating interpretation and requiring careful reconciliation.</w:t>
            </w:r>
          </w:p>
        </w:tc>
      </w:tr>
      <w:tr w:rsidR="00736F61" w:rsidRPr="008943AA" w14:paraId="38A689B5" w14:textId="77777777" w:rsidTr="00BB0B26">
        <w:trPr>
          <w:tblCellSpacing w:w="15" w:type="dxa"/>
        </w:trPr>
        <w:tc>
          <w:tcPr>
            <w:tcW w:w="0" w:type="auto"/>
            <w:vAlign w:val="center"/>
            <w:hideMark/>
          </w:tcPr>
          <w:p w14:paraId="4E789C5E"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Theoretical Contribution</w:t>
            </w:r>
          </w:p>
        </w:tc>
        <w:tc>
          <w:tcPr>
            <w:tcW w:w="0" w:type="auto"/>
            <w:vAlign w:val="center"/>
            <w:hideMark/>
          </w:tcPr>
          <w:p w14:paraId="04139A7E"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Helps identify patterns of symbolic compliance, decoupling, legitimacy-seeking behaviour, and institutional pressures (coercive, normative, mimetic).</w:t>
            </w:r>
          </w:p>
        </w:tc>
        <w:tc>
          <w:tcPr>
            <w:tcW w:w="0" w:type="auto"/>
            <w:vAlign w:val="center"/>
            <w:hideMark/>
          </w:tcPr>
          <w:p w14:paraId="7F1A8D2A"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The researcher’s judgment influences interpretation; coding subjectivity must be mitigated through rigour and reflexivity.</w:t>
            </w:r>
          </w:p>
        </w:tc>
      </w:tr>
      <w:tr w:rsidR="00736F61" w:rsidRPr="008943AA" w14:paraId="0C992112" w14:textId="77777777" w:rsidTr="00BB0B26">
        <w:trPr>
          <w:tblCellSpacing w:w="15" w:type="dxa"/>
        </w:trPr>
        <w:tc>
          <w:tcPr>
            <w:tcW w:w="0" w:type="auto"/>
            <w:vAlign w:val="center"/>
            <w:hideMark/>
          </w:tcPr>
          <w:p w14:paraId="67FDAB8F"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lastRenderedPageBreak/>
              <w:t>Comparative Analysis</w:t>
            </w:r>
          </w:p>
        </w:tc>
        <w:tc>
          <w:tcPr>
            <w:tcW w:w="0" w:type="auto"/>
            <w:vAlign w:val="center"/>
            <w:hideMark/>
          </w:tcPr>
          <w:p w14:paraId="09AB7FBE"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Cross-firm comparison (Nike, Inditex, Dior) highlights differences in governance regimes, reporting obligations, and institutional environments.</w:t>
            </w:r>
          </w:p>
        </w:tc>
        <w:tc>
          <w:tcPr>
            <w:tcW w:w="0" w:type="auto"/>
            <w:vAlign w:val="center"/>
            <w:hideMark/>
          </w:tcPr>
          <w:p w14:paraId="135059FE"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Differences in legal context, reporting frameworks, and organisational culture limit direct comparability across firms.</w:t>
            </w:r>
          </w:p>
        </w:tc>
      </w:tr>
      <w:tr w:rsidR="00736F61" w:rsidRPr="008943AA" w14:paraId="5A042568" w14:textId="77777777" w:rsidTr="00BB0B26">
        <w:trPr>
          <w:tblCellSpacing w:w="15" w:type="dxa"/>
        </w:trPr>
        <w:tc>
          <w:tcPr>
            <w:tcW w:w="0" w:type="auto"/>
            <w:vAlign w:val="center"/>
            <w:hideMark/>
          </w:tcPr>
          <w:p w14:paraId="69966111"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Policy Relevance</w:t>
            </w:r>
          </w:p>
        </w:tc>
        <w:tc>
          <w:tcPr>
            <w:tcW w:w="0" w:type="auto"/>
            <w:vAlign w:val="center"/>
            <w:hideMark/>
          </w:tcPr>
          <w:p w14:paraId="4916A57D"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Reveals gaps in existing MS legislation and reporting frameworks, supporting evidence-based recommendations.</w:t>
            </w:r>
          </w:p>
        </w:tc>
        <w:tc>
          <w:tcPr>
            <w:tcW w:w="0" w:type="auto"/>
            <w:vAlign w:val="center"/>
            <w:hideMark/>
          </w:tcPr>
          <w:p w14:paraId="04D77DDC"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Corporate disclosures may downplay controversies or exclude sensitive information to avoid reputational risks.</w:t>
            </w:r>
          </w:p>
        </w:tc>
      </w:tr>
      <w:tr w:rsidR="00736F61" w:rsidRPr="008943AA" w14:paraId="723CF8BB" w14:textId="77777777" w:rsidTr="00BB0B26">
        <w:trPr>
          <w:tblCellSpacing w:w="15" w:type="dxa"/>
        </w:trPr>
        <w:tc>
          <w:tcPr>
            <w:tcW w:w="0" w:type="auto"/>
            <w:vAlign w:val="center"/>
            <w:hideMark/>
          </w:tcPr>
          <w:p w14:paraId="6C1BE15E"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Ethical and Practical Considerations</w:t>
            </w:r>
          </w:p>
        </w:tc>
        <w:tc>
          <w:tcPr>
            <w:tcW w:w="0" w:type="auto"/>
            <w:vAlign w:val="center"/>
            <w:hideMark/>
          </w:tcPr>
          <w:p w14:paraId="04A1C425"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Non-intrusive method—no risk to participants; aligns with ethical research principles.</w:t>
            </w:r>
          </w:p>
        </w:tc>
        <w:tc>
          <w:tcPr>
            <w:tcW w:w="0" w:type="auto"/>
            <w:vAlign w:val="center"/>
            <w:hideMark/>
          </w:tcPr>
          <w:p w14:paraId="4CEE6F9F"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color w:val="auto"/>
                <w:sz w:val="20"/>
                <w:szCs w:val="20"/>
                <w:lang w:eastAsia="en-GB"/>
              </w:rPr>
              <w:t>Reliant solely on what firms choose to disclose; lacks access to internal documents or confidential information.</w:t>
            </w:r>
          </w:p>
        </w:tc>
      </w:tr>
    </w:tbl>
    <w:p w14:paraId="281F1333" w14:textId="77777777" w:rsidR="00736F61" w:rsidRDefault="00736F61" w:rsidP="00736F61">
      <w:pPr>
        <w:pStyle w:val="Heading5"/>
        <w:spacing w:before="0" w:after="0" w:line="480" w:lineRule="auto"/>
        <w:rPr>
          <w:rFonts w:cs="Times New Roman"/>
        </w:rPr>
      </w:pPr>
      <w:bookmarkStart w:id="53" w:name="_Toc215651868"/>
      <w:bookmarkStart w:id="54" w:name="_Toc220848368"/>
      <w:bookmarkStart w:id="55" w:name="_Toc159763560"/>
    </w:p>
    <w:p w14:paraId="4B304958" w14:textId="77777777" w:rsidR="00736F61" w:rsidRPr="00CC1FC3" w:rsidRDefault="00736F61" w:rsidP="00736F61">
      <w:pPr>
        <w:pStyle w:val="Heading5"/>
        <w:spacing w:before="0" w:after="0" w:line="480" w:lineRule="auto"/>
        <w:rPr>
          <w:rFonts w:cs="Times New Roman"/>
        </w:rPr>
      </w:pPr>
      <w:r w:rsidRPr="00CC1FC3">
        <w:rPr>
          <w:rFonts w:cs="Times New Roman"/>
        </w:rPr>
        <w:t xml:space="preserve">5.3.5.2.2 Questionnaire and </w:t>
      </w:r>
      <w:r w:rsidRPr="008E024A">
        <w:rPr>
          <w:rFonts w:eastAsia="Palatino Linotype"/>
          <w:color w:val="EE0000"/>
        </w:rPr>
        <w:t xml:space="preserve">semi-structured </w:t>
      </w:r>
      <w:r w:rsidRPr="00CC1FC3">
        <w:rPr>
          <w:rFonts w:cs="Times New Roman"/>
        </w:rPr>
        <w:t>Interview</w:t>
      </w:r>
      <w:bookmarkEnd w:id="53"/>
      <w:bookmarkEnd w:id="54"/>
    </w:p>
    <w:bookmarkEnd w:id="55"/>
    <w:p w14:paraId="167A8931" w14:textId="77777777" w:rsidR="00736F61" w:rsidRPr="00CC1FC3" w:rsidRDefault="00736F61" w:rsidP="00736F61">
      <w:pPr>
        <w:spacing w:after="0" w:line="480" w:lineRule="auto"/>
        <w:ind w:firstLine="720"/>
        <w:jc w:val="both"/>
        <w:rPr>
          <w:rFonts w:eastAsia="Palatino Linotype"/>
        </w:rPr>
      </w:pPr>
      <w:r w:rsidRPr="00CC1FC3">
        <w:rPr>
          <w:rFonts w:eastAsia="Palatino Linotype"/>
        </w:rPr>
        <w:t xml:space="preserve">The Sri Lankan A&amp;TI operates within a specific socio-cultural and economic context. Qualitative methods excel at capturing this contextual richness. By conducting </w:t>
      </w:r>
      <w:r w:rsidRPr="00961921">
        <w:rPr>
          <w:rFonts w:eastAsia="Palatino Linotype"/>
          <w:color w:val="EE0000"/>
        </w:rPr>
        <w:t xml:space="preserve">semi-structured </w:t>
      </w:r>
      <w:r w:rsidRPr="00CC1FC3">
        <w:rPr>
          <w:rFonts w:eastAsia="Palatino Linotype"/>
        </w:rPr>
        <w:t xml:space="preserve">interviews and administering questionnaires, researchers can uncover the cultural norms, economic and political pressures, and institutional dynamics that contribute to prevailing CMS practices in this setting </w:t>
      </w:r>
      <w:sdt>
        <w:sdtPr>
          <w:rPr>
            <w:rFonts w:eastAsia="Palatino Linotype"/>
          </w:rPr>
          <w:tag w:val="MENDELEY_CITATION_v3_eyJjaXRhdGlvbklEIjoiTUVOREVMRVlfQ0lUQVRJT05fZjllZWM4NTQtMTc3NS00NzE5LTk1YjQtMTEwNWJhN2RkZTQ3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
          <w:id w:val="-1724594145"/>
          <w:placeholder>
            <w:docPart w:val="333E43EE14614DEC974C86273DA841B2"/>
          </w:placeholder>
        </w:sdtPr>
        <w:sdtEndPr/>
        <w:sdtContent>
          <w:r w:rsidRPr="00A73C12">
            <w:rPr>
              <w:rFonts w:eastAsia="Palatino Linotype"/>
            </w:rPr>
            <w:t>(Collis and Hussey, 2021)</w:t>
          </w:r>
        </w:sdtContent>
      </w:sdt>
      <w:r w:rsidRPr="00CC1FC3">
        <w:rPr>
          <w:rFonts w:eastAsia="Palatino Linotype"/>
        </w:rPr>
        <w:t>.</w:t>
      </w:r>
      <w:r w:rsidRPr="00CC1FC3">
        <w:rPr>
          <w:rFonts w:eastAsia="Palatino Linotype"/>
          <w:color w:val="FF0000"/>
        </w:rPr>
        <w:t xml:space="preserve"> </w:t>
      </w:r>
      <w:r w:rsidRPr="00CC1FC3">
        <w:rPr>
          <w:rFonts w:eastAsia="Palatino Linotype"/>
        </w:rPr>
        <w:t xml:space="preserve">This contextual understanding is crucial for crafting effective interventions and policies. Qualitative research methods, including </w:t>
      </w:r>
      <w:r w:rsidRPr="00961921">
        <w:rPr>
          <w:rFonts w:eastAsia="Palatino Linotype"/>
          <w:color w:val="EE0000"/>
        </w:rPr>
        <w:t xml:space="preserve">semi-structured </w:t>
      </w:r>
      <w:r w:rsidRPr="00CC1FC3">
        <w:rPr>
          <w:rFonts w:eastAsia="Palatino Linotype"/>
        </w:rPr>
        <w:t xml:space="preserve">interviews and questionnaires, provide a platform for an in-depth exploration of the issue. </w:t>
      </w:r>
    </w:p>
    <w:p w14:paraId="75EDD691" w14:textId="77777777" w:rsidR="00736F61" w:rsidRPr="00CC1FC3" w:rsidRDefault="00736F61" w:rsidP="00736F61">
      <w:pPr>
        <w:spacing w:after="0" w:line="480" w:lineRule="auto"/>
        <w:ind w:firstLine="720"/>
        <w:jc w:val="both"/>
        <w:rPr>
          <w:rFonts w:eastAsia="Palatino Linotype"/>
        </w:rPr>
      </w:pPr>
      <w:r w:rsidRPr="00CC1FC3">
        <w:rPr>
          <w:rFonts w:eastAsia="Palatino Linotype"/>
        </w:rPr>
        <w:t xml:space="preserve">As </w:t>
      </w:r>
      <w:sdt>
        <w:sdtPr>
          <w:rPr>
            <w:rFonts w:eastAsia="Palatino Linotype"/>
          </w:rPr>
          <w:tag w:val="MENDELEY_CITATION_v3_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"/>
          <w:id w:val="274074415"/>
          <w:placeholder>
            <w:docPart w:val="A336AFE04A5945AEB79DC54A32035C76"/>
          </w:placeholder>
        </w:sdtPr>
        <w:sdtEndPr/>
        <w:sdtContent>
          <w:r w:rsidRPr="00A73C12">
            <w:rPr>
              <w:rFonts w:eastAsia="Palatino Linotype"/>
            </w:rPr>
            <w:t>Creswell (2009)</w:t>
          </w:r>
        </w:sdtContent>
      </w:sdt>
      <w:r w:rsidRPr="00CC1FC3">
        <w:rPr>
          <w:rFonts w:eastAsia="Palatino Linotype"/>
        </w:rPr>
        <w:t xml:space="preserve"> emphasises, qualitative research enables researchers to gain a comprehensive understanding by delving deeply into participants’ experiences, thoughts, and feelings. Also, data collected through </w:t>
      </w:r>
      <w:r w:rsidRPr="00961921">
        <w:rPr>
          <w:rFonts w:eastAsia="Palatino Linotype"/>
          <w:color w:val="EE0000"/>
        </w:rPr>
        <w:t xml:space="preserve">semi-structured </w:t>
      </w:r>
      <w:r w:rsidRPr="00CC1FC3">
        <w:rPr>
          <w:rFonts w:eastAsia="Palatino Linotype"/>
        </w:rPr>
        <w:t xml:space="preserve">interviews and questionnaires can be compelling tools for advocacy </w:t>
      </w:r>
      <w:sdt>
        <w:sdtPr>
          <w:rPr>
            <w:rFonts w:eastAsia="Palatino Linotype"/>
          </w:rPr>
          <w:tag w:val="MENDELEY_CITATION_v3_eyJjaXRhdGlvbklEIjoiTUVOREVMRVlfQ0lUQVRJT05fMjA4MjljNjktNGMzMy00MGM0LTgzNGEtMDYzYzFjN2M4OWMzIiwicHJvcGVydGllcyI6eyJub3RlSW5kZXgiOjB9LCJpc0VkaXRlZCI6ZmFsc2UsIm1hbnVhbE92ZXJyaWRlIjp7ImlzTWFudWFsbHlPdmVycmlkZGVuIjp0cnVlLCJjaXRlcHJvY1RleHQiOiIoQmVyZ21hbiwgMjAwODsgQ3Jlc3dlbGwgYW5kIFBsYW5vIENsYXJrLCAyMDExOyBHaWJzb24sIDIwMTcpIiwibWFudWFsT3ZlcnJpZGVUZXh0IjoiKEJlcmdtYW4sIDIwMDg7IENyZXN3ZWxsIGFuZCBQbGFubywgMjAxMTsgR2lic29uLCAyMDE3KSJ9LCJjaXRhdGlvbkl0ZW1zIjpb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"/>
          <w:id w:val="1649932260"/>
          <w:placeholder>
            <w:docPart w:val="77BA1B61F7644BD3B1AB90520EFD32ED"/>
          </w:placeholder>
        </w:sdtPr>
        <w:sdtEndPr/>
        <w:sdtContent>
          <w:r w:rsidRPr="00A73C12">
            <w:rPr>
              <w:rFonts w:eastAsia="Palatino Linotype"/>
            </w:rPr>
            <w:t>(Bergman, 2008; Creswell and Plano, 2011; Gibson, 2017)</w:t>
          </w:r>
        </w:sdtContent>
      </w:sdt>
      <w:r w:rsidRPr="00CC1FC3">
        <w:rPr>
          <w:rFonts w:eastAsia="Palatino Linotype"/>
        </w:rPr>
        <w:t xml:space="preserve">. Moreover, providing a human face to the problem, qualitative data can influence decision-makers and inspire action. Gathering primary data from factory workers, managers, and other stakeholders helps to reveal intricate details and personal narratives </w:t>
      </w:r>
      <w:sdt>
        <w:sdtPr>
          <w:rPr>
            <w:rFonts w:eastAsia="Palatino Linotype"/>
          </w:rPr>
          <w:tag w:val="MENDELEY_CITATION_v3_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V19"/>
          <w:id w:val="346527145"/>
          <w:placeholder>
            <w:docPart w:val="A336AFE04A5945AEB79DC54A32035C76"/>
          </w:placeholder>
        </w:sdtPr>
        <w:sdtEndPr/>
        <w:sdtContent>
          <w:r w:rsidRPr="00A73C12">
            <w:rPr>
              <w:rFonts w:eastAsia="Times New Roman"/>
            </w:rPr>
            <w:t>(Bergman, 2008; Creswell and Plano, 2011; Morse et al., 2002)</w:t>
          </w:r>
        </w:sdtContent>
      </w:sdt>
      <w:r w:rsidRPr="00CC1FC3">
        <w:rPr>
          <w:rFonts w:eastAsia="Palatino Linotype"/>
        </w:rPr>
        <w:t xml:space="preserve">. </w:t>
      </w:r>
    </w:p>
    <w:p w14:paraId="404D7A9A" w14:textId="77777777" w:rsidR="00736F61" w:rsidRPr="00CC1FC3" w:rsidRDefault="00736F61" w:rsidP="00736F61">
      <w:pPr>
        <w:spacing w:after="0" w:line="480" w:lineRule="auto"/>
        <w:ind w:firstLine="720"/>
        <w:jc w:val="both"/>
        <w:rPr>
          <w:rFonts w:eastAsia="Palatino Linotype"/>
        </w:rPr>
      </w:pPr>
      <w:r w:rsidRPr="00CC1FC3">
        <w:rPr>
          <w:rFonts w:eastAsia="Palatino Linotype"/>
        </w:rPr>
        <w:t xml:space="preserve">The qualitative analysis employed in this study, including </w:t>
      </w:r>
      <w:r w:rsidRPr="00961921">
        <w:rPr>
          <w:rFonts w:eastAsia="Palatino Linotype"/>
          <w:color w:val="EE0000"/>
        </w:rPr>
        <w:t xml:space="preserve">semi-structured </w:t>
      </w:r>
      <w:r w:rsidRPr="00CC1FC3">
        <w:rPr>
          <w:rFonts w:eastAsia="Palatino Linotype"/>
        </w:rPr>
        <w:t xml:space="preserve">interviews and questionnaires with apparel and textile-related parties, provides a critical avenue for </w:t>
      </w:r>
      <w:r w:rsidRPr="00CC1FC3">
        <w:rPr>
          <w:rFonts w:eastAsia="Palatino Linotype"/>
        </w:rPr>
        <w:lastRenderedPageBreak/>
        <w:t xml:space="preserve">gaining a comprehensive understanding of CMS practices within Sri Lanka’s A&amp;TI supply chain. By focusing on the experiences and perceptions of individuals directly involved in or impacted by the industry, this approach offers a deeper exploration of the issue. Research schema II (Figure </w:t>
      </w:r>
      <w:r>
        <w:rPr>
          <w:rFonts w:eastAsia="Palatino Linotype"/>
        </w:rPr>
        <w:t>5.6</w:t>
      </w:r>
      <w:r w:rsidRPr="00CC1FC3">
        <w:rPr>
          <w:rFonts w:eastAsia="Palatino Linotype"/>
        </w:rPr>
        <w:t>) outlines the qualitative research scope of the study.</w:t>
      </w:r>
    </w:p>
    <w:p w14:paraId="77653E95" w14:textId="77777777" w:rsidR="00736F61" w:rsidRPr="00CC1FC3" w:rsidRDefault="00736F61" w:rsidP="00736F61">
      <w:pPr>
        <w:spacing w:after="0" w:line="480" w:lineRule="auto"/>
        <w:jc w:val="center"/>
      </w:pPr>
      <w:r w:rsidRPr="00CC1FC3">
        <w:rPr>
          <w:noProof/>
        </w:rPr>
        <w:drawing>
          <wp:inline distT="0" distB="0" distL="0" distR="0" wp14:anchorId="5C589FE1" wp14:editId="4EFA527B">
            <wp:extent cx="5915025" cy="1850571"/>
            <wp:effectExtent l="57150" t="0" r="47625" b="0"/>
            <wp:docPr id="152722537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21ED5C4" w14:textId="77777777" w:rsidR="00736F61" w:rsidRPr="00CC1FC3" w:rsidRDefault="00736F61" w:rsidP="00736F61">
      <w:pPr>
        <w:spacing w:after="0" w:line="480" w:lineRule="auto"/>
        <w:jc w:val="center"/>
      </w:pPr>
      <w:r w:rsidRPr="00CC1FC3">
        <w:rPr>
          <w:b/>
          <w:bCs/>
        </w:rPr>
        <w:t xml:space="preserve">Figure </w:t>
      </w:r>
      <w:r>
        <w:rPr>
          <w:b/>
          <w:bCs/>
        </w:rPr>
        <w:t>5</w:t>
      </w:r>
      <w:r w:rsidRPr="00CC1FC3">
        <w:rPr>
          <w:b/>
          <w:bCs/>
        </w:rPr>
        <w:t>.</w:t>
      </w:r>
      <w:r>
        <w:rPr>
          <w:b/>
          <w:bCs/>
        </w:rPr>
        <w:t>6</w:t>
      </w:r>
      <w:r w:rsidRPr="00CC1FC3">
        <w:rPr>
          <w:b/>
          <w:bCs/>
        </w:rPr>
        <w:t>:</w:t>
      </w:r>
      <w:r w:rsidRPr="00CC1FC3">
        <w:t xml:space="preserve"> Research Schema II: Qualitative approach</w:t>
      </w:r>
    </w:p>
    <w:p w14:paraId="73FB6896" w14:textId="77777777" w:rsidR="00736F61" w:rsidRDefault="00736F61" w:rsidP="00736F61">
      <w:pPr>
        <w:spacing w:after="0" w:line="480" w:lineRule="auto"/>
        <w:ind w:firstLine="720"/>
        <w:jc w:val="both"/>
        <w:rPr>
          <w:rFonts w:eastAsia="Palatino Linotype"/>
        </w:rPr>
      </w:pPr>
      <w:r w:rsidRPr="00CC1FC3">
        <w:rPr>
          <w:rFonts w:eastAsia="Palatino Linotype"/>
        </w:rPr>
        <w:t xml:space="preserve">While quantitative analyses (G500) provide valuable statistical data regarding prevalence and trends, qualitative research offers a more holistic perspective in developing country contexts </w:t>
      </w:r>
      <w:sdt>
        <w:sdtPr>
          <w:rPr>
            <w:rFonts w:eastAsia="Palatino Linotype"/>
          </w:rPr>
          <w:tag w:val="MENDELEY_CITATION_v3_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iLCJwdWJsaXNoZXIiOiJTQUdFIFB1YmxpY2F0aW9ucyBJbmMuIiwiaXNzdWUiOiIyIiwidm9sdW1lIjoiMjAiLCJjb250YWluZXItdGl0bGUtc2hvcnQiOiJPcmdhbi4gUmVzLiBNZXRob2RzIn0sImlzVGVtcG9yYXJ5IjpmYWxzZX1dfQ=="/>
          <w:id w:val="-1971593363"/>
          <w:placeholder>
            <w:docPart w:val="4FE6A3A6511C4F30B295ECBCAFCE1677"/>
          </w:placeholder>
        </w:sdtPr>
        <w:sdtEndPr/>
        <w:sdtContent>
          <w:r w:rsidRPr="00A73C12">
            <w:rPr>
              <w:rFonts w:eastAsia="Palatino Linotype"/>
            </w:rPr>
            <w:t>(Creswell, 2014; Creswell and Plano, 2011; Gibson, 2017)</w:t>
          </w:r>
        </w:sdtContent>
      </w:sdt>
      <w:r w:rsidRPr="00CC1FC3">
        <w:rPr>
          <w:rFonts w:eastAsia="Palatino Linotype"/>
        </w:rPr>
        <w:t xml:space="preserve">. It humanises the issue by showcasing the lived experiences of individuals affected by CMS practices. </w:t>
      </w:r>
      <w:r w:rsidRPr="001777AD">
        <w:rPr>
          <w:rFonts w:eastAsia="Palatino Linotype"/>
          <w:color w:val="auto"/>
        </w:rPr>
        <w:t xml:space="preserve">This includes insights into the motivations of those involved, the challenges workers face, and the complexities of eradicating such practices. </w:t>
      </w:r>
      <w:r w:rsidRPr="00AC01DC">
        <w:rPr>
          <w:rFonts w:eastAsia="Palatino Linotype"/>
          <w:color w:val="EE0000"/>
        </w:rPr>
        <w:t>Such narratives complement quantitative findings by providing rich, contextual insights that reveal how structural patterns are experienced in practice. They help bridge the gap between statistical trends and lived realities, enabling a deeper understanding of the mechanisms underlying CMS.</w:t>
      </w:r>
    </w:p>
    <w:p w14:paraId="0EE83F07" w14:textId="77777777" w:rsidR="00736F61" w:rsidRPr="00CC1FC3" w:rsidRDefault="00736F61" w:rsidP="00736F61">
      <w:pPr>
        <w:spacing w:after="0" w:line="480" w:lineRule="auto"/>
        <w:ind w:firstLine="720"/>
        <w:jc w:val="both"/>
        <w:rPr>
          <w:rFonts w:eastAsia="Palatino Linotype"/>
        </w:rPr>
      </w:pPr>
      <w:r w:rsidRPr="00CC1FC3">
        <w:rPr>
          <w:rFonts w:eastAsia="Palatino Linotype"/>
        </w:rPr>
        <w:t xml:space="preserve"> The researcher considered academic expertise and sought feedback and opinions before finalising the questionnaire and </w:t>
      </w:r>
      <w:r w:rsidRPr="008E024A">
        <w:rPr>
          <w:rFonts w:eastAsia="Palatino Linotype"/>
          <w:color w:val="EE0000"/>
        </w:rPr>
        <w:t xml:space="preserve">semi-structured </w:t>
      </w:r>
      <w:r w:rsidRPr="00CC1FC3">
        <w:rPr>
          <w:rFonts w:eastAsia="Palatino Linotype"/>
        </w:rPr>
        <w:t xml:space="preserve">interview questions for their MS research. To ensure a comprehensive exploration of the prevalence and perception of CMS practices, the study solicited opinions from experts in the field. Specifically, this study requested 17 experts in the field and received 10 responses from </w:t>
      </w:r>
      <w:r w:rsidRPr="00C34A86">
        <w:rPr>
          <w:rFonts w:eastAsia="Palatino Linotype"/>
          <w:color w:val="EE0000"/>
        </w:rPr>
        <w:t xml:space="preserve">scholars </w:t>
      </w:r>
      <w:proofErr w:type="gramStart"/>
      <w:r w:rsidRPr="00C34A86">
        <w:rPr>
          <w:rFonts w:eastAsia="Palatino Linotype"/>
          <w:color w:val="EE0000"/>
        </w:rPr>
        <w:t>in the area of</w:t>
      </w:r>
      <w:proofErr w:type="gramEnd"/>
      <w:r w:rsidRPr="00C34A86">
        <w:rPr>
          <w:rFonts w:eastAsia="Palatino Linotype"/>
          <w:color w:val="EE0000"/>
        </w:rPr>
        <w:t xml:space="preserve"> MS</w:t>
      </w:r>
      <w:r w:rsidRPr="00CC1FC3">
        <w:rPr>
          <w:rFonts w:eastAsia="Palatino Linotype"/>
        </w:rPr>
        <w:t xml:space="preserve"> from various universities to gather their input and enrich the questionnaire.</w:t>
      </w:r>
    </w:p>
    <w:p w14:paraId="7EC6B5BF" w14:textId="77777777" w:rsidR="00736F61" w:rsidRDefault="00736F61" w:rsidP="00736F61">
      <w:pPr>
        <w:pStyle w:val="Heading5"/>
        <w:spacing w:line="480" w:lineRule="auto"/>
        <w:rPr>
          <w:rFonts w:eastAsia="Palatino Linotype" w:cs="Times New Roman"/>
        </w:rPr>
      </w:pPr>
      <w:r w:rsidRPr="00CC1FC3">
        <w:rPr>
          <w:rFonts w:eastAsia="Palatino Linotype" w:cs="Times New Roman"/>
        </w:rPr>
        <w:lastRenderedPageBreak/>
        <w:t>5.3.9.2.3 Justification for a Case Study Approach</w:t>
      </w:r>
    </w:p>
    <w:p w14:paraId="28376829" w14:textId="77777777" w:rsidR="00736F61" w:rsidRPr="00CC1FC3" w:rsidRDefault="00736F61" w:rsidP="00736F61">
      <w:pPr>
        <w:spacing w:after="0" w:line="480" w:lineRule="auto"/>
        <w:jc w:val="both"/>
        <w:rPr>
          <w:rFonts w:eastAsia="Palatino Linotype"/>
        </w:rPr>
      </w:pPr>
      <w:r w:rsidRPr="00CC1FC3">
        <w:rPr>
          <w:rFonts w:eastAsia="Palatino Linotype"/>
        </w:rPr>
        <w:t>The case study approach was chosen for three interrelated reasons:</w:t>
      </w:r>
    </w:p>
    <w:p w14:paraId="70A3A576" w14:textId="77777777" w:rsidR="00736F61" w:rsidRPr="00CC1FC3" w:rsidRDefault="00736F61" w:rsidP="00736F61">
      <w:pPr>
        <w:pStyle w:val="ListParagraph"/>
        <w:numPr>
          <w:ilvl w:val="0"/>
          <w:numId w:val="28"/>
        </w:numPr>
        <w:spacing w:after="0" w:line="480" w:lineRule="auto"/>
        <w:ind w:left="567" w:hanging="426"/>
        <w:jc w:val="both"/>
        <w:rPr>
          <w:rFonts w:eastAsia="Palatino Linotype"/>
        </w:rPr>
      </w:pPr>
      <w:r w:rsidRPr="00CC1FC3">
        <w:rPr>
          <w:rFonts w:eastAsia="Palatino Linotype"/>
          <w:b/>
          <w:bCs/>
          <w:i/>
          <w:iCs/>
        </w:rPr>
        <w:t>Limited bottom-up evidence in Global South contexts:</w:t>
      </w:r>
      <w:r w:rsidRPr="00CC1FC3">
        <w:rPr>
          <w:rFonts w:eastAsia="Palatino Linotype"/>
        </w:rPr>
        <w:t xml:space="preserve"> Existing CMS literature is dominated by Global North perspectives, with little empirically grounded research on worker-level experiences in developing economies. A qualitative case design facilitates theory-building from context-specific realities </w:t>
      </w:r>
      <w:sdt>
        <w:sdtPr>
          <w:rPr>
            <w:rFonts w:eastAsia="Palatino Linotype"/>
          </w:rPr>
          <w:tag w:val="MENDELEY_CITATION_v3_eyJjaXRhdGlvbklEIjoiTUVOREVMRVlfQ0lUQVRJT05fZGMwN2E2NjctOTY0NC00ZWFjLWJhMDEtZWRlYTdkYjg4MTM5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84358031"/>
          <w:placeholder>
            <w:docPart w:val="22717DB63BE7473DBC7531F0AE7E7E41"/>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rFonts w:eastAsia="Palatino Linotype"/>
        </w:rPr>
        <w:t>.</w:t>
      </w:r>
    </w:p>
    <w:p w14:paraId="510FA564" w14:textId="77777777" w:rsidR="00736F61" w:rsidRPr="00CC1FC3" w:rsidRDefault="00736F61" w:rsidP="00736F61">
      <w:pPr>
        <w:pStyle w:val="ListParagraph"/>
        <w:numPr>
          <w:ilvl w:val="0"/>
          <w:numId w:val="28"/>
        </w:numPr>
        <w:spacing w:after="0" w:line="480" w:lineRule="auto"/>
        <w:ind w:left="567" w:hanging="426"/>
        <w:jc w:val="both"/>
        <w:rPr>
          <w:rFonts w:eastAsia="Palatino Linotype"/>
        </w:rPr>
      </w:pPr>
      <w:r w:rsidRPr="00CC1FC3">
        <w:rPr>
          <w:rFonts w:eastAsia="Palatino Linotype"/>
          <w:b/>
          <w:bCs/>
          <w:i/>
          <w:iCs/>
        </w:rPr>
        <w:t>Restricted access to conventional large-scale datasets:</w:t>
      </w:r>
      <w:r w:rsidRPr="00CC1FC3">
        <w:rPr>
          <w:rFonts w:eastAsia="Palatino Linotype"/>
        </w:rPr>
        <w:t xml:space="preserve"> Workers in vulnerable positions frequently fear employer retaliation, job loss, or immigration-related repercussions, limiting the feasibility of traditional survey-based designs.</w:t>
      </w:r>
    </w:p>
    <w:p w14:paraId="6048BB2D" w14:textId="77777777" w:rsidR="00736F61" w:rsidRPr="00CC1FC3" w:rsidRDefault="00736F61" w:rsidP="00736F61">
      <w:pPr>
        <w:pStyle w:val="ListParagraph"/>
        <w:numPr>
          <w:ilvl w:val="0"/>
          <w:numId w:val="28"/>
        </w:numPr>
        <w:spacing w:after="0" w:line="480" w:lineRule="auto"/>
        <w:ind w:left="567" w:hanging="426"/>
        <w:jc w:val="both"/>
        <w:rPr>
          <w:rFonts w:eastAsia="Palatino Linotype"/>
        </w:rPr>
      </w:pPr>
      <w:r w:rsidRPr="00CC1FC3">
        <w:rPr>
          <w:rFonts w:eastAsia="Palatino Linotype"/>
          <w:b/>
          <w:bCs/>
          <w:i/>
          <w:iCs/>
        </w:rPr>
        <w:t>Need to explore multi-level institutional dynamics:</w:t>
      </w:r>
      <w:r w:rsidRPr="00CC1FC3">
        <w:rPr>
          <w:rFonts w:eastAsia="Palatino Linotype"/>
        </w:rPr>
        <w:t xml:space="preserve"> CMS is deeply embedded in organisational cultures, informal norms, buyer–supplier relationships, and socio-economic structures—dynamics that cannot be captured through quantitative approaches alone </w:t>
      </w:r>
      <w:sdt>
        <w:sdtPr>
          <w:rPr>
            <w:rFonts w:eastAsia="Palatino Linotype"/>
          </w:rPr>
          <w:tag w:val="MENDELEY_CITATION_v3_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"/>
          <w:id w:val="1914509801"/>
          <w:placeholder>
            <w:docPart w:val="77BA1B61F7644BD3B1AB90520EFD32ED"/>
          </w:placeholder>
        </w:sdtPr>
        <w:sdtEndPr/>
        <w:sdtContent>
          <w:r w:rsidRPr="00A73C12">
            <w:rPr>
              <w:rFonts w:eastAsia="Times New Roman"/>
            </w:rPr>
            <w:t xml:space="preserve">(Alves </w:t>
          </w:r>
          <w:r w:rsidRPr="00A73C12">
            <w:rPr>
              <w:rFonts w:eastAsia="Times New Roman"/>
              <w:i/>
              <w:iCs/>
            </w:rPr>
            <w:t>et al.</w:t>
          </w:r>
          <w:r w:rsidRPr="00A73C12">
            <w:rPr>
              <w:rFonts w:eastAsia="Times New Roman"/>
            </w:rPr>
            <w:t>, 2024)</w:t>
          </w:r>
        </w:sdtContent>
      </w:sdt>
      <w:r w:rsidRPr="00CC1FC3">
        <w:rPr>
          <w:rFonts w:eastAsia="Palatino Linotype"/>
        </w:rPr>
        <w:t>.</w:t>
      </w:r>
    </w:p>
    <w:p w14:paraId="6141A2FC" w14:textId="77777777" w:rsidR="00736F61" w:rsidRPr="00CC1FC3" w:rsidRDefault="00736F61" w:rsidP="00736F61">
      <w:pPr>
        <w:spacing w:after="0" w:line="480" w:lineRule="auto"/>
        <w:ind w:firstLine="720"/>
        <w:jc w:val="both"/>
        <w:rPr>
          <w:rFonts w:eastAsia="Palatino Linotype"/>
        </w:rPr>
      </w:pPr>
      <w:r w:rsidRPr="00CC1FC3">
        <w:rPr>
          <w:rFonts w:eastAsia="Palatino Linotype"/>
        </w:rPr>
        <w:t xml:space="preserve">To strengthen methodological rigour, documentary analysis was integrated alongside </w:t>
      </w:r>
      <w:r w:rsidRPr="008E024A">
        <w:rPr>
          <w:rFonts w:eastAsia="Palatino Linotype"/>
          <w:color w:val="EE0000"/>
        </w:rPr>
        <w:t xml:space="preserve">semi-structured </w:t>
      </w:r>
      <w:r w:rsidRPr="00CC1FC3">
        <w:rPr>
          <w:rFonts w:eastAsia="Palatino Linotype"/>
        </w:rPr>
        <w:t xml:space="preserve">interviews and questionnaires. Disclosures—such as sustainability reports, MS statements, governance policies, and public databases—enabled cross-verification of participants’ accounts, thus illuminating gaps between organisational narratives and on-the-ground realities of compliance and decoupling </w:t>
      </w:r>
      <w:sdt>
        <w:sdtPr>
          <w:rPr>
            <w:rFonts w:eastAsia="Palatino Linotype"/>
          </w:rPr>
          <w:tag w:val="MENDELEY_CITATION_v3_eyJjaXRhdGlvbklEIjoiTUVOREVMRVlfQ0lUQVRJT05fZjE1OWI3MjUtNDEyZS00ZjBkLTk2YTctNTA0OWU1Mzg1MzRl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572791777"/>
          <w:placeholder>
            <w:docPart w:val="E056A2DEDA1D4FAE9EE199271C3CC9B1"/>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rFonts w:eastAsia="Palatino Linotype"/>
        </w:rPr>
        <w:t xml:space="preserve">. </w:t>
      </w:r>
    </w:p>
    <w:p w14:paraId="2E167E22" w14:textId="77777777" w:rsidR="00736F61" w:rsidRPr="00CC1FC3" w:rsidRDefault="00736F61" w:rsidP="00736F61">
      <w:pPr>
        <w:pStyle w:val="Heading5"/>
        <w:rPr>
          <w:rFonts w:cs="Times New Roman"/>
        </w:rPr>
      </w:pPr>
      <w:bookmarkStart w:id="56" w:name="_Toc159763562"/>
      <w:r w:rsidRPr="00CC1FC3">
        <w:rPr>
          <w:rFonts w:cs="Times New Roman"/>
        </w:rPr>
        <w:t>5.3.9.2.4 Reason for Selecting Sri Lanka</w:t>
      </w:r>
      <w:bookmarkEnd w:id="56"/>
      <w:r w:rsidRPr="00CC1FC3">
        <w:rPr>
          <w:rFonts w:cs="Times New Roman"/>
        </w:rPr>
        <w:t xml:space="preserve"> as a Research Context</w:t>
      </w:r>
    </w:p>
    <w:p w14:paraId="2FF19700" w14:textId="77777777" w:rsidR="00736F61" w:rsidRPr="00CC1FC3" w:rsidRDefault="00736F61" w:rsidP="00736F61"/>
    <w:p w14:paraId="623A9AC3" w14:textId="77777777" w:rsidR="00736F61" w:rsidRPr="003E0053" w:rsidRDefault="00736F61" w:rsidP="00736F61">
      <w:pPr>
        <w:spacing w:line="480" w:lineRule="auto"/>
        <w:jc w:val="both"/>
      </w:pPr>
      <w:r w:rsidRPr="00CC1FC3">
        <w:t xml:space="preserve">Sri Lanka’s A&amp;TI was selected as the micro-level research context due to its strategic role in global supply chains, its significant contribution to national exports, and its large, predominantly female workforce, which is particularly vulnerable to exploitation </w:t>
      </w:r>
      <w:sdt>
        <w:sdtPr>
          <w:tag w:val="MENDELEY_CITATION_v3_eyJjaXRhdGlvbklEIjoiTUVOREVMRVlfQ0lUQVRJT05fNDg0NDBhZjMtNTljMS00YzgwLWJhMDUtNjY1YjNlN2JlNDY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32580506"/>
          <w:placeholder>
            <w:docPart w:val="E056A2DEDA1D4FAE9EE199271C3CC9B1"/>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t xml:space="preserve">. The sector is internationally recognised for ethical manufacturing standards and green production practices, offering a unique setting to examine </w:t>
      </w:r>
      <w:r w:rsidRPr="00CC1FC3">
        <w:lastRenderedPageBreak/>
        <w:t xml:space="preserve">the gap between formal ACMS commitments and on-the-ground labour realities. Moreover, the presence of major multinational buyers and recent economic and political instability make Sri Lanka an analytically rich environment for exploring how global governance pressures intersect with local working conditions. A detailed justification is provided in Table </w:t>
      </w:r>
      <w:r>
        <w:t>5.4</w:t>
      </w:r>
      <w:r w:rsidRPr="00CC1FC3">
        <w:t>.</w:t>
      </w:r>
    </w:p>
    <w:p w14:paraId="7D501AC7" w14:textId="77777777" w:rsidR="00736F61" w:rsidRDefault="00736F61" w:rsidP="00736F61">
      <w:pPr>
        <w:spacing w:after="0" w:line="240" w:lineRule="auto"/>
        <w:rPr>
          <w:rFonts w:eastAsia="Times New Roman"/>
          <w:b/>
          <w:bCs/>
          <w:color w:val="000000" w:themeColor="text1"/>
        </w:rPr>
      </w:pPr>
    </w:p>
    <w:p w14:paraId="052052BC" w14:textId="77777777" w:rsidR="00736F61" w:rsidRDefault="00736F61" w:rsidP="00736F61">
      <w:pPr>
        <w:spacing w:after="0" w:line="240" w:lineRule="auto"/>
        <w:rPr>
          <w:rFonts w:eastAsia="Times New Roman"/>
          <w:b/>
          <w:bCs/>
          <w:color w:val="000000" w:themeColor="text1"/>
        </w:rPr>
      </w:pPr>
    </w:p>
    <w:p w14:paraId="4412B550" w14:textId="77777777" w:rsidR="00736F61" w:rsidRDefault="00736F61" w:rsidP="00736F61">
      <w:pPr>
        <w:spacing w:after="0" w:line="240" w:lineRule="auto"/>
        <w:rPr>
          <w:rFonts w:eastAsia="Times New Roman"/>
          <w:b/>
          <w:bCs/>
          <w:color w:val="000000" w:themeColor="text1"/>
        </w:rPr>
      </w:pPr>
    </w:p>
    <w:p w14:paraId="1CC28EB0" w14:textId="77777777" w:rsidR="00736F61" w:rsidRDefault="00736F61" w:rsidP="00736F61">
      <w:pPr>
        <w:spacing w:after="0" w:line="240" w:lineRule="auto"/>
        <w:rPr>
          <w:rFonts w:eastAsia="Times New Roman"/>
          <w:b/>
          <w:bCs/>
          <w:color w:val="000000" w:themeColor="text1"/>
        </w:rPr>
      </w:pPr>
    </w:p>
    <w:p w14:paraId="6EE8BA7F" w14:textId="77777777" w:rsidR="00736F61" w:rsidRDefault="00736F61" w:rsidP="00736F61">
      <w:pPr>
        <w:spacing w:after="0" w:line="240" w:lineRule="auto"/>
        <w:rPr>
          <w:rFonts w:eastAsia="Times New Roman"/>
          <w:b/>
          <w:bCs/>
          <w:color w:val="000000" w:themeColor="text1"/>
        </w:rPr>
      </w:pPr>
    </w:p>
    <w:p w14:paraId="71477BB1" w14:textId="77777777" w:rsidR="00736F61" w:rsidRDefault="00736F61" w:rsidP="00736F61">
      <w:pPr>
        <w:spacing w:after="0" w:line="240" w:lineRule="auto"/>
        <w:rPr>
          <w:rFonts w:eastAsia="Times New Roman"/>
          <w:b/>
          <w:bCs/>
          <w:color w:val="000000" w:themeColor="text1"/>
        </w:rPr>
      </w:pPr>
    </w:p>
    <w:p w14:paraId="5E612252" w14:textId="77777777" w:rsidR="00736F61" w:rsidRDefault="00736F61" w:rsidP="00736F61">
      <w:pPr>
        <w:spacing w:after="0" w:line="240" w:lineRule="auto"/>
        <w:rPr>
          <w:rFonts w:eastAsia="Times New Roman"/>
          <w:b/>
          <w:bCs/>
          <w:color w:val="000000" w:themeColor="text1"/>
        </w:rPr>
      </w:pPr>
    </w:p>
    <w:p w14:paraId="4F6E88B8" w14:textId="77777777" w:rsidR="00736F61" w:rsidRDefault="00736F61" w:rsidP="00736F61">
      <w:pPr>
        <w:spacing w:after="0" w:line="240" w:lineRule="auto"/>
        <w:rPr>
          <w:rFonts w:eastAsia="Times New Roman"/>
          <w:b/>
          <w:bCs/>
          <w:color w:val="000000" w:themeColor="text1"/>
        </w:rPr>
      </w:pPr>
    </w:p>
    <w:p w14:paraId="5E7FC805" w14:textId="77777777" w:rsidR="00736F61" w:rsidRDefault="00736F61" w:rsidP="00736F61">
      <w:pPr>
        <w:spacing w:after="0" w:line="240" w:lineRule="auto"/>
        <w:rPr>
          <w:rFonts w:eastAsia="Times New Roman"/>
          <w:b/>
          <w:bCs/>
          <w:color w:val="000000" w:themeColor="text1"/>
        </w:rPr>
      </w:pPr>
    </w:p>
    <w:p w14:paraId="6729451A" w14:textId="77777777" w:rsidR="00736F61" w:rsidRDefault="00736F61" w:rsidP="00736F61">
      <w:pPr>
        <w:spacing w:after="0" w:line="240" w:lineRule="auto"/>
        <w:rPr>
          <w:rFonts w:eastAsia="Times New Roman"/>
          <w:b/>
          <w:bCs/>
          <w:color w:val="000000" w:themeColor="text1"/>
        </w:rPr>
      </w:pPr>
    </w:p>
    <w:p w14:paraId="354CD5C1" w14:textId="77777777" w:rsidR="00736F61" w:rsidRDefault="00736F61" w:rsidP="00736F61">
      <w:pPr>
        <w:spacing w:after="0" w:line="240" w:lineRule="auto"/>
        <w:rPr>
          <w:rFonts w:eastAsia="Times New Roman"/>
          <w:b/>
          <w:bCs/>
          <w:color w:val="000000" w:themeColor="text1"/>
        </w:rPr>
      </w:pPr>
    </w:p>
    <w:p w14:paraId="5FB128C0" w14:textId="77777777" w:rsidR="00736F61" w:rsidRDefault="00736F61" w:rsidP="00736F61">
      <w:pPr>
        <w:spacing w:after="0" w:line="240" w:lineRule="auto"/>
        <w:rPr>
          <w:rFonts w:eastAsia="Times New Roman"/>
          <w:color w:val="000000" w:themeColor="text1"/>
        </w:rPr>
      </w:pPr>
      <w:r w:rsidRPr="00CC1FC3">
        <w:rPr>
          <w:rFonts w:eastAsia="Times New Roman"/>
          <w:b/>
          <w:bCs/>
          <w:color w:val="000000" w:themeColor="text1"/>
        </w:rPr>
        <w:t xml:space="preserve">Table </w:t>
      </w:r>
      <w:r>
        <w:rPr>
          <w:rFonts w:eastAsia="Times New Roman"/>
          <w:b/>
          <w:bCs/>
          <w:color w:val="000000" w:themeColor="text1"/>
        </w:rPr>
        <w:t>5</w:t>
      </w:r>
      <w:r w:rsidRPr="00CC1FC3">
        <w:rPr>
          <w:rFonts w:eastAsia="Times New Roman"/>
          <w:b/>
          <w:bCs/>
          <w:color w:val="000000" w:themeColor="text1"/>
        </w:rPr>
        <w:t>.</w:t>
      </w:r>
      <w:r>
        <w:rPr>
          <w:rFonts w:eastAsia="Times New Roman"/>
          <w:b/>
          <w:bCs/>
          <w:color w:val="000000" w:themeColor="text1"/>
        </w:rPr>
        <w:t>4</w:t>
      </w:r>
      <w:r w:rsidRPr="00CC1FC3">
        <w:rPr>
          <w:rFonts w:eastAsia="Times New Roman"/>
          <w:b/>
          <w:bCs/>
          <w:color w:val="000000" w:themeColor="text1"/>
        </w:rPr>
        <w:t xml:space="preserve">: </w:t>
      </w:r>
      <w:r w:rsidRPr="00CC1FC3">
        <w:rPr>
          <w:rFonts w:eastAsia="Times New Roman"/>
          <w:color w:val="000000" w:themeColor="text1"/>
        </w:rPr>
        <w:t xml:space="preserve">Rationale for Selecting Sri Lanka’s </w:t>
      </w:r>
      <w:r>
        <w:rPr>
          <w:rFonts w:eastAsia="Times New Roman"/>
          <w:color w:val="000000" w:themeColor="text1"/>
        </w:rPr>
        <w:t>A&amp;TI</w:t>
      </w:r>
      <w:r w:rsidRPr="00CC1FC3">
        <w:rPr>
          <w:rFonts w:eastAsia="Times New Roman"/>
          <w:color w:val="000000" w:themeColor="text1"/>
        </w:rPr>
        <w:t xml:space="preserve"> as the Research Context</w:t>
      </w:r>
    </w:p>
    <w:tbl>
      <w:tblPr>
        <w:tblpPr w:leftFromText="180" w:rightFromText="180" w:vertAnchor="page" w:horzAnchor="margin" w:tblpY="2130"/>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965"/>
        <w:gridCol w:w="3838"/>
        <w:gridCol w:w="3223"/>
      </w:tblGrid>
      <w:tr w:rsidR="00736F61" w:rsidRPr="003E0053" w14:paraId="5E3578C1" w14:textId="77777777" w:rsidTr="00DC32F4">
        <w:trPr>
          <w:tblHeader/>
          <w:tblCellSpacing w:w="15" w:type="dxa"/>
        </w:trPr>
        <w:tc>
          <w:tcPr>
            <w:tcW w:w="0" w:type="auto"/>
            <w:tcBorders>
              <w:top w:val="nil"/>
              <w:bottom w:val="single" w:sz="4" w:space="0" w:color="auto"/>
            </w:tcBorders>
            <w:vAlign w:val="center"/>
            <w:hideMark/>
          </w:tcPr>
          <w:p w14:paraId="2A752D36" w14:textId="77777777" w:rsidR="00736F61" w:rsidRPr="003E0053" w:rsidRDefault="00736F61" w:rsidP="003F224E">
            <w:pPr>
              <w:spacing w:after="0" w:line="240" w:lineRule="auto"/>
              <w:jc w:val="center"/>
              <w:rPr>
                <w:rFonts w:eastAsia="Times New Roman"/>
                <w:b/>
                <w:color w:val="auto"/>
                <w:sz w:val="20"/>
                <w:szCs w:val="20"/>
                <w:lang w:eastAsia="en-GB"/>
              </w:rPr>
            </w:pPr>
            <w:r w:rsidRPr="003E0053">
              <w:rPr>
                <w:rFonts w:eastAsia="Times New Roman"/>
                <w:b/>
                <w:color w:val="auto"/>
                <w:sz w:val="20"/>
                <w:szCs w:val="20"/>
                <w:lang w:eastAsia="en-GB"/>
              </w:rPr>
              <w:lastRenderedPageBreak/>
              <w:t>Reason Category</w:t>
            </w:r>
          </w:p>
        </w:tc>
        <w:tc>
          <w:tcPr>
            <w:tcW w:w="0" w:type="auto"/>
            <w:tcBorders>
              <w:top w:val="nil"/>
              <w:bottom w:val="single" w:sz="4" w:space="0" w:color="auto"/>
            </w:tcBorders>
            <w:vAlign w:val="center"/>
            <w:hideMark/>
          </w:tcPr>
          <w:p w14:paraId="6C5433D3" w14:textId="77777777" w:rsidR="00736F61" w:rsidRPr="003E0053" w:rsidRDefault="00736F61" w:rsidP="003F224E">
            <w:pPr>
              <w:spacing w:after="0" w:line="240" w:lineRule="auto"/>
              <w:jc w:val="center"/>
              <w:rPr>
                <w:rFonts w:eastAsia="Times New Roman"/>
                <w:b/>
                <w:color w:val="auto"/>
                <w:sz w:val="20"/>
                <w:szCs w:val="20"/>
                <w:lang w:eastAsia="en-GB"/>
              </w:rPr>
            </w:pPr>
            <w:r w:rsidRPr="003E0053">
              <w:rPr>
                <w:rFonts w:eastAsia="Times New Roman"/>
                <w:b/>
                <w:color w:val="auto"/>
                <w:sz w:val="20"/>
                <w:szCs w:val="20"/>
                <w:lang w:eastAsia="en-GB"/>
              </w:rPr>
              <w:t>Description</w:t>
            </w:r>
          </w:p>
        </w:tc>
        <w:tc>
          <w:tcPr>
            <w:tcW w:w="0" w:type="auto"/>
            <w:tcBorders>
              <w:top w:val="nil"/>
              <w:bottom w:val="single" w:sz="4" w:space="0" w:color="auto"/>
            </w:tcBorders>
            <w:vAlign w:val="center"/>
            <w:hideMark/>
          </w:tcPr>
          <w:p w14:paraId="7555233B" w14:textId="77777777" w:rsidR="00736F61" w:rsidRPr="003E0053" w:rsidRDefault="00736F61" w:rsidP="003F224E">
            <w:pPr>
              <w:spacing w:after="0" w:line="240" w:lineRule="auto"/>
              <w:jc w:val="center"/>
              <w:rPr>
                <w:rFonts w:eastAsia="Times New Roman"/>
                <w:b/>
                <w:color w:val="auto"/>
                <w:sz w:val="20"/>
                <w:szCs w:val="20"/>
                <w:lang w:eastAsia="en-GB"/>
              </w:rPr>
            </w:pPr>
            <w:r w:rsidRPr="003E0053">
              <w:rPr>
                <w:rFonts w:eastAsia="Times New Roman"/>
                <w:b/>
                <w:color w:val="auto"/>
                <w:sz w:val="20"/>
                <w:szCs w:val="20"/>
                <w:lang w:eastAsia="en-GB"/>
              </w:rPr>
              <w:t>Relevance to Research</w:t>
            </w:r>
          </w:p>
        </w:tc>
      </w:tr>
      <w:tr w:rsidR="00736F61" w:rsidRPr="003E0053" w14:paraId="7827FF3A" w14:textId="77777777" w:rsidTr="00DC32F4">
        <w:trPr>
          <w:tblCellSpacing w:w="15" w:type="dxa"/>
        </w:trPr>
        <w:tc>
          <w:tcPr>
            <w:tcW w:w="0" w:type="auto"/>
            <w:vAlign w:val="center"/>
            <w:hideMark/>
          </w:tcPr>
          <w:p w14:paraId="44667ABA" w14:textId="77777777" w:rsidR="00736F61" w:rsidRPr="003E0053" w:rsidRDefault="00736F61" w:rsidP="003F224E">
            <w:pPr>
              <w:spacing w:after="0" w:line="240" w:lineRule="auto"/>
              <w:rPr>
                <w:rFonts w:eastAsia="Times New Roman"/>
                <w:color w:val="auto"/>
                <w:sz w:val="20"/>
                <w:szCs w:val="20"/>
                <w:lang w:eastAsia="en-GB"/>
              </w:rPr>
            </w:pPr>
            <w:r w:rsidRPr="003E0053">
              <w:rPr>
                <w:rFonts w:eastAsia="Times New Roman"/>
                <w:b/>
                <w:color w:val="auto"/>
                <w:sz w:val="20"/>
                <w:szCs w:val="20"/>
                <w:lang w:eastAsia="en-GB"/>
              </w:rPr>
              <w:t>1. Strategic Location and Global Supply-Chain Integration</w:t>
            </w:r>
          </w:p>
        </w:tc>
        <w:tc>
          <w:tcPr>
            <w:tcW w:w="0" w:type="auto"/>
            <w:tcBorders>
              <w:top w:val="nil"/>
              <w:bottom w:val="single" w:sz="4" w:space="0" w:color="auto"/>
            </w:tcBorders>
            <w:vAlign w:val="center"/>
            <w:hideMark/>
          </w:tcPr>
          <w:p w14:paraId="2A7EF9A7"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Sri Lanka is situated at the crossroads of major East–West shipping lanes, making it a critical logistics and manufacturing hub in global apparel supply chains. Colombo Port is among the most efficient in South Asia.</w:t>
            </w:r>
          </w:p>
        </w:tc>
        <w:tc>
          <w:tcPr>
            <w:tcW w:w="0" w:type="auto"/>
            <w:tcBorders>
              <w:top w:val="nil"/>
              <w:bottom w:val="single" w:sz="4" w:space="0" w:color="auto"/>
            </w:tcBorders>
            <w:vAlign w:val="center"/>
            <w:hideMark/>
          </w:tcPr>
          <w:p w14:paraId="643C4B77"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Provides unique insights into how global supply-chain pressures and MNC sourcing practices influence CMS risks in a key export-oriented economy.</w:t>
            </w:r>
          </w:p>
        </w:tc>
      </w:tr>
      <w:tr w:rsidR="00736F61" w:rsidRPr="003E0053" w14:paraId="211DFAC9" w14:textId="77777777" w:rsidTr="00DC32F4">
        <w:trPr>
          <w:tblCellSpacing w:w="15" w:type="dxa"/>
        </w:trPr>
        <w:tc>
          <w:tcPr>
            <w:tcW w:w="0" w:type="auto"/>
            <w:vAlign w:val="center"/>
            <w:hideMark/>
          </w:tcPr>
          <w:p w14:paraId="31773C99" w14:textId="77777777" w:rsidR="00736F61" w:rsidRPr="003E0053" w:rsidRDefault="00736F61" w:rsidP="003F224E">
            <w:pPr>
              <w:spacing w:after="0" w:line="240" w:lineRule="auto"/>
              <w:rPr>
                <w:rFonts w:eastAsia="Times New Roman"/>
                <w:color w:val="auto"/>
                <w:sz w:val="20"/>
                <w:szCs w:val="20"/>
                <w:lang w:eastAsia="en-GB"/>
              </w:rPr>
            </w:pPr>
            <w:r w:rsidRPr="003E0053">
              <w:rPr>
                <w:rFonts w:eastAsia="Times New Roman"/>
                <w:b/>
                <w:color w:val="auto"/>
                <w:sz w:val="20"/>
                <w:szCs w:val="20"/>
                <w:lang w:eastAsia="en-GB"/>
              </w:rPr>
              <w:t>2. Economic Dependence on the Apparel Sector</w:t>
            </w:r>
          </w:p>
        </w:tc>
        <w:tc>
          <w:tcPr>
            <w:tcW w:w="0" w:type="auto"/>
            <w:vAlign w:val="center"/>
            <w:hideMark/>
          </w:tcPr>
          <w:p w14:paraId="465C7C0B"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The A&amp;TI generates more than 50% of Sri Lanka’s national export earnings, forming the backbone of the country’s economy.</w:t>
            </w:r>
          </w:p>
        </w:tc>
        <w:tc>
          <w:tcPr>
            <w:tcW w:w="0" w:type="auto"/>
            <w:vAlign w:val="center"/>
            <w:hideMark/>
          </w:tcPr>
          <w:p w14:paraId="650F9041"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A high-dependency industry reveals the tensions between economic survival, competitive pricing, and labour-rights vulnerabilities—central to CMS dynamics.</w:t>
            </w:r>
          </w:p>
        </w:tc>
      </w:tr>
      <w:tr w:rsidR="00736F61" w:rsidRPr="003E0053" w14:paraId="6876FD9A" w14:textId="77777777" w:rsidTr="00DC32F4">
        <w:trPr>
          <w:tblCellSpacing w:w="15" w:type="dxa"/>
        </w:trPr>
        <w:tc>
          <w:tcPr>
            <w:tcW w:w="0" w:type="auto"/>
            <w:vAlign w:val="center"/>
            <w:hideMark/>
          </w:tcPr>
          <w:p w14:paraId="162ABD73" w14:textId="77777777" w:rsidR="00736F61" w:rsidRPr="003E0053" w:rsidRDefault="00736F61" w:rsidP="003F224E">
            <w:pPr>
              <w:spacing w:after="0" w:line="240" w:lineRule="auto"/>
              <w:rPr>
                <w:rFonts w:eastAsia="Times New Roman"/>
                <w:color w:val="auto"/>
                <w:sz w:val="20"/>
                <w:szCs w:val="20"/>
                <w:lang w:eastAsia="en-GB"/>
              </w:rPr>
            </w:pPr>
            <w:r w:rsidRPr="003E0053">
              <w:rPr>
                <w:rFonts w:eastAsia="Times New Roman"/>
                <w:b/>
                <w:color w:val="auto"/>
                <w:sz w:val="20"/>
                <w:szCs w:val="20"/>
                <w:lang w:eastAsia="en-GB"/>
              </w:rPr>
              <w:t>3. High Employment Contribution</w:t>
            </w:r>
          </w:p>
        </w:tc>
        <w:tc>
          <w:tcPr>
            <w:tcW w:w="0" w:type="auto"/>
            <w:tcBorders>
              <w:top w:val="single" w:sz="4" w:space="0" w:color="auto"/>
              <w:bottom w:val="nil"/>
            </w:tcBorders>
            <w:vAlign w:val="center"/>
            <w:hideMark/>
          </w:tcPr>
          <w:p w14:paraId="00B2A2BF"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The sector directly employs 350,000 workers and indirectly supports another 350,000, making it one of the largest industrial employers in the country.</w:t>
            </w:r>
          </w:p>
        </w:tc>
        <w:tc>
          <w:tcPr>
            <w:tcW w:w="0" w:type="auto"/>
            <w:tcBorders>
              <w:top w:val="single" w:sz="4" w:space="0" w:color="auto"/>
              <w:bottom w:val="nil"/>
            </w:tcBorders>
            <w:vAlign w:val="center"/>
            <w:hideMark/>
          </w:tcPr>
          <w:p w14:paraId="601A352E"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Large, diverse, and layered employment structures allow examination of workforce vulnerabilities, power asymmetries, and labour governance.</w:t>
            </w:r>
          </w:p>
        </w:tc>
      </w:tr>
      <w:tr w:rsidR="00736F61" w:rsidRPr="003E0053" w14:paraId="06B2BB52" w14:textId="77777777" w:rsidTr="00DC32F4">
        <w:trPr>
          <w:tblCellSpacing w:w="15" w:type="dxa"/>
        </w:trPr>
        <w:tc>
          <w:tcPr>
            <w:tcW w:w="0" w:type="auto"/>
            <w:vAlign w:val="center"/>
            <w:hideMark/>
          </w:tcPr>
          <w:p w14:paraId="37EBE4B9" w14:textId="77777777" w:rsidR="00736F61" w:rsidRPr="003E0053" w:rsidRDefault="00736F61" w:rsidP="003F224E">
            <w:pPr>
              <w:spacing w:after="0" w:line="240" w:lineRule="auto"/>
              <w:rPr>
                <w:rFonts w:eastAsia="Times New Roman"/>
                <w:color w:val="auto"/>
                <w:sz w:val="20"/>
                <w:szCs w:val="20"/>
                <w:lang w:eastAsia="en-GB"/>
              </w:rPr>
            </w:pPr>
            <w:r w:rsidRPr="003E0053">
              <w:rPr>
                <w:rFonts w:eastAsia="Times New Roman"/>
                <w:b/>
                <w:color w:val="auto"/>
                <w:sz w:val="20"/>
                <w:szCs w:val="20"/>
                <w:lang w:eastAsia="en-GB"/>
              </w:rPr>
              <w:t>4. Gendered Labour Force and Vulnerability</w:t>
            </w:r>
          </w:p>
        </w:tc>
        <w:tc>
          <w:tcPr>
            <w:tcW w:w="0" w:type="auto"/>
            <w:tcBorders>
              <w:top w:val="single" w:sz="4" w:space="0" w:color="auto"/>
              <w:bottom w:val="nil"/>
            </w:tcBorders>
            <w:vAlign w:val="center"/>
            <w:hideMark/>
          </w:tcPr>
          <w:p w14:paraId="6FB256A2"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Around 34% of the apparel workforce are women, many of whom are young and from rural/peripheral areas (Sri Lanka Apparel, 2020).</w:t>
            </w:r>
          </w:p>
        </w:tc>
        <w:tc>
          <w:tcPr>
            <w:tcW w:w="0" w:type="auto"/>
            <w:tcBorders>
              <w:top w:val="single" w:sz="4" w:space="0" w:color="auto"/>
              <w:bottom w:val="nil"/>
            </w:tcBorders>
            <w:vAlign w:val="center"/>
            <w:hideMark/>
          </w:tcPr>
          <w:p w14:paraId="27B2855B"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Highlights gendered vulnerabilities, risks of exploitation, and decoupling between CSR commitments and ground realities—crucial for micro-level analysis.</w:t>
            </w:r>
          </w:p>
        </w:tc>
      </w:tr>
      <w:tr w:rsidR="00736F61" w:rsidRPr="003E0053" w14:paraId="5D154DF5" w14:textId="77777777" w:rsidTr="00DC32F4">
        <w:trPr>
          <w:tblCellSpacing w:w="15" w:type="dxa"/>
        </w:trPr>
        <w:tc>
          <w:tcPr>
            <w:tcW w:w="0" w:type="auto"/>
            <w:vAlign w:val="center"/>
            <w:hideMark/>
          </w:tcPr>
          <w:p w14:paraId="11C8E24D" w14:textId="77777777" w:rsidR="00736F61" w:rsidRPr="003E0053" w:rsidRDefault="00736F61" w:rsidP="003F224E">
            <w:pPr>
              <w:spacing w:after="0" w:line="240" w:lineRule="auto"/>
              <w:rPr>
                <w:rFonts w:eastAsia="Times New Roman"/>
                <w:color w:val="auto"/>
                <w:sz w:val="20"/>
                <w:szCs w:val="20"/>
                <w:lang w:eastAsia="en-GB"/>
              </w:rPr>
            </w:pPr>
            <w:r w:rsidRPr="003E0053">
              <w:rPr>
                <w:rFonts w:eastAsia="Times New Roman"/>
                <w:b/>
                <w:color w:val="auto"/>
                <w:sz w:val="20"/>
                <w:szCs w:val="20"/>
                <w:lang w:eastAsia="en-GB"/>
              </w:rPr>
              <w:t>5. Reputation for Ethical Labour Practices</w:t>
            </w:r>
          </w:p>
        </w:tc>
        <w:tc>
          <w:tcPr>
            <w:tcW w:w="0" w:type="auto"/>
            <w:tcBorders>
              <w:top w:val="single" w:sz="4" w:space="0" w:color="auto"/>
              <w:bottom w:val="nil"/>
            </w:tcBorders>
            <w:vAlign w:val="center"/>
            <w:hideMark/>
          </w:tcPr>
          <w:p w14:paraId="629E6F93"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Sri Lanka promotes itself globally as producing “Garments Without Guilt”, with strict compliance, third-party audits, and leading ethical manufacturing practices.</w:t>
            </w:r>
          </w:p>
        </w:tc>
        <w:tc>
          <w:tcPr>
            <w:tcW w:w="0" w:type="auto"/>
            <w:tcBorders>
              <w:top w:val="single" w:sz="4" w:space="0" w:color="auto"/>
              <w:bottom w:val="nil"/>
            </w:tcBorders>
            <w:vAlign w:val="center"/>
            <w:hideMark/>
          </w:tcPr>
          <w:p w14:paraId="732B3ECE"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 xml:space="preserve">Provides a contrasting setting where </w:t>
            </w:r>
            <w:r w:rsidRPr="003E0053">
              <w:rPr>
                <w:rFonts w:eastAsia="Times New Roman"/>
                <w:i/>
                <w:color w:val="auto"/>
                <w:sz w:val="20"/>
                <w:szCs w:val="20"/>
                <w:lang w:eastAsia="en-GB"/>
              </w:rPr>
              <w:t>claimed ethical excellence</w:t>
            </w:r>
            <w:r w:rsidRPr="003E0053">
              <w:rPr>
                <w:rFonts w:eastAsia="Times New Roman"/>
                <w:color w:val="auto"/>
                <w:sz w:val="20"/>
                <w:szCs w:val="20"/>
                <w:lang w:eastAsia="en-GB"/>
              </w:rPr>
              <w:t xml:space="preserve"> enables the study of symbolic compliance, audit-washing, and institutional decoupling.</w:t>
            </w:r>
          </w:p>
        </w:tc>
      </w:tr>
      <w:tr w:rsidR="00736F61" w:rsidRPr="003E0053" w14:paraId="5A7C046A" w14:textId="77777777" w:rsidTr="00DC32F4">
        <w:trPr>
          <w:tblCellSpacing w:w="15" w:type="dxa"/>
        </w:trPr>
        <w:tc>
          <w:tcPr>
            <w:tcW w:w="0" w:type="auto"/>
            <w:vAlign w:val="center"/>
            <w:hideMark/>
          </w:tcPr>
          <w:p w14:paraId="155CAA37" w14:textId="77777777" w:rsidR="00736F61" w:rsidRPr="003E0053" w:rsidRDefault="00736F61" w:rsidP="003F224E">
            <w:pPr>
              <w:spacing w:after="0" w:line="240" w:lineRule="auto"/>
              <w:rPr>
                <w:rFonts w:eastAsia="Times New Roman"/>
                <w:color w:val="auto"/>
                <w:sz w:val="20"/>
                <w:szCs w:val="20"/>
                <w:lang w:eastAsia="en-GB"/>
              </w:rPr>
            </w:pPr>
            <w:r w:rsidRPr="003E0053">
              <w:rPr>
                <w:rFonts w:eastAsia="Times New Roman"/>
                <w:b/>
                <w:color w:val="auto"/>
                <w:sz w:val="20"/>
                <w:szCs w:val="20"/>
                <w:lang w:eastAsia="en-GB"/>
              </w:rPr>
              <w:t>6. Global Recognition in Green Manufacturing</w:t>
            </w:r>
          </w:p>
        </w:tc>
        <w:tc>
          <w:tcPr>
            <w:tcW w:w="0" w:type="auto"/>
            <w:tcBorders>
              <w:top w:val="single" w:sz="4" w:space="0" w:color="auto"/>
              <w:bottom w:val="nil"/>
            </w:tcBorders>
            <w:vAlign w:val="center"/>
            <w:hideMark/>
          </w:tcPr>
          <w:p w14:paraId="1EFABD46"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Home to the world’s first LEED Platinum Green Garment Factory, achieving 50% energy reduction and 70% water savings (EDB, 2024).</w:t>
            </w:r>
          </w:p>
        </w:tc>
        <w:tc>
          <w:tcPr>
            <w:tcW w:w="0" w:type="auto"/>
            <w:tcBorders>
              <w:top w:val="single" w:sz="4" w:space="0" w:color="auto"/>
              <w:bottom w:val="nil"/>
            </w:tcBorders>
            <w:vAlign w:val="center"/>
            <w:hideMark/>
          </w:tcPr>
          <w:p w14:paraId="143BF03D"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Demonstrates sustainability leadership, allowing exploration of how environmental governance intersects with social sustainability and CMS.</w:t>
            </w:r>
          </w:p>
        </w:tc>
      </w:tr>
      <w:tr w:rsidR="00736F61" w:rsidRPr="003E0053" w14:paraId="5784F2E7" w14:textId="77777777" w:rsidTr="00DC32F4">
        <w:trPr>
          <w:tblCellSpacing w:w="15" w:type="dxa"/>
        </w:trPr>
        <w:tc>
          <w:tcPr>
            <w:tcW w:w="0" w:type="auto"/>
            <w:vAlign w:val="center"/>
            <w:hideMark/>
          </w:tcPr>
          <w:p w14:paraId="62C22F72" w14:textId="77777777" w:rsidR="00736F61" w:rsidRPr="003E0053" w:rsidRDefault="00736F61" w:rsidP="003F224E">
            <w:pPr>
              <w:spacing w:after="0" w:line="240" w:lineRule="auto"/>
              <w:rPr>
                <w:rFonts w:eastAsia="Times New Roman"/>
                <w:color w:val="auto"/>
                <w:sz w:val="20"/>
                <w:szCs w:val="20"/>
                <w:lang w:eastAsia="en-GB"/>
              </w:rPr>
            </w:pPr>
            <w:r w:rsidRPr="003E0053">
              <w:rPr>
                <w:rFonts w:eastAsia="Times New Roman"/>
                <w:b/>
                <w:color w:val="auto"/>
                <w:sz w:val="20"/>
                <w:szCs w:val="20"/>
                <w:lang w:eastAsia="en-GB"/>
              </w:rPr>
              <w:t>7. Strong Regulatory Frameworks</w:t>
            </w:r>
          </w:p>
        </w:tc>
        <w:tc>
          <w:tcPr>
            <w:tcW w:w="0" w:type="auto"/>
            <w:tcBorders>
              <w:top w:val="single" w:sz="4" w:space="0" w:color="auto"/>
              <w:bottom w:val="nil"/>
            </w:tcBorders>
            <w:vAlign w:val="center"/>
            <w:hideMark/>
          </w:tcPr>
          <w:p w14:paraId="4EA3198E"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Sri Lanka has ratified 43 ILO Conventions, including 8 of the 10 Fundamental Conventions. National regulations and monitoring systems support labour protection.</w:t>
            </w:r>
          </w:p>
        </w:tc>
        <w:tc>
          <w:tcPr>
            <w:tcW w:w="0" w:type="auto"/>
            <w:tcBorders>
              <w:top w:val="single" w:sz="4" w:space="0" w:color="auto"/>
              <w:bottom w:val="nil"/>
            </w:tcBorders>
            <w:vAlign w:val="center"/>
            <w:hideMark/>
          </w:tcPr>
          <w:p w14:paraId="62184110"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Enables assessment of how formal governance and regulatory frameworks translate into real worker protection—critical for macro–micro linkages.</w:t>
            </w:r>
          </w:p>
        </w:tc>
      </w:tr>
      <w:tr w:rsidR="00736F61" w:rsidRPr="003E0053" w14:paraId="498D80B4" w14:textId="77777777" w:rsidTr="00DC32F4">
        <w:trPr>
          <w:tblCellSpacing w:w="15" w:type="dxa"/>
        </w:trPr>
        <w:tc>
          <w:tcPr>
            <w:tcW w:w="0" w:type="auto"/>
            <w:vAlign w:val="center"/>
            <w:hideMark/>
          </w:tcPr>
          <w:p w14:paraId="22677DEF" w14:textId="77777777" w:rsidR="00736F61" w:rsidRPr="003E0053" w:rsidRDefault="00736F61" w:rsidP="003F224E">
            <w:pPr>
              <w:spacing w:after="0" w:line="240" w:lineRule="auto"/>
              <w:rPr>
                <w:rFonts w:eastAsia="Times New Roman"/>
                <w:color w:val="auto"/>
                <w:sz w:val="20"/>
                <w:szCs w:val="20"/>
                <w:lang w:eastAsia="en-GB"/>
              </w:rPr>
            </w:pPr>
            <w:r w:rsidRPr="003E0053">
              <w:rPr>
                <w:rFonts w:eastAsia="Times New Roman"/>
                <w:b/>
                <w:color w:val="auto"/>
                <w:sz w:val="20"/>
                <w:szCs w:val="20"/>
                <w:lang w:eastAsia="en-GB"/>
              </w:rPr>
              <w:t>8. Presence of Major Global Brands</w:t>
            </w:r>
          </w:p>
        </w:tc>
        <w:tc>
          <w:tcPr>
            <w:tcW w:w="0" w:type="auto"/>
            <w:tcBorders>
              <w:top w:val="single" w:sz="4" w:space="0" w:color="auto"/>
              <w:bottom w:val="nil"/>
            </w:tcBorders>
            <w:vAlign w:val="center"/>
            <w:hideMark/>
          </w:tcPr>
          <w:p w14:paraId="7756F085"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Sri Lankan factories manufacture for Nike, Inditex, Dior, H&amp;M, Victoria’s Secret, M&amp;S, Decathlon, Levi’s, Uniqlo, and others.</w:t>
            </w:r>
          </w:p>
        </w:tc>
        <w:tc>
          <w:tcPr>
            <w:tcW w:w="0" w:type="auto"/>
            <w:tcBorders>
              <w:top w:val="single" w:sz="4" w:space="0" w:color="auto"/>
              <w:bottom w:val="nil"/>
            </w:tcBorders>
            <w:vAlign w:val="center"/>
            <w:hideMark/>
          </w:tcPr>
          <w:p w14:paraId="5D560F15" w14:textId="77777777" w:rsidR="00736F61" w:rsidRPr="003E0053" w:rsidRDefault="00736F61" w:rsidP="003F224E">
            <w:pPr>
              <w:spacing w:after="0" w:line="240" w:lineRule="auto"/>
              <w:jc w:val="both"/>
              <w:rPr>
                <w:rFonts w:eastAsia="Times New Roman"/>
                <w:color w:val="auto"/>
                <w:sz w:val="20"/>
                <w:szCs w:val="20"/>
                <w:lang w:eastAsia="en-GB"/>
              </w:rPr>
            </w:pPr>
            <w:r w:rsidRPr="003E0053">
              <w:rPr>
                <w:rFonts w:eastAsia="Times New Roman"/>
                <w:color w:val="auto"/>
                <w:sz w:val="20"/>
                <w:szCs w:val="20"/>
                <w:lang w:eastAsia="en-GB"/>
              </w:rPr>
              <w:t>Allows analysis of how MNC sustainability governance (SGIs, CSR, due diligence) influences local labour conditions.</w:t>
            </w:r>
          </w:p>
        </w:tc>
      </w:tr>
      <w:tr w:rsidR="00736F61" w:rsidRPr="003E0053" w14:paraId="4C3CE2C6" w14:textId="77777777" w:rsidTr="00DC32F4">
        <w:trPr>
          <w:tblCellSpacing w:w="15" w:type="dxa"/>
        </w:trPr>
        <w:tc>
          <w:tcPr>
            <w:tcW w:w="0" w:type="auto"/>
            <w:vAlign w:val="center"/>
            <w:hideMark/>
          </w:tcPr>
          <w:p w14:paraId="548F5EB1" w14:textId="77777777" w:rsidR="00736F61" w:rsidRPr="003E0053" w:rsidRDefault="00736F61" w:rsidP="003F224E">
            <w:pPr>
              <w:spacing w:before="240" w:after="0" w:line="240" w:lineRule="auto"/>
              <w:rPr>
                <w:rFonts w:eastAsia="Times New Roman"/>
                <w:color w:val="auto"/>
                <w:sz w:val="20"/>
                <w:szCs w:val="20"/>
                <w:lang w:eastAsia="en-GB"/>
              </w:rPr>
            </w:pPr>
            <w:r w:rsidRPr="003E0053">
              <w:rPr>
                <w:rFonts w:eastAsia="Times New Roman"/>
                <w:b/>
                <w:color w:val="auto"/>
                <w:sz w:val="20"/>
                <w:szCs w:val="20"/>
                <w:lang w:eastAsia="en-GB"/>
              </w:rPr>
              <w:t>9. Post-Crisis Vulnerabilities</w:t>
            </w:r>
          </w:p>
        </w:tc>
        <w:tc>
          <w:tcPr>
            <w:tcW w:w="0" w:type="auto"/>
            <w:vAlign w:val="center"/>
            <w:hideMark/>
          </w:tcPr>
          <w:p w14:paraId="1B309C52" w14:textId="77777777" w:rsidR="00736F61" w:rsidRPr="003E0053" w:rsidRDefault="00736F61" w:rsidP="003F224E">
            <w:pPr>
              <w:spacing w:before="240" w:after="0" w:line="240" w:lineRule="auto"/>
              <w:jc w:val="both"/>
              <w:rPr>
                <w:rFonts w:eastAsia="Times New Roman"/>
                <w:color w:val="auto"/>
                <w:sz w:val="20"/>
                <w:szCs w:val="20"/>
                <w:lang w:eastAsia="en-GB"/>
              </w:rPr>
            </w:pPr>
            <w:r w:rsidRPr="003E0053">
              <w:rPr>
                <w:rFonts w:eastAsia="Times New Roman"/>
                <w:color w:val="auto"/>
                <w:sz w:val="20"/>
                <w:szCs w:val="20"/>
                <w:lang w:eastAsia="en-GB"/>
              </w:rPr>
              <w:t>Economic crisis (2020–2023), inflation, and political instability increased workers’ precarity and weakened enforcement.</w:t>
            </w:r>
          </w:p>
        </w:tc>
        <w:tc>
          <w:tcPr>
            <w:tcW w:w="0" w:type="auto"/>
            <w:vAlign w:val="center"/>
            <w:hideMark/>
          </w:tcPr>
          <w:p w14:paraId="32E9BE78" w14:textId="77777777" w:rsidR="00736F61" w:rsidRPr="003E0053" w:rsidRDefault="00736F61" w:rsidP="003F224E">
            <w:pPr>
              <w:spacing w:before="240" w:after="0" w:line="240" w:lineRule="auto"/>
              <w:jc w:val="both"/>
              <w:rPr>
                <w:rFonts w:eastAsia="Times New Roman"/>
                <w:color w:val="auto"/>
                <w:sz w:val="20"/>
                <w:szCs w:val="20"/>
                <w:lang w:eastAsia="en-GB"/>
              </w:rPr>
            </w:pPr>
            <w:r w:rsidRPr="003E0053">
              <w:rPr>
                <w:rFonts w:eastAsia="Times New Roman"/>
                <w:color w:val="auto"/>
                <w:sz w:val="20"/>
                <w:szCs w:val="20"/>
                <w:lang w:eastAsia="en-GB"/>
              </w:rPr>
              <w:t>Provides real-time insights into how crises exacerbate CMS risks and weaken institutional capacity.</w:t>
            </w:r>
          </w:p>
        </w:tc>
      </w:tr>
    </w:tbl>
    <w:p w14:paraId="56D4B652" w14:textId="77777777" w:rsidR="00736F61" w:rsidRPr="00CC1FC3" w:rsidRDefault="00736F61" w:rsidP="00736F61">
      <w:pPr>
        <w:spacing w:after="0" w:line="240" w:lineRule="auto"/>
        <w:rPr>
          <w:rFonts w:eastAsia="Times New Roman"/>
          <w:color w:val="000000" w:themeColor="text1"/>
        </w:rPr>
      </w:pPr>
    </w:p>
    <w:p w14:paraId="39635350" w14:textId="77777777" w:rsidR="00736F61" w:rsidRDefault="00736F61" w:rsidP="00736F61">
      <w:pPr>
        <w:pStyle w:val="Heading5"/>
        <w:spacing w:before="0" w:after="0" w:line="480" w:lineRule="auto"/>
        <w:rPr>
          <w:rFonts w:eastAsia="Palatino Linotype"/>
          <w:color w:val="EE0000"/>
        </w:rPr>
      </w:pPr>
      <w:bookmarkStart w:id="57" w:name="_Toc159763563"/>
      <w:r w:rsidRPr="00CC1FC3">
        <w:rPr>
          <w:rFonts w:cs="Times New Roman"/>
        </w:rPr>
        <w:t xml:space="preserve">5.3.9.2.5 Strengths and Limitations of the Questionnaire and </w:t>
      </w:r>
      <w:r w:rsidRPr="008E024A">
        <w:rPr>
          <w:rFonts w:eastAsia="Palatino Linotype"/>
          <w:color w:val="EE0000"/>
        </w:rPr>
        <w:t xml:space="preserve">semi-structured </w:t>
      </w:r>
    </w:p>
    <w:p w14:paraId="327FF0A4" w14:textId="77777777" w:rsidR="00736F61" w:rsidRDefault="00736F61" w:rsidP="00736F61">
      <w:pPr>
        <w:pStyle w:val="Heading5"/>
        <w:spacing w:before="0" w:after="0" w:line="480" w:lineRule="auto"/>
        <w:rPr>
          <w:rFonts w:cs="Times New Roman"/>
        </w:rPr>
      </w:pPr>
      <w:r w:rsidRPr="00CC1FC3">
        <w:rPr>
          <w:rFonts w:cs="Times New Roman"/>
        </w:rPr>
        <w:t>Interview</w:t>
      </w:r>
      <w:bookmarkEnd w:id="57"/>
    </w:p>
    <w:p w14:paraId="713F8F7A" w14:textId="77777777" w:rsidR="00736F61" w:rsidRPr="00CC1FC3" w:rsidRDefault="00736F61" w:rsidP="00736F61">
      <w:pPr>
        <w:spacing w:after="0" w:line="480" w:lineRule="auto"/>
        <w:jc w:val="both"/>
      </w:pPr>
      <w:r w:rsidRPr="00CC1FC3">
        <w:t xml:space="preserve">While </w:t>
      </w:r>
      <w:r w:rsidRPr="008E024A">
        <w:rPr>
          <w:rFonts w:eastAsia="Palatino Linotype"/>
          <w:color w:val="EE0000"/>
        </w:rPr>
        <w:t xml:space="preserve">semi-structured </w:t>
      </w:r>
      <w:r w:rsidRPr="00CC1FC3">
        <w:t xml:space="preserve">interviews and questionnaires provided rich, context-specific insights into the lived experiences of workers and stakeholders in Sri Lanka’s A&amp;TI, these methods also presented several limitations that must be acknowledged. Participant responses were sometimes shaped by subjectivity, fear, cultural sensitivity, or limited knowledge of supply-chain structures, potentially leading to incomplete or socially desirable answers. Practical </w:t>
      </w:r>
      <w:r w:rsidRPr="00CC1FC3">
        <w:lastRenderedPageBreak/>
        <w:t xml:space="preserve">challenges such as language differences, time constraints, access barriers, and the difficulty of establishing trust in a sensitive research context also affected data collection. Moreover, </w:t>
      </w:r>
      <w:r w:rsidRPr="008E024A">
        <w:rPr>
          <w:rFonts w:eastAsia="Palatino Linotype"/>
          <w:color w:val="EE0000"/>
        </w:rPr>
        <w:t xml:space="preserve">semi-structured </w:t>
      </w:r>
      <w:r w:rsidRPr="00CC1FC3">
        <w:t xml:space="preserve">interviewing is time-intensive and prone to interpretive variation, requiring strong reflexivity and careful analytical procedures. These limitations do not undermine the value of the qualitative strand; instead, they highlight the need for triangulation across macro-, meso-, and micro-level data, reinforcing the mixed-methods design adopted in this study. A detailed summary of strengths and limitations is provided in Table </w:t>
      </w:r>
      <w:r>
        <w:t>5</w:t>
      </w:r>
      <w:r w:rsidRPr="00CC1FC3">
        <w:t>.</w:t>
      </w:r>
      <w:r>
        <w:t>5</w:t>
      </w:r>
      <w:r w:rsidRPr="00CC1FC3">
        <w:t>.</w:t>
      </w:r>
    </w:p>
    <w:p w14:paraId="2E703B99" w14:textId="77777777" w:rsidR="00736F61" w:rsidRPr="00CC1FC3" w:rsidRDefault="00736F61" w:rsidP="00736F61">
      <w:pPr>
        <w:spacing w:after="0" w:line="480" w:lineRule="auto"/>
        <w:rPr>
          <w:rFonts w:eastAsia="Times New Roman"/>
          <w:b/>
          <w:bCs/>
          <w:color w:val="000000" w:themeColor="text1"/>
        </w:rPr>
      </w:pPr>
      <w:r w:rsidRPr="00CC1FC3">
        <w:rPr>
          <w:b/>
          <w:bCs/>
        </w:rPr>
        <w:t xml:space="preserve">Table </w:t>
      </w:r>
      <w:r>
        <w:rPr>
          <w:b/>
          <w:bCs/>
        </w:rPr>
        <w:t>5</w:t>
      </w:r>
      <w:r w:rsidRPr="00CC1FC3">
        <w:rPr>
          <w:b/>
          <w:bCs/>
        </w:rPr>
        <w:t>.</w:t>
      </w:r>
      <w:r>
        <w:rPr>
          <w:b/>
          <w:bCs/>
        </w:rPr>
        <w:t>5</w:t>
      </w:r>
      <w:r w:rsidRPr="00CC1FC3">
        <w:rPr>
          <w:b/>
          <w:bCs/>
        </w:rPr>
        <w:t>:</w:t>
      </w:r>
      <w:r w:rsidRPr="00CC1FC3">
        <w:t xml:space="preserve"> Strengths and Limitations of </w:t>
      </w:r>
      <w:r w:rsidRPr="008E024A">
        <w:rPr>
          <w:rFonts w:eastAsia="Palatino Linotype"/>
          <w:color w:val="EE0000"/>
        </w:rPr>
        <w:t xml:space="preserve">semi-structured </w:t>
      </w:r>
      <w:r w:rsidRPr="00CC1FC3">
        <w:t xml:space="preserve">Interviews and Questionnaires </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870"/>
        <w:gridCol w:w="3517"/>
        <w:gridCol w:w="3639"/>
      </w:tblGrid>
      <w:tr w:rsidR="00736F61" w:rsidRPr="008943AA" w14:paraId="7C48A876" w14:textId="77777777" w:rsidTr="00BB0B26">
        <w:trPr>
          <w:tblHeader/>
          <w:tblCellSpacing w:w="15" w:type="dxa"/>
        </w:trPr>
        <w:tc>
          <w:tcPr>
            <w:tcW w:w="0" w:type="auto"/>
            <w:tcBorders>
              <w:top w:val="nil"/>
              <w:bottom w:val="single" w:sz="4" w:space="0" w:color="auto"/>
            </w:tcBorders>
            <w:vAlign w:val="center"/>
            <w:hideMark/>
          </w:tcPr>
          <w:p w14:paraId="22AB3539" w14:textId="77777777" w:rsidR="00736F61" w:rsidRPr="008943AA" w:rsidRDefault="00736F61" w:rsidP="003F224E">
            <w:pPr>
              <w:spacing w:after="0" w:line="240" w:lineRule="auto"/>
              <w:jc w:val="center"/>
              <w:rPr>
                <w:rFonts w:eastAsia="Times New Roman"/>
                <w:b/>
                <w:bCs/>
                <w:color w:val="auto"/>
                <w:sz w:val="20"/>
                <w:szCs w:val="20"/>
                <w:lang w:eastAsia="en-GB"/>
              </w:rPr>
            </w:pPr>
            <w:r w:rsidRPr="008943AA">
              <w:rPr>
                <w:rFonts w:eastAsia="Times New Roman"/>
                <w:b/>
                <w:bCs/>
                <w:color w:val="auto"/>
                <w:sz w:val="20"/>
                <w:szCs w:val="20"/>
                <w:lang w:eastAsia="en-GB"/>
              </w:rPr>
              <w:t>Dimension</w:t>
            </w:r>
          </w:p>
        </w:tc>
        <w:tc>
          <w:tcPr>
            <w:tcW w:w="3487" w:type="dxa"/>
            <w:tcBorders>
              <w:top w:val="nil"/>
              <w:bottom w:val="single" w:sz="4" w:space="0" w:color="auto"/>
            </w:tcBorders>
            <w:vAlign w:val="center"/>
            <w:hideMark/>
          </w:tcPr>
          <w:p w14:paraId="1D25A0FA" w14:textId="77777777" w:rsidR="00736F61" w:rsidRPr="008943AA" w:rsidRDefault="00736F61" w:rsidP="003F224E">
            <w:pPr>
              <w:spacing w:after="0" w:line="240" w:lineRule="auto"/>
              <w:jc w:val="center"/>
              <w:rPr>
                <w:rFonts w:eastAsia="Times New Roman"/>
                <w:b/>
                <w:bCs/>
                <w:color w:val="auto"/>
                <w:sz w:val="20"/>
                <w:szCs w:val="20"/>
                <w:lang w:eastAsia="en-GB"/>
              </w:rPr>
            </w:pPr>
            <w:r w:rsidRPr="008943AA">
              <w:rPr>
                <w:rFonts w:eastAsia="Times New Roman"/>
                <w:b/>
                <w:bCs/>
                <w:color w:val="auto"/>
                <w:sz w:val="20"/>
                <w:szCs w:val="20"/>
                <w:lang w:eastAsia="en-GB"/>
              </w:rPr>
              <w:t>Strengths / Advantages</w:t>
            </w:r>
          </w:p>
        </w:tc>
        <w:tc>
          <w:tcPr>
            <w:tcW w:w="3594" w:type="dxa"/>
            <w:tcBorders>
              <w:top w:val="nil"/>
              <w:bottom w:val="single" w:sz="4" w:space="0" w:color="auto"/>
            </w:tcBorders>
            <w:vAlign w:val="center"/>
            <w:hideMark/>
          </w:tcPr>
          <w:p w14:paraId="479D656C" w14:textId="77777777" w:rsidR="00736F61" w:rsidRPr="008943AA" w:rsidRDefault="00736F61" w:rsidP="003F224E">
            <w:pPr>
              <w:spacing w:after="0" w:line="240" w:lineRule="auto"/>
              <w:jc w:val="center"/>
              <w:rPr>
                <w:rFonts w:eastAsia="Times New Roman"/>
                <w:b/>
                <w:bCs/>
                <w:color w:val="auto"/>
                <w:sz w:val="20"/>
                <w:szCs w:val="20"/>
                <w:lang w:eastAsia="en-GB"/>
              </w:rPr>
            </w:pPr>
            <w:r w:rsidRPr="008943AA">
              <w:rPr>
                <w:rFonts w:eastAsia="Times New Roman"/>
                <w:b/>
                <w:bCs/>
                <w:color w:val="auto"/>
                <w:sz w:val="20"/>
                <w:szCs w:val="20"/>
                <w:lang w:eastAsia="en-GB"/>
              </w:rPr>
              <w:t>Limitations / Constraints</w:t>
            </w:r>
          </w:p>
        </w:tc>
      </w:tr>
      <w:tr w:rsidR="00736F61" w:rsidRPr="008943AA" w14:paraId="4090172C" w14:textId="77777777" w:rsidTr="00BB0B26">
        <w:trPr>
          <w:trHeight w:val="2048"/>
          <w:tblCellSpacing w:w="15" w:type="dxa"/>
        </w:trPr>
        <w:tc>
          <w:tcPr>
            <w:tcW w:w="0" w:type="auto"/>
            <w:vAlign w:val="center"/>
            <w:hideMark/>
          </w:tcPr>
          <w:p w14:paraId="0A73BAF8"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Depth of Insight</w:t>
            </w:r>
          </w:p>
        </w:tc>
        <w:tc>
          <w:tcPr>
            <w:tcW w:w="3487" w:type="dxa"/>
            <w:tcBorders>
              <w:top w:val="nil"/>
              <w:bottom w:val="nil"/>
            </w:tcBorders>
            <w:vAlign w:val="center"/>
            <w:hideMark/>
          </w:tcPr>
          <w:p w14:paraId="14D87890"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Enables collection of rich, detailed, and context-specific data on lived experiences (Creswell, 2007). </w:t>
            </w:r>
          </w:p>
          <w:p w14:paraId="4F95F631" w14:textId="77777777" w:rsidR="00736F61" w:rsidRPr="008943AA" w:rsidRDefault="00736F61" w:rsidP="003F224E">
            <w:pPr>
              <w:jc w:val="both"/>
              <w:rPr>
                <w:sz w:val="20"/>
                <w:szCs w:val="20"/>
              </w:rPr>
            </w:pPr>
            <w:r w:rsidRPr="008943AA">
              <w:rPr>
                <w:rFonts w:eastAsia="Times New Roman"/>
                <w:color w:val="auto"/>
                <w:sz w:val="20"/>
                <w:szCs w:val="20"/>
                <w:lang w:eastAsia="en-GB"/>
              </w:rPr>
              <w:t xml:space="preserve">Captures emotions, perceptions, and nuanced personal narratives essential for understanding CMS realities </w:t>
            </w:r>
            <w:sdt>
              <w:sdtPr>
                <w:rPr>
                  <w:sz w:val="20"/>
                  <w:szCs w:val="20"/>
                </w:rPr>
                <w:tag w:val="MENDELEY_CITATION_v3_eyJjaXRhdGlvbklEIjoiTUVOREVMRVlfQ0lUQVRJT05fZjY5MTdjM2MtZWQ2Mi00NDc3LTg1ZGQtNGQ1MzkxMjg3MTg4IiwicHJvcGVydGllcyI6eyJub3RlSW5kZXgiOjB9LCJpc0VkaXRlZCI6ZmFsc2UsIm1hbnVhbE92ZXJyaWRlIjp7ImlzTWFudWFsbHlPdmVycmlkZGVuIjpmYWxzZSwiY2l0ZXByb2NUZXh0IjoiKEd1ZXN0IGFuZCBGbGVtaW5nLCAyMDE1KSIsIm1hbnVhbE92ZXJyaWRlVGV4dCI6IiJ9LCJjaXRhdGlvbkl0ZW1zIjpb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1dfQ=="/>
                <w:id w:val="-23405925"/>
                <w:placeholder>
                  <w:docPart w:val="72BBC8A37CB74BD6A30F7CF8279FE0CB"/>
                </w:placeholder>
              </w:sdtPr>
              <w:sdtEndPr/>
              <w:sdtContent>
                <w:r w:rsidRPr="008943AA">
                  <w:rPr>
                    <w:sz w:val="20"/>
                    <w:szCs w:val="20"/>
                  </w:rPr>
                  <w:t>(Guest and Fleming, 2015)</w:t>
                </w:r>
              </w:sdtContent>
            </w:sdt>
            <w:r w:rsidRPr="008943AA">
              <w:rPr>
                <w:sz w:val="20"/>
                <w:szCs w:val="20"/>
              </w:rPr>
              <w:t>.</w:t>
            </w:r>
          </w:p>
        </w:tc>
        <w:tc>
          <w:tcPr>
            <w:tcW w:w="3594" w:type="dxa"/>
            <w:tcBorders>
              <w:top w:val="nil"/>
              <w:bottom w:val="nil"/>
            </w:tcBorders>
            <w:vAlign w:val="center"/>
            <w:hideMark/>
          </w:tcPr>
          <w:p w14:paraId="47129363"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Responses may be influenced by personal bias, fear, cultural norms, or social desirability (Bell et al., 2019).</w:t>
            </w:r>
          </w:p>
          <w:p w14:paraId="2EAD11C9"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 Subjective accounts may lack precision or exaggerate/underreport experiences.</w:t>
            </w:r>
          </w:p>
        </w:tc>
      </w:tr>
      <w:tr w:rsidR="00736F61" w:rsidRPr="008943AA" w14:paraId="5B5EACA8" w14:textId="77777777" w:rsidTr="00BB0B26">
        <w:trPr>
          <w:tblCellSpacing w:w="15" w:type="dxa"/>
        </w:trPr>
        <w:tc>
          <w:tcPr>
            <w:tcW w:w="0" w:type="auto"/>
            <w:vAlign w:val="center"/>
            <w:hideMark/>
          </w:tcPr>
          <w:p w14:paraId="72D5D3F0"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Contextual Understanding</w:t>
            </w:r>
          </w:p>
        </w:tc>
        <w:tc>
          <w:tcPr>
            <w:tcW w:w="3487" w:type="dxa"/>
            <w:tcBorders>
              <w:top w:val="single" w:sz="4" w:space="0" w:color="auto"/>
              <w:bottom w:val="nil"/>
            </w:tcBorders>
            <w:vAlign w:val="center"/>
            <w:hideMark/>
          </w:tcPr>
          <w:p w14:paraId="1030A00B"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Provides insight into socio-cultural norms, workplace dynamics, structural vulnerabilities, and economic pressures shaping exploitation (Saunders et al., 2009). </w:t>
            </w:r>
          </w:p>
          <w:p w14:paraId="3478713B"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Helps interpret quantitative results by explaining the “why” behind findings.</w:t>
            </w:r>
          </w:p>
        </w:tc>
        <w:tc>
          <w:tcPr>
            <w:tcW w:w="3594" w:type="dxa"/>
            <w:tcBorders>
              <w:top w:val="single" w:sz="4" w:space="0" w:color="auto"/>
              <w:bottom w:val="nil"/>
            </w:tcBorders>
            <w:vAlign w:val="center"/>
            <w:hideMark/>
          </w:tcPr>
          <w:p w14:paraId="0B9CB6DC" w14:textId="77777777" w:rsidR="00736F61" w:rsidRPr="008943AA" w:rsidRDefault="00736F61" w:rsidP="003F224E">
            <w:pPr>
              <w:jc w:val="both"/>
              <w:rPr>
                <w:sz w:val="20"/>
                <w:szCs w:val="20"/>
              </w:rPr>
            </w:pPr>
            <w:r w:rsidRPr="008943AA">
              <w:rPr>
                <w:rFonts w:eastAsia="Times New Roman"/>
                <w:color w:val="auto"/>
                <w:sz w:val="20"/>
                <w:szCs w:val="20"/>
                <w:lang w:eastAsia="en-GB"/>
              </w:rPr>
              <w:t xml:space="preserve">Respondents with limited knowledge of supply-chain structures may provide incomplete or vague answers </w:t>
            </w:r>
            <w:sdt>
              <w:sdtPr>
                <w:rPr>
                  <w:sz w:val="20"/>
                  <w:szCs w:val="20"/>
                </w:rPr>
                <w:tag w:val="MENDELEY_CITATION_v3_eyJjaXRhdGlvbklEIjoiTUVOREVMRVlfQ0lUQVRJT05fOGRmNGYwODktNzhiZS00ZWFiLTlkMjgtY2U3ZDA5ZjcwOTYzIiwicHJvcGVydGllcyI6eyJub3RlSW5kZXgiOjB9LCJpc0VkaXRlZCI6ZmFsc2UsIm1hbnVhbE92ZXJyaWRlIjp7ImlzTWFudWFsbHlPdmVycmlkZGVuIjpmYWxzZSwiY2l0ZXByb2NUZXh0IjoiKEd1ZXN0IGFuZCBGbGVtaW5nLCAyMDE1KSIsIm1hbnVhbE92ZXJyaWRlVGV4dCI6IiJ9LCJjaXRhdGlvbkl0ZW1zIjpb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1dfQ=="/>
                <w:id w:val="559523572"/>
                <w:placeholder>
                  <w:docPart w:val="1582353C5E3643379D331278FA81DFD8"/>
                </w:placeholder>
              </w:sdtPr>
              <w:sdtEndPr/>
              <w:sdtContent>
                <w:r w:rsidRPr="008943AA">
                  <w:rPr>
                    <w:sz w:val="20"/>
                    <w:szCs w:val="20"/>
                  </w:rPr>
                  <w:t>(Guest and Fleming, 2015)</w:t>
                </w:r>
              </w:sdtContent>
            </w:sdt>
            <w:r w:rsidRPr="008943AA">
              <w:rPr>
                <w:rFonts w:eastAsia="Times New Roman"/>
                <w:color w:val="auto"/>
                <w:sz w:val="20"/>
                <w:szCs w:val="20"/>
                <w:lang w:eastAsia="en-GB"/>
              </w:rPr>
              <w:t xml:space="preserve">. </w:t>
            </w:r>
          </w:p>
          <w:p w14:paraId="161FC1E8"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 Language differences (Sinhala/English) may create communication challenges.</w:t>
            </w:r>
          </w:p>
        </w:tc>
      </w:tr>
      <w:tr w:rsidR="00736F61" w:rsidRPr="008943AA" w14:paraId="3092A077" w14:textId="77777777" w:rsidTr="00BB0B26">
        <w:trPr>
          <w:tblCellSpacing w:w="15" w:type="dxa"/>
        </w:trPr>
        <w:tc>
          <w:tcPr>
            <w:tcW w:w="0" w:type="auto"/>
            <w:vAlign w:val="center"/>
            <w:hideMark/>
          </w:tcPr>
          <w:p w14:paraId="5A129EE4"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Multiple Stakeholder Perspectives</w:t>
            </w:r>
          </w:p>
        </w:tc>
        <w:tc>
          <w:tcPr>
            <w:tcW w:w="3487" w:type="dxa"/>
            <w:tcBorders>
              <w:top w:val="single" w:sz="4" w:space="0" w:color="auto"/>
              <w:bottom w:val="nil"/>
            </w:tcBorders>
            <w:vAlign w:val="center"/>
            <w:hideMark/>
          </w:tcPr>
          <w:p w14:paraId="17668652"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Allows collection of diverse viewpoints across workers, supervisors, managers, unions, NGOs, and policymakers. </w:t>
            </w:r>
          </w:p>
          <w:p w14:paraId="533BA412"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Supports triangulation with corporate disclosures and quantitative findings.</w:t>
            </w:r>
          </w:p>
        </w:tc>
        <w:tc>
          <w:tcPr>
            <w:tcW w:w="3594" w:type="dxa"/>
            <w:tcBorders>
              <w:top w:val="single" w:sz="4" w:space="0" w:color="auto"/>
              <w:bottom w:val="nil"/>
            </w:tcBorders>
            <w:vAlign w:val="center"/>
            <w:hideMark/>
          </w:tcPr>
          <w:p w14:paraId="32122DCB"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Some stakeholder groups may be underrepresented due to accessibility, fear, or reluctance to participate. </w:t>
            </w:r>
          </w:p>
          <w:p w14:paraId="7E7383C2"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Snowball sampling may inadvertently bias the sample.</w:t>
            </w:r>
          </w:p>
        </w:tc>
      </w:tr>
      <w:tr w:rsidR="00736F61" w:rsidRPr="008943AA" w14:paraId="4070A751" w14:textId="77777777" w:rsidTr="00BB0B26">
        <w:trPr>
          <w:tblCellSpacing w:w="15" w:type="dxa"/>
        </w:trPr>
        <w:tc>
          <w:tcPr>
            <w:tcW w:w="0" w:type="auto"/>
            <w:vAlign w:val="center"/>
            <w:hideMark/>
          </w:tcPr>
          <w:p w14:paraId="0422B9CB"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Flexibility and Tailoring</w:t>
            </w:r>
          </w:p>
        </w:tc>
        <w:tc>
          <w:tcPr>
            <w:tcW w:w="3487" w:type="dxa"/>
            <w:tcBorders>
              <w:top w:val="single" w:sz="4" w:space="0" w:color="auto"/>
              <w:bottom w:val="single" w:sz="4" w:space="0" w:color="auto"/>
            </w:tcBorders>
            <w:vAlign w:val="center"/>
            <w:hideMark/>
          </w:tcPr>
          <w:p w14:paraId="433E5BF1"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Interviews can be adapted to different participant profiles (e.g., workers vs. managers). </w:t>
            </w:r>
          </w:p>
          <w:p w14:paraId="4A59F30F"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Facilitates follow-up questions to probe sensitive workplace issues such as harassment, threats, and wage violations.</w:t>
            </w:r>
          </w:p>
        </w:tc>
        <w:tc>
          <w:tcPr>
            <w:tcW w:w="3594" w:type="dxa"/>
            <w:tcBorders>
              <w:top w:val="single" w:sz="4" w:space="0" w:color="auto"/>
              <w:bottom w:val="single" w:sz="4" w:space="0" w:color="auto"/>
            </w:tcBorders>
            <w:vAlign w:val="center"/>
            <w:hideMark/>
          </w:tcPr>
          <w:p w14:paraId="77CE5D5D"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Time-consuming data collection and transcription, especially for a large sample. </w:t>
            </w:r>
          </w:p>
          <w:p w14:paraId="42E0AD99"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 Requires strong interviewer skills to maintain neutrality, rapport, and cultural sensitivity.</w:t>
            </w:r>
          </w:p>
        </w:tc>
      </w:tr>
      <w:tr w:rsidR="00736F61" w:rsidRPr="008943AA" w14:paraId="202DF94D" w14:textId="77777777" w:rsidTr="00BB0B26">
        <w:trPr>
          <w:tblCellSpacing w:w="15" w:type="dxa"/>
        </w:trPr>
        <w:tc>
          <w:tcPr>
            <w:tcW w:w="0" w:type="auto"/>
            <w:vAlign w:val="center"/>
            <w:hideMark/>
          </w:tcPr>
          <w:p w14:paraId="3CCF9502"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Data Triangulation</w:t>
            </w:r>
          </w:p>
        </w:tc>
        <w:tc>
          <w:tcPr>
            <w:tcW w:w="3487" w:type="dxa"/>
            <w:vAlign w:val="center"/>
            <w:hideMark/>
          </w:tcPr>
          <w:p w14:paraId="02944B9E"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Enhances credibility by corroborating findings with quantitative results and document analysis (Gibson, 2017). </w:t>
            </w:r>
          </w:p>
          <w:p w14:paraId="0E25905E"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Helps identify inconsistencies between policy claims and worker realities.</w:t>
            </w:r>
          </w:p>
        </w:tc>
        <w:tc>
          <w:tcPr>
            <w:tcW w:w="3594" w:type="dxa"/>
            <w:vAlign w:val="center"/>
            <w:hideMark/>
          </w:tcPr>
          <w:p w14:paraId="522020D2"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Integrating multiple qualitative and quantitative datasets is analytically complex. </w:t>
            </w:r>
          </w:p>
          <w:p w14:paraId="3597EB63"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Requires careful interpretation to avoid overgeneralisation or misalignment.</w:t>
            </w:r>
          </w:p>
        </w:tc>
      </w:tr>
      <w:tr w:rsidR="00736F61" w:rsidRPr="008943AA" w14:paraId="191C6E09" w14:textId="77777777" w:rsidTr="00BB0B26">
        <w:trPr>
          <w:tblCellSpacing w:w="15" w:type="dxa"/>
        </w:trPr>
        <w:tc>
          <w:tcPr>
            <w:tcW w:w="0" w:type="auto"/>
            <w:vAlign w:val="center"/>
            <w:hideMark/>
          </w:tcPr>
          <w:p w14:paraId="1EC1CBA0"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t>Ethical and Advocacy Value</w:t>
            </w:r>
          </w:p>
        </w:tc>
        <w:tc>
          <w:tcPr>
            <w:tcW w:w="3487" w:type="dxa"/>
            <w:tcBorders>
              <w:top w:val="single" w:sz="4" w:space="0" w:color="auto"/>
              <w:bottom w:val="nil"/>
            </w:tcBorders>
            <w:vAlign w:val="center"/>
            <w:hideMark/>
          </w:tcPr>
          <w:p w14:paraId="0BAD8C00"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Personal stories highlight invisible or unreported labour abuses, strengthening the study’s social impact. </w:t>
            </w:r>
          </w:p>
          <w:p w14:paraId="1BE08B6F"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Can inform policy reforms and strengthen anti-slavery interventions.</w:t>
            </w:r>
          </w:p>
        </w:tc>
        <w:tc>
          <w:tcPr>
            <w:tcW w:w="3594" w:type="dxa"/>
            <w:tcBorders>
              <w:top w:val="single" w:sz="4" w:space="0" w:color="auto"/>
              <w:bottom w:val="nil"/>
            </w:tcBorders>
            <w:vAlign w:val="center"/>
            <w:hideMark/>
          </w:tcPr>
          <w:p w14:paraId="1051D3FB"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Discussing sensitive topics (e.g., abuse, threats, harassment) may cause emotional distress. </w:t>
            </w:r>
          </w:p>
          <w:p w14:paraId="2E3DEF92"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Requires high ethical vigilance, confidentiality, and trust-building.</w:t>
            </w:r>
          </w:p>
        </w:tc>
      </w:tr>
      <w:tr w:rsidR="00736F61" w:rsidRPr="008943AA" w14:paraId="73257711" w14:textId="77777777" w:rsidTr="00BB0B26">
        <w:trPr>
          <w:tblCellSpacing w:w="15" w:type="dxa"/>
        </w:trPr>
        <w:tc>
          <w:tcPr>
            <w:tcW w:w="0" w:type="auto"/>
            <w:vAlign w:val="center"/>
            <w:hideMark/>
          </w:tcPr>
          <w:p w14:paraId="72B6195F" w14:textId="77777777" w:rsidR="00736F61" w:rsidRPr="008943AA" w:rsidRDefault="00736F61" w:rsidP="003F224E">
            <w:pPr>
              <w:spacing w:after="0" w:line="240" w:lineRule="auto"/>
              <w:rPr>
                <w:rFonts w:eastAsia="Times New Roman"/>
                <w:color w:val="auto"/>
                <w:sz w:val="20"/>
                <w:szCs w:val="20"/>
                <w:lang w:eastAsia="en-GB"/>
              </w:rPr>
            </w:pPr>
            <w:r w:rsidRPr="008943AA">
              <w:rPr>
                <w:rFonts w:eastAsia="Times New Roman"/>
                <w:b/>
                <w:bCs/>
                <w:color w:val="auto"/>
                <w:sz w:val="20"/>
                <w:szCs w:val="20"/>
                <w:lang w:eastAsia="en-GB"/>
              </w:rPr>
              <w:lastRenderedPageBreak/>
              <w:t>Practical Constraints</w:t>
            </w:r>
          </w:p>
        </w:tc>
        <w:tc>
          <w:tcPr>
            <w:tcW w:w="3487" w:type="dxa"/>
            <w:tcBorders>
              <w:top w:val="single" w:sz="4" w:space="0" w:color="auto"/>
              <w:bottom w:val="nil"/>
            </w:tcBorders>
            <w:vAlign w:val="center"/>
            <w:hideMark/>
          </w:tcPr>
          <w:p w14:paraId="4EF84400"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Allows alternative data collection modes (face-to-face, phone, online) to accommodate worker schedules.</w:t>
            </w:r>
          </w:p>
        </w:tc>
        <w:tc>
          <w:tcPr>
            <w:tcW w:w="3594" w:type="dxa"/>
            <w:tcBorders>
              <w:top w:val="single" w:sz="4" w:space="0" w:color="auto"/>
              <w:bottom w:val="nil"/>
            </w:tcBorders>
            <w:vAlign w:val="center"/>
            <w:hideMark/>
          </w:tcPr>
          <w:p w14:paraId="2555A2D2"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 xml:space="preserve"> Worker fatigue (long shifts) reduces availability for interviews. </w:t>
            </w:r>
          </w:p>
          <w:p w14:paraId="61541E90" w14:textId="77777777" w:rsidR="00736F61" w:rsidRPr="008943AA" w:rsidRDefault="00736F61" w:rsidP="003F224E">
            <w:pPr>
              <w:spacing w:after="0" w:line="240" w:lineRule="auto"/>
              <w:jc w:val="both"/>
              <w:rPr>
                <w:rFonts w:eastAsia="Times New Roman"/>
                <w:color w:val="auto"/>
                <w:sz w:val="20"/>
                <w:szCs w:val="20"/>
                <w:lang w:eastAsia="en-GB"/>
              </w:rPr>
            </w:pPr>
            <w:r w:rsidRPr="008943AA">
              <w:rPr>
                <w:rFonts w:eastAsia="Times New Roman"/>
                <w:color w:val="auto"/>
                <w:sz w:val="20"/>
                <w:szCs w:val="20"/>
                <w:lang w:eastAsia="en-GB"/>
              </w:rPr>
              <w:t>•Fieldwork challenges in Sri Lanka due to economic instability, transport issues, and safety concerns.</w:t>
            </w:r>
          </w:p>
        </w:tc>
      </w:tr>
    </w:tbl>
    <w:p w14:paraId="7F55B192" w14:textId="77777777" w:rsidR="00736F61" w:rsidRDefault="00736F61" w:rsidP="00736F61">
      <w:pPr>
        <w:pStyle w:val="Heading4"/>
      </w:pPr>
    </w:p>
    <w:p w14:paraId="158A2B8C" w14:textId="77777777" w:rsidR="00736F61" w:rsidRPr="00CC1FC3" w:rsidRDefault="00736F61" w:rsidP="00736F61">
      <w:pPr>
        <w:pStyle w:val="Heading4"/>
      </w:pPr>
      <w:r w:rsidRPr="00CC1FC3">
        <w:t>5.3.5.3 Triangulation</w:t>
      </w:r>
      <w:bookmarkEnd w:id="46"/>
      <w:bookmarkEnd w:id="47"/>
      <w:bookmarkEnd w:id="48"/>
    </w:p>
    <w:p w14:paraId="70B556EC" w14:textId="77777777" w:rsidR="00736F61" w:rsidRPr="00CC1FC3" w:rsidRDefault="00736F61" w:rsidP="00736F61">
      <w:pPr>
        <w:spacing w:after="0" w:line="480" w:lineRule="auto"/>
        <w:ind w:firstLine="720"/>
        <w:jc w:val="both"/>
        <w:rPr>
          <w:rFonts w:eastAsia="Palatino Linotype"/>
          <w:color w:val="auto"/>
        </w:rPr>
      </w:pPr>
      <w:r w:rsidRPr="00CC1FC3">
        <w:rPr>
          <w:rFonts w:eastAsia="Palatino Linotype"/>
          <w:color w:val="auto"/>
        </w:rPr>
        <w:t xml:space="preserve">Triangulation in the context of mixed methods research refers to the practice of using multiple sources of data, methods, theories, or researchers to confirm or corroborate research findings </w:t>
      </w:r>
      <w:sdt>
        <w:sdtPr>
          <w:rPr>
            <w:rFonts w:eastAsia="Palatino Linotype"/>
          </w:rPr>
          <w:tag w:val="MENDELEY_CITATION_v3_eyJjaXRhdGlvbklEIjoiTUVOREVMRVlfQ0lUQVRJT05fYmZlNDE5M2ItZDkxZS00YjkyLTgyYWEtNWZhNDQzODFjMzY5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
          <w:id w:val="1816063232"/>
        </w:sdtPr>
        <w:sdtEndPr/>
        <w:sdtContent>
          <w:r w:rsidRPr="00A73C12">
            <w:rPr>
              <w:rFonts w:eastAsia="Palatino Linotype"/>
            </w:rPr>
            <w:t>(Collis and Hussey, 2021)</w:t>
          </w:r>
        </w:sdtContent>
      </w:sdt>
      <w:r w:rsidRPr="00CC1FC3">
        <w:rPr>
          <w:rFonts w:eastAsia="Palatino Linotype"/>
          <w:color w:val="auto"/>
        </w:rPr>
        <w:t xml:space="preserve">. It is based on the idea that integrating diverse perspectives and approaches can enhance the validity and reliability of researchers’ findings, providing a more comprehensive understanding of MS practices. In mixed-methods research, triangulation typically involves integrating qualitative and quantitative data collection and analysis techniques. For example, this study gathers qualitative data through </w:t>
      </w:r>
      <w:r w:rsidRPr="008E024A">
        <w:rPr>
          <w:rFonts w:eastAsia="Palatino Linotype"/>
          <w:color w:val="EE0000"/>
        </w:rPr>
        <w:t xml:space="preserve">semi-structured </w:t>
      </w:r>
      <w:r w:rsidRPr="00CC1FC3">
        <w:rPr>
          <w:rFonts w:eastAsia="Palatino Linotype"/>
          <w:color w:val="auto"/>
        </w:rPr>
        <w:t xml:space="preserve">interviews and questionnaires to explore participants’ experiences and perspectives in depth. It may then complement this qualitative data with quantitative measures to provide statistical support or enhance the generalizability of their findings. By triangulating qualitative and quantitative data, this study can strengthen the credibility of its results. </w:t>
      </w:r>
    </w:p>
    <w:p w14:paraId="77D49D5B" w14:textId="77777777" w:rsidR="00736F61" w:rsidRPr="00CC1FC3" w:rsidRDefault="00736F61" w:rsidP="00736F61">
      <w:pPr>
        <w:spacing w:after="0" w:line="480" w:lineRule="auto"/>
        <w:jc w:val="both"/>
        <w:rPr>
          <w:color w:val="auto"/>
        </w:rPr>
      </w:pPr>
      <w:r w:rsidRPr="00CC1FC3">
        <w:rPr>
          <w:rFonts w:eastAsia="Palatino Linotype"/>
          <w:b/>
          <w:color w:val="auto"/>
        </w:rPr>
        <w:t>Triangulation of theor</w:t>
      </w:r>
      <w:r>
        <w:rPr>
          <w:rFonts w:eastAsia="Palatino Linotype"/>
          <w:b/>
          <w:color w:val="auto"/>
        </w:rPr>
        <w:t>y</w:t>
      </w:r>
      <w:r w:rsidRPr="00CC1FC3">
        <w:rPr>
          <w:rFonts w:eastAsia="Palatino Linotype"/>
          <w:b/>
          <w:color w:val="auto"/>
        </w:rPr>
        <w:t>:</w:t>
      </w:r>
      <w:r w:rsidRPr="00CC1FC3">
        <w:rPr>
          <w:rFonts w:eastAsia="Palatino Linotype"/>
          <w:color w:val="auto"/>
        </w:rPr>
        <w:t xml:space="preserve">  </w:t>
      </w:r>
      <w:r w:rsidRPr="00CC1FC3">
        <w:rPr>
          <w:color w:val="auto"/>
        </w:rPr>
        <w:t xml:space="preserve">By triangulating through the lens of NIT, the study aims to provide a comprehensive understanding of the factors driving and shaping CMS practices within organisations, offering valuable insights into ethical business conduct and organisational dynamics. </w:t>
      </w:r>
      <w:r w:rsidRPr="00CC1FC3">
        <w:t>Data triangulation involves integrating quantitative and qualitative methods to examine CMS practices comprehensively</w:t>
      </w:r>
      <w:r w:rsidRPr="007A1D28">
        <w:rPr>
          <w:color w:val="auto"/>
        </w:rPr>
        <w:t>. Quantitative analysis covers 15 years across 11 economic sectors (72 industries) in 32 countries (See Table 5.1</w:t>
      </w:r>
      <w:r>
        <w:rPr>
          <w:color w:val="auto"/>
        </w:rPr>
        <w:t>1</w:t>
      </w:r>
      <w:r w:rsidRPr="007A1D28">
        <w:rPr>
          <w:color w:val="auto"/>
        </w:rPr>
        <w:t xml:space="preserve"> and 5.1</w:t>
      </w:r>
      <w:r>
        <w:rPr>
          <w:color w:val="auto"/>
        </w:rPr>
        <w:t>2</w:t>
      </w:r>
      <w:r w:rsidRPr="007A1D28">
        <w:rPr>
          <w:color w:val="auto"/>
        </w:rPr>
        <w:t>), providing a macro-level overview of CMS trends and</w:t>
      </w:r>
      <w:r w:rsidRPr="00CC1FC3">
        <w:rPr>
          <w:color w:val="auto"/>
        </w:rPr>
        <w:t xml:space="preserve"> patterns. This quantitative approach enables the identification of correlations and variations in CMS practices across different contexts. Concurrently, qualitative research focuses on the </w:t>
      </w:r>
      <w:r>
        <w:rPr>
          <w:color w:val="auto"/>
        </w:rPr>
        <w:t>A&amp;TI</w:t>
      </w:r>
      <w:r w:rsidRPr="00CC1FC3">
        <w:rPr>
          <w:color w:val="auto"/>
        </w:rPr>
        <w:t>, exploring stakeholder perceptions through</w:t>
      </w:r>
      <w:r>
        <w:rPr>
          <w:color w:val="auto"/>
        </w:rPr>
        <w:t xml:space="preserve"> </w:t>
      </w:r>
      <w:r w:rsidRPr="008E024A">
        <w:rPr>
          <w:rFonts w:eastAsia="Palatino Linotype"/>
          <w:color w:val="EE0000"/>
        </w:rPr>
        <w:t xml:space="preserve">semi-structured </w:t>
      </w:r>
      <w:r w:rsidRPr="00CC1FC3">
        <w:rPr>
          <w:color w:val="auto"/>
        </w:rPr>
        <w:t xml:space="preserve">interviews and questionnaires. By combining these methods, the study </w:t>
      </w:r>
      <w:r w:rsidRPr="00CC1FC3">
        <w:rPr>
          <w:color w:val="auto"/>
        </w:rPr>
        <w:lastRenderedPageBreak/>
        <w:t>aims to offer a nuanced understanding of CMS practices, enriching statistical trends with contextual insights. This mixed-methods approach enhances the credibility of findings and provides a robust understanding of CMS dynamics and implications.</w:t>
      </w:r>
    </w:p>
    <w:p w14:paraId="32A5B58E" w14:textId="77777777" w:rsidR="00736F61" w:rsidRPr="00CC1FC3" w:rsidRDefault="00736F61" w:rsidP="00736F61">
      <w:pPr>
        <w:spacing w:after="0" w:line="480" w:lineRule="auto"/>
        <w:jc w:val="both"/>
        <w:rPr>
          <w:color w:val="auto"/>
        </w:rPr>
      </w:pPr>
      <w:r w:rsidRPr="00CC1FC3">
        <w:rPr>
          <w:b/>
          <w:color w:val="auto"/>
        </w:rPr>
        <w:t>Investigator triangulation:</w:t>
      </w:r>
      <w:r w:rsidRPr="00CC1FC3">
        <w:rPr>
          <w:color w:val="auto"/>
        </w:rPr>
        <w:t xml:space="preserve"> This study seeks input and advice from academic experts before conducting the qualitative research phase. By leveraging the expertise and insights of these academics, the study aims to refine its research questionnaire and </w:t>
      </w:r>
      <w:r w:rsidRPr="008E024A">
        <w:rPr>
          <w:rFonts w:eastAsia="Palatino Linotype"/>
          <w:color w:val="EE0000"/>
        </w:rPr>
        <w:t xml:space="preserve">semi-structured </w:t>
      </w:r>
      <w:r w:rsidRPr="00CC1FC3">
        <w:rPr>
          <w:color w:val="auto"/>
        </w:rPr>
        <w:t>interview protocols to ensure they are relevant, clear, and effective at capturing the desired information. By adjusting the research instruments based on expert feedback, the study enhances the validity and credibility of its qualitative findings, ultimately contributing to a more robust and nuanced understanding of the research topic.</w:t>
      </w:r>
    </w:p>
    <w:p w14:paraId="1A32C80E" w14:textId="77777777" w:rsidR="00736F61" w:rsidRPr="00CC1FC3" w:rsidRDefault="00736F61" w:rsidP="00736F61">
      <w:pPr>
        <w:spacing w:after="0" w:line="480" w:lineRule="auto"/>
        <w:jc w:val="both"/>
        <w:rPr>
          <w:color w:val="auto"/>
        </w:rPr>
      </w:pPr>
      <w:r w:rsidRPr="00CC1FC3">
        <w:rPr>
          <w:b/>
          <w:color w:val="auto"/>
        </w:rPr>
        <w:t>Methodological triangulation:</w:t>
      </w:r>
      <w:r w:rsidRPr="00CC1FC3">
        <w:rPr>
          <w:color w:val="auto"/>
        </w:rPr>
        <w:t xml:space="preserve"> The study utilises both </w:t>
      </w:r>
      <w:r>
        <w:rPr>
          <w:color w:val="auto"/>
        </w:rPr>
        <w:t>questionnaire</w:t>
      </w:r>
      <w:r w:rsidRPr="00CC1FC3">
        <w:rPr>
          <w:color w:val="auto"/>
        </w:rPr>
        <w:t xml:space="preserve"> and </w:t>
      </w:r>
      <w:r w:rsidRPr="008E024A">
        <w:rPr>
          <w:rFonts w:eastAsia="Palatino Linotype"/>
          <w:color w:val="EE0000"/>
        </w:rPr>
        <w:t xml:space="preserve">semi-structured </w:t>
      </w:r>
      <w:r w:rsidRPr="00CC1FC3">
        <w:rPr>
          <w:color w:val="auto"/>
        </w:rPr>
        <w:t xml:space="preserve">interviews. A quantitative approach provides statistical rigour and enables the analysis of large datasets to identify trends in CMS practices. </w:t>
      </w:r>
      <w:r>
        <w:rPr>
          <w:rFonts w:eastAsia="Palatino Linotype"/>
          <w:color w:val="EE0000"/>
        </w:rPr>
        <w:t>S</w:t>
      </w:r>
      <w:r w:rsidRPr="008E024A">
        <w:rPr>
          <w:rFonts w:eastAsia="Palatino Linotype"/>
          <w:color w:val="EE0000"/>
        </w:rPr>
        <w:t xml:space="preserve">emi-structured </w:t>
      </w:r>
      <w:r w:rsidRPr="00CC1FC3">
        <w:rPr>
          <w:color w:val="auto"/>
        </w:rPr>
        <w:t xml:space="preserve">interviews and questionnaires offer rich, detailed insights into individuals’ perspectives and experiences related to CMS practices. By triangulating these methods, the study aims to provide a comprehensive understanding of CMS practices, leveraging the strengths of both quantitative and qualitative approaches to enhance the validity and credibility of the research findings </w:t>
      </w:r>
      <w:sdt>
        <w:sdtPr>
          <w:tag w:val="MENDELEY_CITATION_v3_eyJjaXRhdGlvbklEIjoiTUVOREVMRVlfQ0lUQVRJT05fNWQ1Yjk1OTAtNjY3YS00NmI2LThmMTMtYmU0MjI0MDY5NmRk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
          <w:id w:val="-404380903"/>
          <w:placeholder>
            <w:docPart w:val="0A34880A911B4B57B936A539FBA48F0B"/>
          </w:placeholder>
        </w:sdtPr>
        <w:sdtEndPr/>
        <w:sdtContent>
          <w:r w:rsidRPr="00A73C12">
            <w:t>(Creswell and Plano, 2018; Guest and Fleming, 2015)</w:t>
          </w:r>
        </w:sdtContent>
      </w:sdt>
      <w:r w:rsidRPr="00CC1FC3">
        <w:rPr>
          <w:color w:val="auto"/>
        </w:rPr>
        <w:t>.</w:t>
      </w:r>
    </w:p>
    <w:p w14:paraId="29316ECB" w14:textId="77777777" w:rsidR="00736F61" w:rsidRPr="00CC1FC3" w:rsidRDefault="00736F61" w:rsidP="00736F61">
      <w:pPr>
        <w:pStyle w:val="Heading3"/>
      </w:pPr>
      <w:bookmarkStart w:id="58" w:name="_Toc215651864"/>
      <w:bookmarkStart w:id="59" w:name="_Toc220848364"/>
      <w:bookmarkStart w:id="60" w:name="_Toc221437658"/>
      <w:r w:rsidRPr="00CC1FC3">
        <w:t>5.3.6 Primary Research Question and analytical alignment</w:t>
      </w:r>
      <w:bookmarkEnd w:id="58"/>
      <w:bookmarkEnd w:id="59"/>
      <w:bookmarkEnd w:id="60"/>
    </w:p>
    <w:p w14:paraId="687433F1" w14:textId="77777777" w:rsidR="00736F61" w:rsidRPr="00CC1FC3" w:rsidRDefault="00736F61" w:rsidP="00736F61">
      <w:pPr>
        <w:spacing w:after="0" w:line="480" w:lineRule="auto"/>
        <w:jc w:val="both"/>
      </w:pPr>
      <w:r w:rsidRPr="00CC1FC3">
        <w:t xml:space="preserve">This </w:t>
      </w:r>
      <w:r>
        <w:t xml:space="preserve">thesis </w:t>
      </w:r>
      <w:r w:rsidRPr="00CC1FC3">
        <w:t xml:space="preserve">is </w:t>
      </w:r>
      <w:r w:rsidRPr="00CA146A">
        <w:rPr>
          <w:color w:val="EE0000"/>
        </w:rPr>
        <w:t xml:space="preserve">guided four research questions, each aligned with the multi-level structure of the research design. The integration </w:t>
      </w:r>
      <w:r w:rsidRPr="00CC1FC3">
        <w:t xml:space="preserve">of quantitative and qualitative methods enables a comprehensive examination of the institutional, corporate, and social mechanisms that shape CMS across global supply chains. Table </w:t>
      </w:r>
      <w:r>
        <w:t>5.6</w:t>
      </w:r>
      <w:r w:rsidRPr="00CC1FC3">
        <w:t xml:space="preserve"> summarises the Research question and hypothesis.</w:t>
      </w:r>
    </w:p>
    <w:p w14:paraId="4CF9885B" w14:textId="77777777" w:rsidR="00736F61" w:rsidRPr="00CC1FC3" w:rsidRDefault="00736F61" w:rsidP="00736F61">
      <w:pPr>
        <w:spacing w:after="0" w:line="480" w:lineRule="auto"/>
        <w:jc w:val="both"/>
        <w:rPr>
          <w:b/>
          <w:bCs/>
        </w:rPr>
      </w:pPr>
      <w:r w:rsidRPr="00CC1FC3">
        <w:rPr>
          <w:b/>
          <w:bCs/>
        </w:rPr>
        <w:t xml:space="preserve">Table </w:t>
      </w:r>
      <w:r>
        <w:rPr>
          <w:b/>
          <w:bCs/>
        </w:rPr>
        <w:t>5.6</w:t>
      </w:r>
      <w:r w:rsidRPr="00CC1FC3">
        <w:rPr>
          <w:b/>
          <w:bCs/>
        </w:rPr>
        <w:t>:</w:t>
      </w:r>
      <w:r w:rsidRPr="00CC1FC3">
        <w:t xml:space="preserve"> Sub-Questions and Analytical Alignment</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235"/>
        <w:gridCol w:w="3405"/>
        <w:gridCol w:w="2022"/>
        <w:gridCol w:w="2364"/>
      </w:tblGrid>
      <w:tr w:rsidR="00736F61" w:rsidRPr="00ED0043" w14:paraId="42404124" w14:textId="77777777" w:rsidTr="00621211">
        <w:trPr>
          <w:tblHeader/>
          <w:tblCellSpacing w:w="15" w:type="dxa"/>
        </w:trPr>
        <w:tc>
          <w:tcPr>
            <w:tcW w:w="1190" w:type="dxa"/>
            <w:tcBorders>
              <w:top w:val="nil"/>
              <w:bottom w:val="single" w:sz="4" w:space="0" w:color="auto"/>
            </w:tcBorders>
            <w:shd w:val="clear" w:color="auto" w:fill="FFFFFF" w:themeFill="background1"/>
            <w:vAlign w:val="center"/>
            <w:hideMark/>
          </w:tcPr>
          <w:p w14:paraId="1BF0E2CD" w14:textId="77777777" w:rsidR="00736F61" w:rsidRPr="00ED0043" w:rsidRDefault="00736F61" w:rsidP="003F224E">
            <w:pPr>
              <w:spacing w:after="0" w:line="240" w:lineRule="auto"/>
              <w:jc w:val="center"/>
              <w:rPr>
                <w:rFonts w:eastAsia="Times New Roman"/>
                <w:b/>
                <w:bCs/>
                <w:color w:val="auto"/>
                <w:sz w:val="20"/>
                <w:szCs w:val="20"/>
                <w:lang w:eastAsia="en-GB"/>
              </w:rPr>
            </w:pPr>
            <w:r w:rsidRPr="00ED0043">
              <w:rPr>
                <w:rFonts w:eastAsia="Times New Roman"/>
                <w:b/>
                <w:bCs/>
                <w:color w:val="auto"/>
                <w:sz w:val="20"/>
                <w:szCs w:val="20"/>
                <w:lang w:eastAsia="en-GB"/>
              </w:rPr>
              <w:lastRenderedPageBreak/>
              <w:t>Level</w:t>
            </w:r>
          </w:p>
        </w:tc>
        <w:tc>
          <w:tcPr>
            <w:tcW w:w="3375" w:type="dxa"/>
            <w:tcBorders>
              <w:top w:val="nil"/>
              <w:bottom w:val="single" w:sz="4" w:space="0" w:color="auto"/>
            </w:tcBorders>
            <w:shd w:val="clear" w:color="auto" w:fill="FFFFFF" w:themeFill="background1"/>
            <w:vAlign w:val="center"/>
            <w:hideMark/>
          </w:tcPr>
          <w:p w14:paraId="0339A0DA" w14:textId="77777777" w:rsidR="00736F61" w:rsidRPr="00ED0043" w:rsidRDefault="00736F61" w:rsidP="003F224E">
            <w:pPr>
              <w:spacing w:after="0" w:line="240" w:lineRule="auto"/>
              <w:jc w:val="center"/>
              <w:rPr>
                <w:rFonts w:eastAsia="Times New Roman"/>
                <w:b/>
                <w:bCs/>
                <w:color w:val="auto"/>
                <w:sz w:val="20"/>
                <w:szCs w:val="20"/>
                <w:lang w:eastAsia="en-GB"/>
              </w:rPr>
            </w:pPr>
            <w:r w:rsidRPr="00ED0043">
              <w:rPr>
                <w:rFonts w:eastAsia="Times New Roman"/>
                <w:b/>
                <w:bCs/>
                <w:color w:val="auto"/>
                <w:sz w:val="20"/>
                <w:szCs w:val="20"/>
                <w:lang w:eastAsia="en-GB"/>
              </w:rPr>
              <w:t>Research Question</w:t>
            </w:r>
          </w:p>
        </w:tc>
        <w:tc>
          <w:tcPr>
            <w:tcW w:w="1992" w:type="dxa"/>
            <w:tcBorders>
              <w:top w:val="nil"/>
              <w:bottom w:val="single" w:sz="4" w:space="0" w:color="auto"/>
            </w:tcBorders>
            <w:shd w:val="clear" w:color="auto" w:fill="FFFFFF" w:themeFill="background1"/>
            <w:vAlign w:val="center"/>
            <w:hideMark/>
          </w:tcPr>
          <w:p w14:paraId="54DC7E85" w14:textId="77777777" w:rsidR="00736F61" w:rsidRPr="00ED0043" w:rsidRDefault="00736F61" w:rsidP="003F224E">
            <w:pPr>
              <w:spacing w:after="0" w:line="240" w:lineRule="auto"/>
              <w:jc w:val="center"/>
              <w:rPr>
                <w:rFonts w:eastAsia="Times New Roman"/>
                <w:b/>
                <w:bCs/>
                <w:color w:val="auto"/>
                <w:sz w:val="20"/>
                <w:szCs w:val="20"/>
                <w:lang w:eastAsia="en-GB"/>
              </w:rPr>
            </w:pPr>
            <w:r w:rsidRPr="00ED0043">
              <w:rPr>
                <w:rFonts w:eastAsia="Times New Roman"/>
                <w:b/>
                <w:bCs/>
                <w:color w:val="auto"/>
                <w:sz w:val="20"/>
                <w:szCs w:val="20"/>
                <w:lang w:eastAsia="en-GB"/>
              </w:rPr>
              <w:t>Methodological Strand</w:t>
            </w:r>
          </w:p>
        </w:tc>
        <w:tc>
          <w:tcPr>
            <w:tcW w:w="0" w:type="auto"/>
            <w:tcBorders>
              <w:top w:val="nil"/>
              <w:bottom w:val="single" w:sz="4" w:space="0" w:color="auto"/>
            </w:tcBorders>
            <w:shd w:val="clear" w:color="auto" w:fill="FFFFFF" w:themeFill="background1"/>
            <w:vAlign w:val="center"/>
            <w:hideMark/>
          </w:tcPr>
          <w:p w14:paraId="29EE9E6B" w14:textId="77777777" w:rsidR="00736F61" w:rsidRPr="00ED0043" w:rsidRDefault="00736F61" w:rsidP="003F224E">
            <w:pPr>
              <w:spacing w:after="0" w:line="240" w:lineRule="auto"/>
              <w:jc w:val="center"/>
              <w:rPr>
                <w:rFonts w:eastAsia="Times New Roman"/>
                <w:b/>
                <w:bCs/>
                <w:color w:val="auto"/>
                <w:sz w:val="20"/>
                <w:szCs w:val="20"/>
                <w:lang w:eastAsia="en-GB"/>
              </w:rPr>
            </w:pPr>
            <w:r w:rsidRPr="00ED0043">
              <w:rPr>
                <w:rFonts w:eastAsia="Times New Roman"/>
                <w:b/>
                <w:bCs/>
                <w:color w:val="auto"/>
                <w:sz w:val="20"/>
                <w:szCs w:val="20"/>
                <w:lang w:eastAsia="en-GB"/>
              </w:rPr>
              <w:t>Analytical Focus / Expected Contribution</w:t>
            </w:r>
          </w:p>
        </w:tc>
      </w:tr>
      <w:tr w:rsidR="00736F61" w:rsidRPr="00ED0043" w14:paraId="06E98D7A" w14:textId="77777777" w:rsidTr="00621211">
        <w:trPr>
          <w:tblCellSpacing w:w="15" w:type="dxa"/>
        </w:trPr>
        <w:tc>
          <w:tcPr>
            <w:tcW w:w="1190" w:type="dxa"/>
            <w:vAlign w:val="center"/>
            <w:hideMark/>
          </w:tcPr>
          <w:p w14:paraId="360FECDA" w14:textId="77777777" w:rsidR="00736F61" w:rsidRPr="00ED0043" w:rsidRDefault="00736F61" w:rsidP="003F224E">
            <w:pPr>
              <w:spacing w:after="0" w:line="240" w:lineRule="auto"/>
              <w:rPr>
                <w:rFonts w:eastAsia="Times New Roman"/>
                <w:color w:val="auto"/>
                <w:sz w:val="20"/>
                <w:szCs w:val="20"/>
                <w:lang w:eastAsia="en-GB"/>
              </w:rPr>
            </w:pPr>
            <w:r w:rsidRPr="00ED0043">
              <w:rPr>
                <w:rFonts w:eastAsia="Times New Roman"/>
                <w:b/>
                <w:bCs/>
                <w:color w:val="auto"/>
                <w:sz w:val="20"/>
                <w:szCs w:val="20"/>
                <w:lang w:eastAsia="en-GB"/>
              </w:rPr>
              <w:t xml:space="preserve">Macro-Level </w:t>
            </w:r>
          </w:p>
        </w:tc>
        <w:tc>
          <w:tcPr>
            <w:tcW w:w="3375" w:type="dxa"/>
            <w:tcBorders>
              <w:top w:val="nil"/>
              <w:bottom w:val="single" w:sz="4" w:space="0" w:color="auto"/>
            </w:tcBorders>
            <w:vAlign w:val="center"/>
            <w:hideMark/>
          </w:tcPr>
          <w:p w14:paraId="1BFE3AD1" w14:textId="77777777" w:rsidR="00736F61" w:rsidRPr="00ED0043" w:rsidRDefault="00736F61" w:rsidP="003F224E">
            <w:pPr>
              <w:spacing w:after="0" w:line="240" w:lineRule="auto"/>
              <w:jc w:val="both"/>
              <w:rPr>
                <w:rFonts w:eastAsia="Times New Roman"/>
                <w:color w:val="auto"/>
                <w:sz w:val="20"/>
                <w:szCs w:val="20"/>
                <w:lang w:eastAsia="en-GB"/>
              </w:rPr>
            </w:pPr>
            <w:r w:rsidRPr="00ED0043">
              <w:rPr>
                <w:rFonts w:eastAsia="Times New Roman"/>
                <w:b/>
                <w:bCs/>
                <w:color w:val="auto"/>
                <w:sz w:val="20"/>
                <w:szCs w:val="20"/>
                <w:lang w:eastAsia="en-GB"/>
              </w:rPr>
              <w:t>RQ 1:</w:t>
            </w:r>
            <w:r w:rsidRPr="00ED0043">
              <w:rPr>
                <w:rFonts w:eastAsia="Times New Roman"/>
                <w:color w:val="auto"/>
                <w:sz w:val="20"/>
                <w:szCs w:val="20"/>
                <w:lang w:eastAsia="en-GB"/>
              </w:rPr>
              <w:t xml:space="preserve"> </w:t>
            </w:r>
          </w:p>
          <w:p w14:paraId="032332AE" w14:textId="77777777" w:rsidR="00736F61" w:rsidRPr="00ED0043" w:rsidRDefault="00736F61" w:rsidP="003F224E">
            <w:pPr>
              <w:spacing w:after="0" w:line="240" w:lineRule="auto"/>
              <w:rPr>
                <w:rFonts w:eastAsia="Times New Roman"/>
                <w:color w:val="auto"/>
                <w:sz w:val="20"/>
                <w:szCs w:val="20"/>
                <w:lang w:eastAsia="en-GB"/>
              </w:rPr>
            </w:pPr>
            <w:r w:rsidRPr="00ED0043">
              <w:rPr>
                <w:rFonts w:eastAsia="Times New Roman"/>
                <w:sz w:val="20"/>
                <w:szCs w:val="20"/>
                <w:lang w:eastAsia="en-GB"/>
              </w:rPr>
              <w:t xml:space="preserve">What </w:t>
            </w:r>
            <w:r w:rsidRPr="00ED0043">
              <w:rPr>
                <w:rFonts w:eastAsia="Times New Roman"/>
                <w:color w:val="EE0000"/>
                <w:sz w:val="20"/>
                <w:szCs w:val="20"/>
                <w:lang w:eastAsia="en-GB"/>
              </w:rPr>
              <w:t>macro-level governance factors</w:t>
            </w:r>
            <w:r w:rsidRPr="00ED0043">
              <w:rPr>
                <w:rFonts w:eastAsia="Times New Roman"/>
                <w:sz w:val="20"/>
                <w:szCs w:val="20"/>
                <w:lang w:eastAsia="en-GB"/>
              </w:rPr>
              <w:t xml:space="preserve"> influence the elimination of MS practices globally?</w:t>
            </w:r>
          </w:p>
        </w:tc>
        <w:tc>
          <w:tcPr>
            <w:tcW w:w="1992" w:type="dxa"/>
            <w:tcBorders>
              <w:top w:val="nil"/>
              <w:bottom w:val="single" w:sz="4" w:space="0" w:color="auto"/>
            </w:tcBorders>
            <w:vAlign w:val="center"/>
            <w:hideMark/>
          </w:tcPr>
          <w:p w14:paraId="785BED03" w14:textId="77777777" w:rsidR="00736F61" w:rsidRPr="00ED0043" w:rsidRDefault="00736F61" w:rsidP="003F224E">
            <w:pPr>
              <w:spacing w:after="0" w:line="240" w:lineRule="auto"/>
              <w:jc w:val="center"/>
              <w:rPr>
                <w:rFonts w:eastAsia="Times New Roman"/>
                <w:color w:val="auto"/>
                <w:sz w:val="20"/>
                <w:szCs w:val="20"/>
                <w:lang w:eastAsia="en-GB"/>
              </w:rPr>
            </w:pPr>
            <w:r w:rsidRPr="00ED0043">
              <w:rPr>
                <w:rFonts w:eastAsia="Times New Roman"/>
                <w:color w:val="auto"/>
                <w:sz w:val="20"/>
                <w:szCs w:val="20"/>
                <w:lang w:eastAsia="en-GB"/>
              </w:rPr>
              <w:t>Quantitative</w:t>
            </w:r>
          </w:p>
          <w:p w14:paraId="79A087F2" w14:textId="77777777" w:rsidR="00736F61" w:rsidRPr="00ED0043" w:rsidRDefault="00736F61" w:rsidP="003F224E">
            <w:pPr>
              <w:spacing w:after="0" w:line="240" w:lineRule="auto"/>
              <w:jc w:val="center"/>
              <w:rPr>
                <w:rFonts w:eastAsia="Times New Roman"/>
                <w:color w:val="auto"/>
                <w:sz w:val="20"/>
                <w:szCs w:val="20"/>
                <w:lang w:eastAsia="en-GB"/>
              </w:rPr>
            </w:pPr>
            <w:r w:rsidRPr="00ED0043">
              <w:rPr>
                <w:rFonts w:eastAsia="Times New Roman"/>
                <w:color w:val="auto"/>
                <w:sz w:val="20"/>
                <w:szCs w:val="20"/>
                <w:lang w:eastAsia="en-GB"/>
              </w:rPr>
              <w:t>(panel data; secondary datasets – WGI, IHDI, SDGI, GSI)</w:t>
            </w:r>
          </w:p>
        </w:tc>
        <w:tc>
          <w:tcPr>
            <w:tcW w:w="0" w:type="auto"/>
            <w:tcBorders>
              <w:top w:val="nil"/>
              <w:bottom w:val="single" w:sz="4" w:space="0" w:color="auto"/>
            </w:tcBorders>
            <w:vAlign w:val="center"/>
            <w:hideMark/>
          </w:tcPr>
          <w:p w14:paraId="1E8C496D" w14:textId="77777777" w:rsidR="00736F61" w:rsidRPr="00ED0043" w:rsidRDefault="00736F61" w:rsidP="003F224E">
            <w:pPr>
              <w:spacing w:after="0" w:line="240" w:lineRule="auto"/>
              <w:rPr>
                <w:rFonts w:eastAsia="Times New Roman"/>
                <w:color w:val="auto"/>
                <w:sz w:val="20"/>
                <w:szCs w:val="20"/>
                <w:lang w:eastAsia="en-GB"/>
              </w:rPr>
            </w:pPr>
            <w:r w:rsidRPr="00ED0043">
              <w:rPr>
                <w:rFonts w:eastAsia="Times New Roman"/>
                <w:color w:val="auto"/>
                <w:sz w:val="20"/>
                <w:szCs w:val="20"/>
                <w:lang w:eastAsia="en-GB"/>
              </w:rPr>
              <w:t>Examines structural governance drivers and coercive institutional pressures shaping national AMS capacity.</w:t>
            </w:r>
          </w:p>
        </w:tc>
      </w:tr>
      <w:tr w:rsidR="00736F61" w:rsidRPr="00ED0043" w14:paraId="39F34A95" w14:textId="77777777" w:rsidTr="00621211">
        <w:trPr>
          <w:tblCellSpacing w:w="15" w:type="dxa"/>
        </w:trPr>
        <w:tc>
          <w:tcPr>
            <w:tcW w:w="1190" w:type="dxa"/>
            <w:vAlign w:val="center"/>
            <w:hideMark/>
          </w:tcPr>
          <w:p w14:paraId="48E5419C" w14:textId="77777777" w:rsidR="00736F61" w:rsidRPr="00ED0043" w:rsidRDefault="00736F61" w:rsidP="003F224E">
            <w:pPr>
              <w:spacing w:after="0" w:line="240" w:lineRule="auto"/>
              <w:rPr>
                <w:rFonts w:eastAsia="Times New Roman"/>
                <w:color w:val="auto"/>
                <w:sz w:val="20"/>
                <w:szCs w:val="20"/>
                <w:lang w:eastAsia="en-GB"/>
              </w:rPr>
            </w:pPr>
            <w:r w:rsidRPr="00ED0043">
              <w:rPr>
                <w:rFonts w:eastAsia="Times New Roman"/>
                <w:b/>
                <w:bCs/>
                <w:color w:val="auto"/>
                <w:sz w:val="20"/>
                <w:szCs w:val="20"/>
                <w:lang w:eastAsia="en-GB"/>
              </w:rPr>
              <w:t xml:space="preserve">Meso-Level </w:t>
            </w:r>
          </w:p>
        </w:tc>
        <w:tc>
          <w:tcPr>
            <w:tcW w:w="3375" w:type="dxa"/>
            <w:tcBorders>
              <w:top w:val="nil"/>
              <w:bottom w:val="single" w:sz="4" w:space="0" w:color="auto"/>
            </w:tcBorders>
            <w:vAlign w:val="center"/>
            <w:hideMark/>
          </w:tcPr>
          <w:p w14:paraId="1E12D1AB" w14:textId="77777777" w:rsidR="00736F61" w:rsidRPr="00ED0043" w:rsidRDefault="00736F61" w:rsidP="003F224E">
            <w:pPr>
              <w:spacing w:after="0" w:line="240" w:lineRule="auto"/>
              <w:jc w:val="both"/>
              <w:rPr>
                <w:color w:val="EE0000"/>
                <w:sz w:val="20"/>
                <w:szCs w:val="20"/>
              </w:rPr>
            </w:pPr>
            <w:r w:rsidRPr="00ED0043">
              <w:rPr>
                <w:b/>
                <w:bCs/>
                <w:color w:val="EE0000"/>
                <w:sz w:val="20"/>
                <w:szCs w:val="20"/>
              </w:rPr>
              <w:t>RQ2:</w:t>
            </w:r>
            <w:r w:rsidRPr="00ED0043">
              <w:rPr>
                <w:color w:val="EE0000"/>
                <w:sz w:val="20"/>
                <w:szCs w:val="20"/>
              </w:rPr>
              <w:t xml:space="preserve"> How do firm-level SGIs influence corporate commitments to eradicate CMS among G500 MNCs?</w:t>
            </w:r>
          </w:p>
          <w:p w14:paraId="53025859" w14:textId="77777777" w:rsidR="00736F61" w:rsidRPr="00ED0043" w:rsidRDefault="00736F61" w:rsidP="003F224E">
            <w:pPr>
              <w:spacing w:after="0" w:line="240" w:lineRule="auto"/>
              <w:rPr>
                <w:rFonts w:eastAsia="Times New Roman"/>
                <w:color w:val="auto"/>
                <w:sz w:val="20"/>
                <w:szCs w:val="20"/>
                <w:lang w:eastAsia="en-GB"/>
              </w:rPr>
            </w:pPr>
          </w:p>
        </w:tc>
        <w:tc>
          <w:tcPr>
            <w:tcW w:w="1992" w:type="dxa"/>
            <w:tcBorders>
              <w:top w:val="nil"/>
              <w:bottom w:val="single" w:sz="4" w:space="0" w:color="auto"/>
            </w:tcBorders>
            <w:vAlign w:val="center"/>
            <w:hideMark/>
          </w:tcPr>
          <w:p w14:paraId="1C043643" w14:textId="77777777" w:rsidR="00736F61" w:rsidRPr="00ED0043" w:rsidRDefault="00736F61" w:rsidP="003F224E">
            <w:pPr>
              <w:spacing w:after="0" w:line="240" w:lineRule="auto"/>
              <w:jc w:val="center"/>
              <w:rPr>
                <w:rFonts w:eastAsia="Times New Roman"/>
                <w:color w:val="auto"/>
                <w:sz w:val="20"/>
                <w:szCs w:val="20"/>
                <w:lang w:eastAsia="en-GB"/>
              </w:rPr>
            </w:pPr>
            <w:r w:rsidRPr="00ED0043">
              <w:rPr>
                <w:rFonts w:eastAsia="Times New Roman"/>
                <w:color w:val="auto"/>
                <w:sz w:val="20"/>
                <w:szCs w:val="20"/>
                <w:lang w:eastAsia="en-GB"/>
              </w:rPr>
              <w:t>Quantitative</w:t>
            </w:r>
          </w:p>
          <w:p w14:paraId="68A25957" w14:textId="77777777" w:rsidR="00736F61" w:rsidRPr="00ED0043" w:rsidRDefault="00736F61" w:rsidP="003F224E">
            <w:pPr>
              <w:spacing w:after="0" w:line="240" w:lineRule="auto"/>
              <w:jc w:val="center"/>
              <w:rPr>
                <w:rFonts w:eastAsia="Times New Roman"/>
                <w:color w:val="auto"/>
                <w:sz w:val="20"/>
                <w:szCs w:val="20"/>
                <w:lang w:eastAsia="en-GB"/>
              </w:rPr>
            </w:pPr>
            <w:r w:rsidRPr="00ED0043">
              <w:rPr>
                <w:rFonts w:eastAsia="Times New Roman"/>
                <w:color w:val="auto"/>
                <w:sz w:val="20"/>
                <w:szCs w:val="20"/>
                <w:lang w:eastAsia="en-GB"/>
              </w:rPr>
              <w:t>(G500 panel data- 2010–2023)</w:t>
            </w:r>
          </w:p>
        </w:tc>
        <w:tc>
          <w:tcPr>
            <w:tcW w:w="0" w:type="auto"/>
            <w:tcBorders>
              <w:top w:val="nil"/>
              <w:bottom w:val="single" w:sz="4" w:space="0" w:color="auto"/>
            </w:tcBorders>
            <w:vAlign w:val="center"/>
            <w:hideMark/>
          </w:tcPr>
          <w:p w14:paraId="374A56DE" w14:textId="77777777" w:rsidR="00736F61" w:rsidRPr="00ED0043" w:rsidRDefault="00736F61" w:rsidP="003F224E">
            <w:pPr>
              <w:spacing w:after="0" w:line="240" w:lineRule="auto"/>
              <w:rPr>
                <w:rFonts w:eastAsia="Times New Roman"/>
                <w:color w:val="auto"/>
                <w:sz w:val="20"/>
                <w:szCs w:val="20"/>
                <w:lang w:eastAsia="en-GB"/>
              </w:rPr>
            </w:pPr>
            <w:r w:rsidRPr="00ED0043">
              <w:rPr>
                <w:rFonts w:eastAsia="Times New Roman"/>
                <w:color w:val="auto"/>
                <w:sz w:val="20"/>
                <w:szCs w:val="20"/>
                <w:lang w:eastAsia="en-GB"/>
              </w:rPr>
              <w:t>Tests how firm-level governance attributes predict ACMS performance under normative and mimetic pressures.</w:t>
            </w:r>
          </w:p>
        </w:tc>
      </w:tr>
      <w:tr w:rsidR="00736F61" w:rsidRPr="00ED0043" w14:paraId="3E94A56E" w14:textId="77777777" w:rsidTr="009A53F6">
        <w:trPr>
          <w:tblCellSpacing w:w="15" w:type="dxa"/>
        </w:trPr>
        <w:tc>
          <w:tcPr>
            <w:tcW w:w="1190" w:type="dxa"/>
            <w:hideMark/>
          </w:tcPr>
          <w:p w14:paraId="4580F7FE" w14:textId="77777777" w:rsidR="00736F61" w:rsidRPr="00ED0043" w:rsidRDefault="00736F61" w:rsidP="003F224E">
            <w:pPr>
              <w:spacing w:after="0" w:line="240" w:lineRule="auto"/>
              <w:rPr>
                <w:rFonts w:eastAsia="Times New Roman"/>
                <w:color w:val="auto"/>
                <w:sz w:val="20"/>
                <w:szCs w:val="20"/>
                <w:lang w:eastAsia="en-GB"/>
              </w:rPr>
            </w:pPr>
          </w:p>
        </w:tc>
        <w:tc>
          <w:tcPr>
            <w:tcW w:w="3375" w:type="dxa"/>
            <w:tcBorders>
              <w:top w:val="nil"/>
              <w:bottom w:val="single" w:sz="4" w:space="0" w:color="auto"/>
            </w:tcBorders>
            <w:hideMark/>
          </w:tcPr>
          <w:p w14:paraId="7FB69825" w14:textId="77777777" w:rsidR="00736F61" w:rsidRPr="00ED0043" w:rsidRDefault="00736F61" w:rsidP="003F224E">
            <w:pPr>
              <w:spacing w:after="0" w:line="240" w:lineRule="auto"/>
              <w:rPr>
                <w:rFonts w:eastAsia="Times New Roman"/>
                <w:color w:val="auto"/>
                <w:sz w:val="20"/>
                <w:szCs w:val="20"/>
                <w:lang w:eastAsia="en-GB"/>
              </w:rPr>
            </w:pPr>
            <w:r w:rsidRPr="00ED0043">
              <w:rPr>
                <w:b/>
                <w:bCs/>
                <w:color w:val="EE0000"/>
                <w:sz w:val="20"/>
                <w:szCs w:val="20"/>
              </w:rPr>
              <w:t>RQ3:</w:t>
            </w:r>
            <w:r w:rsidRPr="00ED0043">
              <w:rPr>
                <w:color w:val="EE0000"/>
                <w:sz w:val="20"/>
                <w:szCs w:val="20"/>
              </w:rPr>
              <w:t xml:space="preserve"> To what extent do corporate disclosures on CMS reflect substantive accountability versus symbolic compliance, and how do these disclosures align with broader institutional pressures?</w:t>
            </w:r>
          </w:p>
        </w:tc>
        <w:tc>
          <w:tcPr>
            <w:tcW w:w="1992" w:type="dxa"/>
            <w:tcBorders>
              <w:top w:val="nil"/>
              <w:bottom w:val="single" w:sz="4" w:space="0" w:color="auto"/>
            </w:tcBorders>
            <w:vAlign w:val="center"/>
            <w:hideMark/>
          </w:tcPr>
          <w:p w14:paraId="1AF7D195" w14:textId="77777777" w:rsidR="00736F61" w:rsidRPr="00ED0043" w:rsidRDefault="00736F61" w:rsidP="003F224E">
            <w:pPr>
              <w:spacing w:after="0" w:line="240" w:lineRule="auto"/>
              <w:jc w:val="center"/>
              <w:rPr>
                <w:rFonts w:eastAsia="Times New Roman"/>
                <w:color w:val="auto"/>
                <w:sz w:val="20"/>
                <w:szCs w:val="20"/>
                <w:lang w:eastAsia="en-GB"/>
              </w:rPr>
            </w:pPr>
            <w:r w:rsidRPr="00ED0043">
              <w:rPr>
                <w:rFonts w:eastAsia="Times New Roman"/>
                <w:color w:val="auto"/>
                <w:sz w:val="20"/>
                <w:szCs w:val="20"/>
                <w:lang w:eastAsia="en-GB"/>
              </w:rPr>
              <w:t>Qualitative</w:t>
            </w:r>
          </w:p>
          <w:p w14:paraId="30300AA3" w14:textId="77777777" w:rsidR="00736F61" w:rsidRPr="00ED0043" w:rsidRDefault="00736F61" w:rsidP="003F224E">
            <w:pPr>
              <w:spacing w:after="0" w:line="240" w:lineRule="auto"/>
              <w:jc w:val="center"/>
              <w:rPr>
                <w:rFonts w:eastAsia="Times New Roman"/>
                <w:color w:val="auto"/>
                <w:sz w:val="20"/>
                <w:szCs w:val="20"/>
                <w:lang w:eastAsia="en-GB"/>
              </w:rPr>
            </w:pPr>
            <w:r w:rsidRPr="00ED0043">
              <w:rPr>
                <w:rFonts w:eastAsia="Times New Roman"/>
                <w:color w:val="auto"/>
                <w:sz w:val="20"/>
                <w:szCs w:val="20"/>
                <w:lang w:eastAsia="en-GB"/>
              </w:rPr>
              <w:t>(content analysis of disclosures – Nike, Inditex, Dior 2019–2023)</w:t>
            </w:r>
          </w:p>
        </w:tc>
        <w:tc>
          <w:tcPr>
            <w:tcW w:w="0" w:type="auto"/>
            <w:tcBorders>
              <w:top w:val="nil"/>
              <w:bottom w:val="single" w:sz="4" w:space="0" w:color="auto"/>
            </w:tcBorders>
            <w:vAlign w:val="center"/>
            <w:hideMark/>
          </w:tcPr>
          <w:p w14:paraId="3E14C9F6" w14:textId="77777777" w:rsidR="00736F61" w:rsidRPr="00ED0043" w:rsidRDefault="00736F61" w:rsidP="003F224E">
            <w:pPr>
              <w:spacing w:after="0" w:line="240" w:lineRule="auto"/>
              <w:rPr>
                <w:rFonts w:eastAsia="Times New Roman"/>
                <w:color w:val="auto"/>
                <w:sz w:val="20"/>
                <w:szCs w:val="20"/>
                <w:lang w:eastAsia="en-GB"/>
              </w:rPr>
            </w:pPr>
            <w:r w:rsidRPr="00ED0043">
              <w:rPr>
                <w:rFonts w:eastAsia="Times New Roman"/>
                <w:color w:val="auto"/>
                <w:sz w:val="20"/>
                <w:szCs w:val="20"/>
                <w:lang w:eastAsia="en-GB"/>
              </w:rPr>
              <w:t>Explores legitimacy-seeking behaviour and patterns of symbolic compliance within sustainability reporting.</w:t>
            </w:r>
          </w:p>
        </w:tc>
      </w:tr>
      <w:tr w:rsidR="00736F61" w:rsidRPr="00ED0043" w14:paraId="45610A2C" w14:textId="77777777" w:rsidTr="00621211">
        <w:trPr>
          <w:tblCellSpacing w:w="15" w:type="dxa"/>
        </w:trPr>
        <w:tc>
          <w:tcPr>
            <w:tcW w:w="1190" w:type="dxa"/>
            <w:vAlign w:val="center"/>
            <w:hideMark/>
          </w:tcPr>
          <w:p w14:paraId="679B363D" w14:textId="77777777" w:rsidR="00736F61" w:rsidRPr="00ED0043" w:rsidRDefault="00736F61" w:rsidP="003F224E">
            <w:pPr>
              <w:spacing w:after="0" w:line="240" w:lineRule="auto"/>
              <w:rPr>
                <w:rFonts w:eastAsia="Times New Roman"/>
                <w:color w:val="auto"/>
                <w:sz w:val="20"/>
                <w:szCs w:val="20"/>
                <w:lang w:eastAsia="en-GB"/>
              </w:rPr>
            </w:pPr>
            <w:r w:rsidRPr="00ED0043">
              <w:rPr>
                <w:rFonts w:eastAsia="Times New Roman"/>
                <w:b/>
                <w:bCs/>
                <w:color w:val="auto"/>
                <w:sz w:val="20"/>
                <w:szCs w:val="20"/>
                <w:lang w:eastAsia="en-GB"/>
              </w:rPr>
              <w:t>Micro-Level</w:t>
            </w:r>
          </w:p>
        </w:tc>
        <w:tc>
          <w:tcPr>
            <w:tcW w:w="3375" w:type="dxa"/>
            <w:vAlign w:val="center"/>
            <w:hideMark/>
          </w:tcPr>
          <w:p w14:paraId="487CB4BA" w14:textId="77777777" w:rsidR="00736F61" w:rsidRPr="00ED0043" w:rsidRDefault="00736F61" w:rsidP="003F224E">
            <w:pPr>
              <w:spacing w:after="0" w:line="240" w:lineRule="auto"/>
              <w:jc w:val="both"/>
              <w:rPr>
                <w:rFonts w:eastAsia="Times New Roman"/>
                <w:color w:val="EE0000"/>
                <w:sz w:val="20"/>
                <w:szCs w:val="20"/>
                <w:lang w:eastAsia="en-GB"/>
              </w:rPr>
            </w:pPr>
            <w:r w:rsidRPr="00ED0043">
              <w:rPr>
                <w:b/>
                <w:bCs/>
                <w:color w:val="EE0000"/>
                <w:sz w:val="20"/>
                <w:szCs w:val="20"/>
              </w:rPr>
              <w:t>RQ4:</w:t>
            </w:r>
            <w:r w:rsidRPr="00ED0043">
              <w:rPr>
                <w:color w:val="EE0000"/>
                <w:sz w:val="20"/>
                <w:szCs w:val="20"/>
              </w:rPr>
              <w:t xml:space="preserve"> </w:t>
            </w:r>
            <w:r w:rsidRPr="00ED0043">
              <w:rPr>
                <w:rFonts w:eastAsia="Times New Roman"/>
                <w:color w:val="EE0000"/>
                <w:sz w:val="20"/>
                <w:szCs w:val="20"/>
                <w:lang w:eastAsia="en-GB"/>
              </w:rPr>
              <w:t xml:space="preserve">What are the micro-level experiences of workers in the contexts where CMS risks are most acute? </w:t>
            </w:r>
          </w:p>
          <w:p w14:paraId="732E12FE" w14:textId="77777777" w:rsidR="00736F61" w:rsidRPr="00ED0043" w:rsidRDefault="00736F61" w:rsidP="003F224E">
            <w:pPr>
              <w:spacing w:after="0" w:line="240" w:lineRule="auto"/>
              <w:rPr>
                <w:rFonts w:eastAsia="Times New Roman"/>
                <w:color w:val="auto"/>
                <w:sz w:val="20"/>
                <w:szCs w:val="20"/>
                <w:lang w:eastAsia="en-GB"/>
              </w:rPr>
            </w:pPr>
          </w:p>
        </w:tc>
        <w:tc>
          <w:tcPr>
            <w:tcW w:w="1992" w:type="dxa"/>
            <w:vAlign w:val="center"/>
            <w:hideMark/>
          </w:tcPr>
          <w:p w14:paraId="499B88CB" w14:textId="77777777" w:rsidR="00736F61" w:rsidRPr="00ED0043" w:rsidRDefault="00736F61" w:rsidP="003F224E">
            <w:pPr>
              <w:spacing w:after="0" w:line="240" w:lineRule="auto"/>
              <w:jc w:val="center"/>
              <w:rPr>
                <w:rFonts w:eastAsia="Times New Roman"/>
                <w:color w:val="auto"/>
                <w:sz w:val="20"/>
                <w:szCs w:val="20"/>
                <w:lang w:eastAsia="en-GB"/>
              </w:rPr>
            </w:pPr>
            <w:r w:rsidRPr="00ED0043">
              <w:rPr>
                <w:rFonts w:eastAsia="Times New Roman"/>
                <w:color w:val="auto"/>
                <w:sz w:val="20"/>
                <w:szCs w:val="20"/>
                <w:lang w:eastAsia="en-GB"/>
              </w:rPr>
              <w:t xml:space="preserve">Qualitative </w:t>
            </w:r>
          </w:p>
          <w:p w14:paraId="6EDBAA96" w14:textId="77777777" w:rsidR="00736F61" w:rsidRPr="00ED0043" w:rsidRDefault="00736F61" w:rsidP="003F224E">
            <w:pPr>
              <w:spacing w:after="0" w:line="240" w:lineRule="auto"/>
              <w:jc w:val="center"/>
              <w:rPr>
                <w:rFonts w:eastAsia="Times New Roman"/>
                <w:color w:val="auto"/>
                <w:sz w:val="20"/>
                <w:szCs w:val="20"/>
                <w:lang w:eastAsia="en-GB"/>
              </w:rPr>
            </w:pPr>
            <w:r w:rsidRPr="00ED0043">
              <w:rPr>
                <w:rFonts w:eastAsia="Times New Roman"/>
                <w:color w:val="auto"/>
                <w:sz w:val="20"/>
                <w:szCs w:val="20"/>
                <w:lang w:eastAsia="en-GB"/>
              </w:rPr>
              <w:t>(52 semi-structured interviews and questionnaire)</w:t>
            </w:r>
          </w:p>
        </w:tc>
        <w:tc>
          <w:tcPr>
            <w:tcW w:w="0" w:type="auto"/>
            <w:vAlign w:val="center"/>
            <w:hideMark/>
          </w:tcPr>
          <w:p w14:paraId="7C2C2A55" w14:textId="77777777" w:rsidR="00736F61" w:rsidRPr="00ED0043" w:rsidRDefault="00736F61" w:rsidP="003F224E">
            <w:pPr>
              <w:spacing w:after="0" w:line="240" w:lineRule="auto"/>
              <w:rPr>
                <w:rFonts w:eastAsia="Times New Roman"/>
                <w:color w:val="auto"/>
                <w:sz w:val="20"/>
                <w:szCs w:val="20"/>
                <w:lang w:eastAsia="en-GB"/>
              </w:rPr>
            </w:pPr>
            <w:r w:rsidRPr="00ED0043">
              <w:rPr>
                <w:rFonts w:eastAsia="Times New Roman"/>
                <w:color w:val="auto"/>
                <w:sz w:val="20"/>
                <w:szCs w:val="20"/>
                <w:lang w:eastAsia="en-GB"/>
              </w:rPr>
              <w:t>Reveals how global governance and corporate norms are enacted, resisted, or decoupled at the ground-level workers.</w:t>
            </w:r>
          </w:p>
        </w:tc>
      </w:tr>
    </w:tbl>
    <w:p w14:paraId="36D0073D" w14:textId="77777777" w:rsidR="00736F61" w:rsidRDefault="00736F61" w:rsidP="00736F61">
      <w:pPr>
        <w:pStyle w:val="Heading2"/>
      </w:pPr>
      <w:bookmarkStart w:id="61" w:name="_Toc221437659"/>
      <w:r w:rsidRPr="00CC1FC3">
        <w:t>5.4 Quantitative Strand</w:t>
      </w:r>
      <w:bookmarkEnd w:id="61"/>
    </w:p>
    <w:p w14:paraId="65B26D0D" w14:textId="77777777" w:rsidR="00736F61" w:rsidRPr="00CC1FC3" w:rsidRDefault="00736F61" w:rsidP="00736F61">
      <w:pPr>
        <w:pStyle w:val="Heading3"/>
        <w:rPr>
          <w:rStyle w:val="normaltextrun"/>
          <w:bCs/>
        </w:rPr>
      </w:pPr>
      <w:bookmarkStart w:id="62" w:name="_Toc215651871"/>
      <w:bookmarkStart w:id="63" w:name="_Toc216557271"/>
      <w:bookmarkStart w:id="64" w:name="_Toc220848371"/>
      <w:bookmarkStart w:id="65" w:name="_Toc221437660"/>
      <w:r w:rsidRPr="00CC1FC3">
        <w:rPr>
          <w:rStyle w:val="normaltextrun"/>
        </w:rPr>
        <w:t>5.4.1 Quantitative Analysis</w:t>
      </w:r>
      <w:bookmarkEnd w:id="62"/>
      <w:bookmarkEnd w:id="63"/>
      <w:bookmarkEnd w:id="64"/>
      <w:r w:rsidRPr="00CC1FC3">
        <w:rPr>
          <w:rStyle w:val="normaltextrun"/>
        </w:rPr>
        <w:t>: Macro-Level</w:t>
      </w:r>
      <w:bookmarkEnd w:id="65"/>
      <w:r w:rsidRPr="00CC1FC3">
        <w:rPr>
          <w:rStyle w:val="normaltextrun"/>
        </w:rPr>
        <w:t xml:space="preserve"> </w:t>
      </w:r>
    </w:p>
    <w:p w14:paraId="090E66EA" w14:textId="77777777" w:rsidR="00736F61" w:rsidRPr="00CC1FC3" w:rsidRDefault="00736F61" w:rsidP="00736F61">
      <w:pPr>
        <w:pStyle w:val="NormalWeb"/>
        <w:spacing w:before="0" w:beforeAutospacing="0" w:line="480" w:lineRule="auto"/>
        <w:jc w:val="both"/>
      </w:pPr>
      <w:r w:rsidRPr="00CC1FC3">
        <w:t xml:space="preserve">This research adopts a </w:t>
      </w:r>
      <w:r w:rsidRPr="00CC1FC3">
        <w:rPr>
          <w:rStyle w:val="Strong"/>
          <w:rFonts w:eastAsiaTheme="majorEastAsia"/>
          <w:b w:val="0"/>
          <w:bCs w:val="0"/>
        </w:rPr>
        <w:t>quantitative, longitudinal macro-level research design</w:t>
      </w:r>
      <w:r w:rsidRPr="00CC1FC3">
        <w:t xml:space="preserve"> to investigate how institutional and socio-economic structures influence the prevalence, vulnerability, and government responses to MS across countries. Guided by NIT's theoretical underpinnings, the research focuses on uncovering the structural and institutional conditions under which MS risks proliferate or are mitigated globally.</w:t>
      </w:r>
    </w:p>
    <w:p w14:paraId="088ED4A9" w14:textId="77777777" w:rsidR="00736F61" w:rsidRDefault="00736F61" w:rsidP="00736F61">
      <w:pPr>
        <w:pStyle w:val="NormalWeb"/>
        <w:spacing w:line="480" w:lineRule="auto"/>
        <w:ind w:firstLine="720"/>
        <w:jc w:val="both"/>
      </w:pPr>
      <w:r w:rsidRPr="00CC1FC3">
        <w:t xml:space="preserve">The design is rooted in a </w:t>
      </w:r>
      <w:r w:rsidRPr="00CC1FC3">
        <w:rPr>
          <w:rStyle w:val="Strong"/>
          <w:rFonts w:eastAsiaTheme="majorEastAsia"/>
          <w:b w:val="0"/>
          <w:bCs w:val="0"/>
        </w:rPr>
        <w:t>deductive reasoning approach</w:t>
      </w:r>
      <w:r w:rsidRPr="00CC1FC3">
        <w:t xml:space="preserve">, allowing for the formulation and empirical testing of theoretically informed hypotheses. </w:t>
      </w:r>
      <w:proofErr w:type="gramStart"/>
      <w:r w:rsidRPr="00CC1FC3">
        <w:t>Similar to</w:t>
      </w:r>
      <w:proofErr w:type="gramEnd"/>
      <w:r w:rsidRPr="00CC1FC3">
        <w:t xml:space="preserve"> the </w:t>
      </w:r>
      <w:sdt>
        <w:sdtPr>
          <w:tag w:val="MENDELEY_CITATION_v3_eyJjaXRhdGlvbklEIjoiTUVOREVMRVlfQ0lUQVRJT05fZDU4ODQzODktNThlNS00NGUwLTgwOGQtODRkNmJlNzVmZDZjIiwicHJvcGVydGllcyI6eyJub3RlSW5kZXgiOjB9LCJpc0VkaXRlZCI6ZmFsc2UsIm1hbnVhbE92ZXJyaWRlIjp7ImlzTWFudWFsbHlPdmVycmlkZGVuIjp0cnVlLCJjaXRlcHJvY1RleHQiOiIoSG91cWUgYW5kIEtoYW4sIDIwMjUpIiwibWFudWFsT3ZlcnJpZGVUZXh0IjoiSG91cWUgYW5kIEtoYW4sICgyMDI1KS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
          <w:id w:val="737981715"/>
          <w:placeholder>
            <w:docPart w:val="BBF29F01BBE94F778FF75F9D167B0F17"/>
          </w:placeholder>
        </w:sdtPr>
        <w:sdtEndPr/>
        <w:sdtContent>
          <w:r w:rsidRPr="00A73C12">
            <w:t>Houqe and Khan, (2025)</w:t>
          </w:r>
        </w:sdtContent>
      </w:sdt>
      <w:r w:rsidRPr="00CC1FC3">
        <w:t xml:space="preserve"> study this thesis integrates macro-level cross-national panel data across three time periods (2016, 2018, and 2023), the study enables both temporal and spatial comparisons of determinants of MS. This temporal dimension is critical for assessing how institutional </w:t>
      </w:r>
      <w:r w:rsidRPr="00CC1FC3">
        <w:lastRenderedPageBreak/>
        <w:t>reforms, governance quality, and socio-economic development trajectories affect MS risk over time.</w:t>
      </w:r>
    </w:p>
    <w:p w14:paraId="6A810CF7" w14:textId="77777777" w:rsidR="00736F61" w:rsidRPr="00CC1FC3" w:rsidRDefault="00736F61" w:rsidP="00736F61">
      <w:pPr>
        <w:pStyle w:val="Heading4"/>
      </w:pPr>
      <w:bookmarkStart w:id="66" w:name="_Toc200010374"/>
      <w:bookmarkStart w:id="67" w:name="_Toc215651873"/>
      <w:bookmarkStart w:id="68" w:name="_Toc216557273"/>
      <w:bookmarkStart w:id="69" w:name="_Toc220848373"/>
      <w:r w:rsidRPr="00CC1FC3">
        <w:t>5.4.1.1 Sample and data</w:t>
      </w:r>
      <w:bookmarkEnd w:id="66"/>
      <w:bookmarkEnd w:id="67"/>
      <w:bookmarkEnd w:id="68"/>
      <w:bookmarkEnd w:id="69"/>
      <w:r w:rsidRPr="00CC1FC3">
        <w:t xml:space="preserve"> </w:t>
      </w:r>
    </w:p>
    <w:p w14:paraId="73DB5B0F" w14:textId="77777777" w:rsidR="00736F61" w:rsidRPr="00CC1FC3" w:rsidRDefault="00736F61" w:rsidP="00736F61">
      <w:pPr>
        <w:spacing w:line="480" w:lineRule="auto"/>
        <w:jc w:val="both"/>
      </w:pPr>
      <w:r w:rsidRPr="00CC1FC3">
        <w:t>The selection of the 2016, 2018, and 202</w:t>
      </w:r>
      <w:r>
        <w:t>3</w:t>
      </w:r>
      <w:r w:rsidRPr="00CC1FC3">
        <w:t xml:space="preserve"> editions of the GSI as observation points for this study is guided by both methodological robustness and contextual significance. These editions represent the most comprehensive and methodologically consistent cross-national datasets available for assessing MS risk, including PREV, VULN, and MSRM </w:t>
      </w:r>
      <w:sdt>
        <w:sdtPr>
          <w:tag w:val="MENDELEY_CITATION_v3_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LHsiaWQiOiI1ZDZkNWU1My1jMTFlLTM3YTktYjNiNS03MjE5MDllNzc2M2YiLCJpdGVtRGF0YSI6eyJ0eXBlIjoicmVwb3J0IiwiaWQiOiI1ZDZkNWU1My1jMTFlLTM3YTktYjNiNS03MjE5MDllNzc2M2YiLCJ0aXRsZSI6IlRoZSBnbG9iYWwgc2xhdmVyeSBpbmRleCIsImF1dGhvciI6W3siZmFtaWx5IjoiV2FsayBGcmVl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51bWJlci1vZi1wYWdlcyI6IjEtMjkyIiwiY29udGFpbmVyLXRpdGxlLXNob3J0IjoiIn0sImlzVGVtcG9yYXJ5IjpmYWxzZX0seyJpZCI6IjQ3YjliMTkzLTFlMjEtMzA1MS1hMTNmLWUyZjQ4ZmQwZTE0YiIsIml0ZW1EYXRhIjp7InR5cGUiOiJyZXBvcnQiLCJpZCI6IjQ3YjliMTkzLTFlMjEtMzA1MS1hMTNmLWUyZjQ4ZmQwZTE0YiIsInRpdGxlIjoiVGhlIGdsb2JhbCBTbGF2ZXJ5IEluZGV4IiwiYXV0aG9yIjpbeyJmYW1pbHkiOiJXYWxrIEZyZWU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
          <w:id w:val="-163548858"/>
          <w:placeholder>
            <w:docPart w:val="7E7EAC7C049E4BE7A18BDA75FCF9585A"/>
          </w:placeholder>
        </w:sdtPr>
        <w:sdtEndPr/>
        <w:sdtContent>
          <w:r w:rsidRPr="00A73C12">
            <w:t>(Walk Free, 2016, 2018a, 2023a)</w:t>
          </w:r>
        </w:sdtContent>
      </w:sdt>
      <w:r w:rsidRPr="00CC1FC3">
        <w:t xml:space="preserve">. Importantly, the chosen time points reflect distinct phases of the global governance and policy landscape. The 2016 edition captures the early years of implementation of the UN-SDGs, notably Target 8.7, which explicitly addresses the eradication of forced labour and MS. The 2018 edition corresponds to a period of intensified international engagement, with new national legislation, supply chain accountability mechanisms, and increased stakeholder activism across sectors </w:t>
      </w:r>
      <w:sdt>
        <w:sdtPr>
          <w:tag w:val="MENDELEY_CITATION_v3_eyJjaXRhdGlvbklEIjoiTUVOREVMRVlfQ0lUQVRJT05fM2I4Y2IzYzUtMDQ4YS00OWFhLTk3NDctNzkxYTkwZTcwZTBkIiwicHJvcGVydGllcyI6eyJub3RlSW5kZXgiOjB9LCJpc0VkaXRlZCI6ZmFsc2UsIm1hbnVhbE92ZXJyaWRlIjp7ImlzTWFudWFsbHlPdmVycmlkZGVuIjp0cnVlLCJjaXRlcHJvY1RleHQiOiIoSUxPLCAyMDE3YiwgMjAyMmM7IExhbmRtYW4gYW5kIFNpbHZlcm1hbiwgMjAxOSkiLCJtYW51YWxPdmVycmlkZVRleHQiOiIoSUxPLCAyMDE3YTsgTGFuZG1hbiBhbmQgU2lsdmVybWFuLCAyMDE5OyBJTE8sIDIwMjIpIn0sImNpdGF0aW9uSXRlbXMiOlt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Sx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MTy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"/>
          <w:id w:val="-109432311"/>
          <w:placeholder>
            <w:docPart w:val="73B7607847AA49BABCE8FEFEEC908E01"/>
          </w:placeholder>
        </w:sdtPr>
        <w:sdtEndPr/>
        <w:sdtContent>
          <w:r w:rsidRPr="00A73C12">
            <w:t>(ILO, 2017a; Landman and Silverman, 2019; ILO, 2022)</w:t>
          </w:r>
        </w:sdtContent>
      </w:sdt>
      <w:r w:rsidRPr="00CC1FC3">
        <w:t>.</w:t>
      </w:r>
    </w:p>
    <w:p w14:paraId="41414DE7" w14:textId="77777777" w:rsidR="00736F61" w:rsidRPr="00CC1FC3" w:rsidRDefault="00736F61" w:rsidP="00736F61">
      <w:pPr>
        <w:spacing w:line="480" w:lineRule="auto"/>
        <w:ind w:firstLine="720"/>
        <w:jc w:val="both"/>
      </w:pPr>
      <w:r w:rsidRPr="00CC1FC3">
        <w:t xml:space="preserve">Notably, there is a reporting gap for 2020, as the GSI was not published during the COVID period. This was due to significant disruptions in data collection and operational constraints resulting from the COVID-19 pandemic, which hampered international survey deployment and institutional monitoring capacities </w:t>
      </w:r>
      <w:sdt>
        <w:sdtPr>
          <w:tag w:val="MENDELEY_CITATION_v3_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
          <w:id w:val="1263259123"/>
          <w:placeholder>
            <w:docPart w:val="73B7607847AA49BABCE8FEFEEC908E01"/>
          </w:placeholder>
        </w:sdtPr>
        <w:sdtEndPr/>
        <w:sdtContent>
          <w:r w:rsidRPr="00A73C12">
            <w:t>(ILO, 2020b; Walk Free, 2023a)</w:t>
          </w:r>
        </w:sdtContent>
      </w:sdt>
      <w:r w:rsidRPr="00CC1FC3">
        <w:t xml:space="preserve">. The 2022 edition, therefore, serves as a post-pandemic benchmark, offering valuable insight into how global shocks—such as public health crises, economic instability, and increased informality in labour markets—have reshaped MS risk. Including this year in the panel enables an examination of whether and how institutional and structural conditions mediated the impact of COVID-19 on national vulnerabilities and policy responses </w:t>
      </w:r>
      <w:sdt>
        <w:sdtPr>
          <w:tag w:val="MENDELEY_CITATION_v3_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"/>
          <w:id w:val="-324437529"/>
          <w:placeholder>
            <w:docPart w:val="BAB2841F77CC4190A4A452E3964DDC86"/>
          </w:placeholder>
        </w:sdtPr>
        <w:sdtEndPr/>
        <w:sdtContent>
          <w:r w:rsidRPr="00A73C12">
            <w:rPr>
              <w:rFonts w:eastAsia="Times New Roman"/>
            </w:rPr>
            <w:t xml:space="preserve">(ILO, 2020a; Kent </w:t>
          </w:r>
          <w:r w:rsidRPr="00A73C12">
            <w:rPr>
              <w:rFonts w:eastAsia="Times New Roman"/>
              <w:i/>
              <w:iCs/>
            </w:rPr>
            <w:t>et al.</w:t>
          </w:r>
          <w:r w:rsidRPr="00A73C12">
            <w:rPr>
              <w:rFonts w:eastAsia="Times New Roman"/>
            </w:rPr>
            <w:t>, 2021)</w:t>
          </w:r>
        </w:sdtContent>
      </w:sdt>
      <w:r w:rsidRPr="00CC1FC3">
        <w:t>. Thus, the combination of 2016, 2018, and 202</w:t>
      </w:r>
      <w:r>
        <w:t>3</w:t>
      </w:r>
      <w:r w:rsidRPr="00CC1FC3">
        <w:t xml:space="preserve"> enables a longitudinal yet policy-sensitive </w:t>
      </w:r>
      <w:r w:rsidRPr="00CC1FC3">
        <w:lastRenderedPageBreak/>
        <w:t>analysis while accommodating constraints posed by global events beyond the researcher’s control.</w:t>
      </w:r>
    </w:p>
    <w:p w14:paraId="01566FB6" w14:textId="77777777" w:rsidR="00736F61" w:rsidRPr="00CC1FC3" w:rsidRDefault="00736F61" w:rsidP="00736F61">
      <w:pPr>
        <w:spacing w:line="480" w:lineRule="auto"/>
        <w:ind w:firstLine="720"/>
        <w:jc w:val="both"/>
      </w:pPr>
      <w:r w:rsidRPr="00CC1FC3">
        <w:t xml:space="preserve">The initial sample includes all </w:t>
      </w:r>
      <w:r w:rsidRPr="00CC1FC3">
        <w:rPr>
          <w:rStyle w:val="Strong"/>
          <w:rFonts w:eastAsiaTheme="majorEastAsia"/>
          <w:b w:val="0"/>
          <w:bCs w:val="0"/>
        </w:rPr>
        <w:t>195 countries</w:t>
      </w:r>
      <w:r w:rsidRPr="00CC1FC3">
        <w:t>, reflecting a globally representative framework for conducting cross-national empirical analysis. To ensure the methodological soundness and consistency of the dataset across all key analytical dimensions, a rigorous, multi-stage refinement process was employed, guided by the availability and completeness of critical variables.</w:t>
      </w:r>
    </w:p>
    <w:p w14:paraId="6C0855F5" w14:textId="77777777" w:rsidR="00736F61" w:rsidRPr="00CC1FC3" w:rsidRDefault="00736F61" w:rsidP="00736F61">
      <w:pPr>
        <w:spacing w:line="480" w:lineRule="auto"/>
        <w:ind w:firstLine="720"/>
        <w:jc w:val="both"/>
      </w:pPr>
      <w:r w:rsidRPr="00CC1FC3">
        <w:t>In the first stage, two entities (the Holy See and the State of Palestine) were excluded due to their non-membership status in the United Nations, which precludes them from accessing SDGI data.  Subsequently, 12 countries were omitted due to the absence of one or more primary dependent variables, specifically the MS PREV, VULN, and MSRM, as reported by the GSI. In the third stage, 10 additional countries were excluded due to incomplete institutional data, particularly regarding the WGI, which are integral to the construction of the core independent variables. Finally, seven countries were removed owing to missing values in essential macroeconomic and demographic control variables—such as gross domestic production (GDP) growth, foreign direct investment (FDI), net migration, and population structure—sourced primarily from the World Bank Development Indicators (WDI) and supplementary United Nations datasets.</w:t>
      </w:r>
    </w:p>
    <w:p w14:paraId="16D684BB" w14:textId="77777777" w:rsidR="00736F61" w:rsidRDefault="00736F61" w:rsidP="00736F61">
      <w:pPr>
        <w:spacing w:line="480" w:lineRule="auto"/>
        <w:ind w:firstLine="720"/>
        <w:jc w:val="both"/>
      </w:pPr>
      <w:r w:rsidRPr="00CC1FC3">
        <w:t>Upon completion of this refinement process, the final dataset comprises 166 countries, observed across three discrete time periods: 2016, 2018, and 202</w:t>
      </w:r>
      <w:r>
        <w:t>3</w:t>
      </w:r>
      <w:r w:rsidRPr="00CC1FC3">
        <w:t xml:space="preserve">. This balanced panel structure facilitates robust longitudinal analysis and ensures adequate cross-sectional diversity. The resulting sample maintains a high degree of internal validity and encompasses a wide range of legal traditions, institutional capacities, and developmental profiles, thereby enhancing the </w:t>
      </w:r>
      <w:r w:rsidRPr="00CC1FC3">
        <w:lastRenderedPageBreak/>
        <w:t>external validity and global applicability of the study’s findings.</w:t>
      </w:r>
      <w:r>
        <w:t xml:space="preserve"> Table 5.7 presents the macro-level sample composition. </w:t>
      </w:r>
    </w:p>
    <w:p w14:paraId="3EAEA82A" w14:textId="77777777" w:rsidR="00736F61" w:rsidRPr="00CC1FC3" w:rsidRDefault="00736F61" w:rsidP="00736F61">
      <w:pPr>
        <w:pStyle w:val="Caption"/>
      </w:pPr>
      <w:r w:rsidRPr="00CC1FC3">
        <w:rPr>
          <w:b/>
          <w:bCs/>
        </w:rPr>
        <w:t xml:space="preserve">Table </w:t>
      </w:r>
      <w:r>
        <w:rPr>
          <w:b/>
          <w:bCs/>
        </w:rPr>
        <w:t>5.7</w:t>
      </w:r>
      <w:r w:rsidRPr="00CC1FC3">
        <w:rPr>
          <w:b/>
          <w:bCs/>
        </w:rPr>
        <w:t>:</w:t>
      </w:r>
      <w:r w:rsidRPr="00CC1FC3">
        <w:t xml:space="preserve"> Table Sample details </w:t>
      </w:r>
    </w:p>
    <w:tbl>
      <w:tblPr>
        <w:tblStyle w:val="TableGrid"/>
        <w:tblW w:w="0" w:type="auto"/>
        <w:tblBorders>
          <w:top w:val="single" w:sz="4" w:space="0" w:color="auto"/>
          <w:bottom w:val="single" w:sz="4" w:space="0" w:color="auto"/>
        </w:tblBorders>
        <w:tblLook w:val="04A0" w:firstRow="1" w:lastRow="0" w:firstColumn="1" w:lastColumn="0" w:noHBand="0" w:noVBand="1"/>
      </w:tblPr>
      <w:tblGrid>
        <w:gridCol w:w="5628"/>
        <w:gridCol w:w="1654"/>
        <w:gridCol w:w="1734"/>
      </w:tblGrid>
      <w:tr w:rsidR="00736F61" w:rsidRPr="00CC1FC3" w14:paraId="7E5A3C96" w14:textId="77777777" w:rsidTr="00621211">
        <w:tc>
          <w:tcPr>
            <w:tcW w:w="5628" w:type="dxa"/>
            <w:tcBorders>
              <w:top w:val="single" w:sz="4" w:space="0" w:color="auto"/>
              <w:left w:val="nil"/>
              <w:bottom w:val="nil"/>
              <w:right w:val="nil"/>
            </w:tcBorders>
            <w:hideMark/>
          </w:tcPr>
          <w:p w14:paraId="4D762FDE" w14:textId="77777777" w:rsidR="00736F61" w:rsidRPr="00CC1FC3" w:rsidRDefault="00736F61" w:rsidP="003F224E">
            <w:r w:rsidRPr="00CC1FC3">
              <w:t xml:space="preserve">Number of countries in the Initial Sample </w:t>
            </w:r>
          </w:p>
        </w:tc>
        <w:tc>
          <w:tcPr>
            <w:tcW w:w="1654" w:type="dxa"/>
            <w:tcBorders>
              <w:top w:val="single" w:sz="4" w:space="0" w:color="auto"/>
              <w:left w:val="nil"/>
              <w:bottom w:val="nil"/>
              <w:right w:val="nil"/>
            </w:tcBorders>
          </w:tcPr>
          <w:p w14:paraId="4A1744F8" w14:textId="77777777" w:rsidR="00736F61" w:rsidRPr="00CC1FC3" w:rsidRDefault="00736F61" w:rsidP="003F224E">
            <w:pPr>
              <w:jc w:val="center"/>
            </w:pPr>
          </w:p>
        </w:tc>
        <w:tc>
          <w:tcPr>
            <w:tcW w:w="1734" w:type="dxa"/>
            <w:tcBorders>
              <w:top w:val="single" w:sz="4" w:space="0" w:color="auto"/>
              <w:left w:val="nil"/>
              <w:bottom w:val="nil"/>
              <w:right w:val="nil"/>
            </w:tcBorders>
            <w:hideMark/>
          </w:tcPr>
          <w:p w14:paraId="79BDB874" w14:textId="77777777" w:rsidR="00736F61" w:rsidRPr="00CC1FC3" w:rsidRDefault="00736F61" w:rsidP="003F224E">
            <w:pPr>
              <w:jc w:val="center"/>
            </w:pPr>
            <w:r w:rsidRPr="00CC1FC3">
              <w:t>195</w:t>
            </w:r>
          </w:p>
        </w:tc>
      </w:tr>
      <w:tr w:rsidR="00736F61" w:rsidRPr="00CC1FC3" w14:paraId="04E34FB5" w14:textId="77777777" w:rsidTr="00621211">
        <w:trPr>
          <w:trHeight w:val="311"/>
        </w:trPr>
        <w:tc>
          <w:tcPr>
            <w:tcW w:w="5628" w:type="dxa"/>
            <w:tcBorders>
              <w:top w:val="nil"/>
              <w:left w:val="nil"/>
              <w:bottom w:val="nil"/>
              <w:right w:val="nil"/>
            </w:tcBorders>
            <w:hideMark/>
          </w:tcPr>
          <w:p w14:paraId="66D34FD5" w14:textId="77777777" w:rsidR="00736F61" w:rsidRPr="00CC1FC3" w:rsidRDefault="00736F61" w:rsidP="003F224E">
            <w:r w:rsidRPr="00CC1FC3">
              <w:rPr>
                <w:u w:val="single"/>
              </w:rPr>
              <w:t>Exclude</w:t>
            </w:r>
          </w:p>
        </w:tc>
        <w:tc>
          <w:tcPr>
            <w:tcW w:w="1654" w:type="dxa"/>
            <w:tcBorders>
              <w:top w:val="nil"/>
              <w:left w:val="nil"/>
              <w:bottom w:val="nil"/>
              <w:right w:val="nil"/>
            </w:tcBorders>
          </w:tcPr>
          <w:p w14:paraId="53AA9CA2" w14:textId="77777777" w:rsidR="00736F61" w:rsidRPr="00CC1FC3" w:rsidRDefault="00736F61" w:rsidP="003F224E">
            <w:pPr>
              <w:jc w:val="center"/>
            </w:pPr>
          </w:p>
        </w:tc>
        <w:tc>
          <w:tcPr>
            <w:tcW w:w="1734" w:type="dxa"/>
            <w:tcBorders>
              <w:top w:val="nil"/>
              <w:left w:val="nil"/>
              <w:bottom w:val="nil"/>
              <w:right w:val="nil"/>
            </w:tcBorders>
          </w:tcPr>
          <w:p w14:paraId="5347CF2A" w14:textId="77777777" w:rsidR="00736F61" w:rsidRPr="00CC1FC3" w:rsidRDefault="00736F61" w:rsidP="003F224E">
            <w:pPr>
              <w:jc w:val="center"/>
            </w:pPr>
          </w:p>
        </w:tc>
      </w:tr>
      <w:tr w:rsidR="00736F61" w:rsidRPr="00CC1FC3" w14:paraId="17A310C9" w14:textId="77777777" w:rsidTr="00621211">
        <w:tc>
          <w:tcPr>
            <w:tcW w:w="5628" w:type="dxa"/>
            <w:tcBorders>
              <w:top w:val="nil"/>
              <w:left w:val="nil"/>
              <w:bottom w:val="nil"/>
              <w:right w:val="nil"/>
            </w:tcBorders>
            <w:hideMark/>
          </w:tcPr>
          <w:p w14:paraId="1F75973E" w14:textId="77777777" w:rsidR="00736F61" w:rsidRPr="00CC1FC3" w:rsidRDefault="00736F61" w:rsidP="003F224E">
            <w:r w:rsidRPr="00CC1FC3">
              <w:t>Missing GSI indicators</w:t>
            </w:r>
          </w:p>
        </w:tc>
        <w:tc>
          <w:tcPr>
            <w:tcW w:w="1654" w:type="dxa"/>
            <w:tcBorders>
              <w:top w:val="nil"/>
              <w:left w:val="nil"/>
              <w:bottom w:val="nil"/>
              <w:right w:val="nil"/>
            </w:tcBorders>
            <w:hideMark/>
          </w:tcPr>
          <w:p w14:paraId="7D37D9BF" w14:textId="77777777" w:rsidR="00736F61" w:rsidRPr="00CC1FC3" w:rsidRDefault="00736F61" w:rsidP="003F224E">
            <w:pPr>
              <w:jc w:val="center"/>
            </w:pPr>
            <w:r w:rsidRPr="00CC1FC3">
              <w:t>12</w:t>
            </w:r>
          </w:p>
        </w:tc>
        <w:tc>
          <w:tcPr>
            <w:tcW w:w="1734" w:type="dxa"/>
            <w:tcBorders>
              <w:top w:val="nil"/>
              <w:left w:val="nil"/>
              <w:bottom w:val="nil"/>
              <w:right w:val="nil"/>
            </w:tcBorders>
          </w:tcPr>
          <w:p w14:paraId="62A96560" w14:textId="77777777" w:rsidR="00736F61" w:rsidRPr="00CC1FC3" w:rsidRDefault="00736F61" w:rsidP="003F224E">
            <w:pPr>
              <w:jc w:val="center"/>
            </w:pPr>
          </w:p>
        </w:tc>
      </w:tr>
      <w:tr w:rsidR="00736F61" w:rsidRPr="00CC1FC3" w14:paraId="5266BACA" w14:textId="77777777" w:rsidTr="00621211">
        <w:tc>
          <w:tcPr>
            <w:tcW w:w="5628" w:type="dxa"/>
            <w:tcBorders>
              <w:top w:val="nil"/>
              <w:left w:val="nil"/>
              <w:bottom w:val="nil"/>
              <w:right w:val="nil"/>
            </w:tcBorders>
            <w:hideMark/>
          </w:tcPr>
          <w:p w14:paraId="65C79AA0" w14:textId="77777777" w:rsidR="00736F61" w:rsidRPr="00CC1FC3" w:rsidRDefault="00736F61" w:rsidP="003F224E">
            <w:r w:rsidRPr="00CC1FC3">
              <w:t>Missing IEQ and legal data</w:t>
            </w:r>
          </w:p>
        </w:tc>
        <w:tc>
          <w:tcPr>
            <w:tcW w:w="1654" w:type="dxa"/>
            <w:tcBorders>
              <w:top w:val="nil"/>
              <w:left w:val="nil"/>
              <w:bottom w:val="nil"/>
              <w:right w:val="nil"/>
            </w:tcBorders>
            <w:hideMark/>
          </w:tcPr>
          <w:p w14:paraId="3583E164" w14:textId="77777777" w:rsidR="00736F61" w:rsidRPr="00CC1FC3" w:rsidRDefault="00736F61" w:rsidP="003F224E">
            <w:pPr>
              <w:jc w:val="center"/>
            </w:pPr>
            <w:r w:rsidRPr="00CC1FC3">
              <w:t>10</w:t>
            </w:r>
          </w:p>
        </w:tc>
        <w:tc>
          <w:tcPr>
            <w:tcW w:w="1734" w:type="dxa"/>
            <w:tcBorders>
              <w:top w:val="nil"/>
              <w:left w:val="nil"/>
              <w:bottom w:val="nil"/>
              <w:right w:val="nil"/>
            </w:tcBorders>
          </w:tcPr>
          <w:p w14:paraId="1F6A7712" w14:textId="77777777" w:rsidR="00736F61" w:rsidRPr="00CC1FC3" w:rsidRDefault="00736F61" w:rsidP="003F224E">
            <w:pPr>
              <w:jc w:val="center"/>
            </w:pPr>
          </w:p>
        </w:tc>
      </w:tr>
      <w:tr w:rsidR="00736F61" w:rsidRPr="00CC1FC3" w14:paraId="1B87C5E7" w14:textId="77777777" w:rsidTr="00621211">
        <w:tc>
          <w:tcPr>
            <w:tcW w:w="5628" w:type="dxa"/>
            <w:tcBorders>
              <w:top w:val="nil"/>
              <w:left w:val="nil"/>
              <w:bottom w:val="nil"/>
              <w:right w:val="nil"/>
            </w:tcBorders>
            <w:hideMark/>
          </w:tcPr>
          <w:p w14:paraId="4A18BBA3" w14:textId="77777777" w:rsidR="00736F61" w:rsidRPr="00CC1FC3" w:rsidRDefault="00736F61" w:rsidP="003F224E">
            <w:r w:rsidRPr="00CC1FC3">
              <w:t xml:space="preserve">Missing macroeconomic/demographic controls </w:t>
            </w:r>
          </w:p>
        </w:tc>
        <w:tc>
          <w:tcPr>
            <w:tcW w:w="1654" w:type="dxa"/>
            <w:tcBorders>
              <w:top w:val="nil"/>
              <w:left w:val="nil"/>
              <w:bottom w:val="single" w:sz="4" w:space="0" w:color="auto"/>
              <w:right w:val="nil"/>
            </w:tcBorders>
            <w:hideMark/>
          </w:tcPr>
          <w:p w14:paraId="31E33767" w14:textId="77777777" w:rsidR="00736F61" w:rsidRPr="00CC1FC3" w:rsidRDefault="00736F61" w:rsidP="003F224E">
            <w:pPr>
              <w:jc w:val="center"/>
            </w:pPr>
            <w:r w:rsidRPr="00CC1FC3">
              <w:t>7</w:t>
            </w:r>
          </w:p>
        </w:tc>
        <w:tc>
          <w:tcPr>
            <w:tcW w:w="1734" w:type="dxa"/>
            <w:tcBorders>
              <w:top w:val="nil"/>
              <w:left w:val="nil"/>
              <w:bottom w:val="single" w:sz="4" w:space="0" w:color="auto"/>
              <w:right w:val="nil"/>
            </w:tcBorders>
            <w:hideMark/>
          </w:tcPr>
          <w:p w14:paraId="74D1466D" w14:textId="77777777" w:rsidR="00736F61" w:rsidRPr="00CC1FC3" w:rsidRDefault="00736F61" w:rsidP="003F224E">
            <w:pPr>
              <w:jc w:val="center"/>
            </w:pPr>
            <w:r w:rsidRPr="00CC1FC3">
              <w:t>(29)</w:t>
            </w:r>
          </w:p>
        </w:tc>
      </w:tr>
      <w:tr w:rsidR="00736F61" w:rsidRPr="00CC1FC3" w14:paraId="0EF68299" w14:textId="77777777" w:rsidTr="00621211">
        <w:tc>
          <w:tcPr>
            <w:tcW w:w="5628" w:type="dxa"/>
            <w:tcBorders>
              <w:top w:val="nil"/>
              <w:left w:val="nil"/>
              <w:bottom w:val="single" w:sz="4" w:space="0" w:color="auto"/>
              <w:right w:val="nil"/>
            </w:tcBorders>
            <w:hideMark/>
          </w:tcPr>
          <w:p w14:paraId="42BFDD99" w14:textId="77777777" w:rsidR="00736F61" w:rsidRPr="00CC1FC3" w:rsidRDefault="00736F61" w:rsidP="003F224E">
            <w:r w:rsidRPr="00CC1FC3">
              <w:t xml:space="preserve">Final sample </w:t>
            </w:r>
          </w:p>
        </w:tc>
        <w:tc>
          <w:tcPr>
            <w:tcW w:w="1654" w:type="dxa"/>
            <w:tcBorders>
              <w:top w:val="single" w:sz="4" w:space="0" w:color="auto"/>
              <w:left w:val="nil"/>
              <w:bottom w:val="single" w:sz="4" w:space="0" w:color="auto"/>
              <w:right w:val="nil"/>
            </w:tcBorders>
          </w:tcPr>
          <w:p w14:paraId="55A516A4" w14:textId="77777777" w:rsidR="00736F61" w:rsidRPr="00CC1FC3" w:rsidRDefault="00736F61" w:rsidP="003F224E">
            <w:pPr>
              <w:jc w:val="center"/>
              <w:rPr>
                <w:b/>
                <w:bCs/>
              </w:rPr>
            </w:pPr>
          </w:p>
        </w:tc>
        <w:tc>
          <w:tcPr>
            <w:tcW w:w="1734" w:type="dxa"/>
            <w:tcBorders>
              <w:top w:val="single" w:sz="4" w:space="0" w:color="auto"/>
              <w:left w:val="nil"/>
              <w:bottom w:val="single" w:sz="4" w:space="0" w:color="auto"/>
              <w:right w:val="nil"/>
            </w:tcBorders>
            <w:hideMark/>
          </w:tcPr>
          <w:p w14:paraId="3962662C" w14:textId="77777777" w:rsidR="00736F61" w:rsidRPr="00CC1FC3" w:rsidRDefault="00736F61" w:rsidP="003F224E">
            <w:pPr>
              <w:jc w:val="center"/>
              <w:rPr>
                <w:b/>
                <w:bCs/>
              </w:rPr>
            </w:pPr>
            <w:r w:rsidRPr="00CC1FC3">
              <w:rPr>
                <w:b/>
                <w:bCs/>
              </w:rPr>
              <w:t>166</w:t>
            </w:r>
          </w:p>
        </w:tc>
      </w:tr>
    </w:tbl>
    <w:p w14:paraId="21FCEE8B" w14:textId="77777777" w:rsidR="00736F61" w:rsidRPr="00CC1FC3" w:rsidRDefault="00736F61" w:rsidP="00736F61">
      <w:pPr>
        <w:pStyle w:val="Heading4"/>
      </w:pPr>
      <w:bookmarkStart w:id="70" w:name="_Toc196915006"/>
      <w:bookmarkStart w:id="71" w:name="_Toc197080386"/>
      <w:bookmarkStart w:id="72" w:name="_Toc200010375"/>
      <w:bookmarkStart w:id="73" w:name="_Toc215651874"/>
      <w:bookmarkStart w:id="74" w:name="_Toc216557274"/>
      <w:bookmarkStart w:id="75" w:name="_Toc220848374"/>
      <w:r w:rsidRPr="00CC1FC3">
        <w:t>5.4.1.2 Definition</w:t>
      </w:r>
      <w:bookmarkEnd w:id="70"/>
      <w:bookmarkEnd w:id="71"/>
      <w:r w:rsidRPr="00CC1FC3">
        <w:t xml:space="preserve"> of Variables</w:t>
      </w:r>
      <w:bookmarkEnd w:id="72"/>
      <w:bookmarkEnd w:id="73"/>
      <w:bookmarkEnd w:id="74"/>
      <w:bookmarkEnd w:id="75"/>
    </w:p>
    <w:p w14:paraId="7F57FE7E" w14:textId="77777777" w:rsidR="00736F61" w:rsidRPr="00CC1FC3" w:rsidRDefault="00736F61" w:rsidP="00736F61">
      <w:pPr>
        <w:spacing w:line="480" w:lineRule="auto"/>
      </w:pPr>
      <w:r w:rsidRPr="00CC1FC3">
        <w:t xml:space="preserve">Table </w:t>
      </w:r>
      <w:r>
        <w:t>5.8</w:t>
      </w:r>
      <w:r w:rsidRPr="00CC1FC3">
        <w:t xml:space="preserve"> presents the definitions of the dependent, independent, and control variables of the empirical model used in this study.</w:t>
      </w:r>
    </w:p>
    <w:p w14:paraId="6DCB2A39" w14:textId="77777777" w:rsidR="00736F61" w:rsidRPr="00CC1FC3" w:rsidRDefault="00736F61" w:rsidP="00736F61">
      <w:pPr>
        <w:pStyle w:val="Caption"/>
      </w:pPr>
      <w:r w:rsidRPr="00CC1FC3">
        <w:rPr>
          <w:b/>
          <w:bCs/>
        </w:rPr>
        <w:t xml:space="preserve">Table </w:t>
      </w:r>
      <w:r>
        <w:rPr>
          <w:b/>
          <w:bCs/>
        </w:rPr>
        <w:t>5.8</w:t>
      </w:r>
      <w:r w:rsidRPr="00CC1FC3">
        <w:rPr>
          <w:b/>
          <w:bCs/>
        </w:rPr>
        <w:t>:</w:t>
      </w:r>
      <w:r w:rsidRPr="00CC1FC3">
        <w:t xml:space="preserve"> Variable definitions</w:t>
      </w:r>
    </w:p>
    <w:tbl>
      <w:tblPr>
        <w:tblW w:w="9026" w:type="dxa"/>
        <w:tblLook w:val="04A0" w:firstRow="1" w:lastRow="0" w:firstColumn="1" w:lastColumn="0" w:noHBand="0" w:noVBand="1"/>
      </w:tblPr>
      <w:tblGrid>
        <w:gridCol w:w="1781"/>
        <w:gridCol w:w="1131"/>
        <w:gridCol w:w="4743"/>
        <w:gridCol w:w="1371"/>
      </w:tblGrid>
      <w:tr w:rsidR="00736F61" w:rsidRPr="00ED0043" w14:paraId="5FA08E37" w14:textId="77777777" w:rsidTr="00ED0043">
        <w:trPr>
          <w:trHeight w:val="369"/>
        </w:trPr>
        <w:tc>
          <w:tcPr>
            <w:tcW w:w="1799" w:type="dxa"/>
            <w:tcBorders>
              <w:top w:val="single" w:sz="4" w:space="0" w:color="auto"/>
              <w:left w:val="nil"/>
              <w:bottom w:val="single" w:sz="4" w:space="0" w:color="auto"/>
              <w:right w:val="nil"/>
            </w:tcBorders>
            <w:vAlign w:val="center"/>
            <w:hideMark/>
          </w:tcPr>
          <w:p w14:paraId="261FAFB0" w14:textId="77777777" w:rsidR="00736F61" w:rsidRPr="00ED0043" w:rsidRDefault="00736F61" w:rsidP="003F224E">
            <w:pPr>
              <w:spacing w:after="0" w:line="240" w:lineRule="auto"/>
              <w:jc w:val="center"/>
              <w:rPr>
                <w:b/>
                <w:bCs/>
                <w:sz w:val="20"/>
                <w:szCs w:val="20"/>
              </w:rPr>
            </w:pPr>
            <w:r w:rsidRPr="00ED0043">
              <w:rPr>
                <w:b/>
                <w:bCs/>
                <w:sz w:val="20"/>
                <w:szCs w:val="20"/>
              </w:rPr>
              <w:t>Variable name</w:t>
            </w:r>
          </w:p>
        </w:tc>
        <w:tc>
          <w:tcPr>
            <w:tcW w:w="1134" w:type="dxa"/>
            <w:tcBorders>
              <w:top w:val="single" w:sz="4" w:space="0" w:color="auto"/>
              <w:left w:val="nil"/>
              <w:bottom w:val="single" w:sz="4" w:space="0" w:color="auto"/>
              <w:right w:val="nil"/>
            </w:tcBorders>
            <w:vAlign w:val="center"/>
            <w:hideMark/>
          </w:tcPr>
          <w:p w14:paraId="28A3CAD5" w14:textId="77777777" w:rsidR="00736F61" w:rsidRPr="00ED0043" w:rsidRDefault="00736F61" w:rsidP="003F224E">
            <w:pPr>
              <w:spacing w:after="0" w:line="240" w:lineRule="auto"/>
              <w:jc w:val="center"/>
              <w:rPr>
                <w:b/>
                <w:bCs/>
                <w:sz w:val="20"/>
                <w:szCs w:val="20"/>
              </w:rPr>
            </w:pPr>
            <w:r w:rsidRPr="00ED0043">
              <w:rPr>
                <w:b/>
                <w:bCs/>
                <w:sz w:val="20"/>
                <w:szCs w:val="20"/>
              </w:rPr>
              <w:t>Acronym</w:t>
            </w:r>
          </w:p>
        </w:tc>
        <w:tc>
          <w:tcPr>
            <w:tcW w:w="4864" w:type="dxa"/>
            <w:tcBorders>
              <w:top w:val="single" w:sz="4" w:space="0" w:color="auto"/>
              <w:left w:val="nil"/>
              <w:bottom w:val="single" w:sz="4" w:space="0" w:color="auto"/>
              <w:right w:val="nil"/>
            </w:tcBorders>
            <w:vAlign w:val="center"/>
            <w:hideMark/>
          </w:tcPr>
          <w:p w14:paraId="2EA90354" w14:textId="77777777" w:rsidR="00736F61" w:rsidRPr="00ED0043" w:rsidRDefault="00736F61" w:rsidP="003F224E">
            <w:pPr>
              <w:spacing w:after="0" w:line="240" w:lineRule="auto"/>
              <w:jc w:val="center"/>
              <w:rPr>
                <w:b/>
                <w:bCs/>
                <w:sz w:val="20"/>
                <w:szCs w:val="20"/>
              </w:rPr>
            </w:pPr>
            <w:r w:rsidRPr="00ED0043">
              <w:rPr>
                <w:b/>
                <w:bCs/>
                <w:sz w:val="20"/>
                <w:szCs w:val="20"/>
              </w:rPr>
              <w:t>Definition</w:t>
            </w:r>
          </w:p>
        </w:tc>
        <w:tc>
          <w:tcPr>
            <w:tcW w:w="1229" w:type="dxa"/>
            <w:tcBorders>
              <w:top w:val="single" w:sz="4" w:space="0" w:color="auto"/>
              <w:left w:val="nil"/>
              <w:bottom w:val="single" w:sz="4" w:space="0" w:color="auto"/>
              <w:right w:val="nil"/>
            </w:tcBorders>
            <w:hideMark/>
          </w:tcPr>
          <w:p w14:paraId="24F17EF7" w14:textId="77777777" w:rsidR="00736F61" w:rsidRPr="00ED0043" w:rsidRDefault="00736F61" w:rsidP="003F224E">
            <w:pPr>
              <w:spacing w:after="0" w:line="240" w:lineRule="auto"/>
              <w:jc w:val="center"/>
              <w:rPr>
                <w:b/>
                <w:bCs/>
                <w:sz w:val="20"/>
                <w:szCs w:val="20"/>
              </w:rPr>
            </w:pPr>
            <w:r w:rsidRPr="00ED0043">
              <w:rPr>
                <w:b/>
                <w:bCs/>
                <w:sz w:val="20"/>
                <w:szCs w:val="20"/>
              </w:rPr>
              <w:t>Source</w:t>
            </w:r>
          </w:p>
        </w:tc>
      </w:tr>
      <w:tr w:rsidR="00736F61" w:rsidRPr="00ED0043" w14:paraId="02961ED6" w14:textId="77777777" w:rsidTr="00ED0043">
        <w:trPr>
          <w:trHeight w:val="609"/>
        </w:trPr>
        <w:tc>
          <w:tcPr>
            <w:tcW w:w="1799" w:type="dxa"/>
            <w:tcBorders>
              <w:top w:val="single" w:sz="4" w:space="0" w:color="auto"/>
              <w:left w:val="nil"/>
              <w:bottom w:val="nil"/>
              <w:right w:val="nil"/>
            </w:tcBorders>
            <w:vAlign w:val="center"/>
            <w:hideMark/>
          </w:tcPr>
          <w:p w14:paraId="2D7CAE92" w14:textId="77777777" w:rsidR="00736F61" w:rsidRPr="00ED0043" w:rsidRDefault="00736F61" w:rsidP="003F224E">
            <w:pPr>
              <w:spacing w:line="240" w:lineRule="auto"/>
              <w:rPr>
                <w:sz w:val="20"/>
                <w:szCs w:val="20"/>
              </w:rPr>
            </w:pPr>
            <w:r w:rsidRPr="00ED0043">
              <w:rPr>
                <w:sz w:val="20"/>
                <w:szCs w:val="20"/>
              </w:rPr>
              <w:t>Modern Slavery Prevalence</w:t>
            </w:r>
          </w:p>
        </w:tc>
        <w:tc>
          <w:tcPr>
            <w:tcW w:w="1134" w:type="dxa"/>
            <w:tcBorders>
              <w:top w:val="single" w:sz="4" w:space="0" w:color="auto"/>
              <w:left w:val="nil"/>
              <w:bottom w:val="single" w:sz="4" w:space="0" w:color="auto"/>
              <w:right w:val="nil"/>
            </w:tcBorders>
            <w:vAlign w:val="center"/>
            <w:hideMark/>
          </w:tcPr>
          <w:p w14:paraId="2341E1AB" w14:textId="77777777" w:rsidR="00736F61" w:rsidRPr="00ED0043" w:rsidRDefault="00736F61" w:rsidP="003F224E">
            <w:pPr>
              <w:spacing w:line="240" w:lineRule="auto"/>
              <w:rPr>
                <w:b/>
                <w:bCs/>
                <w:sz w:val="20"/>
                <w:szCs w:val="20"/>
              </w:rPr>
            </w:pPr>
            <w:r w:rsidRPr="00ED0043">
              <w:rPr>
                <w:b/>
                <w:bCs/>
                <w:sz w:val="20"/>
                <w:szCs w:val="20"/>
              </w:rPr>
              <w:t>PREV</w:t>
            </w:r>
          </w:p>
        </w:tc>
        <w:tc>
          <w:tcPr>
            <w:tcW w:w="4864" w:type="dxa"/>
            <w:tcBorders>
              <w:top w:val="single" w:sz="4" w:space="0" w:color="auto"/>
              <w:left w:val="nil"/>
              <w:bottom w:val="single" w:sz="4" w:space="0" w:color="auto"/>
              <w:right w:val="nil"/>
            </w:tcBorders>
            <w:vAlign w:val="center"/>
            <w:hideMark/>
          </w:tcPr>
          <w:p w14:paraId="317B33AA" w14:textId="77777777" w:rsidR="00736F61" w:rsidRPr="00ED0043" w:rsidRDefault="00736F61" w:rsidP="003F224E">
            <w:pPr>
              <w:spacing w:line="240" w:lineRule="auto"/>
              <w:rPr>
                <w:sz w:val="20"/>
                <w:szCs w:val="20"/>
              </w:rPr>
            </w:pPr>
            <w:r w:rsidRPr="00ED0043">
              <w:rPr>
                <w:sz w:val="20"/>
                <w:szCs w:val="20"/>
              </w:rPr>
              <w:t>The percentage of MS in the population, including, for example, child exploitation, forced labour, commercial sexual exploitation, human trafficking, and forced marriage.</w:t>
            </w:r>
          </w:p>
        </w:tc>
        <w:tc>
          <w:tcPr>
            <w:tcW w:w="1229" w:type="dxa"/>
            <w:tcBorders>
              <w:top w:val="single" w:sz="4" w:space="0" w:color="auto"/>
              <w:left w:val="nil"/>
              <w:bottom w:val="single" w:sz="4" w:space="0" w:color="auto"/>
              <w:right w:val="nil"/>
            </w:tcBorders>
            <w:hideMark/>
          </w:tcPr>
          <w:sdt>
            <w:sdtPr>
              <w:rPr>
                <w:sz w:val="20"/>
                <w:szCs w:val="20"/>
              </w:rPr>
              <w:tag w:val="MENDELEY_CITATION_v3_eyJjaXRhdGlvbklEIjoiTUVOREVMRVlfQ0lUQVRJT05fNThmN2U2MzEtNWRmZi00MDY3LTgzZjQtNGJhMjVlNjU4OTlk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
              <w:id w:val="-1843689446"/>
              <w:placeholder>
                <w:docPart w:val="73B7607847AA49BABCE8FEFEEC908E01"/>
              </w:placeholder>
            </w:sdtPr>
            <w:sdtEndPr/>
            <w:sdtContent>
              <w:p w14:paraId="5E79D2BA" w14:textId="77777777" w:rsidR="00736F61" w:rsidRPr="00ED0043" w:rsidRDefault="00736F61" w:rsidP="003F224E">
                <w:pPr>
                  <w:spacing w:line="240" w:lineRule="auto"/>
                  <w:jc w:val="both"/>
                  <w:rPr>
                    <w:sz w:val="20"/>
                    <w:szCs w:val="20"/>
                  </w:rPr>
                </w:pPr>
                <w:r w:rsidRPr="00ED0043">
                  <w:rPr>
                    <w:sz w:val="20"/>
                    <w:szCs w:val="20"/>
                  </w:rPr>
                  <w:t>(Walk Free, 2016)</w:t>
                </w:r>
              </w:p>
            </w:sdtContent>
          </w:sdt>
        </w:tc>
      </w:tr>
      <w:tr w:rsidR="00736F61" w:rsidRPr="00ED0043" w14:paraId="27C0DD68" w14:textId="77777777" w:rsidTr="00ED0043">
        <w:trPr>
          <w:trHeight w:val="609"/>
        </w:trPr>
        <w:tc>
          <w:tcPr>
            <w:tcW w:w="1799" w:type="dxa"/>
            <w:vAlign w:val="center"/>
            <w:hideMark/>
          </w:tcPr>
          <w:p w14:paraId="5429B57B" w14:textId="77777777" w:rsidR="00736F61" w:rsidRPr="00ED0043" w:rsidRDefault="00736F61" w:rsidP="003F224E">
            <w:pPr>
              <w:spacing w:line="240" w:lineRule="auto"/>
              <w:rPr>
                <w:sz w:val="20"/>
                <w:szCs w:val="20"/>
              </w:rPr>
            </w:pPr>
            <w:r w:rsidRPr="00ED0043">
              <w:rPr>
                <w:sz w:val="20"/>
                <w:szCs w:val="20"/>
              </w:rPr>
              <w:t>Vulnerability to Modern Slavery</w:t>
            </w:r>
          </w:p>
        </w:tc>
        <w:tc>
          <w:tcPr>
            <w:tcW w:w="1134" w:type="dxa"/>
            <w:tcBorders>
              <w:top w:val="single" w:sz="4" w:space="0" w:color="auto"/>
              <w:left w:val="nil"/>
              <w:bottom w:val="single" w:sz="4" w:space="0" w:color="auto"/>
              <w:right w:val="nil"/>
            </w:tcBorders>
            <w:vAlign w:val="center"/>
            <w:hideMark/>
          </w:tcPr>
          <w:p w14:paraId="5F24234C" w14:textId="77777777" w:rsidR="00736F61" w:rsidRPr="00ED0043" w:rsidRDefault="00736F61" w:rsidP="003F224E">
            <w:pPr>
              <w:spacing w:line="240" w:lineRule="auto"/>
              <w:rPr>
                <w:b/>
                <w:bCs/>
                <w:sz w:val="20"/>
                <w:szCs w:val="20"/>
              </w:rPr>
            </w:pPr>
            <w:r w:rsidRPr="00ED0043">
              <w:rPr>
                <w:b/>
                <w:bCs/>
                <w:sz w:val="20"/>
                <w:szCs w:val="20"/>
              </w:rPr>
              <w:t>VULN</w:t>
            </w:r>
          </w:p>
        </w:tc>
        <w:tc>
          <w:tcPr>
            <w:tcW w:w="4864" w:type="dxa"/>
            <w:tcBorders>
              <w:top w:val="single" w:sz="4" w:space="0" w:color="auto"/>
              <w:left w:val="nil"/>
              <w:bottom w:val="single" w:sz="4" w:space="0" w:color="auto"/>
              <w:right w:val="nil"/>
            </w:tcBorders>
            <w:vAlign w:val="center"/>
            <w:hideMark/>
          </w:tcPr>
          <w:p w14:paraId="086B15DF" w14:textId="77777777" w:rsidR="00736F61" w:rsidRPr="00ED0043" w:rsidRDefault="00736F61" w:rsidP="003F224E">
            <w:pPr>
              <w:spacing w:line="240" w:lineRule="auto"/>
              <w:jc w:val="both"/>
              <w:rPr>
                <w:sz w:val="20"/>
                <w:szCs w:val="20"/>
              </w:rPr>
            </w:pPr>
            <w:r w:rsidRPr="00ED0043">
              <w:rPr>
                <w:sz w:val="20"/>
                <w:szCs w:val="20"/>
              </w:rPr>
              <w:t>The overall vulnerability to MS provides a risk score based on an analysis of data covering 23 risk variables across five major dimensions: lack of basic needs, inequality, disenfranchised groups, governance issues, and effects of conflict. This score ranges from 0 to 100.</w:t>
            </w:r>
          </w:p>
        </w:tc>
        <w:tc>
          <w:tcPr>
            <w:tcW w:w="1229" w:type="dxa"/>
            <w:tcBorders>
              <w:top w:val="single" w:sz="4" w:space="0" w:color="auto"/>
              <w:left w:val="nil"/>
              <w:bottom w:val="single" w:sz="4" w:space="0" w:color="auto"/>
              <w:right w:val="nil"/>
            </w:tcBorders>
            <w:hideMark/>
          </w:tcPr>
          <w:sdt>
            <w:sdtPr>
              <w:rPr>
                <w:sz w:val="20"/>
                <w:szCs w:val="20"/>
              </w:rPr>
              <w:tag w:val="MENDELEY_CITATION_v3_eyJjaXRhdGlvbklEIjoiTUVOREVMRVlfQ0lUQVRJT05fYTY3ZTEzZmEtY2Q4NC00MzAwLWE3MzYtNTViNmNhMjlhZTgy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
              <w:id w:val="409282436"/>
              <w:placeholder>
                <w:docPart w:val="47F9D2C3C9CD4E6ABFEBA83508EA51E3"/>
              </w:placeholder>
            </w:sdtPr>
            <w:sdtEndPr/>
            <w:sdtContent>
              <w:p w14:paraId="0F32B7C6" w14:textId="77777777" w:rsidR="00736F61" w:rsidRPr="00ED0043" w:rsidRDefault="00736F61" w:rsidP="003F224E">
                <w:pPr>
                  <w:spacing w:line="240" w:lineRule="auto"/>
                  <w:jc w:val="both"/>
                  <w:rPr>
                    <w:sz w:val="20"/>
                    <w:szCs w:val="20"/>
                  </w:rPr>
                </w:pPr>
                <w:r w:rsidRPr="00ED0043">
                  <w:rPr>
                    <w:sz w:val="20"/>
                    <w:szCs w:val="20"/>
                  </w:rPr>
                  <w:t>(Walk Free, 2016)</w:t>
                </w:r>
              </w:p>
            </w:sdtContent>
          </w:sdt>
        </w:tc>
      </w:tr>
      <w:tr w:rsidR="00736F61" w:rsidRPr="00ED0043" w14:paraId="75F4FB8A" w14:textId="77777777" w:rsidTr="00ED0043">
        <w:trPr>
          <w:trHeight w:val="914"/>
        </w:trPr>
        <w:tc>
          <w:tcPr>
            <w:tcW w:w="1799" w:type="dxa"/>
            <w:vAlign w:val="center"/>
            <w:hideMark/>
          </w:tcPr>
          <w:p w14:paraId="2CFA9448" w14:textId="77777777" w:rsidR="00736F61" w:rsidRPr="00ED0043" w:rsidRDefault="00736F61" w:rsidP="003F224E">
            <w:pPr>
              <w:spacing w:line="240" w:lineRule="auto"/>
              <w:rPr>
                <w:sz w:val="20"/>
                <w:szCs w:val="20"/>
              </w:rPr>
            </w:pPr>
            <w:r w:rsidRPr="00ED0043">
              <w:rPr>
                <w:sz w:val="20"/>
                <w:szCs w:val="20"/>
              </w:rPr>
              <w:t>Government Response to Modern Slavery Risk Mitigation</w:t>
            </w:r>
          </w:p>
        </w:tc>
        <w:tc>
          <w:tcPr>
            <w:tcW w:w="1134" w:type="dxa"/>
            <w:tcBorders>
              <w:top w:val="single" w:sz="4" w:space="0" w:color="auto"/>
              <w:left w:val="nil"/>
              <w:bottom w:val="single" w:sz="4" w:space="0" w:color="auto"/>
              <w:right w:val="nil"/>
            </w:tcBorders>
            <w:vAlign w:val="center"/>
            <w:hideMark/>
          </w:tcPr>
          <w:p w14:paraId="24175C29" w14:textId="77777777" w:rsidR="00736F61" w:rsidRPr="00ED0043" w:rsidRDefault="00736F61" w:rsidP="003F224E">
            <w:pPr>
              <w:spacing w:line="240" w:lineRule="auto"/>
              <w:rPr>
                <w:b/>
                <w:bCs/>
                <w:sz w:val="20"/>
                <w:szCs w:val="20"/>
              </w:rPr>
            </w:pPr>
            <w:r w:rsidRPr="00ED0043">
              <w:rPr>
                <w:b/>
                <w:bCs/>
                <w:sz w:val="20"/>
                <w:szCs w:val="20"/>
              </w:rPr>
              <w:t>MSRM</w:t>
            </w:r>
          </w:p>
        </w:tc>
        <w:tc>
          <w:tcPr>
            <w:tcW w:w="4864" w:type="dxa"/>
            <w:tcBorders>
              <w:top w:val="single" w:sz="4" w:space="0" w:color="auto"/>
              <w:left w:val="nil"/>
              <w:bottom w:val="single" w:sz="4" w:space="0" w:color="auto"/>
              <w:right w:val="nil"/>
            </w:tcBorders>
            <w:vAlign w:val="center"/>
            <w:hideMark/>
          </w:tcPr>
          <w:p w14:paraId="2F3747BE" w14:textId="77777777" w:rsidR="00736F61" w:rsidRPr="00ED0043" w:rsidRDefault="00736F61" w:rsidP="003F224E">
            <w:pPr>
              <w:spacing w:line="240" w:lineRule="auto"/>
              <w:jc w:val="both"/>
              <w:rPr>
                <w:sz w:val="20"/>
                <w:szCs w:val="20"/>
              </w:rPr>
            </w:pPr>
            <w:r w:rsidRPr="00ED0043">
              <w:rPr>
                <w:sz w:val="20"/>
                <w:szCs w:val="20"/>
              </w:rPr>
              <w:t>Measured by the government response index, which provides a comparative assessment of the legal, policy, and programmatic actions that governments are taking to respond to MS. This is based on data collected on five main dimensions: (1) establishing effective criminal justice mechanisms; (2) addressing risk factors; (3) strengthening coordination and holding governments to account; (4) cleaning up government and business supply chains; (5) identifying and supporting survivors.</w:t>
            </w:r>
          </w:p>
        </w:tc>
        <w:tc>
          <w:tcPr>
            <w:tcW w:w="1229" w:type="dxa"/>
            <w:tcBorders>
              <w:top w:val="single" w:sz="4" w:space="0" w:color="auto"/>
              <w:left w:val="nil"/>
              <w:bottom w:val="single" w:sz="4" w:space="0" w:color="auto"/>
              <w:right w:val="nil"/>
            </w:tcBorders>
            <w:hideMark/>
          </w:tcPr>
          <w:sdt>
            <w:sdtPr>
              <w:rPr>
                <w:sz w:val="20"/>
                <w:szCs w:val="20"/>
              </w:rPr>
              <w:tag w:val="MENDELEY_CITATION_v3_eyJjaXRhdGlvbklEIjoiTUVOREVMRVlfQ0lUQVRJT05fMjAyZDU5MGUtMDdjNy00NGM0LWFhZTMtZDVlYzYwNDMxODQ2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
              <w:id w:val="-811946495"/>
              <w:placeholder>
                <w:docPart w:val="BD27B95D05F54D13A637A8D4312982F0"/>
              </w:placeholder>
            </w:sdtPr>
            <w:sdtEndPr/>
            <w:sdtContent>
              <w:p w14:paraId="76C81C5C" w14:textId="77777777" w:rsidR="00736F61" w:rsidRPr="00ED0043" w:rsidRDefault="00736F61" w:rsidP="003F224E">
                <w:pPr>
                  <w:spacing w:line="240" w:lineRule="auto"/>
                  <w:jc w:val="both"/>
                  <w:rPr>
                    <w:sz w:val="20"/>
                    <w:szCs w:val="20"/>
                  </w:rPr>
                </w:pPr>
                <w:r w:rsidRPr="00ED0043">
                  <w:rPr>
                    <w:sz w:val="20"/>
                    <w:szCs w:val="20"/>
                  </w:rPr>
                  <w:t>(Walk Free, 2016)</w:t>
                </w:r>
              </w:p>
            </w:sdtContent>
          </w:sdt>
        </w:tc>
      </w:tr>
      <w:tr w:rsidR="00736F61" w:rsidRPr="00ED0043" w14:paraId="70617EAD" w14:textId="77777777" w:rsidTr="00ED0043">
        <w:trPr>
          <w:trHeight w:val="609"/>
        </w:trPr>
        <w:tc>
          <w:tcPr>
            <w:tcW w:w="1799" w:type="dxa"/>
            <w:vAlign w:val="center"/>
            <w:hideMark/>
          </w:tcPr>
          <w:p w14:paraId="5262E2BB" w14:textId="77777777" w:rsidR="00736F61" w:rsidRPr="00ED0043" w:rsidRDefault="00736F61" w:rsidP="003F224E">
            <w:pPr>
              <w:spacing w:line="240" w:lineRule="auto"/>
              <w:rPr>
                <w:sz w:val="20"/>
                <w:szCs w:val="20"/>
              </w:rPr>
            </w:pPr>
            <w:r w:rsidRPr="00ED0043">
              <w:rPr>
                <w:sz w:val="20"/>
                <w:szCs w:val="20"/>
              </w:rPr>
              <w:t>Institutional Environment Quality</w:t>
            </w:r>
          </w:p>
        </w:tc>
        <w:tc>
          <w:tcPr>
            <w:tcW w:w="1134" w:type="dxa"/>
            <w:tcBorders>
              <w:top w:val="single" w:sz="4" w:space="0" w:color="auto"/>
              <w:left w:val="nil"/>
              <w:bottom w:val="single" w:sz="4" w:space="0" w:color="auto"/>
              <w:right w:val="nil"/>
            </w:tcBorders>
            <w:vAlign w:val="center"/>
            <w:hideMark/>
          </w:tcPr>
          <w:p w14:paraId="36A0F4AE" w14:textId="77777777" w:rsidR="00736F61" w:rsidRPr="00ED0043" w:rsidRDefault="00736F61" w:rsidP="003F224E">
            <w:pPr>
              <w:spacing w:line="240" w:lineRule="auto"/>
              <w:rPr>
                <w:b/>
                <w:bCs/>
                <w:sz w:val="20"/>
                <w:szCs w:val="20"/>
              </w:rPr>
            </w:pPr>
            <w:r w:rsidRPr="00ED0043">
              <w:rPr>
                <w:b/>
                <w:bCs/>
                <w:sz w:val="20"/>
                <w:szCs w:val="20"/>
              </w:rPr>
              <w:t>IEQ</w:t>
            </w:r>
          </w:p>
        </w:tc>
        <w:tc>
          <w:tcPr>
            <w:tcW w:w="4864" w:type="dxa"/>
            <w:tcBorders>
              <w:top w:val="single" w:sz="4" w:space="0" w:color="auto"/>
              <w:left w:val="nil"/>
              <w:bottom w:val="single" w:sz="4" w:space="0" w:color="auto"/>
              <w:right w:val="nil"/>
            </w:tcBorders>
            <w:vAlign w:val="center"/>
            <w:hideMark/>
          </w:tcPr>
          <w:p w14:paraId="57D77B65" w14:textId="77777777" w:rsidR="00736F61" w:rsidRPr="00ED0043" w:rsidRDefault="00736F61" w:rsidP="003F224E">
            <w:pPr>
              <w:spacing w:line="240" w:lineRule="auto"/>
              <w:jc w:val="both"/>
              <w:rPr>
                <w:sz w:val="20"/>
                <w:szCs w:val="20"/>
              </w:rPr>
            </w:pPr>
            <w:r w:rsidRPr="00ED0043">
              <w:rPr>
                <w:sz w:val="20"/>
                <w:szCs w:val="20"/>
              </w:rPr>
              <w:t>A composite measure for the overall IEQ six dimensions (e.g., Regulatory Quality (RL), GF (Government effectiveness), CC (Control of Corruption), VA (Voice of Accountability), Regulatory Quality (RQ), and Political Stability (PS).</w:t>
            </w:r>
          </w:p>
        </w:tc>
        <w:sdt>
          <w:sdtPr>
            <w:rPr>
              <w:sz w:val="20"/>
              <w:szCs w:val="20"/>
            </w:rPr>
            <w:tag w:val="MENDELEY_CITATION_v3_eyJjaXRhdGlvbklEIjoiTUVOREVMRVlfQ0lUQVRJT05fOTFmNmNkYWUtM2I5ZC00NTM3LWE4M2UtNzZjZjg4ZDEzNGIx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
            <w:id w:val="199289563"/>
            <w:placeholder>
              <w:docPart w:val="73B7607847AA49BABCE8FEFEEC908E01"/>
            </w:placeholder>
          </w:sdtPr>
          <w:sdtEndPr/>
          <w:sdtContent>
            <w:tc>
              <w:tcPr>
                <w:tcW w:w="1229" w:type="dxa"/>
                <w:tcBorders>
                  <w:top w:val="single" w:sz="4" w:space="0" w:color="auto"/>
                  <w:left w:val="nil"/>
                  <w:bottom w:val="single" w:sz="4" w:space="0" w:color="auto"/>
                  <w:right w:val="nil"/>
                </w:tcBorders>
                <w:hideMark/>
              </w:tcPr>
              <w:p w14:paraId="00A5B6C6" w14:textId="77777777" w:rsidR="00736F61" w:rsidRPr="00ED0043" w:rsidRDefault="00736F61" w:rsidP="003F224E">
                <w:pPr>
                  <w:spacing w:line="240" w:lineRule="auto"/>
                  <w:jc w:val="both"/>
                  <w:rPr>
                    <w:sz w:val="20"/>
                    <w:szCs w:val="20"/>
                  </w:rPr>
                </w:pPr>
                <w:r w:rsidRPr="00ED0043">
                  <w:rPr>
                    <w:sz w:val="20"/>
                    <w:szCs w:val="20"/>
                  </w:rPr>
                  <w:t>(Kaufmann, 2022)</w:t>
                </w:r>
              </w:p>
            </w:tc>
          </w:sdtContent>
        </w:sdt>
      </w:tr>
      <w:tr w:rsidR="00736F61" w:rsidRPr="00ED0043" w14:paraId="72646F1F" w14:textId="77777777" w:rsidTr="00ED0043">
        <w:trPr>
          <w:trHeight w:val="850"/>
        </w:trPr>
        <w:tc>
          <w:tcPr>
            <w:tcW w:w="1799" w:type="dxa"/>
            <w:vAlign w:val="center"/>
            <w:hideMark/>
          </w:tcPr>
          <w:p w14:paraId="6745AE41" w14:textId="77777777" w:rsidR="00736F61" w:rsidRPr="00ED0043" w:rsidRDefault="00736F61" w:rsidP="003F224E">
            <w:pPr>
              <w:spacing w:line="240" w:lineRule="auto"/>
              <w:rPr>
                <w:sz w:val="20"/>
                <w:szCs w:val="20"/>
              </w:rPr>
            </w:pPr>
            <w:r w:rsidRPr="00ED0043">
              <w:rPr>
                <w:sz w:val="20"/>
                <w:szCs w:val="20"/>
              </w:rPr>
              <w:t>Sustainable Development Goals Index</w:t>
            </w:r>
          </w:p>
        </w:tc>
        <w:tc>
          <w:tcPr>
            <w:tcW w:w="1134" w:type="dxa"/>
            <w:tcBorders>
              <w:top w:val="single" w:sz="4" w:space="0" w:color="auto"/>
              <w:left w:val="nil"/>
              <w:bottom w:val="single" w:sz="4" w:space="0" w:color="auto"/>
              <w:right w:val="nil"/>
            </w:tcBorders>
            <w:vAlign w:val="center"/>
            <w:hideMark/>
          </w:tcPr>
          <w:p w14:paraId="773ADF48" w14:textId="77777777" w:rsidR="00736F61" w:rsidRPr="00ED0043" w:rsidRDefault="00736F61" w:rsidP="003F224E">
            <w:pPr>
              <w:spacing w:line="240" w:lineRule="auto"/>
              <w:rPr>
                <w:b/>
                <w:bCs/>
                <w:sz w:val="20"/>
                <w:szCs w:val="20"/>
              </w:rPr>
            </w:pPr>
            <w:r w:rsidRPr="00ED0043">
              <w:rPr>
                <w:b/>
                <w:bCs/>
                <w:sz w:val="20"/>
                <w:szCs w:val="20"/>
              </w:rPr>
              <w:t>SDGI</w:t>
            </w:r>
          </w:p>
        </w:tc>
        <w:tc>
          <w:tcPr>
            <w:tcW w:w="4864" w:type="dxa"/>
            <w:tcBorders>
              <w:top w:val="single" w:sz="4" w:space="0" w:color="auto"/>
              <w:left w:val="nil"/>
              <w:bottom w:val="single" w:sz="4" w:space="0" w:color="auto"/>
              <w:right w:val="nil"/>
            </w:tcBorders>
            <w:vAlign w:val="center"/>
            <w:hideMark/>
          </w:tcPr>
          <w:p w14:paraId="2894CE09" w14:textId="77777777" w:rsidR="00736F61" w:rsidRPr="00ED0043" w:rsidRDefault="00736F61" w:rsidP="003F224E">
            <w:pPr>
              <w:spacing w:line="240" w:lineRule="auto"/>
              <w:ind w:hanging="36"/>
              <w:jc w:val="both"/>
              <w:rPr>
                <w:sz w:val="20"/>
                <w:szCs w:val="20"/>
              </w:rPr>
            </w:pPr>
            <w:r w:rsidRPr="00ED0043">
              <w:rPr>
                <w:sz w:val="20"/>
                <w:szCs w:val="20"/>
              </w:rPr>
              <w:t>Aggregate score reflects a country’s progress toward achieving the United Nations SDGs.</w:t>
            </w:r>
          </w:p>
        </w:tc>
        <w:sdt>
          <w:sdtPr>
            <w:rPr>
              <w:sz w:val="20"/>
              <w:szCs w:val="20"/>
            </w:rPr>
            <w:tag w:val="MENDELEY_CITATION_v3_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"/>
            <w:id w:val="-1055387078"/>
            <w:placeholder>
              <w:docPart w:val="BAB2841F77CC4190A4A452E3964DDC86"/>
            </w:placeholder>
          </w:sdtPr>
          <w:sdtEndPr/>
          <w:sdtContent>
            <w:tc>
              <w:tcPr>
                <w:tcW w:w="1229" w:type="dxa"/>
                <w:tcBorders>
                  <w:top w:val="single" w:sz="4" w:space="0" w:color="auto"/>
                  <w:left w:val="nil"/>
                  <w:bottom w:val="single" w:sz="4" w:space="0" w:color="auto"/>
                  <w:right w:val="nil"/>
                </w:tcBorders>
                <w:hideMark/>
              </w:tcPr>
              <w:p w14:paraId="6FB0F2ED" w14:textId="77777777" w:rsidR="00736F61" w:rsidRPr="00ED0043" w:rsidRDefault="00736F61" w:rsidP="003F224E">
                <w:pPr>
                  <w:spacing w:line="240" w:lineRule="auto"/>
                  <w:jc w:val="both"/>
                  <w:rPr>
                    <w:sz w:val="20"/>
                    <w:szCs w:val="20"/>
                  </w:rPr>
                </w:pPr>
                <w:r w:rsidRPr="00ED0043">
                  <w:rPr>
                    <w:sz w:val="20"/>
                    <w:szCs w:val="20"/>
                  </w:rPr>
                  <w:t>(United Nations, 2022c)</w:t>
                </w:r>
              </w:p>
            </w:tc>
          </w:sdtContent>
        </w:sdt>
      </w:tr>
      <w:tr w:rsidR="00736F61" w:rsidRPr="00ED0043" w14:paraId="379F7D34" w14:textId="77777777" w:rsidTr="00ED0043">
        <w:trPr>
          <w:trHeight w:val="609"/>
        </w:trPr>
        <w:tc>
          <w:tcPr>
            <w:tcW w:w="1799" w:type="dxa"/>
            <w:vAlign w:val="center"/>
            <w:hideMark/>
          </w:tcPr>
          <w:p w14:paraId="1207F060" w14:textId="77777777" w:rsidR="00736F61" w:rsidRPr="00ED0043" w:rsidRDefault="00736F61" w:rsidP="003F224E">
            <w:pPr>
              <w:spacing w:line="240" w:lineRule="auto"/>
              <w:rPr>
                <w:sz w:val="20"/>
                <w:szCs w:val="20"/>
              </w:rPr>
            </w:pPr>
            <w:r w:rsidRPr="00ED0043">
              <w:rPr>
                <w:sz w:val="20"/>
                <w:szCs w:val="20"/>
              </w:rPr>
              <w:lastRenderedPageBreak/>
              <w:t xml:space="preserve">Inequality-adjusted Human Development Index </w:t>
            </w:r>
          </w:p>
        </w:tc>
        <w:tc>
          <w:tcPr>
            <w:tcW w:w="1134" w:type="dxa"/>
            <w:tcBorders>
              <w:top w:val="single" w:sz="4" w:space="0" w:color="auto"/>
              <w:left w:val="nil"/>
              <w:bottom w:val="single" w:sz="4" w:space="0" w:color="auto"/>
              <w:right w:val="nil"/>
            </w:tcBorders>
            <w:vAlign w:val="center"/>
            <w:hideMark/>
          </w:tcPr>
          <w:p w14:paraId="559D4CF2" w14:textId="77777777" w:rsidR="00736F61" w:rsidRPr="00ED0043" w:rsidRDefault="00736F61" w:rsidP="003F224E">
            <w:pPr>
              <w:spacing w:line="240" w:lineRule="auto"/>
              <w:rPr>
                <w:b/>
                <w:bCs/>
                <w:sz w:val="20"/>
                <w:szCs w:val="20"/>
              </w:rPr>
            </w:pPr>
            <w:r w:rsidRPr="00ED0043">
              <w:rPr>
                <w:b/>
                <w:bCs/>
                <w:sz w:val="20"/>
                <w:szCs w:val="20"/>
              </w:rPr>
              <w:t>IHDI</w:t>
            </w:r>
          </w:p>
        </w:tc>
        <w:tc>
          <w:tcPr>
            <w:tcW w:w="4864" w:type="dxa"/>
            <w:tcBorders>
              <w:top w:val="single" w:sz="4" w:space="0" w:color="auto"/>
              <w:left w:val="nil"/>
              <w:bottom w:val="single" w:sz="4" w:space="0" w:color="auto"/>
              <w:right w:val="nil"/>
            </w:tcBorders>
            <w:vAlign w:val="center"/>
            <w:hideMark/>
          </w:tcPr>
          <w:p w14:paraId="0E9DB0FD" w14:textId="77777777" w:rsidR="00736F61" w:rsidRPr="00ED0043" w:rsidRDefault="00736F61" w:rsidP="003F224E">
            <w:pPr>
              <w:spacing w:line="240" w:lineRule="auto"/>
              <w:ind w:hanging="36"/>
              <w:jc w:val="both"/>
              <w:rPr>
                <w:sz w:val="20"/>
                <w:szCs w:val="20"/>
              </w:rPr>
            </w:pPr>
            <w:r w:rsidRPr="00ED0043">
              <w:rPr>
                <w:sz w:val="20"/>
                <w:szCs w:val="20"/>
              </w:rPr>
              <w:t>It is computed as a geometric mean of inequality-adjusted dimensional indices. A composite index measuring inequalities adjusted for average achievement in three basic dimensions of human development: healthy life, education, and a decent standard of living.</w:t>
            </w:r>
          </w:p>
        </w:tc>
        <w:sdt>
          <w:sdtPr>
            <w:rPr>
              <w:sz w:val="20"/>
              <w:szCs w:val="20"/>
            </w:rPr>
            <w:tag w:val="MENDELEY_CITATION_v3_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"/>
            <w:id w:val="-1956786218"/>
            <w:placeholder>
              <w:docPart w:val="E79B3AB3FB1648F580457386EAECEAEE"/>
            </w:placeholder>
          </w:sdtPr>
          <w:sdtEndPr/>
          <w:sdtContent>
            <w:tc>
              <w:tcPr>
                <w:tcW w:w="1229" w:type="dxa"/>
                <w:tcBorders>
                  <w:top w:val="single" w:sz="4" w:space="0" w:color="auto"/>
                  <w:left w:val="nil"/>
                  <w:bottom w:val="single" w:sz="4" w:space="0" w:color="auto"/>
                  <w:right w:val="nil"/>
                </w:tcBorders>
                <w:hideMark/>
              </w:tcPr>
              <w:p w14:paraId="529BA1EA" w14:textId="77777777" w:rsidR="00736F61" w:rsidRPr="00ED0043" w:rsidRDefault="00736F61" w:rsidP="003F224E">
                <w:pPr>
                  <w:spacing w:line="240" w:lineRule="auto"/>
                  <w:jc w:val="both"/>
                  <w:rPr>
                    <w:sz w:val="20"/>
                    <w:szCs w:val="20"/>
                  </w:rPr>
                </w:pPr>
                <w:r w:rsidRPr="00ED0043">
                  <w:rPr>
                    <w:sz w:val="20"/>
                    <w:szCs w:val="20"/>
                  </w:rPr>
                  <w:t>(UNDP, 2025a)</w:t>
                </w:r>
              </w:p>
            </w:tc>
          </w:sdtContent>
        </w:sdt>
      </w:tr>
      <w:tr w:rsidR="00736F61" w:rsidRPr="00ED0043" w14:paraId="1115C505" w14:textId="77777777" w:rsidTr="00ED0043">
        <w:trPr>
          <w:trHeight w:val="300"/>
        </w:trPr>
        <w:tc>
          <w:tcPr>
            <w:tcW w:w="1799" w:type="dxa"/>
            <w:vAlign w:val="center"/>
            <w:hideMark/>
          </w:tcPr>
          <w:p w14:paraId="7C92FCA5" w14:textId="77777777" w:rsidR="00736F61" w:rsidRPr="00ED0043" w:rsidRDefault="00736F61" w:rsidP="003F224E">
            <w:pPr>
              <w:spacing w:line="240" w:lineRule="auto"/>
              <w:rPr>
                <w:sz w:val="20"/>
                <w:szCs w:val="20"/>
              </w:rPr>
            </w:pPr>
            <w:r w:rsidRPr="00ED0043">
              <w:rPr>
                <w:sz w:val="20"/>
                <w:szCs w:val="20"/>
              </w:rPr>
              <w:t>Corruption Perceptions Index</w:t>
            </w:r>
          </w:p>
        </w:tc>
        <w:tc>
          <w:tcPr>
            <w:tcW w:w="1134" w:type="dxa"/>
            <w:tcBorders>
              <w:top w:val="single" w:sz="4" w:space="0" w:color="auto"/>
              <w:left w:val="nil"/>
              <w:bottom w:val="single" w:sz="4" w:space="0" w:color="auto"/>
              <w:right w:val="nil"/>
            </w:tcBorders>
            <w:vAlign w:val="center"/>
            <w:hideMark/>
          </w:tcPr>
          <w:p w14:paraId="2DF32E18" w14:textId="77777777" w:rsidR="00736F61" w:rsidRPr="00ED0043" w:rsidRDefault="00736F61" w:rsidP="003F224E">
            <w:pPr>
              <w:spacing w:line="240" w:lineRule="auto"/>
              <w:rPr>
                <w:b/>
                <w:bCs/>
                <w:sz w:val="20"/>
                <w:szCs w:val="20"/>
              </w:rPr>
            </w:pPr>
            <w:r w:rsidRPr="00ED0043">
              <w:rPr>
                <w:b/>
                <w:bCs/>
                <w:sz w:val="20"/>
                <w:szCs w:val="20"/>
              </w:rPr>
              <w:t>CPI</w:t>
            </w:r>
          </w:p>
        </w:tc>
        <w:tc>
          <w:tcPr>
            <w:tcW w:w="4864" w:type="dxa"/>
            <w:tcBorders>
              <w:top w:val="single" w:sz="4" w:space="0" w:color="auto"/>
              <w:left w:val="nil"/>
              <w:bottom w:val="single" w:sz="4" w:space="0" w:color="auto"/>
              <w:right w:val="nil"/>
            </w:tcBorders>
            <w:vAlign w:val="center"/>
            <w:hideMark/>
          </w:tcPr>
          <w:p w14:paraId="653C14C6" w14:textId="77777777" w:rsidR="00736F61" w:rsidRPr="00ED0043" w:rsidRDefault="00736F61" w:rsidP="003F224E">
            <w:pPr>
              <w:spacing w:line="240" w:lineRule="auto"/>
              <w:jc w:val="both"/>
              <w:rPr>
                <w:sz w:val="20"/>
                <w:szCs w:val="20"/>
              </w:rPr>
            </w:pPr>
            <w:r w:rsidRPr="00ED0043">
              <w:rPr>
                <w:sz w:val="20"/>
                <w:szCs w:val="20"/>
              </w:rPr>
              <w:t>Corruption Perceptions Index. A score of 0-100, where 0 is highly corrupt and 100 is very clean.</w:t>
            </w:r>
          </w:p>
        </w:tc>
        <w:sdt>
          <w:sdtPr>
            <w:rPr>
              <w:sz w:val="20"/>
              <w:szCs w:val="20"/>
            </w:rPr>
            <w:tag w:val="MENDELEY_CITATION_v3_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"/>
            <w:id w:val="-548599839"/>
            <w:placeholder>
              <w:docPart w:val="73B7607847AA49BABCE8FEFEEC908E01"/>
            </w:placeholder>
          </w:sdtPr>
          <w:sdtEndPr/>
          <w:sdtContent>
            <w:tc>
              <w:tcPr>
                <w:tcW w:w="1229" w:type="dxa"/>
                <w:tcBorders>
                  <w:top w:val="single" w:sz="4" w:space="0" w:color="auto"/>
                  <w:left w:val="nil"/>
                  <w:bottom w:val="single" w:sz="4" w:space="0" w:color="auto"/>
                  <w:right w:val="nil"/>
                </w:tcBorders>
                <w:hideMark/>
              </w:tcPr>
              <w:p w14:paraId="4CF5E9C3" w14:textId="77777777" w:rsidR="00736F61" w:rsidRPr="00ED0043" w:rsidRDefault="00736F61" w:rsidP="003F224E">
                <w:pPr>
                  <w:spacing w:line="240" w:lineRule="auto"/>
                  <w:jc w:val="both"/>
                  <w:rPr>
                    <w:sz w:val="20"/>
                    <w:szCs w:val="20"/>
                  </w:rPr>
                </w:pPr>
                <w:r w:rsidRPr="00ED0043">
                  <w:rPr>
                    <w:sz w:val="20"/>
                    <w:szCs w:val="20"/>
                  </w:rPr>
                  <w:t>(Transparency International, 2023)</w:t>
                </w:r>
              </w:p>
            </w:tc>
          </w:sdtContent>
        </w:sdt>
      </w:tr>
      <w:tr w:rsidR="00736F61" w:rsidRPr="00ED0043" w14:paraId="7EB94E82" w14:textId="77777777" w:rsidTr="00ED0043">
        <w:trPr>
          <w:trHeight w:val="902"/>
        </w:trPr>
        <w:tc>
          <w:tcPr>
            <w:tcW w:w="1799" w:type="dxa"/>
            <w:vAlign w:val="center"/>
            <w:hideMark/>
          </w:tcPr>
          <w:p w14:paraId="0B3408DE" w14:textId="77777777" w:rsidR="00736F61" w:rsidRPr="00ED0043" w:rsidRDefault="00736F61" w:rsidP="003F224E">
            <w:pPr>
              <w:spacing w:line="240" w:lineRule="auto"/>
              <w:rPr>
                <w:sz w:val="20"/>
                <w:szCs w:val="20"/>
              </w:rPr>
            </w:pPr>
            <w:r w:rsidRPr="00ED0043">
              <w:rPr>
                <w:sz w:val="20"/>
                <w:szCs w:val="20"/>
              </w:rPr>
              <w:t>GDP Growth Rate (%)</w:t>
            </w:r>
          </w:p>
        </w:tc>
        <w:tc>
          <w:tcPr>
            <w:tcW w:w="1134" w:type="dxa"/>
            <w:tcBorders>
              <w:top w:val="single" w:sz="4" w:space="0" w:color="auto"/>
              <w:left w:val="nil"/>
              <w:bottom w:val="single" w:sz="4" w:space="0" w:color="auto"/>
              <w:right w:val="nil"/>
            </w:tcBorders>
            <w:vAlign w:val="center"/>
            <w:hideMark/>
          </w:tcPr>
          <w:p w14:paraId="6644DB07" w14:textId="77777777" w:rsidR="00736F61" w:rsidRPr="00ED0043" w:rsidRDefault="00736F61" w:rsidP="003F224E">
            <w:pPr>
              <w:spacing w:line="240" w:lineRule="auto"/>
              <w:rPr>
                <w:b/>
                <w:bCs/>
                <w:sz w:val="20"/>
                <w:szCs w:val="20"/>
              </w:rPr>
            </w:pPr>
            <w:r w:rsidRPr="00ED0043">
              <w:rPr>
                <w:b/>
                <w:bCs/>
                <w:sz w:val="20"/>
                <w:szCs w:val="20"/>
              </w:rPr>
              <w:t>GDPG</w:t>
            </w:r>
          </w:p>
        </w:tc>
        <w:tc>
          <w:tcPr>
            <w:tcW w:w="4864" w:type="dxa"/>
            <w:tcBorders>
              <w:top w:val="single" w:sz="4" w:space="0" w:color="auto"/>
              <w:left w:val="nil"/>
              <w:bottom w:val="single" w:sz="4" w:space="0" w:color="auto"/>
              <w:right w:val="nil"/>
            </w:tcBorders>
            <w:vAlign w:val="center"/>
            <w:hideMark/>
          </w:tcPr>
          <w:p w14:paraId="7A938616" w14:textId="77777777" w:rsidR="00736F61" w:rsidRPr="00ED0043" w:rsidRDefault="00736F61" w:rsidP="003F224E">
            <w:pPr>
              <w:spacing w:line="240" w:lineRule="auto"/>
              <w:jc w:val="both"/>
              <w:rPr>
                <w:sz w:val="20"/>
                <w:szCs w:val="20"/>
              </w:rPr>
            </w:pPr>
            <w:r w:rsidRPr="00ED0043">
              <w:rPr>
                <w:sz w:val="20"/>
                <w:szCs w:val="20"/>
              </w:rPr>
              <w:t>The annual growth rate of a country’s gross domestic product indicates economic expansion.</w:t>
            </w:r>
          </w:p>
        </w:tc>
        <w:sdt>
          <w:sdtPr>
            <w:rPr>
              <w:sz w:val="20"/>
              <w:szCs w:val="20"/>
            </w:rPr>
            <w:tag w:val="MENDELEY_CITATION_v3_eyJjaXRhdGlvbklEIjoiTUVOREVMRVlfQ0lUQVRJT05fNmI0ZGFkZmItYWZjMS00NDQ5LTlmNDUtNzU4ZTlhYmUwNjk3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563474440"/>
            <w:placeholder>
              <w:docPart w:val="6396F431CD5345B78B5D804299EA0B4E"/>
            </w:placeholder>
          </w:sdtPr>
          <w:sdtEndPr/>
          <w:sdtContent>
            <w:tc>
              <w:tcPr>
                <w:tcW w:w="1229" w:type="dxa"/>
                <w:tcBorders>
                  <w:top w:val="single" w:sz="4" w:space="0" w:color="auto"/>
                  <w:left w:val="nil"/>
                  <w:bottom w:val="single" w:sz="4" w:space="0" w:color="auto"/>
                  <w:right w:val="nil"/>
                </w:tcBorders>
                <w:hideMark/>
              </w:tcPr>
              <w:p w14:paraId="088C0570" w14:textId="77777777" w:rsidR="00736F61" w:rsidRPr="00ED0043" w:rsidRDefault="00736F61" w:rsidP="003F224E">
                <w:pPr>
                  <w:spacing w:line="240" w:lineRule="auto"/>
                  <w:jc w:val="both"/>
                  <w:rPr>
                    <w:sz w:val="20"/>
                    <w:szCs w:val="20"/>
                  </w:rPr>
                </w:pPr>
                <w:r w:rsidRPr="00ED0043">
                  <w:rPr>
                    <w:sz w:val="20"/>
                    <w:szCs w:val="20"/>
                  </w:rPr>
                  <w:t>(The World Bank, 2023)</w:t>
                </w:r>
              </w:p>
            </w:tc>
          </w:sdtContent>
        </w:sdt>
      </w:tr>
      <w:tr w:rsidR="00736F61" w:rsidRPr="00ED0043" w14:paraId="774FF133" w14:textId="77777777" w:rsidTr="00ED0043">
        <w:trPr>
          <w:trHeight w:val="609"/>
        </w:trPr>
        <w:tc>
          <w:tcPr>
            <w:tcW w:w="1799" w:type="dxa"/>
            <w:vAlign w:val="center"/>
            <w:hideMark/>
          </w:tcPr>
          <w:p w14:paraId="2605D39B" w14:textId="77777777" w:rsidR="00736F61" w:rsidRPr="00ED0043" w:rsidRDefault="00736F61" w:rsidP="003F224E">
            <w:pPr>
              <w:spacing w:line="240" w:lineRule="auto"/>
              <w:rPr>
                <w:sz w:val="20"/>
                <w:szCs w:val="20"/>
              </w:rPr>
            </w:pPr>
            <w:r w:rsidRPr="00ED0043">
              <w:rPr>
                <w:sz w:val="20"/>
                <w:szCs w:val="20"/>
              </w:rPr>
              <w:t>Foreign Direct Investment (% of GDP)</w:t>
            </w:r>
          </w:p>
        </w:tc>
        <w:tc>
          <w:tcPr>
            <w:tcW w:w="1134" w:type="dxa"/>
            <w:tcBorders>
              <w:top w:val="single" w:sz="4" w:space="0" w:color="auto"/>
              <w:left w:val="nil"/>
              <w:bottom w:val="single" w:sz="4" w:space="0" w:color="auto"/>
              <w:right w:val="nil"/>
            </w:tcBorders>
            <w:vAlign w:val="center"/>
            <w:hideMark/>
          </w:tcPr>
          <w:p w14:paraId="489396E2" w14:textId="77777777" w:rsidR="00736F61" w:rsidRPr="00ED0043" w:rsidRDefault="00736F61" w:rsidP="003F224E">
            <w:pPr>
              <w:spacing w:line="240" w:lineRule="auto"/>
              <w:rPr>
                <w:b/>
                <w:bCs/>
                <w:sz w:val="20"/>
                <w:szCs w:val="20"/>
              </w:rPr>
            </w:pPr>
            <w:r w:rsidRPr="00ED0043">
              <w:rPr>
                <w:b/>
                <w:bCs/>
                <w:sz w:val="20"/>
                <w:szCs w:val="20"/>
              </w:rPr>
              <w:t>FDI</w:t>
            </w:r>
          </w:p>
        </w:tc>
        <w:tc>
          <w:tcPr>
            <w:tcW w:w="4864" w:type="dxa"/>
            <w:tcBorders>
              <w:top w:val="single" w:sz="4" w:space="0" w:color="auto"/>
              <w:left w:val="nil"/>
              <w:bottom w:val="single" w:sz="4" w:space="0" w:color="auto"/>
              <w:right w:val="nil"/>
            </w:tcBorders>
            <w:vAlign w:val="center"/>
            <w:hideMark/>
          </w:tcPr>
          <w:p w14:paraId="61103112" w14:textId="77777777" w:rsidR="00736F61" w:rsidRPr="00ED0043" w:rsidRDefault="00736F61" w:rsidP="003F224E">
            <w:pPr>
              <w:spacing w:line="240" w:lineRule="auto"/>
              <w:jc w:val="both"/>
              <w:rPr>
                <w:sz w:val="20"/>
                <w:szCs w:val="20"/>
              </w:rPr>
            </w:pPr>
            <w:r w:rsidRPr="00ED0043">
              <w:rPr>
                <w:sz w:val="20"/>
                <w:szCs w:val="20"/>
              </w:rPr>
              <w:t>Net inflow of foreign capital for investment purposes as a percentage of GDP.</w:t>
            </w:r>
          </w:p>
        </w:tc>
        <w:sdt>
          <w:sdtPr>
            <w:rPr>
              <w:sz w:val="20"/>
              <w:szCs w:val="20"/>
            </w:rPr>
            <w:tag w:val="MENDELEY_CITATION_v3_eyJjaXRhdGlvbklEIjoiTUVOREVMRVlfQ0lUQVRJT05fNGQyMmVlMDgtMzA5ZS00MDA3LTk1ZjEtOTcyY2YxMmM3YWNh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20079909"/>
            <w:placeholder>
              <w:docPart w:val="8AE97D7CF95D4D7CABA40DF980467AE7"/>
            </w:placeholder>
          </w:sdtPr>
          <w:sdtEndPr/>
          <w:sdtContent>
            <w:tc>
              <w:tcPr>
                <w:tcW w:w="1229" w:type="dxa"/>
                <w:tcBorders>
                  <w:top w:val="single" w:sz="4" w:space="0" w:color="auto"/>
                  <w:left w:val="nil"/>
                  <w:bottom w:val="single" w:sz="4" w:space="0" w:color="auto"/>
                  <w:right w:val="nil"/>
                </w:tcBorders>
                <w:hideMark/>
              </w:tcPr>
              <w:p w14:paraId="453758A1" w14:textId="77777777" w:rsidR="00736F61" w:rsidRPr="00ED0043" w:rsidRDefault="00736F61" w:rsidP="003F224E">
                <w:pPr>
                  <w:spacing w:line="240" w:lineRule="auto"/>
                  <w:jc w:val="both"/>
                  <w:rPr>
                    <w:sz w:val="20"/>
                    <w:szCs w:val="20"/>
                  </w:rPr>
                </w:pPr>
                <w:r w:rsidRPr="00ED0043">
                  <w:rPr>
                    <w:sz w:val="20"/>
                    <w:szCs w:val="20"/>
                  </w:rPr>
                  <w:t>(The World Bank, 2023)</w:t>
                </w:r>
              </w:p>
            </w:tc>
          </w:sdtContent>
        </w:sdt>
      </w:tr>
      <w:tr w:rsidR="00736F61" w:rsidRPr="00ED0043" w14:paraId="56BB6160" w14:textId="77777777" w:rsidTr="00ED0043">
        <w:trPr>
          <w:trHeight w:val="609"/>
        </w:trPr>
        <w:tc>
          <w:tcPr>
            <w:tcW w:w="1799" w:type="dxa"/>
            <w:vAlign w:val="center"/>
            <w:hideMark/>
          </w:tcPr>
          <w:p w14:paraId="50E53420" w14:textId="77777777" w:rsidR="00736F61" w:rsidRPr="00ED0043" w:rsidRDefault="00736F61" w:rsidP="003F224E">
            <w:pPr>
              <w:spacing w:line="240" w:lineRule="auto"/>
              <w:rPr>
                <w:sz w:val="20"/>
                <w:szCs w:val="20"/>
              </w:rPr>
            </w:pPr>
            <w:r w:rsidRPr="00ED0043">
              <w:rPr>
                <w:sz w:val="20"/>
                <w:szCs w:val="20"/>
              </w:rPr>
              <w:t>Inflation Rate (CPI %)</w:t>
            </w:r>
          </w:p>
        </w:tc>
        <w:tc>
          <w:tcPr>
            <w:tcW w:w="1134" w:type="dxa"/>
            <w:tcBorders>
              <w:top w:val="single" w:sz="4" w:space="0" w:color="auto"/>
              <w:left w:val="nil"/>
              <w:bottom w:val="single" w:sz="4" w:space="0" w:color="auto"/>
              <w:right w:val="nil"/>
            </w:tcBorders>
            <w:vAlign w:val="center"/>
            <w:hideMark/>
          </w:tcPr>
          <w:p w14:paraId="040DA08C" w14:textId="77777777" w:rsidR="00736F61" w:rsidRPr="00ED0043" w:rsidRDefault="00736F61" w:rsidP="003F224E">
            <w:pPr>
              <w:spacing w:line="240" w:lineRule="auto"/>
              <w:rPr>
                <w:b/>
                <w:bCs/>
                <w:sz w:val="20"/>
                <w:szCs w:val="20"/>
              </w:rPr>
            </w:pPr>
            <w:r w:rsidRPr="00ED0043">
              <w:rPr>
                <w:b/>
                <w:bCs/>
                <w:sz w:val="20"/>
                <w:szCs w:val="20"/>
              </w:rPr>
              <w:t>INFL</w:t>
            </w:r>
          </w:p>
        </w:tc>
        <w:tc>
          <w:tcPr>
            <w:tcW w:w="4864" w:type="dxa"/>
            <w:tcBorders>
              <w:top w:val="single" w:sz="4" w:space="0" w:color="auto"/>
              <w:left w:val="nil"/>
              <w:bottom w:val="single" w:sz="4" w:space="0" w:color="auto"/>
              <w:right w:val="nil"/>
            </w:tcBorders>
            <w:vAlign w:val="center"/>
            <w:hideMark/>
          </w:tcPr>
          <w:p w14:paraId="19D4C413" w14:textId="77777777" w:rsidR="00736F61" w:rsidRPr="00ED0043" w:rsidRDefault="00736F61" w:rsidP="003F224E">
            <w:pPr>
              <w:spacing w:line="240" w:lineRule="auto"/>
              <w:jc w:val="both"/>
              <w:rPr>
                <w:sz w:val="20"/>
                <w:szCs w:val="20"/>
              </w:rPr>
            </w:pPr>
            <w:r w:rsidRPr="00ED0043">
              <w:rPr>
                <w:sz w:val="20"/>
                <w:szCs w:val="20"/>
              </w:rPr>
              <w:t>Annual percentage increase in consumer prices (cost of living).</w:t>
            </w:r>
          </w:p>
        </w:tc>
        <w:sdt>
          <w:sdtPr>
            <w:rPr>
              <w:sz w:val="20"/>
              <w:szCs w:val="20"/>
            </w:rPr>
            <w:tag w:val="MENDELEY_CITATION_v3_eyJjaXRhdGlvbklEIjoiTUVOREVMRVlfQ0lUQVRJT05fZmM3MmE3MmItNWRhMC00NTU5LWI0NTUtODc5MzZjMmU2ZWQw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741741992"/>
            <w:placeholder>
              <w:docPart w:val="67A9F424CBB84333981FD327BCE63ACA"/>
            </w:placeholder>
          </w:sdtPr>
          <w:sdtEndPr/>
          <w:sdtContent>
            <w:tc>
              <w:tcPr>
                <w:tcW w:w="1229" w:type="dxa"/>
                <w:tcBorders>
                  <w:top w:val="single" w:sz="4" w:space="0" w:color="auto"/>
                  <w:left w:val="nil"/>
                  <w:bottom w:val="single" w:sz="4" w:space="0" w:color="auto"/>
                  <w:right w:val="nil"/>
                </w:tcBorders>
                <w:hideMark/>
              </w:tcPr>
              <w:p w14:paraId="1272BCA3" w14:textId="77777777" w:rsidR="00736F61" w:rsidRPr="00ED0043" w:rsidRDefault="00736F61" w:rsidP="003F224E">
                <w:pPr>
                  <w:spacing w:line="240" w:lineRule="auto"/>
                  <w:jc w:val="both"/>
                  <w:rPr>
                    <w:sz w:val="20"/>
                    <w:szCs w:val="20"/>
                  </w:rPr>
                </w:pPr>
                <w:r w:rsidRPr="00ED0043">
                  <w:rPr>
                    <w:sz w:val="20"/>
                    <w:szCs w:val="20"/>
                  </w:rPr>
                  <w:t>(The World Bank, 2023)</w:t>
                </w:r>
              </w:p>
            </w:tc>
          </w:sdtContent>
        </w:sdt>
      </w:tr>
      <w:tr w:rsidR="00736F61" w:rsidRPr="00ED0043" w14:paraId="463AEDC7" w14:textId="77777777" w:rsidTr="00ED0043">
        <w:trPr>
          <w:trHeight w:val="609"/>
        </w:trPr>
        <w:tc>
          <w:tcPr>
            <w:tcW w:w="1799" w:type="dxa"/>
            <w:vAlign w:val="center"/>
            <w:hideMark/>
          </w:tcPr>
          <w:p w14:paraId="6D938780" w14:textId="77777777" w:rsidR="00736F61" w:rsidRPr="00ED0043" w:rsidRDefault="00736F61" w:rsidP="003F224E">
            <w:pPr>
              <w:spacing w:line="240" w:lineRule="auto"/>
              <w:rPr>
                <w:sz w:val="20"/>
                <w:szCs w:val="20"/>
              </w:rPr>
            </w:pPr>
            <w:r w:rsidRPr="00ED0043">
              <w:rPr>
                <w:sz w:val="20"/>
                <w:szCs w:val="20"/>
              </w:rPr>
              <w:t>Net Migration Rate</w:t>
            </w:r>
          </w:p>
        </w:tc>
        <w:tc>
          <w:tcPr>
            <w:tcW w:w="1134" w:type="dxa"/>
            <w:tcBorders>
              <w:top w:val="single" w:sz="4" w:space="0" w:color="auto"/>
              <w:left w:val="nil"/>
              <w:bottom w:val="single" w:sz="4" w:space="0" w:color="auto"/>
              <w:right w:val="nil"/>
            </w:tcBorders>
            <w:vAlign w:val="center"/>
            <w:hideMark/>
          </w:tcPr>
          <w:p w14:paraId="4FC21B5B" w14:textId="77777777" w:rsidR="00736F61" w:rsidRPr="00ED0043" w:rsidRDefault="00736F61" w:rsidP="003F224E">
            <w:pPr>
              <w:spacing w:line="240" w:lineRule="auto"/>
              <w:rPr>
                <w:b/>
                <w:bCs/>
                <w:sz w:val="20"/>
                <w:szCs w:val="20"/>
              </w:rPr>
            </w:pPr>
            <w:r w:rsidRPr="00ED0043">
              <w:rPr>
                <w:b/>
                <w:bCs/>
                <w:sz w:val="20"/>
                <w:szCs w:val="20"/>
              </w:rPr>
              <w:t>NETMIG</w:t>
            </w:r>
          </w:p>
        </w:tc>
        <w:tc>
          <w:tcPr>
            <w:tcW w:w="4864" w:type="dxa"/>
            <w:tcBorders>
              <w:top w:val="single" w:sz="4" w:space="0" w:color="auto"/>
              <w:left w:val="nil"/>
              <w:bottom w:val="single" w:sz="4" w:space="0" w:color="auto"/>
              <w:right w:val="nil"/>
            </w:tcBorders>
            <w:vAlign w:val="center"/>
            <w:hideMark/>
          </w:tcPr>
          <w:p w14:paraId="64A05496" w14:textId="77777777" w:rsidR="00736F61" w:rsidRPr="00ED0043" w:rsidRDefault="00736F61" w:rsidP="003F224E">
            <w:pPr>
              <w:spacing w:line="240" w:lineRule="auto"/>
              <w:jc w:val="both"/>
              <w:rPr>
                <w:sz w:val="20"/>
                <w:szCs w:val="20"/>
              </w:rPr>
            </w:pPr>
            <w:r w:rsidRPr="00ED0043">
              <w:rPr>
                <w:sz w:val="20"/>
                <w:szCs w:val="20"/>
              </w:rPr>
              <w:t>Net number of migrants per 1,000 population (immigrants minus emigrants).</w:t>
            </w:r>
          </w:p>
        </w:tc>
        <w:sdt>
          <w:sdtPr>
            <w:rPr>
              <w:sz w:val="20"/>
              <w:szCs w:val="20"/>
            </w:rPr>
            <w:tag w:val="MENDELEY_CITATION_v3_eyJjaXRhdGlvbklEIjoiTUVOREVMRVlfQ0lUQVRJT05fYmRhZGU1ZjEtN2IwMy00N2RmLWEwZjYtMjhhZmIzMmI0Mzkz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186246012"/>
            <w:placeholder>
              <w:docPart w:val="73B7607847AA49BABCE8FEFEEC908E01"/>
            </w:placeholder>
          </w:sdtPr>
          <w:sdtEndPr/>
          <w:sdtContent>
            <w:tc>
              <w:tcPr>
                <w:tcW w:w="1229" w:type="dxa"/>
                <w:tcBorders>
                  <w:top w:val="single" w:sz="4" w:space="0" w:color="auto"/>
                  <w:left w:val="nil"/>
                  <w:bottom w:val="single" w:sz="4" w:space="0" w:color="auto"/>
                  <w:right w:val="nil"/>
                </w:tcBorders>
                <w:hideMark/>
              </w:tcPr>
              <w:p w14:paraId="75D9F939" w14:textId="77777777" w:rsidR="00736F61" w:rsidRPr="00ED0043" w:rsidRDefault="00736F61" w:rsidP="003F224E">
                <w:pPr>
                  <w:spacing w:line="240" w:lineRule="auto"/>
                  <w:jc w:val="both"/>
                  <w:rPr>
                    <w:sz w:val="20"/>
                    <w:szCs w:val="20"/>
                  </w:rPr>
                </w:pPr>
                <w:r w:rsidRPr="00ED0043">
                  <w:rPr>
                    <w:sz w:val="20"/>
                    <w:szCs w:val="20"/>
                  </w:rPr>
                  <w:t>(The World Bank, 2023)</w:t>
                </w:r>
              </w:p>
            </w:tc>
          </w:sdtContent>
        </w:sdt>
      </w:tr>
      <w:tr w:rsidR="00736F61" w:rsidRPr="00ED0043" w14:paraId="653D93DF" w14:textId="77777777" w:rsidTr="00ED0043">
        <w:trPr>
          <w:trHeight w:val="304"/>
        </w:trPr>
        <w:tc>
          <w:tcPr>
            <w:tcW w:w="1799" w:type="dxa"/>
            <w:tcBorders>
              <w:bottom w:val="single" w:sz="4" w:space="0" w:color="auto"/>
            </w:tcBorders>
            <w:vAlign w:val="center"/>
            <w:hideMark/>
          </w:tcPr>
          <w:p w14:paraId="5DC0BEB0" w14:textId="77777777" w:rsidR="00736F61" w:rsidRPr="00ED0043" w:rsidRDefault="00736F61" w:rsidP="003F224E">
            <w:pPr>
              <w:spacing w:line="240" w:lineRule="auto"/>
              <w:rPr>
                <w:sz w:val="20"/>
                <w:szCs w:val="20"/>
              </w:rPr>
            </w:pPr>
            <w:r w:rsidRPr="00ED0043">
              <w:rPr>
                <w:sz w:val="20"/>
                <w:szCs w:val="20"/>
              </w:rPr>
              <w:t>Female Population Share</w:t>
            </w:r>
          </w:p>
        </w:tc>
        <w:tc>
          <w:tcPr>
            <w:tcW w:w="1134" w:type="dxa"/>
            <w:tcBorders>
              <w:top w:val="single" w:sz="4" w:space="0" w:color="auto"/>
              <w:left w:val="nil"/>
              <w:bottom w:val="single" w:sz="4" w:space="0" w:color="auto"/>
              <w:right w:val="nil"/>
            </w:tcBorders>
            <w:vAlign w:val="center"/>
            <w:hideMark/>
          </w:tcPr>
          <w:p w14:paraId="46604625" w14:textId="77777777" w:rsidR="00736F61" w:rsidRPr="00ED0043" w:rsidRDefault="00736F61" w:rsidP="003F224E">
            <w:pPr>
              <w:spacing w:line="240" w:lineRule="auto"/>
              <w:rPr>
                <w:b/>
                <w:bCs/>
                <w:sz w:val="20"/>
                <w:szCs w:val="20"/>
              </w:rPr>
            </w:pPr>
            <w:r w:rsidRPr="00ED0043">
              <w:rPr>
                <w:b/>
                <w:bCs/>
                <w:sz w:val="20"/>
                <w:szCs w:val="20"/>
              </w:rPr>
              <w:t>FPOP</w:t>
            </w:r>
          </w:p>
        </w:tc>
        <w:tc>
          <w:tcPr>
            <w:tcW w:w="4864" w:type="dxa"/>
            <w:tcBorders>
              <w:top w:val="single" w:sz="4" w:space="0" w:color="auto"/>
              <w:left w:val="nil"/>
              <w:bottom w:val="single" w:sz="4" w:space="0" w:color="auto"/>
              <w:right w:val="nil"/>
            </w:tcBorders>
            <w:vAlign w:val="center"/>
            <w:hideMark/>
          </w:tcPr>
          <w:p w14:paraId="766FDBF8" w14:textId="77777777" w:rsidR="00736F61" w:rsidRPr="00ED0043" w:rsidRDefault="00736F61" w:rsidP="003F224E">
            <w:pPr>
              <w:spacing w:line="240" w:lineRule="auto"/>
              <w:jc w:val="both"/>
              <w:rPr>
                <w:sz w:val="20"/>
                <w:szCs w:val="20"/>
              </w:rPr>
            </w:pPr>
            <w:r w:rsidRPr="00ED0043">
              <w:rPr>
                <w:sz w:val="20"/>
                <w:szCs w:val="20"/>
              </w:rPr>
              <w:t>The proportion of the total population that is female.</w:t>
            </w:r>
          </w:p>
        </w:tc>
        <w:sdt>
          <w:sdtPr>
            <w:rPr>
              <w:sz w:val="20"/>
              <w:szCs w:val="20"/>
            </w:rPr>
            <w:tag w:val="MENDELEY_CITATION_v3_eyJjaXRhdGlvbklEIjoiTUVOREVMRVlfQ0lUQVRJT05fMjEyYWYwNmQtZGNkOC00Y2MzLThkYzEtNDQ4NTg3MGFkOWMy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534340234"/>
            <w:placeholder>
              <w:docPart w:val="BAB2841F77CC4190A4A452E3964DDC86"/>
            </w:placeholder>
          </w:sdtPr>
          <w:sdtEndPr/>
          <w:sdtContent>
            <w:tc>
              <w:tcPr>
                <w:tcW w:w="1229" w:type="dxa"/>
                <w:tcBorders>
                  <w:top w:val="single" w:sz="4" w:space="0" w:color="auto"/>
                  <w:left w:val="nil"/>
                  <w:bottom w:val="single" w:sz="4" w:space="0" w:color="auto"/>
                  <w:right w:val="nil"/>
                </w:tcBorders>
                <w:hideMark/>
              </w:tcPr>
              <w:p w14:paraId="3C56B3D4" w14:textId="77777777" w:rsidR="00736F61" w:rsidRPr="00ED0043" w:rsidRDefault="00736F61" w:rsidP="003F224E">
                <w:pPr>
                  <w:spacing w:line="240" w:lineRule="auto"/>
                  <w:jc w:val="both"/>
                  <w:rPr>
                    <w:sz w:val="20"/>
                    <w:szCs w:val="20"/>
                  </w:rPr>
                </w:pPr>
                <w:r w:rsidRPr="00ED0043">
                  <w:rPr>
                    <w:sz w:val="20"/>
                    <w:szCs w:val="20"/>
                  </w:rPr>
                  <w:t>(The World Bank, 2023)</w:t>
                </w:r>
              </w:p>
            </w:tc>
          </w:sdtContent>
        </w:sdt>
      </w:tr>
    </w:tbl>
    <w:p w14:paraId="065EB346" w14:textId="77777777" w:rsidR="00736F61" w:rsidRDefault="00736F61" w:rsidP="00736F61">
      <w:pPr>
        <w:pStyle w:val="Heading4"/>
        <w:spacing w:before="0" w:after="0"/>
      </w:pPr>
      <w:bookmarkStart w:id="76" w:name="_Toc196915007"/>
      <w:bookmarkStart w:id="77" w:name="_Toc197080387"/>
      <w:bookmarkStart w:id="78" w:name="_Toc200010376"/>
      <w:bookmarkStart w:id="79" w:name="_Toc215651875"/>
      <w:bookmarkStart w:id="80" w:name="_Toc216557275"/>
      <w:bookmarkStart w:id="81" w:name="_Toc220848375"/>
    </w:p>
    <w:p w14:paraId="7A102F10" w14:textId="77777777" w:rsidR="00736F61" w:rsidRPr="00CC1FC3" w:rsidRDefault="00736F61" w:rsidP="00736F61">
      <w:pPr>
        <w:pStyle w:val="Heading4"/>
        <w:spacing w:before="0" w:after="0"/>
      </w:pPr>
      <w:r w:rsidRPr="00CC1FC3">
        <w:t>5.4.1.3 Dependent variable: Modern slavery risk</w:t>
      </w:r>
      <w:bookmarkEnd w:id="76"/>
      <w:bookmarkEnd w:id="77"/>
      <w:bookmarkEnd w:id="78"/>
      <w:bookmarkEnd w:id="79"/>
      <w:bookmarkEnd w:id="80"/>
      <w:bookmarkEnd w:id="81"/>
    </w:p>
    <w:p w14:paraId="59EA6036" w14:textId="77777777" w:rsidR="00736F61" w:rsidRPr="00CC1FC3" w:rsidRDefault="00736F61" w:rsidP="00736F61">
      <w:pPr>
        <w:pStyle w:val="NormalWeb"/>
        <w:spacing w:before="0" w:beforeAutospacing="0" w:after="0" w:afterAutospacing="0" w:line="480" w:lineRule="auto"/>
        <w:jc w:val="both"/>
      </w:pPr>
      <w:r w:rsidRPr="00CC1FC3">
        <w:t xml:space="preserve">Consistent with prior macro-level studies by </w:t>
      </w:r>
      <w:sdt>
        <w:sdtPr>
          <w:tag w:val="MENDELEY_CITATION_v3_eyJjaXRhdGlvbklEIjoiTUVOREVMRVlfQ0lUQVRJT05fOTk1ZjY5NGQtZTMwZS00N2Q1LWI1Y2QtZDVmOGIwYjk2OTA1IiwicHJvcGVydGllcyI6eyJub3RlSW5kZXgiOjB9LCJpc0VkaXRlZCI6ZmFsc2UsIm1hbnVhbE92ZXJyaWRlIjp7ImlzTWFudWFsbHlPdmVycmlkZGVuIjp0cnVlLCJjaXRlcHJvY1RleHQiOiIoTW91c3NhIDxpPmV0IGFsLjwvaT4sIDIwMjIpIiwibWFudWFsT3ZlcnJpZGVUZXh0IjoiTW91c3NhIGV0IGFsLiAoMjAyMik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1295056714"/>
          <w:placeholder>
            <w:docPart w:val="36D47CC79E1F49F58EA553B5FE67F9C6"/>
          </w:placeholder>
        </w:sdtPr>
        <w:sdtEndPr/>
        <w:sdtContent>
          <w:r w:rsidRPr="00A73C12">
            <w:t>Moussa et al. (2022)</w:t>
          </w:r>
        </w:sdtContent>
      </w:sdt>
      <w:r w:rsidRPr="00CC1FC3">
        <w:t>, this research employs a tripartite index framework to evaluate national-level MS risks. Specifically, it draws on three interrelated indicators from the GSI: the</w:t>
      </w:r>
      <w:r w:rsidRPr="00CC1FC3">
        <w:rPr>
          <w:b/>
          <w:bCs/>
        </w:rPr>
        <w:t xml:space="preserve"> </w:t>
      </w:r>
      <w:r w:rsidRPr="00CC1FC3">
        <w:rPr>
          <w:rStyle w:val="Strong"/>
          <w:rFonts w:eastAsiaTheme="majorEastAsia"/>
          <w:b w:val="0"/>
          <w:bCs w:val="0"/>
        </w:rPr>
        <w:t>PREV</w:t>
      </w:r>
      <w:r w:rsidRPr="00CC1FC3">
        <w:rPr>
          <w:b/>
          <w:bCs/>
        </w:rPr>
        <w:t xml:space="preserve">, </w:t>
      </w:r>
      <w:r w:rsidRPr="00CC1FC3">
        <w:rPr>
          <w:rStyle w:val="Strong"/>
          <w:rFonts w:eastAsiaTheme="majorEastAsia"/>
          <w:b w:val="0"/>
          <w:bCs w:val="0"/>
        </w:rPr>
        <w:t>VULN</w:t>
      </w:r>
      <w:r w:rsidRPr="00CC1FC3">
        <w:rPr>
          <w:b/>
          <w:bCs/>
        </w:rPr>
        <w:t xml:space="preserve">, </w:t>
      </w:r>
      <w:r w:rsidRPr="00CC1FC3">
        <w:t xml:space="preserve">and </w:t>
      </w:r>
      <w:r w:rsidRPr="00CC1FC3">
        <w:rPr>
          <w:rStyle w:val="Strong"/>
          <w:rFonts w:eastAsiaTheme="majorEastAsia"/>
          <w:b w:val="0"/>
          <w:bCs w:val="0"/>
        </w:rPr>
        <w:t>MSRM</w:t>
      </w:r>
      <w:r w:rsidRPr="00CC1FC3">
        <w:rPr>
          <w:b/>
          <w:bCs/>
        </w:rPr>
        <w:t xml:space="preserve">. </w:t>
      </w:r>
      <w:r w:rsidRPr="00CC1FC3">
        <w:t>Together, these indicators offer a multidimensional lens for understanding the magnitude, structural enablers, and policy interventions associated with MS at the country level.</w:t>
      </w:r>
      <w:r>
        <w:t xml:space="preserve"> Figure 5.7 shows the </w:t>
      </w:r>
      <w:r w:rsidRPr="005A132E">
        <w:rPr>
          <w:rFonts w:eastAsiaTheme="majorEastAsia"/>
          <w:color w:val="auto"/>
        </w:rPr>
        <w:t xml:space="preserve">Continental </w:t>
      </w:r>
      <w:r w:rsidRPr="005A132E">
        <w:rPr>
          <w:color w:val="auto"/>
        </w:rPr>
        <w:t>Distribution</w:t>
      </w:r>
      <w:r>
        <w:rPr>
          <w:color w:val="auto"/>
        </w:rPr>
        <w:t xml:space="preserve"> </w:t>
      </w:r>
      <w:r>
        <w:t xml:space="preserve">of the MS. </w:t>
      </w:r>
    </w:p>
    <w:p w14:paraId="0F79EAEF" w14:textId="77777777" w:rsidR="00736F61" w:rsidRPr="00CC1FC3" w:rsidRDefault="00736F61" w:rsidP="00736F61">
      <w:pPr>
        <w:spacing w:after="0" w:line="240" w:lineRule="auto"/>
        <w:jc w:val="center"/>
      </w:pPr>
      <w:r w:rsidRPr="00CC1FC3">
        <w:rPr>
          <w:noProof/>
        </w:rPr>
        <w:drawing>
          <wp:inline distT="0" distB="0" distL="0" distR="0" wp14:anchorId="743B070E" wp14:editId="178AA424">
            <wp:extent cx="4324455" cy="2476504"/>
            <wp:effectExtent l="0" t="0" r="0" b="0"/>
            <wp:docPr id="471462094" name="Picture 6" descr="A graph of people living in mod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graph of people living in moder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6176" cy="2477490"/>
                    </a:xfrm>
                    <a:prstGeom prst="rect">
                      <a:avLst/>
                    </a:prstGeom>
                    <a:noFill/>
                    <a:ln>
                      <a:noFill/>
                    </a:ln>
                  </pic:spPr>
                </pic:pic>
              </a:graphicData>
            </a:graphic>
          </wp:inline>
        </w:drawing>
      </w:r>
    </w:p>
    <w:p w14:paraId="53369B34" w14:textId="77777777" w:rsidR="00736F61" w:rsidRDefault="00736F61" w:rsidP="00736F61">
      <w:pPr>
        <w:pStyle w:val="Caption"/>
        <w:spacing w:after="0"/>
      </w:pPr>
      <w:r w:rsidRPr="00CC1FC3">
        <w:rPr>
          <w:b/>
          <w:bCs/>
        </w:rPr>
        <w:lastRenderedPageBreak/>
        <w:t xml:space="preserve">Figure </w:t>
      </w:r>
      <w:r>
        <w:rPr>
          <w:b/>
          <w:bCs/>
        </w:rPr>
        <w:t>5.7</w:t>
      </w:r>
      <w:r w:rsidRPr="00CC1FC3">
        <w:rPr>
          <w:b/>
          <w:bCs/>
        </w:rPr>
        <w:t>:</w:t>
      </w:r>
      <w:r w:rsidRPr="00CC1FC3">
        <w:t xml:space="preserve"> Global Modern Slavery </w:t>
      </w:r>
      <w:proofErr w:type="gramStart"/>
      <w:r w:rsidRPr="00CC1FC3">
        <w:t>at a glance</w:t>
      </w:r>
      <w:proofErr w:type="gramEnd"/>
    </w:p>
    <w:p w14:paraId="70ED058F" w14:textId="77777777" w:rsidR="00736F61" w:rsidRPr="00CC1FC3" w:rsidRDefault="00736F61" w:rsidP="00736F61">
      <w:pPr>
        <w:pStyle w:val="Caption"/>
        <w:spacing w:after="0"/>
      </w:pPr>
      <w:r w:rsidRPr="00CC1FC3">
        <w:rPr>
          <w:b/>
          <w:bCs/>
        </w:rPr>
        <w:t xml:space="preserve">Source: </w:t>
      </w:r>
      <w:hyperlink r:id="rId17" w:anchor="mode=data" w:history="1">
        <w:r w:rsidRPr="00CC1FC3">
          <w:rPr>
            <w:rStyle w:val="Hyperlink"/>
            <w:color w:val="auto"/>
            <w:u w:val="none"/>
          </w:rPr>
          <w:t>World | The Global Slavery Index</w:t>
        </w:r>
      </w:hyperlink>
      <w:r w:rsidRPr="00CC1FC3">
        <w:t xml:space="preserve"> (2023)</w:t>
      </w:r>
    </w:p>
    <w:p w14:paraId="4FFB3FD3" w14:textId="77777777" w:rsidR="00736F61" w:rsidRPr="00CC1FC3" w:rsidRDefault="00736F61" w:rsidP="00736F61">
      <w:pPr>
        <w:pStyle w:val="Heading5"/>
        <w:rPr>
          <w:rFonts w:cs="Times New Roman"/>
        </w:rPr>
      </w:pPr>
      <w:bookmarkStart w:id="82" w:name="_Toc200010377"/>
      <w:bookmarkStart w:id="83" w:name="_Toc215651876"/>
      <w:bookmarkStart w:id="84" w:name="_Toc216557276"/>
      <w:bookmarkStart w:id="85" w:name="_Toc220848376"/>
      <w:r w:rsidRPr="00CC1FC3">
        <w:rPr>
          <w:rFonts w:cs="Times New Roman"/>
        </w:rPr>
        <w:t xml:space="preserve">5.4.1.3.1 Prevalence of Modern Slavery </w:t>
      </w:r>
      <w:bookmarkEnd w:id="82"/>
      <w:bookmarkEnd w:id="83"/>
      <w:bookmarkEnd w:id="84"/>
      <w:bookmarkEnd w:id="85"/>
    </w:p>
    <w:p w14:paraId="74CC6BAC" w14:textId="77777777" w:rsidR="00736F61" w:rsidRPr="00CC1FC3" w:rsidRDefault="00736F61" w:rsidP="00736F61">
      <w:pPr>
        <w:pStyle w:val="NormalWeb"/>
        <w:spacing w:line="480" w:lineRule="auto"/>
        <w:ind w:firstLine="720"/>
        <w:jc w:val="both"/>
      </w:pPr>
      <w:r w:rsidRPr="00CC1FC3">
        <w:t xml:space="preserve">The </w:t>
      </w:r>
      <w:r>
        <w:rPr>
          <w:rStyle w:val="Strong"/>
          <w:b w:val="0"/>
          <w:bCs w:val="0"/>
        </w:rPr>
        <w:t>PREV</w:t>
      </w:r>
      <w:r w:rsidRPr="00CC1FC3">
        <w:rPr>
          <w:rStyle w:val="Strong"/>
          <w:b w:val="0"/>
          <w:bCs w:val="0"/>
        </w:rPr>
        <w:t xml:space="preserve"> of MS</w:t>
      </w:r>
      <w:r>
        <w:rPr>
          <w:rStyle w:val="Strong"/>
          <w:b w:val="0"/>
          <w:bCs w:val="0"/>
        </w:rPr>
        <w:t xml:space="preserve"> </w:t>
      </w:r>
      <w:r w:rsidRPr="00CC1FC3">
        <w:rPr>
          <w:rStyle w:val="Strong"/>
          <w:b w:val="0"/>
          <w:bCs w:val="0"/>
        </w:rPr>
        <w:t>represents the percentage of the population</w:t>
      </w:r>
      <w:r w:rsidRPr="00CC1FC3">
        <w:rPr>
          <w:sz w:val="22"/>
          <w:szCs w:val="22"/>
        </w:rPr>
        <w:t xml:space="preserve"> enslaved. </w:t>
      </w:r>
      <w:r w:rsidRPr="00CC1FC3">
        <w:t xml:space="preserve">This includes forced labour, human trafficking, forced marriage, and other forms of coercion </w:t>
      </w:r>
      <w:sdt>
        <w:sdtPr>
          <w:tag w:val="MENDELEY_CITATION_v3_eyJjaXRhdGlvbklEIjoiTUVOREVMRVlfQ0lUQVRJT05fMTI2MTNjZTgtZDUyNS00ODk1LWIzZjUtMTZhMjE1ODA1NTE2IiwicHJvcGVydGllcyI6eyJub3RlSW5kZXgiOjB9LCJpc0VkaXRlZCI6ZmFsc2UsIm1hbnVhbE92ZXJyaWRlIjp7ImlzTWFudWFsbHlPdmVycmlkZGVuIjpmYWxzZSwiY2l0ZXByb2NUZXh0IjoiKE1vdXNzYSA8aT5ldCBhbC48L2k+LCAyMDIyOyBXYWxrIEZyZWUsIDIwMTY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"/>
          <w:id w:val="929082753"/>
          <w:placeholder>
            <w:docPart w:val="B6C0D463AD104E0BAB50BE9A9DA71564"/>
          </w:placeholder>
        </w:sdtPr>
        <w:sdtEndPr/>
        <w:sdtContent>
          <w:r w:rsidRPr="00A73C12">
            <w:t xml:space="preserve">(Moussa </w:t>
          </w:r>
          <w:r w:rsidRPr="00A73C12">
            <w:rPr>
              <w:i/>
              <w:iCs/>
            </w:rPr>
            <w:t>et al.</w:t>
          </w:r>
          <w:r w:rsidRPr="00A73C12">
            <w:t>, 2022; Walk Free, 2016)</w:t>
          </w:r>
        </w:sdtContent>
      </w:sdt>
      <w:r w:rsidRPr="00CC1FC3">
        <w:rPr>
          <w:color w:val="000000" w:themeColor="text1"/>
        </w:rPr>
        <w:t>.</w:t>
      </w:r>
      <w:r w:rsidRPr="00CC1FC3">
        <w:t xml:space="preserve"> It is derived from a set of harmonised statistical models, surveys, and secondary data sources, and serves as a proxy for the scale of slavery-related practices such as forced labour, trafficking, and servitude.</w:t>
      </w:r>
    </w:p>
    <w:p w14:paraId="614BA682" w14:textId="77777777" w:rsidR="00736F61" w:rsidRPr="00CC1FC3" w:rsidRDefault="00736F61" w:rsidP="00736F61">
      <w:pPr>
        <w:pStyle w:val="Heading5"/>
        <w:rPr>
          <w:rFonts w:cs="Times New Roman"/>
        </w:rPr>
      </w:pPr>
      <w:bookmarkStart w:id="86" w:name="_Toc200010378"/>
      <w:bookmarkStart w:id="87" w:name="_Toc215651877"/>
      <w:bookmarkStart w:id="88" w:name="_Toc216557277"/>
      <w:bookmarkStart w:id="89" w:name="_Toc220848377"/>
      <w:r w:rsidRPr="00CC1FC3">
        <w:rPr>
          <w:rFonts w:cs="Times New Roman"/>
        </w:rPr>
        <w:t xml:space="preserve">5.4.1.3.2 Vulnerability to Modern Slavery </w:t>
      </w:r>
      <w:bookmarkEnd w:id="86"/>
      <w:bookmarkEnd w:id="87"/>
      <w:bookmarkEnd w:id="88"/>
      <w:bookmarkEnd w:id="89"/>
    </w:p>
    <w:p w14:paraId="2E3FC157" w14:textId="77777777" w:rsidR="00736F61" w:rsidRPr="00CC1FC3" w:rsidRDefault="00736F61" w:rsidP="00736F61">
      <w:pPr>
        <w:pStyle w:val="NormalWeb"/>
        <w:spacing w:line="480" w:lineRule="auto"/>
        <w:ind w:firstLine="720"/>
        <w:jc w:val="both"/>
      </w:pPr>
      <w:r w:rsidRPr="00CC1FC3">
        <w:t xml:space="preserve">The VULN captures underlying structural, socioeconomic, and governance-related risk factors that increase a population's exposure to exploitation </w:t>
      </w:r>
      <w:sdt>
        <w:sdtPr>
          <w:tag w:val="MENDELEY_CITATION_v3_eyJjaXRhdGlvbklEIjoiTUVOREVMRVlfQ0lUQVRJT05fOGEzNzViMWItOGZlYy00YjY1LWFkODgtNTU0ZjgxMmY5N2RjIiwicHJvcGVydGllcyI6eyJub3RlSW5kZXgiOjB9LCJpc0VkaXRlZCI6ZmFsc2UsIm1hbnVhbE92ZXJyaWRlIjp7ImlzTWFudWFsbHlPdmVycmlkZGVuIjpmYWxzZSwiY2l0ZXByb2NUZXh0IjoiKEFsYml0YXIgPGk+ZXQgYWwuPC9pPiwgMjAyNTsgTW91c3NhIDxpPmV0IGFsLjwvaT4sIDIwMjI7I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iwiZ2l2ZW4iOiIiLCJwYXJzZS1uYW1lcyI6ZmFsc2UsImRyb3BwaW5nLXBhcnRpY2xlIjoiIiwibm9uLWRyb3BwaW5nLXBhcnRpY2xlIjoiIn1dLCJhY2Nlc3NlZCI6eyJkYXRlLXBhcnRzIjpbWzIwMjIsNiwxOV1dfSwiVVJMIjoiaHR0cHM6Ly93d3cuZ2xvYmFsc2xhdmVyeWluZGV4Lm9yZy8iLCJpc3N1ZWQiOnsiZGF0ZS1wYXJ0cyI6W1syMDE2XV19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1785726232"/>
          <w:placeholder>
            <w:docPart w:val="BAB2841F77CC4190A4A452E3964DDC86"/>
          </w:placeholder>
        </w:sdtPr>
        <w:sdtEndPr/>
        <w:sdtContent>
          <w:r w:rsidRPr="00A73C12">
            <w:t xml:space="preserve">(Albitar </w:t>
          </w:r>
          <w:r w:rsidRPr="00A73C12">
            <w:rPr>
              <w:i/>
              <w:iCs/>
            </w:rPr>
            <w:t>et al.</w:t>
          </w:r>
          <w:r w:rsidRPr="00A73C12">
            <w:t xml:space="preserve">, 2025; Moussa </w:t>
          </w:r>
          <w:r w:rsidRPr="00A73C12">
            <w:rPr>
              <w:i/>
              <w:iCs/>
            </w:rPr>
            <w:t>et al.</w:t>
          </w:r>
          <w:r w:rsidRPr="00A73C12">
            <w:t>, 2022; Walk Free, 2016)</w:t>
          </w:r>
        </w:sdtContent>
      </w:sdt>
      <w:r w:rsidRPr="00CC1FC3">
        <w:t xml:space="preserve">. The measure integrates 23 indicators grouped into five structural domains: access to basic needs, levels of inequality, treatment of marginalised or disenfranchised groups, governance efficacy, and conflict exposure. This composite index enables an assessment of latent risk across diverse socio-political environments. Higher values indicate greater systemic susceptibility to MS conditions. This variable enables the analysis of how development deficits and institutional fragility contribute to the perpetuation of exploitative labour systems </w:t>
      </w:r>
      <w:sdt>
        <w:sdtPr>
          <w:tag w:val="MENDELEY_CITATION_v3_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"/>
          <w:id w:val="1643999171"/>
          <w:placeholder>
            <w:docPart w:val="BD74E4EE5FE64E1EBA91951056D1158F"/>
          </w:placeholder>
        </w:sdtPr>
        <w:sdtEndPr/>
        <w:sdtContent>
          <w:r w:rsidRPr="00A73C12">
            <w:t>(ILO, 2016, 2022b</w:t>
          </w:r>
        </w:sdtContent>
      </w:sdt>
      <w:r w:rsidRPr="00CC1FC3">
        <w:t>). It is particularly relevant for identifying at-risk populations and regions requiring targeted policy intervention.</w:t>
      </w:r>
    </w:p>
    <w:p w14:paraId="5EE8E099" w14:textId="77777777" w:rsidR="00736F61" w:rsidRPr="00CC1FC3" w:rsidRDefault="00736F61" w:rsidP="00736F61">
      <w:pPr>
        <w:pStyle w:val="Heading5"/>
        <w:rPr>
          <w:rFonts w:cs="Times New Roman"/>
        </w:rPr>
      </w:pPr>
      <w:bookmarkStart w:id="90" w:name="_Toc196915010"/>
      <w:bookmarkStart w:id="91" w:name="_Toc197080391"/>
      <w:bookmarkStart w:id="92" w:name="_Toc200010379"/>
      <w:bookmarkStart w:id="93" w:name="_Toc215651878"/>
      <w:bookmarkStart w:id="94" w:name="_Toc216557278"/>
      <w:bookmarkStart w:id="95" w:name="_Toc220848378"/>
      <w:r w:rsidRPr="00CC1FC3">
        <w:rPr>
          <w:rFonts w:cs="Times New Roman"/>
        </w:rPr>
        <w:t xml:space="preserve">5.4.1.3.3 Modern slavery risk mitigation </w:t>
      </w:r>
      <w:bookmarkEnd w:id="90"/>
      <w:bookmarkEnd w:id="91"/>
      <w:bookmarkEnd w:id="92"/>
      <w:bookmarkEnd w:id="93"/>
      <w:bookmarkEnd w:id="94"/>
      <w:bookmarkEnd w:id="95"/>
    </w:p>
    <w:p w14:paraId="26FD3E0D" w14:textId="77777777" w:rsidR="00736F61" w:rsidRPr="00CC1FC3" w:rsidRDefault="00736F61" w:rsidP="00736F61">
      <w:pPr>
        <w:pStyle w:val="NormalWeb"/>
        <w:spacing w:line="480" w:lineRule="auto"/>
        <w:ind w:firstLine="720"/>
        <w:jc w:val="both"/>
      </w:pPr>
      <w:r w:rsidRPr="00CC1FC3">
        <w:t xml:space="preserve">The </w:t>
      </w:r>
      <w:r w:rsidRPr="00CC1FC3">
        <w:rPr>
          <w:rStyle w:val="Strong"/>
          <w:rFonts w:eastAsiaTheme="majorEastAsia"/>
          <w:b w:val="0"/>
          <w:bCs w:val="0"/>
        </w:rPr>
        <w:t>MSRM</w:t>
      </w:r>
      <w:r w:rsidRPr="00CC1FC3">
        <w:t xml:space="preserve"> score evaluates how effectively national governments are responding to the challenge of MS. It incorporates 104 indicators structured around five pillars: the strength and scope of criminal justice responses, targeted interventions to reduce risk factors, institutional coordination and accountability, efforts to regulate both public and corporate </w:t>
      </w:r>
      <w:r w:rsidRPr="00CC1FC3">
        <w:lastRenderedPageBreak/>
        <w:t xml:space="preserve">supply chains, and mechanisms for victim identification and support </w:t>
      </w:r>
      <w:sdt>
        <w:sdtPr>
          <w:tag w:val="MENDELEY_CITATION_v3_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664015305"/>
          <w:placeholder>
            <w:docPart w:val="D6E2D6A76C654BE998420AD15999A072"/>
          </w:placeholder>
        </w:sdtPr>
        <w:sdtEndPr/>
        <w:sdtContent>
          <w:r w:rsidRPr="00A73C12">
            <w:t xml:space="preserve">(Moussa </w:t>
          </w:r>
          <w:r w:rsidRPr="00A73C12">
            <w:rPr>
              <w:i/>
              <w:iCs/>
            </w:rPr>
            <w:t>et al.</w:t>
          </w:r>
          <w:r w:rsidRPr="00A73C12">
            <w:t>, 2022; Walk Free, 2016)</w:t>
          </w:r>
        </w:sdtContent>
      </w:sdt>
      <w:r w:rsidRPr="00CC1FC3">
        <w:t>. The scale ranges from 1 (minimal engagement) to 100 (comprehensive state response), enabling cross-country comparison of policy commitment and implementation capacity.</w:t>
      </w:r>
    </w:p>
    <w:p w14:paraId="5C4244D9" w14:textId="77777777" w:rsidR="00736F61" w:rsidRPr="00CC1FC3" w:rsidRDefault="00736F61" w:rsidP="00736F61">
      <w:pPr>
        <w:pStyle w:val="Heading5"/>
        <w:rPr>
          <w:rFonts w:cs="Times New Roman"/>
        </w:rPr>
      </w:pPr>
      <w:bookmarkStart w:id="96" w:name="_Toc196915011"/>
      <w:bookmarkStart w:id="97" w:name="_Toc197080388"/>
      <w:bookmarkStart w:id="98" w:name="_Toc200010380"/>
      <w:bookmarkStart w:id="99" w:name="_Toc215651879"/>
      <w:bookmarkStart w:id="100" w:name="_Toc216557279"/>
      <w:bookmarkStart w:id="101" w:name="_Toc220848379"/>
      <w:bookmarkStart w:id="102" w:name="_Toc196915008"/>
      <w:r w:rsidRPr="00CC1FC3">
        <w:rPr>
          <w:rFonts w:cs="Times New Roman"/>
        </w:rPr>
        <w:t xml:space="preserve">5.4.1.3.4 Temporal Patterns in Modern Slavery: PREV, VULN, and MSRM </w:t>
      </w:r>
      <w:bookmarkEnd w:id="96"/>
      <w:bookmarkEnd w:id="97"/>
      <w:bookmarkEnd w:id="98"/>
      <w:bookmarkEnd w:id="99"/>
      <w:bookmarkEnd w:id="100"/>
      <w:bookmarkEnd w:id="101"/>
    </w:p>
    <w:p w14:paraId="755827A6" w14:textId="77777777" w:rsidR="00736F61" w:rsidRPr="00CC1FC3" w:rsidRDefault="00736F61" w:rsidP="00736F61"/>
    <w:p w14:paraId="51F5FDF2" w14:textId="77777777" w:rsidR="00736F61" w:rsidRPr="00CC1FC3" w:rsidRDefault="00736F61" w:rsidP="00736F61">
      <w:pPr>
        <w:spacing w:line="480" w:lineRule="auto"/>
        <w:jc w:val="both"/>
      </w:pPr>
      <w:r w:rsidRPr="00CC1FC3">
        <w:t xml:space="preserve">The following figures (Figures </w:t>
      </w:r>
      <w:r>
        <w:t>5.8</w:t>
      </w:r>
      <w:r w:rsidRPr="00CC1FC3">
        <w:t>–</w:t>
      </w:r>
      <w:r>
        <w:t>5.10</w:t>
      </w:r>
      <w:r w:rsidRPr="00CC1FC3">
        <w:t>) provide a visual overview of the MS indicators for 2016, 2018, and 202</w:t>
      </w:r>
      <w:r>
        <w:t>3</w:t>
      </w:r>
      <w:r w:rsidRPr="00CC1FC3">
        <w:t>. These boxplots illustrate the distributional changes in PREV, VULN, and MSRM, offering insights not only into central tendencies but also into variation and inequality between countries.</w:t>
      </w:r>
    </w:p>
    <w:p w14:paraId="651C0374" w14:textId="77777777" w:rsidR="00736F61" w:rsidRPr="00CC1FC3" w:rsidRDefault="00736F61" w:rsidP="00736F61">
      <w:pPr>
        <w:spacing w:before="100" w:beforeAutospacing="1" w:after="100" w:afterAutospacing="1" w:line="480" w:lineRule="auto"/>
        <w:jc w:val="both"/>
        <w:outlineLvl w:val="3"/>
      </w:pPr>
      <w:r w:rsidRPr="00CC1FC3">
        <w:rPr>
          <w:b/>
          <w:bCs/>
          <w:i/>
          <w:iCs/>
        </w:rPr>
        <w:t xml:space="preserve">Figure </w:t>
      </w:r>
      <w:r>
        <w:rPr>
          <w:b/>
          <w:bCs/>
          <w:i/>
          <w:iCs/>
        </w:rPr>
        <w:t>5.8</w:t>
      </w:r>
      <w:r w:rsidRPr="00CC1FC3">
        <w:rPr>
          <w:b/>
          <w:bCs/>
          <w:i/>
          <w:iCs/>
        </w:rPr>
        <w:t>: Modern Slavery Prevalence</w:t>
      </w:r>
      <w:r w:rsidRPr="00CC1FC3">
        <w:rPr>
          <w:b/>
          <w:bCs/>
        </w:rPr>
        <w:t xml:space="preserve">: </w:t>
      </w:r>
      <w:r w:rsidRPr="00CC1FC3">
        <w:t>The figure shows that PREV has remained persistently high across several countries, with a relatively stable median from 2016 to 202</w:t>
      </w:r>
      <w:r>
        <w:t>3</w:t>
      </w:r>
      <w:r w:rsidRPr="00CC1FC3">
        <w:t xml:space="preserve">. Despite increased global awareness, the interquartile range and the presence of high-end outliers suggest limited progress in reducing forced labour and exploitation in the most affected regions. This could be due to several overlapping factors: enduring poverty, labour market informality, limited access to legal protection for migrant workers, and weak enforcement of anti-slavery laws </w:t>
      </w:r>
      <w:sdt>
        <w:sdtPr>
          <w:tag w:val="MENDELEY_CITATION_v3_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"/>
          <w:id w:val="1934173035"/>
          <w:placeholder>
            <w:docPart w:val="6AA58E1B1C3D459CB8B1DF62AC214CDF"/>
          </w:placeholder>
        </w:sdtPr>
        <w:sdtEndPr/>
        <w:sdtContent>
          <w:r w:rsidRPr="00A73C12">
            <w:t>(ILO, Walk Free, et al., 2022)</w:t>
          </w:r>
        </w:sdtContent>
      </w:sdt>
      <w:r w:rsidRPr="00CC1FC3">
        <w:t xml:space="preserve">. In many conflict-affected or post-colonial contexts, structural conditions that facilitate MS—such as marginalisation of ethnic groups or reliance on bonded labour—remain deeply entrenched </w:t>
      </w:r>
      <w:sdt>
        <w:sdtPr>
          <w:tag w:val="MENDELEY_CITATION_v3_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"/>
          <w:id w:val="-1147210804"/>
          <w:placeholder>
            <w:docPart w:val="BEEC975C0AE842D095A1E21584802DC5"/>
          </w:placeholder>
        </w:sdtPr>
        <w:sdtEndPr/>
        <w:sdtContent>
          <w:r w:rsidRPr="00A73C12">
            <w:t>(Kara, 2017; ILO, 2022).</w:t>
          </w:r>
        </w:sdtContent>
      </w:sdt>
      <w:r w:rsidRPr="00CC1FC3">
        <w:t xml:space="preserve"> NIT also suggests that without strong institutional isomorphism, weaker states may resist convergence toward global anti-slavery norms </w:t>
      </w:r>
      <w:sdt>
        <w:sdtPr>
          <w:tag w:val="MENDELEY_CITATION_v3_eyJjaXRhdGlvbklEIjoiTUVOREVMRVlfQ0lUQVRJT05fM2E5MDgwNGQtMWFkYy00ZTM4LWJmNzAtMjI4NWQ2YjcxMDVkIiwicHJvcGVydGllcyI6eyJub3RlSW5kZXgiOjB9LCJpc0VkaXRlZCI6ZmFsc2UsIm1hbnVhbE92ZXJyaWRlIjp7ImlzTWFudWFsbHlPdmVycmlkZGVuIjpmYWxzZSwiY2l0ZXByb2NUZXh0IjoiKERpTWFnZ2lvIGFuZCBQb3dlbGwsIDE5ODM7IEhhemVsdG9u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W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"/>
          <w:id w:val="507725163"/>
          <w:placeholder>
            <w:docPart w:val="BEEC975C0AE842D095A1E21584802DC5"/>
          </w:placeholder>
        </w:sdtPr>
        <w:sdtEndPr/>
        <w:sdtContent>
          <w:r w:rsidRPr="00A73C12">
            <w:t>(DiMaggio and Powell, 1983; Hazelton, 2013)</w:t>
          </w:r>
        </w:sdtContent>
      </w:sdt>
      <w:r w:rsidRPr="00CC1FC3">
        <w:t xml:space="preserve">. </w:t>
      </w:r>
    </w:p>
    <w:p w14:paraId="7EBD7179" w14:textId="77777777" w:rsidR="00736F61" w:rsidRPr="00CC1FC3" w:rsidRDefault="00736F61" w:rsidP="00736F61">
      <w:pPr>
        <w:spacing w:before="100" w:beforeAutospacing="1" w:after="100" w:afterAutospacing="1" w:line="480" w:lineRule="auto"/>
        <w:jc w:val="both"/>
        <w:outlineLvl w:val="3"/>
      </w:pPr>
      <w:r w:rsidRPr="00CC1FC3">
        <w:rPr>
          <w:b/>
          <w:bCs/>
          <w:i/>
          <w:iCs/>
        </w:rPr>
        <w:t xml:space="preserve">Figure </w:t>
      </w:r>
      <w:r>
        <w:rPr>
          <w:b/>
          <w:bCs/>
          <w:i/>
          <w:iCs/>
        </w:rPr>
        <w:t>5.9</w:t>
      </w:r>
      <w:r w:rsidRPr="00CC1FC3">
        <w:rPr>
          <w:b/>
          <w:bCs/>
          <w:i/>
          <w:iCs/>
        </w:rPr>
        <w:t xml:space="preserve">: Vulnerability to Modern Slavery: </w:t>
      </w:r>
      <w:r w:rsidRPr="00CC1FC3">
        <w:rPr>
          <w:i/>
          <w:iCs/>
        </w:rPr>
        <w:t>The</w:t>
      </w:r>
      <w:r w:rsidRPr="00CC1FC3">
        <w:t xml:space="preserve"> second figure reveals an apparent widening in vulnerability scores, with a rising median and more dispersed values over time. This </w:t>
      </w:r>
      <w:r w:rsidRPr="00CC1FC3">
        <w:lastRenderedPageBreak/>
        <w:t>indicates a growing polarisation, with vulnerable countries becoming more so, while others show modest improvements or stagnation. Several possible explanations emerge:</w:t>
      </w:r>
    </w:p>
    <w:p w14:paraId="44B72438" w14:textId="77777777" w:rsidR="00736F61" w:rsidRPr="00CC1FC3" w:rsidRDefault="00736F61" w:rsidP="00736F61">
      <w:pPr>
        <w:numPr>
          <w:ilvl w:val="0"/>
          <w:numId w:val="35"/>
        </w:numPr>
        <w:spacing w:before="100" w:beforeAutospacing="1" w:after="100" w:afterAutospacing="1" w:line="480" w:lineRule="auto"/>
        <w:jc w:val="both"/>
      </w:pPr>
      <w:r w:rsidRPr="00CC1FC3">
        <w:rPr>
          <w:i/>
          <w:iCs/>
        </w:rPr>
        <w:t>Economic shocks and inequality:</w:t>
      </w:r>
      <w:r w:rsidRPr="00CC1FC3">
        <w:t xml:space="preserve"> Vulnerability is often linked to poverty, unemployment, and lack of social protection </w:t>
      </w:r>
      <w:sdt>
        <w:sdtPr>
          <w:tag w:val="MENDELEY_CITATION_v3_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"/>
          <w:id w:val="-1950148073"/>
          <w:placeholder>
            <w:docPart w:val="EACB9EC650CF4D918D47BB4B6AC164D0"/>
          </w:placeholder>
        </w:sdtPr>
        <w:sdtEndPr/>
        <w:sdtContent>
          <w:r w:rsidRPr="00A73C12">
            <w:t>(ILO, Walk Free, et al., 2022)</w:t>
          </w:r>
        </w:sdtContent>
      </w:sdt>
      <w:r w:rsidRPr="00CC1FC3">
        <w:t>. Countries facing inflation, stagnant growth, or foreign debt pressures may experience increased household vulnerability, pushing more individuals into informal or exploitative work.</w:t>
      </w:r>
    </w:p>
    <w:p w14:paraId="40F55C86" w14:textId="77777777" w:rsidR="00736F61" w:rsidRPr="00CC1FC3" w:rsidRDefault="00736F61" w:rsidP="00736F61">
      <w:pPr>
        <w:numPr>
          <w:ilvl w:val="0"/>
          <w:numId w:val="35"/>
        </w:numPr>
        <w:spacing w:before="100" w:beforeAutospacing="1" w:after="100" w:afterAutospacing="1" w:line="480" w:lineRule="auto"/>
        <w:jc w:val="both"/>
      </w:pPr>
      <w:r w:rsidRPr="00CC1FC3">
        <w:rPr>
          <w:i/>
          <w:iCs/>
        </w:rPr>
        <w:t>Climate and displacement pressures:</w:t>
      </w:r>
      <w:r w:rsidRPr="00CC1FC3">
        <w:t xml:space="preserve"> Climate-induced migration and disasters (droughts, floods), particularly in the Global South, have been accelerating, displacing populations and increasing their susceptibility to trafficking and forced labour </w:t>
      </w:r>
      <w:sdt>
        <w:sdtPr>
          <w:tag w:val="MENDELEY_CITATION_v3_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"/>
          <w:id w:val="1697881994"/>
          <w:placeholder>
            <w:docPart w:val="11E40D8827634EB38FDB3DA287FFC2BB"/>
          </w:placeholder>
        </w:sdtPr>
        <w:sdtEndPr/>
        <w:sdtContent>
          <w:r w:rsidRPr="00A73C12">
            <w:rPr>
              <w:rFonts w:eastAsia="Times New Roman"/>
            </w:rPr>
            <w:t xml:space="preserve">(Ritu Bharadwaj </w:t>
          </w:r>
          <w:r w:rsidRPr="00A73C12">
            <w:rPr>
              <w:rFonts w:eastAsia="Times New Roman"/>
              <w:i/>
              <w:iCs/>
            </w:rPr>
            <w:t>et al.</w:t>
          </w:r>
          <w:r w:rsidRPr="00A73C12">
            <w:rPr>
              <w:rFonts w:eastAsia="Times New Roman"/>
            </w:rPr>
            <w:t xml:space="preserve">, 2021; Rogerson </w:t>
          </w:r>
          <w:r w:rsidRPr="00A73C12">
            <w:rPr>
              <w:rFonts w:eastAsia="Times New Roman"/>
              <w:i/>
              <w:iCs/>
            </w:rPr>
            <w:t>et al.</w:t>
          </w:r>
          <w:r w:rsidRPr="00A73C12">
            <w:rPr>
              <w:rFonts w:eastAsia="Times New Roman"/>
            </w:rPr>
            <w:t>, 2024)</w:t>
          </w:r>
        </w:sdtContent>
      </w:sdt>
      <w:r w:rsidRPr="00CC1FC3">
        <w:t>.</w:t>
      </w:r>
    </w:p>
    <w:p w14:paraId="1FEB54E7" w14:textId="77777777" w:rsidR="00736F61" w:rsidRPr="00CC1FC3" w:rsidRDefault="00736F61" w:rsidP="00736F61">
      <w:pPr>
        <w:numPr>
          <w:ilvl w:val="0"/>
          <w:numId w:val="35"/>
        </w:numPr>
        <w:spacing w:before="100" w:beforeAutospacing="1" w:after="100" w:afterAutospacing="1" w:line="480" w:lineRule="auto"/>
        <w:jc w:val="both"/>
      </w:pPr>
      <w:r w:rsidRPr="00CC1FC3">
        <w:rPr>
          <w:i/>
          <w:iCs/>
        </w:rPr>
        <w:t>Political fragility and conflict:</w:t>
      </w:r>
      <w:r w:rsidRPr="00CC1FC3">
        <w:t xml:space="preserve"> In fragile states, government breakdown often leads to lawlessness, corruption, and weak border control—all conditions conducive to slavery </w:t>
      </w:r>
      <w:sdt>
        <w:sdtPr>
          <w:tag w:val="MENDELEY_CITATION_v3_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"/>
          <w:id w:val="-172023474"/>
          <w:placeholder>
            <w:docPart w:val="0964BAA91E4C4C4F8AAA07B3AA59EAE4"/>
          </w:placeholder>
        </w:sdtPr>
        <w:sdtEndPr/>
        <w:sdtContent>
          <w:r w:rsidRPr="00A73C12">
            <w:rPr>
              <w:rFonts w:eastAsia="Times New Roman"/>
            </w:rPr>
            <w:t xml:space="preserve">(Biermann </w:t>
          </w:r>
          <w:r w:rsidRPr="00A73C12">
            <w:rPr>
              <w:rFonts w:eastAsia="Times New Roman"/>
              <w:i/>
              <w:iCs/>
            </w:rPr>
            <w:t>et al.</w:t>
          </w:r>
          <w:r w:rsidRPr="00A73C12">
            <w:rPr>
              <w:rFonts w:eastAsia="Times New Roman"/>
            </w:rPr>
            <w:t xml:space="preserve">, 2022; Craig </w:t>
          </w:r>
          <w:r w:rsidRPr="00A73C12">
            <w:rPr>
              <w:rFonts w:eastAsia="Times New Roman"/>
              <w:i/>
              <w:iCs/>
            </w:rPr>
            <w:t>et al.</w:t>
          </w:r>
          <w:r w:rsidRPr="00A73C12">
            <w:rPr>
              <w:rFonts w:eastAsia="Times New Roman"/>
            </w:rPr>
            <w:t>, 2019)</w:t>
          </w:r>
        </w:sdtContent>
      </w:sdt>
      <w:r w:rsidRPr="00CC1FC3">
        <w:t>. The persistence or emergence of such conflict zones could explain the upward trends.</w:t>
      </w:r>
    </w:p>
    <w:p w14:paraId="2224DBB1" w14:textId="77777777" w:rsidR="00736F61" w:rsidRPr="00CC1FC3" w:rsidRDefault="00736F61" w:rsidP="00736F61">
      <w:pPr>
        <w:spacing w:before="100" w:beforeAutospacing="1" w:after="100" w:afterAutospacing="1" w:line="480" w:lineRule="auto"/>
        <w:ind w:firstLine="360"/>
        <w:jc w:val="both"/>
      </w:pPr>
      <w:r w:rsidRPr="00CC1FC3">
        <w:t xml:space="preserve">These observations align with stakeholder theory (Freeman, 1984; Burritt and Christ, 2023), which holds that in the absence of strong stakeholder engagement—whether from civil society, multinationals, or global institutions—vulnerable populations may fall through the cracks of regulatory and protective frameworks. </w:t>
      </w:r>
    </w:p>
    <w:p w14:paraId="7B0CCA7F" w14:textId="77777777" w:rsidR="00736F61" w:rsidRPr="00CC1FC3" w:rsidRDefault="00736F61" w:rsidP="00736F61">
      <w:pPr>
        <w:spacing w:before="100" w:beforeAutospacing="1" w:line="480" w:lineRule="auto"/>
        <w:jc w:val="both"/>
        <w:outlineLvl w:val="3"/>
      </w:pPr>
      <w:r w:rsidRPr="00CC1FC3">
        <w:rPr>
          <w:b/>
          <w:bCs/>
          <w:i/>
          <w:iCs/>
        </w:rPr>
        <w:t xml:space="preserve">Figure </w:t>
      </w:r>
      <w:r>
        <w:rPr>
          <w:b/>
          <w:bCs/>
          <w:i/>
          <w:iCs/>
        </w:rPr>
        <w:t>5.10</w:t>
      </w:r>
      <w:r w:rsidRPr="00CC1FC3">
        <w:rPr>
          <w:b/>
          <w:bCs/>
          <w:i/>
          <w:iCs/>
        </w:rPr>
        <w:t>: Modern slavery risk mitigation</w:t>
      </w:r>
      <w:r w:rsidRPr="00CC1FC3">
        <w:rPr>
          <w:i/>
          <w:iCs/>
        </w:rPr>
        <w:t xml:space="preserve">: </w:t>
      </w:r>
      <w:r w:rsidRPr="00CC1FC3">
        <w:t xml:space="preserve">MSRM has improved in median value across the years, indicating institutional progress. This suggests that more countries are developing and implementing national action plans, signing international agreements, and improving victim support or legal enforcement </w:t>
      </w:r>
      <w:sdt>
        <w:sdtPr>
          <w:tag w:val="MENDELEY_CITATION_v3_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"/>
          <w:id w:val="1339116089"/>
          <w:placeholder>
            <w:docPart w:val="2FC8DEDC343A4003A7D717496E90A7A9"/>
          </w:placeholder>
        </w:sdtPr>
        <w:sdtEndPr/>
        <w:sdtContent>
          <w:r w:rsidRPr="00A73C12">
            <w:t>(Forestier and Kim, 2020; HR Government, 2015; Kara, 2017)</w:t>
          </w:r>
        </w:sdtContent>
      </w:sdt>
      <w:r w:rsidRPr="00CC1FC3">
        <w:t xml:space="preserve">. However, the wide dispersion—especially the continued presence of countries with very low scores—points to significant asymmetry in institutional capacity and political will. Some </w:t>
      </w:r>
      <w:r w:rsidRPr="00CC1FC3">
        <w:lastRenderedPageBreak/>
        <w:t xml:space="preserve">governments may prioritise anti-slavery reforms due to international pressure, economic partnerships, or reputational concerns </w:t>
      </w:r>
      <w:sdt>
        <w:sdtPr>
          <w:tag w:val="MENDELEY_CITATION_v3_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"/>
          <w:id w:val="1105161228"/>
          <w:placeholder>
            <w:docPart w:val="734F86834091457E9E800523D6C3514A"/>
          </w:placeholder>
        </w:sdtPr>
        <w:sdtEndPr/>
        <w:sdtContent>
          <w:r w:rsidRPr="00A73C12">
            <w:rPr>
              <w:rFonts w:eastAsia="Times New Roman"/>
            </w:rPr>
            <w:t>(Australian Government, 2022; Young and Gad, 2022).</w:t>
          </w:r>
        </w:sdtContent>
      </w:sdt>
      <w:r w:rsidRPr="00CC1FC3">
        <w:t xml:space="preserve"> Others, particularly those lacking democratic institutions or donor incentives, may </w:t>
      </w:r>
      <w:proofErr w:type="gramStart"/>
      <w:r w:rsidRPr="00CC1FC3">
        <w:t>lag behind</w:t>
      </w:r>
      <w:proofErr w:type="gramEnd"/>
      <w:r w:rsidRPr="00CC1FC3">
        <w:t xml:space="preserve">. According to NIT, global standards (such as SDG 8.7 or the Palermo Protocol) exert coercive and normative pressures, leading to partial policy convergence—but adoption is uneven and sometimes symbolic </w:t>
      </w:r>
      <w:sdt>
        <w:sdtPr>
          <w:tag w:val="MENDELEY_CITATION_v3_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"/>
          <w:id w:val="-236093694"/>
          <w:placeholder>
            <w:docPart w:val="38F77402399447659EDA9318A80EA1E3"/>
          </w:placeholder>
        </w:sdtPr>
        <w:sdtEndPr/>
        <w:sdtContent>
          <w:r w:rsidRPr="00A73C12">
            <w:rPr>
              <w:rFonts w:eastAsia="Times New Roman"/>
            </w:rPr>
            <w:t xml:space="preserve">(Boyd </w:t>
          </w:r>
          <w:r w:rsidRPr="00A73C12">
            <w:rPr>
              <w:rFonts w:eastAsia="Times New Roman"/>
              <w:i/>
              <w:iCs/>
            </w:rPr>
            <w:t>et al.</w:t>
          </w:r>
          <w:r w:rsidRPr="00A73C12">
            <w:rPr>
              <w:rFonts w:eastAsia="Times New Roman"/>
            </w:rPr>
            <w:t>, 2021; Geels, 2020)</w:t>
          </w:r>
        </w:sdtContent>
      </w:sdt>
      <w:r w:rsidRPr="00CC1FC3">
        <w:t>.</w:t>
      </w:r>
    </w:p>
    <w:p w14:paraId="34C168FE" w14:textId="77777777" w:rsidR="00736F61" w:rsidRPr="00CC1FC3" w:rsidRDefault="00736F61" w:rsidP="00736F61">
      <w:pPr>
        <w:jc w:val="center"/>
        <w:rPr>
          <w:sz w:val="27"/>
          <w:szCs w:val="27"/>
        </w:rPr>
      </w:pPr>
      <w:r w:rsidRPr="00CC1FC3">
        <w:rPr>
          <w:noProof/>
        </w:rPr>
        <w:drawing>
          <wp:inline distT="0" distB="0" distL="0" distR="0" wp14:anchorId="3CC7BCE4" wp14:editId="55A63910">
            <wp:extent cx="2790825" cy="1676400"/>
            <wp:effectExtent l="0" t="0" r="9525" b="0"/>
            <wp:docPr id="5739390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90825" cy="1676400"/>
                    </a:xfrm>
                    <a:prstGeom prst="rect">
                      <a:avLst/>
                    </a:prstGeom>
                    <a:noFill/>
                    <a:ln>
                      <a:noFill/>
                    </a:ln>
                  </pic:spPr>
                </pic:pic>
              </a:graphicData>
            </a:graphic>
          </wp:inline>
        </w:drawing>
      </w:r>
    </w:p>
    <w:p w14:paraId="7AE59FAD" w14:textId="77777777" w:rsidR="00736F61" w:rsidRPr="00CC1FC3" w:rsidRDefault="00736F61" w:rsidP="00736F61">
      <w:pPr>
        <w:pStyle w:val="Caption"/>
      </w:pPr>
      <w:bookmarkStart w:id="103" w:name="_Toc196915012"/>
      <w:r w:rsidRPr="00CC1FC3">
        <w:rPr>
          <w:b/>
          <w:bCs/>
        </w:rPr>
        <w:t xml:space="preserve">Figure </w:t>
      </w:r>
      <w:r>
        <w:rPr>
          <w:b/>
          <w:bCs/>
        </w:rPr>
        <w:t>5.8</w:t>
      </w:r>
      <w:r w:rsidRPr="00CC1FC3">
        <w:rPr>
          <w:b/>
          <w:bCs/>
        </w:rPr>
        <w:t>:</w:t>
      </w:r>
      <w:r w:rsidRPr="00CC1FC3">
        <w:t xml:space="preserve"> Distribution of Modern Slavery Prevalence Scores (PREV) by Year</w:t>
      </w:r>
      <w:bookmarkEnd w:id="103"/>
    </w:p>
    <w:p w14:paraId="562BB405" w14:textId="77777777" w:rsidR="00736F61" w:rsidRPr="00CC1FC3" w:rsidRDefault="00736F61" w:rsidP="00736F61">
      <w:pPr>
        <w:jc w:val="center"/>
      </w:pPr>
      <w:bookmarkStart w:id="104" w:name="_Toc196915013"/>
      <w:r w:rsidRPr="00CC1FC3">
        <w:rPr>
          <w:noProof/>
        </w:rPr>
        <w:drawing>
          <wp:inline distT="0" distB="0" distL="0" distR="0" wp14:anchorId="64E80A87" wp14:editId="34E8D694">
            <wp:extent cx="2971800" cy="1781175"/>
            <wp:effectExtent l="0" t="0" r="0" b="9525"/>
            <wp:docPr id="19828881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71800" cy="1781175"/>
                    </a:xfrm>
                    <a:prstGeom prst="rect">
                      <a:avLst/>
                    </a:prstGeom>
                    <a:noFill/>
                    <a:ln>
                      <a:noFill/>
                    </a:ln>
                  </pic:spPr>
                </pic:pic>
              </a:graphicData>
            </a:graphic>
          </wp:inline>
        </w:drawing>
      </w:r>
      <w:bookmarkEnd w:id="104"/>
    </w:p>
    <w:p w14:paraId="65A60D8A" w14:textId="77777777" w:rsidR="00736F61" w:rsidRPr="00CC1FC3" w:rsidRDefault="00736F61" w:rsidP="00736F61">
      <w:pPr>
        <w:pStyle w:val="Caption"/>
      </w:pPr>
      <w:bookmarkStart w:id="105" w:name="_Toc196915014"/>
      <w:r w:rsidRPr="00CC1FC3">
        <w:rPr>
          <w:b/>
          <w:bCs/>
        </w:rPr>
        <w:t xml:space="preserve">Figure </w:t>
      </w:r>
      <w:r>
        <w:rPr>
          <w:b/>
          <w:bCs/>
        </w:rPr>
        <w:t>5.9</w:t>
      </w:r>
      <w:r w:rsidRPr="00CC1FC3">
        <w:rPr>
          <w:b/>
          <w:bCs/>
        </w:rPr>
        <w:t>:</w:t>
      </w:r>
      <w:r w:rsidRPr="00CC1FC3">
        <w:t xml:space="preserve"> Distribution of Modern Slavery Vulnerability Scores (VULN) by Year</w:t>
      </w:r>
      <w:bookmarkEnd w:id="105"/>
    </w:p>
    <w:p w14:paraId="2E624C4A" w14:textId="77777777" w:rsidR="00736F61" w:rsidRPr="00CC1FC3" w:rsidRDefault="00736F61" w:rsidP="00736F61">
      <w:pPr>
        <w:jc w:val="center"/>
      </w:pPr>
      <w:bookmarkStart w:id="106" w:name="_Toc196915015"/>
      <w:r w:rsidRPr="00CC1FC3">
        <w:rPr>
          <w:noProof/>
        </w:rPr>
        <w:drawing>
          <wp:inline distT="0" distB="0" distL="0" distR="0" wp14:anchorId="637CB711" wp14:editId="4287F612">
            <wp:extent cx="2905125" cy="1743075"/>
            <wp:effectExtent l="0" t="0" r="9525" b="9525"/>
            <wp:docPr id="19157509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05125" cy="1743075"/>
                    </a:xfrm>
                    <a:prstGeom prst="rect">
                      <a:avLst/>
                    </a:prstGeom>
                    <a:noFill/>
                    <a:ln>
                      <a:noFill/>
                    </a:ln>
                  </pic:spPr>
                </pic:pic>
              </a:graphicData>
            </a:graphic>
          </wp:inline>
        </w:drawing>
      </w:r>
      <w:bookmarkEnd w:id="106"/>
    </w:p>
    <w:p w14:paraId="0C156E9B" w14:textId="77777777" w:rsidR="00736F61" w:rsidRPr="00CC1FC3" w:rsidRDefault="00736F61" w:rsidP="00736F61">
      <w:pPr>
        <w:pStyle w:val="Caption"/>
      </w:pPr>
      <w:bookmarkStart w:id="107" w:name="_Toc196915016"/>
      <w:r w:rsidRPr="00CC1FC3">
        <w:rPr>
          <w:b/>
          <w:bCs/>
        </w:rPr>
        <w:lastRenderedPageBreak/>
        <w:t xml:space="preserve">Figure </w:t>
      </w:r>
      <w:r>
        <w:rPr>
          <w:b/>
          <w:bCs/>
        </w:rPr>
        <w:t>5.10</w:t>
      </w:r>
      <w:r w:rsidRPr="00CC1FC3">
        <w:rPr>
          <w:b/>
          <w:bCs/>
        </w:rPr>
        <w:t>:</w:t>
      </w:r>
      <w:r w:rsidRPr="00CC1FC3">
        <w:t xml:space="preserve"> Modern slavery risk mitigation</w:t>
      </w:r>
      <w:r>
        <w:t xml:space="preserve"> (MSRM</w:t>
      </w:r>
      <w:r w:rsidRPr="00CC1FC3">
        <w:t>) by Year</w:t>
      </w:r>
      <w:bookmarkEnd w:id="107"/>
    </w:p>
    <w:p w14:paraId="2D40DADF" w14:textId="77777777" w:rsidR="00736F61" w:rsidRPr="00CC1FC3" w:rsidRDefault="00736F61" w:rsidP="00736F61">
      <w:pPr>
        <w:pStyle w:val="Heading4"/>
      </w:pPr>
      <w:bookmarkStart w:id="108" w:name="_Toc196915017"/>
      <w:bookmarkStart w:id="109" w:name="_Toc197080392"/>
      <w:bookmarkStart w:id="110" w:name="_Toc200010381"/>
      <w:bookmarkStart w:id="111" w:name="_Toc215651880"/>
      <w:bookmarkStart w:id="112" w:name="_Toc216557280"/>
      <w:bookmarkStart w:id="113" w:name="_Toc220848380"/>
      <w:bookmarkEnd w:id="102"/>
      <w:r w:rsidRPr="00CC1FC3">
        <w:t>5.4.1.4 Independent variables</w:t>
      </w:r>
      <w:bookmarkEnd w:id="108"/>
      <w:bookmarkEnd w:id="109"/>
      <w:bookmarkEnd w:id="110"/>
      <w:bookmarkEnd w:id="111"/>
      <w:bookmarkEnd w:id="112"/>
      <w:bookmarkEnd w:id="113"/>
    </w:p>
    <w:p w14:paraId="2C195715" w14:textId="77777777" w:rsidR="00736F61" w:rsidRPr="00CC1FC3" w:rsidRDefault="00736F61" w:rsidP="00736F61">
      <w:pPr>
        <w:pStyle w:val="Heading5"/>
        <w:spacing w:line="480" w:lineRule="auto"/>
        <w:rPr>
          <w:rFonts w:cs="Times New Roman"/>
        </w:rPr>
      </w:pPr>
      <w:bookmarkStart w:id="114" w:name="_Toc196915018"/>
      <w:bookmarkStart w:id="115" w:name="_Toc197080393"/>
      <w:bookmarkStart w:id="116" w:name="_Toc200010382"/>
      <w:bookmarkStart w:id="117" w:name="_Toc215651881"/>
      <w:bookmarkStart w:id="118" w:name="_Toc216557281"/>
      <w:bookmarkStart w:id="119" w:name="_Toc220848381"/>
      <w:r w:rsidRPr="00CC1FC3">
        <w:rPr>
          <w:rFonts w:cs="Times New Roman"/>
        </w:rPr>
        <w:t>5.4.1.4.1 Institutional Environment Quality (IEQ)</w:t>
      </w:r>
      <w:bookmarkEnd w:id="114"/>
      <w:bookmarkEnd w:id="115"/>
      <w:bookmarkEnd w:id="116"/>
      <w:bookmarkEnd w:id="117"/>
      <w:bookmarkEnd w:id="118"/>
      <w:bookmarkEnd w:id="119"/>
    </w:p>
    <w:p w14:paraId="632E91B3" w14:textId="77777777" w:rsidR="00736F61" w:rsidRPr="00CC1FC3" w:rsidRDefault="00736F61" w:rsidP="00736F61">
      <w:pPr>
        <w:spacing w:after="100" w:afterAutospacing="1" w:line="480" w:lineRule="auto"/>
        <w:jc w:val="both"/>
      </w:pPr>
      <w:r w:rsidRPr="00CC1FC3">
        <w:t xml:space="preserve">IEQ is a composite measure developed through Principal Component Analysis (PCA) to capture the strength, integrity, and functionality of national institutions that help curb MS </w:t>
      </w:r>
      <w:sdt>
        <w:sdtPr>
          <w:tag w:val="MENDELEY_CITATION_v3_eyJjaXRhdGlvbklEIjoiTUVOREVMRVlfQ0lUQVRJT05fOTRkN2I4YjctMjNiOS00NGU2LTlkNmUtNjU0MTk5YWRhODFkIiwicHJvcGVydGllcyI6eyJub3RlSW5kZXgiOjB9LCJpc0VkaXRlZCI6ZmFsc2UsIm1hbnVhbE92ZXJyaWRlIjp7ImlzTWFudWFsbHlPdmVycmlkZGVuIjpmYWxzZSwiY2l0ZXByb2NUZXh0IjoiKEhlbGZheWE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ODMxOTRlNTUtOWEwMS0zMjUzLWJiMGMtYjcyMzE4ODAxZjZmIiwiaXRlbURhdGEiOnsidHlwZSI6ImFydGljbGUtam91cm5hbCIsImlkIjoiODMxOTRlNTUtOWEwMS0zMjUzLWJiMGMtYjcyMzE4ODAxZjZmIiwidGl0bGUiOiJGb3N0ZXJpbmcgaHVtYW4gZGV2ZWxvcG1lbnQ6IGRvIGluc3RpdHV0aW9uYWwgZW52aXJvbm1lbnQgcXVhbGl0eSBhbmQgb3ZlcmFsbCBVTi1TREdzIGF0dGFpbm1lbnQgbWF0dGVyPy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R2V5aSIsInBhcnNlLW5hbWVzIjpmYWxzZSwiZHJvcHBpbmctcGFydGljbGUiOiIiLCJub24tZHJvcHBpbmctcGFydGljbGUiOiIifV0sImNvbnRhaW5lci10aXRsZSI6IlN1c3RhaW5hYmlsaXR5IEFjY291bnRpbmcsIE1hbmFnZW1lbnQgYW5kIFBvbGljeSBKb3VybmFsIiwiRE9JIjoiMTAuMTEwOC9TQU1QSi0wOS0yMDI0LTA5NjAiLCJJU1NOIjoiMjA0MC04MDIxIiwiaXNzdWVkIjp7ImRhdGUtcGFydHMiOltbMjAyNSwxMCwxXV19LCJjb250YWluZXItdGl0bGUtc2hvcnQiOiIifSwiaXNUZW1wb3JhcnkiOmZhbHNlfV19"/>
          <w:id w:val="-1363197532"/>
          <w:placeholder>
            <w:docPart w:val="69A3023C18A44E1E91E52A6702942E6D"/>
          </w:placeholder>
        </w:sdtPr>
        <w:sdtEndPr/>
        <w:sdtContent>
          <w:r w:rsidRPr="00A73C12">
            <w:rPr>
              <w:rFonts w:eastAsia="Times New Roman"/>
            </w:rPr>
            <w:t xml:space="preserve">(Helfaya </w:t>
          </w:r>
          <w:r w:rsidRPr="00A73C12">
            <w:rPr>
              <w:rFonts w:eastAsia="Times New Roman"/>
              <w:i/>
              <w:iCs/>
            </w:rPr>
            <w:t>et al.</w:t>
          </w:r>
          <w:r w:rsidRPr="00A73C12">
            <w:rPr>
              <w:rFonts w:eastAsia="Times New Roman"/>
            </w:rPr>
            <w:t xml:space="preserve">, 2025; Moussa </w:t>
          </w:r>
          <w:r w:rsidRPr="00A73C12">
            <w:rPr>
              <w:rFonts w:eastAsia="Times New Roman"/>
              <w:i/>
              <w:iCs/>
            </w:rPr>
            <w:t>et al.</w:t>
          </w:r>
          <w:r w:rsidRPr="00A73C12">
            <w:rPr>
              <w:rFonts w:eastAsia="Times New Roman"/>
            </w:rPr>
            <w:t>, 2022)</w:t>
          </w:r>
        </w:sdtContent>
      </w:sdt>
      <w:r w:rsidRPr="00CC1FC3">
        <w:t xml:space="preserve">. IEQ draws from six dimensions of governance as defined by the WGIs </w:t>
      </w:r>
      <w:sdt>
        <w:sdtPr>
          <w:tag w:val="MENDELEY_CITATION_v3_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"/>
          <w:id w:val="-971062188"/>
          <w:placeholder>
            <w:docPart w:val="E09F2B8F948E430FBA4B350554EEEB9F"/>
          </w:placeholder>
        </w:sdtPr>
        <w:sdtEndPr/>
        <w:sdtContent>
          <w:r w:rsidRPr="00A73C12">
            <w:rPr>
              <w:rFonts w:eastAsia="Times New Roman"/>
            </w:rPr>
            <w:t xml:space="preserve">(Kaufmann </w:t>
          </w:r>
          <w:r w:rsidRPr="00A73C12">
            <w:rPr>
              <w:rFonts w:eastAsia="Times New Roman"/>
              <w:i/>
              <w:iCs/>
            </w:rPr>
            <w:t>et al.</w:t>
          </w:r>
          <w:r w:rsidRPr="00A73C12">
            <w:rPr>
              <w:rFonts w:eastAsia="Times New Roman"/>
            </w:rPr>
            <w:t>, 2011)</w:t>
          </w:r>
        </w:sdtContent>
      </w:sdt>
      <w:r w:rsidRPr="00CC1FC3">
        <w:t xml:space="preserve">. These dimensions collectively reflect a country's institutions' capacity to enforce laws, ensure political freedom, maintain order, regulate policy effectively, reduce corruption, and maintain stability. By summarising these correlated dimensions into a single index, IEQ offers a robust proxy for assessing the institutional context under which MS risks are shaped and mitigated </w:t>
      </w:r>
      <w:sdt>
        <w:sdtPr>
          <w:tag w:val="MENDELEY_CITATION_v3_eyJjaXRhdGlvbklEIjoiTUVOREVMRVlfQ0lUQVRJT05fYzJiNjM2MDEtNWZmNS00MjVhLWE0MzEtOTYxMDE4Yzk3ZDVm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2083985666"/>
          <w:placeholder>
            <w:docPart w:val="353A24EDD4E0463B89DC06A326DCDCCE"/>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2022)</w:t>
          </w:r>
        </w:sdtContent>
      </w:sdt>
      <w:r w:rsidRPr="00CC1FC3">
        <w:t>.</w:t>
      </w:r>
    </w:p>
    <w:p w14:paraId="0C986E66" w14:textId="77777777" w:rsidR="00736F61" w:rsidRPr="00CC1FC3" w:rsidRDefault="00736F61" w:rsidP="00736F61">
      <w:pPr>
        <w:spacing w:after="100" w:afterAutospacing="1" w:line="480" w:lineRule="auto"/>
        <w:ind w:firstLine="720"/>
        <w:jc w:val="both"/>
      </w:pPr>
      <w:r w:rsidRPr="00CC1FC3">
        <w:t xml:space="preserve">Table </w:t>
      </w:r>
      <w:r>
        <w:t>5.9</w:t>
      </w:r>
      <w:r w:rsidRPr="00CC1FC3">
        <w:t xml:space="preserve"> below presents the correlation matrix, which supports the composite construction of IEQ and shows strong positive relationships among its constituent variables </w:t>
      </w:r>
      <w:sdt>
        <w:sdtPr>
          <w:tag w:val="MENDELEY_CITATION_v3_eyJjaXRhdGlvbklEIjoiTUVOREVMRVlfQ0lUQVRJT05fZjViOWZjYWItZThmNS00NzlmLTg3MTgtN2U0MzQ5Y2MyMjJkIiwicHJvcGVydGllcyI6eyJub3RlSW5kZXgiOjB9LCJpc0VkaXRlZCI6ZmFsc2UsIm1hbnVhbE92ZXJyaWRlIjp7ImlzTWFudWFsbHlPdmVycmlkZGVuIjpmYWxzZSwiY2l0ZXByb2NUZXh0IjoiKEVsYW1lciA8aT5ldCBhbC48L2k+LCAyMDIwOyBIZWxmYXlhIDxpPmV0IGFsLjwvaT4sIDIwMjU7I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LCJjb250YWluZXItdGl0bGUtc2hvcnQiOiJCdXMuIFNvYy4ifSwiaXNUZW1wb3JhcnkiOmZhbHNlfSx7ImlkIjoiODMxOTRlNTUtOWEwMS0zMjUzLWJiMGMtYjcyMzE4ODAxZjZmIiwiaXRlbURhdGEiOnsidHlwZSI6ImFydGljbGUtam91cm5hbCIsImlkIjoiODMxOTRlNTUtOWEwMS0zMjUzLWJiMGMtYjcyMzE4ODAxZjZmIiwidGl0bGUiOiJGb3N0ZXJpbmcgaHVtYW4gZGV2ZWxvcG1lbnQ6IGRvIGluc3RpdHV0aW9uYWwgZW52aXJvbm1lbnQgcXVhbGl0eSBhbmQgb3ZlcmFsbCBVTi1TREdzIGF0dGFpbm1lbnQgbWF0dGVyPy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R2V5aSIsInBhcnNlLW5hbWVzIjpmYWxzZSwiZHJvcHBpbmctcGFydGljbGUiOiIiLCJub24tZHJvcHBpbmctcGFydGljbGUiOiIifV0sImNvbnRhaW5lci10aXRsZSI6IlN1c3RhaW5hYmlsaXR5IEFjY291bnRpbmcsIE1hbmFnZW1lbnQgYW5kIFBvbGljeSBKb3VybmFsIiwiRE9JIjoiMTAuMTEwOC9TQU1QSi0wOS0yMDI0LTA5NjAiLCJJU1NOIjoiMjA0MC04MDIxIiwiaXNzdWVkIjp7ImRhdGUtcGFydHMiOltbMjAyNSwxMCwxXV19LCJjb250YWluZXItdGl0bGUtc2hvcnQiOiIifSwiaXNUZW1wb3JhcnkiOmZhbHNlfV19"/>
          <w:id w:val="-955791351"/>
          <w:placeholder>
            <w:docPart w:val="3BAB1D3452C84F739D3CF1844FBAED0D"/>
          </w:placeholder>
        </w:sdtPr>
        <w:sdtEndPr/>
        <w:sdtContent>
          <w:r w:rsidRPr="00A73C12">
            <w:rPr>
              <w:rFonts w:eastAsia="Times New Roman"/>
            </w:rPr>
            <w:t>(</w:t>
          </w:r>
          <w:proofErr w:type="spellStart"/>
          <w:r w:rsidRPr="00A73C12">
            <w:rPr>
              <w:rFonts w:eastAsia="Times New Roman"/>
            </w:rPr>
            <w:t>Elamer</w:t>
          </w:r>
          <w:proofErr w:type="spellEnd"/>
          <w:r w:rsidRPr="00A73C12">
            <w:rPr>
              <w:rFonts w:eastAsia="Times New Roman"/>
            </w:rPr>
            <w:t xml:space="preserve"> </w:t>
          </w:r>
          <w:r w:rsidRPr="00A73C12">
            <w:rPr>
              <w:rFonts w:eastAsia="Times New Roman"/>
              <w:i/>
              <w:iCs/>
            </w:rPr>
            <w:t>et al.</w:t>
          </w:r>
          <w:r w:rsidRPr="00A73C12">
            <w:rPr>
              <w:rFonts w:eastAsia="Times New Roman"/>
            </w:rPr>
            <w:t xml:space="preserve">, 2020; Helfaya </w:t>
          </w:r>
          <w:r w:rsidRPr="00A73C12">
            <w:rPr>
              <w:rFonts w:eastAsia="Times New Roman"/>
              <w:i/>
              <w:iCs/>
            </w:rPr>
            <w:t>et al.</w:t>
          </w:r>
          <w:r w:rsidRPr="00A73C12">
            <w:rPr>
              <w:rFonts w:eastAsia="Times New Roman"/>
            </w:rPr>
            <w:t xml:space="preserve">, 2025; Moussa </w:t>
          </w:r>
          <w:r w:rsidRPr="00A73C12">
            <w:rPr>
              <w:rFonts w:eastAsia="Times New Roman"/>
              <w:i/>
              <w:iCs/>
            </w:rPr>
            <w:t>et al.</w:t>
          </w:r>
          <w:r w:rsidRPr="00A73C12">
            <w:rPr>
              <w:rFonts w:eastAsia="Times New Roman"/>
            </w:rPr>
            <w:t>, 2022)</w:t>
          </w:r>
        </w:sdtContent>
      </w:sdt>
      <w:r w:rsidRPr="00CC1FC3">
        <w:t xml:space="preserve">. For instance, RL is highly correlated with GE (0.9559*) and CC (0.9569*), indicating these dimensions move closely together across contexts. Similarly, VA exhibits meaningful correlations with the other dimensions, particularly with RQ (0.8084*) and RL (0.7988*), underscoring its institutional relevance. All pairwise correlations are statistically significant at conventional levels (* p &lt; 0.1), reinforcing the justification for combining these indicators into a unified measure of institutional quality </w:t>
      </w:r>
      <w:sdt>
        <w:sdtPr>
          <w:tag w:val="MENDELEY_CITATION_v3_eyJjaXRhdGlvbklEIjoiTUVOREVMRVlfQ0lUQVRJT05fY2MzODcyZjItYWM2MC00NjhhLThkNGYtOWIzMjgzMDE2MjRlIiwicHJvcGVydGllcyI6eyJub3RlSW5kZXgiOjB9LCJpc0VkaXRlZCI6ZmFsc2UsIm1hbnVhbE92ZXJyaWRlIjp7ImlzTWFudWFsbHlPdmVycmlkZGVuIjpmYWxzZSwiY2l0ZXByb2NUZXh0IjoiKERhbmllbCA8aT5ldCBhbC48L2k+LCAyMDEyOyBFbGFtZXIgPGk+ZXQgYWwuPC9pPiwgMjAyMD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"/>
          <w:id w:val="1295095655"/>
          <w:placeholder>
            <w:docPart w:val="EEC3A975F50C4DA891D52DAFFF342BFE"/>
          </w:placeholder>
        </w:sdtPr>
        <w:sdtEndPr/>
        <w:sdtContent>
          <w:r w:rsidRPr="00A73C12">
            <w:rPr>
              <w:rFonts w:eastAsia="Times New Roman"/>
            </w:rPr>
            <w:t xml:space="preserve">(Daniel </w:t>
          </w:r>
          <w:r w:rsidRPr="00A73C12">
            <w:rPr>
              <w:rFonts w:eastAsia="Times New Roman"/>
              <w:i/>
              <w:iCs/>
            </w:rPr>
            <w:t>et al.</w:t>
          </w:r>
          <w:r w:rsidRPr="00A73C12">
            <w:rPr>
              <w:rFonts w:eastAsia="Times New Roman"/>
            </w:rPr>
            <w:t xml:space="preserve">, 2012; </w:t>
          </w:r>
          <w:proofErr w:type="spellStart"/>
          <w:r w:rsidRPr="00A73C12">
            <w:rPr>
              <w:rFonts w:eastAsia="Times New Roman"/>
            </w:rPr>
            <w:t>Elamer</w:t>
          </w:r>
          <w:proofErr w:type="spellEnd"/>
          <w:r w:rsidRPr="00A73C12">
            <w:rPr>
              <w:rFonts w:eastAsia="Times New Roman"/>
            </w:rPr>
            <w:t xml:space="preserve"> </w:t>
          </w:r>
          <w:r w:rsidRPr="00A73C12">
            <w:rPr>
              <w:rFonts w:eastAsia="Times New Roman"/>
              <w:i/>
              <w:iCs/>
            </w:rPr>
            <w:t>et al.</w:t>
          </w:r>
          <w:r w:rsidRPr="00A73C12">
            <w:rPr>
              <w:rFonts w:eastAsia="Times New Roman"/>
            </w:rPr>
            <w:t xml:space="preserve">, 2020; Moussa </w:t>
          </w:r>
          <w:r w:rsidRPr="00A73C12">
            <w:rPr>
              <w:rFonts w:eastAsia="Times New Roman"/>
              <w:i/>
              <w:iCs/>
            </w:rPr>
            <w:t>et al.</w:t>
          </w:r>
          <w:r w:rsidRPr="00A73C12">
            <w:rPr>
              <w:rFonts w:eastAsia="Times New Roman"/>
            </w:rPr>
            <w:t>, 2022)</w:t>
          </w:r>
        </w:sdtContent>
      </w:sdt>
      <w:r w:rsidRPr="00CC1FC3">
        <w:t>.</w:t>
      </w:r>
    </w:p>
    <w:tbl>
      <w:tblPr>
        <w:tblpPr w:leftFromText="180" w:rightFromText="180" w:vertAnchor="text" w:horzAnchor="margin" w:tblpY="396"/>
        <w:tblW w:w="8169" w:type="dxa"/>
        <w:tblCellSpacing w:w="15" w:type="dxa"/>
        <w:tblLook w:val="04A0" w:firstRow="1" w:lastRow="0" w:firstColumn="1" w:lastColumn="0" w:noHBand="0" w:noVBand="1"/>
      </w:tblPr>
      <w:tblGrid>
        <w:gridCol w:w="630"/>
        <w:gridCol w:w="1285"/>
        <w:gridCol w:w="1285"/>
        <w:gridCol w:w="1285"/>
        <w:gridCol w:w="1285"/>
        <w:gridCol w:w="1285"/>
        <w:gridCol w:w="1114"/>
      </w:tblGrid>
      <w:tr w:rsidR="00736F61" w:rsidRPr="00CC1FC3" w14:paraId="194A8DA6" w14:textId="77777777" w:rsidTr="005C3AFF">
        <w:trPr>
          <w:trHeight w:val="304"/>
          <w:tblHeader/>
          <w:tblCellSpacing w:w="15" w:type="dxa"/>
        </w:trPr>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4ED007E2" w14:textId="77777777" w:rsidR="00736F61" w:rsidRPr="00CC1FC3" w:rsidRDefault="00736F61" w:rsidP="003F224E"/>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1DCB5839" w14:textId="77777777" w:rsidR="00736F61" w:rsidRPr="00CC1FC3" w:rsidRDefault="00736F61" w:rsidP="003F224E">
            <w:pPr>
              <w:spacing w:after="0"/>
              <w:jc w:val="center"/>
              <w:rPr>
                <w:b/>
                <w:bCs/>
              </w:rPr>
            </w:pPr>
            <w:r w:rsidRPr="00CC1FC3">
              <w:rPr>
                <w:b/>
                <w:bCs/>
              </w:rPr>
              <w:t>RL</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1D04447F" w14:textId="77777777" w:rsidR="00736F61" w:rsidRPr="00CC1FC3" w:rsidRDefault="00736F61" w:rsidP="003F224E">
            <w:pPr>
              <w:spacing w:after="0"/>
              <w:jc w:val="center"/>
              <w:rPr>
                <w:b/>
                <w:bCs/>
              </w:rPr>
            </w:pPr>
            <w:r w:rsidRPr="00CC1FC3">
              <w:rPr>
                <w:b/>
                <w:bCs/>
              </w:rPr>
              <w:t>VA</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47C4820B" w14:textId="77777777" w:rsidR="00736F61" w:rsidRPr="00CC1FC3" w:rsidRDefault="00736F61" w:rsidP="003F224E">
            <w:pPr>
              <w:spacing w:after="0"/>
              <w:jc w:val="center"/>
              <w:rPr>
                <w:b/>
                <w:bCs/>
              </w:rPr>
            </w:pPr>
            <w:r w:rsidRPr="00CC1FC3">
              <w:rPr>
                <w:b/>
                <w:bCs/>
              </w:rPr>
              <w:t>RQ</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58BDCBE4" w14:textId="77777777" w:rsidR="00736F61" w:rsidRPr="00CC1FC3" w:rsidRDefault="00736F61" w:rsidP="003F224E">
            <w:pPr>
              <w:spacing w:after="0"/>
              <w:jc w:val="center"/>
              <w:rPr>
                <w:b/>
                <w:bCs/>
              </w:rPr>
            </w:pPr>
            <w:r w:rsidRPr="00CC1FC3">
              <w:rPr>
                <w:b/>
                <w:bCs/>
              </w:rPr>
              <w:t>GE</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0443D940" w14:textId="77777777" w:rsidR="00736F61" w:rsidRPr="00CC1FC3" w:rsidRDefault="00736F61" w:rsidP="003F224E">
            <w:pPr>
              <w:spacing w:after="0"/>
              <w:jc w:val="center"/>
              <w:rPr>
                <w:b/>
                <w:bCs/>
              </w:rPr>
            </w:pPr>
            <w:r w:rsidRPr="00CC1FC3">
              <w:rPr>
                <w:b/>
                <w:bCs/>
              </w:rPr>
              <w:t>CC</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39F2238C" w14:textId="77777777" w:rsidR="00736F61" w:rsidRPr="00CC1FC3" w:rsidRDefault="00736F61" w:rsidP="003F224E">
            <w:pPr>
              <w:spacing w:after="0"/>
              <w:jc w:val="center"/>
              <w:rPr>
                <w:b/>
                <w:bCs/>
              </w:rPr>
            </w:pPr>
            <w:r w:rsidRPr="00CC1FC3">
              <w:rPr>
                <w:b/>
                <w:bCs/>
              </w:rPr>
              <w:t>PS</w:t>
            </w:r>
          </w:p>
        </w:tc>
      </w:tr>
      <w:tr w:rsidR="00736F61" w:rsidRPr="00CC1FC3" w14:paraId="76C24F04" w14:textId="77777777" w:rsidTr="005C3AFF">
        <w:trPr>
          <w:trHeight w:val="292"/>
          <w:tblCellSpacing w:w="15" w:type="dxa"/>
        </w:trPr>
        <w:tc>
          <w:tcPr>
            <w:tcW w:w="0" w:type="auto"/>
            <w:tcMar>
              <w:top w:w="15" w:type="dxa"/>
              <w:left w:w="15" w:type="dxa"/>
              <w:bottom w:w="15" w:type="dxa"/>
              <w:right w:w="15" w:type="dxa"/>
            </w:tcMar>
            <w:vAlign w:val="center"/>
            <w:hideMark/>
          </w:tcPr>
          <w:p w14:paraId="5C28E056" w14:textId="77777777" w:rsidR="00736F61" w:rsidRPr="00CC1FC3" w:rsidRDefault="00736F61" w:rsidP="003F224E">
            <w:pPr>
              <w:spacing w:after="0"/>
            </w:pPr>
            <w:r w:rsidRPr="00CC1FC3">
              <w:rPr>
                <w:b/>
                <w:bCs/>
              </w:rPr>
              <w:t>RL</w:t>
            </w:r>
          </w:p>
        </w:tc>
        <w:tc>
          <w:tcPr>
            <w:tcW w:w="0" w:type="auto"/>
            <w:tcMar>
              <w:top w:w="15" w:type="dxa"/>
              <w:left w:w="15" w:type="dxa"/>
              <w:bottom w:w="15" w:type="dxa"/>
              <w:right w:w="15" w:type="dxa"/>
            </w:tcMar>
            <w:vAlign w:val="center"/>
            <w:hideMark/>
          </w:tcPr>
          <w:p w14:paraId="27332493" w14:textId="77777777" w:rsidR="00736F61" w:rsidRPr="00CC1FC3" w:rsidRDefault="00736F61" w:rsidP="003F224E">
            <w:pPr>
              <w:spacing w:after="0"/>
            </w:pPr>
            <w:r w:rsidRPr="00CC1FC3">
              <w:t>1.0000</w:t>
            </w:r>
          </w:p>
        </w:tc>
        <w:tc>
          <w:tcPr>
            <w:tcW w:w="0" w:type="auto"/>
            <w:tcMar>
              <w:top w:w="15" w:type="dxa"/>
              <w:left w:w="15" w:type="dxa"/>
              <w:bottom w:w="15" w:type="dxa"/>
              <w:right w:w="15" w:type="dxa"/>
            </w:tcMar>
            <w:vAlign w:val="center"/>
            <w:hideMark/>
          </w:tcPr>
          <w:p w14:paraId="700EF35E" w14:textId="77777777" w:rsidR="00736F61" w:rsidRPr="00CC1FC3" w:rsidRDefault="00736F61" w:rsidP="003F224E"/>
        </w:tc>
        <w:tc>
          <w:tcPr>
            <w:tcW w:w="0" w:type="auto"/>
            <w:tcMar>
              <w:top w:w="15" w:type="dxa"/>
              <w:left w:w="15" w:type="dxa"/>
              <w:bottom w:w="15" w:type="dxa"/>
              <w:right w:w="15" w:type="dxa"/>
            </w:tcMar>
            <w:vAlign w:val="center"/>
            <w:hideMark/>
          </w:tcPr>
          <w:p w14:paraId="089B406F" w14:textId="77777777" w:rsidR="00736F61" w:rsidRPr="00CC1FC3" w:rsidRDefault="00736F61" w:rsidP="003F224E">
            <w:pPr>
              <w:spacing w:after="0"/>
              <w:rPr>
                <w:color w:val="auto"/>
                <w:sz w:val="20"/>
                <w:szCs w:val="20"/>
                <w:lang w:eastAsia="en-GB"/>
              </w:rPr>
            </w:pPr>
          </w:p>
        </w:tc>
        <w:tc>
          <w:tcPr>
            <w:tcW w:w="0" w:type="auto"/>
            <w:tcMar>
              <w:top w:w="15" w:type="dxa"/>
              <w:left w:w="15" w:type="dxa"/>
              <w:bottom w:w="15" w:type="dxa"/>
              <w:right w:w="15" w:type="dxa"/>
            </w:tcMar>
            <w:vAlign w:val="center"/>
            <w:hideMark/>
          </w:tcPr>
          <w:p w14:paraId="4703895D" w14:textId="77777777" w:rsidR="00736F61" w:rsidRPr="00CC1FC3" w:rsidRDefault="00736F61" w:rsidP="003F224E">
            <w:pPr>
              <w:spacing w:after="0"/>
              <w:rPr>
                <w:color w:val="auto"/>
                <w:sz w:val="20"/>
                <w:szCs w:val="20"/>
                <w:lang w:eastAsia="en-GB"/>
              </w:rPr>
            </w:pPr>
          </w:p>
        </w:tc>
        <w:tc>
          <w:tcPr>
            <w:tcW w:w="0" w:type="auto"/>
            <w:tcMar>
              <w:top w:w="15" w:type="dxa"/>
              <w:left w:w="15" w:type="dxa"/>
              <w:bottom w:w="15" w:type="dxa"/>
              <w:right w:w="15" w:type="dxa"/>
            </w:tcMar>
            <w:vAlign w:val="center"/>
            <w:hideMark/>
          </w:tcPr>
          <w:p w14:paraId="6DB9809C" w14:textId="77777777" w:rsidR="00736F61" w:rsidRPr="00CC1FC3" w:rsidRDefault="00736F61" w:rsidP="003F224E">
            <w:pPr>
              <w:spacing w:after="0"/>
              <w:rPr>
                <w:color w:val="auto"/>
                <w:sz w:val="20"/>
                <w:szCs w:val="20"/>
                <w:lang w:eastAsia="en-GB"/>
              </w:rPr>
            </w:pPr>
          </w:p>
        </w:tc>
        <w:tc>
          <w:tcPr>
            <w:tcW w:w="0" w:type="auto"/>
            <w:tcMar>
              <w:top w:w="15" w:type="dxa"/>
              <w:left w:w="15" w:type="dxa"/>
              <w:bottom w:w="15" w:type="dxa"/>
              <w:right w:w="15" w:type="dxa"/>
            </w:tcMar>
            <w:vAlign w:val="center"/>
            <w:hideMark/>
          </w:tcPr>
          <w:p w14:paraId="0087D9FC" w14:textId="77777777" w:rsidR="00736F61" w:rsidRPr="00CC1FC3" w:rsidRDefault="00736F61" w:rsidP="003F224E">
            <w:pPr>
              <w:spacing w:after="0"/>
              <w:rPr>
                <w:color w:val="auto"/>
                <w:sz w:val="20"/>
                <w:szCs w:val="20"/>
                <w:lang w:eastAsia="en-GB"/>
              </w:rPr>
            </w:pPr>
          </w:p>
        </w:tc>
      </w:tr>
      <w:tr w:rsidR="00736F61" w:rsidRPr="00CC1FC3" w14:paraId="0F7A03C5" w14:textId="77777777" w:rsidTr="005C3AFF">
        <w:trPr>
          <w:trHeight w:val="292"/>
          <w:tblCellSpacing w:w="15" w:type="dxa"/>
        </w:trPr>
        <w:tc>
          <w:tcPr>
            <w:tcW w:w="0" w:type="auto"/>
            <w:tcMar>
              <w:top w:w="15" w:type="dxa"/>
              <w:left w:w="15" w:type="dxa"/>
              <w:bottom w:w="15" w:type="dxa"/>
              <w:right w:w="15" w:type="dxa"/>
            </w:tcMar>
            <w:vAlign w:val="center"/>
            <w:hideMark/>
          </w:tcPr>
          <w:p w14:paraId="175E4EAF" w14:textId="77777777" w:rsidR="00736F61" w:rsidRPr="00CC1FC3" w:rsidRDefault="00736F61" w:rsidP="003F224E">
            <w:pPr>
              <w:spacing w:after="0"/>
            </w:pPr>
            <w:r w:rsidRPr="00CC1FC3">
              <w:rPr>
                <w:b/>
                <w:bCs/>
              </w:rPr>
              <w:t>VA</w:t>
            </w:r>
          </w:p>
        </w:tc>
        <w:tc>
          <w:tcPr>
            <w:tcW w:w="0" w:type="auto"/>
            <w:tcMar>
              <w:top w:w="15" w:type="dxa"/>
              <w:left w:w="15" w:type="dxa"/>
              <w:bottom w:w="15" w:type="dxa"/>
              <w:right w:w="15" w:type="dxa"/>
            </w:tcMar>
            <w:vAlign w:val="center"/>
            <w:hideMark/>
          </w:tcPr>
          <w:p w14:paraId="17FD42C1" w14:textId="77777777" w:rsidR="00736F61" w:rsidRPr="00CC1FC3" w:rsidRDefault="00736F61" w:rsidP="003F224E">
            <w:pPr>
              <w:spacing w:after="0"/>
            </w:pPr>
            <w:r w:rsidRPr="00CC1FC3">
              <w:t>0.7988*</w:t>
            </w:r>
          </w:p>
        </w:tc>
        <w:tc>
          <w:tcPr>
            <w:tcW w:w="0" w:type="auto"/>
            <w:tcMar>
              <w:top w:w="15" w:type="dxa"/>
              <w:left w:w="15" w:type="dxa"/>
              <w:bottom w:w="15" w:type="dxa"/>
              <w:right w:w="15" w:type="dxa"/>
            </w:tcMar>
            <w:vAlign w:val="center"/>
            <w:hideMark/>
          </w:tcPr>
          <w:p w14:paraId="69F69BE9" w14:textId="77777777" w:rsidR="00736F61" w:rsidRPr="00CC1FC3" w:rsidRDefault="00736F61" w:rsidP="003F224E">
            <w:pPr>
              <w:spacing w:after="0"/>
            </w:pPr>
            <w:r w:rsidRPr="00CC1FC3">
              <w:t>1.0000</w:t>
            </w:r>
          </w:p>
        </w:tc>
        <w:tc>
          <w:tcPr>
            <w:tcW w:w="0" w:type="auto"/>
            <w:tcMar>
              <w:top w:w="15" w:type="dxa"/>
              <w:left w:w="15" w:type="dxa"/>
              <w:bottom w:w="15" w:type="dxa"/>
              <w:right w:w="15" w:type="dxa"/>
            </w:tcMar>
            <w:vAlign w:val="center"/>
            <w:hideMark/>
          </w:tcPr>
          <w:p w14:paraId="34C82385" w14:textId="77777777" w:rsidR="00736F61" w:rsidRPr="00CC1FC3" w:rsidRDefault="00736F61" w:rsidP="003F224E"/>
        </w:tc>
        <w:tc>
          <w:tcPr>
            <w:tcW w:w="0" w:type="auto"/>
            <w:tcMar>
              <w:top w:w="15" w:type="dxa"/>
              <w:left w:w="15" w:type="dxa"/>
              <w:bottom w:w="15" w:type="dxa"/>
              <w:right w:w="15" w:type="dxa"/>
            </w:tcMar>
            <w:vAlign w:val="center"/>
            <w:hideMark/>
          </w:tcPr>
          <w:p w14:paraId="7D07720A" w14:textId="77777777" w:rsidR="00736F61" w:rsidRPr="00CC1FC3" w:rsidRDefault="00736F61" w:rsidP="003F224E">
            <w:pPr>
              <w:spacing w:after="0"/>
              <w:rPr>
                <w:color w:val="auto"/>
                <w:sz w:val="20"/>
                <w:szCs w:val="20"/>
                <w:lang w:eastAsia="en-GB"/>
              </w:rPr>
            </w:pPr>
          </w:p>
        </w:tc>
        <w:tc>
          <w:tcPr>
            <w:tcW w:w="0" w:type="auto"/>
            <w:tcMar>
              <w:top w:w="15" w:type="dxa"/>
              <w:left w:w="15" w:type="dxa"/>
              <w:bottom w:w="15" w:type="dxa"/>
              <w:right w:w="15" w:type="dxa"/>
            </w:tcMar>
            <w:vAlign w:val="center"/>
            <w:hideMark/>
          </w:tcPr>
          <w:p w14:paraId="21AEE9D6" w14:textId="77777777" w:rsidR="00736F61" w:rsidRPr="00CC1FC3" w:rsidRDefault="00736F61" w:rsidP="003F224E">
            <w:pPr>
              <w:spacing w:after="0"/>
              <w:rPr>
                <w:color w:val="auto"/>
                <w:sz w:val="20"/>
                <w:szCs w:val="20"/>
                <w:lang w:eastAsia="en-GB"/>
              </w:rPr>
            </w:pPr>
          </w:p>
        </w:tc>
        <w:tc>
          <w:tcPr>
            <w:tcW w:w="0" w:type="auto"/>
            <w:tcMar>
              <w:top w:w="15" w:type="dxa"/>
              <w:left w:w="15" w:type="dxa"/>
              <w:bottom w:w="15" w:type="dxa"/>
              <w:right w:w="15" w:type="dxa"/>
            </w:tcMar>
            <w:vAlign w:val="center"/>
            <w:hideMark/>
          </w:tcPr>
          <w:p w14:paraId="4E4D887D" w14:textId="77777777" w:rsidR="00736F61" w:rsidRPr="00CC1FC3" w:rsidRDefault="00736F61" w:rsidP="003F224E">
            <w:pPr>
              <w:spacing w:after="0"/>
              <w:rPr>
                <w:color w:val="auto"/>
                <w:sz w:val="20"/>
                <w:szCs w:val="20"/>
                <w:lang w:eastAsia="en-GB"/>
              </w:rPr>
            </w:pPr>
          </w:p>
        </w:tc>
      </w:tr>
      <w:tr w:rsidR="00736F61" w:rsidRPr="00CC1FC3" w14:paraId="2A432216" w14:textId="77777777" w:rsidTr="005C3AFF">
        <w:trPr>
          <w:trHeight w:val="292"/>
          <w:tblCellSpacing w:w="15" w:type="dxa"/>
        </w:trPr>
        <w:tc>
          <w:tcPr>
            <w:tcW w:w="0" w:type="auto"/>
            <w:tcMar>
              <w:top w:w="15" w:type="dxa"/>
              <w:left w:w="15" w:type="dxa"/>
              <w:bottom w:w="15" w:type="dxa"/>
              <w:right w:w="15" w:type="dxa"/>
            </w:tcMar>
            <w:vAlign w:val="center"/>
            <w:hideMark/>
          </w:tcPr>
          <w:p w14:paraId="56EF66AB" w14:textId="77777777" w:rsidR="00736F61" w:rsidRPr="00CC1FC3" w:rsidRDefault="00736F61" w:rsidP="003F224E">
            <w:pPr>
              <w:spacing w:after="0"/>
            </w:pPr>
            <w:r w:rsidRPr="00CC1FC3">
              <w:rPr>
                <w:b/>
                <w:bCs/>
              </w:rPr>
              <w:t>RL</w:t>
            </w:r>
          </w:p>
        </w:tc>
        <w:tc>
          <w:tcPr>
            <w:tcW w:w="0" w:type="auto"/>
            <w:tcMar>
              <w:top w:w="15" w:type="dxa"/>
              <w:left w:w="15" w:type="dxa"/>
              <w:bottom w:w="15" w:type="dxa"/>
              <w:right w:w="15" w:type="dxa"/>
            </w:tcMar>
            <w:vAlign w:val="center"/>
            <w:hideMark/>
          </w:tcPr>
          <w:p w14:paraId="3942A09D" w14:textId="77777777" w:rsidR="00736F61" w:rsidRPr="00CC1FC3" w:rsidRDefault="00736F61" w:rsidP="003F224E">
            <w:pPr>
              <w:spacing w:after="0"/>
            </w:pPr>
            <w:r w:rsidRPr="00CC1FC3">
              <w:t>0.9472*</w:t>
            </w:r>
          </w:p>
        </w:tc>
        <w:tc>
          <w:tcPr>
            <w:tcW w:w="0" w:type="auto"/>
            <w:tcMar>
              <w:top w:w="15" w:type="dxa"/>
              <w:left w:w="15" w:type="dxa"/>
              <w:bottom w:w="15" w:type="dxa"/>
              <w:right w:w="15" w:type="dxa"/>
            </w:tcMar>
            <w:vAlign w:val="center"/>
            <w:hideMark/>
          </w:tcPr>
          <w:p w14:paraId="4C186F7E" w14:textId="77777777" w:rsidR="00736F61" w:rsidRPr="00CC1FC3" w:rsidRDefault="00736F61" w:rsidP="003F224E">
            <w:pPr>
              <w:spacing w:after="0"/>
            </w:pPr>
            <w:r w:rsidRPr="00CC1FC3">
              <w:t>0.8084*</w:t>
            </w:r>
          </w:p>
        </w:tc>
        <w:tc>
          <w:tcPr>
            <w:tcW w:w="0" w:type="auto"/>
            <w:tcMar>
              <w:top w:w="15" w:type="dxa"/>
              <w:left w:w="15" w:type="dxa"/>
              <w:bottom w:w="15" w:type="dxa"/>
              <w:right w:w="15" w:type="dxa"/>
            </w:tcMar>
            <w:vAlign w:val="center"/>
            <w:hideMark/>
          </w:tcPr>
          <w:p w14:paraId="607A010C" w14:textId="77777777" w:rsidR="00736F61" w:rsidRPr="00CC1FC3" w:rsidRDefault="00736F61" w:rsidP="003F224E">
            <w:pPr>
              <w:spacing w:after="0"/>
            </w:pPr>
            <w:r w:rsidRPr="00CC1FC3">
              <w:t>1.0000</w:t>
            </w:r>
          </w:p>
        </w:tc>
        <w:tc>
          <w:tcPr>
            <w:tcW w:w="0" w:type="auto"/>
            <w:tcMar>
              <w:top w:w="15" w:type="dxa"/>
              <w:left w:w="15" w:type="dxa"/>
              <w:bottom w:w="15" w:type="dxa"/>
              <w:right w:w="15" w:type="dxa"/>
            </w:tcMar>
            <w:vAlign w:val="center"/>
            <w:hideMark/>
          </w:tcPr>
          <w:p w14:paraId="4387261D" w14:textId="77777777" w:rsidR="00736F61" w:rsidRPr="00CC1FC3" w:rsidRDefault="00736F61" w:rsidP="003F224E"/>
        </w:tc>
        <w:tc>
          <w:tcPr>
            <w:tcW w:w="0" w:type="auto"/>
            <w:tcMar>
              <w:top w:w="15" w:type="dxa"/>
              <w:left w:w="15" w:type="dxa"/>
              <w:bottom w:w="15" w:type="dxa"/>
              <w:right w:w="15" w:type="dxa"/>
            </w:tcMar>
            <w:vAlign w:val="center"/>
            <w:hideMark/>
          </w:tcPr>
          <w:p w14:paraId="32CE10EF" w14:textId="77777777" w:rsidR="00736F61" w:rsidRPr="00CC1FC3" w:rsidRDefault="00736F61" w:rsidP="003F224E">
            <w:pPr>
              <w:spacing w:after="0"/>
              <w:rPr>
                <w:color w:val="auto"/>
                <w:sz w:val="20"/>
                <w:szCs w:val="20"/>
                <w:lang w:eastAsia="en-GB"/>
              </w:rPr>
            </w:pPr>
          </w:p>
        </w:tc>
        <w:tc>
          <w:tcPr>
            <w:tcW w:w="0" w:type="auto"/>
            <w:tcMar>
              <w:top w:w="15" w:type="dxa"/>
              <w:left w:w="15" w:type="dxa"/>
              <w:bottom w:w="15" w:type="dxa"/>
              <w:right w:w="15" w:type="dxa"/>
            </w:tcMar>
            <w:vAlign w:val="center"/>
            <w:hideMark/>
          </w:tcPr>
          <w:p w14:paraId="266C77F8" w14:textId="77777777" w:rsidR="00736F61" w:rsidRPr="00CC1FC3" w:rsidRDefault="00736F61" w:rsidP="003F224E">
            <w:pPr>
              <w:spacing w:after="0"/>
              <w:rPr>
                <w:color w:val="auto"/>
                <w:sz w:val="20"/>
                <w:szCs w:val="20"/>
                <w:lang w:eastAsia="en-GB"/>
              </w:rPr>
            </w:pPr>
          </w:p>
        </w:tc>
      </w:tr>
      <w:tr w:rsidR="00736F61" w:rsidRPr="00CC1FC3" w14:paraId="5100F397" w14:textId="77777777" w:rsidTr="005C3AFF">
        <w:trPr>
          <w:trHeight w:val="304"/>
          <w:tblCellSpacing w:w="15" w:type="dxa"/>
        </w:trPr>
        <w:tc>
          <w:tcPr>
            <w:tcW w:w="0" w:type="auto"/>
            <w:tcMar>
              <w:top w:w="15" w:type="dxa"/>
              <w:left w:w="15" w:type="dxa"/>
              <w:bottom w:w="15" w:type="dxa"/>
              <w:right w:w="15" w:type="dxa"/>
            </w:tcMar>
            <w:vAlign w:val="center"/>
            <w:hideMark/>
          </w:tcPr>
          <w:p w14:paraId="6C7F7A49" w14:textId="77777777" w:rsidR="00736F61" w:rsidRPr="00CC1FC3" w:rsidRDefault="00736F61" w:rsidP="003F224E">
            <w:pPr>
              <w:spacing w:after="0"/>
            </w:pPr>
            <w:r w:rsidRPr="00CC1FC3">
              <w:rPr>
                <w:b/>
                <w:bCs/>
              </w:rPr>
              <w:lastRenderedPageBreak/>
              <w:t>GE</w:t>
            </w:r>
          </w:p>
        </w:tc>
        <w:tc>
          <w:tcPr>
            <w:tcW w:w="0" w:type="auto"/>
            <w:tcMar>
              <w:top w:w="15" w:type="dxa"/>
              <w:left w:w="15" w:type="dxa"/>
              <w:bottom w:w="15" w:type="dxa"/>
              <w:right w:w="15" w:type="dxa"/>
            </w:tcMar>
            <w:vAlign w:val="center"/>
            <w:hideMark/>
          </w:tcPr>
          <w:p w14:paraId="7183299E" w14:textId="77777777" w:rsidR="00736F61" w:rsidRPr="00CC1FC3" w:rsidRDefault="00736F61" w:rsidP="003F224E">
            <w:pPr>
              <w:spacing w:after="0"/>
            </w:pPr>
            <w:r w:rsidRPr="00CC1FC3">
              <w:t>0.9559*</w:t>
            </w:r>
          </w:p>
        </w:tc>
        <w:tc>
          <w:tcPr>
            <w:tcW w:w="0" w:type="auto"/>
            <w:tcMar>
              <w:top w:w="15" w:type="dxa"/>
              <w:left w:w="15" w:type="dxa"/>
              <w:bottom w:w="15" w:type="dxa"/>
              <w:right w:w="15" w:type="dxa"/>
            </w:tcMar>
            <w:vAlign w:val="center"/>
            <w:hideMark/>
          </w:tcPr>
          <w:p w14:paraId="4FE09034" w14:textId="77777777" w:rsidR="00736F61" w:rsidRPr="00CC1FC3" w:rsidRDefault="00736F61" w:rsidP="003F224E">
            <w:pPr>
              <w:spacing w:after="0"/>
            </w:pPr>
            <w:r w:rsidRPr="00CC1FC3">
              <w:t>0.7473*</w:t>
            </w:r>
          </w:p>
        </w:tc>
        <w:tc>
          <w:tcPr>
            <w:tcW w:w="0" w:type="auto"/>
            <w:tcMar>
              <w:top w:w="15" w:type="dxa"/>
              <w:left w:w="15" w:type="dxa"/>
              <w:bottom w:w="15" w:type="dxa"/>
              <w:right w:w="15" w:type="dxa"/>
            </w:tcMar>
            <w:vAlign w:val="center"/>
            <w:hideMark/>
          </w:tcPr>
          <w:p w14:paraId="7508F3D4" w14:textId="77777777" w:rsidR="00736F61" w:rsidRPr="00CC1FC3" w:rsidRDefault="00736F61" w:rsidP="003F224E">
            <w:pPr>
              <w:spacing w:after="0"/>
            </w:pPr>
            <w:r w:rsidRPr="00CC1FC3">
              <w:t>0.9421*</w:t>
            </w:r>
          </w:p>
        </w:tc>
        <w:tc>
          <w:tcPr>
            <w:tcW w:w="0" w:type="auto"/>
            <w:tcMar>
              <w:top w:w="15" w:type="dxa"/>
              <w:left w:w="15" w:type="dxa"/>
              <w:bottom w:w="15" w:type="dxa"/>
              <w:right w:w="15" w:type="dxa"/>
            </w:tcMar>
            <w:vAlign w:val="center"/>
            <w:hideMark/>
          </w:tcPr>
          <w:p w14:paraId="737EFD28" w14:textId="77777777" w:rsidR="00736F61" w:rsidRPr="00CC1FC3" w:rsidRDefault="00736F61" w:rsidP="003F224E">
            <w:pPr>
              <w:spacing w:after="0"/>
            </w:pPr>
            <w:r w:rsidRPr="00CC1FC3">
              <w:t>1.0000</w:t>
            </w:r>
          </w:p>
        </w:tc>
        <w:tc>
          <w:tcPr>
            <w:tcW w:w="0" w:type="auto"/>
            <w:tcMar>
              <w:top w:w="15" w:type="dxa"/>
              <w:left w:w="15" w:type="dxa"/>
              <w:bottom w:w="15" w:type="dxa"/>
              <w:right w:w="15" w:type="dxa"/>
            </w:tcMar>
            <w:vAlign w:val="center"/>
            <w:hideMark/>
          </w:tcPr>
          <w:p w14:paraId="69C2CC28" w14:textId="77777777" w:rsidR="00736F61" w:rsidRPr="00CC1FC3" w:rsidRDefault="00736F61" w:rsidP="003F224E"/>
        </w:tc>
        <w:tc>
          <w:tcPr>
            <w:tcW w:w="0" w:type="auto"/>
            <w:tcMar>
              <w:top w:w="15" w:type="dxa"/>
              <w:left w:w="15" w:type="dxa"/>
              <w:bottom w:w="15" w:type="dxa"/>
              <w:right w:w="15" w:type="dxa"/>
            </w:tcMar>
            <w:vAlign w:val="center"/>
            <w:hideMark/>
          </w:tcPr>
          <w:p w14:paraId="711F18A2" w14:textId="77777777" w:rsidR="00736F61" w:rsidRPr="00CC1FC3" w:rsidRDefault="00736F61" w:rsidP="003F224E">
            <w:pPr>
              <w:spacing w:after="0"/>
              <w:rPr>
                <w:color w:val="auto"/>
                <w:sz w:val="20"/>
                <w:szCs w:val="20"/>
                <w:lang w:eastAsia="en-GB"/>
              </w:rPr>
            </w:pPr>
          </w:p>
        </w:tc>
      </w:tr>
      <w:tr w:rsidR="00736F61" w:rsidRPr="00CC1FC3" w14:paraId="099D68E7" w14:textId="77777777" w:rsidTr="005C3AFF">
        <w:trPr>
          <w:trHeight w:val="292"/>
          <w:tblCellSpacing w:w="15" w:type="dxa"/>
        </w:trPr>
        <w:tc>
          <w:tcPr>
            <w:tcW w:w="0" w:type="auto"/>
            <w:tcMar>
              <w:top w:w="15" w:type="dxa"/>
              <w:left w:w="15" w:type="dxa"/>
              <w:bottom w:w="15" w:type="dxa"/>
              <w:right w:w="15" w:type="dxa"/>
            </w:tcMar>
            <w:vAlign w:val="center"/>
            <w:hideMark/>
          </w:tcPr>
          <w:p w14:paraId="2C8DC1B2" w14:textId="77777777" w:rsidR="00736F61" w:rsidRPr="00CC1FC3" w:rsidRDefault="00736F61" w:rsidP="003F224E">
            <w:pPr>
              <w:spacing w:after="0"/>
            </w:pPr>
            <w:r w:rsidRPr="00CC1FC3">
              <w:rPr>
                <w:b/>
                <w:bCs/>
              </w:rPr>
              <w:t>CC</w:t>
            </w:r>
          </w:p>
        </w:tc>
        <w:tc>
          <w:tcPr>
            <w:tcW w:w="0" w:type="auto"/>
            <w:tcMar>
              <w:top w:w="15" w:type="dxa"/>
              <w:left w:w="15" w:type="dxa"/>
              <w:bottom w:w="15" w:type="dxa"/>
              <w:right w:w="15" w:type="dxa"/>
            </w:tcMar>
            <w:vAlign w:val="center"/>
            <w:hideMark/>
          </w:tcPr>
          <w:p w14:paraId="554C9B56" w14:textId="77777777" w:rsidR="00736F61" w:rsidRPr="00CC1FC3" w:rsidRDefault="00736F61" w:rsidP="003F224E">
            <w:pPr>
              <w:spacing w:after="0"/>
            </w:pPr>
            <w:r w:rsidRPr="00CC1FC3">
              <w:t>0.9569*</w:t>
            </w:r>
          </w:p>
        </w:tc>
        <w:tc>
          <w:tcPr>
            <w:tcW w:w="0" w:type="auto"/>
            <w:tcMar>
              <w:top w:w="15" w:type="dxa"/>
              <w:left w:w="15" w:type="dxa"/>
              <w:bottom w:w="15" w:type="dxa"/>
              <w:right w:w="15" w:type="dxa"/>
            </w:tcMar>
            <w:vAlign w:val="center"/>
            <w:hideMark/>
          </w:tcPr>
          <w:p w14:paraId="76F00BA1" w14:textId="77777777" w:rsidR="00736F61" w:rsidRPr="00CC1FC3" w:rsidRDefault="00736F61" w:rsidP="003F224E">
            <w:pPr>
              <w:spacing w:after="0"/>
            </w:pPr>
            <w:r w:rsidRPr="00CC1FC3">
              <w:t>0.7806*</w:t>
            </w:r>
          </w:p>
        </w:tc>
        <w:tc>
          <w:tcPr>
            <w:tcW w:w="0" w:type="auto"/>
            <w:tcMar>
              <w:top w:w="15" w:type="dxa"/>
              <w:left w:w="15" w:type="dxa"/>
              <w:bottom w:w="15" w:type="dxa"/>
              <w:right w:w="15" w:type="dxa"/>
            </w:tcMar>
            <w:vAlign w:val="center"/>
            <w:hideMark/>
          </w:tcPr>
          <w:p w14:paraId="71FB1413" w14:textId="77777777" w:rsidR="00736F61" w:rsidRPr="00CC1FC3" w:rsidRDefault="00736F61" w:rsidP="003F224E">
            <w:pPr>
              <w:spacing w:after="0"/>
            </w:pPr>
            <w:r w:rsidRPr="00CC1FC3">
              <w:t>0.9119*</w:t>
            </w:r>
          </w:p>
        </w:tc>
        <w:tc>
          <w:tcPr>
            <w:tcW w:w="0" w:type="auto"/>
            <w:tcMar>
              <w:top w:w="15" w:type="dxa"/>
              <w:left w:w="15" w:type="dxa"/>
              <w:bottom w:w="15" w:type="dxa"/>
              <w:right w:w="15" w:type="dxa"/>
            </w:tcMar>
            <w:vAlign w:val="center"/>
            <w:hideMark/>
          </w:tcPr>
          <w:p w14:paraId="483E0F05" w14:textId="77777777" w:rsidR="00736F61" w:rsidRPr="00CC1FC3" w:rsidRDefault="00736F61" w:rsidP="003F224E">
            <w:pPr>
              <w:spacing w:after="0"/>
            </w:pPr>
            <w:r w:rsidRPr="00CC1FC3">
              <w:t>0.9322*</w:t>
            </w:r>
          </w:p>
        </w:tc>
        <w:tc>
          <w:tcPr>
            <w:tcW w:w="0" w:type="auto"/>
            <w:tcMar>
              <w:top w:w="15" w:type="dxa"/>
              <w:left w:w="15" w:type="dxa"/>
              <w:bottom w:w="15" w:type="dxa"/>
              <w:right w:w="15" w:type="dxa"/>
            </w:tcMar>
            <w:vAlign w:val="center"/>
            <w:hideMark/>
          </w:tcPr>
          <w:p w14:paraId="0FD2FEDF" w14:textId="77777777" w:rsidR="00736F61" w:rsidRPr="00CC1FC3" w:rsidRDefault="00736F61" w:rsidP="003F224E">
            <w:pPr>
              <w:spacing w:after="0"/>
            </w:pPr>
            <w:r w:rsidRPr="00CC1FC3">
              <w:t>1.0000</w:t>
            </w:r>
          </w:p>
        </w:tc>
        <w:tc>
          <w:tcPr>
            <w:tcW w:w="0" w:type="auto"/>
            <w:tcMar>
              <w:top w:w="15" w:type="dxa"/>
              <w:left w:w="15" w:type="dxa"/>
              <w:bottom w:w="15" w:type="dxa"/>
              <w:right w:w="15" w:type="dxa"/>
            </w:tcMar>
            <w:vAlign w:val="center"/>
            <w:hideMark/>
          </w:tcPr>
          <w:p w14:paraId="2C887280" w14:textId="77777777" w:rsidR="00736F61" w:rsidRPr="00CC1FC3" w:rsidRDefault="00736F61" w:rsidP="003F224E"/>
        </w:tc>
      </w:tr>
      <w:tr w:rsidR="00736F61" w:rsidRPr="00CC1FC3" w14:paraId="66753D84" w14:textId="77777777" w:rsidTr="005C3AFF">
        <w:trPr>
          <w:trHeight w:val="304"/>
          <w:tblCellSpacing w:w="15" w:type="dxa"/>
        </w:trPr>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76CE1592" w14:textId="77777777" w:rsidR="00736F61" w:rsidRPr="00CC1FC3" w:rsidRDefault="00736F61" w:rsidP="003F224E">
            <w:pPr>
              <w:spacing w:after="0"/>
            </w:pPr>
            <w:r w:rsidRPr="00CC1FC3">
              <w:rPr>
                <w:b/>
                <w:bCs/>
              </w:rPr>
              <w:t>PS</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5B1E6FF5" w14:textId="77777777" w:rsidR="00736F61" w:rsidRPr="00CC1FC3" w:rsidRDefault="00736F61" w:rsidP="003F224E">
            <w:pPr>
              <w:spacing w:after="0"/>
            </w:pPr>
            <w:r w:rsidRPr="00CC1FC3">
              <w:t>0.7767*</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39B9F5D4" w14:textId="77777777" w:rsidR="00736F61" w:rsidRPr="00CC1FC3" w:rsidRDefault="00736F61" w:rsidP="003F224E">
            <w:pPr>
              <w:spacing w:after="0"/>
            </w:pPr>
            <w:r w:rsidRPr="00CC1FC3">
              <w:t>0.6622*</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2E18881B" w14:textId="77777777" w:rsidR="00736F61" w:rsidRPr="00CC1FC3" w:rsidRDefault="00736F61" w:rsidP="003F224E">
            <w:pPr>
              <w:spacing w:after="0"/>
            </w:pPr>
            <w:r w:rsidRPr="00CC1FC3">
              <w:t>0.7232*</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7E2A2F39" w14:textId="77777777" w:rsidR="00736F61" w:rsidRPr="00CC1FC3" w:rsidRDefault="00736F61" w:rsidP="003F224E">
            <w:pPr>
              <w:spacing w:after="0"/>
            </w:pPr>
            <w:r w:rsidRPr="00CC1FC3">
              <w:t>0.7661*</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33629F7C" w14:textId="77777777" w:rsidR="00736F61" w:rsidRPr="00CC1FC3" w:rsidRDefault="00736F61" w:rsidP="003F224E">
            <w:pPr>
              <w:spacing w:after="0"/>
            </w:pPr>
            <w:r w:rsidRPr="00CC1FC3">
              <w:t>0.7553*</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698D2299" w14:textId="77777777" w:rsidR="00736F61" w:rsidRPr="00CC1FC3" w:rsidRDefault="00736F61" w:rsidP="003F224E">
            <w:pPr>
              <w:spacing w:after="0"/>
            </w:pPr>
            <w:r w:rsidRPr="00CC1FC3">
              <w:t>1.0000</w:t>
            </w:r>
          </w:p>
        </w:tc>
      </w:tr>
    </w:tbl>
    <w:p w14:paraId="3AC5ED69" w14:textId="77777777" w:rsidR="00736F61" w:rsidRPr="00CC1FC3" w:rsidRDefault="00736F61" w:rsidP="00736F61">
      <w:pPr>
        <w:pStyle w:val="Caption"/>
      </w:pPr>
      <w:r w:rsidRPr="00CC1FC3">
        <w:rPr>
          <w:b/>
          <w:bCs/>
        </w:rPr>
        <w:t xml:space="preserve">Table </w:t>
      </w:r>
      <w:r>
        <w:rPr>
          <w:b/>
          <w:bCs/>
        </w:rPr>
        <w:t>5.9</w:t>
      </w:r>
      <w:r w:rsidRPr="00CC1FC3">
        <w:rPr>
          <w:b/>
          <w:bCs/>
        </w:rPr>
        <w:t>:</w:t>
      </w:r>
      <w:r w:rsidRPr="00CC1FC3">
        <w:t xml:space="preserve"> Correlation Matrix of the IEQ’s six dimensions</w:t>
      </w:r>
    </w:p>
    <w:p w14:paraId="5631A3AB" w14:textId="77777777" w:rsidR="00736F61" w:rsidRDefault="00736F61" w:rsidP="00736F61">
      <w:pPr>
        <w:spacing w:after="100" w:afterAutospacing="1"/>
        <w:jc w:val="both"/>
        <w:rPr>
          <w:b/>
          <w:bCs/>
          <w:sz w:val="18"/>
          <w:szCs w:val="18"/>
        </w:rPr>
      </w:pPr>
    </w:p>
    <w:p w14:paraId="4960BEBF" w14:textId="77777777" w:rsidR="00736F61" w:rsidRDefault="00736F61" w:rsidP="00736F61">
      <w:pPr>
        <w:spacing w:after="100" w:afterAutospacing="1"/>
        <w:jc w:val="both"/>
        <w:rPr>
          <w:b/>
          <w:bCs/>
          <w:sz w:val="18"/>
          <w:szCs w:val="18"/>
        </w:rPr>
      </w:pPr>
    </w:p>
    <w:p w14:paraId="1F82873F" w14:textId="77777777" w:rsidR="00736F61" w:rsidRDefault="00736F61" w:rsidP="00736F61">
      <w:pPr>
        <w:spacing w:after="100" w:afterAutospacing="1"/>
        <w:jc w:val="both"/>
        <w:rPr>
          <w:b/>
          <w:bCs/>
          <w:sz w:val="18"/>
          <w:szCs w:val="18"/>
        </w:rPr>
      </w:pPr>
    </w:p>
    <w:p w14:paraId="6D8B37E7" w14:textId="77777777" w:rsidR="00736F61" w:rsidRDefault="00736F61" w:rsidP="00736F61">
      <w:pPr>
        <w:spacing w:after="100" w:afterAutospacing="1"/>
        <w:jc w:val="both"/>
        <w:rPr>
          <w:b/>
          <w:bCs/>
          <w:sz w:val="18"/>
          <w:szCs w:val="18"/>
        </w:rPr>
      </w:pPr>
    </w:p>
    <w:p w14:paraId="10EC85B8" w14:textId="77777777" w:rsidR="00736F61" w:rsidRDefault="00736F61" w:rsidP="00736F61">
      <w:pPr>
        <w:spacing w:after="100" w:afterAutospacing="1"/>
        <w:jc w:val="both"/>
        <w:rPr>
          <w:b/>
          <w:bCs/>
          <w:sz w:val="18"/>
          <w:szCs w:val="18"/>
        </w:rPr>
      </w:pPr>
    </w:p>
    <w:p w14:paraId="5CD28D6D" w14:textId="77777777" w:rsidR="00736F61" w:rsidRPr="00CC1FC3" w:rsidRDefault="00736F61" w:rsidP="00736F61">
      <w:pPr>
        <w:spacing w:after="100" w:afterAutospacing="1"/>
        <w:jc w:val="both"/>
        <w:rPr>
          <w:sz w:val="18"/>
          <w:szCs w:val="18"/>
        </w:rPr>
      </w:pPr>
      <w:r w:rsidRPr="00CC1FC3">
        <w:rPr>
          <w:b/>
          <w:bCs/>
          <w:sz w:val="18"/>
          <w:szCs w:val="18"/>
        </w:rPr>
        <w:t>Note:</w:t>
      </w:r>
      <w:r w:rsidRPr="00CC1FC3">
        <w:rPr>
          <w:sz w:val="18"/>
          <w:szCs w:val="18"/>
        </w:rPr>
        <w:t xml:space="preserve"> All variables are fully defined in Table </w:t>
      </w:r>
      <w:r>
        <w:rPr>
          <w:sz w:val="18"/>
          <w:szCs w:val="18"/>
        </w:rPr>
        <w:t>5.8</w:t>
      </w:r>
      <w:r w:rsidRPr="00CC1FC3">
        <w:rPr>
          <w:sz w:val="18"/>
          <w:szCs w:val="18"/>
        </w:rPr>
        <w:t xml:space="preserve"> *** p value &lt;0.01.  **p value &lt; 0.05. * p value &lt;0.1</w:t>
      </w:r>
    </w:p>
    <w:p w14:paraId="14888789" w14:textId="77777777" w:rsidR="00736F61" w:rsidRPr="00CC1FC3" w:rsidRDefault="00736F61" w:rsidP="00736F61">
      <w:pPr>
        <w:spacing w:before="100" w:beforeAutospacing="1" w:after="100" w:afterAutospacing="1" w:line="480" w:lineRule="auto"/>
        <w:ind w:firstLine="720"/>
        <w:jc w:val="both"/>
      </w:pPr>
      <w:r w:rsidRPr="00CC1FC3">
        <w:t xml:space="preserve">In line with Moussa </w:t>
      </w:r>
      <w:r w:rsidRPr="00CC1FC3">
        <w:rPr>
          <w:i/>
          <w:iCs/>
        </w:rPr>
        <w:t>et al</w:t>
      </w:r>
      <w:r w:rsidRPr="00CC1FC3">
        <w:t xml:space="preserve">. (2022) and </w:t>
      </w:r>
      <w:sdt>
        <w:sdtPr>
          <w:tag w:val="MENDELEY_CITATION_v3_eyJjaXRhdGlvbklEIjoiTUVOREVMRVlfQ0lUQVRJT05fOTlmODNiYjctNTc2My00YWQwLTgyYTctZmYyNGRhZTE0MTNkIiwicHJvcGVydGllcyI6eyJub3RlSW5kZXgiOjB9LCJpc0VkaXRlZCI6ZmFsc2UsIm1hbnVhbE92ZXJyaWRlIjp7ImlzTWFudWFsbHlPdmVycmlkZGVuIjp0cnVlLCJjaXRlcHJvY1RleHQiOiIoSGVsZmF5YSA8aT5ldCBhbC48L2k+LCAyMDI1KSIsIm1hbnVhbE92ZXJyaWRlVGV4dCI6IkhlbGZheWEgZXQgYWwuICgyMDI1KSJ9LCJjaXRhdGlvbkl0ZW1zIjpb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
          <w:id w:val="212319270"/>
          <w:placeholder>
            <w:docPart w:val="9C8829310A064AF28788EBA3930EB696"/>
          </w:placeholder>
        </w:sdtPr>
        <w:sdtEndPr/>
        <w:sdtContent>
          <w:r w:rsidRPr="00A73C12">
            <w:rPr>
              <w:rFonts w:eastAsia="Times New Roman"/>
            </w:rPr>
            <w:t>Helfaya et al. (2025)</w:t>
          </w:r>
        </w:sdtContent>
      </w:sdt>
      <w:r w:rsidRPr="00CC1FC3">
        <w:t xml:space="preserve">, this study assessed the internal consistency of the six institutional dimensions comprising the IEQ construct using Cronbach’s alpha. To further validate the structure and reduce dimensionality, we conducted a </w:t>
      </w:r>
      <w:r w:rsidRPr="00CC1FC3">
        <w:rPr>
          <w:rStyle w:val="Strong"/>
          <w:rFonts w:eastAsiaTheme="majorEastAsia"/>
          <w:b w:val="0"/>
          <w:bCs w:val="0"/>
        </w:rPr>
        <w:t>Principal Component Analysis (PCA)</w:t>
      </w:r>
      <w:r w:rsidRPr="00CC1FC3">
        <w:rPr>
          <w:b/>
          <w:bCs/>
        </w:rPr>
        <w:t>,</w:t>
      </w:r>
      <w:r w:rsidRPr="00CC1FC3">
        <w:t xml:space="preserve"> consistent with previous research (e.g., </w:t>
      </w:r>
      <w:proofErr w:type="spellStart"/>
      <w:r w:rsidRPr="00CC1FC3">
        <w:t>Elamer</w:t>
      </w:r>
      <w:proofErr w:type="spellEnd"/>
      <w:r w:rsidRPr="00CC1FC3">
        <w:t xml:space="preserve"> </w:t>
      </w:r>
      <w:r w:rsidRPr="00CC1FC3">
        <w:rPr>
          <w:i/>
          <w:iCs/>
        </w:rPr>
        <w:t>et al</w:t>
      </w:r>
      <w:r w:rsidRPr="00CC1FC3">
        <w:t xml:space="preserve">., 2020; </w:t>
      </w:r>
      <w:proofErr w:type="spellStart"/>
      <w:r w:rsidRPr="00CC1FC3">
        <w:t>Tunyi</w:t>
      </w:r>
      <w:proofErr w:type="spellEnd"/>
      <w:r w:rsidRPr="00CC1FC3">
        <w:t xml:space="preserve"> and Ntim, 2016). The PCA results, shown in Table </w:t>
      </w:r>
      <w:r>
        <w:t>5.10</w:t>
      </w:r>
      <w:r w:rsidRPr="00CC1FC3">
        <w:t>, indicate that the first principal component (Comp1) explains approximately 86.2% of the total variance, with all six indicators loading strongly and positively on it. Specifically, rule of law (0.431), regulatory quality (0.423), government effectiveness (0.424), and control of corruption (0.423) showed particularly strong loadings, reinforcing the integrative nature of the underlying governance construct.</w:t>
      </w:r>
    </w:p>
    <w:p w14:paraId="54C44CB0" w14:textId="77777777" w:rsidR="00736F61" w:rsidRPr="00CC1FC3" w:rsidRDefault="00736F61" w:rsidP="00736F61">
      <w:pPr>
        <w:spacing w:after="0" w:line="480" w:lineRule="auto"/>
        <w:ind w:firstLine="720"/>
        <w:jc w:val="both"/>
      </w:pPr>
      <w:r w:rsidRPr="00CC1FC3">
        <w:t xml:space="preserve">The </w:t>
      </w:r>
      <w:r w:rsidRPr="00CC1FC3">
        <w:rPr>
          <w:rStyle w:val="Strong"/>
          <w:b w:val="0"/>
          <w:bCs w:val="0"/>
        </w:rPr>
        <w:t>Kaiser-Meyer-Olkin (KMO) values</w:t>
      </w:r>
      <w:r w:rsidRPr="00CC1FC3">
        <w:t xml:space="preserve"> for individual variables range from</w:t>
      </w:r>
      <w:r w:rsidRPr="00CC1FC3">
        <w:rPr>
          <w:b/>
          <w:bCs/>
        </w:rPr>
        <w:t xml:space="preserve"> </w:t>
      </w:r>
      <w:r w:rsidRPr="00CC1FC3">
        <w:rPr>
          <w:rStyle w:val="Strong"/>
          <w:b w:val="0"/>
          <w:bCs w:val="0"/>
        </w:rPr>
        <w:t>0.877 (RL)</w:t>
      </w:r>
      <w:r w:rsidRPr="00CC1FC3">
        <w:rPr>
          <w:b/>
          <w:bCs/>
        </w:rPr>
        <w:t xml:space="preserve"> </w:t>
      </w:r>
      <w:r w:rsidRPr="00CC1FC3">
        <w:t xml:space="preserve">to </w:t>
      </w:r>
      <w:r w:rsidRPr="00CC1FC3">
        <w:rPr>
          <w:rStyle w:val="Strong"/>
          <w:b w:val="0"/>
          <w:bCs w:val="0"/>
        </w:rPr>
        <w:t>0.956 (PS)</w:t>
      </w:r>
      <w:r w:rsidRPr="00CC1FC3">
        <w:rPr>
          <w:b/>
          <w:bCs/>
        </w:rPr>
        <w:t xml:space="preserve">, </w:t>
      </w:r>
      <w:r w:rsidRPr="00CC1FC3">
        <w:t xml:space="preserve">with an </w:t>
      </w:r>
      <w:r w:rsidRPr="00CC1FC3">
        <w:rPr>
          <w:rStyle w:val="Strong"/>
          <w:b w:val="0"/>
          <w:bCs w:val="0"/>
        </w:rPr>
        <w:t>overall KMO of 0.903</w:t>
      </w:r>
      <w:r w:rsidRPr="00CC1FC3">
        <w:rPr>
          <w:b/>
          <w:bCs/>
        </w:rPr>
        <w:t>,</w:t>
      </w:r>
      <w:r w:rsidRPr="00CC1FC3">
        <w:t xml:space="preserve"> suggesting </w:t>
      </w:r>
      <w:r w:rsidRPr="00CC1FC3">
        <w:rPr>
          <w:rStyle w:val="Strong"/>
          <w:b w:val="0"/>
          <w:bCs w:val="0"/>
        </w:rPr>
        <w:t xml:space="preserve">excellent sampling adequacy, which is above the recommended threshold of PCA of 0.5 </w:t>
      </w:r>
      <w:sdt>
        <w:sdtPr>
          <w:rPr>
            <w:rStyle w:val="Strong"/>
            <w:b w:val="0"/>
            <w:bCs w:val="0"/>
          </w:rPr>
          <w:tag w:val="MENDELEY_CITATION_v3_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LCJjb250YWluZXItdGl0bGUtc2hvcnQiOiJCdXMuIFNvYy4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ODMxOTRlNTUtOWEwMS0zMjUzLWJiMGMtYjcyMzE4ODAxZjZmIiwiaXRlbURhdGEiOnsidHlwZSI6ImFydGljbGUtam91cm5hbCIsImlkIjoiODMxOTRlNTUtOWEwMS0zMjUzLWJiMGMtYjcyMzE4ODAxZjZmIiwidGl0bGUiOiJGb3N0ZXJpbmcgaHVtYW4gZGV2ZWxvcG1lbnQ6IGRvIGluc3RpdHV0aW9uYWwgZW52aXJvbm1lbnQgcXVhbGl0eSBhbmQgb3ZlcmFsbCBVTi1TREdzIGF0dGFpbm1lbnQgbWF0dGVyPy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R2V5aSIsInBhcnNlLW5hbWVzIjpmYWxzZSwiZHJvcHBpbmctcGFydGljbGUiOiIiLCJub24tZHJvcHBpbmctcGFydGljbGUiOiIifV0sImNvbnRhaW5lci10aXRsZSI6IlN1c3RhaW5hYmlsaXR5IEFjY291bnRpbmcsIE1hbmFnZW1lbnQgYW5kIFBvbGljeSBKb3VybmFsIiwiRE9JIjoiMTAuMTEwOC9TQU1QSi0wOS0yMDI0LTA5NjAiLCJJU1NOIjoiMjA0MC04MDIxIiwiaXNzdWVkIjp7ImRhdGUtcGFydHMiOltbMjAyNSwxMCwxXV19LCJjb250YWluZXItdGl0bGUtc2hvcnQiOiIifSwiaXNUZW1wb3JhcnkiOmZhbHNlfV19"/>
          <w:id w:val="-163786731"/>
          <w:placeholder>
            <w:docPart w:val="74CA121AD9C3402ABDBE8632B75CB115"/>
          </w:placeholder>
        </w:sdtPr>
        <w:sdtEndPr>
          <w:rPr>
            <w:rStyle w:val="Strong"/>
          </w:rPr>
        </w:sdtEndPr>
        <w:sdtContent>
          <w:r w:rsidRPr="00A73C12">
            <w:rPr>
              <w:rStyle w:val="Strong"/>
              <w:b w:val="0"/>
              <w:bCs w:val="0"/>
            </w:rPr>
            <w:t>(</w:t>
          </w:r>
          <w:proofErr w:type="spellStart"/>
          <w:r w:rsidRPr="00A73C12">
            <w:rPr>
              <w:rStyle w:val="Strong"/>
              <w:b w:val="0"/>
              <w:bCs w:val="0"/>
            </w:rPr>
            <w:t>Elamer</w:t>
          </w:r>
          <w:proofErr w:type="spellEnd"/>
          <w:r w:rsidRPr="00A73C12">
            <w:rPr>
              <w:rStyle w:val="Strong"/>
              <w:b w:val="0"/>
              <w:bCs w:val="0"/>
            </w:rPr>
            <w:t xml:space="preserve"> et al., 2020; Moussa et al., 2022; Helfaya et al., 2025)</w:t>
          </w:r>
        </w:sdtContent>
      </w:sdt>
      <w:r w:rsidRPr="00CC1FC3">
        <w:rPr>
          <w:b/>
          <w:bCs/>
        </w:rPr>
        <w:t>.</w:t>
      </w:r>
      <w:r w:rsidRPr="00CC1FC3">
        <w:t xml:space="preserve"> This is further supported by the </w:t>
      </w:r>
      <w:r w:rsidRPr="00CC1FC3">
        <w:rPr>
          <w:rStyle w:val="Strong"/>
          <w:b w:val="0"/>
          <w:bCs w:val="0"/>
        </w:rPr>
        <w:t xml:space="preserve">absence of unexplained variance </w:t>
      </w:r>
      <w:r w:rsidRPr="00CC1FC3">
        <w:t xml:space="preserve">across all variables in the PCA, indicating a strong factor structure with minimal residuals </w:t>
      </w:r>
      <w:sdt>
        <w:sdtPr>
          <w:tag w:val="MENDELEY_CITATION_v3_eyJjaXRhdGlvbklEIjoiTUVOREVMRVlfQ0lUQVRJT05fMjE2ZWVkOWYtYmY2Yy00MzdkLWFmOWEtMmZiMmRmZmZmYjUwIiwicHJvcGVydGllcyI6eyJub3RlSW5kZXgiOjB9LCJpc0VkaXRlZCI6ZmFsc2UsIm1hbnVhbE92ZXJyaWRlIjp7ImlzTWFudWFsbHlPdmVycmlkZGVuIjp0cnVlLCJjaXRlcHJvY1RleHQiOiIoSGVsZmF5YSA8aT5ldCBhbC48L2k+LCAyMDI1OyBNb3Vzc2EgPGk+ZXQgYWwuPC9pPiwgMjAyMikiLCJtYW51YWxPdmVycmlkZVRleHQiOiIoTW91c3NhIGV0IGFsLiwgMjAyMjsgSGVsZmF5YSBldCBhbC4sIDIwMjUp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ODMxOTRlNTUtOWEwMS0zMjUzLWJiMGMtYjcyMzE4ODAxZjZmIiwiaXRlbURhdGEiOnsidHlwZSI6ImFydGljbGUtam91cm5hbCIsImlkIjoiODMxOTRlNTUtOWEwMS0zMjUzLWJiMGMtYjcyMzE4ODAxZjZmIiwidGl0bGUiOiJGb3N0ZXJpbmcgaHVtYW4gZGV2ZWxvcG1lbnQ6IGRvIGluc3RpdHV0aW9uYWwgZW52aXJvbm1lbnQgcXVhbGl0eSBhbmQgb3ZlcmFsbCBVTi1TREdzIGF0dGFpbm1lbnQgbWF0dGVyPy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R2V5aSIsInBhcnNlLW5hbWVzIjpmYWxzZSwiZHJvcHBpbmctcGFydGljbGUiOiIiLCJub24tZHJvcHBpbmctcGFydGljbGUiOiIifV0sImNvbnRhaW5lci10aXRsZSI6IlN1c3RhaW5hYmlsaXR5IEFjY291bnRpbmcsIE1hbmFnZW1lbnQgYW5kIFBvbGljeSBKb3VybmFsIiwiRE9JIjoiMTAuMTEwOC9TQU1QSi0wOS0yMDI0LTA5NjAiLCJJU1NOIjoiMjA0MC04MDIxIiwiaXNzdWVkIjp7ImRhdGUtcGFydHMiOltbMjAyNSwxMCwxXV19LCJjb250YWluZXItdGl0bGUtc2hvcnQiOiIifSwiaXNUZW1wb3JhcnkiOmZhbHNlfV19"/>
          <w:id w:val="-1812479652"/>
          <w:placeholder>
            <w:docPart w:val="69A3023C18A44E1E91E52A6702942E6D"/>
          </w:placeholder>
        </w:sdtPr>
        <w:sdtEndPr/>
        <w:sdtContent>
          <w:r w:rsidRPr="00A73C12">
            <w:rPr>
              <w:rFonts w:eastAsia="Times New Roman"/>
            </w:rPr>
            <w:t xml:space="preserve">(Moussa et </w:t>
          </w:r>
          <w:r w:rsidRPr="00A73C12">
            <w:rPr>
              <w:rFonts w:eastAsia="Times New Roman"/>
            </w:rPr>
            <w:lastRenderedPageBreak/>
            <w:t>al., 2022; Helfaya et al., 2025)</w:t>
          </w:r>
        </w:sdtContent>
      </w:sdt>
      <w:r w:rsidRPr="00CC1FC3">
        <w:t>. Individual KMO scores for each dimension also exceeded 0.87, further confirming the data's factorability. Based on these results, we retained the</w:t>
      </w:r>
      <w:r w:rsidRPr="00CC1FC3">
        <w:rPr>
          <w:b/>
          <w:bCs/>
        </w:rPr>
        <w:t xml:space="preserve"> </w:t>
      </w:r>
      <w:r w:rsidRPr="00CC1FC3">
        <w:rPr>
          <w:rStyle w:val="Strong"/>
          <w:rFonts w:eastAsiaTheme="majorEastAsia"/>
          <w:b w:val="0"/>
          <w:bCs w:val="0"/>
        </w:rPr>
        <w:t>first principal component</w:t>
      </w:r>
      <w:r w:rsidRPr="00CC1FC3">
        <w:t xml:space="preserve"> to construct a </w:t>
      </w:r>
      <w:r w:rsidRPr="00CC1FC3">
        <w:rPr>
          <w:rStyle w:val="Strong"/>
          <w:rFonts w:eastAsiaTheme="majorEastAsia"/>
          <w:b w:val="0"/>
          <w:bCs w:val="0"/>
        </w:rPr>
        <w:t>composite IEQ index</w:t>
      </w:r>
      <w:r w:rsidRPr="00CC1FC3">
        <w:rPr>
          <w:b/>
          <w:bCs/>
        </w:rPr>
        <w:t>,</w:t>
      </w:r>
      <w:r w:rsidRPr="00CC1FC3">
        <w:t xml:space="preserve"> which serves as the primary institutional variable in our subsequent regression analyses. This approach enhances both the parsimony and interpretability of the institutional construct used in the study.</w:t>
      </w:r>
    </w:p>
    <w:tbl>
      <w:tblPr>
        <w:tblpPr w:leftFromText="180" w:rightFromText="180" w:bottomFromText="160" w:vertAnchor="text" w:horzAnchor="margin" w:tblpY="360"/>
        <w:tblW w:w="9451" w:type="dxa"/>
        <w:tblBorders>
          <w:bottom w:val="single" w:sz="4" w:space="0" w:color="auto"/>
        </w:tblBorders>
        <w:tblLook w:val="04A0" w:firstRow="1" w:lastRow="0" w:firstColumn="1" w:lastColumn="0" w:noHBand="0" w:noVBand="1"/>
      </w:tblPr>
      <w:tblGrid>
        <w:gridCol w:w="1255"/>
        <w:gridCol w:w="953"/>
        <w:gridCol w:w="953"/>
        <w:gridCol w:w="953"/>
        <w:gridCol w:w="953"/>
        <w:gridCol w:w="953"/>
        <w:gridCol w:w="953"/>
        <w:gridCol w:w="1525"/>
        <w:gridCol w:w="953"/>
      </w:tblGrid>
      <w:tr w:rsidR="00736F61" w:rsidRPr="00CC1FC3" w14:paraId="4FA34E83" w14:textId="77777777" w:rsidTr="005C3AFF">
        <w:trPr>
          <w:trHeight w:val="600"/>
        </w:trPr>
        <w:tc>
          <w:tcPr>
            <w:tcW w:w="1255" w:type="dxa"/>
            <w:tcBorders>
              <w:top w:val="single" w:sz="4" w:space="0" w:color="auto"/>
              <w:left w:val="nil"/>
              <w:bottom w:val="single" w:sz="4" w:space="0" w:color="auto"/>
              <w:right w:val="nil"/>
            </w:tcBorders>
            <w:vAlign w:val="center"/>
            <w:hideMark/>
          </w:tcPr>
          <w:p w14:paraId="09BEE571" w14:textId="77777777" w:rsidR="00736F61" w:rsidRPr="00CC1FC3" w:rsidRDefault="00736F61" w:rsidP="003F224E">
            <w:pPr>
              <w:spacing w:after="0" w:line="240" w:lineRule="auto"/>
              <w:jc w:val="center"/>
              <w:rPr>
                <w:b/>
                <w:bCs/>
                <w:sz w:val="22"/>
                <w:szCs w:val="22"/>
              </w:rPr>
            </w:pPr>
            <w:r w:rsidRPr="00CC1FC3">
              <w:rPr>
                <w:b/>
                <w:bCs/>
                <w:sz w:val="22"/>
                <w:szCs w:val="22"/>
              </w:rPr>
              <w:t>Variable</w:t>
            </w:r>
          </w:p>
        </w:tc>
        <w:tc>
          <w:tcPr>
            <w:tcW w:w="953" w:type="dxa"/>
            <w:tcBorders>
              <w:top w:val="single" w:sz="4" w:space="0" w:color="auto"/>
              <w:left w:val="nil"/>
              <w:bottom w:val="single" w:sz="4" w:space="0" w:color="auto"/>
              <w:right w:val="nil"/>
            </w:tcBorders>
            <w:vAlign w:val="center"/>
            <w:hideMark/>
          </w:tcPr>
          <w:p w14:paraId="7B74C9EF" w14:textId="77777777" w:rsidR="00736F61" w:rsidRPr="00CC1FC3" w:rsidRDefault="00736F61" w:rsidP="003F224E">
            <w:pPr>
              <w:spacing w:after="0" w:line="240" w:lineRule="auto"/>
              <w:jc w:val="center"/>
              <w:rPr>
                <w:b/>
                <w:bCs/>
                <w:sz w:val="22"/>
                <w:szCs w:val="22"/>
              </w:rPr>
            </w:pPr>
            <w:r w:rsidRPr="00CC1FC3">
              <w:rPr>
                <w:b/>
                <w:bCs/>
                <w:sz w:val="22"/>
                <w:szCs w:val="22"/>
              </w:rPr>
              <w:t>Comp1</w:t>
            </w:r>
          </w:p>
        </w:tc>
        <w:tc>
          <w:tcPr>
            <w:tcW w:w="953" w:type="dxa"/>
            <w:tcBorders>
              <w:top w:val="single" w:sz="4" w:space="0" w:color="auto"/>
              <w:left w:val="nil"/>
              <w:bottom w:val="single" w:sz="4" w:space="0" w:color="auto"/>
              <w:right w:val="nil"/>
            </w:tcBorders>
            <w:vAlign w:val="center"/>
            <w:hideMark/>
          </w:tcPr>
          <w:p w14:paraId="4A73C445" w14:textId="77777777" w:rsidR="00736F61" w:rsidRPr="00CC1FC3" w:rsidRDefault="00736F61" w:rsidP="003F224E">
            <w:pPr>
              <w:spacing w:after="0" w:line="240" w:lineRule="auto"/>
              <w:jc w:val="center"/>
              <w:rPr>
                <w:b/>
                <w:bCs/>
                <w:sz w:val="22"/>
                <w:szCs w:val="22"/>
              </w:rPr>
            </w:pPr>
            <w:r w:rsidRPr="00CC1FC3">
              <w:rPr>
                <w:b/>
                <w:bCs/>
                <w:sz w:val="22"/>
                <w:szCs w:val="22"/>
              </w:rPr>
              <w:t>Comp2</w:t>
            </w:r>
          </w:p>
        </w:tc>
        <w:tc>
          <w:tcPr>
            <w:tcW w:w="953" w:type="dxa"/>
            <w:tcBorders>
              <w:top w:val="single" w:sz="4" w:space="0" w:color="auto"/>
              <w:left w:val="nil"/>
              <w:bottom w:val="single" w:sz="4" w:space="0" w:color="auto"/>
              <w:right w:val="nil"/>
            </w:tcBorders>
            <w:vAlign w:val="center"/>
            <w:hideMark/>
          </w:tcPr>
          <w:p w14:paraId="563D5B04" w14:textId="77777777" w:rsidR="00736F61" w:rsidRPr="00CC1FC3" w:rsidRDefault="00736F61" w:rsidP="003F224E">
            <w:pPr>
              <w:spacing w:after="0" w:line="240" w:lineRule="auto"/>
              <w:jc w:val="center"/>
              <w:rPr>
                <w:b/>
                <w:bCs/>
                <w:sz w:val="22"/>
                <w:szCs w:val="22"/>
              </w:rPr>
            </w:pPr>
            <w:r w:rsidRPr="00CC1FC3">
              <w:rPr>
                <w:b/>
                <w:bCs/>
                <w:sz w:val="22"/>
                <w:szCs w:val="22"/>
              </w:rPr>
              <w:t>Comp3</w:t>
            </w:r>
          </w:p>
        </w:tc>
        <w:tc>
          <w:tcPr>
            <w:tcW w:w="953" w:type="dxa"/>
            <w:tcBorders>
              <w:top w:val="single" w:sz="4" w:space="0" w:color="auto"/>
              <w:left w:val="nil"/>
              <w:bottom w:val="single" w:sz="4" w:space="0" w:color="auto"/>
              <w:right w:val="nil"/>
            </w:tcBorders>
            <w:vAlign w:val="center"/>
            <w:hideMark/>
          </w:tcPr>
          <w:p w14:paraId="0AD97B07" w14:textId="77777777" w:rsidR="00736F61" w:rsidRPr="00CC1FC3" w:rsidRDefault="00736F61" w:rsidP="003F224E">
            <w:pPr>
              <w:spacing w:after="0" w:line="240" w:lineRule="auto"/>
              <w:jc w:val="center"/>
              <w:rPr>
                <w:b/>
                <w:bCs/>
                <w:sz w:val="22"/>
                <w:szCs w:val="22"/>
              </w:rPr>
            </w:pPr>
            <w:r w:rsidRPr="00CC1FC3">
              <w:rPr>
                <w:b/>
                <w:bCs/>
                <w:sz w:val="22"/>
                <w:szCs w:val="22"/>
              </w:rPr>
              <w:t>Comp4</w:t>
            </w:r>
          </w:p>
        </w:tc>
        <w:tc>
          <w:tcPr>
            <w:tcW w:w="953" w:type="dxa"/>
            <w:tcBorders>
              <w:top w:val="single" w:sz="4" w:space="0" w:color="auto"/>
              <w:left w:val="nil"/>
              <w:bottom w:val="single" w:sz="4" w:space="0" w:color="auto"/>
              <w:right w:val="nil"/>
            </w:tcBorders>
            <w:vAlign w:val="center"/>
            <w:hideMark/>
          </w:tcPr>
          <w:p w14:paraId="54517576" w14:textId="77777777" w:rsidR="00736F61" w:rsidRPr="00CC1FC3" w:rsidRDefault="00736F61" w:rsidP="003F224E">
            <w:pPr>
              <w:spacing w:after="0" w:line="240" w:lineRule="auto"/>
              <w:jc w:val="center"/>
              <w:rPr>
                <w:b/>
                <w:bCs/>
                <w:sz w:val="22"/>
                <w:szCs w:val="22"/>
              </w:rPr>
            </w:pPr>
            <w:r w:rsidRPr="00CC1FC3">
              <w:rPr>
                <w:b/>
                <w:bCs/>
                <w:sz w:val="22"/>
                <w:szCs w:val="22"/>
              </w:rPr>
              <w:t>Comp5</w:t>
            </w:r>
          </w:p>
        </w:tc>
        <w:tc>
          <w:tcPr>
            <w:tcW w:w="953" w:type="dxa"/>
            <w:tcBorders>
              <w:top w:val="single" w:sz="4" w:space="0" w:color="auto"/>
              <w:left w:val="nil"/>
              <w:bottom w:val="single" w:sz="4" w:space="0" w:color="auto"/>
              <w:right w:val="nil"/>
            </w:tcBorders>
            <w:vAlign w:val="center"/>
            <w:hideMark/>
          </w:tcPr>
          <w:p w14:paraId="5414195E" w14:textId="77777777" w:rsidR="00736F61" w:rsidRPr="00CC1FC3" w:rsidRDefault="00736F61" w:rsidP="003F224E">
            <w:pPr>
              <w:spacing w:after="0" w:line="240" w:lineRule="auto"/>
              <w:jc w:val="center"/>
              <w:rPr>
                <w:b/>
                <w:bCs/>
                <w:sz w:val="22"/>
                <w:szCs w:val="22"/>
              </w:rPr>
            </w:pPr>
            <w:r w:rsidRPr="00CC1FC3">
              <w:rPr>
                <w:b/>
                <w:bCs/>
                <w:sz w:val="22"/>
                <w:szCs w:val="22"/>
              </w:rPr>
              <w:t>Comp6</w:t>
            </w:r>
          </w:p>
        </w:tc>
        <w:tc>
          <w:tcPr>
            <w:tcW w:w="1525" w:type="dxa"/>
            <w:tcBorders>
              <w:top w:val="single" w:sz="4" w:space="0" w:color="auto"/>
              <w:left w:val="nil"/>
              <w:bottom w:val="single" w:sz="4" w:space="0" w:color="auto"/>
              <w:right w:val="nil"/>
            </w:tcBorders>
            <w:vAlign w:val="center"/>
            <w:hideMark/>
          </w:tcPr>
          <w:p w14:paraId="221DFB66" w14:textId="77777777" w:rsidR="00736F61" w:rsidRPr="00CC1FC3" w:rsidRDefault="00736F61" w:rsidP="003F224E">
            <w:pPr>
              <w:spacing w:after="0" w:line="240" w:lineRule="auto"/>
              <w:jc w:val="center"/>
              <w:rPr>
                <w:b/>
                <w:bCs/>
                <w:sz w:val="22"/>
                <w:szCs w:val="22"/>
              </w:rPr>
            </w:pPr>
            <w:r w:rsidRPr="00CC1FC3">
              <w:rPr>
                <w:b/>
                <w:bCs/>
                <w:sz w:val="22"/>
                <w:szCs w:val="22"/>
              </w:rPr>
              <w:t>Unexplained</w:t>
            </w:r>
          </w:p>
        </w:tc>
        <w:tc>
          <w:tcPr>
            <w:tcW w:w="953" w:type="dxa"/>
            <w:tcBorders>
              <w:top w:val="single" w:sz="4" w:space="0" w:color="auto"/>
              <w:left w:val="nil"/>
              <w:bottom w:val="single" w:sz="4" w:space="0" w:color="auto"/>
              <w:right w:val="nil"/>
            </w:tcBorders>
            <w:vAlign w:val="center"/>
            <w:hideMark/>
          </w:tcPr>
          <w:p w14:paraId="73424022" w14:textId="77777777" w:rsidR="00736F61" w:rsidRPr="00CC1FC3" w:rsidRDefault="00736F61" w:rsidP="003F224E">
            <w:pPr>
              <w:spacing w:after="0" w:line="240" w:lineRule="auto"/>
              <w:jc w:val="center"/>
              <w:rPr>
                <w:b/>
                <w:bCs/>
                <w:sz w:val="22"/>
                <w:szCs w:val="22"/>
              </w:rPr>
            </w:pPr>
            <w:r w:rsidRPr="00CC1FC3">
              <w:rPr>
                <w:b/>
                <w:bCs/>
                <w:sz w:val="22"/>
                <w:szCs w:val="22"/>
              </w:rPr>
              <w:t>KMO</w:t>
            </w:r>
          </w:p>
        </w:tc>
      </w:tr>
      <w:tr w:rsidR="00736F61" w:rsidRPr="00CC1FC3" w14:paraId="48FCA832" w14:textId="77777777" w:rsidTr="005C3AFF">
        <w:trPr>
          <w:trHeight w:val="300"/>
        </w:trPr>
        <w:tc>
          <w:tcPr>
            <w:tcW w:w="1255" w:type="dxa"/>
            <w:tcBorders>
              <w:top w:val="single" w:sz="4" w:space="0" w:color="auto"/>
              <w:left w:val="nil"/>
              <w:bottom w:val="nil"/>
              <w:right w:val="nil"/>
            </w:tcBorders>
            <w:vAlign w:val="center"/>
            <w:hideMark/>
          </w:tcPr>
          <w:p w14:paraId="4707E2AA" w14:textId="77777777" w:rsidR="00736F61" w:rsidRPr="00CC1FC3" w:rsidRDefault="00736F61" w:rsidP="003F224E">
            <w:pPr>
              <w:spacing w:after="0"/>
              <w:rPr>
                <w:b/>
                <w:bCs/>
                <w:sz w:val="22"/>
                <w:szCs w:val="22"/>
              </w:rPr>
            </w:pPr>
            <w:r w:rsidRPr="00CC1FC3">
              <w:rPr>
                <w:b/>
                <w:bCs/>
                <w:sz w:val="22"/>
                <w:szCs w:val="22"/>
              </w:rPr>
              <w:t>RL</w:t>
            </w:r>
          </w:p>
        </w:tc>
        <w:tc>
          <w:tcPr>
            <w:tcW w:w="953" w:type="dxa"/>
            <w:tcBorders>
              <w:top w:val="single" w:sz="4" w:space="0" w:color="auto"/>
              <w:left w:val="nil"/>
              <w:bottom w:val="nil"/>
              <w:right w:val="nil"/>
            </w:tcBorders>
            <w:vAlign w:val="center"/>
            <w:hideMark/>
          </w:tcPr>
          <w:p w14:paraId="148F5CE4" w14:textId="77777777" w:rsidR="00736F61" w:rsidRPr="00CC1FC3" w:rsidRDefault="00736F61" w:rsidP="003F224E">
            <w:pPr>
              <w:spacing w:after="0"/>
              <w:jc w:val="center"/>
              <w:rPr>
                <w:sz w:val="22"/>
                <w:szCs w:val="22"/>
              </w:rPr>
            </w:pPr>
            <w:r w:rsidRPr="00CC1FC3">
              <w:rPr>
                <w:sz w:val="22"/>
                <w:szCs w:val="22"/>
              </w:rPr>
              <w:t>0.431</w:t>
            </w:r>
          </w:p>
        </w:tc>
        <w:tc>
          <w:tcPr>
            <w:tcW w:w="953" w:type="dxa"/>
            <w:tcBorders>
              <w:top w:val="single" w:sz="4" w:space="0" w:color="auto"/>
              <w:left w:val="nil"/>
              <w:bottom w:val="nil"/>
              <w:right w:val="nil"/>
            </w:tcBorders>
            <w:vAlign w:val="center"/>
            <w:hideMark/>
          </w:tcPr>
          <w:p w14:paraId="5AEB5518" w14:textId="77777777" w:rsidR="00736F61" w:rsidRPr="00CC1FC3" w:rsidRDefault="00736F61" w:rsidP="003F224E">
            <w:pPr>
              <w:spacing w:after="0"/>
              <w:jc w:val="center"/>
              <w:rPr>
                <w:sz w:val="22"/>
                <w:szCs w:val="22"/>
              </w:rPr>
            </w:pPr>
            <w:r w:rsidRPr="00CC1FC3">
              <w:rPr>
                <w:sz w:val="22"/>
                <w:szCs w:val="22"/>
              </w:rPr>
              <w:t>-0.077</w:t>
            </w:r>
          </w:p>
        </w:tc>
        <w:tc>
          <w:tcPr>
            <w:tcW w:w="953" w:type="dxa"/>
            <w:tcBorders>
              <w:top w:val="single" w:sz="4" w:space="0" w:color="auto"/>
              <w:left w:val="nil"/>
              <w:bottom w:val="nil"/>
              <w:right w:val="nil"/>
            </w:tcBorders>
            <w:vAlign w:val="center"/>
            <w:hideMark/>
          </w:tcPr>
          <w:p w14:paraId="112C5163" w14:textId="77777777" w:rsidR="00736F61" w:rsidRPr="00CC1FC3" w:rsidRDefault="00736F61" w:rsidP="003F224E">
            <w:pPr>
              <w:spacing w:after="0"/>
              <w:jc w:val="center"/>
              <w:rPr>
                <w:sz w:val="22"/>
                <w:szCs w:val="22"/>
              </w:rPr>
            </w:pPr>
            <w:r w:rsidRPr="00CC1FC3">
              <w:rPr>
                <w:sz w:val="22"/>
                <w:szCs w:val="22"/>
              </w:rPr>
              <w:t>-0.206</w:t>
            </w:r>
          </w:p>
        </w:tc>
        <w:tc>
          <w:tcPr>
            <w:tcW w:w="953" w:type="dxa"/>
            <w:tcBorders>
              <w:top w:val="single" w:sz="4" w:space="0" w:color="auto"/>
              <w:left w:val="nil"/>
              <w:bottom w:val="nil"/>
              <w:right w:val="nil"/>
            </w:tcBorders>
            <w:vAlign w:val="center"/>
            <w:hideMark/>
          </w:tcPr>
          <w:p w14:paraId="6C3B0A5E" w14:textId="77777777" w:rsidR="00736F61" w:rsidRPr="00CC1FC3" w:rsidRDefault="00736F61" w:rsidP="003F224E">
            <w:pPr>
              <w:spacing w:after="0"/>
              <w:jc w:val="center"/>
              <w:rPr>
                <w:sz w:val="22"/>
                <w:szCs w:val="22"/>
              </w:rPr>
            </w:pPr>
            <w:r w:rsidRPr="00CC1FC3">
              <w:rPr>
                <w:sz w:val="22"/>
                <w:szCs w:val="22"/>
              </w:rPr>
              <w:t>-0.127</w:t>
            </w:r>
          </w:p>
        </w:tc>
        <w:tc>
          <w:tcPr>
            <w:tcW w:w="953" w:type="dxa"/>
            <w:tcBorders>
              <w:top w:val="single" w:sz="4" w:space="0" w:color="auto"/>
              <w:left w:val="nil"/>
              <w:bottom w:val="nil"/>
              <w:right w:val="nil"/>
            </w:tcBorders>
            <w:vAlign w:val="center"/>
            <w:hideMark/>
          </w:tcPr>
          <w:p w14:paraId="3009BC53" w14:textId="77777777" w:rsidR="00736F61" w:rsidRPr="00CC1FC3" w:rsidRDefault="00736F61" w:rsidP="003F224E">
            <w:pPr>
              <w:spacing w:after="0"/>
              <w:jc w:val="center"/>
              <w:rPr>
                <w:sz w:val="22"/>
                <w:szCs w:val="22"/>
              </w:rPr>
            </w:pPr>
            <w:r w:rsidRPr="00CC1FC3">
              <w:rPr>
                <w:sz w:val="22"/>
                <w:szCs w:val="22"/>
              </w:rPr>
              <w:t>-0.100</w:t>
            </w:r>
          </w:p>
        </w:tc>
        <w:tc>
          <w:tcPr>
            <w:tcW w:w="953" w:type="dxa"/>
            <w:tcBorders>
              <w:top w:val="single" w:sz="4" w:space="0" w:color="auto"/>
              <w:left w:val="nil"/>
              <w:bottom w:val="nil"/>
              <w:right w:val="nil"/>
            </w:tcBorders>
            <w:vAlign w:val="center"/>
            <w:hideMark/>
          </w:tcPr>
          <w:p w14:paraId="008A7F84" w14:textId="77777777" w:rsidR="00736F61" w:rsidRPr="00CC1FC3" w:rsidRDefault="00736F61" w:rsidP="003F224E">
            <w:pPr>
              <w:spacing w:after="0"/>
              <w:jc w:val="center"/>
              <w:rPr>
                <w:sz w:val="22"/>
                <w:szCs w:val="22"/>
              </w:rPr>
            </w:pPr>
            <w:r w:rsidRPr="00CC1FC3">
              <w:rPr>
                <w:sz w:val="22"/>
                <w:szCs w:val="22"/>
              </w:rPr>
              <w:t>-0.860</w:t>
            </w:r>
          </w:p>
        </w:tc>
        <w:tc>
          <w:tcPr>
            <w:tcW w:w="1525" w:type="dxa"/>
            <w:tcBorders>
              <w:top w:val="single" w:sz="4" w:space="0" w:color="auto"/>
              <w:left w:val="nil"/>
              <w:bottom w:val="nil"/>
              <w:right w:val="nil"/>
            </w:tcBorders>
            <w:vAlign w:val="center"/>
            <w:hideMark/>
          </w:tcPr>
          <w:p w14:paraId="5C4AA9BE" w14:textId="77777777" w:rsidR="00736F61" w:rsidRPr="00CC1FC3" w:rsidRDefault="00736F61" w:rsidP="003F224E">
            <w:pPr>
              <w:spacing w:after="0"/>
              <w:jc w:val="center"/>
              <w:rPr>
                <w:sz w:val="22"/>
                <w:szCs w:val="22"/>
              </w:rPr>
            </w:pPr>
            <w:r w:rsidRPr="00CC1FC3">
              <w:rPr>
                <w:sz w:val="22"/>
                <w:szCs w:val="22"/>
              </w:rPr>
              <w:t>0</w:t>
            </w:r>
          </w:p>
        </w:tc>
        <w:tc>
          <w:tcPr>
            <w:tcW w:w="953" w:type="dxa"/>
            <w:tcBorders>
              <w:top w:val="single" w:sz="4" w:space="0" w:color="auto"/>
              <w:left w:val="nil"/>
              <w:bottom w:val="nil"/>
              <w:right w:val="nil"/>
            </w:tcBorders>
            <w:vAlign w:val="center"/>
            <w:hideMark/>
          </w:tcPr>
          <w:p w14:paraId="375EC01B" w14:textId="77777777" w:rsidR="00736F61" w:rsidRPr="00CC1FC3" w:rsidRDefault="00736F61" w:rsidP="003F224E">
            <w:pPr>
              <w:spacing w:after="0"/>
              <w:jc w:val="center"/>
              <w:rPr>
                <w:sz w:val="22"/>
                <w:szCs w:val="22"/>
              </w:rPr>
            </w:pPr>
            <w:r w:rsidRPr="00CC1FC3">
              <w:rPr>
                <w:sz w:val="22"/>
                <w:szCs w:val="22"/>
              </w:rPr>
              <w:t>0.877</w:t>
            </w:r>
          </w:p>
        </w:tc>
      </w:tr>
      <w:tr w:rsidR="00736F61" w:rsidRPr="00CC1FC3" w14:paraId="56E1A021" w14:textId="77777777" w:rsidTr="005C3AFF">
        <w:trPr>
          <w:trHeight w:val="300"/>
        </w:trPr>
        <w:tc>
          <w:tcPr>
            <w:tcW w:w="1255" w:type="dxa"/>
            <w:tcBorders>
              <w:top w:val="nil"/>
              <w:left w:val="nil"/>
              <w:bottom w:val="nil"/>
              <w:right w:val="nil"/>
            </w:tcBorders>
            <w:vAlign w:val="center"/>
            <w:hideMark/>
          </w:tcPr>
          <w:p w14:paraId="1FCD5E95" w14:textId="77777777" w:rsidR="00736F61" w:rsidRPr="00CC1FC3" w:rsidRDefault="00736F61" w:rsidP="003F224E">
            <w:pPr>
              <w:spacing w:after="0"/>
              <w:rPr>
                <w:b/>
                <w:bCs/>
                <w:sz w:val="22"/>
                <w:szCs w:val="22"/>
              </w:rPr>
            </w:pPr>
            <w:r w:rsidRPr="00CC1FC3">
              <w:rPr>
                <w:b/>
                <w:bCs/>
                <w:sz w:val="22"/>
                <w:szCs w:val="22"/>
              </w:rPr>
              <w:t>VA</w:t>
            </w:r>
          </w:p>
        </w:tc>
        <w:tc>
          <w:tcPr>
            <w:tcW w:w="953" w:type="dxa"/>
            <w:tcBorders>
              <w:top w:val="nil"/>
              <w:left w:val="nil"/>
              <w:bottom w:val="nil"/>
              <w:right w:val="nil"/>
            </w:tcBorders>
            <w:vAlign w:val="center"/>
            <w:hideMark/>
          </w:tcPr>
          <w:p w14:paraId="24B23A7F" w14:textId="77777777" w:rsidR="00736F61" w:rsidRPr="00CC1FC3" w:rsidRDefault="00736F61" w:rsidP="003F224E">
            <w:pPr>
              <w:spacing w:after="0"/>
              <w:jc w:val="center"/>
              <w:rPr>
                <w:sz w:val="22"/>
                <w:szCs w:val="22"/>
              </w:rPr>
            </w:pPr>
            <w:r w:rsidRPr="00CC1FC3">
              <w:rPr>
                <w:sz w:val="22"/>
                <w:szCs w:val="22"/>
              </w:rPr>
              <w:t>0.378</w:t>
            </w:r>
          </w:p>
        </w:tc>
        <w:tc>
          <w:tcPr>
            <w:tcW w:w="953" w:type="dxa"/>
            <w:tcBorders>
              <w:top w:val="nil"/>
              <w:left w:val="nil"/>
              <w:bottom w:val="nil"/>
              <w:right w:val="nil"/>
            </w:tcBorders>
            <w:vAlign w:val="center"/>
            <w:hideMark/>
          </w:tcPr>
          <w:p w14:paraId="647ACEBC" w14:textId="77777777" w:rsidR="00736F61" w:rsidRPr="00CC1FC3" w:rsidRDefault="00736F61" w:rsidP="003F224E">
            <w:pPr>
              <w:spacing w:after="0"/>
              <w:jc w:val="center"/>
              <w:rPr>
                <w:sz w:val="22"/>
                <w:szCs w:val="22"/>
              </w:rPr>
            </w:pPr>
            <w:r w:rsidRPr="00CC1FC3">
              <w:rPr>
                <w:sz w:val="22"/>
                <w:szCs w:val="22"/>
              </w:rPr>
              <w:t>-0.382</w:t>
            </w:r>
          </w:p>
        </w:tc>
        <w:tc>
          <w:tcPr>
            <w:tcW w:w="953" w:type="dxa"/>
            <w:tcBorders>
              <w:top w:val="nil"/>
              <w:left w:val="nil"/>
              <w:bottom w:val="nil"/>
              <w:right w:val="nil"/>
            </w:tcBorders>
            <w:vAlign w:val="center"/>
            <w:hideMark/>
          </w:tcPr>
          <w:p w14:paraId="5659EFC4" w14:textId="77777777" w:rsidR="00736F61" w:rsidRPr="00CC1FC3" w:rsidRDefault="00736F61" w:rsidP="003F224E">
            <w:pPr>
              <w:spacing w:after="0"/>
              <w:jc w:val="center"/>
              <w:rPr>
                <w:sz w:val="22"/>
                <w:szCs w:val="22"/>
              </w:rPr>
            </w:pPr>
            <w:r w:rsidRPr="00CC1FC3">
              <w:rPr>
                <w:sz w:val="22"/>
                <w:szCs w:val="22"/>
              </w:rPr>
              <w:t>0.827</w:t>
            </w:r>
          </w:p>
        </w:tc>
        <w:tc>
          <w:tcPr>
            <w:tcW w:w="953" w:type="dxa"/>
            <w:tcBorders>
              <w:top w:val="nil"/>
              <w:left w:val="nil"/>
              <w:bottom w:val="nil"/>
              <w:right w:val="nil"/>
            </w:tcBorders>
            <w:vAlign w:val="center"/>
            <w:hideMark/>
          </w:tcPr>
          <w:p w14:paraId="53501A81" w14:textId="77777777" w:rsidR="00736F61" w:rsidRPr="00CC1FC3" w:rsidRDefault="00736F61" w:rsidP="003F224E">
            <w:pPr>
              <w:spacing w:after="0"/>
              <w:jc w:val="center"/>
              <w:rPr>
                <w:sz w:val="22"/>
                <w:szCs w:val="22"/>
              </w:rPr>
            </w:pPr>
            <w:r w:rsidRPr="00CC1FC3">
              <w:rPr>
                <w:sz w:val="22"/>
                <w:szCs w:val="22"/>
              </w:rPr>
              <w:t>-0.034</w:t>
            </w:r>
          </w:p>
        </w:tc>
        <w:tc>
          <w:tcPr>
            <w:tcW w:w="953" w:type="dxa"/>
            <w:tcBorders>
              <w:top w:val="nil"/>
              <w:left w:val="nil"/>
              <w:bottom w:val="nil"/>
              <w:right w:val="nil"/>
            </w:tcBorders>
            <w:vAlign w:val="center"/>
            <w:hideMark/>
          </w:tcPr>
          <w:p w14:paraId="43159AB5" w14:textId="77777777" w:rsidR="00736F61" w:rsidRPr="00CC1FC3" w:rsidRDefault="00736F61" w:rsidP="003F224E">
            <w:pPr>
              <w:spacing w:after="0"/>
              <w:jc w:val="center"/>
              <w:rPr>
                <w:sz w:val="22"/>
                <w:szCs w:val="22"/>
              </w:rPr>
            </w:pPr>
            <w:r w:rsidRPr="00CC1FC3">
              <w:rPr>
                <w:sz w:val="22"/>
                <w:szCs w:val="22"/>
              </w:rPr>
              <w:t>0.162</w:t>
            </w:r>
          </w:p>
        </w:tc>
        <w:tc>
          <w:tcPr>
            <w:tcW w:w="953" w:type="dxa"/>
            <w:tcBorders>
              <w:top w:val="nil"/>
              <w:left w:val="nil"/>
              <w:bottom w:val="nil"/>
              <w:right w:val="nil"/>
            </w:tcBorders>
            <w:vAlign w:val="center"/>
            <w:hideMark/>
          </w:tcPr>
          <w:p w14:paraId="2EDCF569" w14:textId="77777777" w:rsidR="00736F61" w:rsidRPr="00CC1FC3" w:rsidRDefault="00736F61" w:rsidP="003F224E">
            <w:pPr>
              <w:spacing w:after="0"/>
              <w:jc w:val="center"/>
              <w:rPr>
                <w:sz w:val="22"/>
                <w:szCs w:val="22"/>
              </w:rPr>
            </w:pPr>
            <w:r w:rsidRPr="00CC1FC3">
              <w:rPr>
                <w:sz w:val="22"/>
                <w:szCs w:val="22"/>
              </w:rPr>
              <w:t>0.011</w:t>
            </w:r>
          </w:p>
        </w:tc>
        <w:tc>
          <w:tcPr>
            <w:tcW w:w="1525" w:type="dxa"/>
            <w:tcBorders>
              <w:top w:val="nil"/>
              <w:left w:val="nil"/>
              <w:bottom w:val="nil"/>
              <w:right w:val="nil"/>
            </w:tcBorders>
            <w:vAlign w:val="center"/>
            <w:hideMark/>
          </w:tcPr>
          <w:p w14:paraId="6DBF86F2" w14:textId="77777777" w:rsidR="00736F61" w:rsidRPr="00CC1FC3" w:rsidRDefault="00736F61" w:rsidP="003F224E">
            <w:pPr>
              <w:spacing w:after="0"/>
              <w:jc w:val="center"/>
              <w:rPr>
                <w:sz w:val="22"/>
                <w:szCs w:val="22"/>
              </w:rPr>
            </w:pPr>
            <w:r w:rsidRPr="00CC1FC3">
              <w:rPr>
                <w:sz w:val="22"/>
                <w:szCs w:val="22"/>
              </w:rPr>
              <w:t>0</w:t>
            </w:r>
          </w:p>
        </w:tc>
        <w:tc>
          <w:tcPr>
            <w:tcW w:w="953" w:type="dxa"/>
            <w:tcBorders>
              <w:top w:val="nil"/>
              <w:left w:val="nil"/>
              <w:bottom w:val="nil"/>
              <w:right w:val="nil"/>
            </w:tcBorders>
            <w:vAlign w:val="center"/>
            <w:hideMark/>
          </w:tcPr>
          <w:p w14:paraId="67A8EEE4" w14:textId="77777777" w:rsidR="00736F61" w:rsidRPr="00CC1FC3" w:rsidRDefault="00736F61" w:rsidP="003F224E">
            <w:pPr>
              <w:spacing w:after="0"/>
              <w:jc w:val="center"/>
              <w:rPr>
                <w:sz w:val="22"/>
                <w:szCs w:val="22"/>
              </w:rPr>
            </w:pPr>
            <w:r w:rsidRPr="00CC1FC3">
              <w:rPr>
                <w:sz w:val="22"/>
                <w:szCs w:val="22"/>
              </w:rPr>
              <w:t>0.918</w:t>
            </w:r>
          </w:p>
        </w:tc>
      </w:tr>
      <w:tr w:rsidR="00736F61" w:rsidRPr="00CC1FC3" w14:paraId="36A271C8" w14:textId="77777777" w:rsidTr="005C3AFF">
        <w:trPr>
          <w:trHeight w:val="300"/>
        </w:trPr>
        <w:tc>
          <w:tcPr>
            <w:tcW w:w="1255" w:type="dxa"/>
            <w:tcBorders>
              <w:top w:val="nil"/>
              <w:left w:val="nil"/>
              <w:bottom w:val="nil"/>
              <w:right w:val="nil"/>
            </w:tcBorders>
            <w:vAlign w:val="center"/>
            <w:hideMark/>
          </w:tcPr>
          <w:p w14:paraId="28C90322" w14:textId="77777777" w:rsidR="00736F61" w:rsidRPr="00CC1FC3" w:rsidRDefault="00736F61" w:rsidP="003F224E">
            <w:pPr>
              <w:spacing w:after="0"/>
              <w:rPr>
                <w:b/>
                <w:bCs/>
                <w:sz w:val="22"/>
                <w:szCs w:val="22"/>
              </w:rPr>
            </w:pPr>
            <w:r w:rsidRPr="00CC1FC3">
              <w:rPr>
                <w:b/>
                <w:bCs/>
                <w:sz w:val="22"/>
                <w:szCs w:val="22"/>
              </w:rPr>
              <w:t>RQ</w:t>
            </w:r>
          </w:p>
        </w:tc>
        <w:tc>
          <w:tcPr>
            <w:tcW w:w="953" w:type="dxa"/>
            <w:tcBorders>
              <w:top w:val="nil"/>
              <w:left w:val="nil"/>
              <w:bottom w:val="nil"/>
              <w:right w:val="nil"/>
            </w:tcBorders>
            <w:vAlign w:val="center"/>
            <w:hideMark/>
          </w:tcPr>
          <w:p w14:paraId="4289ED78" w14:textId="77777777" w:rsidR="00736F61" w:rsidRPr="00CC1FC3" w:rsidRDefault="00736F61" w:rsidP="003F224E">
            <w:pPr>
              <w:spacing w:after="0"/>
              <w:jc w:val="center"/>
              <w:rPr>
                <w:sz w:val="22"/>
                <w:szCs w:val="22"/>
              </w:rPr>
            </w:pPr>
            <w:r w:rsidRPr="00CC1FC3">
              <w:rPr>
                <w:sz w:val="22"/>
                <w:szCs w:val="22"/>
              </w:rPr>
              <w:t>0.423</w:t>
            </w:r>
          </w:p>
        </w:tc>
        <w:tc>
          <w:tcPr>
            <w:tcW w:w="953" w:type="dxa"/>
            <w:tcBorders>
              <w:top w:val="nil"/>
              <w:left w:val="nil"/>
              <w:bottom w:val="nil"/>
              <w:right w:val="nil"/>
            </w:tcBorders>
            <w:vAlign w:val="center"/>
            <w:hideMark/>
          </w:tcPr>
          <w:p w14:paraId="4067DE53" w14:textId="77777777" w:rsidR="00736F61" w:rsidRPr="00CC1FC3" w:rsidRDefault="00736F61" w:rsidP="003F224E">
            <w:pPr>
              <w:spacing w:after="0"/>
              <w:jc w:val="center"/>
              <w:rPr>
                <w:sz w:val="22"/>
                <w:szCs w:val="22"/>
              </w:rPr>
            </w:pPr>
            <w:r w:rsidRPr="00CC1FC3">
              <w:rPr>
                <w:sz w:val="22"/>
                <w:szCs w:val="22"/>
              </w:rPr>
              <w:t>-0.231</w:t>
            </w:r>
          </w:p>
        </w:tc>
        <w:tc>
          <w:tcPr>
            <w:tcW w:w="953" w:type="dxa"/>
            <w:tcBorders>
              <w:top w:val="nil"/>
              <w:left w:val="nil"/>
              <w:bottom w:val="nil"/>
              <w:right w:val="nil"/>
            </w:tcBorders>
            <w:vAlign w:val="center"/>
            <w:hideMark/>
          </w:tcPr>
          <w:p w14:paraId="6BC8E5CC" w14:textId="77777777" w:rsidR="00736F61" w:rsidRPr="00CC1FC3" w:rsidRDefault="00736F61" w:rsidP="003F224E">
            <w:pPr>
              <w:spacing w:after="0"/>
              <w:jc w:val="center"/>
              <w:rPr>
                <w:sz w:val="22"/>
                <w:szCs w:val="22"/>
              </w:rPr>
            </w:pPr>
            <w:r w:rsidRPr="00CC1FC3">
              <w:rPr>
                <w:sz w:val="22"/>
                <w:szCs w:val="22"/>
              </w:rPr>
              <w:t>-0.169</w:t>
            </w:r>
          </w:p>
        </w:tc>
        <w:tc>
          <w:tcPr>
            <w:tcW w:w="953" w:type="dxa"/>
            <w:tcBorders>
              <w:top w:val="nil"/>
              <w:left w:val="nil"/>
              <w:bottom w:val="nil"/>
              <w:right w:val="nil"/>
            </w:tcBorders>
            <w:vAlign w:val="center"/>
            <w:hideMark/>
          </w:tcPr>
          <w:p w14:paraId="1524C689" w14:textId="77777777" w:rsidR="00736F61" w:rsidRPr="00CC1FC3" w:rsidRDefault="00736F61" w:rsidP="003F224E">
            <w:pPr>
              <w:spacing w:after="0"/>
              <w:jc w:val="center"/>
              <w:rPr>
                <w:sz w:val="22"/>
                <w:szCs w:val="22"/>
              </w:rPr>
            </w:pPr>
            <w:r w:rsidRPr="00CC1FC3">
              <w:rPr>
                <w:sz w:val="22"/>
                <w:szCs w:val="22"/>
              </w:rPr>
              <w:t>0.606</w:t>
            </w:r>
          </w:p>
        </w:tc>
        <w:tc>
          <w:tcPr>
            <w:tcW w:w="953" w:type="dxa"/>
            <w:tcBorders>
              <w:top w:val="nil"/>
              <w:left w:val="nil"/>
              <w:bottom w:val="nil"/>
              <w:right w:val="nil"/>
            </w:tcBorders>
            <w:vAlign w:val="center"/>
            <w:hideMark/>
          </w:tcPr>
          <w:p w14:paraId="3EE14053" w14:textId="77777777" w:rsidR="00736F61" w:rsidRPr="00CC1FC3" w:rsidRDefault="00736F61" w:rsidP="003F224E">
            <w:pPr>
              <w:spacing w:after="0"/>
              <w:jc w:val="center"/>
              <w:rPr>
                <w:sz w:val="22"/>
                <w:szCs w:val="22"/>
              </w:rPr>
            </w:pPr>
            <w:r w:rsidRPr="00CC1FC3">
              <w:rPr>
                <w:sz w:val="22"/>
                <w:szCs w:val="22"/>
              </w:rPr>
              <w:t>-0.557</w:t>
            </w:r>
          </w:p>
        </w:tc>
        <w:tc>
          <w:tcPr>
            <w:tcW w:w="953" w:type="dxa"/>
            <w:tcBorders>
              <w:top w:val="nil"/>
              <w:left w:val="nil"/>
              <w:bottom w:val="nil"/>
              <w:right w:val="nil"/>
            </w:tcBorders>
            <w:vAlign w:val="center"/>
            <w:hideMark/>
          </w:tcPr>
          <w:p w14:paraId="626D7FB9" w14:textId="77777777" w:rsidR="00736F61" w:rsidRPr="00CC1FC3" w:rsidRDefault="00736F61" w:rsidP="003F224E">
            <w:pPr>
              <w:spacing w:after="0"/>
              <w:jc w:val="center"/>
              <w:rPr>
                <w:sz w:val="22"/>
                <w:szCs w:val="22"/>
              </w:rPr>
            </w:pPr>
            <w:r w:rsidRPr="00CC1FC3">
              <w:rPr>
                <w:sz w:val="22"/>
                <w:szCs w:val="22"/>
              </w:rPr>
              <w:t>0.248</w:t>
            </w:r>
          </w:p>
        </w:tc>
        <w:tc>
          <w:tcPr>
            <w:tcW w:w="1525" w:type="dxa"/>
            <w:tcBorders>
              <w:top w:val="nil"/>
              <w:left w:val="nil"/>
              <w:bottom w:val="nil"/>
              <w:right w:val="nil"/>
            </w:tcBorders>
            <w:vAlign w:val="center"/>
            <w:hideMark/>
          </w:tcPr>
          <w:p w14:paraId="1DC9D8AA" w14:textId="77777777" w:rsidR="00736F61" w:rsidRPr="00CC1FC3" w:rsidRDefault="00736F61" w:rsidP="003F224E">
            <w:pPr>
              <w:spacing w:after="0"/>
              <w:jc w:val="center"/>
              <w:rPr>
                <w:sz w:val="22"/>
                <w:szCs w:val="22"/>
              </w:rPr>
            </w:pPr>
            <w:r w:rsidRPr="00CC1FC3">
              <w:rPr>
                <w:sz w:val="22"/>
                <w:szCs w:val="22"/>
              </w:rPr>
              <w:t>0</w:t>
            </w:r>
          </w:p>
        </w:tc>
        <w:tc>
          <w:tcPr>
            <w:tcW w:w="953" w:type="dxa"/>
            <w:tcBorders>
              <w:top w:val="nil"/>
              <w:left w:val="nil"/>
              <w:bottom w:val="nil"/>
              <w:right w:val="nil"/>
            </w:tcBorders>
            <w:vAlign w:val="center"/>
            <w:hideMark/>
          </w:tcPr>
          <w:p w14:paraId="6389C048" w14:textId="77777777" w:rsidR="00736F61" w:rsidRPr="00CC1FC3" w:rsidRDefault="00736F61" w:rsidP="003F224E">
            <w:pPr>
              <w:spacing w:after="0"/>
              <w:jc w:val="center"/>
              <w:rPr>
                <w:sz w:val="22"/>
                <w:szCs w:val="22"/>
              </w:rPr>
            </w:pPr>
            <w:r w:rsidRPr="00CC1FC3">
              <w:rPr>
                <w:sz w:val="22"/>
                <w:szCs w:val="22"/>
              </w:rPr>
              <w:t>0.887</w:t>
            </w:r>
          </w:p>
        </w:tc>
      </w:tr>
      <w:tr w:rsidR="00736F61" w:rsidRPr="00CC1FC3" w14:paraId="42C5A4D6" w14:textId="77777777" w:rsidTr="005C3AFF">
        <w:trPr>
          <w:trHeight w:val="300"/>
        </w:trPr>
        <w:tc>
          <w:tcPr>
            <w:tcW w:w="1255" w:type="dxa"/>
            <w:tcBorders>
              <w:top w:val="nil"/>
              <w:left w:val="nil"/>
              <w:bottom w:val="nil"/>
              <w:right w:val="nil"/>
            </w:tcBorders>
            <w:vAlign w:val="center"/>
            <w:hideMark/>
          </w:tcPr>
          <w:p w14:paraId="10F3E784" w14:textId="77777777" w:rsidR="00736F61" w:rsidRPr="00CC1FC3" w:rsidRDefault="00736F61" w:rsidP="003F224E">
            <w:pPr>
              <w:spacing w:after="0"/>
              <w:rPr>
                <w:b/>
                <w:bCs/>
                <w:sz w:val="22"/>
                <w:szCs w:val="22"/>
              </w:rPr>
            </w:pPr>
            <w:r w:rsidRPr="00CC1FC3">
              <w:rPr>
                <w:b/>
                <w:bCs/>
                <w:sz w:val="22"/>
                <w:szCs w:val="22"/>
              </w:rPr>
              <w:t>GF</w:t>
            </w:r>
          </w:p>
        </w:tc>
        <w:tc>
          <w:tcPr>
            <w:tcW w:w="953" w:type="dxa"/>
            <w:tcBorders>
              <w:top w:val="nil"/>
              <w:left w:val="nil"/>
              <w:bottom w:val="nil"/>
              <w:right w:val="nil"/>
            </w:tcBorders>
            <w:vAlign w:val="center"/>
            <w:hideMark/>
          </w:tcPr>
          <w:p w14:paraId="78056EF8" w14:textId="77777777" w:rsidR="00736F61" w:rsidRPr="00CC1FC3" w:rsidRDefault="00736F61" w:rsidP="003F224E">
            <w:pPr>
              <w:spacing w:after="0"/>
              <w:jc w:val="center"/>
              <w:rPr>
                <w:sz w:val="22"/>
                <w:szCs w:val="22"/>
              </w:rPr>
            </w:pPr>
            <w:r w:rsidRPr="00CC1FC3">
              <w:rPr>
                <w:sz w:val="22"/>
                <w:szCs w:val="22"/>
              </w:rPr>
              <w:t>0.424</w:t>
            </w:r>
          </w:p>
        </w:tc>
        <w:tc>
          <w:tcPr>
            <w:tcW w:w="953" w:type="dxa"/>
            <w:tcBorders>
              <w:top w:val="nil"/>
              <w:left w:val="nil"/>
              <w:bottom w:val="nil"/>
              <w:right w:val="nil"/>
            </w:tcBorders>
            <w:vAlign w:val="center"/>
            <w:hideMark/>
          </w:tcPr>
          <w:p w14:paraId="037F0CE5" w14:textId="77777777" w:rsidR="00736F61" w:rsidRPr="00CC1FC3" w:rsidRDefault="00736F61" w:rsidP="003F224E">
            <w:pPr>
              <w:spacing w:after="0"/>
              <w:jc w:val="center"/>
              <w:rPr>
                <w:sz w:val="22"/>
                <w:szCs w:val="22"/>
              </w:rPr>
            </w:pPr>
            <w:r w:rsidRPr="00CC1FC3">
              <w:rPr>
                <w:sz w:val="22"/>
                <w:szCs w:val="22"/>
              </w:rPr>
              <w:t>-0.034</w:t>
            </w:r>
          </w:p>
        </w:tc>
        <w:tc>
          <w:tcPr>
            <w:tcW w:w="953" w:type="dxa"/>
            <w:tcBorders>
              <w:top w:val="nil"/>
              <w:left w:val="nil"/>
              <w:bottom w:val="nil"/>
              <w:right w:val="nil"/>
            </w:tcBorders>
            <w:vAlign w:val="center"/>
            <w:hideMark/>
          </w:tcPr>
          <w:p w14:paraId="3C1E56C7" w14:textId="77777777" w:rsidR="00736F61" w:rsidRPr="00CC1FC3" w:rsidRDefault="00736F61" w:rsidP="003F224E">
            <w:pPr>
              <w:spacing w:after="0"/>
              <w:jc w:val="center"/>
              <w:rPr>
                <w:sz w:val="22"/>
                <w:szCs w:val="22"/>
              </w:rPr>
            </w:pPr>
            <w:r w:rsidRPr="00CC1FC3">
              <w:rPr>
                <w:sz w:val="22"/>
                <w:szCs w:val="22"/>
              </w:rPr>
              <w:t>-0.354</w:t>
            </w:r>
          </w:p>
        </w:tc>
        <w:tc>
          <w:tcPr>
            <w:tcW w:w="953" w:type="dxa"/>
            <w:tcBorders>
              <w:top w:val="nil"/>
              <w:left w:val="nil"/>
              <w:bottom w:val="nil"/>
              <w:right w:val="nil"/>
            </w:tcBorders>
            <w:vAlign w:val="center"/>
            <w:hideMark/>
          </w:tcPr>
          <w:p w14:paraId="72F3E2DC" w14:textId="77777777" w:rsidR="00736F61" w:rsidRPr="00CC1FC3" w:rsidRDefault="00736F61" w:rsidP="003F224E">
            <w:pPr>
              <w:spacing w:after="0"/>
              <w:jc w:val="center"/>
              <w:rPr>
                <w:sz w:val="22"/>
                <w:szCs w:val="22"/>
              </w:rPr>
            </w:pPr>
            <w:r w:rsidRPr="00CC1FC3">
              <w:rPr>
                <w:sz w:val="22"/>
                <w:szCs w:val="22"/>
              </w:rPr>
              <w:t>0.238</w:t>
            </w:r>
          </w:p>
        </w:tc>
        <w:tc>
          <w:tcPr>
            <w:tcW w:w="953" w:type="dxa"/>
            <w:tcBorders>
              <w:top w:val="nil"/>
              <w:left w:val="nil"/>
              <w:bottom w:val="nil"/>
              <w:right w:val="nil"/>
            </w:tcBorders>
            <w:vAlign w:val="center"/>
            <w:hideMark/>
          </w:tcPr>
          <w:p w14:paraId="11531892" w14:textId="77777777" w:rsidR="00736F61" w:rsidRPr="00CC1FC3" w:rsidRDefault="00736F61" w:rsidP="003F224E">
            <w:pPr>
              <w:spacing w:after="0"/>
              <w:jc w:val="center"/>
              <w:rPr>
                <w:sz w:val="22"/>
                <w:szCs w:val="22"/>
              </w:rPr>
            </w:pPr>
            <w:r w:rsidRPr="00CC1FC3">
              <w:rPr>
                <w:sz w:val="22"/>
                <w:szCs w:val="22"/>
              </w:rPr>
              <w:t>0.779</w:t>
            </w:r>
          </w:p>
        </w:tc>
        <w:tc>
          <w:tcPr>
            <w:tcW w:w="953" w:type="dxa"/>
            <w:tcBorders>
              <w:top w:val="nil"/>
              <w:left w:val="nil"/>
              <w:bottom w:val="nil"/>
              <w:right w:val="nil"/>
            </w:tcBorders>
            <w:vAlign w:val="center"/>
            <w:hideMark/>
          </w:tcPr>
          <w:p w14:paraId="3BE25C40" w14:textId="77777777" w:rsidR="00736F61" w:rsidRPr="00CC1FC3" w:rsidRDefault="00736F61" w:rsidP="003F224E">
            <w:pPr>
              <w:spacing w:after="0"/>
              <w:jc w:val="center"/>
              <w:rPr>
                <w:sz w:val="22"/>
                <w:szCs w:val="22"/>
              </w:rPr>
            </w:pPr>
            <w:r w:rsidRPr="00CC1FC3">
              <w:rPr>
                <w:sz w:val="22"/>
                <w:szCs w:val="22"/>
              </w:rPr>
              <w:t>0.174</w:t>
            </w:r>
          </w:p>
        </w:tc>
        <w:tc>
          <w:tcPr>
            <w:tcW w:w="1525" w:type="dxa"/>
            <w:tcBorders>
              <w:top w:val="nil"/>
              <w:left w:val="nil"/>
              <w:bottom w:val="nil"/>
              <w:right w:val="nil"/>
            </w:tcBorders>
            <w:vAlign w:val="center"/>
            <w:hideMark/>
          </w:tcPr>
          <w:p w14:paraId="75F9DA77" w14:textId="77777777" w:rsidR="00736F61" w:rsidRPr="00CC1FC3" w:rsidRDefault="00736F61" w:rsidP="003F224E">
            <w:pPr>
              <w:spacing w:after="0"/>
              <w:jc w:val="center"/>
              <w:rPr>
                <w:sz w:val="22"/>
                <w:szCs w:val="22"/>
              </w:rPr>
            </w:pPr>
            <w:r w:rsidRPr="00CC1FC3">
              <w:rPr>
                <w:sz w:val="22"/>
                <w:szCs w:val="22"/>
              </w:rPr>
              <w:t>0</w:t>
            </w:r>
          </w:p>
        </w:tc>
        <w:tc>
          <w:tcPr>
            <w:tcW w:w="953" w:type="dxa"/>
            <w:tcBorders>
              <w:top w:val="nil"/>
              <w:left w:val="nil"/>
              <w:bottom w:val="nil"/>
              <w:right w:val="nil"/>
            </w:tcBorders>
            <w:vAlign w:val="center"/>
            <w:hideMark/>
          </w:tcPr>
          <w:p w14:paraId="0D3EF18F" w14:textId="77777777" w:rsidR="00736F61" w:rsidRPr="00CC1FC3" w:rsidRDefault="00736F61" w:rsidP="003F224E">
            <w:pPr>
              <w:spacing w:after="0"/>
              <w:jc w:val="center"/>
              <w:rPr>
                <w:sz w:val="22"/>
                <w:szCs w:val="22"/>
              </w:rPr>
            </w:pPr>
            <w:r w:rsidRPr="00CC1FC3">
              <w:rPr>
                <w:sz w:val="22"/>
                <w:szCs w:val="22"/>
              </w:rPr>
              <w:t>0.890</w:t>
            </w:r>
          </w:p>
        </w:tc>
      </w:tr>
      <w:tr w:rsidR="00736F61" w:rsidRPr="00CC1FC3" w14:paraId="4657ABA1" w14:textId="77777777" w:rsidTr="005C3AFF">
        <w:trPr>
          <w:trHeight w:val="300"/>
        </w:trPr>
        <w:tc>
          <w:tcPr>
            <w:tcW w:w="1255" w:type="dxa"/>
            <w:tcBorders>
              <w:top w:val="nil"/>
              <w:left w:val="nil"/>
              <w:bottom w:val="nil"/>
              <w:right w:val="nil"/>
            </w:tcBorders>
            <w:vAlign w:val="center"/>
            <w:hideMark/>
          </w:tcPr>
          <w:p w14:paraId="33516DD3" w14:textId="77777777" w:rsidR="00736F61" w:rsidRPr="00CC1FC3" w:rsidRDefault="00736F61" w:rsidP="003F224E">
            <w:pPr>
              <w:spacing w:after="0"/>
              <w:rPr>
                <w:b/>
                <w:bCs/>
                <w:sz w:val="22"/>
                <w:szCs w:val="22"/>
              </w:rPr>
            </w:pPr>
            <w:r w:rsidRPr="00CC1FC3">
              <w:rPr>
                <w:b/>
                <w:bCs/>
                <w:sz w:val="22"/>
                <w:szCs w:val="22"/>
              </w:rPr>
              <w:t>CC</w:t>
            </w:r>
          </w:p>
        </w:tc>
        <w:tc>
          <w:tcPr>
            <w:tcW w:w="953" w:type="dxa"/>
            <w:tcBorders>
              <w:top w:val="nil"/>
              <w:left w:val="nil"/>
              <w:bottom w:val="nil"/>
              <w:right w:val="nil"/>
            </w:tcBorders>
            <w:vAlign w:val="center"/>
            <w:hideMark/>
          </w:tcPr>
          <w:p w14:paraId="55EF0773" w14:textId="77777777" w:rsidR="00736F61" w:rsidRPr="00CC1FC3" w:rsidRDefault="00736F61" w:rsidP="003F224E">
            <w:pPr>
              <w:spacing w:after="0"/>
              <w:jc w:val="center"/>
              <w:rPr>
                <w:sz w:val="22"/>
                <w:szCs w:val="22"/>
              </w:rPr>
            </w:pPr>
            <w:r w:rsidRPr="00CC1FC3">
              <w:rPr>
                <w:sz w:val="22"/>
                <w:szCs w:val="22"/>
              </w:rPr>
              <w:t>0.423</w:t>
            </w:r>
          </w:p>
        </w:tc>
        <w:tc>
          <w:tcPr>
            <w:tcW w:w="953" w:type="dxa"/>
            <w:tcBorders>
              <w:top w:val="nil"/>
              <w:left w:val="nil"/>
              <w:bottom w:val="nil"/>
              <w:right w:val="nil"/>
            </w:tcBorders>
            <w:vAlign w:val="center"/>
            <w:hideMark/>
          </w:tcPr>
          <w:p w14:paraId="4DFDB1C6" w14:textId="77777777" w:rsidR="00736F61" w:rsidRPr="00CC1FC3" w:rsidRDefault="00736F61" w:rsidP="003F224E">
            <w:pPr>
              <w:spacing w:after="0"/>
              <w:jc w:val="center"/>
              <w:rPr>
                <w:sz w:val="22"/>
                <w:szCs w:val="22"/>
              </w:rPr>
            </w:pPr>
            <w:r w:rsidRPr="00CC1FC3">
              <w:rPr>
                <w:sz w:val="22"/>
                <w:szCs w:val="22"/>
              </w:rPr>
              <w:t>-0.087</w:t>
            </w:r>
          </w:p>
        </w:tc>
        <w:tc>
          <w:tcPr>
            <w:tcW w:w="953" w:type="dxa"/>
            <w:tcBorders>
              <w:top w:val="nil"/>
              <w:left w:val="nil"/>
              <w:bottom w:val="nil"/>
              <w:right w:val="nil"/>
            </w:tcBorders>
            <w:vAlign w:val="center"/>
            <w:hideMark/>
          </w:tcPr>
          <w:p w14:paraId="1899E175" w14:textId="77777777" w:rsidR="00736F61" w:rsidRPr="00CC1FC3" w:rsidRDefault="00736F61" w:rsidP="003F224E">
            <w:pPr>
              <w:spacing w:after="0"/>
              <w:jc w:val="center"/>
              <w:rPr>
                <w:sz w:val="22"/>
                <w:szCs w:val="22"/>
              </w:rPr>
            </w:pPr>
            <w:r w:rsidRPr="00CC1FC3">
              <w:rPr>
                <w:sz w:val="22"/>
                <w:szCs w:val="22"/>
              </w:rPr>
              <w:t>-0.230</w:t>
            </w:r>
          </w:p>
        </w:tc>
        <w:tc>
          <w:tcPr>
            <w:tcW w:w="953" w:type="dxa"/>
            <w:tcBorders>
              <w:top w:val="nil"/>
              <w:left w:val="nil"/>
              <w:bottom w:val="nil"/>
              <w:right w:val="nil"/>
            </w:tcBorders>
            <w:vAlign w:val="center"/>
            <w:hideMark/>
          </w:tcPr>
          <w:p w14:paraId="626B07E3" w14:textId="77777777" w:rsidR="00736F61" w:rsidRPr="00CC1FC3" w:rsidRDefault="00736F61" w:rsidP="003F224E">
            <w:pPr>
              <w:spacing w:after="0"/>
              <w:jc w:val="center"/>
              <w:rPr>
                <w:sz w:val="22"/>
                <w:szCs w:val="22"/>
              </w:rPr>
            </w:pPr>
            <w:r w:rsidRPr="00CC1FC3">
              <w:rPr>
                <w:sz w:val="22"/>
                <w:szCs w:val="22"/>
              </w:rPr>
              <w:t>-0.744</w:t>
            </w:r>
          </w:p>
        </w:tc>
        <w:tc>
          <w:tcPr>
            <w:tcW w:w="953" w:type="dxa"/>
            <w:tcBorders>
              <w:top w:val="nil"/>
              <w:left w:val="nil"/>
              <w:bottom w:val="nil"/>
              <w:right w:val="nil"/>
            </w:tcBorders>
            <w:vAlign w:val="center"/>
            <w:hideMark/>
          </w:tcPr>
          <w:p w14:paraId="3F1A8D1F" w14:textId="77777777" w:rsidR="00736F61" w:rsidRPr="00CC1FC3" w:rsidRDefault="00736F61" w:rsidP="003F224E">
            <w:pPr>
              <w:spacing w:after="0"/>
              <w:jc w:val="center"/>
              <w:rPr>
                <w:sz w:val="22"/>
                <w:szCs w:val="22"/>
              </w:rPr>
            </w:pPr>
            <w:r w:rsidRPr="00CC1FC3">
              <w:rPr>
                <w:sz w:val="22"/>
                <w:szCs w:val="22"/>
              </w:rPr>
              <w:t>-0.202</w:t>
            </w:r>
          </w:p>
        </w:tc>
        <w:tc>
          <w:tcPr>
            <w:tcW w:w="953" w:type="dxa"/>
            <w:tcBorders>
              <w:top w:val="nil"/>
              <w:left w:val="nil"/>
              <w:bottom w:val="nil"/>
              <w:right w:val="nil"/>
            </w:tcBorders>
            <w:vAlign w:val="center"/>
            <w:hideMark/>
          </w:tcPr>
          <w:p w14:paraId="78A4A930" w14:textId="77777777" w:rsidR="00736F61" w:rsidRPr="00CC1FC3" w:rsidRDefault="00736F61" w:rsidP="003F224E">
            <w:pPr>
              <w:spacing w:after="0"/>
              <w:jc w:val="center"/>
              <w:rPr>
                <w:sz w:val="22"/>
                <w:szCs w:val="22"/>
              </w:rPr>
            </w:pPr>
            <w:r w:rsidRPr="00CC1FC3">
              <w:rPr>
                <w:sz w:val="22"/>
                <w:szCs w:val="22"/>
              </w:rPr>
              <w:t>0.408</w:t>
            </w:r>
          </w:p>
        </w:tc>
        <w:tc>
          <w:tcPr>
            <w:tcW w:w="1525" w:type="dxa"/>
            <w:tcBorders>
              <w:top w:val="nil"/>
              <w:left w:val="nil"/>
              <w:bottom w:val="nil"/>
              <w:right w:val="nil"/>
            </w:tcBorders>
            <w:vAlign w:val="center"/>
            <w:hideMark/>
          </w:tcPr>
          <w:p w14:paraId="5FFB88DA" w14:textId="77777777" w:rsidR="00736F61" w:rsidRPr="00CC1FC3" w:rsidRDefault="00736F61" w:rsidP="003F224E">
            <w:pPr>
              <w:spacing w:after="0"/>
              <w:jc w:val="center"/>
              <w:rPr>
                <w:sz w:val="22"/>
                <w:szCs w:val="22"/>
              </w:rPr>
            </w:pPr>
            <w:r w:rsidRPr="00CC1FC3">
              <w:rPr>
                <w:sz w:val="22"/>
                <w:szCs w:val="22"/>
              </w:rPr>
              <w:t>0</w:t>
            </w:r>
          </w:p>
        </w:tc>
        <w:tc>
          <w:tcPr>
            <w:tcW w:w="953" w:type="dxa"/>
            <w:tcBorders>
              <w:top w:val="nil"/>
              <w:left w:val="nil"/>
              <w:bottom w:val="nil"/>
              <w:right w:val="nil"/>
            </w:tcBorders>
            <w:vAlign w:val="center"/>
            <w:hideMark/>
          </w:tcPr>
          <w:p w14:paraId="4FBDFB1F" w14:textId="77777777" w:rsidR="00736F61" w:rsidRPr="00CC1FC3" w:rsidRDefault="00736F61" w:rsidP="003F224E">
            <w:pPr>
              <w:spacing w:after="0"/>
              <w:jc w:val="center"/>
              <w:rPr>
                <w:sz w:val="22"/>
                <w:szCs w:val="22"/>
              </w:rPr>
            </w:pPr>
            <w:r w:rsidRPr="00CC1FC3">
              <w:rPr>
                <w:sz w:val="22"/>
                <w:szCs w:val="22"/>
              </w:rPr>
              <w:t>0.916</w:t>
            </w:r>
          </w:p>
        </w:tc>
      </w:tr>
      <w:tr w:rsidR="00736F61" w:rsidRPr="00CC1FC3" w14:paraId="507C0050" w14:textId="77777777" w:rsidTr="005C3AFF">
        <w:trPr>
          <w:trHeight w:val="300"/>
        </w:trPr>
        <w:tc>
          <w:tcPr>
            <w:tcW w:w="1255" w:type="dxa"/>
            <w:tcBorders>
              <w:top w:val="nil"/>
              <w:left w:val="nil"/>
              <w:bottom w:val="nil"/>
              <w:right w:val="nil"/>
            </w:tcBorders>
            <w:vAlign w:val="center"/>
            <w:hideMark/>
          </w:tcPr>
          <w:p w14:paraId="2C601163" w14:textId="77777777" w:rsidR="00736F61" w:rsidRPr="00CC1FC3" w:rsidRDefault="00736F61" w:rsidP="003F224E">
            <w:pPr>
              <w:spacing w:after="0"/>
              <w:rPr>
                <w:b/>
                <w:bCs/>
                <w:sz w:val="22"/>
                <w:szCs w:val="22"/>
              </w:rPr>
            </w:pPr>
            <w:r w:rsidRPr="00CC1FC3">
              <w:rPr>
                <w:b/>
                <w:bCs/>
                <w:sz w:val="22"/>
                <w:szCs w:val="22"/>
              </w:rPr>
              <w:t>PS</w:t>
            </w:r>
          </w:p>
        </w:tc>
        <w:tc>
          <w:tcPr>
            <w:tcW w:w="953" w:type="dxa"/>
            <w:tcBorders>
              <w:top w:val="nil"/>
              <w:left w:val="nil"/>
              <w:bottom w:val="nil"/>
              <w:right w:val="nil"/>
            </w:tcBorders>
            <w:vAlign w:val="center"/>
            <w:hideMark/>
          </w:tcPr>
          <w:p w14:paraId="7C87CAE5" w14:textId="77777777" w:rsidR="00736F61" w:rsidRPr="00CC1FC3" w:rsidRDefault="00736F61" w:rsidP="003F224E">
            <w:pPr>
              <w:spacing w:after="0"/>
              <w:jc w:val="center"/>
              <w:rPr>
                <w:sz w:val="22"/>
                <w:szCs w:val="22"/>
              </w:rPr>
            </w:pPr>
            <w:r w:rsidRPr="00CC1FC3">
              <w:rPr>
                <w:sz w:val="22"/>
                <w:szCs w:val="22"/>
              </w:rPr>
              <w:t>0.368</w:t>
            </w:r>
          </w:p>
        </w:tc>
        <w:tc>
          <w:tcPr>
            <w:tcW w:w="953" w:type="dxa"/>
            <w:tcBorders>
              <w:top w:val="nil"/>
              <w:left w:val="nil"/>
              <w:bottom w:val="nil"/>
              <w:right w:val="nil"/>
            </w:tcBorders>
            <w:vAlign w:val="center"/>
            <w:hideMark/>
          </w:tcPr>
          <w:p w14:paraId="007F9B6C" w14:textId="77777777" w:rsidR="00736F61" w:rsidRPr="00CC1FC3" w:rsidRDefault="00736F61" w:rsidP="003F224E">
            <w:pPr>
              <w:spacing w:after="0"/>
              <w:jc w:val="center"/>
              <w:rPr>
                <w:sz w:val="22"/>
                <w:szCs w:val="22"/>
              </w:rPr>
            </w:pPr>
            <w:r w:rsidRPr="00CC1FC3">
              <w:rPr>
                <w:sz w:val="22"/>
                <w:szCs w:val="22"/>
              </w:rPr>
              <w:t>0.887</w:t>
            </w:r>
          </w:p>
        </w:tc>
        <w:tc>
          <w:tcPr>
            <w:tcW w:w="953" w:type="dxa"/>
            <w:tcBorders>
              <w:top w:val="nil"/>
              <w:left w:val="nil"/>
              <w:bottom w:val="nil"/>
              <w:right w:val="nil"/>
            </w:tcBorders>
            <w:vAlign w:val="center"/>
            <w:hideMark/>
          </w:tcPr>
          <w:p w14:paraId="3A7A24D3" w14:textId="77777777" w:rsidR="00736F61" w:rsidRPr="00CC1FC3" w:rsidRDefault="00736F61" w:rsidP="003F224E">
            <w:pPr>
              <w:spacing w:after="0"/>
              <w:jc w:val="center"/>
              <w:rPr>
                <w:sz w:val="22"/>
                <w:szCs w:val="22"/>
              </w:rPr>
            </w:pPr>
            <w:r w:rsidRPr="00CC1FC3">
              <w:rPr>
                <w:sz w:val="22"/>
                <w:szCs w:val="22"/>
              </w:rPr>
              <w:t>0.258</w:t>
            </w:r>
          </w:p>
        </w:tc>
        <w:tc>
          <w:tcPr>
            <w:tcW w:w="953" w:type="dxa"/>
            <w:tcBorders>
              <w:top w:val="nil"/>
              <w:left w:val="nil"/>
              <w:bottom w:val="nil"/>
              <w:right w:val="nil"/>
            </w:tcBorders>
            <w:vAlign w:val="center"/>
            <w:hideMark/>
          </w:tcPr>
          <w:p w14:paraId="7AE37B08" w14:textId="77777777" w:rsidR="00736F61" w:rsidRPr="00CC1FC3" w:rsidRDefault="00736F61" w:rsidP="003F224E">
            <w:pPr>
              <w:spacing w:after="0"/>
              <w:jc w:val="center"/>
              <w:rPr>
                <w:sz w:val="22"/>
                <w:szCs w:val="22"/>
              </w:rPr>
            </w:pPr>
            <w:r w:rsidRPr="00CC1FC3">
              <w:rPr>
                <w:sz w:val="22"/>
                <w:szCs w:val="22"/>
              </w:rPr>
              <w:t>0.069</w:t>
            </w:r>
          </w:p>
        </w:tc>
        <w:tc>
          <w:tcPr>
            <w:tcW w:w="953" w:type="dxa"/>
            <w:tcBorders>
              <w:top w:val="nil"/>
              <w:left w:val="nil"/>
              <w:bottom w:val="nil"/>
              <w:right w:val="nil"/>
            </w:tcBorders>
            <w:vAlign w:val="center"/>
            <w:hideMark/>
          </w:tcPr>
          <w:p w14:paraId="03F3D90C" w14:textId="77777777" w:rsidR="00736F61" w:rsidRPr="00CC1FC3" w:rsidRDefault="00736F61" w:rsidP="003F224E">
            <w:pPr>
              <w:spacing w:after="0"/>
              <w:jc w:val="center"/>
              <w:rPr>
                <w:sz w:val="22"/>
                <w:szCs w:val="22"/>
              </w:rPr>
            </w:pPr>
            <w:r w:rsidRPr="00CC1FC3">
              <w:rPr>
                <w:sz w:val="22"/>
                <w:szCs w:val="22"/>
              </w:rPr>
              <w:t>-0.075</w:t>
            </w:r>
          </w:p>
        </w:tc>
        <w:tc>
          <w:tcPr>
            <w:tcW w:w="953" w:type="dxa"/>
            <w:tcBorders>
              <w:top w:val="nil"/>
              <w:left w:val="nil"/>
              <w:bottom w:val="nil"/>
              <w:right w:val="nil"/>
            </w:tcBorders>
            <w:vAlign w:val="center"/>
            <w:hideMark/>
          </w:tcPr>
          <w:p w14:paraId="3CDA4DA4" w14:textId="77777777" w:rsidR="00736F61" w:rsidRPr="00CC1FC3" w:rsidRDefault="00736F61" w:rsidP="003F224E">
            <w:pPr>
              <w:spacing w:after="0"/>
              <w:jc w:val="center"/>
              <w:rPr>
                <w:sz w:val="22"/>
                <w:szCs w:val="22"/>
              </w:rPr>
            </w:pPr>
            <w:r w:rsidRPr="00CC1FC3">
              <w:rPr>
                <w:sz w:val="22"/>
                <w:szCs w:val="22"/>
              </w:rPr>
              <w:t>0.041</w:t>
            </w:r>
          </w:p>
        </w:tc>
        <w:tc>
          <w:tcPr>
            <w:tcW w:w="1525" w:type="dxa"/>
            <w:tcBorders>
              <w:top w:val="nil"/>
              <w:left w:val="nil"/>
              <w:bottom w:val="nil"/>
              <w:right w:val="nil"/>
            </w:tcBorders>
            <w:vAlign w:val="center"/>
            <w:hideMark/>
          </w:tcPr>
          <w:p w14:paraId="1DE173D5" w14:textId="77777777" w:rsidR="00736F61" w:rsidRPr="00CC1FC3" w:rsidRDefault="00736F61" w:rsidP="003F224E">
            <w:pPr>
              <w:spacing w:after="0"/>
              <w:jc w:val="center"/>
              <w:rPr>
                <w:sz w:val="22"/>
                <w:szCs w:val="22"/>
              </w:rPr>
            </w:pPr>
            <w:r w:rsidRPr="00CC1FC3">
              <w:rPr>
                <w:sz w:val="22"/>
                <w:szCs w:val="22"/>
              </w:rPr>
              <w:t>0</w:t>
            </w:r>
          </w:p>
        </w:tc>
        <w:tc>
          <w:tcPr>
            <w:tcW w:w="953" w:type="dxa"/>
            <w:tcBorders>
              <w:top w:val="nil"/>
              <w:left w:val="nil"/>
              <w:bottom w:val="nil"/>
              <w:right w:val="nil"/>
            </w:tcBorders>
            <w:vAlign w:val="center"/>
            <w:hideMark/>
          </w:tcPr>
          <w:p w14:paraId="6D257164" w14:textId="77777777" w:rsidR="00736F61" w:rsidRPr="00CC1FC3" w:rsidRDefault="00736F61" w:rsidP="003F224E">
            <w:pPr>
              <w:spacing w:after="0"/>
              <w:jc w:val="center"/>
              <w:rPr>
                <w:sz w:val="22"/>
                <w:szCs w:val="22"/>
              </w:rPr>
            </w:pPr>
            <w:r w:rsidRPr="00CC1FC3">
              <w:rPr>
                <w:sz w:val="22"/>
                <w:szCs w:val="22"/>
              </w:rPr>
              <w:t>0.956</w:t>
            </w:r>
          </w:p>
        </w:tc>
      </w:tr>
      <w:tr w:rsidR="00736F61" w:rsidRPr="00CC1FC3" w14:paraId="29CB6F09" w14:textId="77777777" w:rsidTr="005C3AFF">
        <w:trPr>
          <w:trHeight w:val="315"/>
        </w:trPr>
        <w:tc>
          <w:tcPr>
            <w:tcW w:w="1255" w:type="dxa"/>
            <w:tcBorders>
              <w:top w:val="nil"/>
              <w:left w:val="nil"/>
              <w:bottom w:val="nil"/>
              <w:right w:val="nil"/>
            </w:tcBorders>
            <w:vAlign w:val="center"/>
            <w:hideMark/>
          </w:tcPr>
          <w:p w14:paraId="4024E7FC" w14:textId="77777777" w:rsidR="00736F61" w:rsidRPr="00CC1FC3" w:rsidRDefault="00736F61" w:rsidP="003F224E">
            <w:pPr>
              <w:spacing w:after="0"/>
              <w:jc w:val="center"/>
              <w:rPr>
                <w:b/>
                <w:bCs/>
                <w:sz w:val="22"/>
                <w:szCs w:val="22"/>
              </w:rPr>
            </w:pPr>
            <w:r w:rsidRPr="00CC1FC3">
              <w:rPr>
                <w:b/>
                <w:bCs/>
                <w:sz w:val="22"/>
                <w:szCs w:val="22"/>
              </w:rPr>
              <w:t>Eigenvalue</w:t>
            </w:r>
          </w:p>
        </w:tc>
        <w:tc>
          <w:tcPr>
            <w:tcW w:w="953" w:type="dxa"/>
            <w:tcBorders>
              <w:top w:val="nil"/>
              <w:left w:val="nil"/>
              <w:bottom w:val="nil"/>
              <w:right w:val="nil"/>
            </w:tcBorders>
            <w:vAlign w:val="center"/>
            <w:hideMark/>
          </w:tcPr>
          <w:p w14:paraId="62E4901A" w14:textId="77777777" w:rsidR="00736F61" w:rsidRPr="00CC1FC3" w:rsidRDefault="00736F61" w:rsidP="003F224E">
            <w:pPr>
              <w:spacing w:after="0"/>
              <w:jc w:val="center"/>
              <w:rPr>
                <w:sz w:val="22"/>
                <w:szCs w:val="22"/>
              </w:rPr>
            </w:pPr>
            <w:r w:rsidRPr="00CC1FC3">
              <w:rPr>
                <w:sz w:val="22"/>
                <w:szCs w:val="22"/>
              </w:rPr>
              <w:t>5.173</w:t>
            </w:r>
          </w:p>
        </w:tc>
        <w:tc>
          <w:tcPr>
            <w:tcW w:w="953" w:type="dxa"/>
            <w:tcBorders>
              <w:top w:val="nil"/>
              <w:left w:val="nil"/>
              <w:bottom w:val="nil"/>
              <w:right w:val="nil"/>
            </w:tcBorders>
            <w:vAlign w:val="center"/>
            <w:hideMark/>
          </w:tcPr>
          <w:p w14:paraId="75792250" w14:textId="77777777" w:rsidR="00736F61" w:rsidRPr="00CC1FC3" w:rsidRDefault="00736F61" w:rsidP="003F224E">
            <w:pPr>
              <w:spacing w:after="0"/>
              <w:jc w:val="center"/>
              <w:rPr>
                <w:sz w:val="22"/>
                <w:szCs w:val="22"/>
              </w:rPr>
            </w:pPr>
            <w:r w:rsidRPr="00CC1FC3">
              <w:rPr>
                <w:sz w:val="22"/>
                <w:szCs w:val="22"/>
              </w:rPr>
              <w:t>0.356</w:t>
            </w:r>
          </w:p>
        </w:tc>
        <w:tc>
          <w:tcPr>
            <w:tcW w:w="953" w:type="dxa"/>
            <w:tcBorders>
              <w:top w:val="nil"/>
              <w:left w:val="nil"/>
              <w:bottom w:val="nil"/>
              <w:right w:val="nil"/>
            </w:tcBorders>
            <w:vAlign w:val="center"/>
            <w:hideMark/>
          </w:tcPr>
          <w:p w14:paraId="43265458" w14:textId="77777777" w:rsidR="00736F61" w:rsidRPr="00CC1FC3" w:rsidRDefault="00736F61" w:rsidP="003F224E">
            <w:pPr>
              <w:spacing w:after="0"/>
              <w:jc w:val="center"/>
              <w:rPr>
                <w:sz w:val="22"/>
                <w:szCs w:val="22"/>
              </w:rPr>
            </w:pPr>
            <w:r w:rsidRPr="00CC1FC3">
              <w:rPr>
                <w:sz w:val="22"/>
                <w:szCs w:val="22"/>
              </w:rPr>
              <w:t>0.306</w:t>
            </w:r>
          </w:p>
        </w:tc>
        <w:tc>
          <w:tcPr>
            <w:tcW w:w="953" w:type="dxa"/>
            <w:tcBorders>
              <w:top w:val="nil"/>
              <w:left w:val="nil"/>
              <w:bottom w:val="nil"/>
              <w:right w:val="nil"/>
            </w:tcBorders>
            <w:vAlign w:val="center"/>
            <w:hideMark/>
          </w:tcPr>
          <w:p w14:paraId="307E826C" w14:textId="77777777" w:rsidR="00736F61" w:rsidRPr="00CC1FC3" w:rsidRDefault="00736F61" w:rsidP="003F224E">
            <w:pPr>
              <w:spacing w:after="0"/>
              <w:jc w:val="center"/>
              <w:rPr>
                <w:sz w:val="22"/>
                <w:szCs w:val="22"/>
              </w:rPr>
            </w:pPr>
            <w:r w:rsidRPr="00CC1FC3">
              <w:rPr>
                <w:sz w:val="22"/>
                <w:szCs w:val="22"/>
              </w:rPr>
              <w:t>0.088</w:t>
            </w:r>
          </w:p>
        </w:tc>
        <w:tc>
          <w:tcPr>
            <w:tcW w:w="953" w:type="dxa"/>
            <w:tcBorders>
              <w:top w:val="nil"/>
              <w:left w:val="nil"/>
              <w:bottom w:val="nil"/>
              <w:right w:val="nil"/>
            </w:tcBorders>
            <w:vAlign w:val="center"/>
            <w:hideMark/>
          </w:tcPr>
          <w:p w14:paraId="005E2388" w14:textId="77777777" w:rsidR="00736F61" w:rsidRPr="00CC1FC3" w:rsidRDefault="00736F61" w:rsidP="003F224E">
            <w:pPr>
              <w:spacing w:after="0"/>
              <w:jc w:val="center"/>
              <w:rPr>
                <w:sz w:val="22"/>
                <w:szCs w:val="22"/>
              </w:rPr>
            </w:pPr>
            <w:r w:rsidRPr="00CC1FC3">
              <w:rPr>
                <w:sz w:val="22"/>
                <w:szCs w:val="22"/>
              </w:rPr>
              <w:t>0.044</w:t>
            </w:r>
          </w:p>
        </w:tc>
        <w:tc>
          <w:tcPr>
            <w:tcW w:w="953" w:type="dxa"/>
            <w:tcBorders>
              <w:top w:val="nil"/>
              <w:left w:val="nil"/>
              <w:bottom w:val="nil"/>
              <w:right w:val="nil"/>
            </w:tcBorders>
            <w:vAlign w:val="center"/>
            <w:hideMark/>
          </w:tcPr>
          <w:p w14:paraId="3685D805" w14:textId="77777777" w:rsidR="00736F61" w:rsidRPr="00CC1FC3" w:rsidRDefault="00736F61" w:rsidP="003F224E">
            <w:pPr>
              <w:spacing w:after="0"/>
              <w:jc w:val="center"/>
              <w:rPr>
                <w:sz w:val="22"/>
                <w:szCs w:val="22"/>
              </w:rPr>
            </w:pPr>
            <w:r w:rsidRPr="00CC1FC3">
              <w:rPr>
                <w:sz w:val="22"/>
                <w:szCs w:val="22"/>
              </w:rPr>
              <w:t>0.032</w:t>
            </w:r>
          </w:p>
        </w:tc>
        <w:tc>
          <w:tcPr>
            <w:tcW w:w="1525" w:type="dxa"/>
            <w:tcBorders>
              <w:top w:val="nil"/>
              <w:left w:val="nil"/>
              <w:bottom w:val="nil"/>
              <w:right w:val="nil"/>
            </w:tcBorders>
            <w:noWrap/>
            <w:vAlign w:val="bottom"/>
            <w:hideMark/>
          </w:tcPr>
          <w:p w14:paraId="47BD19D3" w14:textId="77777777" w:rsidR="00736F61" w:rsidRPr="00CC1FC3" w:rsidRDefault="00736F61" w:rsidP="003F224E">
            <w:pPr>
              <w:spacing w:after="0"/>
              <w:jc w:val="center"/>
              <w:rPr>
                <w:sz w:val="22"/>
                <w:szCs w:val="22"/>
              </w:rPr>
            </w:pPr>
            <w:r w:rsidRPr="00CC1FC3">
              <w:rPr>
                <w:sz w:val="22"/>
                <w:szCs w:val="22"/>
              </w:rPr>
              <w:t>-</w:t>
            </w:r>
          </w:p>
        </w:tc>
        <w:tc>
          <w:tcPr>
            <w:tcW w:w="953" w:type="dxa"/>
            <w:tcBorders>
              <w:top w:val="nil"/>
              <w:left w:val="nil"/>
              <w:bottom w:val="nil"/>
              <w:right w:val="nil"/>
            </w:tcBorders>
            <w:noWrap/>
            <w:vAlign w:val="bottom"/>
            <w:hideMark/>
          </w:tcPr>
          <w:p w14:paraId="3C948BFE" w14:textId="77777777" w:rsidR="00736F61" w:rsidRPr="00CC1FC3" w:rsidRDefault="00736F61" w:rsidP="003F224E">
            <w:pPr>
              <w:spacing w:after="0"/>
              <w:jc w:val="center"/>
              <w:rPr>
                <w:sz w:val="20"/>
                <w:szCs w:val="20"/>
              </w:rPr>
            </w:pPr>
            <w:r w:rsidRPr="00CC1FC3">
              <w:rPr>
                <w:sz w:val="20"/>
                <w:szCs w:val="20"/>
              </w:rPr>
              <w:t>-</w:t>
            </w:r>
          </w:p>
        </w:tc>
      </w:tr>
      <w:tr w:rsidR="00736F61" w:rsidRPr="00CC1FC3" w14:paraId="52E86637" w14:textId="77777777" w:rsidTr="005C3AFF">
        <w:trPr>
          <w:trHeight w:val="300"/>
        </w:trPr>
        <w:tc>
          <w:tcPr>
            <w:tcW w:w="1255" w:type="dxa"/>
            <w:tcBorders>
              <w:top w:val="nil"/>
              <w:left w:val="nil"/>
              <w:bottom w:val="nil"/>
              <w:right w:val="nil"/>
            </w:tcBorders>
            <w:vAlign w:val="center"/>
            <w:hideMark/>
          </w:tcPr>
          <w:p w14:paraId="7C6F64FD" w14:textId="77777777" w:rsidR="00736F61" w:rsidRPr="00CC1FC3" w:rsidRDefault="00736F61" w:rsidP="003F224E">
            <w:pPr>
              <w:spacing w:after="0"/>
              <w:jc w:val="center"/>
              <w:rPr>
                <w:b/>
                <w:bCs/>
                <w:sz w:val="22"/>
                <w:szCs w:val="22"/>
              </w:rPr>
            </w:pPr>
            <w:r w:rsidRPr="00CC1FC3">
              <w:rPr>
                <w:b/>
                <w:bCs/>
                <w:sz w:val="22"/>
                <w:szCs w:val="22"/>
              </w:rPr>
              <w:t>Proportion</w:t>
            </w:r>
          </w:p>
        </w:tc>
        <w:tc>
          <w:tcPr>
            <w:tcW w:w="953" w:type="dxa"/>
            <w:tcBorders>
              <w:top w:val="nil"/>
              <w:left w:val="nil"/>
              <w:bottom w:val="nil"/>
              <w:right w:val="nil"/>
            </w:tcBorders>
            <w:vAlign w:val="center"/>
            <w:hideMark/>
          </w:tcPr>
          <w:p w14:paraId="58822B01" w14:textId="77777777" w:rsidR="00736F61" w:rsidRPr="00CC1FC3" w:rsidRDefault="00736F61" w:rsidP="003F224E">
            <w:pPr>
              <w:spacing w:after="0"/>
              <w:jc w:val="center"/>
              <w:rPr>
                <w:sz w:val="22"/>
                <w:szCs w:val="22"/>
              </w:rPr>
            </w:pPr>
            <w:r w:rsidRPr="00CC1FC3">
              <w:rPr>
                <w:sz w:val="22"/>
                <w:szCs w:val="22"/>
              </w:rPr>
              <w:t>0.862</w:t>
            </w:r>
          </w:p>
        </w:tc>
        <w:tc>
          <w:tcPr>
            <w:tcW w:w="953" w:type="dxa"/>
            <w:tcBorders>
              <w:top w:val="nil"/>
              <w:left w:val="nil"/>
              <w:bottom w:val="nil"/>
              <w:right w:val="nil"/>
            </w:tcBorders>
            <w:vAlign w:val="center"/>
            <w:hideMark/>
          </w:tcPr>
          <w:p w14:paraId="14B8B130" w14:textId="77777777" w:rsidR="00736F61" w:rsidRPr="00CC1FC3" w:rsidRDefault="00736F61" w:rsidP="003F224E">
            <w:pPr>
              <w:spacing w:after="0"/>
              <w:jc w:val="center"/>
              <w:rPr>
                <w:sz w:val="22"/>
                <w:szCs w:val="22"/>
              </w:rPr>
            </w:pPr>
            <w:r w:rsidRPr="00CC1FC3">
              <w:rPr>
                <w:sz w:val="22"/>
                <w:szCs w:val="22"/>
              </w:rPr>
              <w:t>0.059</w:t>
            </w:r>
          </w:p>
        </w:tc>
        <w:tc>
          <w:tcPr>
            <w:tcW w:w="953" w:type="dxa"/>
            <w:tcBorders>
              <w:top w:val="nil"/>
              <w:left w:val="nil"/>
              <w:bottom w:val="nil"/>
              <w:right w:val="nil"/>
            </w:tcBorders>
            <w:vAlign w:val="center"/>
            <w:hideMark/>
          </w:tcPr>
          <w:p w14:paraId="0C724087" w14:textId="77777777" w:rsidR="00736F61" w:rsidRPr="00CC1FC3" w:rsidRDefault="00736F61" w:rsidP="003F224E">
            <w:pPr>
              <w:spacing w:after="0"/>
              <w:jc w:val="center"/>
              <w:rPr>
                <w:sz w:val="22"/>
                <w:szCs w:val="22"/>
              </w:rPr>
            </w:pPr>
            <w:r w:rsidRPr="00CC1FC3">
              <w:rPr>
                <w:sz w:val="22"/>
                <w:szCs w:val="22"/>
              </w:rPr>
              <w:t>0.051</w:t>
            </w:r>
          </w:p>
        </w:tc>
        <w:tc>
          <w:tcPr>
            <w:tcW w:w="953" w:type="dxa"/>
            <w:tcBorders>
              <w:top w:val="nil"/>
              <w:left w:val="nil"/>
              <w:bottom w:val="nil"/>
              <w:right w:val="nil"/>
            </w:tcBorders>
            <w:vAlign w:val="center"/>
            <w:hideMark/>
          </w:tcPr>
          <w:p w14:paraId="16223677" w14:textId="77777777" w:rsidR="00736F61" w:rsidRPr="00CC1FC3" w:rsidRDefault="00736F61" w:rsidP="003F224E">
            <w:pPr>
              <w:spacing w:after="0"/>
              <w:jc w:val="center"/>
              <w:rPr>
                <w:sz w:val="22"/>
                <w:szCs w:val="22"/>
              </w:rPr>
            </w:pPr>
            <w:r w:rsidRPr="00CC1FC3">
              <w:rPr>
                <w:sz w:val="22"/>
                <w:szCs w:val="22"/>
              </w:rPr>
              <w:t>0.015</w:t>
            </w:r>
          </w:p>
        </w:tc>
        <w:tc>
          <w:tcPr>
            <w:tcW w:w="953" w:type="dxa"/>
            <w:tcBorders>
              <w:top w:val="nil"/>
              <w:left w:val="nil"/>
              <w:bottom w:val="nil"/>
              <w:right w:val="nil"/>
            </w:tcBorders>
            <w:vAlign w:val="center"/>
            <w:hideMark/>
          </w:tcPr>
          <w:p w14:paraId="39902848" w14:textId="77777777" w:rsidR="00736F61" w:rsidRPr="00CC1FC3" w:rsidRDefault="00736F61" w:rsidP="003F224E">
            <w:pPr>
              <w:spacing w:after="0"/>
              <w:jc w:val="center"/>
              <w:rPr>
                <w:sz w:val="22"/>
                <w:szCs w:val="22"/>
              </w:rPr>
            </w:pPr>
            <w:r w:rsidRPr="00CC1FC3">
              <w:rPr>
                <w:sz w:val="22"/>
                <w:szCs w:val="22"/>
              </w:rPr>
              <w:t>0.007</w:t>
            </w:r>
          </w:p>
        </w:tc>
        <w:tc>
          <w:tcPr>
            <w:tcW w:w="953" w:type="dxa"/>
            <w:tcBorders>
              <w:top w:val="nil"/>
              <w:left w:val="nil"/>
              <w:bottom w:val="nil"/>
              <w:right w:val="nil"/>
            </w:tcBorders>
            <w:vAlign w:val="center"/>
            <w:hideMark/>
          </w:tcPr>
          <w:p w14:paraId="6A661CB5" w14:textId="77777777" w:rsidR="00736F61" w:rsidRPr="00CC1FC3" w:rsidRDefault="00736F61" w:rsidP="003F224E">
            <w:pPr>
              <w:spacing w:after="0"/>
              <w:jc w:val="center"/>
              <w:rPr>
                <w:sz w:val="22"/>
                <w:szCs w:val="22"/>
              </w:rPr>
            </w:pPr>
            <w:r w:rsidRPr="00CC1FC3">
              <w:rPr>
                <w:sz w:val="22"/>
                <w:szCs w:val="22"/>
              </w:rPr>
              <w:t>0.005</w:t>
            </w:r>
          </w:p>
        </w:tc>
        <w:tc>
          <w:tcPr>
            <w:tcW w:w="1525" w:type="dxa"/>
            <w:tcBorders>
              <w:top w:val="nil"/>
              <w:left w:val="nil"/>
              <w:bottom w:val="nil"/>
              <w:right w:val="nil"/>
            </w:tcBorders>
            <w:noWrap/>
            <w:vAlign w:val="bottom"/>
            <w:hideMark/>
          </w:tcPr>
          <w:p w14:paraId="6A6841B0" w14:textId="77777777" w:rsidR="00736F61" w:rsidRPr="00CC1FC3" w:rsidRDefault="00736F61" w:rsidP="003F224E">
            <w:pPr>
              <w:spacing w:after="0"/>
              <w:jc w:val="center"/>
              <w:rPr>
                <w:sz w:val="22"/>
                <w:szCs w:val="22"/>
              </w:rPr>
            </w:pPr>
            <w:r w:rsidRPr="00CC1FC3">
              <w:rPr>
                <w:sz w:val="22"/>
                <w:szCs w:val="22"/>
              </w:rPr>
              <w:t>-</w:t>
            </w:r>
          </w:p>
        </w:tc>
        <w:tc>
          <w:tcPr>
            <w:tcW w:w="953" w:type="dxa"/>
            <w:tcBorders>
              <w:top w:val="nil"/>
              <w:left w:val="nil"/>
              <w:bottom w:val="nil"/>
              <w:right w:val="nil"/>
            </w:tcBorders>
            <w:noWrap/>
            <w:vAlign w:val="bottom"/>
            <w:hideMark/>
          </w:tcPr>
          <w:p w14:paraId="3CACF965" w14:textId="77777777" w:rsidR="00736F61" w:rsidRPr="00CC1FC3" w:rsidRDefault="00736F61" w:rsidP="003F224E">
            <w:pPr>
              <w:spacing w:after="0"/>
              <w:jc w:val="center"/>
              <w:rPr>
                <w:sz w:val="20"/>
                <w:szCs w:val="20"/>
              </w:rPr>
            </w:pPr>
            <w:r w:rsidRPr="00CC1FC3">
              <w:rPr>
                <w:sz w:val="20"/>
                <w:szCs w:val="20"/>
              </w:rPr>
              <w:t>-</w:t>
            </w:r>
          </w:p>
        </w:tc>
      </w:tr>
      <w:tr w:rsidR="00736F61" w:rsidRPr="00CC1FC3" w14:paraId="033473B2" w14:textId="77777777" w:rsidTr="005C3AFF">
        <w:trPr>
          <w:trHeight w:val="300"/>
        </w:trPr>
        <w:tc>
          <w:tcPr>
            <w:tcW w:w="1255" w:type="dxa"/>
            <w:tcBorders>
              <w:top w:val="nil"/>
              <w:left w:val="nil"/>
              <w:bottom w:val="single" w:sz="4" w:space="0" w:color="auto"/>
              <w:right w:val="nil"/>
            </w:tcBorders>
            <w:vAlign w:val="center"/>
            <w:hideMark/>
          </w:tcPr>
          <w:p w14:paraId="38A6339B" w14:textId="77777777" w:rsidR="00736F61" w:rsidRPr="00CC1FC3" w:rsidRDefault="00736F61" w:rsidP="003F224E">
            <w:pPr>
              <w:spacing w:after="0"/>
              <w:rPr>
                <w:b/>
                <w:bCs/>
                <w:sz w:val="22"/>
                <w:szCs w:val="22"/>
              </w:rPr>
            </w:pPr>
            <w:r w:rsidRPr="00CC1FC3">
              <w:rPr>
                <w:b/>
                <w:bCs/>
                <w:sz w:val="22"/>
                <w:szCs w:val="22"/>
              </w:rPr>
              <w:t>KMO</w:t>
            </w:r>
          </w:p>
        </w:tc>
        <w:tc>
          <w:tcPr>
            <w:tcW w:w="953" w:type="dxa"/>
            <w:tcBorders>
              <w:top w:val="nil"/>
              <w:left w:val="nil"/>
              <w:bottom w:val="single" w:sz="4" w:space="0" w:color="auto"/>
              <w:right w:val="nil"/>
            </w:tcBorders>
            <w:noWrap/>
            <w:vAlign w:val="bottom"/>
            <w:hideMark/>
          </w:tcPr>
          <w:p w14:paraId="5B16A32A" w14:textId="77777777" w:rsidR="00736F61" w:rsidRPr="00CC1FC3" w:rsidRDefault="00736F61" w:rsidP="003F224E">
            <w:pPr>
              <w:spacing w:after="0"/>
              <w:jc w:val="center"/>
              <w:rPr>
                <w:b/>
                <w:bCs/>
                <w:sz w:val="22"/>
                <w:szCs w:val="22"/>
              </w:rPr>
            </w:pPr>
            <w:r w:rsidRPr="00CC1FC3">
              <w:rPr>
                <w:b/>
                <w:bCs/>
                <w:sz w:val="22"/>
                <w:szCs w:val="22"/>
              </w:rPr>
              <w:t>-</w:t>
            </w:r>
          </w:p>
        </w:tc>
        <w:tc>
          <w:tcPr>
            <w:tcW w:w="953" w:type="dxa"/>
            <w:tcBorders>
              <w:top w:val="nil"/>
              <w:left w:val="nil"/>
              <w:bottom w:val="single" w:sz="4" w:space="0" w:color="auto"/>
              <w:right w:val="nil"/>
            </w:tcBorders>
            <w:noWrap/>
            <w:vAlign w:val="bottom"/>
            <w:hideMark/>
          </w:tcPr>
          <w:p w14:paraId="0E7E64A4" w14:textId="77777777" w:rsidR="00736F61" w:rsidRPr="00CC1FC3" w:rsidRDefault="00736F61" w:rsidP="003F224E">
            <w:pPr>
              <w:spacing w:after="0"/>
              <w:jc w:val="center"/>
              <w:rPr>
                <w:sz w:val="20"/>
                <w:szCs w:val="20"/>
              </w:rPr>
            </w:pPr>
            <w:r w:rsidRPr="00CC1FC3">
              <w:rPr>
                <w:sz w:val="20"/>
                <w:szCs w:val="20"/>
              </w:rPr>
              <w:t>-</w:t>
            </w:r>
          </w:p>
        </w:tc>
        <w:tc>
          <w:tcPr>
            <w:tcW w:w="953" w:type="dxa"/>
            <w:tcBorders>
              <w:top w:val="nil"/>
              <w:left w:val="nil"/>
              <w:bottom w:val="single" w:sz="4" w:space="0" w:color="auto"/>
              <w:right w:val="nil"/>
            </w:tcBorders>
            <w:noWrap/>
            <w:vAlign w:val="bottom"/>
            <w:hideMark/>
          </w:tcPr>
          <w:p w14:paraId="21E7AE03" w14:textId="77777777" w:rsidR="00736F61" w:rsidRPr="00CC1FC3" w:rsidRDefault="00736F61" w:rsidP="003F224E">
            <w:pPr>
              <w:spacing w:after="0"/>
              <w:jc w:val="center"/>
              <w:rPr>
                <w:sz w:val="20"/>
                <w:szCs w:val="20"/>
              </w:rPr>
            </w:pPr>
            <w:r w:rsidRPr="00CC1FC3">
              <w:rPr>
                <w:sz w:val="20"/>
                <w:szCs w:val="20"/>
              </w:rPr>
              <w:t>-</w:t>
            </w:r>
          </w:p>
        </w:tc>
        <w:tc>
          <w:tcPr>
            <w:tcW w:w="953" w:type="dxa"/>
            <w:tcBorders>
              <w:top w:val="nil"/>
              <w:left w:val="nil"/>
              <w:bottom w:val="single" w:sz="4" w:space="0" w:color="auto"/>
              <w:right w:val="nil"/>
            </w:tcBorders>
            <w:noWrap/>
            <w:vAlign w:val="bottom"/>
            <w:hideMark/>
          </w:tcPr>
          <w:p w14:paraId="500B790A" w14:textId="77777777" w:rsidR="00736F61" w:rsidRPr="00CC1FC3" w:rsidRDefault="00736F61" w:rsidP="003F224E">
            <w:pPr>
              <w:spacing w:after="0"/>
              <w:jc w:val="center"/>
              <w:rPr>
                <w:sz w:val="20"/>
                <w:szCs w:val="20"/>
              </w:rPr>
            </w:pPr>
            <w:r w:rsidRPr="00CC1FC3">
              <w:rPr>
                <w:sz w:val="20"/>
                <w:szCs w:val="20"/>
              </w:rPr>
              <w:t>-</w:t>
            </w:r>
          </w:p>
        </w:tc>
        <w:tc>
          <w:tcPr>
            <w:tcW w:w="953" w:type="dxa"/>
            <w:tcBorders>
              <w:top w:val="nil"/>
              <w:left w:val="nil"/>
              <w:bottom w:val="single" w:sz="4" w:space="0" w:color="auto"/>
              <w:right w:val="nil"/>
            </w:tcBorders>
            <w:noWrap/>
            <w:vAlign w:val="bottom"/>
            <w:hideMark/>
          </w:tcPr>
          <w:p w14:paraId="632F4734" w14:textId="77777777" w:rsidR="00736F61" w:rsidRPr="00CC1FC3" w:rsidRDefault="00736F61" w:rsidP="003F224E">
            <w:pPr>
              <w:spacing w:after="0"/>
              <w:jc w:val="center"/>
              <w:rPr>
                <w:sz w:val="20"/>
                <w:szCs w:val="20"/>
              </w:rPr>
            </w:pPr>
            <w:r w:rsidRPr="00CC1FC3">
              <w:rPr>
                <w:sz w:val="20"/>
                <w:szCs w:val="20"/>
              </w:rPr>
              <w:t>-</w:t>
            </w:r>
          </w:p>
        </w:tc>
        <w:tc>
          <w:tcPr>
            <w:tcW w:w="953" w:type="dxa"/>
            <w:tcBorders>
              <w:top w:val="nil"/>
              <w:left w:val="nil"/>
              <w:bottom w:val="single" w:sz="4" w:space="0" w:color="auto"/>
              <w:right w:val="nil"/>
            </w:tcBorders>
            <w:noWrap/>
            <w:vAlign w:val="bottom"/>
            <w:hideMark/>
          </w:tcPr>
          <w:p w14:paraId="27CB762D" w14:textId="77777777" w:rsidR="00736F61" w:rsidRPr="00CC1FC3" w:rsidRDefault="00736F61" w:rsidP="003F224E">
            <w:pPr>
              <w:spacing w:after="0"/>
              <w:jc w:val="center"/>
              <w:rPr>
                <w:sz w:val="20"/>
                <w:szCs w:val="20"/>
              </w:rPr>
            </w:pPr>
            <w:r w:rsidRPr="00CC1FC3">
              <w:rPr>
                <w:sz w:val="20"/>
                <w:szCs w:val="20"/>
              </w:rPr>
              <w:t>-</w:t>
            </w:r>
          </w:p>
        </w:tc>
        <w:tc>
          <w:tcPr>
            <w:tcW w:w="1525" w:type="dxa"/>
            <w:tcBorders>
              <w:top w:val="nil"/>
              <w:left w:val="nil"/>
              <w:bottom w:val="single" w:sz="4" w:space="0" w:color="auto"/>
              <w:right w:val="nil"/>
            </w:tcBorders>
            <w:noWrap/>
            <w:vAlign w:val="bottom"/>
            <w:hideMark/>
          </w:tcPr>
          <w:p w14:paraId="43815F7C" w14:textId="77777777" w:rsidR="00736F61" w:rsidRPr="00CC1FC3" w:rsidRDefault="00736F61" w:rsidP="003F224E">
            <w:pPr>
              <w:spacing w:after="0"/>
              <w:jc w:val="center"/>
              <w:rPr>
                <w:sz w:val="20"/>
                <w:szCs w:val="20"/>
              </w:rPr>
            </w:pPr>
            <w:r w:rsidRPr="00CC1FC3">
              <w:rPr>
                <w:sz w:val="20"/>
                <w:szCs w:val="20"/>
              </w:rPr>
              <w:t>-</w:t>
            </w:r>
          </w:p>
        </w:tc>
        <w:tc>
          <w:tcPr>
            <w:tcW w:w="953" w:type="dxa"/>
            <w:tcBorders>
              <w:top w:val="nil"/>
              <w:left w:val="nil"/>
              <w:bottom w:val="single" w:sz="4" w:space="0" w:color="auto"/>
              <w:right w:val="nil"/>
            </w:tcBorders>
            <w:noWrap/>
            <w:vAlign w:val="bottom"/>
            <w:hideMark/>
          </w:tcPr>
          <w:p w14:paraId="5538E84B" w14:textId="77777777" w:rsidR="00736F61" w:rsidRPr="00CC1FC3" w:rsidRDefault="00736F61" w:rsidP="003F224E">
            <w:pPr>
              <w:spacing w:after="0"/>
              <w:jc w:val="center"/>
              <w:rPr>
                <w:sz w:val="22"/>
                <w:szCs w:val="22"/>
              </w:rPr>
            </w:pPr>
            <w:r w:rsidRPr="00CC1FC3">
              <w:rPr>
                <w:sz w:val="22"/>
                <w:szCs w:val="22"/>
              </w:rPr>
              <w:t>0.903</w:t>
            </w:r>
          </w:p>
        </w:tc>
      </w:tr>
    </w:tbl>
    <w:p w14:paraId="0E471D1A" w14:textId="77777777" w:rsidR="00736F61" w:rsidRPr="00CC1FC3" w:rsidRDefault="00736F61" w:rsidP="00736F61">
      <w:pPr>
        <w:pStyle w:val="Caption"/>
      </w:pPr>
      <w:r w:rsidRPr="00CC1FC3">
        <w:rPr>
          <w:b/>
          <w:bCs/>
        </w:rPr>
        <w:t xml:space="preserve">Table </w:t>
      </w:r>
      <w:r>
        <w:rPr>
          <w:b/>
          <w:bCs/>
        </w:rPr>
        <w:t>5.10</w:t>
      </w:r>
      <w:r w:rsidRPr="00CC1FC3">
        <w:rPr>
          <w:b/>
          <w:bCs/>
        </w:rPr>
        <w:t>:</w:t>
      </w:r>
      <w:r w:rsidRPr="00CC1FC3">
        <w:t xml:space="preserve"> PCA (eigenvectors) and diagnostics of the IEQ’s dimensions</w:t>
      </w:r>
    </w:p>
    <w:p w14:paraId="59343315" w14:textId="77777777" w:rsidR="00736F61" w:rsidRPr="00CC1FC3" w:rsidRDefault="00736F61" w:rsidP="00736F61">
      <w:pPr>
        <w:spacing w:before="100" w:beforeAutospacing="1" w:after="100" w:afterAutospacing="1"/>
        <w:rPr>
          <w:sz w:val="20"/>
          <w:szCs w:val="20"/>
        </w:rPr>
      </w:pPr>
      <w:r w:rsidRPr="00CC1FC3">
        <w:rPr>
          <w:b/>
          <w:bCs/>
          <w:sz w:val="20"/>
          <w:szCs w:val="20"/>
        </w:rPr>
        <w:t>Note:</w:t>
      </w:r>
      <w:r w:rsidRPr="00CC1FC3">
        <w:rPr>
          <w:sz w:val="20"/>
          <w:szCs w:val="20"/>
        </w:rPr>
        <w:t xml:space="preserve"> All variables are fully defined in Table </w:t>
      </w:r>
      <w:r>
        <w:rPr>
          <w:sz w:val="20"/>
          <w:szCs w:val="20"/>
        </w:rPr>
        <w:t>5.8</w:t>
      </w:r>
      <w:r w:rsidRPr="00CC1FC3">
        <w:rPr>
          <w:sz w:val="20"/>
          <w:szCs w:val="20"/>
        </w:rPr>
        <w:t>.</w:t>
      </w:r>
    </w:p>
    <w:p w14:paraId="429885CB" w14:textId="77777777" w:rsidR="00736F61" w:rsidRPr="00CC1FC3" w:rsidRDefault="00736F61" w:rsidP="00736F61">
      <w:pPr>
        <w:spacing w:after="100" w:afterAutospacing="1" w:line="480" w:lineRule="auto"/>
        <w:ind w:firstLine="720"/>
        <w:jc w:val="both"/>
      </w:pPr>
      <w:r w:rsidRPr="00CC1FC3">
        <w:t xml:space="preserve">Figure </w:t>
      </w:r>
      <w:r>
        <w:t>5.11</w:t>
      </w:r>
      <w:r w:rsidRPr="00CC1FC3">
        <w:t xml:space="preserve"> presents the scree plot of eigenvalues after PCA of the six WGIs used to construct the IEQ index. The steep drop from the first to the second component, followed by a levelling off, indicates that the first principal component captures </w:t>
      </w:r>
      <w:proofErr w:type="gramStart"/>
      <w:r w:rsidRPr="00CC1FC3">
        <w:t>the majority of</w:t>
      </w:r>
      <w:proofErr w:type="gramEnd"/>
      <w:r w:rsidRPr="00CC1FC3">
        <w:t xml:space="preserve"> the variance in the data—specifically, it has an eigenvalue greater than 5, far exceeding the threshold of 1 (indicated by the dashed line). According to the Kaiser criterion, which retains components with eigenvalues greater than 1, only the first component should be considered for further analysis </w:t>
      </w:r>
      <w:sdt>
        <w:sdtPr>
          <w:tag w:val="MENDELEY_CITATION_v3_eyJjaXRhdGlvbklEIjoiTUVOREVMRVlfQ0lUQVRJT05fNzI4Y2NkMTgtOWZmZS00NTkyLWFhYmMtOWVlYWE3ZTNkYjA2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440152742"/>
          <w:placeholder>
            <w:docPart w:val="7A43A71FE45F4E7391BF57D4300A57C1"/>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2022)</w:t>
          </w:r>
        </w:sdtContent>
      </w:sdt>
      <w:r w:rsidRPr="00CC1FC3">
        <w:t>. This suggests a strong unidimensional structure in the data, justifying the use of a single composite index (IEQ) in subsequent modelling or analysis.</w:t>
      </w:r>
    </w:p>
    <w:p w14:paraId="70519C6D" w14:textId="77777777" w:rsidR="00736F61" w:rsidRPr="00CC1FC3" w:rsidRDefault="00736F61" w:rsidP="00736F61">
      <w:pPr>
        <w:jc w:val="center"/>
      </w:pPr>
      <w:r w:rsidRPr="00CC1FC3">
        <w:rPr>
          <w:noProof/>
        </w:rPr>
        <w:lastRenderedPageBreak/>
        <w:drawing>
          <wp:inline distT="0" distB="0" distL="0" distR="0" wp14:anchorId="74F7E3C8" wp14:editId="64EA684A">
            <wp:extent cx="4058816" cy="2430949"/>
            <wp:effectExtent l="0" t="0" r="0" b="7620"/>
            <wp:docPr id="17679413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61367" cy="2432477"/>
                    </a:xfrm>
                    <a:prstGeom prst="rect">
                      <a:avLst/>
                    </a:prstGeom>
                    <a:noFill/>
                    <a:ln>
                      <a:noFill/>
                    </a:ln>
                  </pic:spPr>
                </pic:pic>
              </a:graphicData>
            </a:graphic>
          </wp:inline>
        </w:drawing>
      </w:r>
    </w:p>
    <w:p w14:paraId="05EB0015" w14:textId="77777777" w:rsidR="00736F61" w:rsidRPr="00CC1FC3" w:rsidRDefault="00736F61" w:rsidP="00736F61">
      <w:pPr>
        <w:pStyle w:val="Caption"/>
      </w:pPr>
      <w:r w:rsidRPr="00CC1FC3">
        <w:rPr>
          <w:b/>
          <w:bCs/>
        </w:rPr>
        <w:t xml:space="preserve">Figure </w:t>
      </w:r>
      <w:r>
        <w:rPr>
          <w:b/>
          <w:bCs/>
        </w:rPr>
        <w:t>5.11</w:t>
      </w:r>
      <w:r w:rsidRPr="00CC1FC3">
        <w:rPr>
          <w:b/>
          <w:bCs/>
        </w:rPr>
        <w:t>:</w:t>
      </w:r>
      <w:r w:rsidRPr="00CC1FC3">
        <w:t xml:space="preserve"> Scree plot of eigenvalues after PCA of the six WGIs</w:t>
      </w:r>
    </w:p>
    <w:p w14:paraId="236ECA1F" w14:textId="77777777" w:rsidR="00736F61" w:rsidRPr="00CC1FC3" w:rsidRDefault="00736F61" w:rsidP="00736F61">
      <w:pPr>
        <w:spacing w:line="480" w:lineRule="auto"/>
        <w:jc w:val="both"/>
      </w:pPr>
      <w:r w:rsidRPr="00CC1FC3">
        <w:t xml:space="preserve">Figure </w:t>
      </w:r>
      <w:r>
        <w:t>5.12</w:t>
      </w:r>
      <w:r w:rsidRPr="00CC1FC3">
        <w:t xml:space="preserve"> displays the boxplot of scores for the first principal component (IEQ) across three time points: 2016, 2018, and 202</w:t>
      </w:r>
      <w:r>
        <w:t>3</w:t>
      </w:r>
      <w:r w:rsidRPr="00CC1FC3">
        <w:t xml:space="preserve">. The distribution of IEQ scores appears relatively stable over time, with medians slightly below zero in all years and nearly identical interquartile ranges (IQRs). This suggests that IEQ across countries has not shifted significantly over the observed periods. The consistency in the spread and central tendency aligns with findings from </w:t>
      </w:r>
      <w:sdt>
        <w:sdtPr>
          <w:tag w:val="MENDELEY_CITATION_v3_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LCJjb250YWluZXItdGl0bGUtc2hvcnQiOiJCdXMuIFNvYy4ifSwiaXNUZW1wb3JhcnkiOmZhbHNlfV19"/>
          <w:id w:val="-581294619"/>
          <w:placeholder>
            <w:docPart w:val="CF53DAC87A4A49719C3DF893810542FD"/>
          </w:placeholder>
        </w:sdtPr>
        <w:sdtEndPr/>
        <w:sdtContent>
          <w:r w:rsidRPr="00A73C12">
            <w:t xml:space="preserve">Daniel et al (2012) and </w:t>
          </w:r>
          <w:proofErr w:type="spellStart"/>
          <w:r w:rsidRPr="00A73C12">
            <w:t>Elamer</w:t>
          </w:r>
          <w:proofErr w:type="spellEnd"/>
          <w:r w:rsidRPr="00A73C12">
            <w:t xml:space="preserve"> et al (2020)</w:t>
          </w:r>
        </w:sdtContent>
      </w:sdt>
      <w:r w:rsidRPr="00CC1FC3">
        <w:t xml:space="preserve">, who observed that governance structures—particularly the legal, regulatory, and administrative dimensions—tend to change slowly unless disrupted by major political or economic shocks. The presence of extreme values (longer whiskers) indicates persistent disparities in governance quality among countries. </w:t>
      </w:r>
      <w:r>
        <w:t>Hence</w:t>
      </w:r>
      <w:r w:rsidRPr="00CC1FC3">
        <w:t xml:space="preserve">, this visualisation supports the argument that IEQ is a relatively stable construct over short to medium timeframes, further validating its use as a composite index for comparative cross-country governance analysis </w:t>
      </w:r>
      <w:sdt>
        <w:sdtPr>
          <w:tag w:val="MENDELEY_CITATION_v3_eyJjaXRhdGlvbklEIjoiTUVOREVMRVlfQ0lUQVRJT05fYmNkZDMzMzEtMGZkNi00MmJkLThkYjEtZWE4ZTE1YTEyZjA3IiwicHJvcGVydGllcyI6eyJub3RlSW5kZXgiOjB9LCJpc0VkaXRlZCI6ZmFsc2UsIm1hbnVhbE92ZXJyaWRlIjp7ImlzTWFudWFsbHlPdmVycmlkZGVuIjpmYWxzZSwiY2l0ZXByb2NUZXh0IjoiKEhlbGZheWEgPGk+ZXQgYWwuPC9pPiwgMjAyNS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2008047247"/>
          <w:placeholder>
            <w:docPart w:val="F4BBD4BA3AEC4F1A88837F1972859DA7"/>
          </w:placeholder>
        </w:sdtPr>
        <w:sdtEndPr/>
        <w:sdtContent>
          <w:r w:rsidRPr="00A73C12">
            <w:rPr>
              <w:rFonts w:eastAsia="Times New Roman"/>
            </w:rPr>
            <w:t xml:space="preserve">(Helfaya </w:t>
          </w:r>
          <w:r w:rsidRPr="00A73C12">
            <w:rPr>
              <w:rFonts w:eastAsia="Times New Roman"/>
              <w:i/>
              <w:iCs/>
            </w:rPr>
            <w:t>et al.</w:t>
          </w:r>
          <w:r w:rsidRPr="00A73C12">
            <w:rPr>
              <w:rFonts w:eastAsia="Times New Roman"/>
            </w:rPr>
            <w:t>, 2025)</w:t>
          </w:r>
        </w:sdtContent>
      </w:sdt>
    </w:p>
    <w:p w14:paraId="6C4CCC58" w14:textId="77777777" w:rsidR="00736F61" w:rsidRPr="00CC1FC3" w:rsidRDefault="00736F61" w:rsidP="00736F61">
      <w:pPr>
        <w:spacing w:after="0" w:line="480" w:lineRule="auto"/>
        <w:ind w:firstLine="720"/>
        <w:jc w:val="both"/>
      </w:pPr>
      <w:r w:rsidRPr="00CC1FC3">
        <w:lastRenderedPageBreak/>
        <w:t>.</w:t>
      </w:r>
      <w:r w:rsidRPr="00CC1FC3">
        <w:rPr>
          <w:noProof/>
        </w:rPr>
        <w:drawing>
          <wp:inline distT="0" distB="0" distL="0" distR="0" wp14:anchorId="0FAFC9CF" wp14:editId="65DDC564">
            <wp:extent cx="4380865" cy="2631149"/>
            <wp:effectExtent l="0" t="0" r="635" b="0"/>
            <wp:docPr id="1755052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96608" cy="2640604"/>
                    </a:xfrm>
                    <a:prstGeom prst="rect">
                      <a:avLst/>
                    </a:prstGeom>
                    <a:noFill/>
                    <a:ln>
                      <a:noFill/>
                    </a:ln>
                  </pic:spPr>
                </pic:pic>
              </a:graphicData>
            </a:graphic>
          </wp:inline>
        </w:drawing>
      </w:r>
    </w:p>
    <w:p w14:paraId="594837F0" w14:textId="77777777" w:rsidR="00736F61" w:rsidRPr="00CC1FC3" w:rsidRDefault="00736F61" w:rsidP="00736F61">
      <w:pPr>
        <w:spacing w:after="0"/>
        <w:jc w:val="center"/>
      </w:pPr>
      <w:r w:rsidRPr="00CC1FC3">
        <w:rPr>
          <w:b/>
          <w:bCs/>
        </w:rPr>
        <w:t xml:space="preserve">Figure </w:t>
      </w:r>
      <w:r>
        <w:rPr>
          <w:b/>
          <w:bCs/>
        </w:rPr>
        <w:t>5.12</w:t>
      </w:r>
      <w:r w:rsidRPr="00CC1FC3">
        <w:rPr>
          <w:b/>
          <w:bCs/>
        </w:rPr>
        <w:t>:</w:t>
      </w:r>
      <w:r w:rsidRPr="00CC1FC3">
        <w:t xml:space="preserve"> IEQ Distribution </w:t>
      </w:r>
    </w:p>
    <w:p w14:paraId="4296E8A6" w14:textId="77777777" w:rsidR="00736F61" w:rsidRPr="00CC1FC3" w:rsidRDefault="00736F61" w:rsidP="00736F61">
      <w:pPr>
        <w:jc w:val="center"/>
      </w:pPr>
    </w:p>
    <w:p w14:paraId="326808D0" w14:textId="77777777" w:rsidR="00736F61" w:rsidRPr="00CC1FC3" w:rsidRDefault="00736F61" w:rsidP="00736F61">
      <w:pPr>
        <w:pStyle w:val="Heading5"/>
        <w:rPr>
          <w:rFonts w:cs="Times New Roman"/>
        </w:rPr>
      </w:pPr>
      <w:bookmarkStart w:id="120" w:name="_Toc196915019"/>
      <w:bookmarkStart w:id="121" w:name="_Toc197080394"/>
      <w:bookmarkStart w:id="122" w:name="_Toc200010383"/>
      <w:bookmarkStart w:id="123" w:name="_Toc215651882"/>
      <w:bookmarkStart w:id="124" w:name="_Toc216557282"/>
      <w:bookmarkStart w:id="125" w:name="_Toc220848382"/>
      <w:r w:rsidRPr="00CC1FC3">
        <w:rPr>
          <w:rFonts w:cs="Times New Roman"/>
        </w:rPr>
        <w:t>5.4.1.4.2 Sustainable Development Governance Index (SDGI)</w:t>
      </w:r>
      <w:bookmarkEnd w:id="120"/>
      <w:bookmarkEnd w:id="121"/>
      <w:bookmarkEnd w:id="122"/>
      <w:bookmarkEnd w:id="123"/>
      <w:bookmarkEnd w:id="124"/>
      <w:bookmarkEnd w:id="125"/>
    </w:p>
    <w:p w14:paraId="5C26EB9A" w14:textId="77777777" w:rsidR="00736F61" w:rsidRPr="00CC1FC3" w:rsidRDefault="00736F61" w:rsidP="00736F61">
      <w:pPr>
        <w:spacing w:before="100" w:beforeAutospacing="1" w:after="100" w:afterAutospacing="1" w:line="480" w:lineRule="auto"/>
        <w:jc w:val="both"/>
      </w:pPr>
      <w:r w:rsidRPr="00CC1FC3">
        <w:t xml:space="preserve">The SDGI captures the extent to which countries align their governance structures and institutional practices with the principles and targets of the SDGs. It reflects factors such as transparency, stakeholder participation, environmental regulation, and policy coherence. As an independent variable, SDGI helps explain how sustainability-focused governance reforms contribute to improved institutional performance and reduced MS risks. This aligns with global governance theory and empirical evidence emphasising the integrative role of UN-SDGs implementation in improving public sector effectiveness and social protection systems </w:t>
      </w:r>
      <w:sdt>
        <w:sdtPr>
          <w:tag w:val="MENDELEY_CITATION_v3_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"/>
          <w:id w:val="2109618558"/>
          <w:placeholder>
            <w:docPart w:val="BAB2841F77CC4190A4A452E3964DDC86"/>
          </w:placeholder>
        </w:sdtPr>
        <w:sdtEndPr/>
        <w:sdtContent>
          <w:r w:rsidRPr="00A73C12">
            <w:t>(UNDP, 2020)</w:t>
          </w:r>
        </w:sdtContent>
      </w:sdt>
      <w:r w:rsidRPr="00CC1FC3">
        <w:t>.</w:t>
      </w:r>
    </w:p>
    <w:p w14:paraId="5C295D31" w14:textId="77777777" w:rsidR="00736F61" w:rsidRPr="00CC1FC3" w:rsidRDefault="00736F61" w:rsidP="00736F61">
      <w:pPr>
        <w:pStyle w:val="Heading5"/>
        <w:rPr>
          <w:rFonts w:cs="Times New Roman"/>
        </w:rPr>
      </w:pPr>
      <w:bookmarkStart w:id="126" w:name="_Toc196915020"/>
      <w:bookmarkStart w:id="127" w:name="_Toc197080395"/>
      <w:bookmarkStart w:id="128" w:name="_Toc200010384"/>
      <w:bookmarkStart w:id="129" w:name="_Toc215651883"/>
      <w:bookmarkStart w:id="130" w:name="_Toc216557283"/>
      <w:bookmarkStart w:id="131" w:name="_Toc220848383"/>
      <w:r w:rsidRPr="00CC1FC3">
        <w:rPr>
          <w:rFonts w:cs="Times New Roman"/>
        </w:rPr>
        <w:t>5.4.1.4.3 Inequality-adjusted Human Development Index (IHDI)</w:t>
      </w:r>
      <w:bookmarkEnd w:id="126"/>
      <w:bookmarkEnd w:id="127"/>
      <w:bookmarkEnd w:id="128"/>
      <w:bookmarkEnd w:id="129"/>
      <w:bookmarkEnd w:id="130"/>
      <w:bookmarkEnd w:id="131"/>
    </w:p>
    <w:p w14:paraId="39E9105F" w14:textId="77777777" w:rsidR="00736F61" w:rsidRPr="00CC1FC3" w:rsidRDefault="00736F61" w:rsidP="00736F61">
      <w:pPr>
        <w:spacing w:before="100" w:beforeAutospacing="1" w:after="100" w:afterAutospacing="1" w:line="480" w:lineRule="auto"/>
        <w:jc w:val="both"/>
      </w:pPr>
      <w:r w:rsidRPr="00CC1FC3">
        <w:t xml:space="preserve">The HDI is a composite measure that captures a country’s average achievement in three key dimensions of human development: health (life expectancy at birth), education (mean and expected years of schooling), and standard of living (GNI per capita). It provides a summary metric of societal well-being and development progress. Prior research (e.g., Moussa </w:t>
      </w:r>
      <w:r w:rsidRPr="00CC1FC3">
        <w:rPr>
          <w:i/>
          <w:iCs/>
        </w:rPr>
        <w:t>et al</w:t>
      </w:r>
      <w:r w:rsidRPr="00CC1FC3">
        <w:t xml:space="preserve">., 2021; Danial </w:t>
      </w:r>
      <w:r w:rsidRPr="00CC1FC3">
        <w:rPr>
          <w:i/>
          <w:iCs/>
        </w:rPr>
        <w:t>et al</w:t>
      </w:r>
      <w:r w:rsidRPr="00CC1FC3">
        <w:t xml:space="preserve">., 2021; </w:t>
      </w:r>
      <w:sdt>
        <w:sdtPr>
          <w:tag w:val="MENDELEY_CITATION_v3_eyJjaXRhdGlvbklEIjoiTUVOREVMRVlfQ0lUQVRJT05fYzk1YzZiNDgtNDdlZi00ZjZjLTlhOWItNDQ4MzVkY2YxOWFkIiwicHJvcGVydGllcyI6eyJub3RlSW5kZXgiOjB9LCJpc0VkaXRlZCI6ZmFsc2UsIm1hbnVhbE92ZXJyaWRlIjp7ImlzTWFudWFsbHlPdmVycmlkZGVuIjp0cnVlLCJjaXRlcHJvY1RleHQiOiIoSGVsZmF5YSA8aT5ldCBhbC48L2k+LCAyMDI1KSIsIm1hbnVhbE92ZXJyaWRlVGV4dCI6IkhlbGZheWEgZXQgYWwuLCAyMDI1KSJ9LCJjaXRhdGlvbkl0ZW1zIjpb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
          <w:id w:val="633297235"/>
          <w:placeholder>
            <w:docPart w:val="4D351994D6DF4976A43C3D934E8F5BDD"/>
          </w:placeholder>
        </w:sdtPr>
        <w:sdtEndPr/>
        <w:sdtContent>
          <w:r w:rsidRPr="00A73C12">
            <w:rPr>
              <w:rFonts w:eastAsia="Times New Roman"/>
            </w:rPr>
            <w:t>Helfaya et al., 2025)</w:t>
          </w:r>
        </w:sdtContent>
      </w:sdt>
      <w:r w:rsidRPr="00CC1FC3">
        <w:t xml:space="preserve"> has shown that higher HDI levels are typically </w:t>
      </w:r>
      <w:r w:rsidRPr="00CC1FC3">
        <w:lastRenderedPageBreak/>
        <w:t>associated with stronger institutions, better regulatory environments, and reduced vulnerability to exploitation. However, in this study, the IHDI is treated as an independent variable to assess its impact on MS practices. The IHDI refines the traditional HDI by accounting for inequality in health, education, and income. It reflects the actual level of human development experienced by a population, discounting the HDI according to internal disparities. A lower IHDI, relative to the HDI, signals greater inequality.</w:t>
      </w:r>
    </w:p>
    <w:p w14:paraId="3D25D1BF" w14:textId="77777777" w:rsidR="00736F61" w:rsidRPr="00CC1FC3" w:rsidRDefault="00736F61" w:rsidP="00736F61">
      <w:pPr>
        <w:spacing w:after="0" w:line="480" w:lineRule="auto"/>
        <w:ind w:firstLine="720"/>
        <w:jc w:val="both"/>
      </w:pPr>
      <w:r w:rsidRPr="00CC1FC3">
        <w:t xml:space="preserve">By incorporating IHDI into the analysis, the study investigates whether higher levels of equitable human development are associated with lower estimated PREV, reduced </w:t>
      </w:r>
      <w:r>
        <w:t>VU</w:t>
      </w:r>
      <w:r w:rsidRPr="00CC1FC3">
        <w:t>L</w:t>
      </w:r>
      <w:r>
        <w:t>N</w:t>
      </w:r>
      <w:r w:rsidRPr="00CC1FC3">
        <w:t>, and stronger MSRM. This approach allows for an examination of how inequalities in fundamental human development factors contribute to the persistence and patterns of MS across countries.</w:t>
      </w:r>
    </w:p>
    <w:p w14:paraId="6EEC5FEE" w14:textId="77777777" w:rsidR="00736F61" w:rsidRPr="00CC1FC3" w:rsidRDefault="00736F61" w:rsidP="00736F61">
      <w:pPr>
        <w:pStyle w:val="Heading4"/>
      </w:pPr>
      <w:bookmarkStart w:id="132" w:name="_Toc196915022"/>
      <w:bookmarkStart w:id="133" w:name="_Toc197080397"/>
      <w:bookmarkStart w:id="134" w:name="_Toc200010386"/>
      <w:bookmarkStart w:id="135" w:name="_Toc215651884"/>
      <w:bookmarkStart w:id="136" w:name="_Toc216557284"/>
      <w:bookmarkStart w:id="137" w:name="_Toc220848384"/>
      <w:r w:rsidRPr="00CC1FC3">
        <w:t>5.4.1.5 Control variable</w:t>
      </w:r>
      <w:bookmarkEnd w:id="132"/>
      <w:bookmarkEnd w:id="133"/>
      <w:bookmarkEnd w:id="134"/>
      <w:bookmarkEnd w:id="135"/>
      <w:bookmarkEnd w:id="136"/>
      <w:bookmarkEnd w:id="137"/>
    </w:p>
    <w:p w14:paraId="7D291B9A" w14:textId="77777777" w:rsidR="00736F61" w:rsidRPr="00CC1FC3" w:rsidRDefault="00736F61" w:rsidP="00736F61">
      <w:pPr>
        <w:spacing w:after="0" w:line="480" w:lineRule="auto"/>
        <w:jc w:val="both"/>
      </w:pPr>
      <w:r w:rsidRPr="00CC1FC3">
        <w:t>This study examines the institutional and structural determinants of MS practices by employing a set of carefully selected dependent, independent, and control variables. The three dependent variables reflect distinct but interrelated aspects of MS. The MSRM captures the extent of national efforts to address MS through legal enforcement, victim protection, and institutional coordination. A higher MSRM score indicates a stronger, more proactive state apparatus in combating exploitative practices. The VULN index measures the degree to which populations are exposed to structural and socioeconomic risk factors such as poverty, conflict, weak legal protections, and gender inequality. Higher VULN values suggest that a country’s social and institutional systems are less able to shield individuals from exploitation. The third dependent variable, PREV, quantifies the estimated number of individuals per 1,000 population living in MS conditions. This includes those subjected to forced labour, human trafficking, and forced marriage, making PREV a direct indicator of slavery practices across countries.</w:t>
      </w:r>
    </w:p>
    <w:p w14:paraId="2D14E3C0" w14:textId="77777777" w:rsidR="00736F61" w:rsidRPr="00CC1FC3" w:rsidRDefault="00736F61" w:rsidP="00736F61">
      <w:pPr>
        <w:spacing w:line="480" w:lineRule="auto"/>
        <w:ind w:firstLine="720"/>
        <w:jc w:val="both"/>
      </w:pPr>
      <w:r w:rsidRPr="00CC1FC3">
        <w:t xml:space="preserve">To understand what drives these outcomes, the study focuses on three key independent variables. The HDI is used as a proxy for a country’s level of social and economic development, </w:t>
      </w:r>
      <w:r w:rsidRPr="00CC1FC3">
        <w:lastRenderedPageBreak/>
        <w:t xml:space="preserve">combining indicators of health, education, and income. Countries with higher HDI tend to exhibit more capable governance systems and stronger legal frameworks, which may reduce the likelihood of exploitative labour systems. The SDGI reflects the extent to which countries institutionalise sustainable development principles, including policy coherence, participation, and transparency. Countries with higher SDGI scores are typically more aligned with the SDGs and thus may be more equipped to address structural vulnerabilities linked to MS. </w:t>
      </w:r>
    </w:p>
    <w:p w14:paraId="1571F985" w14:textId="77777777" w:rsidR="00736F61" w:rsidRPr="00CC1FC3" w:rsidRDefault="00736F61" w:rsidP="00736F61">
      <w:pPr>
        <w:spacing w:line="480" w:lineRule="auto"/>
        <w:ind w:firstLine="720"/>
        <w:jc w:val="both"/>
      </w:pPr>
      <w:r w:rsidRPr="00CC1FC3">
        <w:t>To account for potential confounding influences, several control variables are included in the model. GDP growth (GDPG) captures macroeconomic performance, which may affect both institutional investment and socioeconomic vulnerability. Foreign direct investment (FDI) is included to reflect a country’s integration into global markets, which may either promote governance reforms or strain regulatory capacity, depending on oversight. Inflation (INFL) is used as a proxy for economic stability, as high inflation is often associated with institutional weakness and declining public confidence. Net migration (NETMIG) serves as a demographic control, as countries experiencing high levels of emigration may be facing governance failures or economic hardship, while high immigration may signal institutional pressure. Lastly, the Female share of the population (FPOP) accounts for demographic composition and potential gender-related disparities in governance and vulnerability. These control variables help ensure that macroeconomic or demographic conditions do not confound the observed effects of the key independent variables on MS practices.</w:t>
      </w:r>
    </w:p>
    <w:p w14:paraId="507E22B4" w14:textId="77777777" w:rsidR="00736F61" w:rsidRPr="00CC1FC3" w:rsidRDefault="00736F61" w:rsidP="00736F61">
      <w:pPr>
        <w:pStyle w:val="Heading4"/>
      </w:pPr>
      <w:bookmarkStart w:id="138" w:name="_Toc196915023"/>
      <w:bookmarkStart w:id="139" w:name="_Toc197080398"/>
      <w:bookmarkStart w:id="140" w:name="_Toc200010387"/>
      <w:bookmarkStart w:id="141" w:name="_Toc215651885"/>
      <w:bookmarkStart w:id="142" w:name="_Toc216557285"/>
      <w:bookmarkStart w:id="143" w:name="_Toc220848385"/>
      <w:r w:rsidRPr="00CC1FC3">
        <w:t>5.4.1.6 Model Specification</w:t>
      </w:r>
      <w:bookmarkEnd w:id="138"/>
      <w:bookmarkEnd w:id="139"/>
      <w:bookmarkEnd w:id="140"/>
      <w:bookmarkEnd w:id="141"/>
      <w:bookmarkEnd w:id="142"/>
      <w:bookmarkEnd w:id="143"/>
    </w:p>
    <w:p w14:paraId="120646DC" w14:textId="77777777" w:rsidR="00736F61" w:rsidRPr="00CC1FC3" w:rsidRDefault="00736F61" w:rsidP="00736F61">
      <w:pPr>
        <w:spacing w:before="100" w:beforeAutospacing="1" w:after="100" w:afterAutospacing="1" w:line="480" w:lineRule="auto"/>
        <w:jc w:val="both"/>
      </w:pPr>
      <w:r w:rsidRPr="00CC1FC3">
        <w:t>To assess the influence of institutional, and developmental factors on MS practices, this study employs a series of panel regression models using data from multiple countries over three time periods (2016, 2018, and 202</w:t>
      </w:r>
      <w:r>
        <w:t>3</w:t>
      </w:r>
      <w:r w:rsidRPr="00CC1FC3">
        <w:t xml:space="preserve">). Each model estimates the effect of a single key independent variable—either IEQ, HDI, or SDGI—on three separate outcome measures: VULN, PREV, and MSRM. To account for additional structural, economic, and demographic influences, each </w:t>
      </w:r>
      <w:r w:rsidRPr="00CC1FC3">
        <w:lastRenderedPageBreak/>
        <w:t>model also includes a consistent set of control variables: GDPG, FDI, INFL, NETMIG, and FPOP. These controls ensure that other relevant national characteristics do not confound the effect of the key independent variable.</w:t>
      </w:r>
    </w:p>
    <w:p w14:paraId="15D915E1" w14:textId="77777777" w:rsidR="00736F61" w:rsidRPr="00CC1FC3" w:rsidRDefault="00736F61" w:rsidP="00736F61">
      <w:pPr>
        <w:spacing w:before="100" w:beforeAutospacing="1" w:after="100" w:afterAutospacing="1" w:line="480" w:lineRule="auto"/>
        <w:ind w:firstLine="720"/>
        <w:jc w:val="both"/>
      </w:pPr>
      <w:r w:rsidRPr="00CC1FC3">
        <w:t>The models are estimated using panel-data techniques, with both country (</w:t>
      </w:r>
      <w:proofErr w:type="spellStart"/>
      <w:r w:rsidRPr="00CC1FC3">
        <w:t>μ</w:t>
      </w:r>
      <w:r w:rsidRPr="00CC1FC3">
        <w:rPr>
          <w:vertAlign w:val="subscript"/>
        </w:rPr>
        <w:t>i</w:t>
      </w:r>
      <w:proofErr w:type="spellEnd"/>
      <w:r w:rsidRPr="00CC1FC3">
        <w:t>​) and year (</w:t>
      </w:r>
      <w:proofErr w:type="spellStart"/>
      <w:r w:rsidRPr="00CC1FC3">
        <w:t>λ</w:t>
      </w:r>
      <w:r w:rsidRPr="00CC1FC3">
        <w:rPr>
          <w:vertAlign w:val="subscript"/>
        </w:rPr>
        <w:t>t</w:t>
      </w:r>
      <w:proofErr w:type="spellEnd"/>
      <w:r w:rsidRPr="00CC1FC3">
        <w:t>​) fixed effects included to capture unobserved heterogeneity and time-specific shocks. The general form of the model is expressed using summation notation as follows:</w:t>
      </w:r>
    </w:p>
    <w:p w14:paraId="442915CE" w14:textId="77777777" w:rsidR="00736F61" w:rsidRPr="00CC1FC3" w:rsidRDefault="00736F61" w:rsidP="00736F61">
      <w:pPr>
        <w:ind w:left="720" w:firstLine="720"/>
        <w:rPr>
          <w:sz w:val="20"/>
          <w:szCs w:val="20"/>
          <w:vertAlign w:val="subscript"/>
        </w:rPr>
      </w:pPr>
      <w:r w:rsidRPr="00CC1FC3">
        <w:rPr>
          <w:rStyle w:val="mord"/>
          <w:sz w:val="20"/>
          <w:szCs w:val="20"/>
          <w:vertAlign w:val="subscript"/>
        </w:rPr>
        <w:t>k</w:t>
      </w:r>
      <w:r w:rsidRPr="00CC1FC3">
        <w:rPr>
          <w:rStyle w:val="vlist-s"/>
          <w:sz w:val="20"/>
          <w:szCs w:val="20"/>
          <w:vertAlign w:val="subscript"/>
        </w:rPr>
        <w:t>​</w:t>
      </w:r>
    </w:p>
    <w:p w14:paraId="77365B18" w14:textId="77777777" w:rsidR="00736F61" w:rsidRPr="00CC1FC3" w:rsidRDefault="00736F61" w:rsidP="00736F61">
      <w:r w:rsidRPr="00CC1FC3">
        <w:rPr>
          <w:rStyle w:val="mord"/>
        </w:rPr>
        <w:t>Y</w:t>
      </w:r>
      <w:r w:rsidRPr="00CC1FC3">
        <w:rPr>
          <w:rStyle w:val="mord"/>
          <w:vertAlign w:val="subscript"/>
        </w:rPr>
        <w:t>it</w:t>
      </w:r>
      <w:r w:rsidRPr="00CC1FC3">
        <w:rPr>
          <w:rStyle w:val="vlist-s"/>
        </w:rPr>
        <w:t>​</w:t>
      </w:r>
      <w:r w:rsidRPr="00CC1FC3">
        <w:rPr>
          <w:rStyle w:val="mrel"/>
        </w:rPr>
        <w:t xml:space="preserve">= </w:t>
      </w:r>
      <w:r w:rsidRPr="00CC1FC3">
        <w:rPr>
          <w:rStyle w:val="mord"/>
        </w:rPr>
        <w:t xml:space="preserve">α </w:t>
      </w:r>
      <w:r w:rsidRPr="00CC1FC3">
        <w:rPr>
          <w:rStyle w:val="mbin"/>
          <w:rFonts w:eastAsiaTheme="minorHAnsi"/>
        </w:rPr>
        <w:t xml:space="preserve">+ </w:t>
      </w:r>
      <w:r w:rsidRPr="00CC1FC3">
        <w:rPr>
          <w:rStyle w:val="mord"/>
        </w:rPr>
        <w:t>β</w:t>
      </w:r>
      <w:r w:rsidRPr="00CC1FC3">
        <w:rPr>
          <w:rStyle w:val="mord"/>
          <w:vertAlign w:val="subscript"/>
        </w:rPr>
        <w:t>1</w:t>
      </w:r>
      <w:r w:rsidRPr="00CC1FC3">
        <w:rPr>
          <w:rStyle w:val="vlist-s"/>
        </w:rPr>
        <w:t>​</w:t>
      </w:r>
      <w:r w:rsidRPr="00CC1FC3">
        <w:rPr>
          <w:rStyle w:val="mord"/>
        </w:rPr>
        <w:t>Z</w:t>
      </w:r>
      <w:r w:rsidRPr="00CC1FC3">
        <w:rPr>
          <w:rStyle w:val="mord"/>
          <w:vertAlign w:val="subscript"/>
        </w:rPr>
        <w:t>it</w:t>
      </w:r>
      <w:r w:rsidRPr="00CC1FC3">
        <w:rPr>
          <w:rStyle w:val="vlist-s"/>
        </w:rPr>
        <w:t>​</w:t>
      </w:r>
      <w:r w:rsidRPr="00CC1FC3">
        <w:rPr>
          <w:rStyle w:val="mbin"/>
          <w:rFonts w:eastAsiaTheme="minorHAnsi"/>
        </w:rPr>
        <w:t>+</w:t>
      </w:r>
      <w:r w:rsidRPr="00CC1FC3">
        <w:rPr>
          <w:rStyle w:val="mop"/>
        </w:rPr>
        <w:t xml:space="preserve">∑   </w:t>
      </w:r>
      <w:proofErr w:type="spellStart"/>
      <w:r w:rsidRPr="00CC1FC3">
        <w:rPr>
          <w:rStyle w:val="mord"/>
          <w:vertAlign w:val="subscript"/>
        </w:rPr>
        <w:t>γj</w:t>
      </w:r>
      <w:proofErr w:type="spellEnd"/>
      <w:r w:rsidRPr="00CC1FC3">
        <w:rPr>
          <w:rStyle w:val="vlist-s"/>
          <w:vertAlign w:val="subscript"/>
        </w:rPr>
        <w:t xml:space="preserve">​ </w:t>
      </w:r>
      <w:proofErr w:type="spellStart"/>
      <w:r w:rsidRPr="00CC1FC3">
        <w:rPr>
          <w:rStyle w:val="mord"/>
        </w:rPr>
        <w:t>X</w:t>
      </w:r>
      <w:r w:rsidRPr="00CC1FC3">
        <w:rPr>
          <w:rStyle w:val="mord"/>
          <w:vertAlign w:val="subscript"/>
        </w:rPr>
        <w:t>jit</w:t>
      </w:r>
      <w:proofErr w:type="spellEnd"/>
      <w:r w:rsidRPr="00CC1FC3">
        <w:rPr>
          <w:rStyle w:val="vlist-s"/>
        </w:rPr>
        <w:t>​</w:t>
      </w:r>
      <w:r w:rsidRPr="00CC1FC3">
        <w:rPr>
          <w:rStyle w:val="mbin"/>
          <w:rFonts w:eastAsiaTheme="minorHAnsi"/>
        </w:rPr>
        <w:t>+</w:t>
      </w:r>
      <w:proofErr w:type="spellStart"/>
      <w:r w:rsidRPr="00CC1FC3">
        <w:rPr>
          <w:rStyle w:val="mord"/>
        </w:rPr>
        <w:t>μ</w:t>
      </w:r>
      <w:r w:rsidRPr="00CC1FC3">
        <w:rPr>
          <w:rStyle w:val="mord"/>
          <w:vertAlign w:val="subscript"/>
        </w:rPr>
        <w:t>i</w:t>
      </w:r>
      <w:proofErr w:type="spellEnd"/>
      <w:r w:rsidRPr="00CC1FC3">
        <w:rPr>
          <w:rStyle w:val="vlist-s"/>
        </w:rPr>
        <w:t>​</w:t>
      </w:r>
      <w:r w:rsidRPr="00CC1FC3">
        <w:rPr>
          <w:rStyle w:val="mbin"/>
          <w:rFonts w:eastAsiaTheme="minorHAnsi"/>
        </w:rPr>
        <w:t>+</w:t>
      </w:r>
      <w:proofErr w:type="spellStart"/>
      <w:r w:rsidRPr="00CC1FC3">
        <w:rPr>
          <w:rStyle w:val="mord"/>
        </w:rPr>
        <w:t>λ</w:t>
      </w:r>
      <w:r w:rsidRPr="00CC1FC3">
        <w:rPr>
          <w:rStyle w:val="mord"/>
          <w:vertAlign w:val="subscript"/>
        </w:rPr>
        <w:t>t</w:t>
      </w:r>
      <w:proofErr w:type="spellEnd"/>
      <w:r w:rsidRPr="00CC1FC3">
        <w:rPr>
          <w:rStyle w:val="vlist-s"/>
        </w:rPr>
        <w:t>​</w:t>
      </w:r>
      <w:r w:rsidRPr="00CC1FC3">
        <w:rPr>
          <w:rStyle w:val="mbin"/>
          <w:rFonts w:eastAsiaTheme="minorHAnsi"/>
        </w:rPr>
        <w:t>+</w:t>
      </w:r>
      <w:proofErr w:type="spellStart"/>
      <w:r w:rsidRPr="00CC1FC3">
        <w:rPr>
          <w:rStyle w:val="mord"/>
        </w:rPr>
        <w:t>ε</w:t>
      </w:r>
      <w:r w:rsidRPr="00CC1FC3">
        <w:rPr>
          <w:rStyle w:val="mord"/>
          <w:vertAlign w:val="subscript"/>
        </w:rPr>
        <w:t>it</w:t>
      </w:r>
      <w:proofErr w:type="spellEnd"/>
      <w:r w:rsidRPr="00CC1FC3">
        <w:rPr>
          <w:rStyle w:val="vlist-s"/>
        </w:rPr>
        <w:t>​</w:t>
      </w:r>
    </w:p>
    <w:p w14:paraId="7B51B10F" w14:textId="77777777" w:rsidR="00736F61" w:rsidRPr="00CC1FC3" w:rsidRDefault="00736F61" w:rsidP="00736F61">
      <w:pPr>
        <w:ind w:left="720" w:firstLine="720"/>
        <w:rPr>
          <w:rStyle w:val="mord"/>
          <w:sz w:val="20"/>
          <w:szCs w:val="20"/>
          <w:vertAlign w:val="subscript"/>
        </w:rPr>
      </w:pPr>
      <w:r w:rsidRPr="00CC1FC3">
        <w:rPr>
          <w:rStyle w:val="mord"/>
          <w:sz w:val="20"/>
          <w:szCs w:val="20"/>
          <w:vertAlign w:val="subscript"/>
        </w:rPr>
        <w:t>j</w:t>
      </w:r>
      <w:r w:rsidRPr="00CC1FC3">
        <w:rPr>
          <w:rStyle w:val="mrel"/>
          <w:sz w:val="20"/>
          <w:szCs w:val="20"/>
          <w:vertAlign w:val="subscript"/>
        </w:rPr>
        <w:t>=</w:t>
      </w:r>
      <w:r w:rsidRPr="00CC1FC3">
        <w:rPr>
          <w:rStyle w:val="mord"/>
          <w:sz w:val="20"/>
          <w:szCs w:val="20"/>
          <w:vertAlign w:val="subscript"/>
        </w:rPr>
        <w:t>1</w:t>
      </w:r>
    </w:p>
    <w:p w14:paraId="08028AB5" w14:textId="77777777" w:rsidR="00736F61" w:rsidRPr="00CC1FC3" w:rsidRDefault="00736F61" w:rsidP="00736F61">
      <w:pPr>
        <w:spacing w:before="100" w:beforeAutospacing="1" w:after="100" w:afterAutospacing="1"/>
      </w:pPr>
      <w:r w:rsidRPr="00CC1FC3">
        <w:t>Where:</w:t>
      </w:r>
    </w:p>
    <w:p w14:paraId="648FF7C6" w14:textId="77777777" w:rsidR="00736F61" w:rsidRPr="00CC1FC3" w:rsidRDefault="00736F61" w:rsidP="00736F61">
      <w:pPr>
        <w:spacing w:before="100" w:beforeAutospacing="1" w:after="100" w:afterAutospacing="1"/>
        <w:ind w:firstLine="360"/>
      </w:pPr>
      <w:r w:rsidRPr="00CC1FC3">
        <w:t>Y</w:t>
      </w:r>
      <w:r w:rsidRPr="00CC1FC3">
        <w:rPr>
          <w:vertAlign w:val="subscript"/>
        </w:rPr>
        <w:t>it</w:t>
      </w:r>
      <w:r w:rsidRPr="00CC1FC3">
        <w:t xml:space="preserve">​: Dependent variable (MSRM, VULN, or PREV) for country </w:t>
      </w:r>
      <w:proofErr w:type="spellStart"/>
      <w:r w:rsidRPr="00CC1FC3">
        <w:t>i</w:t>
      </w:r>
      <w:proofErr w:type="spellEnd"/>
      <w:r w:rsidRPr="00CC1FC3">
        <w:t xml:space="preserve"> in year t</w:t>
      </w:r>
    </w:p>
    <w:p w14:paraId="022165B6" w14:textId="77777777" w:rsidR="00736F61" w:rsidRPr="00CC1FC3" w:rsidRDefault="00736F61" w:rsidP="00736F61">
      <w:pPr>
        <w:spacing w:before="100" w:beforeAutospacing="1" w:after="100" w:afterAutospacing="1"/>
        <w:ind w:firstLine="360"/>
      </w:pPr>
      <w:r w:rsidRPr="00CC1FC3">
        <w:t>Z</w:t>
      </w:r>
      <w:r w:rsidRPr="00CC1FC3">
        <w:rPr>
          <w:vertAlign w:val="subscript"/>
        </w:rPr>
        <w:t>it</w:t>
      </w:r>
      <w:r w:rsidRPr="00CC1FC3">
        <w:t>​: Key independent variable (IEQ, HDI, or SDGI)</w:t>
      </w:r>
    </w:p>
    <w:p w14:paraId="5647B77B" w14:textId="77777777" w:rsidR="00736F61" w:rsidRPr="00CC1FC3" w:rsidRDefault="00736F61" w:rsidP="00736F61">
      <w:pPr>
        <w:spacing w:before="100" w:beforeAutospacing="1" w:after="100" w:afterAutospacing="1"/>
        <w:ind w:firstLine="360"/>
      </w:pPr>
      <w:r w:rsidRPr="00CC1FC3">
        <w:t>X</w:t>
      </w:r>
      <w:r w:rsidRPr="00CC1FC3">
        <w:rPr>
          <w:vertAlign w:val="subscript"/>
        </w:rPr>
        <w:t>jit</w:t>
      </w:r>
      <w:r w:rsidRPr="00CC1FC3">
        <w:t xml:space="preserve">​: Control variable j for country </w:t>
      </w:r>
      <w:proofErr w:type="spellStart"/>
      <w:r w:rsidRPr="00CC1FC3">
        <w:t>i</w:t>
      </w:r>
      <w:proofErr w:type="spellEnd"/>
      <w:r w:rsidRPr="00CC1FC3">
        <w:t xml:space="preserve"> in year t, where j=</w:t>
      </w:r>
      <w:proofErr w:type="gramStart"/>
      <w:r w:rsidRPr="00CC1FC3">
        <w:t>1,2,...</w:t>
      </w:r>
      <w:proofErr w:type="gramEnd"/>
      <w:r w:rsidRPr="00CC1FC3">
        <w:t>,k (e.g., GDPG, FDI, INFL, NETMIG, FPOP)</w:t>
      </w:r>
    </w:p>
    <w:p w14:paraId="1856C4A7" w14:textId="77777777" w:rsidR="00736F61" w:rsidRPr="00CC1FC3" w:rsidRDefault="00736F61" w:rsidP="00736F61">
      <w:pPr>
        <w:spacing w:before="100" w:beforeAutospacing="1" w:after="100" w:afterAutospacing="1"/>
        <w:ind w:left="360"/>
      </w:pPr>
      <w:proofErr w:type="spellStart"/>
      <w:r w:rsidRPr="00CC1FC3">
        <w:t>γ</w:t>
      </w:r>
      <w:r w:rsidRPr="00CC1FC3">
        <w:rPr>
          <w:vertAlign w:val="subscript"/>
        </w:rPr>
        <w:t>j</w:t>
      </w:r>
      <w:proofErr w:type="spellEnd"/>
      <w:r w:rsidRPr="00CC1FC3">
        <w:t>​: Coefficient for control variable j</w:t>
      </w:r>
    </w:p>
    <w:p w14:paraId="53C2F26A" w14:textId="77777777" w:rsidR="00736F61" w:rsidRPr="00CC1FC3" w:rsidRDefault="00736F61" w:rsidP="00736F61">
      <w:pPr>
        <w:spacing w:before="100" w:beforeAutospacing="1" w:after="100" w:afterAutospacing="1"/>
        <w:ind w:left="360"/>
      </w:pPr>
      <w:proofErr w:type="spellStart"/>
      <w:r w:rsidRPr="00CC1FC3">
        <w:t>μ</w:t>
      </w:r>
      <w:r w:rsidRPr="00CC1FC3">
        <w:rPr>
          <w:vertAlign w:val="subscript"/>
        </w:rPr>
        <w:t>i</w:t>
      </w:r>
      <w:proofErr w:type="spellEnd"/>
      <w:r w:rsidRPr="00CC1FC3">
        <w:t>​: Country-specific fixed effect</w:t>
      </w:r>
    </w:p>
    <w:p w14:paraId="78DAABBD" w14:textId="77777777" w:rsidR="00736F61" w:rsidRPr="00CC1FC3" w:rsidRDefault="00736F61" w:rsidP="00736F61">
      <w:pPr>
        <w:spacing w:before="100" w:beforeAutospacing="1" w:after="100" w:afterAutospacing="1"/>
        <w:ind w:firstLine="360"/>
      </w:pPr>
      <w:proofErr w:type="spellStart"/>
      <w:r w:rsidRPr="00CC1FC3">
        <w:t>λ</w:t>
      </w:r>
      <w:r w:rsidRPr="00CC1FC3">
        <w:rPr>
          <w:vertAlign w:val="subscript"/>
        </w:rPr>
        <w:t>t</w:t>
      </w:r>
      <w:proofErr w:type="spellEnd"/>
      <w:r w:rsidRPr="00CC1FC3">
        <w:t>​: Year-specific fixed effect</w:t>
      </w:r>
    </w:p>
    <w:p w14:paraId="77FB6CB0" w14:textId="77777777" w:rsidR="00736F61" w:rsidRPr="00CC1FC3" w:rsidRDefault="00736F61" w:rsidP="00736F61">
      <w:pPr>
        <w:spacing w:before="100" w:beforeAutospacing="1" w:after="100" w:afterAutospacing="1"/>
        <w:ind w:firstLine="360"/>
      </w:pPr>
      <w:proofErr w:type="spellStart"/>
      <w:r w:rsidRPr="00CC1FC3">
        <w:t>ε</w:t>
      </w:r>
      <w:r w:rsidRPr="00CC1FC3">
        <w:rPr>
          <w:vertAlign w:val="subscript"/>
        </w:rPr>
        <w:t>it</w:t>
      </w:r>
      <w:proofErr w:type="spellEnd"/>
      <w:r w:rsidRPr="00CC1FC3">
        <w:t>​: Error term</w:t>
      </w:r>
    </w:p>
    <w:p w14:paraId="0385A609" w14:textId="77777777" w:rsidR="00736F61" w:rsidRPr="00CC1FC3" w:rsidRDefault="00736F61" w:rsidP="00736F61">
      <w:pPr>
        <w:spacing w:before="100" w:beforeAutospacing="1" w:after="100" w:afterAutospacing="1"/>
        <w:ind w:firstLine="360"/>
      </w:pPr>
      <w:r w:rsidRPr="00CC1FC3">
        <w:t>k: Number of control variables</w:t>
      </w:r>
    </w:p>
    <w:p w14:paraId="393F51C1" w14:textId="77777777" w:rsidR="00736F61" w:rsidRPr="00CC1FC3" w:rsidRDefault="00736F61" w:rsidP="00736F61">
      <w:pPr>
        <w:spacing w:before="100" w:beforeAutospacing="1" w:after="100" w:afterAutospacing="1"/>
        <w:ind w:firstLine="360"/>
      </w:pPr>
      <w:r w:rsidRPr="00CC1FC3">
        <w:t>n: Total number of countries</w:t>
      </w:r>
    </w:p>
    <w:p w14:paraId="4D303294" w14:textId="77777777" w:rsidR="00736F61" w:rsidRPr="00CC1FC3" w:rsidRDefault="00736F61" w:rsidP="00736F61">
      <w:pPr>
        <w:spacing w:line="480" w:lineRule="auto"/>
        <w:jc w:val="both"/>
      </w:pPr>
      <w:r w:rsidRPr="00CC1FC3">
        <w:t>This framework allows the study to isolate the unique impact of institutional and development-related variables on MS practices while accounting for unobservable heterogeneity and macro-level dynamics across countries and time.</w:t>
      </w:r>
    </w:p>
    <w:p w14:paraId="4D112CF5" w14:textId="77777777" w:rsidR="00736F61" w:rsidRPr="00CC1FC3" w:rsidRDefault="00736F61" w:rsidP="00736F61">
      <w:pPr>
        <w:pStyle w:val="Heading3"/>
        <w:rPr>
          <w:rStyle w:val="normaltextrun"/>
          <w:bCs/>
        </w:rPr>
      </w:pPr>
      <w:bookmarkStart w:id="144" w:name="_Toc215651886"/>
      <w:bookmarkStart w:id="145" w:name="_Toc216557286"/>
      <w:bookmarkStart w:id="146" w:name="_Toc220848386"/>
      <w:bookmarkStart w:id="147" w:name="_Toc221437661"/>
      <w:bookmarkStart w:id="148" w:name="_Toc216557293"/>
      <w:r w:rsidRPr="00CC1FC3">
        <w:rPr>
          <w:rStyle w:val="normaltextrun"/>
        </w:rPr>
        <w:lastRenderedPageBreak/>
        <w:t>5.4.2 Quantitative Analysis</w:t>
      </w:r>
      <w:bookmarkEnd w:id="144"/>
      <w:bookmarkEnd w:id="145"/>
      <w:bookmarkEnd w:id="146"/>
      <w:r w:rsidRPr="00CC1FC3">
        <w:rPr>
          <w:rStyle w:val="normaltextrun"/>
        </w:rPr>
        <w:t>: Meso-Level</w:t>
      </w:r>
      <w:bookmarkEnd w:id="147"/>
      <w:r w:rsidRPr="00CC1FC3">
        <w:rPr>
          <w:rStyle w:val="normaltextrun"/>
        </w:rPr>
        <w:t xml:space="preserve"> </w:t>
      </w:r>
    </w:p>
    <w:p w14:paraId="26F6A100" w14:textId="77777777" w:rsidR="00736F61" w:rsidRDefault="00736F61" w:rsidP="00736F61">
      <w:pPr>
        <w:pStyle w:val="Heading4"/>
      </w:pPr>
      <w:bookmarkStart w:id="149" w:name="_Toc215651887"/>
      <w:bookmarkStart w:id="150" w:name="_Toc216557287"/>
      <w:bookmarkStart w:id="151" w:name="_Toc220848387"/>
      <w:r w:rsidRPr="00CC1FC3">
        <w:t>5.4.2.1 Sample</w:t>
      </w:r>
      <w:bookmarkEnd w:id="149"/>
      <w:bookmarkEnd w:id="150"/>
      <w:bookmarkEnd w:id="151"/>
      <w:r w:rsidRPr="00CC1FC3">
        <w:t xml:space="preserve"> and Data </w:t>
      </w:r>
    </w:p>
    <w:p w14:paraId="5E8B495A" w14:textId="77777777" w:rsidR="00736F61" w:rsidRPr="00CC1FC3" w:rsidRDefault="00736F61" w:rsidP="00736F61">
      <w:pPr>
        <w:spacing w:after="0" w:line="480" w:lineRule="auto"/>
        <w:jc w:val="both"/>
        <w:rPr>
          <w:rFonts w:eastAsia="Times New Roman"/>
          <w:lang w:eastAsia="en-GB"/>
        </w:rPr>
      </w:pPr>
      <w:r w:rsidRPr="00CC1FC3">
        <w:rPr>
          <w:rFonts w:eastAsia="Times New Roman"/>
          <w:lang w:eastAsia="en-GB"/>
        </w:rPr>
        <w:t>The meso-level sample comprises the world’s largest MNCs, identified from the 2023 G500 ranking. To maintain comparability over time, the 2023 list was used as a fixed sample frame, and historical data for these firms were traced back to 2009–2023. This strategy ensures a balanced panel in which the same firms are consistently observed over time, eliminating distortions caused by annual changes to the G500 list. By holding the sample constant, the analysis supports robust longitudinal comparisons and enables a more accurate investigation of temporal dynamics in SGIs and corporate responses to ACMS practices.</w:t>
      </w:r>
    </w:p>
    <w:p w14:paraId="2089DF0F" w14:textId="77777777" w:rsidR="00736F61" w:rsidRPr="00CC1FC3" w:rsidRDefault="00736F61" w:rsidP="00736F61">
      <w:pPr>
        <w:spacing w:after="0" w:line="480" w:lineRule="auto"/>
        <w:ind w:firstLine="720"/>
        <w:jc w:val="both"/>
        <w:rPr>
          <w:rFonts w:eastAsia="Times New Roman"/>
          <w:lang w:eastAsia="en-GB"/>
        </w:rPr>
      </w:pPr>
      <w:r w:rsidRPr="00CC1FC3">
        <w:rPr>
          <w:rFonts w:eastAsia="Times New Roman"/>
          <w:lang w:eastAsia="en-GB"/>
        </w:rPr>
        <w:t>The initial dataset consisted of 7,500 firm-year observations from the G500 sample over 15 years (2009–2023). However, SGI's data gaps necessitated excluding several firms to ensure the accuracy and consistency of the variables used to construct the SGI and ACMS indices. Specifically, 158 firms (2,370 firm-year observations) were removed due to missing ACMS-related disclosures; 59 firms (885 observations) lacked essential SGI indicators; and an additional 28 firms (420 observations) were excluded because of incomplete control-variable data.</w:t>
      </w:r>
    </w:p>
    <w:p w14:paraId="643F025C" w14:textId="77777777" w:rsidR="00736F61" w:rsidRPr="00CC1FC3" w:rsidRDefault="00736F61" w:rsidP="00736F61">
      <w:pPr>
        <w:spacing w:after="0" w:line="480" w:lineRule="auto"/>
        <w:ind w:firstLine="720"/>
        <w:jc w:val="both"/>
        <w:rPr>
          <w:rFonts w:eastAsia="Times New Roman"/>
          <w:lang w:eastAsia="en-GB"/>
        </w:rPr>
      </w:pPr>
      <w:r w:rsidRPr="00CC1FC3">
        <w:rPr>
          <w:rFonts w:eastAsia="Times New Roman"/>
          <w:lang w:eastAsia="en-GB"/>
        </w:rPr>
        <w:t xml:space="preserve">These omissions reflect broader challenges in global corporate reporting: the absence of mandatory international standards for labour rights disclosures means that many MNCs provide inconsistent, incomplete, or strategically selective reporting on CMS-related governance. Non-disclosure may indicate weak institutional pressures in the firm's home country, limited organisational commitment to SGIs, or reputational concerns that discourage transparent reporting. After all exclusions, the final analytical sample comprised 255 firms and 3,825 firm-year observations across 33 countries. The detailed sample composition and country distribution are presented in Table </w:t>
      </w:r>
      <w:r>
        <w:rPr>
          <w:rFonts w:eastAsia="Times New Roman"/>
          <w:lang w:eastAsia="en-GB"/>
        </w:rPr>
        <w:t>5.11</w:t>
      </w:r>
      <w:r w:rsidRPr="00CC1FC3">
        <w:rPr>
          <w:rFonts w:eastAsia="Times New Roman"/>
          <w:lang w:eastAsia="en-GB"/>
        </w:rPr>
        <w:t xml:space="preserve"> below.</w:t>
      </w:r>
    </w:p>
    <w:p w14:paraId="604A814D" w14:textId="77777777" w:rsidR="00736F61" w:rsidRPr="00CC1FC3" w:rsidRDefault="00736F61" w:rsidP="00736F61">
      <w:pPr>
        <w:pStyle w:val="Caption"/>
        <w:rPr>
          <w:lang w:eastAsia="en-GB"/>
        </w:rPr>
      </w:pPr>
      <w:r w:rsidRPr="00CC1FC3">
        <w:rPr>
          <w:b/>
          <w:bCs/>
        </w:rPr>
        <w:t xml:space="preserve">Table </w:t>
      </w:r>
      <w:r>
        <w:rPr>
          <w:b/>
          <w:bCs/>
        </w:rPr>
        <w:t>5.11</w:t>
      </w:r>
      <w:r w:rsidRPr="00CC1FC3">
        <w:rPr>
          <w:b/>
          <w:bCs/>
        </w:rPr>
        <w:t>:</w:t>
      </w:r>
      <w:r w:rsidRPr="00CC1FC3">
        <w:rPr>
          <w:lang w:eastAsia="en-GB"/>
        </w:rPr>
        <w:t xml:space="preserve"> Sample and Country Composition</w:t>
      </w:r>
    </w:p>
    <w:tbl>
      <w:tblPr>
        <w:tblW w:w="9184" w:type="dxa"/>
        <w:tblBorders>
          <w:top w:val="single" w:sz="4" w:space="0" w:color="auto"/>
          <w:bottom w:val="single" w:sz="4" w:space="0" w:color="auto"/>
        </w:tblBorders>
        <w:shd w:val="clear" w:color="auto" w:fill="FFFFFF" w:themeFill="background1"/>
        <w:tblLook w:val="04A0" w:firstRow="1" w:lastRow="0" w:firstColumn="1" w:lastColumn="0" w:noHBand="0" w:noVBand="1"/>
      </w:tblPr>
      <w:tblGrid>
        <w:gridCol w:w="3173"/>
        <w:gridCol w:w="2596"/>
        <w:gridCol w:w="3415"/>
      </w:tblGrid>
      <w:tr w:rsidR="00736F61" w:rsidRPr="00783B61" w14:paraId="2EA50FF6" w14:textId="77777777" w:rsidTr="00621211">
        <w:trPr>
          <w:trHeight w:val="224"/>
        </w:trPr>
        <w:tc>
          <w:tcPr>
            <w:tcW w:w="3173"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254F46CF" w14:textId="77777777" w:rsidR="00736F61" w:rsidRPr="00783B61" w:rsidRDefault="00736F61" w:rsidP="003F224E">
            <w:pPr>
              <w:rPr>
                <w:rFonts w:eastAsia="Times New Roman"/>
                <w:sz w:val="20"/>
                <w:szCs w:val="20"/>
                <w:lang w:eastAsia="en-GB"/>
              </w:rPr>
            </w:pPr>
          </w:p>
        </w:tc>
        <w:tc>
          <w:tcPr>
            <w:tcW w:w="2596" w:type="dxa"/>
            <w:tcBorders>
              <w:top w:val="single" w:sz="4" w:space="0" w:color="auto"/>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6D5C32E3" w14:textId="77777777" w:rsidR="00736F61" w:rsidRPr="00783B61" w:rsidRDefault="00736F61" w:rsidP="003F224E">
            <w:pPr>
              <w:spacing w:after="0" w:line="240" w:lineRule="auto"/>
              <w:jc w:val="center"/>
              <w:rPr>
                <w:rFonts w:eastAsia="Times New Roman"/>
                <w:b/>
                <w:bCs/>
                <w:sz w:val="20"/>
                <w:szCs w:val="20"/>
                <w:lang w:eastAsia="en-GB"/>
              </w:rPr>
            </w:pPr>
            <w:r w:rsidRPr="00783B61">
              <w:rPr>
                <w:rFonts w:eastAsia="Times New Roman"/>
                <w:b/>
                <w:bCs/>
                <w:sz w:val="20"/>
                <w:szCs w:val="20"/>
                <w:lang w:eastAsia="en-GB"/>
              </w:rPr>
              <w:t>Sample composition</w:t>
            </w:r>
          </w:p>
        </w:tc>
        <w:tc>
          <w:tcPr>
            <w:tcW w:w="3415"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05191771" w14:textId="77777777" w:rsidR="00736F61" w:rsidRPr="00783B61" w:rsidRDefault="00736F61" w:rsidP="003F224E">
            <w:pPr>
              <w:rPr>
                <w:rFonts w:eastAsia="Times New Roman"/>
                <w:b/>
                <w:bCs/>
                <w:sz w:val="20"/>
                <w:szCs w:val="20"/>
                <w:lang w:eastAsia="en-GB"/>
              </w:rPr>
            </w:pPr>
          </w:p>
        </w:tc>
      </w:tr>
      <w:tr w:rsidR="00736F61" w:rsidRPr="00783B61" w14:paraId="11F78FB0" w14:textId="77777777" w:rsidTr="00621211">
        <w:trPr>
          <w:trHeight w:val="484"/>
        </w:trPr>
        <w:tc>
          <w:tcPr>
            <w:tcW w:w="3173" w:type="dxa"/>
            <w:tcBorders>
              <w:top w:val="single" w:sz="4" w:space="0" w:color="auto"/>
              <w:left w:val="nil"/>
              <w:bottom w:val="nil"/>
              <w:right w:val="nil"/>
            </w:tcBorders>
            <w:shd w:val="clear" w:color="auto" w:fill="FFFFFF" w:themeFill="background1"/>
            <w:noWrap/>
            <w:tcMar>
              <w:top w:w="15" w:type="dxa"/>
              <w:left w:w="108" w:type="dxa"/>
              <w:bottom w:w="15" w:type="dxa"/>
              <w:right w:w="108" w:type="dxa"/>
            </w:tcMar>
            <w:vAlign w:val="bottom"/>
            <w:hideMark/>
          </w:tcPr>
          <w:p w14:paraId="0D6215E7" w14:textId="77777777" w:rsidR="00736F61" w:rsidRPr="00783B61" w:rsidRDefault="00736F61" w:rsidP="003F224E">
            <w:pPr>
              <w:spacing w:after="0"/>
              <w:rPr>
                <w:color w:val="auto"/>
                <w:sz w:val="20"/>
                <w:szCs w:val="20"/>
                <w:lang w:eastAsia="en-GB"/>
              </w:rPr>
            </w:pPr>
          </w:p>
        </w:tc>
        <w:tc>
          <w:tcPr>
            <w:tcW w:w="2596" w:type="dxa"/>
            <w:tcBorders>
              <w:top w:val="single" w:sz="4" w:space="0" w:color="auto"/>
              <w:left w:val="nil"/>
              <w:bottom w:val="nil"/>
              <w:right w:val="nil"/>
            </w:tcBorders>
            <w:shd w:val="clear" w:color="auto" w:fill="FFFFFF" w:themeFill="background1"/>
            <w:tcMar>
              <w:top w:w="15" w:type="dxa"/>
              <w:left w:w="108" w:type="dxa"/>
              <w:bottom w:w="15" w:type="dxa"/>
              <w:right w:w="108" w:type="dxa"/>
            </w:tcMar>
            <w:vAlign w:val="bottom"/>
            <w:hideMark/>
          </w:tcPr>
          <w:p w14:paraId="06EF07FA" w14:textId="77777777" w:rsidR="00736F61" w:rsidRPr="00783B61" w:rsidRDefault="00736F61" w:rsidP="003F224E">
            <w:pPr>
              <w:spacing w:after="0" w:line="240" w:lineRule="auto"/>
              <w:jc w:val="center"/>
              <w:rPr>
                <w:rFonts w:eastAsia="Times New Roman"/>
                <w:b/>
                <w:bCs/>
                <w:sz w:val="20"/>
                <w:szCs w:val="20"/>
                <w:lang w:eastAsia="en-GB"/>
              </w:rPr>
            </w:pPr>
            <w:r w:rsidRPr="00783B61">
              <w:rPr>
                <w:rFonts w:eastAsia="Times New Roman"/>
                <w:b/>
                <w:bCs/>
                <w:sz w:val="20"/>
                <w:szCs w:val="20"/>
                <w:lang w:eastAsia="en-GB"/>
              </w:rPr>
              <w:t>Number of Firms</w:t>
            </w:r>
          </w:p>
        </w:tc>
        <w:tc>
          <w:tcPr>
            <w:tcW w:w="3415" w:type="dxa"/>
            <w:tcBorders>
              <w:top w:val="single" w:sz="4" w:space="0" w:color="auto"/>
              <w:left w:val="nil"/>
              <w:bottom w:val="nil"/>
              <w:right w:val="nil"/>
            </w:tcBorders>
            <w:shd w:val="clear" w:color="auto" w:fill="FFFFFF" w:themeFill="background1"/>
            <w:noWrap/>
            <w:tcMar>
              <w:top w:w="15" w:type="dxa"/>
              <w:left w:w="108" w:type="dxa"/>
              <w:bottom w:w="15" w:type="dxa"/>
              <w:right w:w="108" w:type="dxa"/>
            </w:tcMar>
            <w:vAlign w:val="bottom"/>
            <w:hideMark/>
          </w:tcPr>
          <w:p w14:paraId="1B11B91F" w14:textId="77777777" w:rsidR="00736F61" w:rsidRPr="00783B61" w:rsidRDefault="00736F61" w:rsidP="003F224E">
            <w:pPr>
              <w:spacing w:after="0" w:line="240" w:lineRule="auto"/>
              <w:jc w:val="center"/>
              <w:rPr>
                <w:rFonts w:eastAsia="Times New Roman"/>
                <w:b/>
                <w:bCs/>
                <w:sz w:val="20"/>
                <w:szCs w:val="20"/>
                <w:lang w:eastAsia="en-GB"/>
              </w:rPr>
            </w:pPr>
            <w:r w:rsidRPr="00783B61">
              <w:rPr>
                <w:rFonts w:eastAsia="Times New Roman"/>
                <w:b/>
                <w:bCs/>
                <w:sz w:val="20"/>
                <w:szCs w:val="20"/>
                <w:lang w:eastAsia="en-GB"/>
              </w:rPr>
              <w:t>Total number of Observations</w:t>
            </w:r>
          </w:p>
        </w:tc>
      </w:tr>
      <w:tr w:rsidR="00736F61" w:rsidRPr="00783B61" w14:paraId="5FEBF097" w14:textId="77777777" w:rsidTr="00621211">
        <w:trPr>
          <w:trHeight w:val="309"/>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15019F8" w14:textId="77777777" w:rsidR="00736F61" w:rsidRPr="00783B61" w:rsidRDefault="00736F61" w:rsidP="003F224E">
            <w:pPr>
              <w:spacing w:after="0" w:line="240" w:lineRule="auto"/>
              <w:rPr>
                <w:sz w:val="20"/>
                <w:szCs w:val="20"/>
              </w:rPr>
            </w:pPr>
            <w:r w:rsidRPr="00783B61">
              <w:rPr>
                <w:rFonts w:eastAsia="Times New Roman"/>
                <w:sz w:val="20"/>
                <w:szCs w:val="20"/>
              </w:rPr>
              <w:t>Initial Sample</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901206D"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500</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B45CD91"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7500</w:t>
            </w:r>
          </w:p>
        </w:tc>
      </w:tr>
      <w:tr w:rsidR="00736F61" w:rsidRPr="00783B61" w14:paraId="3D7996E7"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979C48B" w14:textId="77777777" w:rsidR="00736F61" w:rsidRPr="00783B61" w:rsidRDefault="00736F61" w:rsidP="003F224E">
            <w:pPr>
              <w:spacing w:after="0" w:line="240" w:lineRule="auto"/>
              <w:rPr>
                <w:rFonts w:eastAsia="Times New Roman"/>
                <w:b/>
                <w:bCs/>
                <w:sz w:val="20"/>
                <w:szCs w:val="20"/>
                <w:lang w:eastAsia="en-GB"/>
              </w:rPr>
            </w:pPr>
            <w:r w:rsidRPr="00783B61">
              <w:rPr>
                <w:rFonts w:eastAsia="Times New Roman"/>
                <w:b/>
                <w:bCs/>
                <w:sz w:val="20"/>
                <w:szCs w:val="20"/>
                <w:u w:val="single"/>
                <w:lang w:eastAsia="en-GB"/>
              </w:rPr>
              <w:t>Excluded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tcPr>
          <w:p w14:paraId="4F75F3B8" w14:textId="77777777" w:rsidR="00736F61" w:rsidRPr="00783B61" w:rsidRDefault="00736F61" w:rsidP="003F224E">
            <w:pPr>
              <w:spacing w:after="0" w:line="240" w:lineRule="auto"/>
              <w:jc w:val="center"/>
              <w:rPr>
                <w:rFonts w:eastAsia="Times New Roman"/>
                <w:b/>
                <w:bCs/>
                <w:sz w:val="20"/>
                <w:szCs w:val="20"/>
                <w:lang w:eastAsia="en-GB"/>
              </w:rPr>
            </w:pP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B13B0FB" w14:textId="77777777" w:rsidR="00736F61" w:rsidRPr="00783B61" w:rsidRDefault="00736F61" w:rsidP="003F224E">
            <w:pPr>
              <w:rPr>
                <w:rFonts w:eastAsia="Times New Roman"/>
                <w:b/>
                <w:bCs/>
                <w:sz w:val="20"/>
                <w:szCs w:val="20"/>
                <w:lang w:eastAsia="en-GB"/>
              </w:rPr>
            </w:pPr>
          </w:p>
        </w:tc>
      </w:tr>
      <w:tr w:rsidR="00736F61" w:rsidRPr="00783B61" w14:paraId="2EBCC99C"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C9EF05C" w14:textId="77777777" w:rsidR="00736F61" w:rsidRPr="00783B61" w:rsidRDefault="00736F61" w:rsidP="003F224E">
            <w:pPr>
              <w:spacing w:after="0" w:line="240" w:lineRule="auto"/>
              <w:rPr>
                <w:rFonts w:eastAsia="Times New Roman"/>
                <w:sz w:val="20"/>
                <w:szCs w:val="20"/>
              </w:rPr>
            </w:pPr>
            <w:r w:rsidRPr="00783B61">
              <w:rPr>
                <w:rFonts w:eastAsia="Times New Roman"/>
                <w:sz w:val="20"/>
                <w:szCs w:val="20"/>
              </w:rPr>
              <w:t xml:space="preserve">Missing AMS Data         </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877EE75"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C03F438"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(2370)</w:t>
            </w:r>
          </w:p>
        </w:tc>
      </w:tr>
      <w:tr w:rsidR="00736F61" w:rsidRPr="00783B61" w14:paraId="0ED5EF0B"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B8F212B" w14:textId="77777777" w:rsidR="00736F61" w:rsidRPr="00783B61" w:rsidRDefault="00736F61" w:rsidP="003F224E">
            <w:pPr>
              <w:spacing w:after="0" w:line="240" w:lineRule="auto"/>
              <w:rPr>
                <w:rFonts w:eastAsia="Times New Roman"/>
                <w:sz w:val="20"/>
                <w:szCs w:val="20"/>
              </w:rPr>
            </w:pPr>
            <w:r w:rsidRPr="00783B61">
              <w:rPr>
                <w:rFonts w:eastAsiaTheme="minorEastAsia"/>
                <w:sz w:val="20"/>
                <w:szCs w:val="20"/>
              </w:rPr>
              <w:t>Missing SGI data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CF82AA3"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(59)</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7889C03"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(885)</w:t>
            </w:r>
          </w:p>
        </w:tc>
      </w:tr>
      <w:tr w:rsidR="00736F61" w:rsidRPr="00783B61" w14:paraId="4DFD3E4B"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0402534"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Missing control variables</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7E01C2C" w14:textId="77777777" w:rsidR="00736F61" w:rsidRPr="00783B61" w:rsidRDefault="00736F61" w:rsidP="003F224E">
            <w:pPr>
              <w:spacing w:after="0" w:line="240" w:lineRule="auto"/>
              <w:jc w:val="center"/>
              <w:rPr>
                <w:rFonts w:eastAsia="Times New Roman"/>
                <w:sz w:val="20"/>
                <w:szCs w:val="20"/>
                <w:u w:val="single"/>
                <w:lang w:eastAsia="en-GB"/>
              </w:rPr>
            </w:pPr>
            <w:r w:rsidRPr="00783B61">
              <w:rPr>
                <w:rFonts w:eastAsia="Times New Roman"/>
                <w:sz w:val="20"/>
                <w:szCs w:val="20"/>
                <w:u w:val="single"/>
                <w:lang w:eastAsia="en-GB"/>
              </w:rPr>
              <w:t>(28)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BA5AD7B" w14:textId="77777777" w:rsidR="00736F61" w:rsidRPr="00783B61" w:rsidRDefault="00736F61" w:rsidP="003F224E">
            <w:pPr>
              <w:spacing w:after="0" w:line="240" w:lineRule="auto"/>
              <w:jc w:val="center"/>
              <w:rPr>
                <w:rFonts w:eastAsia="Times New Roman"/>
                <w:sz w:val="20"/>
                <w:szCs w:val="20"/>
                <w:u w:val="single"/>
                <w:lang w:eastAsia="en-GB"/>
              </w:rPr>
            </w:pPr>
            <w:r w:rsidRPr="00783B61">
              <w:rPr>
                <w:rFonts w:eastAsia="Times New Roman"/>
                <w:sz w:val="20"/>
                <w:szCs w:val="20"/>
                <w:u w:val="single"/>
                <w:lang w:eastAsia="en-GB"/>
              </w:rPr>
              <w:t>(420)</w:t>
            </w:r>
          </w:p>
        </w:tc>
      </w:tr>
      <w:tr w:rsidR="00736F61" w:rsidRPr="00783B61" w14:paraId="1CC8F512" w14:textId="77777777" w:rsidTr="00621211">
        <w:trPr>
          <w:trHeight w:val="344"/>
        </w:trPr>
        <w:tc>
          <w:tcPr>
            <w:tcW w:w="3173" w:type="dxa"/>
            <w:tcBorders>
              <w:top w:val="nil"/>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074BB1C5" w14:textId="77777777" w:rsidR="00736F61" w:rsidRPr="00783B61" w:rsidRDefault="00736F61" w:rsidP="003F224E">
            <w:pPr>
              <w:spacing w:after="0" w:line="240" w:lineRule="auto"/>
              <w:rPr>
                <w:rFonts w:eastAsia="Times New Roman"/>
                <w:b/>
                <w:bCs/>
                <w:sz w:val="20"/>
                <w:szCs w:val="20"/>
                <w:lang w:eastAsia="en-GB"/>
              </w:rPr>
            </w:pPr>
            <w:r w:rsidRPr="00783B61">
              <w:rPr>
                <w:rFonts w:eastAsia="Times New Roman"/>
                <w:b/>
                <w:bCs/>
                <w:sz w:val="20"/>
                <w:szCs w:val="20"/>
                <w:lang w:eastAsia="en-GB"/>
              </w:rPr>
              <w:t>Final Sample</w:t>
            </w:r>
          </w:p>
        </w:tc>
        <w:tc>
          <w:tcPr>
            <w:tcW w:w="2596" w:type="dxa"/>
            <w:tcBorders>
              <w:top w:val="nil"/>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7DEF82F7" w14:textId="77777777" w:rsidR="00736F61" w:rsidRPr="00783B61" w:rsidRDefault="00736F61" w:rsidP="003F224E">
            <w:pPr>
              <w:spacing w:after="0" w:line="240" w:lineRule="auto"/>
              <w:jc w:val="center"/>
              <w:rPr>
                <w:rFonts w:eastAsia="Times New Roman"/>
                <w:b/>
                <w:bCs/>
                <w:sz w:val="20"/>
                <w:szCs w:val="20"/>
                <w:lang w:eastAsia="en-GB"/>
              </w:rPr>
            </w:pPr>
            <w:r w:rsidRPr="00783B61">
              <w:rPr>
                <w:rFonts w:eastAsia="Times New Roman"/>
                <w:b/>
                <w:bCs/>
                <w:sz w:val="20"/>
                <w:szCs w:val="20"/>
                <w:lang w:eastAsia="en-GB"/>
              </w:rPr>
              <w:t>255</w:t>
            </w:r>
          </w:p>
        </w:tc>
        <w:tc>
          <w:tcPr>
            <w:tcW w:w="3415" w:type="dxa"/>
            <w:tcBorders>
              <w:top w:val="nil"/>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68804AF8" w14:textId="77777777" w:rsidR="00736F61" w:rsidRPr="00783B61" w:rsidRDefault="00736F61" w:rsidP="003F224E">
            <w:pPr>
              <w:spacing w:after="0" w:line="240" w:lineRule="auto"/>
              <w:jc w:val="center"/>
              <w:rPr>
                <w:rFonts w:eastAsia="Times New Roman"/>
                <w:b/>
                <w:bCs/>
                <w:sz w:val="20"/>
                <w:szCs w:val="20"/>
                <w:lang w:eastAsia="en-GB"/>
              </w:rPr>
            </w:pPr>
            <w:r w:rsidRPr="00783B61">
              <w:rPr>
                <w:rFonts w:eastAsia="Times New Roman"/>
                <w:b/>
                <w:bCs/>
                <w:sz w:val="20"/>
                <w:szCs w:val="20"/>
                <w:lang w:eastAsia="en-GB"/>
              </w:rPr>
              <w:t>3825</w:t>
            </w:r>
          </w:p>
        </w:tc>
      </w:tr>
      <w:tr w:rsidR="00736F61" w:rsidRPr="00783B61" w14:paraId="4D252081" w14:textId="77777777" w:rsidTr="00621211">
        <w:trPr>
          <w:trHeight w:val="224"/>
        </w:trPr>
        <w:tc>
          <w:tcPr>
            <w:tcW w:w="3173"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646E795F" w14:textId="77777777" w:rsidR="00736F61" w:rsidRPr="00783B61" w:rsidRDefault="00736F61" w:rsidP="003F224E">
            <w:pPr>
              <w:rPr>
                <w:rFonts w:eastAsia="Times New Roman"/>
                <w:b/>
                <w:bCs/>
                <w:sz w:val="20"/>
                <w:szCs w:val="20"/>
                <w:lang w:eastAsia="en-GB"/>
              </w:rPr>
            </w:pPr>
          </w:p>
        </w:tc>
        <w:tc>
          <w:tcPr>
            <w:tcW w:w="2596" w:type="dxa"/>
            <w:tcBorders>
              <w:top w:val="single" w:sz="4" w:space="0" w:color="auto"/>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7D331670" w14:textId="77777777" w:rsidR="00736F61" w:rsidRPr="00783B61" w:rsidRDefault="00736F61" w:rsidP="003F224E">
            <w:pPr>
              <w:spacing w:line="240" w:lineRule="auto"/>
              <w:jc w:val="center"/>
              <w:rPr>
                <w:rFonts w:eastAsia="Times New Roman"/>
                <w:b/>
                <w:bCs/>
                <w:sz w:val="20"/>
                <w:szCs w:val="20"/>
                <w:lang w:eastAsia="en-GB"/>
              </w:rPr>
            </w:pPr>
            <w:r w:rsidRPr="00783B61">
              <w:rPr>
                <w:rFonts w:eastAsia="Times New Roman"/>
                <w:b/>
                <w:bCs/>
                <w:sz w:val="20"/>
                <w:szCs w:val="20"/>
                <w:lang w:eastAsia="en-GB"/>
              </w:rPr>
              <w:t>Country Composition</w:t>
            </w:r>
          </w:p>
        </w:tc>
        <w:tc>
          <w:tcPr>
            <w:tcW w:w="3415"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2BF0BA3A" w14:textId="77777777" w:rsidR="00736F61" w:rsidRPr="00783B61" w:rsidRDefault="00736F61" w:rsidP="003F224E">
            <w:pPr>
              <w:rPr>
                <w:rFonts w:eastAsia="Times New Roman"/>
                <w:b/>
                <w:bCs/>
                <w:sz w:val="20"/>
                <w:szCs w:val="20"/>
                <w:lang w:eastAsia="en-GB"/>
              </w:rPr>
            </w:pPr>
          </w:p>
        </w:tc>
      </w:tr>
      <w:tr w:rsidR="00736F61" w:rsidRPr="00783B61" w14:paraId="320B09A2" w14:textId="77777777" w:rsidTr="00621211">
        <w:trPr>
          <w:trHeight w:val="224"/>
        </w:trPr>
        <w:tc>
          <w:tcPr>
            <w:tcW w:w="3173"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245CE21C" w14:textId="77777777" w:rsidR="00736F61" w:rsidRPr="00783B61" w:rsidRDefault="00736F61" w:rsidP="003F224E">
            <w:pPr>
              <w:spacing w:after="0" w:line="240" w:lineRule="auto"/>
              <w:rPr>
                <w:rFonts w:eastAsia="Times New Roman"/>
                <w:b/>
                <w:bCs/>
                <w:sz w:val="20"/>
                <w:szCs w:val="20"/>
                <w:lang w:eastAsia="en-GB"/>
              </w:rPr>
            </w:pPr>
            <w:r w:rsidRPr="00783B61">
              <w:rPr>
                <w:rFonts w:eastAsia="Times New Roman"/>
                <w:b/>
                <w:bCs/>
                <w:sz w:val="20"/>
                <w:szCs w:val="20"/>
                <w:lang w:eastAsia="en-GB"/>
              </w:rPr>
              <w:t>Country of Incorporation</w:t>
            </w:r>
          </w:p>
        </w:tc>
        <w:tc>
          <w:tcPr>
            <w:tcW w:w="2596" w:type="dxa"/>
            <w:tcBorders>
              <w:top w:val="single" w:sz="4" w:space="0" w:color="auto"/>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1A5B1F92" w14:textId="77777777" w:rsidR="00736F61" w:rsidRPr="00783B61" w:rsidRDefault="00736F61" w:rsidP="003F224E">
            <w:pPr>
              <w:spacing w:after="0" w:line="240" w:lineRule="auto"/>
              <w:jc w:val="center"/>
              <w:rPr>
                <w:rFonts w:eastAsia="Times New Roman"/>
                <w:b/>
                <w:bCs/>
                <w:sz w:val="20"/>
                <w:szCs w:val="20"/>
                <w:lang w:eastAsia="en-GB"/>
              </w:rPr>
            </w:pPr>
            <w:r w:rsidRPr="00783B61">
              <w:rPr>
                <w:rFonts w:eastAsia="Times New Roman"/>
                <w:b/>
                <w:bCs/>
                <w:sz w:val="20"/>
                <w:szCs w:val="20"/>
                <w:lang w:eastAsia="en-GB"/>
              </w:rPr>
              <w:t>Number of MNCs</w:t>
            </w:r>
          </w:p>
        </w:tc>
        <w:tc>
          <w:tcPr>
            <w:tcW w:w="3415"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34D6DDE2" w14:textId="77777777" w:rsidR="00736F61" w:rsidRPr="00783B61" w:rsidRDefault="00736F61" w:rsidP="003F224E">
            <w:pPr>
              <w:spacing w:after="0" w:line="240" w:lineRule="auto"/>
              <w:jc w:val="center"/>
              <w:rPr>
                <w:rFonts w:eastAsia="Times New Roman"/>
                <w:b/>
                <w:bCs/>
                <w:sz w:val="20"/>
                <w:szCs w:val="20"/>
                <w:lang w:eastAsia="en-GB"/>
              </w:rPr>
            </w:pPr>
            <w:r w:rsidRPr="00783B61">
              <w:rPr>
                <w:rFonts w:eastAsia="Times New Roman"/>
                <w:b/>
                <w:bCs/>
                <w:sz w:val="20"/>
                <w:szCs w:val="20"/>
                <w:lang w:eastAsia="en-GB"/>
              </w:rPr>
              <w:t>Total number of Observations</w:t>
            </w:r>
          </w:p>
        </w:tc>
      </w:tr>
      <w:tr w:rsidR="00736F61" w:rsidRPr="00783B61" w14:paraId="18358121" w14:textId="77777777" w:rsidTr="00621211">
        <w:trPr>
          <w:trHeight w:val="224"/>
        </w:trPr>
        <w:tc>
          <w:tcPr>
            <w:tcW w:w="3173" w:type="dxa"/>
            <w:tcBorders>
              <w:top w:val="single" w:sz="4" w:space="0" w:color="auto"/>
              <w:left w:val="nil"/>
              <w:bottom w:val="nil"/>
              <w:right w:val="nil"/>
            </w:tcBorders>
            <w:shd w:val="clear" w:color="auto" w:fill="FFFFFF" w:themeFill="background1"/>
            <w:noWrap/>
            <w:tcMar>
              <w:top w:w="15" w:type="dxa"/>
              <w:left w:w="108" w:type="dxa"/>
              <w:bottom w:w="15" w:type="dxa"/>
              <w:right w:w="108" w:type="dxa"/>
            </w:tcMar>
            <w:vAlign w:val="bottom"/>
            <w:hideMark/>
          </w:tcPr>
          <w:p w14:paraId="6C7D6038"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Australia</w:t>
            </w:r>
          </w:p>
        </w:tc>
        <w:tc>
          <w:tcPr>
            <w:tcW w:w="2596" w:type="dxa"/>
            <w:tcBorders>
              <w:top w:val="single" w:sz="4" w:space="0" w:color="auto"/>
              <w:left w:val="nil"/>
              <w:bottom w:val="nil"/>
              <w:right w:val="nil"/>
            </w:tcBorders>
            <w:shd w:val="clear" w:color="auto" w:fill="FFFFFF" w:themeFill="background1"/>
            <w:tcMar>
              <w:top w:w="15" w:type="dxa"/>
              <w:left w:w="108" w:type="dxa"/>
              <w:bottom w:w="15" w:type="dxa"/>
              <w:right w:w="108" w:type="dxa"/>
            </w:tcMar>
            <w:vAlign w:val="bottom"/>
            <w:hideMark/>
          </w:tcPr>
          <w:p w14:paraId="20E1326A"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2</w:t>
            </w:r>
          </w:p>
        </w:tc>
        <w:tc>
          <w:tcPr>
            <w:tcW w:w="3415" w:type="dxa"/>
            <w:tcBorders>
              <w:top w:val="single" w:sz="4" w:space="0" w:color="auto"/>
              <w:left w:val="nil"/>
              <w:bottom w:val="nil"/>
              <w:right w:val="nil"/>
            </w:tcBorders>
            <w:shd w:val="clear" w:color="auto" w:fill="FFFFFF" w:themeFill="background1"/>
            <w:noWrap/>
            <w:tcMar>
              <w:top w:w="15" w:type="dxa"/>
              <w:left w:w="108" w:type="dxa"/>
              <w:bottom w:w="15" w:type="dxa"/>
              <w:right w:w="108" w:type="dxa"/>
            </w:tcMar>
            <w:vAlign w:val="bottom"/>
            <w:hideMark/>
          </w:tcPr>
          <w:p w14:paraId="7A57DFE6"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30</w:t>
            </w:r>
          </w:p>
        </w:tc>
      </w:tr>
      <w:tr w:rsidR="00736F61" w:rsidRPr="00783B61" w14:paraId="05091773"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7A78B28"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Austria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19251E6"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55CD29F"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098AF540"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8D549A7"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Belgium</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39777252"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2</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66987C9"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30</w:t>
            </w:r>
          </w:p>
        </w:tc>
      </w:tr>
      <w:tr w:rsidR="00736F61" w:rsidRPr="00783B61" w14:paraId="565BEC5A"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2EF59D0"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Brazil</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235557EE"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5</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C1B175C"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75</w:t>
            </w:r>
          </w:p>
        </w:tc>
      </w:tr>
      <w:tr w:rsidR="00736F61" w:rsidRPr="00783B61" w14:paraId="2672C735"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F8720EC"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Canada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E06CA9D"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7</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597AA74"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105</w:t>
            </w:r>
          </w:p>
        </w:tc>
      </w:tr>
      <w:tr w:rsidR="00736F61" w:rsidRPr="00783B61" w14:paraId="1FFEAAF5"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C511665"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Cayman Islands</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6DD4E7DF"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BD04548"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4947F070"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7F13DA4"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China (Mainland)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CD67EBD"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5</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BC90169"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75</w:t>
            </w:r>
          </w:p>
        </w:tc>
      </w:tr>
      <w:tr w:rsidR="00736F61" w:rsidRPr="00783B61" w14:paraId="02F877E4"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7DFC39D"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Colombia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0E605074"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FFB33A1"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7E072827"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11C157C"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Curacao</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D70FD9A"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2BDFFB1"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68C68D56"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39C4DEF"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Denmark</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E66CE12"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2</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8FC794E"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30</w:t>
            </w:r>
          </w:p>
        </w:tc>
      </w:tr>
      <w:tr w:rsidR="00736F61" w:rsidRPr="00783B61" w14:paraId="206C3E2E"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428FA94"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France</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321CD8A"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2D715CD"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270</w:t>
            </w:r>
          </w:p>
        </w:tc>
      </w:tr>
      <w:tr w:rsidR="00736F61" w:rsidRPr="00783B61" w14:paraId="746F1F54"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39A22FB"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Germany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B3CE0D4"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17</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98A29B6"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255</w:t>
            </w:r>
          </w:p>
        </w:tc>
      </w:tr>
      <w:tr w:rsidR="00736F61" w:rsidRPr="00783B61" w14:paraId="64CAE362"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611CF27"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Hong Kong</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444EBE6"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2</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31AC37F"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30</w:t>
            </w:r>
          </w:p>
        </w:tc>
      </w:tr>
      <w:tr w:rsidR="00736F61" w:rsidRPr="00783B61" w14:paraId="316A63DB"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682175E"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India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7C75926"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9</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5B3E524"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135</w:t>
            </w:r>
          </w:p>
        </w:tc>
      </w:tr>
      <w:tr w:rsidR="00736F61" w:rsidRPr="00783B61" w14:paraId="1AF9C839"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98590DD"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Ireland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41352FC"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4</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463928C"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60</w:t>
            </w:r>
          </w:p>
        </w:tc>
      </w:tr>
      <w:tr w:rsidR="00736F61" w:rsidRPr="00783B61" w14:paraId="6253A101"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B82F17E"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Italy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69777737"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4</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7257058"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60</w:t>
            </w:r>
          </w:p>
        </w:tc>
      </w:tr>
      <w:tr w:rsidR="00736F61" w:rsidRPr="00783B61" w14:paraId="0DDAD2A2"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D5496AE"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Japan</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1255997"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27</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0EAE187"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405</w:t>
            </w:r>
          </w:p>
        </w:tc>
      </w:tr>
      <w:tr w:rsidR="00736F61" w:rsidRPr="00783B61" w14:paraId="19F3FFE6"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ECF5B7C"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Jersey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3F5543B"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5AD070B"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0EF26D8A"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0ACD84C"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Luxembourg</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1F2A8DC"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544E42E"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731516AD"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560FCC9"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Mexico</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4CE6097"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3</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C5C7C30"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45</w:t>
            </w:r>
          </w:p>
        </w:tc>
      </w:tr>
      <w:tr w:rsidR="00736F61" w:rsidRPr="00783B61" w14:paraId="6CCFF97D"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B13D181"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Netherlands</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258EFA6"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6</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8EE661A"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90</w:t>
            </w:r>
          </w:p>
        </w:tc>
      </w:tr>
      <w:tr w:rsidR="00736F61" w:rsidRPr="00783B61" w14:paraId="6F7667A2"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1A32EF8"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Norway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6C4D8BA0"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5F2676B"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41E3CA0D"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C72A41E"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Russia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50EECE3"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4</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8A2A012"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60</w:t>
            </w:r>
          </w:p>
        </w:tc>
      </w:tr>
      <w:tr w:rsidR="00736F61" w:rsidRPr="00783B61" w14:paraId="1AFC3704"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ACB23B2"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Singapore</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3E254EBD"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84A71CA"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54187D5E"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8D745C1"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South Korea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59BEAE2"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10</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98EBDE9"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150</w:t>
            </w:r>
          </w:p>
        </w:tc>
      </w:tr>
      <w:tr w:rsidR="00736F61" w:rsidRPr="00783B61" w14:paraId="2704EF29"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A8E644D"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Spain</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3AAC00E"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896AA02"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120</w:t>
            </w:r>
          </w:p>
        </w:tc>
      </w:tr>
      <w:tr w:rsidR="00736F61" w:rsidRPr="00783B61" w14:paraId="2ED28C8D"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357C8F9"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Sweden</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9C59A19"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CB5A047"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65B35DD3"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E66BF02"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Switzerland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26BA9C00"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FFF7188"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120</w:t>
            </w:r>
          </w:p>
        </w:tc>
      </w:tr>
      <w:tr w:rsidR="00736F61" w:rsidRPr="00783B61" w14:paraId="4E15ED67"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D234550"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Taiwan</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3D26E9DA"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6</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8E6173B"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90</w:t>
            </w:r>
          </w:p>
        </w:tc>
      </w:tr>
      <w:tr w:rsidR="00736F61" w:rsidRPr="00783B61" w14:paraId="5029E1D2"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A416062"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Thailand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91B72E1"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D13156E"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2D1A979D"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1C90C5A"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Turkey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8EBDB72"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B4E7CE8"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15</w:t>
            </w:r>
          </w:p>
        </w:tc>
      </w:tr>
      <w:tr w:rsidR="00736F61" w:rsidRPr="00783B61" w14:paraId="03C19E9C" w14:textId="77777777" w:rsidTr="00621211">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03738E0"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United Kingdom</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18DD739"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17</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9866447"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255</w:t>
            </w:r>
          </w:p>
        </w:tc>
      </w:tr>
      <w:tr w:rsidR="00736F61" w:rsidRPr="00783B61" w14:paraId="404BB7AB" w14:textId="77777777" w:rsidTr="00621211">
        <w:trPr>
          <w:trHeight w:val="224"/>
        </w:trPr>
        <w:tc>
          <w:tcPr>
            <w:tcW w:w="3173" w:type="dxa"/>
            <w:tcBorders>
              <w:top w:val="nil"/>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35EE7D98" w14:textId="77777777" w:rsidR="00736F61" w:rsidRPr="00783B61" w:rsidRDefault="00736F61" w:rsidP="003F224E">
            <w:pPr>
              <w:spacing w:after="0" w:line="240" w:lineRule="auto"/>
              <w:rPr>
                <w:rFonts w:eastAsia="Times New Roman"/>
                <w:sz w:val="20"/>
                <w:szCs w:val="20"/>
                <w:lang w:eastAsia="en-GB"/>
              </w:rPr>
            </w:pPr>
            <w:r w:rsidRPr="00783B61">
              <w:rPr>
                <w:rFonts w:eastAsia="Times New Roman"/>
                <w:sz w:val="20"/>
                <w:szCs w:val="20"/>
                <w:lang w:eastAsia="en-GB"/>
              </w:rPr>
              <w:t>United States</w:t>
            </w:r>
          </w:p>
        </w:tc>
        <w:tc>
          <w:tcPr>
            <w:tcW w:w="2596" w:type="dxa"/>
            <w:tcBorders>
              <w:top w:val="nil"/>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19550F88" w14:textId="77777777" w:rsidR="00736F61" w:rsidRPr="00783B61" w:rsidRDefault="00736F61" w:rsidP="003F224E">
            <w:pPr>
              <w:spacing w:after="0" w:line="240" w:lineRule="auto"/>
              <w:jc w:val="center"/>
              <w:rPr>
                <w:rFonts w:eastAsia="Times New Roman"/>
                <w:sz w:val="20"/>
                <w:szCs w:val="20"/>
                <w:lang w:eastAsia="en-GB"/>
              </w:rPr>
            </w:pPr>
            <w:r w:rsidRPr="00783B61">
              <w:rPr>
                <w:sz w:val="20"/>
                <w:szCs w:val="20"/>
              </w:rPr>
              <w:t>78</w:t>
            </w:r>
          </w:p>
        </w:tc>
        <w:tc>
          <w:tcPr>
            <w:tcW w:w="3415" w:type="dxa"/>
            <w:tcBorders>
              <w:top w:val="nil"/>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6F4189AD" w14:textId="77777777" w:rsidR="00736F61" w:rsidRPr="00783B61" w:rsidRDefault="00736F61" w:rsidP="003F224E">
            <w:pPr>
              <w:spacing w:after="0" w:line="240" w:lineRule="auto"/>
              <w:jc w:val="center"/>
              <w:rPr>
                <w:rFonts w:eastAsia="Times New Roman"/>
                <w:sz w:val="20"/>
                <w:szCs w:val="20"/>
                <w:lang w:eastAsia="en-GB"/>
              </w:rPr>
            </w:pPr>
            <w:r w:rsidRPr="00783B61">
              <w:rPr>
                <w:rFonts w:eastAsia="Times New Roman"/>
                <w:sz w:val="20"/>
                <w:szCs w:val="20"/>
                <w:lang w:eastAsia="en-GB"/>
              </w:rPr>
              <w:t>1170</w:t>
            </w:r>
          </w:p>
        </w:tc>
      </w:tr>
      <w:tr w:rsidR="00736F61" w:rsidRPr="00783B61" w14:paraId="0A9B9F65" w14:textId="77777777" w:rsidTr="00621211">
        <w:trPr>
          <w:trHeight w:val="224"/>
        </w:trPr>
        <w:tc>
          <w:tcPr>
            <w:tcW w:w="3173"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33D204D9" w14:textId="77777777" w:rsidR="00736F61" w:rsidRPr="00783B61" w:rsidRDefault="00736F61" w:rsidP="003F224E">
            <w:pPr>
              <w:spacing w:after="0" w:line="240" w:lineRule="auto"/>
              <w:rPr>
                <w:rFonts w:eastAsia="Times New Roman"/>
                <w:b/>
                <w:bCs/>
                <w:sz w:val="20"/>
                <w:szCs w:val="20"/>
                <w:lang w:eastAsia="en-GB"/>
              </w:rPr>
            </w:pPr>
            <w:r w:rsidRPr="00783B61">
              <w:rPr>
                <w:rFonts w:eastAsia="Times New Roman"/>
                <w:b/>
                <w:bCs/>
                <w:sz w:val="20"/>
                <w:szCs w:val="20"/>
                <w:lang w:eastAsia="en-GB"/>
              </w:rPr>
              <w:t>Grand Total</w:t>
            </w:r>
          </w:p>
        </w:tc>
        <w:tc>
          <w:tcPr>
            <w:tcW w:w="2596" w:type="dxa"/>
            <w:tcBorders>
              <w:top w:val="single" w:sz="4" w:space="0" w:color="auto"/>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1B10B7A0" w14:textId="77777777" w:rsidR="00736F61" w:rsidRPr="00783B61" w:rsidRDefault="00736F61" w:rsidP="003F224E">
            <w:pPr>
              <w:spacing w:after="0" w:line="240" w:lineRule="auto"/>
              <w:jc w:val="center"/>
              <w:rPr>
                <w:rFonts w:eastAsia="Times New Roman"/>
                <w:b/>
                <w:bCs/>
                <w:sz w:val="20"/>
                <w:szCs w:val="20"/>
                <w:lang w:eastAsia="en-GB"/>
              </w:rPr>
            </w:pPr>
            <w:r w:rsidRPr="00783B61">
              <w:rPr>
                <w:b/>
                <w:bCs/>
                <w:sz w:val="20"/>
                <w:szCs w:val="20"/>
              </w:rPr>
              <w:t>255</w:t>
            </w:r>
          </w:p>
        </w:tc>
        <w:tc>
          <w:tcPr>
            <w:tcW w:w="3415"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6B6130D7" w14:textId="77777777" w:rsidR="00736F61" w:rsidRPr="00783B61" w:rsidRDefault="00736F61" w:rsidP="003F224E">
            <w:pPr>
              <w:spacing w:after="0" w:line="240" w:lineRule="auto"/>
              <w:jc w:val="center"/>
              <w:rPr>
                <w:rFonts w:eastAsia="Times New Roman"/>
                <w:b/>
                <w:bCs/>
                <w:sz w:val="20"/>
                <w:szCs w:val="20"/>
                <w:lang w:eastAsia="en-GB"/>
              </w:rPr>
            </w:pPr>
            <w:r w:rsidRPr="00783B61">
              <w:rPr>
                <w:rFonts w:eastAsia="Times New Roman"/>
                <w:b/>
                <w:bCs/>
                <w:sz w:val="20"/>
                <w:szCs w:val="20"/>
                <w:lang w:eastAsia="en-GB"/>
              </w:rPr>
              <w:t>3825</w:t>
            </w:r>
          </w:p>
        </w:tc>
      </w:tr>
    </w:tbl>
    <w:p w14:paraId="0F3E9FC4" w14:textId="77777777" w:rsidR="00736F61" w:rsidRPr="00CC1FC3" w:rsidRDefault="00736F61" w:rsidP="00736F61">
      <w:pPr>
        <w:spacing w:after="0" w:line="240" w:lineRule="auto"/>
        <w:jc w:val="both"/>
      </w:pPr>
    </w:p>
    <w:p w14:paraId="7083CCE9" w14:textId="77777777" w:rsidR="00736F61" w:rsidRPr="00CC1FC3" w:rsidRDefault="00736F61" w:rsidP="00736F61">
      <w:pPr>
        <w:tabs>
          <w:tab w:val="left" w:pos="514"/>
        </w:tabs>
        <w:jc w:val="both"/>
        <w:rPr>
          <w:rFonts w:eastAsia="Times New Roman"/>
          <w:b/>
          <w:bCs/>
          <w:u w:val="single"/>
          <w:lang w:eastAsia="en-GB"/>
        </w:rPr>
      </w:pPr>
      <w:r w:rsidRPr="00CC1FC3">
        <w:rPr>
          <w:rFonts w:eastAsia="Times New Roman"/>
          <w:b/>
          <w:bCs/>
          <w:u w:val="single"/>
          <w:lang w:eastAsia="en-GB"/>
        </w:rPr>
        <w:t>Industry composition</w:t>
      </w:r>
    </w:p>
    <w:p w14:paraId="0B58F504" w14:textId="77777777" w:rsidR="00736F61" w:rsidRPr="00CC1FC3" w:rsidRDefault="00736F61" w:rsidP="00736F61">
      <w:pPr>
        <w:spacing w:after="0" w:line="480" w:lineRule="auto"/>
        <w:jc w:val="both"/>
      </w:pPr>
      <w:r w:rsidRPr="00CC1FC3">
        <w:t xml:space="preserve">The industry classification presented in Table </w:t>
      </w:r>
      <w:r>
        <w:t>5.12</w:t>
      </w:r>
      <w:r w:rsidRPr="00CC1FC3">
        <w:t xml:space="preserve"> offers a structured and analytically valuable overview of the 255 multinational firms included in the sample, organised according to two </w:t>
      </w:r>
      <w:r w:rsidRPr="00CC1FC3">
        <w:lastRenderedPageBreak/>
        <w:t xml:space="preserve">dimensions central to CMS research: (1) sectoral exposure to CMS risk, and (2) labour versus capital intensity. Of the total sample, 186 firms operate within high-risk sectors, including apparel, food processing, automotive manufacturing, logistics, airlines, mining, and chemicals—industries characterised by long, fragmented supply chains, subcontracting networks, and heightened vulnerability to labour exploitation. Conversely, 69 firms </w:t>
      </w:r>
      <w:proofErr w:type="gramStart"/>
      <w:r w:rsidRPr="00CC1FC3">
        <w:t>are located in</w:t>
      </w:r>
      <w:proofErr w:type="gramEnd"/>
      <w:r w:rsidRPr="00CC1FC3">
        <w:t xml:space="preserve"> lower-risk, service-oriented sectors, such as banking, telecommunications, insurance, and software, where supply chains are shorter and less labour-intensive.</w:t>
      </w:r>
    </w:p>
    <w:p w14:paraId="6EBC635B" w14:textId="77777777" w:rsidR="00736F61" w:rsidRPr="00CC1FC3" w:rsidRDefault="00736F61" w:rsidP="00736F61">
      <w:pPr>
        <w:spacing w:after="0" w:line="480" w:lineRule="auto"/>
        <w:ind w:firstLine="720"/>
        <w:jc w:val="both"/>
      </w:pPr>
      <w:r w:rsidRPr="00CC1FC3">
        <w:t>The classification further highlights substantial variation in production systems across the sample. Seventy-one firms operate in labour-intensive industries, where workforce conditions, informal contracting, and supplier practices play a defining role in operational outcomes. In contrast, 184 firms operate in capital-intensive sectors, such as energy, utilities, heavy manufacturing, and materials, where automation, scale efficiencies, and technological investments dominate production processes. This distribution underscores the diverse institutional and operational environments encompassed within the dataset and provides an essential analytical lens for interpreting cross-industry variability in SGIs and ACMS governance.</w:t>
      </w:r>
    </w:p>
    <w:p w14:paraId="4C3C9025" w14:textId="77777777" w:rsidR="00736F61" w:rsidRPr="00CC1FC3" w:rsidRDefault="00736F61" w:rsidP="00736F61">
      <w:pPr>
        <w:spacing w:after="0" w:line="480" w:lineRule="auto"/>
        <w:ind w:firstLine="720"/>
        <w:jc w:val="both"/>
      </w:pPr>
      <w:r w:rsidRPr="00CC1FC3">
        <w:t xml:space="preserve">Prior scholarship suggests that industry structure significantly shapes corporate behaviour, labour rights performance, and the likelihood of substantive versus symbolic compliance in addressing CMS risks </w:t>
      </w:r>
      <w:sdt>
        <w:sdtPr>
          <w:tag w:val="MENDELEY_CITATION_v3_eyJjaXRhdGlvbklEIjoiTUVOREVMRVlfQ0lUQVRJT05fYzQ4YzRjNGYtOWE4Zi00ZDI1LWI1YzctN2NhYjQyNDYxNzgwIiwicHJvcGVydGllcyI6eyJub3RlSW5kZXgiOjB9LCJpc0VkaXRlZCI6ZmFsc2UsIm1hbnVhbE92ZXJyaWRlIjp7ImlzTWFudWFsbHlPdmVycmlkZGVuIjpmYWxzZSwiY2l0ZXByb2NUZXh0IjoiKENyYW5lIDxpPmV0IGFsLjwvaT4sIDIwMTk7IFBlc3RlcmZpZWxkIGFuZCBSb2dlcnNvbiwgMjAyNDsgUm9nZXJzb24gYW5kIFBhcnJ5LCAyMDIw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4gR292L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"/>
          <w:id w:val="-716584486"/>
          <w:placeholder>
            <w:docPart w:val="222982BF7E4B43F8B0E97CB7F9849894"/>
          </w:placeholder>
        </w:sdtPr>
        <w:sdtEndPr/>
        <w:sdtContent>
          <w:r w:rsidRPr="00691D49">
            <w:rPr>
              <w:rFonts w:eastAsia="Times New Roman"/>
            </w:rPr>
            <w:t xml:space="preserve">(Crane </w:t>
          </w:r>
          <w:r w:rsidRPr="00691D49">
            <w:rPr>
              <w:rFonts w:eastAsia="Times New Roman"/>
              <w:i/>
              <w:iCs/>
            </w:rPr>
            <w:t>et al.</w:t>
          </w:r>
          <w:r w:rsidRPr="00691D49">
            <w:rPr>
              <w:rFonts w:eastAsia="Times New Roman"/>
            </w:rPr>
            <w:t>, 2019; Pesterfield and Rogerson, 2024; Rogerson and Parry, 2020)</w:t>
          </w:r>
        </w:sdtContent>
      </w:sdt>
      <w:r w:rsidRPr="00CC1FC3">
        <w:t xml:space="preserve">. Consistent with this literature, the present study adopted an industry-specific analytical strategy by categorising firms along the two </w:t>
      </w:r>
      <w:proofErr w:type="gramStart"/>
      <w:r w:rsidRPr="00CC1FC3">
        <w:t>aforementioned dimensions</w:t>
      </w:r>
      <w:proofErr w:type="gramEnd"/>
      <w:r w:rsidRPr="00CC1FC3">
        <w:t xml:space="preserve">. First, industries were classified into high- and low-risk CMS sectors, drawing on established frameworks by Allam et al. (2024) and Christ et al. (2019), which identify sectors such as agriculture, textiles, construction, and extractives as particularly vulnerable to forced labour and exploitation. Second, following the approach of Helfaya </w:t>
      </w:r>
      <w:r w:rsidRPr="00CC1FC3">
        <w:rPr>
          <w:i/>
          <w:iCs/>
        </w:rPr>
        <w:t>et al</w:t>
      </w:r>
      <w:r w:rsidRPr="00CC1FC3">
        <w:t xml:space="preserve">. (2024), firms were </w:t>
      </w:r>
      <w:r w:rsidRPr="00CC1FC3">
        <w:lastRenderedPageBreak/>
        <w:t>further categorised into labour-intensive and capital-intensive industries to capture differences in resource dependency, production organisation, and exposure to labour governance pressures.</w:t>
      </w:r>
    </w:p>
    <w:p w14:paraId="4A72BF78" w14:textId="77777777" w:rsidR="00736F61" w:rsidRPr="00CC1FC3" w:rsidRDefault="00736F61" w:rsidP="00736F61">
      <w:pPr>
        <w:spacing w:after="0" w:line="480" w:lineRule="auto"/>
        <w:ind w:firstLine="720"/>
        <w:jc w:val="both"/>
        <w:rPr>
          <w:rStyle w:val="Emphasis"/>
          <w:i w:val="0"/>
          <w:iCs w:val="0"/>
        </w:rPr>
      </w:pPr>
      <w:r w:rsidRPr="00CC1FC3">
        <w:t xml:space="preserve">This stratified classification enables a more nuanced examination of how SGIs operate under varying institutional logics and sectoral conditions. It further supports the theoretical premise of NIT by allowing the analysis to assess whether the effects of SGIs on ACMS outcomes differ across industries with distinct legitimacy pressures, regulatory scrutiny, and stakeholder expectations. A detailed presentation of the classification criteria for CMS-risk levels and industry orientation is provided in </w:t>
      </w:r>
      <w:r w:rsidRPr="00CC1FC3">
        <w:rPr>
          <w:rStyle w:val="Emphasis"/>
          <w:i w:val="0"/>
          <w:iCs w:val="0"/>
        </w:rPr>
        <w:t>Table 7.7.</w:t>
      </w:r>
    </w:p>
    <w:p w14:paraId="2F284B3E" w14:textId="77777777" w:rsidR="00736F61" w:rsidRPr="00CC1FC3" w:rsidRDefault="00736F61" w:rsidP="00736F61">
      <w:pPr>
        <w:jc w:val="both"/>
      </w:pPr>
      <w:r w:rsidRPr="00CC1FC3">
        <w:rPr>
          <w:rFonts w:eastAsia="Times New Roman"/>
          <w:b/>
          <w:bCs/>
          <w:lang w:eastAsia="en-GB"/>
        </w:rPr>
        <w:t xml:space="preserve">Table </w:t>
      </w:r>
      <w:r>
        <w:rPr>
          <w:rFonts w:eastAsia="Times New Roman"/>
          <w:b/>
          <w:bCs/>
          <w:lang w:eastAsia="en-GB"/>
        </w:rPr>
        <w:t>5.12</w:t>
      </w:r>
      <w:r w:rsidRPr="00CC1FC3">
        <w:rPr>
          <w:rFonts w:eastAsia="Times New Roman"/>
          <w:b/>
          <w:bCs/>
          <w:lang w:eastAsia="en-GB"/>
        </w:rPr>
        <w:t xml:space="preserve">: </w:t>
      </w:r>
      <w:r w:rsidRPr="00CC1FC3">
        <w:rPr>
          <w:rFonts w:eastAsia="Times New Roman"/>
          <w:lang w:eastAsia="en-GB"/>
        </w:rPr>
        <w:t xml:space="preserve"> Industry classification based on the CMS risk and Labour and capital Insensitivity</w:t>
      </w:r>
    </w:p>
    <w:tbl>
      <w:tblPr>
        <w:tblW w:w="9765" w:type="dxa"/>
        <w:tblLayout w:type="fixed"/>
        <w:tblLook w:val="04A0" w:firstRow="1" w:lastRow="0" w:firstColumn="1" w:lastColumn="0" w:noHBand="0" w:noVBand="1"/>
      </w:tblPr>
      <w:tblGrid>
        <w:gridCol w:w="505"/>
        <w:gridCol w:w="772"/>
        <w:gridCol w:w="3073"/>
        <w:gridCol w:w="1162"/>
        <w:gridCol w:w="932"/>
        <w:gridCol w:w="84"/>
        <w:gridCol w:w="971"/>
        <w:gridCol w:w="1133"/>
        <w:gridCol w:w="1133"/>
      </w:tblGrid>
      <w:tr w:rsidR="00736F61" w:rsidRPr="00CC1FC3" w14:paraId="5BCDE4A3" w14:textId="77777777" w:rsidTr="00621211">
        <w:trPr>
          <w:trHeight w:val="800"/>
        </w:trPr>
        <w:tc>
          <w:tcPr>
            <w:tcW w:w="1276" w:type="dxa"/>
            <w:gridSpan w:val="2"/>
            <w:tcBorders>
              <w:top w:val="single" w:sz="4" w:space="0" w:color="auto"/>
              <w:left w:val="nil"/>
              <w:bottom w:val="nil"/>
              <w:right w:val="nil"/>
            </w:tcBorders>
            <w:shd w:val="clear" w:color="auto" w:fill="FFFFFF" w:themeFill="background1"/>
            <w:noWrap/>
            <w:vAlign w:val="bottom"/>
            <w:hideMark/>
          </w:tcPr>
          <w:p w14:paraId="37DB4B89" w14:textId="77777777" w:rsidR="00736F61" w:rsidRPr="00CC1FC3" w:rsidRDefault="00736F61" w:rsidP="003F224E">
            <w:pPr>
              <w:spacing w:after="0" w:line="240" w:lineRule="auto"/>
              <w:jc w:val="both"/>
              <w:rPr>
                <w:rFonts w:eastAsia="Times New Roman"/>
                <w:lang w:eastAsia="en-GB"/>
              </w:rPr>
            </w:pPr>
            <w:r w:rsidRPr="00CC1FC3">
              <w:rPr>
                <w:rFonts w:eastAsia="Times New Roman"/>
                <w:b/>
                <w:bCs/>
                <w:sz w:val="18"/>
                <w:szCs w:val="18"/>
                <w:lang w:eastAsia="en-GB"/>
              </w:rPr>
              <w:t>Economic sector</w:t>
            </w:r>
            <w:r w:rsidRPr="00CC1FC3">
              <w:rPr>
                <w:rStyle w:val="FootnoteReference"/>
                <w:rFonts w:eastAsia="Times New Roman"/>
                <w:b/>
                <w:bCs/>
                <w:sz w:val="18"/>
                <w:szCs w:val="18"/>
                <w:lang w:eastAsia="en-GB"/>
              </w:rPr>
              <w:footnoteReference w:id="1"/>
            </w:r>
          </w:p>
        </w:tc>
        <w:tc>
          <w:tcPr>
            <w:tcW w:w="3075" w:type="dxa"/>
            <w:tcBorders>
              <w:top w:val="single" w:sz="4" w:space="0" w:color="auto"/>
              <w:left w:val="nil"/>
              <w:bottom w:val="nil"/>
              <w:right w:val="nil"/>
            </w:tcBorders>
            <w:shd w:val="clear" w:color="auto" w:fill="FFFFFF" w:themeFill="background1"/>
            <w:vAlign w:val="center"/>
            <w:hideMark/>
          </w:tcPr>
          <w:p w14:paraId="72EDA194"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Industry Name</w:t>
            </w:r>
          </w:p>
        </w:tc>
        <w:tc>
          <w:tcPr>
            <w:tcW w:w="1163" w:type="dxa"/>
            <w:tcBorders>
              <w:top w:val="single" w:sz="4" w:space="0" w:color="auto"/>
              <w:left w:val="nil"/>
              <w:bottom w:val="nil"/>
              <w:right w:val="nil"/>
            </w:tcBorders>
            <w:shd w:val="clear" w:color="auto" w:fill="FFFFFF" w:themeFill="background1"/>
            <w:vAlign w:val="center"/>
            <w:hideMark/>
          </w:tcPr>
          <w:p w14:paraId="215CB0AA"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Number of companies</w:t>
            </w:r>
          </w:p>
        </w:tc>
        <w:tc>
          <w:tcPr>
            <w:tcW w:w="1017" w:type="dxa"/>
            <w:gridSpan w:val="2"/>
            <w:tcBorders>
              <w:top w:val="single" w:sz="4" w:space="0" w:color="auto"/>
              <w:left w:val="nil"/>
              <w:bottom w:val="nil"/>
              <w:right w:val="nil"/>
            </w:tcBorders>
            <w:shd w:val="clear" w:color="auto" w:fill="FFFFFF" w:themeFill="background1"/>
            <w:vAlign w:val="center"/>
            <w:hideMark/>
          </w:tcPr>
          <w:p w14:paraId="7BF23402"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High-risk sectors for CMS</w:t>
            </w:r>
          </w:p>
        </w:tc>
        <w:tc>
          <w:tcPr>
            <w:tcW w:w="972" w:type="dxa"/>
            <w:tcBorders>
              <w:top w:val="single" w:sz="4" w:space="0" w:color="auto"/>
              <w:left w:val="nil"/>
              <w:bottom w:val="nil"/>
              <w:right w:val="nil"/>
            </w:tcBorders>
            <w:shd w:val="clear" w:color="auto" w:fill="FFFFFF" w:themeFill="background1"/>
            <w:vAlign w:val="center"/>
            <w:hideMark/>
          </w:tcPr>
          <w:p w14:paraId="15C23128"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Low-risk sectors for CMS</w:t>
            </w:r>
          </w:p>
        </w:tc>
        <w:tc>
          <w:tcPr>
            <w:tcW w:w="1134" w:type="dxa"/>
            <w:tcBorders>
              <w:top w:val="single" w:sz="4" w:space="0" w:color="auto"/>
              <w:left w:val="nil"/>
              <w:bottom w:val="nil"/>
              <w:right w:val="nil"/>
            </w:tcBorders>
            <w:shd w:val="clear" w:color="auto" w:fill="FFFFFF" w:themeFill="background1"/>
            <w:vAlign w:val="center"/>
            <w:hideMark/>
          </w:tcPr>
          <w:p w14:paraId="55E48BE5"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Labour-intensive Industries</w:t>
            </w:r>
          </w:p>
        </w:tc>
        <w:tc>
          <w:tcPr>
            <w:tcW w:w="1134" w:type="dxa"/>
            <w:tcBorders>
              <w:top w:val="single" w:sz="4" w:space="0" w:color="auto"/>
              <w:left w:val="nil"/>
              <w:bottom w:val="nil"/>
              <w:right w:val="nil"/>
            </w:tcBorders>
            <w:shd w:val="clear" w:color="auto" w:fill="FFFFFF" w:themeFill="background1"/>
            <w:vAlign w:val="center"/>
            <w:hideMark/>
          </w:tcPr>
          <w:p w14:paraId="3BD7AB28"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Capital Intensive Industries</w:t>
            </w:r>
          </w:p>
        </w:tc>
      </w:tr>
      <w:tr w:rsidR="00736F61" w:rsidRPr="00CC1FC3" w14:paraId="0A5CEA6D"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04C92985" w14:textId="77777777" w:rsidR="00736F61" w:rsidRPr="00CC1FC3" w:rsidRDefault="00736F61" w:rsidP="003F224E">
            <w:pPr>
              <w:spacing w:after="0" w:line="240" w:lineRule="auto"/>
              <w:jc w:val="both"/>
              <w:rPr>
                <w:rFonts w:eastAsia="Times New Roman"/>
                <w:b/>
                <w:bCs/>
                <w:i/>
                <w:iCs/>
                <w:sz w:val="18"/>
                <w:szCs w:val="18"/>
                <w:lang w:eastAsia="en-GB"/>
              </w:rPr>
            </w:pPr>
            <w:r w:rsidRPr="00CC1FC3">
              <w:rPr>
                <w:rFonts w:eastAsia="Times New Roman"/>
                <w:b/>
                <w:bCs/>
                <w:i/>
                <w:iCs/>
                <w:sz w:val="18"/>
                <w:szCs w:val="18"/>
                <w:lang w:eastAsia="en-GB"/>
              </w:rPr>
              <w:t>Communication Services</w:t>
            </w:r>
          </w:p>
        </w:tc>
        <w:tc>
          <w:tcPr>
            <w:tcW w:w="1163" w:type="dxa"/>
            <w:tcBorders>
              <w:top w:val="single" w:sz="8" w:space="0" w:color="auto"/>
              <w:left w:val="nil"/>
              <w:bottom w:val="single" w:sz="8" w:space="0" w:color="auto"/>
              <w:right w:val="nil"/>
            </w:tcBorders>
            <w:shd w:val="clear" w:color="auto" w:fill="FFFFFF" w:themeFill="background1"/>
            <w:noWrap/>
            <w:vAlign w:val="center"/>
            <w:hideMark/>
          </w:tcPr>
          <w:p w14:paraId="344A80C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14</w:t>
            </w:r>
          </w:p>
        </w:tc>
        <w:tc>
          <w:tcPr>
            <w:tcW w:w="933" w:type="dxa"/>
            <w:tcBorders>
              <w:top w:val="single" w:sz="8" w:space="0" w:color="auto"/>
              <w:left w:val="nil"/>
              <w:bottom w:val="single" w:sz="8" w:space="0" w:color="auto"/>
              <w:right w:val="nil"/>
            </w:tcBorders>
            <w:shd w:val="clear" w:color="auto" w:fill="FFFFFF" w:themeFill="background1"/>
            <w:noWrap/>
            <w:vAlign w:val="bottom"/>
            <w:hideMark/>
          </w:tcPr>
          <w:p w14:paraId="293BF5C4" w14:textId="77777777" w:rsidR="00736F61" w:rsidRPr="00CC1FC3" w:rsidRDefault="00736F61" w:rsidP="003F224E">
            <w:pPr>
              <w:spacing w:after="0" w:line="240" w:lineRule="auto"/>
              <w:jc w:val="center"/>
              <w:rPr>
                <w:rFonts w:eastAsia="Times New Roman"/>
                <w:lang w:eastAsia="en-GB"/>
              </w:rPr>
            </w:pPr>
          </w:p>
        </w:tc>
        <w:tc>
          <w:tcPr>
            <w:tcW w:w="1056" w:type="dxa"/>
            <w:gridSpan w:val="2"/>
            <w:tcBorders>
              <w:top w:val="single" w:sz="8" w:space="0" w:color="auto"/>
              <w:left w:val="nil"/>
              <w:bottom w:val="single" w:sz="8" w:space="0" w:color="auto"/>
              <w:right w:val="nil"/>
            </w:tcBorders>
            <w:shd w:val="clear" w:color="auto" w:fill="FFFFFF" w:themeFill="background1"/>
            <w:noWrap/>
            <w:vAlign w:val="center"/>
            <w:hideMark/>
          </w:tcPr>
          <w:p w14:paraId="7C502A0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14</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2A686558"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0204B9EA"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14</w:t>
            </w:r>
          </w:p>
        </w:tc>
      </w:tr>
      <w:tr w:rsidR="00736F61" w:rsidRPr="00CC1FC3" w14:paraId="77BC7DD8" w14:textId="77777777" w:rsidTr="00621211">
        <w:trPr>
          <w:trHeight w:val="226"/>
        </w:trPr>
        <w:tc>
          <w:tcPr>
            <w:tcW w:w="504" w:type="dxa"/>
            <w:shd w:val="clear" w:color="auto" w:fill="FFFFFF" w:themeFill="background1"/>
            <w:noWrap/>
            <w:vAlign w:val="bottom"/>
            <w:hideMark/>
          </w:tcPr>
          <w:p w14:paraId="299A15B8"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73FEE35"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Broadcasting</w:t>
            </w:r>
          </w:p>
        </w:tc>
        <w:tc>
          <w:tcPr>
            <w:tcW w:w="1163" w:type="dxa"/>
            <w:shd w:val="clear" w:color="auto" w:fill="FFFFFF" w:themeFill="background1"/>
            <w:noWrap/>
            <w:vAlign w:val="center"/>
            <w:hideMark/>
          </w:tcPr>
          <w:p w14:paraId="0AA21E9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bottom"/>
            <w:hideMark/>
          </w:tcPr>
          <w:p w14:paraId="087C52F3"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2486E61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6634FBB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9A8B1D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06F9D2DE" w14:textId="77777777" w:rsidTr="00621211">
        <w:trPr>
          <w:trHeight w:val="226"/>
        </w:trPr>
        <w:tc>
          <w:tcPr>
            <w:tcW w:w="504" w:type="dxa"/>
            <w:shd w:val="clear" w:color="auto" w:fill="FFFFFF" w:themeFill="background1"/>
            <w:noWrap/>
            <w:vAlign w:val="bottom"/>
            <w:hideMark/>
          </w:tcPr>
          <w:p w14:paraId="1534AC66"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0C6924F"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Integrated Telecommunications Services</w:t>
            </w:r>
          </w:p>
        </w:tc>
        <w:tc>
          <w:tcPr>
            <w:tcW w:w="1163" w:type="dxa"/>
            <w:shd w:val="clear" w:color="auto" w:fill="FFFFFF" w:themeFill="background1"/>
            <w:noWrap/>
            <w:vAlign w:val="center"/>
            <w:hideMark/>
          </w:tcPr>
          <w:p w14:paraId="7CE79E9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933" w:type="dxa"/>
            <w:shd w:val="clear" w:color="auto" w:fill="FFFFFF" w:themeFill="background1"/>
            <w:noWrap/>
            <w:vAlign w:val="bottom"/>
            <w:hideMark/>
          </w:tcPr>
          <w:p w14:paraId="5CBBE20B"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2EDB9C1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1134" w:type="dxa"/>
            <w:shd w:val="clear" w:color="auto" w:fill="FFFFFF" w:themeFill="background1"/>
            <w:noWrap/>
            <w:vAlign w:val="bottom"/>
            <w:hideMark/>
          </w:tcPr>
          <w:p w14:paraId="39FFB489"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1BDBC9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r>
      <w:tr w:rsidR="00736F61" w:rsidRPr="00CC1FC3" w14:paraId="6311E28F" w14:textId="77777777" w:rsidTr="00621211">
        <w:trPr>
          <w:trHeight w:val="226"/>
        </w:trPr>
        <w:tc>
          <w:tcPr>
            <w:tcW w:w="504" w:type="dxa"/>
            <w:shd w:val="clear" w:color="auto" w:fill="FFFFFF" w:themeFill="background1"/>
            <w:noWrap/>
            <w:vAlign w:val="bottom"/>
            <w:hideMark/>
          </w:tcPr>
          <w:p w14:paraId="391B3D7B"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65125F50"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Online Services</w:t>
            </w:r>
          </w:p>
        </w:tc>
        <w:tc>
          <w:tcPr>
            <w:tcW w:w="1163" w:type="dxa"/>
            <w:shd w:val="clear" w:color="auto" w:fill="FFFFFF" w:themeFill="background1"/>
            <w:noWrap/>
            <w:vAlign w:val="center"/>
            <w:hideMark/>
          </w:tcPr>
          <w:p w14:paraId="0CDF72C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bottom"/>
            <w:hideMark/>
          </w:tcPr>
          <w:p w14:paraId="734319A7"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703C01F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4923788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0D2D3B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6F253549"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402D6D2D"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29C24066"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Wireless Telecommunications Services</w:t>
            </w:r>
          </w:p>
        </w:tc>
        <w:tc>
          <w:tcPr>
            <w:tcW w:w="1163" w:type="dxa"/>
            <w:tcBorders>
              <w:top w:val="nil"/>
              <w:left w:val="nil"/>
              <w:bottom w:val="single" w:sz="8" w:space="0" w:color="auto"/>
              <w:right w:val="nil"/>
            </w:tcBorders>
            <w:shd w:val="clear" w:color="auto" w:fill="FFFFFF" w:themeFill="background1"/>
            <w:noWrap/>
            <w:vAlign w:val="center"/>
            <w:hideMark/>
          </w:tcPr>
          <w:p w14:paraId="1C2D55D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c>
          <w:tcPr>
            <w:tcW w:w="933" w:type="dxa"/>
            <w:tcBorders>
              <w:top w:val="nil"/>
              <w:left w:val="nil"/>
              <w:bottom w:val="single" w:sz="8" w:space="0" w:color="auto"/>
              <w:right w:val="nil"/>
            </w:tcBorders>
            <w:shd w:val="clear" w:color="auto" w:fill="FFFFFF" w:themeFill="background1"/>
            <w:noWrap/>
            <w:vAlign w:val="bottom"/>
            <w:hideMark/>
          </w:tcPr>
          <w:p w14:paraId="1243935E" w14:textId="77777777" w:rsidR="00736F61" w:rsidRPr="00CC1FC3" w:rsidRDefault="00736F61" w:rsidP="003F224E">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45794AB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c>
          <w:tcPr>
            <w:tcW w:w="1134" w:type="dxa"/>
            <w:shd w:val="clear" w:color="auto" w:fill="FFFFFF" w:themeFill="background1"/>
            <w:noWrap/>
            <w:vAlign w:val="bottom"/>
            <w:hideMark/>
          </w:tcPr>
          <w:p w14:paraId="59338ECA"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9F9CC7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r>
      <w:tr w:rsidR="00736F61" w:rsidRPr="00CC1FC3" w14:paraId="0ADC2050"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017A25BD" w14:textId="77777777" w:rsidR="00736F61" w:rsidRPr="00CC1FC3" w:rsidRDefault="00736F61" w:rsidP="003F224E">
            <w:pPr>
              <w:spacing w:after="0" w:line="240" w:lineRule="auto"/>
              <w:jc w:val="both"/>
              <w:rPr>
                <w:rFonts w:eastAsia="Times New Roman"/>
                <w:b/>
                <w:bCs/>
                <w:i/>
                <w:iCs/>
                <w:sz w:val="18"/>
                <w:szCs w:val="18"/>
                <w:lang w:eastAsia="en-GB"/>
              </w:rPr>
            </w:pPr>
            <w:r w:rsidRPr="00CC1FC3">
              <w:rPr>
                <w:rFonts w:eastAsia="Times New Roman"/>
                <w:b/>
                <w:bCs/>
                <w:i/>
                <w:iCs/>
                <w:sz w:val="18"/>
                <w:szCs w:val="18"/>
                <w:lang w:eastAsia="en-GB"/>
              </w:rPr>
              <w:t>Consumer Discretionary</w:t>
            </w:r>
          </w:p>
        </w:tc>
        <w:tc>
          <w:tcPr>
            <w:tcW w:w="1163" w:type="dxa"/>
            <w:tcBorders>
              <w:top w:val="nil"/>
              <w:left w:val="nil"/>
              <w:bottom w:val="single" w:sz="8" w:space="0" w:color="auto"/>
              <w:right w:val="nil"/>
            </w:tcBorders>
            <w:shd w:val="clear" w:color="auto" w:fill="FFFFFF" w:themeFill="background1"/>
            <w:noWrap/>
            <w:vAlign w:val="center"/>
            <w:hideMark/>
          </w:tcPr>
          <w:p w14:paraId="46066CA5"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34</w:t>
            </w:r>
          </w:p>
        </w:tc>
        <w:tc>
          <w:tcPr>
            <w:tcW w:w="933" w:type="dxa"/>
            <w:tcBorders>
              <w:top w:val="nil"/>
              <w:left w:val="nil"/>
              <w:bottom w:val="single" w:sz="8" w:space="0" w:color="auto"/>
              <w:right w:val="nil"/>
            </w:tcBorders>
            <w:shd w:val="clear" w:color="auto" w:fill="FFFFFF" w:themeFill="background1"/>
            <w:noWrap/>
            <w:vAlign w:val="bottom"/>
            <w:hideMark/>
          </w:tcPr>
          <w:p w14:paraId="7F82DD7D" w14:textId="77777777" w:rsidR="00736F61" w:rsidRPr="00CC1FC3" w:rsidRDefault="00736F61" w:rsidP="003F224E">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5A781120"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34</w:t>
            </w: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4B35D742"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11</w:t>
            </w: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6B8FE8A0"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23</w:t>
            </w:r>
          </w:p>
        </w:tc>
      </w:tr>
      <w:tr w:rsidR="00736F61" w:rsidRPr="00CC1FC3" w14:paraId="6C0B7FF5" w14:textId="77777777" w:rsidTr="00621211">
        <w:trPr>
          <w:trHeight w:val="226"/>
        </w:trPr>
        <w:tc>
          <w:tcPr>
            <w:tcW w:w="504" w:type="dxa"/>
            <w:shd w:val="clear" w:color="auto" w:fill="FFFFFF" w:themeFill="background1"/>
            <w:noWrap/>
            <w:vAlign w:val="bottom"/>
            <w:hideMark/>
          </w:tcPr>
          <w:p w14:paraId="39D05CFA"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098BBA57"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Apparel &amp; Accessories</w:t>
            </w:r>
          </w:p>
        </w:tc>
        <w:tc>
          <w:tcPr>
            <w:tcW w:w="1163" w:type="dxa"/>
            <w:shd w:val="clear" w:color="auto" w:fill="FFFFFF" w:themeFill="background1"/>
            <w:noWrap/>
            <w:vAlign w:val="center"/>
            <w:hideMark/>
          </w:tcPr>
          <w:p w14:paraId="5078551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33649FF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36593C9E"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8773F3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31C19F5D" w14:textId="77777777" w:rsidR="00736F61" w:rsidRPr="00CC1FC3" w:rsidRDefault="00736F61" w:rsidP="003F224E">
            <w:pPr>
              <w:spacing w:after="0" w:line="240" w:lineRule="auto"/>
              <w:jc w:val="center"/>
              <w:rPr>
                <w:rFonts w:eastAsia="Times New Roman"/>
                <w:lang w:eastAsia="en-GB"/>
              </w:rPr>
            </w:pPr>
          </w:p>
        </w:tc>
      </w:tr>
      <w:tr w:rsidR="00736F61" w:rsidRPr="00CC1FC3" w14:paraId="25E3154E" w14:textId="77777777" w:rsidTr="00621211">
        <w:trPr>
          <w:trHeight w:val="226"/>
        </w:trPr>
        <w:tc>
          <w:tcPr>
            <w:tcW w:w="504" w:type="dxa"/>
            <w:shd w:val="clear" w:color="auto" w:fill="FFFFFF" w:themeFill="background1"/>
            <w:noWrap/>
            <w:vAlign w:val="bottom"/>
            <w:hideMark/>
          </w:tcPr>
          <w:p w14:paraId="1038DDA8"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09C2F0D"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Apparel &amp; Accessories Retailers</w:t>
            </w:r>
          </w:p>
        </w:tc>
        <w:tc>
          <w:tcPr>
            <w:tcW w:w="1163" w:type="dxa"/>
            <w:shd w:val="clear" w:color="auto" w:fill="FFFFFF" w:themeFill="background1"/>
            <w:noWrap/>
            <w:vAlign w:val="center"/>
            <w:hideMark/>
          </w:tcPr>
          <w:p w14:paraId="32C5E85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6D6EB9DA"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4BDCCA2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043C14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725AF12C" w14:textId="77777777" w:rsidR="00736F61" w:rsidRPr="00CC1FC3" w:rsidRDefault="00736F61" w:rsidP="003F224E">
            <w:pPr>
              <w:spacing w:after="0" w:line="240" w:lineRule="auto"/>
              <w:jc w:val="center"/>
              <w:rPr>
                <w:rFonts w:eastAsia="Times New Roman"/>
                <w:lang w:eastAsia="en-GB"/>
              </w:rPr>
            </w:pPr>
          </w:p>
        </w:tc>
      </w:tr>
      <w:tr w:rsidR="00736F61" w:rsidRPr="00CC1FC3" w14:paraId="45170765" w14:textId="77777777" w:rsidTr="00621211">
        <w:trPr>
          <w:trHeight w:val="226"/>
        </w:trPr>
        <w:tc>
          <w:tcPr>
            <w:tcW w:w="504" w:type="dxa"/>
            <w:shd w:val="clear" w:color="auto" w:fill="FFFFFF" w:themeFill="background1"/>
            <w:noWrap/>
            <w:vAlign w:val="bottom"/>
            <w:hideMark/>
          </w:tcPr>
          <w:p w14:paraId="13B50F9B"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4245E9D"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Auto &amp; Truck Manufacturers</w:t>
            </w:r>
          </w:p>
        </w:tc>
        <w:tc>
          <w:tcPr>
            <w:tcW w:w="1163" w:type="dxa"/>
            <w:shd w:val="clear" w:color="auto" w:fill="FFFFFF" w:themeFill="background1"/>
            <w:noWrap/>
            <w:vAlign w:val="center"/>
            <w:hideMark/>
          </w:tcPr>
          <w:p w14:paraId="224E747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14</w:t>
            </w:r>
          </w:p>
        </w:tc>
        <w:tc>
          <w:tcPr>
            <w:tcW w:w="933" w:type="dxa"/>
            <w:shd w:val="clear" w:color="auto" w:fill="FFFFFF" w:themeFill="background1"/>
            <w:noWrap/>
            <w:vAlign w:val="center"/>
            <w:hideMark/>
          </w:tcPr>
          <w:p w14:paraId="36D5F0D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14</w:t>
            </w:r>
          </w:p>
        </w:tc>
        <w:tc>
          <w:tcPr>
            <w:tcW w:w="1056" w:type="dxa"/>
            <w:gridSpan w:val="2"/>
            <w:shd w:val="clear" w:color="auto" w:fill="FFFFFF" w:themeFill="background1"/>
            <w:noWrap/>
            <w:vAlign w:val="bottom"/>
            <w:hideMark/>
          </w:tcPr>
          <w:p w14:paraId="488611A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5A5FCC18"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82596C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14</w:t>
            </w:r>
          </w:p>
        </w:tc>
      </w:tr>
      <w:tr w:rsidR="00736F61" w:rsidRPr="00CC1FC3" w14:paraId="4E3735B0" w14:textId="77777777" w:rsidTr="00621211">
        <w:trPr>
          <w:trHeight w:val="226"/>
        </w:trPr>
        <w:tc>
          <w:tcPr>
            <w:tcW w:w="504" w:type="dxa"/>
            <w:shd w:val="clear" w:color="auto" w:fill="FFFFFF" w:themeFill="background1"/>
            <w:noWrap/>
            <w:vAlign w:val="bottom"/>
            <w:hideMark/>
          </w:tcPr>
          <w:p w14:paraId="1F838E20"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4F032B3"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Auto, Truck &amp; Motorcycle Parts</w:t>
            </w:r>
          </w:p>
        </w:tc>
        <w:tc>
          <w:tcPr>
            <w:tcW w:w="1163" w:type="dxa"/>
            <w:shd w:val="clear" w:color="auto" w:fill="FFFFFF" w:themeFill="background1"/>
            <w:noWrap/>
            <w:vAlign w:val="center"/>
            <w:hideMark/>
          </w:tcPr>
          <w:p w14:paraId="5DD5C50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933" w:type="dxa"/>
            <w:shd w:val="clear" w:color="auto" w:fill="FFFFFF" w:themeFill="background1"/>
            <w:noWrap/>
            <w:vAlign w:val="center"/>
            <w:hideMark/>
          </w:tcPr>
          <w:p w14:paraId="6CF4B31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1056" w:type="dxa"/>
            <w:gridSpan w:val="2"/>
            <w:shd w:val="clear" w:color="auto" w:fill="FFFFFF" w:themeFill="background1"/>
            <w:noWrap/>
            <w:vAlign w:val="bottom"/>
            <w:hideMark/>
          </w:tcPr>
          <w:p w14:paraId="0287B534"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2B3F4DC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696B1F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r>
      <w:tr w:rsidR="00736F61" w:rsidRPr="00CC1FC3" w14:paraId="0D351406" w14:textId="77777777" w:rsidTr="00621211">
        <w:trPr>
          <w:trHeight w:val="226"/>
        </w:trPr>
        <w:tc>
          <w:tcPr>
            <w:tcW w:w="504" w:type="dxa"/>
            <w:shd w:val="clear" w:color="auto" w:fill="FFFFFF" w:themeFill="background1"/>
            <w:noWrap/>
            <w:vAlign w:val="bottom"/>
            <w:hideMark/>
          </w:tcPr>
          <w:p w14:paraId="371387AA"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03485FBA"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Computer &amp; Electronics Retailers</w:t>
            </w:r>
          </w:p>
        </w:tc>
        <w:tc>
          <w:tcPr>
            <w:tcW w:w="1163" w:type="dxa"/>
            <w:shd w:val="clear" w:color="auto" w:fill="FFFFFF" w:themeFill="background1"/>
            <w:noWrap/>
            <w:vAlign w:val="center"/>
            <w:hideMark/>
          </w:tcPr>
          <w:p w14:paraId="0A8D035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5EC4FC5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461266A0"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AF7D36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2076EB7E" w14:textId="77777777" w:rsidR="00736F61" w:rsidRPr="00CC1FC3" w:rsidRDefault="00736F61" w:rsidP="003F224E">
            <w:pPr>
              <w:spacing w:after="0" w:line="240" w:lineRule="auto"/>
              <w:jc w:val="center"/>
              <w:rPr>
                <w:rFonts w:eastAsia="Times New Roman"/>
                <w:lang w:eastAsia="en-GB"/>
              </w:rPr>
            </w:pPr>
          </w:p>
        </w:tc>
      </w:tr>
      <w:tr w:rsidR="00736F61" w:rsidRPr="00CC1FC3" w14:paraId="6E8AFAF3" w14:textId="77777777" w:rsidTr="00621211">
        <w:trPr>
          <w:trHeight w:val="226"/>
        </w:trPr>
        <w:tc>
          <w:tcPr>
            <w:tcW w:w="504" w:type="dxa"/>
            <w:shd w:val="clear" w:color="auto" w:fill="FFFFFF" w:themeFill="background1"/>
            <w:noWrap/>
            <w:vAlign w:val="bottom"/>
            <w:hideMark/>
          </w:tcPr>
          <w:p w14:paraId="484DD616"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6D1AF4C3"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Department Stores</w:t>
            </w:r>
          </w:p>
        </w:tc>
        <w:tc>
          <w:tcPr>
            <w:tcW w:w="1163" w:type="dxa"/>
            <w:shd w:val="clear" w:color="auto" w:fill="FFFFFF" w:themeFill="background1"/>
            <w:noWrap/>
            <w:vAlign w:val="center"/>
            <w:hideMark/>
          </w:tcPr>
          <w:p w14:paraId="3E2CD6D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593A2B6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279FE49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C1123F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789E5E0C" w14:textId="77777777" w:rsidR="00736F61" w:rsidRPr="00CC1FC3" w:rsidRDefault="00736F61" w:rsidP="003F224E">
            <w:pPr>
              <w:spacing w:after="0" w:line="240" w:lineRule="auto"/>
              <w:jc w:val="center"/>
              <w:rPr>
                <w:rFonts w:eastAsia="Times New Roman"/>
                <w:lang w:eastAsia="en-GB"/>
              </w:rPr>
            </w:pPr>
          </w:p>
        </w:tc>
      </w:tr>
      <w:tr w:rsidR="00736F61" w:rsidRPr="00CC1FC3" w14:paraId="62EFC76B" w14:textId="77777777" w:rsidTr="00621211">
        <w:trPr>
          <w:trHeight w:val="226"/>
        </w:trPr>
        <w:tc>
          <w:tcPr>
            <w:tcW w:w="504" w:type="dxa"/>
            <w:shd w:val="clear" w:color="auto" w:fill="FFFFFF" w:themeFill="background1"/>
            <w:noWrap/>
            <w:vAlign w:val="bottom"/>
            <w:hideMark/>
          </w:tcPr>
          <w:p w14:paraId="64CA4193"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3E4283A3"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Discount Stores</w:t>
            </w:r>
          </w:p>
        </w:tc>
        <w:tc>
          <w:tcPr>
            <w:tcW w:w="1163" w:type="dxa"/>
            <w:shd w:val="clear" w:color="auto" w:fill="FFFFFF" w:themeFill="background1"/>
            <w:noWrap/>
            <w:vAlign w:val="center"/>
            <w:hideMark/>
          </w:tcPr>
          <w:p w14:paraId="18C0D8E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394D39A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62AAB169"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964E3E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3E872DAB" w14:textId="77777777" w:rsidR="00736F61" w:rsidRPr="00CC1FC3" w:rsidRDefault="00736F61" w:rsidP="003F224E">
            <w:pPr>
              <w:spacing w:after="0" w:line="240" w:lineRule="auto"/>
              <w:jc w:val="center"/>
              <w:rPr>
                <w:rFonts w:eastAsia="Times New Roman"/>
                <w:lang w:eastAsia="en-GB"/>
              </w:rPr>
            </w:pPr>
          </w:p>
        </w:tc>
      </w:tr>
      <w:tr w:rsidR="00736F61" w:rsidRPr="00CC1FC3" w14:paraId="07C37303" w14:textId="77777777" w:rsidTr="00621211">
        <w:trPr>
          <w:trHeight w:val="226"/>
        </w:trPr>
        <w:tc>
          <w:tcPr>
            <w:tcW w:w="504" w:type="dxa"/>
            <w:shd w:val="clear" w:color="auto" w:fill="FFFFFF" w:themeFill="background1"/>
            <w:noWrap/>
            <w:vAlign w:val="bottom"/>
            <w:hideMark/>
          </w:tcPr>
          <w:p w14:paraId="23C24CF5"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00F1ADC"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Footwear</w:t>
            </w:r>
          </w:p>
        </w:tc>
        <w:tc>
          <w:tcPr>
            <w:tcW w:w="1163" w:type="dxa"/>
            <w:shd w:val="clear" w:color="auto" w:fill="FFFFFF" w:themeFill="background1"/>
            <w:noWrap/>
            <w:vAlign w:val="center"/>
            <w:hideMark/>
          </w:tcPr>
          <w:p w14:paraId="0E864B2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50FEF4D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60046AE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485BE4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39E0FFD5" w14:textId="77777777" w:rsidR="00736F61" w:rsidRPr="00CC1FC3" w:rsidRDefault="00736F61" w:rsidP="003F224E">
            <w:pPr>
              <w:spacing w:after="0" w:line="240" w:lineRule="auto"/>
              <w:jc w:val="center"/>
              <w:rPr>
                <w:rFonts w:eastAsia="Times New Roman"/>
                <w:lang w:eastAsia="en-GB"/>
              </w:rPr>
            </w:pPr>
          </w:p>
        </w:tc>
      </w:tr>
      <w:tr w:rsidR="00736F61" w:rsidRPr="00CC1FC3" w14:paraId="2FFE1570" w14:textId="77777777" w:rsidTr="00621211">
        <w:trPr>
          <w:trHeight w:val="226"/>
        </w:trPr>
        <w:tc>
          <w:tcPr>
            <w:tcW w:w="504" w:type="dxa"/>
            <w:shd w:val="clear" w:color="auto" w:fill="FFFFFF" w:themeFill="background1"/>
            <w:noWrap/>
            <w:vAlign w:val="bottom"/>
            <w:hideMark/>
          </w:tcPr>
          <w:p w14:paraId="701FEB64"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396491A"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Home Improvement Products &amp; Services Retailers</w:t>
            </w:r>
          </w:p>
        </w:tc>
        <w:tc>
          <w:tcPr>
            <w:tcW w:w="1163" w:type="dxa"/>
            <w:shd w:val="clear" w:color="auto" w:fill="FFFFFF" w:themeFill="background1"/>
            <w:noWrap/>
            <w:vAlign w:val="center"/>
            <w:hideMark/>
          </w:tcPr>
          <w:p w14:paraId="077F21F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3346F16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43A89D44"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6A61C2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1D931E4C" w14:textId="77777777" w:rsidR="00736F61" w:rsidRPr="00CC1FC3" w:rsidRDefault="00736F61" w:rsidP="003F224E">
            <w:pPr>
              <w:spacing w:after="0" w:line="240" w:lineRule="auto"/>
              <w:jc w:val="center"/>
              <w:rPr>
                <w:rFonts w:eastAsia="Times New Roman"/>
                <w:lang w:eastAsia="en-GB"/>
              </w:rPr>
            </w:pPr>
          </w:p>
        </w:tc>
      </w:tr>
      <w:tr w:rsidR="00736F61" w:rsidRPr="00CC1FC3" w14:paraId="7EE73BA0" w14:textId="77777777" w:rsidTr="00621211">
        <w:trPr>
          <w:trHeight w:val="226"/>
        </w:trPr>
        <w:tc>
          <w:tcPr>
            <w:tcW w:w="504" w:type="dxa"/>
            <w:shd w:val="clear" w:color="auto" w:fill="FFFFFF" w:themeFill="background1"/>
            <w:noWrap/>
            <w:vAlign w:val="bottom"/>
            <w:hideMark/>
          </w:tcPr>
          <w:p w14:paraId="41893CA2"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48E7EF9D"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Household Electronics</w:t>
            </w:r>
          </w:p>
        </w:tc>
        <w:tc>
          <w:tcPr>
            <w:tcW w:w="1163" w:type="dxa"/>
            <w:shd w:val="clear" w:color="auto" w:fill="FFFFFF" w:themeFill="background1"/>
            <w:noWrap/>
            <w:vAlign w:val="center"/>
            <w:hideMark/>
          </w:tcPr>
          <w:p w14:paraId="04E02EE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2775329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56225AF7"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7F089197"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6C6423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6EE50CAE" w14:textId="77777777" w:rsidTr="00621211">
        <w:trPr>
          <w:trHeight w:val="226"/>
        </w:trPr>
        <w:tc>
          <w:tcPr>
            <w:tcW w:w="504" w:type="dxa"/>
            <w:shd w:val="clear" w:color="auto" w:fill="FFFFFF" w:themeFill="background1"/>
            <w:noWrap/>
            <w:vAlign w:val="bottom"/>
            <w:hideMark/>
          </w:tcPr>
          <w:p w14:paraId="07E76ECD"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549263BF"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Oil &amp; Gas Refining and Marketing</w:t>
            </w:r>
          </w:p>
        </w:tc>
        <w:tc>
          <w:tcPr>
            <w:tcW w:w="1163" w:type="dxa"/>
            <w:shd w:val="clear" w:color="auto" w:fill="FFFFFF" w:themeFill="background1"/>
            <w:noWrap/>
            <w:vAlign w:val="center"/>
            <w:hideMark/>
          </w:tcPr>
          <w:p w14:paraId="0F0975D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78FAC90A"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47FF823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0333BF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88F5CBA"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5478AA2D" w14:textId="77777777" w:rsidTr="00621211">
        <w:trPr>
          <w:trHeight w:val="226"/>
        </w:trPr>
        <w:tc>
          <w:tcPr>
            <w:tcW w:w="504" w:type="dxa"/>
            <w:shd w:val="clear" w:color="auto" w:fill="FFFFFF" w:themeFill="background1"/>
            <w:noWrap/>
            <w:vAlign w:val="bottom"/>
            <w:hideMark/>
          </w:tcPr>
          <w:p w14:paraId="6424697E"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63EFF165"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Restaurants &amp; Bars</w:t>
            </w:r>
          </w:p>
        </w:tc>
        <w:tc>
          <w:tcPr>
            <w:tcW w:w="1163" w:type="dxa"/>
            <w:shd w:val="clear" w:color="auto" w:fill="FFFFFF" w:themeFill="background1"/>
            <w:noWrap/>
            <w:vAlign w:val="center"/>
            <w:hideMark/>
          </w:tcPr>
          <w:p w14:paraId="070C9BB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09BF78A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11847417"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1664C8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6C92BD65" w14:textId="77777777" w:rsidR="00736F61" w:rsidRPr="00CC1FC3" w:rsidRDefault="00736F61" w:rsidP="003F224E">
            <w:pPr>
              <w:spacing w:after="0" w:line="240" w:lineRule="auto"/>
              <w:jc w:val="center"/>
              <w:rPr>
                <w:rFonts w:eastAsia="Times New Roman"/>
                <w:lang w:eastAsia="en-GB"/>
              </w:rPr>
            </w:pPr>
          </w:p>
        </w:tc>
      </w:tr>
      <w:tr w:rsidR="00736F61" w:rsidRPr="00CC1FC3" w14:paraId="7DB35D3B"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34255C23"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184C71C0"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Tires &amp; Rubber Products</w:t>
            </w:r>
          </w:p>
        </w:tc>
        <w:tc>
          <w:tcPr>
            <w:tcW w:w="1163" w:type="dxa"/>
            <w:tcBorders>
              <w:top w:val="nil"/>
              <w:left w:val="nil"/>
              <w:bottom w:val="single" w:sz="8" w:space="0" w:color="auto"/>
              <w:right w:val="nil"/>
            </w:tcBorders>
            <w:shd w:val="clear" w:color="auto" w:fill="FFFFFF" w:themeFill="background1"/>
            <w:noWrap/>
            <w:vAlign w:val="center"/>
            <w:hideMark/>
          </w:tcPr>
          <w:p w14:paraId="47B48DB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74ADA3C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44721F7B"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692E7F1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7CE3AD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7637F412"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650CA38E" w14:textId="77777777" w:rsidR="00736F61" w:rsidRPr="00CC1FC3" w:rsidRDefault="00736F61" w:rsidP="003F224E">
            <w:pPr>
              <w:spacing w:after="0" w:line="240" w:lineRule="auto"/>
              <w:jc w:val="both"/>
              <w:rPr>
                <w:rFonts w:eastAsia="Times New Roman"/>
                <w:b/>
                <w:bCs/>
                <w:i/>
                <w:iCs/>
                <w:sz w:val="18"/>
                <w:szCs w:val="18"/>
                <w:lang w:eastAsia="en-GB"/>
              </w:rPr>
            </w:pPr>
            <w:r w:rsidRPr="00CC1FC3">
              <w:rPr>
                <w:rFonts w:eastAsia="Times New Roman"/>
                <w:b/>
                <w:bCs/>
                <w:i/>
                <w:iCs/>
                <w:sz w:val="18"/>
                <w:szCs w:val="18"/>
                <w:lang w:eastAsia="en-GB"/>
              </w:rPr>
              <w:t>Consumer Staples</w:t>
            </w:r>
          </w:p>
        </w:tc>
        <w:tc>
          <w:tcPr>
            <w:tcW w:w="1163" w:type="dxa"/>
            <w:tcBorders>
              <w:top w:val="nil"/>
              <w:left w:val="nil"/>
              <w:bottom w:val="single" w:sz="8" w:space="0" w:color="auto"/>
              <w:right w:val="nil"/>
            </w:tcBorders>
            <w:shd w:val="clear" w:color="auto" w:fill="FFFFFF" w:themeFill="background1"/>
            <w:noWrap/>
            <w:vAlign w:val="center"/>
            <w:hideMark/>
          </w:tcPr>
          <w:p w14:paraId="30EB79FE"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31</w:t>
            </w:r>
          </w:p>
        </w:tc>
        <w:tc>
          <w:tcPr>
            <w:tcW w:w="933" w:type="dxa"/>
            <w:tcBorders>
              <w:top w:val="nil"/>
              <w:left w:val="nil"/>
              <w:bottom w:val="single" w:sz="8" w:space="0" w:color="auto"/>
              <w:right w:val="nil"/>
            </w:tcBorders>
            <w:shd w:val="clear" w:color="auto" w:fill="FFFFFF" w:themeFill="background1"/>
            <w:noWrap/>
            <w:vAlign w:val="center"/>
            <w:hideMark/>
          </w:tcPr>
          <w:p w14:paraId="54B3E555"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1471C27A"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6B3E7891"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31</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56A43FFF" w14:textId="77777777" w:rsidR="00736F61" w:rsidRPr="00CC1FC3" w:rsidRDefault="00736F61" w:rsidP="003F224E">
            <w:pPr>
              <w:spacing w:after="0" w:line="240" w:lineRule="auto"/>
              <w:jc w:val="center"/>
              <w:rPr>
                <w:rFonts w:eastAsia="Times New Roman"/>
                <w:lang w:eastAsia="en-GB"/>
              </w:rPr>
            </w:pPr>
          </w:p>
        </w:tc>
      </w:tr>
      <w:tr w:rsidR="00736F61" w:rsidRPr="00CC1FC3" w14:paraId="2E663195" w14:textId="77777777" w:rsidTr="00621211">
        <w:trPr>
          <w:trHeight w:val="226"/>
        </w:trPr>
        <w:tc>
          <w:tcPr>
            <w:tcW w:w="504" w:type="dxa"/>
            <w:shd w:val="clear" w:color="auto" w:fill="FFFFFF" w:themeFill="background1"/>
            <w:noWrap/>
            <w:vAlign w:val="bottom"/>
            <w:hideMark/>
          </w:tcPr>
          <w:p w14:paraId="5B9B5FF5"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2BD18EF"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Brewers</w:t>
            </w:r>
          </w:p>
        </w:tc>
        <w:tc>
          <w:tcPr>
            <w:tcW w:w="1163" w:type="dxa"/>
            <w:shd w:val="clear" w:color="auto" w:fill="FFFFFF" w:themeFill="background1"/>
            <w:noWrap/>
            <w:vAlign w:val="center"/>
            <w:hideMark/>
          </w:tcPr>
          <w:p w14:paraId="5B728E5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54CBBA2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26B26C5A"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5F372E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078C5A05" w14:textId="77777777" w:rsidR="00736F61" w:rsidRPr="00CC1FC3" w:rsidRDefault="00736F61" w:rsidP="003F224E">
            <w:pPr>
              <w:spacing w:after="0" w:line="240" w:lineRule="auto"/>
              <w:jc w:val="center"/>
              <w:rPr>
                <w:rFonts w:eastAsia="Times New Roman"/>
                <w:lang w:eastAsia="en-GB"/>
              </w:rPr>
            </w:pPr>
          </w:p>
        </w:tc>
      </w:tr>
      <w:tr w:rsidR="00736F61" w:rsidRPr="00CC1FC3" w14:paraId="7355B76F" w14:textId="77777777" w:rsidTr="00621211">
        <w:trPr>
          <w:trHeight w:val="226"/>
        </w:trPr>
        <w:tc>
          <w:tcPr>
            <w:tcW w:w="504" w:type="dxa"/>
            <w:shd w:val="clear" w:color="auto" w:fill="FFFFFF" w:themeFill="background1"/>
            <w:noWrap/>
            <w:vAlign w:val="bottom"/>
            <w:hideMark/>
          </w:tcPr>
          <w:p w14:paraId="2188EAB6"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CA109D5"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Discount Stores</w:t>
            </w:r>
          </w:p>
        </w:tc>
        <w:tc>
          <w:tcPr>
            <w:tcW w:w="1163" w:type="dxa"/>
            <w:shd w:val="clear" w:color="auto" w:fill="FFFFFF" w:themeFill="background1"/>
            <w:noWrap/>
            <w:vAlign w:val="center"/>
            <w:hideMark/>
          </w:tcPr>
          <w:p w14:paraId="6902EF5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shd w:val="clear" w:color="auto" w:fill="FFFFFF" w:themeFill="background1"/>
            <w:noWrap/>
            <w:vAlign w:val="center"/>
            <w:hideMark/>
          </w:tcPr>
          <w:p w14:paraId="30A3E67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056" w:type="dxa"/>
            <w:gridSpan w:val="2"/>
            <w:shd w:val="clear" w:color="auto" w:fill="FFFFFF" w:themeFill="background1"/>
            <w:noWrap/>
            <w:vAlign w:val="bottom"/>
            <w:hideMark/>
          </w:tcPr>
          <w:p w14:paraId="1ACC6C19"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F5BB5E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134" w:type="dxa"/>
            <w:shd w:val="clear" w:color="auto" w:fill="FFFFFF" w:themeFill="background1"/>
            <w:noWrap/>
            <w:vAlign w:val="bottom"/>
            <w:hideMark/>
          </w:tcPr>
          <w:p w14:paraId="6C5E28F2" w14:textId="77777777" w:rsidR="00736F61" w:rsidRPr="00CC1FC3" w:rsidRDefault="00736F61" w:rsidP="003F224E">
            <w:pPr>
              <w:spacing w:after="0" w:line="240" w:lineRule="auto"/>
              <w:jc w:val="center"/>
              <w:rPr>
                <w:rFonts w:eastAsia="Times New Roman"/>
                <w:lang w:eastAsia="en-GB"/>
              </w:rPr>
            </w:pPr>
          </w:p>
        </w:tc>
      </w:tr>
      <w:tr w:rsidR="00736F61" w:rsidRPr="00CC1FC3" w14:paraId="75A70009" w14:textId="77777777" w:rsidTr="00621211">
        <w:trPr>
          <w:trHeight w:val="226"/>
        </w:trPr>
        <w:tc>
          <w:tcPr>
            <w:tcW w:w="504" w:type="dxa"/>
            <w:shd w:val="clear" w:color="auto" w:fill="FFFFFF" w:themeFill="background1"/>
            <w:noWrap/>
            <w:vAlign w:val="bottom"/>
            <w:hideMark/>
          </w:tcPr>
          <w:p w14:paraId="3A6B1057"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385EAC8D"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Drug Retailers</w:t>
            </w:r>
          </w:p>
        </w:tc>
        <w:tc>
          <w:tcPr>
            <w:tcW w:w="1163" w:type="dxa"/>
            <w:shd w:val="clear" w:color="auto" w:fill="FFFFFF" w:themeFill="background1"/>
            <w:noWrap/>
            <w:vAlign w:val="center"/>
            <w:hideMark/>
          </w:tcPr>
          <w:p w14:paraId="230E79F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7D6A8D7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7BC0FA2B"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54A46D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7D8BC239" w14:textId="77777777" w:rsidR="00736F61" w:rsidRPr="00CC1FC3" w:rsidRDefault="00736F61" w:rsidP="003F224E">
            <w:pPr>
              <w:spacing w:after="0" w:line="240" w:lineRule="auto"/>
              <w:jc w:val="center"/>
              <w:rPr>
                <w:rFonts w:eastAsia="Times New Roman"/>
                <w:lang w:eastAsia="en-GB"/>
              </w:rPr>
            </w:pPr>
          </w:p>
        </w:tc>
      </w:tr>
      <w:tr w:rsidR="00736F61" w:rsidRPr="00CC1FC3" w14:paraId="25D83441" w14:textId="77777777" w:rsidTr="00621211">
        <w:trPr>
          <w:trHeight w:val="226"/>
        </w:trPr>
        <w:tc>
          <w:tcPr>
            <w:tcW w:w="504" w:type="dxa"/>
            <w:shd w:val="clear" w:color="auto" w:fill="FFFFFF" w:themeFill="background1"/>
            <w:noWrap/>
            <w:vAlign w:val="bottom"/>
            <w:hideMark/>
          </w:tcPr>
          <w:p w14:paraId="22B958E0"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3B9349BD"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Food Processing</w:t>
            </w:r>
          </w:p>
        </w:tc>
        <w:tc>
          <w:tcPr>
            <w:tcW w:w="1163" w:type="dxa"/>
            <w:shd w:val="clear" w:color="auto" w:fill="FFFFFF" w:themeFill="background1"/>
            <w:noWrap/>
            <w:vAlign w:val="center"/>
            <w:hideMark/>
          </w:tcPr>
          <w:p w14:paraId="1C80B2A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933" w:type="dxa"/>
            <w:shd w:val="clear" w:color="auto" w:fill="FFFFFF" w:themeFill="background1"/>
            <w:noWrap/>
            <w:vAlign w:val="center"/>
            <w:hideMark/>
          </w:tcPr>
          <w:p w14:paraId="10516B3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1056" w:type="dxa"/>
            <w:gridSpan w:val="2"/>
            <w:shd w:val="clear" w:color="auto" w:fill="FFFFFF" w:themeFill="background1"/>
            <w:noWrap/>
            <w:vAlign w:val="bottom"/>
            <w:hideMark/>
          </w:tcPr>
          <w:p w14:paraId="1E8B9EBC"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D55662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1134" w:type="dxa"/>
            <w:shd w:val="clear" w:color="auto" w:fill="FFFFFF" w:themeFill="background1"/>
            <w:noWrap/>
            <w:vAlign w:val="bottom"/>
            <w:hideMark/>
          </w:tcPr>
          <w:p w14:paraId="003C56BD" w14:textId="77777777" w:rsidR="00736F61" w:rsidRPr="00CC1FC3" w:rsidRDefault="00736F61" w:rsidP="003F224E">
            <w:pPr>
              <w:spacing w:after="0" w:line="240" w:lineRule="auto"/>
              <w:jc w:val="center"/>
              <w:rPr>
                <w:rFonts w:eastAsia="Times New Roman"/>
                <w:lang w:eastAsia="en-GB"/>
              </w:rPr>
            </w:pPr>
          </w:p>
        </w:tc>
      </w:tr>
      <w:tr w:rsidR="00736F61" w:rsidRPr="00CC1FC3" w14:paraId="0CBE39F0" w14:textId="77777777" w:rsidTr="00621211">
        <w:trPr>
          <w:trHeight w:val="226"/>
        </w:trPr>
        <w:tc>
          <w:tcPr>
            <w:tcW w:w="504" w:type="dxa"/>
            <w:shd w:val="clear" w:color="auto" w:fill="FFFFFF" w:themeFill="background1"/>
            <w:noWrap/>
            <w:vAlign w:val="bottom"/>
            <w:hideMark/>
          </w:tcPr>
          <w:p w14:paraId="72595FCD"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69BD40EB"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Food Retail &amp; Distribution</w:t>
            </w:r>
          </w:p>
        </w:tc>
        <w:tc>
          <w:tcPr>
            <w:tcW w:w="1163" w:type="dxa"/>
            <w:shd w:val="clear" w:color="auto" w:fill="FFFFFF" w:themeFill="background1"/>
            <w:noWrap/>
            <w:vAlign w:val="center"/>
            <w:hideMark/>
          </w:tcPr>
          <w:p w14:paraId="1C70648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12</w:t>
            </w:r>
          </w:p>
        </w:tc>
        <w:tc>
          <w:tcPr>
            <w:tcW w:w="933" w:type="dxa"/>
            <w:shd w:val="clear" w:color="auto" w:fill="FFFFFF" w:themeFill="background1"/>
            <w:noWrap/>
            <w:vAlign w:val="center"/>
            <w:hideMark/>
          </w:tcPr>
          <w:p w14:paraId="1ECDF4E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12</w:t>
            </w:r>
          </w:p>
        </w:tc>
        <w:tc>
          <w:tcPr>
            <w:tcW w:w="1056" w:type="dxa"/>
            <w:gridSpan w:val="2"/>
            <w:shd w:val="clear" w:color="auto" w:fill="FFFFFF" w:themeFill="background1"/>
            <w:noWrap/>
            <w:vAlign w:val="bottom"/>
            <w:hideMark/>
          </w:tcPr>
          <w:p w14:paraId="5E39E610"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E3BD5F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12</w:t>
            </w:r>
          </w:p>
        </w:tc>
        <w:tc>
          <w:tcPr>
            <w:tcW w:w="1134" w:type="dxa"/>
            <w:shd w:val="clear" w:color="auto" w:fill="FFFFFF" w:themeFill="background1"/>
            <w:noWrap/>
            <w:vAlign w:val="bottom"/>
            <w:hideMark/>
          </w:tcPr>
          <w:p w14:paraId="088C62FD" w14:textId="77777777" w:rsidR="00736F61" w:rsidRPr="00CC1FC3" w:rsidRDefault="00736F61" w:rsidP="003F224E">
            <w:pPr>
              <w:spacing w:after="0" w:line="240" w:lineRule="auto"/>
              <w:jc w:val="center"/>
              <w:rPr>
                <w:rFonts w:eastAsia="Times New Roman"/>
                <w:lang w:eastAsia="en-GB"/>
              </w:rPr>
            </w:pPr>
          </w:p>
        </w:tc>
      </w:tr>
      <w:tr w:rsidR="00736F61" w:rsidRPr="00CC1FC3" w14:paraId="3A278A33" w14:textId="77777777" w:rsidTr="00621211">
        <w:trPr>
          <w:trHeight w:val="226"/>
        </w:trPr>
        <w:tc>
          <w:tcPr>
            <w:tcW w:w="504" w:type="dxa"/>
            <w:shd w:val="clear" w:color="auto" w:fill="FFFFFF" w:themeFill="background1"/>
            <w:noWrap/>
            <w:vAlign w:val="bottom"/>
            <w:hideMark/>
          </w:tcPr>
          <w:p w14:paraId="78C15E3D"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lastRenderedPageBreak/>
              <w:t> </w:t>
            </w:r>
          </w:p>
        </w:tc>
        <w:tc>
          <w:tcPr>
            <w:tcW w:w="3847" w:type="dxa"/>
            <w:gridSpan w:val="2"/>
            <w:shd w:val="clear" w:color="auto" w:fill="FFFFFF" w:themeFill="background1"/>
            <w:noWrap/>
            <w:vAlign w:val="center"/>
            <w:hideMark/>
          </w:tcPr>
          <w:p w14:paraId="2D4930E3"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Non-Alcoholic Beverages</w:t>
            </w:r>
          </w:p>
        </w:tc>
        <w:tc>
          <w:tcPr>
            <w:tcW w:w="1163" w:type="dxa"/>
            <w:shd w:val="clear" w:color="auto" w:fill="FFFFFF" w:themeFill="background1"/>
            <w:noWrap/>
            <w:vAlign w:val="center"/>
            <w:hideMark/>
          </w:tcPr>
          <w:p w14:paraId="6BE54F8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5727D5F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2E473C8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DE9761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0064E811" w14:textId="77777777" w:rsidR="00736F61" w:rsidRPr="00CC1FC3" w:rsidRDefault="00736F61" w:rsidP="003F224E">
            <w:pPr>
              <w:spacing w:after="0" w:line="240" w:lineRule="auto"/>
              <w:jc w:val="center"/>
              <w:rPr>
                <w:rFonts w:eastAsia="Times New Roman"/>
                <w:lang w:eastAsia="en-GB"/>
              </w:rPr>
            </w:pPr>
          </w:p>
        </w:tc>
      </w:tr>
      <w:tr w:rsidR="00736F61" w:rsidRPr="00CC1FC3" w14:paraId="4C9DEF70" w14:textId="77777777" w:rsidTr="00621211">
        <w:trPr>
          <w:trHeight w:val="226"/>
        </w:trPr>
        <w:tc>
          <w:tcPr>
            <w:tcW w:w="504" w:type="dxa"/>
            <w:shd w:val="clear" w:color="auto" w:fill="FFFFFF" w:themeFill="background1"/>
            <w:noWrap/>
            <w:vAlign w:val="bottom"/>
            <w:hideMark/>
          </w:tcPr>
          <w:p w14:paraId="19ED9EF2"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4BF778AA"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Personal Products</w:t>
            </w:r>
          </w:p>
        </w:tc>
        <w:tc>
          <w:tcPr>
            <w:tcW w:w="1163" w:type="dxa"/>
            <w:shd w:val="clear" w:color="auto" w:fill="FFFFFF" w:themeFill="background1"/>
            <w:noWrap/>
            <w:vAlign w:val="center"/>
            <w:hideMark/>
          </w:tcPr>
          <w:p w14:paraId="6FDCE7E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shd w:val="clear" w:color="auto" w:fill="FFFFFF" w:themeFill="background1"/>
            <w:noWrap/>
            <w:vAlign w:val="center"/>
            <w:hideMark/>
          </w:tcPr>
          <w:p w14:paraId="08BA449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056" w:type="dxa"/>
            <w:gridSpan w:val="2"/>
            <w:shd w:val="clear" w:color="auto" w:fill="FFFFFF" w:themeFill="background1"/>
            <w:noWrap/>
            <w:vAlign w:val="bottom"/>
            <w:hideMark/>
          </w:tcPr>
          <w:p w14:paraId="6CE6386F"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70FE38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134" w:type="dxa"/>
            <w:shd w:val="clear" w:color="auto" w:fill="FFFFFF" w:themeFill="background1"/>
            <w:noWrap/>
            <w:vAlign w:val="bottom"/>
            <w:hideMark/>
          </w:tcPr>
          <w:p w14:paraId="1798666C" w14:textId="77777777" w:rsidR="00736F61" w:rsidRPr="00CC1FC3" w:rsidRDefault="00736F61" w:rsidP="003F224E">
            <w:pPr>
              <w:spacing w:after="0" w:line="240" w:lineRule="auto"/>
              <w:jc w:val="center"/>
              <w:rPr>
                <w:rFonts w:eastAsia="Times New Roman"/>
                <w:lang w:eastAsia="en-GB"/>
              </w:rPr>
            </w:pPr>
          </w:p>
        </w:tc>
      </w:tr>
      <w:tr w:rsidR="00736F61" w:rsidRPr="00CC1FC3" w14:paraId="05809BE6"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61F769FC"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6BA9E1A1"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Tobacco</w:t>
            </w:r>
          </w:p>
        </w:tc>
        <w:tc>
          <w:tcPr>
            <w:tcW w:w="1163" w:type="dxa"/>
            <w:tcBorders>
              <w:top w:val="nil"/>
              <w:left w:val="nil"/>
              <w:bottom w:val="single" w:sz="8" w:space="0" w:color="auto"/>
              <w:right w:val="nil"/>
            </w:tcBorders>
            <w:shd w:val="clear" w:color="auto" w:fill="FFFFFF" w:themeFill="background1"/>
            <w:noWrap/>
            <w:vAlign w:val="center"/>
            <w:hideMark/>
          </w:tcPr>
          <w:p w14:paraId="6F41CBB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tcBorders>
              <w:top w:val="nil"/>
              <w:left w:val="nil"/>
              <w:bottom w:val="single" w:sz="8" w:space="0" w:color="auto"/>
              <w:right w:val="nil"/>
            </w:tcBorders>
            <w:shd w:val="clear" w:color="auto" w:fill="FFFFFF" w:themeFill="background1"/>
            <w:noWrap/>
            <w:vAlign w:val="center"/>
            <w:hideMark/>
          </w:tcPr>
          <w:p w14:paraId="4A30C01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4B45E408" w14:textId="77777777" w:rsidR="00736F61" w:rsidRPr="00CC1FC3" w:rsidRDefault="00736F61" w:rsidP="003F224E">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center"/>
            <w:hideMark/>
          </w:tcPr>
          <w:p w14:paraId="5349F12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tcBorders>
              <w:top w:val="nil"/>
              <w:left w:val="nil"/>
              <w:bottom w:val="single" w:sz="8" w:space="0" w:color="auto"/>
              <w:right w:val="nil"/>
            </w:tcBorders>
            <w:shd w:val="clear" w:color="auto" w:fill="FFFFFF" w:themeFill="background1"/>
            <w:noWrap/>
            <w:vAlign w:val="bottom"/>
            <w:hideMark/>
          </w:tcPr>
          <w:p w14:paraId="56B554BC" w14:textId="77777777" w:rsidR="00736F61" w:rsidRPr="00CC1FC3" w:rsidRDefault="00736F61" w:rsidP="003F224E">
            <w:pPr>
              <w:spacing w:after="0" w:line="240" w:lineRule="auto"/>
              <w:jc w:val="center"/>
              <w:rPr>
                <w:rFonts w:eastAsia="Times New Roman"/>
                <w:lang w:eastAsia="en-GB"/>
              </w:rPr>
            </w:pPr>
          </w:p>
        </w:tc>
      </w:tr>
      <w:tr w:rsidR="00736F61" w:rsidRPr="00CC1FC3" w14:paraId="221F660E"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31E973BD" w14:textId="77777777" w:rsidR="00736F61" w:rsidRPr="00CC1FC3" w:rsidRDefault="00736F61" w:rsidP="003F224E">
            <w:pPr>
              <w:spacing w:after="0" w:line="240" w:lineRule="auto"/>
              <w:jc w:val="both"/>
              <w:rPr>
                <w:rFonts w:eastAsia="Times New Roman"/>
                <w:b/>
                <w:bCs/>
                <w:i/>
                <w:iCs/>
                <w:sz w:val="18"/>
                <w:szCs w:val="18"/>
                <w:lang w:eastAsia="en-GB"/>
              </w:rPr>
            </w:pPr>
            <w:r w:rsidRPr="00CC1FC3">
              <w:rPr>
                <w:rFonts w:eastAsia="Times New Roman"/>
                <w:b/>
                <w:bCs/>
                <w:i/>
                <w:iCs/>
                <w:sz w:val="18"/>
                <w:szCs w:val="18"/>
                <w:lang w:eastAsia="en-GB"/>
              </w:rPr>
              <w:t>Energy</w:t>
            </w:r>
          </w:p>
        </w:tc>
        <w:tc>
          <w:tcPr>
            <w:tcW w:w="1163" w:type="dxa"/>
            <w:tcBorders>
              <w:top w:val="nil"/>
              <w:left w:val="nil"/>
              <w:bottom w:val="single" w:sz="8" w:space="0" w:color="auto"/>
              <w:right w:val="nil"/>
            </w:tcBorders>
            <w:shd w:val="clear" w:color="auto" w:fill="FFFFFF" w:themeFill="background1"/>
            <w:noWrap/>
            <w:vAlign w:val="center"/>
            <w:hideMark/>
          </w:tcPr>
          <w:p w14:paraId="6409E171"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33</w:t>
            </w:r>
          </w:p>
        </w:tc>
        <w:tc>
          <w:tcPr>
            <w:tcW w:w="933" w:type="dxa"/>
            <w:tcBorders>
              <w:top w:val="nil"/>
              <w:left w:val="nil"/>
              <w:bottom w:val="single" w:sz="8" w:space="0" w:color="auto"/>
              <w:right w:val="nil"/>
            </w:tcBorders>
            <w:shd w:val="clear" w:color="auto" w:fill="FFFFFF" w:themeFill="background1"/>
            <w:noWrap/>
            <w:vAlign w:val="center"/>
            <w:hideMark/>
          </w:tcPr>
          <w:p w14:paraId="6A1A8656"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33</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16A08CBA" w14:textId="77777777" w:rsidR="00736F61" w:rsidRPr="00CC1FC3" w:rsidRDefault="00736F61" w:rsidP="003F224E">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bottom"/>
            <w:hideMark/>
          </w:tcPr>
          <w:p w14:paraId="28437C3C" w14:textId="77777777" w:rsidR="00736F61" w:rsidRPr="00CC1FC3" w:rsidRDefault="00736F61" w:rsidP="003F224E">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center"/>
            <w:hideMark/>
          </w:tcPr>
          <w:p w14:paraId="4001DA45"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33</w:t>
            </w:r>
          </w:p>
        </w:tc>
      </w:tr>
      <w:tr w:rsidR="00736F61" w:rsidRPr="00CC1FC3" w14:paraId="5C6DBC1E" w14:textId="77777777" w:rsidTr="00621211">
        <w:trPr>
          <w:trHeight w:val="226"/>
        </w:trPr>
        <w:tc>
          <w:tcPr>
            <w:tcW w:w="504" w:type="dxa"/>
            <w:shd w:val="clear" w:color="auto" w:fill="FFFFFF" w:themeFill="background1"/>
            <w:noWrap/>
            <w:vAlign w:val="bottom"/>
            <w:hideMark/>
          </w:tcPr>
          <w:p w14:paraId="299AEA86"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3723DC70"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Integrated Oil &amp; Gas</w:t>
            </w:r>
          </w:p>
        </w:tc>
        <w:tc>
          <w:tcPr>
            <w:tcW w:w="1163" w:type="dxa"/>
            <w:shd w:val="clear" w:color="auto" w:fill="FFFFFF" w:themeFill="background1"/>
            <w:noWrap/>
            <w:vAlign w:val="center"/>
            <w:hideMark/>
          </w:tcPr>
          <w:p w14:paraId="75CC92A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14</w:t>
            </w:r>
          </w:p>
        </w:tc>
        <w:tc>
          <w:tcPr>
            <w:tcW w:w="933" w:type="dxa"/>
            <w:shd w:val="clear" w:color="auto" w:fill="FFFFFF" w:themeFill="background1"/>
            <w:noWrap/>
            <w:vAlign w:val="center"/>
            <w:hideMark/>
          </w:tcPr>
          <w:p w14:paraId="4422BB9A"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14</w:t>
            </w:r>
          </w:p>
        </w:tc>
        <w:tc>
          <w:tcPr>
            <w:tcW w:w="1056" w:type="dxa"/>
            <w:gridSpan w:val="2"/>
            <w:shd w:val="clear" w:color="auto" w:fill="FFFFFF" w:themeFill="background1"/>
            <w:noWrap/>
            <w:vAlign w:val="bottom"/>
            <w:hideMark/>
          </w:tcPr>
          <w:p w14:paraId="0383DFEF"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75329742"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0E1AB1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14</w:t>
            </w:r>
          </w:p>
        </w:tc>
      </w:tr>
      <w:tr w:rsidR="00736F61" w:rsidRPr="00CC1FC3" w14:paraId="43FF176E" w14:textId="77777777" w:rsidTr="00621211">
        <w:trPr>
          <w:trHeight w:val="226"/>
        </w:trPr>
        <w:tc>
          <w:tcPr>
            <w:tcW w:w="504" w:type="dxa"/>
            <w:shd w:val="clear" w:color="auto" w:fill="FFFFFF" w:themeFill="background1"/>
            <w:noWrap/>
            <w:vAlign w:val="bottom"/>
            <w:hideMark/>
          </w:tcPr>
          <w:p w14:paraId="78D6A329"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5D3E5B0C"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Oil &amp; Gas Exploration and Production</w:t>
            </w:r>
          </w:p>
        </w:tc>
        <w:tc>
          <w:tcPr>
            <w:tcW w:w="1163" w:type="dxa"/>
            <w:shd w:val="clear" w:color="auto" w:fill="FFFFFF" w:themeFill="background1"/>
            <w:noWrap/>
            <w:vAlign w:val="center"/>
            <w:hideMark/>
          </w:tcPr>
          <w:p w14:paraId="3C37BEA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933" w:type="dxa"/>
            <w:shd w:val="clear" w:color="auto" w:fill="FFFFFF" w:themeFill="background1"/>
            <w:noWrap/>
            <w:vAlign w:val="center"/>
            <w:hideMark/>
          </w:tcPr>
          <w:p w14:paraId="419966E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1056" w:type="dxa"/>
            <w:gridSpan w:val="2"/>
            <w:shd w:val="clear" w:color="auto" w:fill="FFFFFF" w:themeFill="background1"/>
            <w:noWrap/>
            <w:vAlign w:val="bottom"/>
            <w:hideMark/>
          </w:tcPr>
          <w:p w14:paraId="350D9724"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656C172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EC0C2D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r>
      <w:tr w:rsidR="00736F61" w:rsidRPr="00CC1FC3" w14:paraId="48B01FFF" w14:textId="77777777" w:rsidTr="00621211">
        <w:trPr>
          <w:trHeight w:val="226"/>
        </w:trPr>
        <w:tc>
          <w:tcPr>
            <w:tcW w:w="504" w:type="dxa"/>
            <w:shd w:val="clear" w:color="auto" w:fill="FFFFFF" w:themeFill="background1"/>
            <w:noWrap/>
            <w:vAlign w:val="bottom"/>
            <w:hideMark/>
          </w:tcPr>
          <w:p w14:paraId="2C32BDB0"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31A3E3E7"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Oil &amp; Gas Refining and Marketing</w:t>
            </w:r>
          </w:p>
        </w:tc>
        <w:tc>
          <w:tcPr>
            <w:tcW w:w="1163" w:type="dxa"/>
            <w:shd w:val="clear" w:color="auto" w:fill="FFFFFF" w:themeFill="background1"/>
            <w:noWrap/>
            <w:vAlign w:val="center"/>
            <w:hideMark/>
          </w:tcPr>
          <w:p w14:paraId="776ADC0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12</w:t>
            </w:r>
          </w:p>
        </w:tc>
        <w:tc>
          <w:tcPr>
            <w:tcW w:w="933" w:type="dxa"/>
            <w:shd w:val="clear" w:color="auto" w:fill="FFFFFF" w:themeFill="background1"/>
            <w:noWrap/>
            <w:vAlign w:val="center"/>
            <w:hideMark/>
          </w:tcPr>
          <w:p w14:paraId="5987BA7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12</w:t>
            </w:r>
          </w:p>
        </w:tc>
        <w:tc>
          <w:tcPr>
            <w:tcW w:w="1056" w:type="dxa"/>
            <w:gridSpan w:val="2"/>
            <w:shd w:val="clear" w:color="auto" w:fill="FFFFFF" w:themeFill="background1"/>
            <w:noWrap/>
            <w:vAlign w:val="bottom"/>
            <w:hideMark/>
          </w:tcPr>
          <w:p w14:paraId="4709D487"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5F2B22B2"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4DEF6D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12</w:t>
            </w:r>
          </w:p>
        </w:tc>
      </w:tr>
      <w:tr w:rsidR="00736F61" w:rsidRPr="00CC1FC3" w14:paraId="1FAC06BB" w14:textId="77777777" w:rsidTr="00621211">
        <w:trPr>
          <w:trHeight w:val="226"/>
        </w:trPr>
        <w:tc>
          <w:tcPr>
            <w:tcW w:w="504" w:type="dxa"/>
            <w:shd w:val="clear" w:color="auto" w:fill="FFFFFF" w:themeFill="background1"/>
            <w:noWrap/>
            <w:vAlign w:val="bottom"/>
            <w:hideMark/>
          </w:tcPr>
          <w:p w14:paraId="27C85294"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4B14C28B"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Oil &amp; Gas Transportation Services</w:t>
            </w:r>
          </w:p>
        </w:tc>
        <w:tc>
          <w:tcPr>
            <w:tcW w:w="1163" w:type="dxa"/>
            <w:shd w:val="clear" w:color="auto" w:fill="FFFFFF" w:themeFill="background1"/>
            <w:noWrap/>
            <w:vAlign w:val="center"/>
            <w:hideMark/>
          </w:tcPr>
          <w:p w14:paraId="767832F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7C486A8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012C72E0"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213FB22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3A22D2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6F619ACD"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258AFAEE"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5FC94720"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Oil Related Services and Equipment</w:t>
            </w:r>
          </w:p>
        </w:tc>
        <w:tc>
          <w:tcPr>
            <w:tcW w:w="1163" w:type="dxa"/>
            <w:tcBorders>
              <w:top w:val="nil"/>
              <w:left w:val="nil"/>
              <w:bottom w:val="single" w:sz="8" w:space="0" w:color="auto"/>
              <w:right w:val="nil"/>
            </w:tcBorders>
            <w:shd w:val="clear" w:color="auto" w:fill="FFFFFF" w:themeFill="background1"/>
            <w:noWrap/>
            <w:vAlign w:val="center"/>
            <w:hideMark/>
          </w:tcPr>
          <w:p w14:paraId="47BA83D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5960656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6220321B"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082F2D6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4ED51A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614DA41D"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0E7C9A58" w14:textId="77777777" w:rsidR="00736F61" w:rsidRPr="00CC1FC3" w:rsidRDefault="00736F61" w:rsidP="003F224E">
            <w:pPr>
              <w:spacing w:after="0" w:line="240" w:lineRule="auto"/>
              <w:jc w:val="both"/>
              <w:rPr>
                <w:rFonts w:eastAsia="Times New Roman"/>
                <w:b/>
                <w:bCs/>
                <w:i/>
                <w:iCs/>
                <w:sz w:val="18"/>
                <w:szCs w:val="18"/>
                <w:lang w:eastAsia="en-GB"/>
              </w:rPr>
            </w:pPr>
            <w:r w:rsidRPr="00CC1FC3">
              <w:rPr>
                <w:rFonts w:eastAsia="Times New Roman"/>
                <w:b/>
                <w:bCs/>
                <w:i/>
                <w:iCs/>
                <w:sz w:val="18"/>
                <w:szCs w:val="18"/>
                <w:lang w:eastAsia="en-GB"/>
              </w:rPr>
              <w:t>Financials</w:t>
            </w:r>
          </w:p>
        </w:tc>
        <w:tc>
          <w:tcPr>
            <w:tcW w:w="1163" w:type="dxa"/>
            <w:tcBorders>
              <w:top w:val="nil"/>
              <w:left w:val="nil"/>
              <w:bottom w:val="single" w:sz="8" w:space="0" w:color="auto"/>
              <w:right w:val="nil"/>
            </w:tcBorders>
            <w:shd w:val="clear" w:color="auto" w:fill="FFFFFF" w:themeFill="background1"/>
            <w:noWrap/>
            <w:vAlign w:val="center"/>
            <w:hideMark/>
          </w:tcPr>
          <w:p w14:paraId="5D39DCC9"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32</w:t>
            </w:r>
          </w:p>
        </w:tc>
        <w:tc>
          <w:tcPr>
            <w:tcW w:w="933" w:type="dxa"/>
            <w:tcBorders>
              <w:top w:val="nil"/>
              <w:left w:val="nil"/>
              <w:bottom w:val="single" w:sz="8" w:space="0" w:color="auto"/>
              <w:right w:val="nil"/>
            </w:tcBorders>
            <w:shd w:val="clear" w:color="auto" w:fill="FFFFFF" w:themeFill="background1"/>
            <w:noWrap/>
            <w:vAlign w:val="bottom"/>
            <w:hideMark/>
          </w:tcPr>
          <w:p w14:paraId="0FD7FB6A" w14:textId="77777777" w:rsidR="00736F61" w:rsidRPr="00CC1FC3" w:rsidRDefault="00736F61" w:rsidP="003F224E">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6BD4D6AA"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32</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5F3C2AB2"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223EE115"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32</w:t>
            </w:r>
          </w:p>
        </w:tc>
      </w:tr>
      <w:tr w:rsidR="00736F61" w:rsidRPr="00CC1FC3" w14:paraId="4502397D" w14:textId="77777777" w:rsidTr="00621211">
        <w:trPr>
          <w:trHeight w:val="226"/>
        </w:trPr>
        <w:tc>
          <w:tcPr>
            <w:tcW w:w="504" w:type="dxa"/>
            <w:shd w:val="clear" w:color="auto" w:fill="FFFFFF" w:themeFill="background1"/>
            <w:noWrap/>
            <w:vAlign w:val="bottom"/>
            <w:hideMark/>
          </w:tcPr>
          <w:p w14:paraId="7A9DE34B"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625B0A1"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Banks</w:t>
            </w:r>
          </w:p>
        </w:tc>
        <w:tc>
          <w:tcPr>
            <w:tcW w:w="1163" w:type="dxa"/>
            <w:shd w:val="clear" w:color="auto" w:fill="FFFFFF" w:themeFill="background1"/>
            <w:noWrap/>
            <w:vAlign w:val="center"/>
            <w:hideMark/>
          </w:tcPr>
          <w:p w14:paraId="3EF5D80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17</w:t>
            </w:r>
          </w:p>
        </w:tc>
        <w:tc>
          <w:tcPr>
            <w:tcW w:w="933" w:type="dxa"/>
            <w:shd w:val="clear" w:color="auto" w:fill="FFFFFF" w:themeFill="background1"/>
            <w:noWrap/>
            <w:vAlign w:val="bottom"/>
            <w:hideMark/>
          </w:tcPr>
          <w:p w14:paraId="786E09BD"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30789F8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17</w:t>
            </w:r>
          </w:p>
        </w:tc>
        <w:tc>
          <w:tcPr>
            <w:tcW w:w="1134" w:type="dxa"/>
            <w:shd w:val="clear" w:color="auto" w:fill="FFFFFF" w:themeFill="background1"/>
            <w:noWrap/>
            <w:vAlign w:val="bottom"/>
            <w:hideMark/>
          </w:tcPr>
          <w:p w14:paraId="1E8BFDD8"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B96031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17</w:t>
            </w:r>
          </w:p>
        </w:tc>
      </w:tr>
      <w:tr w:rsidR="00736F61" w:rsidRPr="00CC1FC3" w14:paraId="50AF0987" w14:textId="77777777" w:rsidTr="00621211">
        <w:trPr>
          <w:trHeight w:val="226"/>
        </w:trPr>
        <w:tc>
          <w:tcPr>
            <w:tcW w:w="504" w:type="dxa"/>
            <w:shd w:val="clear" w:color="auto" w:fill="FFFFFF" w:themeFill="background1"/>
            <w:noWrap/>
            <w:vAlign w:val="bottom"/>
            <w:hideMark/>
          </w:tcPr>
          <w:p w14:paraId="0164550B"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011F384E"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Consumer Lending</w:t>
            </w:r>
          </w:p>
        </w:tc>
        <w:tc>
          <w:tcPr>
            <w:tcW w:w="1163" w:type="dxa"/>
            <w:shd w:val="clear" w:color="auto" w:fill="FFFFFF" w:themeFill="background1"/>
            <w:noWrap/>
            <w:vAlign w:val="center"/>
            <w:hideMark/>
          </w:tcPr>
          <w:p w14:paraId="25BFA96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bottom"/>
            <w:hideMark/>
          </w:tcPr>
          <w:p w14:paraId="44D1D78C"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4146F73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5A875AAA"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5AE097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6162881B" w14:textId="77777777" w:rsidTr="00621211">
        <w:trPr>
          <w:trHeight w:val="226"/>
        </w:trPr>
        <w:tc>
          <w:tcPr>
            <w:tcW w:w="504" w:type="dxa"/>
            <w:shd w:val="clear" w:color="auto" w:fill="FFFFFF" w:themeFill="background1"/>
            <w:noWrap/>
            <w:vAlign w:val="bottom"/>
            <w:hideMark/>
          </w:tcPr>
          <w:p w14:paraId="660D6951"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B8E2A22"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Heavy Machinery &amp; Vehicles</w:t>
            </w:r>
          </w:p>
        </w:tc>
        <w:tc>
          <w:tcPr>
            <w:tcW w:w="1163" w:type="dxa"/>
            <w:shd w:val="clear" w:color="auto" w:fill="FFFFFF" w:themeFill="background1"/>
            <w:noWrap/>
            <w:vAlign w:val="center"/>
            <w:hideMark/>
          </w:tcPr>
          <w:p w14:paraId="07F32EC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bottom"/>
            <w:hideMark/>
          </w:tcPr>
          <w:p w14:paraId="175716C9"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0311EC3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619FF9F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1450F2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28710E08" w14:textId="77777777" w:rsidTr="00621211">
        <w:trPr>
          <w:trHeight w:val="226"/>
        </w:trPr>
        <w:tc>
          <w:tcPr>
            <w:tcW w:w="504" w:type="dxa"/>
            <w:shd w:val="clear" w:color="auto" w:fill="FFFFFF" w:themeFill="background1"/>
            <w:noWrap/>
            <w:vAlign w:val="bottom"/>
            <w:hideMark/>
          </w:tcPr>
          <w:p w14:paraId="1C0C5E36"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186EE66"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Investment Banking &amp; Brokerage Services</w:t>
            </w:r>
          </w:p>
        </w:tc>
        <w:tc>
          <w:tcPr>
            <w:tcW w:w="1163" w:type="dxa"/>
            <w:shd w:val="clear" w:color="auto" w:fill="FFFFFF" w:themeFill="background1"/>
            <w:noWrap/>
            <w:vAlign w:val="center"/>
            <w:hideMark/>
          </w:tcPr>
          <w:p w14:paraId="50747C0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shd w:val="clear" w:color="auto" w:fill="FFFFFF" w:themeFill="background1"/>
            <w:noWrap/>
            <w:vAlign w:val="bottom"/>
            <w:hideMark/>
          </w:tcPr>
          <w:p w14:paraId="1FC7ACA8"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4A3769C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134" w:type="dxa"/>
            <w:shd w:val="clear" w:color="auto" w:fill="FFFFFF" w:themeFill="background1"/>
            <w:noWrap/>
            <w:vAlign w:val="bottom"/>
            <w:hideMark/>
          </w:tcPr>
          <w:p w14:paraId="4AE18202"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8455F9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r>
      <w:tr w:rsidR="00736F61" w:rsidRPr="00CC1FC3" w14:paraId="3326314C" w14:textId="77777777" w:rsidTr="00621211">
        <w:trPr>
          <w:trHeight w:val="226"/>
        </w:trPr>
        <w:tc>
          <w:tcPr>
            <w:tcW w:w="504" w:type="dxa"/>
            <w:shd w:val="clear" w:color="auto" w:fill="FFFFFF" w:themeFill="background1"/>
            <w:noWrap/>
            <w:vAlign w:val="bottom"/>
            <w:hideMark/>
          </w:tcPr>
          <w:p w14:paraId="14340B25"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B9C53CC"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Investment Management &amp; Fund Operators</w:t>
            </w:r>
          </w:p>
        </w:tc>
        <w:tc>
          <w:tcPr>
            <w:tcW w:w="1163" w:type="dxa"/>
            <w:shd w:val="clear" w:color="auto" w:fill="FFFFFF" w:themeFill="background1"/>
            <w:noWrap/>
            <w:vAlign w:val="center"/>
            <w:hideMark/>
          </w:tcPr>
          <w:p w14:paraId="27478C4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bottom"/>
            <w:hideMark/>
          </w:tcPr>
          <w:p w14:paraId="7EDD7175"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1056846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6222104C"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FD82C3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56ED23F5" w14:textId="77777777" w:rsidTr="00621211">
        <w:trPr>
          <w:trHeight w:val="226"/>
        </w:trPr>
        <w:tc>
          <w:tcPr>
            <w:tcW w:w="504" w:type="dxa"/>
            <w:shd w:val="clear" w:color="auto" w:fill="FFFFFF" w:themeFill="background1"/>
            <w:noWrap/>
            <w:vAlign w:val="bottom"/>
            <w:hideMark/>
          </w:tcPr>
          <w:p w14:paraId="5B3E043A"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5351A2E"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Life &amp; Health Insurance</w:t>
            </w:r>
          </w:p>
        </w:tc>
        <w:tc>
          <w:tcPr>
            <w:tcW w:w="1163" w:type="dxa"/>
            <w:shd w:val="clear" w:color="auto" w:fill="FFFFFF" w:themeFill="background1"/>
            <w:noWrap/>
            <w:vAlign w:val="center"/>
            <w:hideMark/>
          </w:tcPr>
          <w:p w14:paraId="113A533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933" w:type="dxa"/>
            <w:shd w:val="clear" w:color="auto" w:fill="FFFFFF" w:themeFill="background1"/>
            <w:noWrap/>
            <w:vAlign w:val="bottom"/>
            <w:hideMark/>
          </w:tcPr>
          <w:p w14:paraId="0598472C"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3DEF07B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1134" w:type="dxa"/>
            <w:shd w:val="clear" w:color="auto" w:fill="FFFFFF" w:themeFill="background1"/>
            <w:noWrap/>
            <w:vAlign w:val="bottom"/>
            <w:hideMark/>
          </w:tcPr>
          <w:p w14:paraId="1607380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DFCD11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r>
      <w:tr w:rsidR="00736F61" w:rsidRPr="00CC1FC3" w14:paraId="6F29B0D8" w14:textId="77777777" w:rsidTr="00621211">
        <w:trPr>
          <w:trHeight w:val="226"/>
        </w:trPr>
        <w:tc>
          <w:tcPr>
            <w:tcW w:w="504" w:type="dxa"/>
            <w:shd w:val="clear" w:color="auto" w:fill="FFFFFF" w:themeFill="background1"/>
            <w:noWrap/>
            <w:vAlign w:val="bottom"/>
            <w:hideMark/>
          </w:tcPr>
          <w:p w14:paraId="62896357"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4BB4EBAD"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Multiline Insurance &amp; Brokers</w:t>
            </w:r>
          </w:p>
        </w:tc>
        <w:tc>
          <w:tcPr>
            <w:tcW w:w="1163" w:type="dxa"/>
            <w:shd w:val="clear" w:color="auto" w:fill="FFFFFF" w:themeFill="background1"/>
            <w:noWrap/>
            <w:vAlign w:val="center"/>
            <w:hideMark/>
          </w:tcPr>
          <w:p w14:paraId="76C23B5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bottom"/>
            <w:hideMark/>
          </w:tcPr>
          <w:p w14:paraId="146B5D3D"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75E49E8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5EA2E282"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9D86F1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754E6821"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2D724E39"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152FAF03"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Online Services</w:t>
            </w:r>
          </w:p>
        </w:tc>
        <w:tc>
          <w:tcPr>
            <w:tcW w:w="1163" w:type="dxa"/>
            <w:tcBorders>
              <w:top w:val="nil"/>
              <w:left w:val="nil"/>
              <w:bottom w:val="single" w:sz="8" w:space="0" w:color="auto"/>
              <w:right w:val="nil"/>
            </w:tcBorders>
            <w:shd w:val="clear" w:color="auto" w:fill="FFFFFF" w:themeFill="background1"/>
            <w:noWrap/>
            <w:vAlign w:val="center"/>
            <w:hideMark/>
          </w:tcPr>
          <w:p w14:paraId="6159B27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bottom"/>
            <w:hideMark/>
          </w:tcPr>
          <w:p w14:paraId="491FADA2" w14:textId="77777777" w:rsidR="00736F61" w:rsidRPr="00CC1FC3" w:rsidRDefault="00736F61" w:rsidP="003F224E">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5F55011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5B18602B"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12E390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2140A8DB"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5BFDA8BB" w14:textId="77777777" w:rsidR="00736F61" w:rsidRPr="00CC1FC3" w:rsidRDefault="00736F61" w:rsidP="003F224E">
            <w:pPr>
              <w:spacing w:after="0" w:line="240" w:lineRule="auto"/>
              <w:jc w:val="both"/>
              <w:rPr>
                <w:rFonts w:eastAsia="Times New Roman"/>
                <w:b/>
                <w:bCs/>
                <w:i/>
                <w:iCs/>
                <w:sz w:val="18"/>
                <w:szCs w:val="18"/>
                <w:lang w:eastAsia="en-GB"/>
              </w:rPr>
            </w:pPr>
            <w:r w:rsidRPr="00CC1FC3">
              <w:rPr>
                <w:rFonts w:eastAsia="Times New Roman"/>
                <w:b/>
                <w:bCs/>
                <w:i/>
                <w:iCs/>
                <w:sz w:val="18"/>
                <w:szCs w:val="18"/>
                <w:lang w:eastAsia="en-GB"/>
              </w:rPr>
              <w:t>Health Care</w:t>
            </w:r>
          </w:p>
        </w:tc>
        <w:tc>
          <w:tcPr>
            <w:tcW w:w="1163" w:type="dxa"/>
            <w:tcBorders>
              <w:top w:val="nil"/>
              <w:left w:val="nil"/>
              <w:bottom w:val="single" w:sz="8" w:space="0" w:color="auto"/>
              <w:right w:val="nil"/>
            </w:tcBorders>
            <w:shd w:val="clear" w:color="auto" w:fill="FFFFFF" w:themeFill="background1"/>
            <w:noWrap/>
            <w:vAlign w:val="center"/>
            <w:hideMark/>
          </w:tcPr>
          <w:p w14:paraId="2D3EF9C2"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16</w:t>
            </w:r>
          </w:p>
        </w:tc>
        <w:tc>
          <w:tcPr>
            <w:tcW w:w="933" w:type="dxa"/>
            <w:tcBorders>
              <w:top w:val="nil"/>
              <w:left w:val="nil"/>
              <w:bottom w:val="single" w:sz="8" w:space="0" w:color="auto"/>
              <w:right w:val="nil"/>
            </w:tcBorders>
            <w:shd w:val="clear" w:color="auto" w:fill="FFFFFF" w:themeFill="background1"/>
            <w:noWrap/>
            <w:vAlign w:val="center"/>
            <w:hideMark/>
          </w:tcPr>
          <w:p w14:paraId="64004990"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16</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7A12FB17"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4537A322"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4</w:t>
            </w: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027A19E9"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12</w:t>
            </w:r>
          </w:p>
        </w:tc>
      </w:tr>
      <w:tr w:rsidR="00736F61" w:rsidRPr="00CC1FC3" w14:paraId="131496A6" w14:textId="77777777" w:rsidTr="00621211">
        <w:trPr>
          <w:trHeight w:val="226"/>
        </w:trPr>
        <w:tc>
          <w:tcPr>
            <w:tcW w:w="504" w:type="dxa"/>
            <w:shd w:val="clear" w:color="auto" w:fill="FFFFFF" w:themeFill="background1"/>
            <w:noWrap/>
            <w:vAlign w:val="bottom"/>
            <w:hideMark/>
          </w:tcPr>
          <w:p w14:paraId="489AAFA7"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1517F31"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Advanced Medical Equipment &amp; Technology</w:t>
            </w:r>
          </w:p>
        </w:tc>
        <w:tc>
          <w:tcPr>
            <w:tcW w:w="1163" w:type="dxa"/>
            <w:shd w:val="clear" w:color="auto" w:fill="FFFFFF" w:themeFill="background1"/>
            <w:noWrap/>
            <w:vAlign w:val="center"/>
            <w:hideMark/>
          </w:tcPr>
          <w:p w14:paraId="5E897FB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5BF5BF0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7DAEAC82"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11CFB2D"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FDCC23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57955FBC" w14:textId="77777777" w:rsidTr="00621211">
        <w:trPr>
          <w:trHeight w:val="226"/>
        </w:trPr>
        <w:tc>
          <w:tcPr>
            <w:tcW w:w="504" w:type="dxa"/>
            <w:shd w:val="clear" w:color="auto" w:fill="FFFFFF" w:themeFill="background1"/>
            <w:noWrap/>
            <w:vAlign w:val="bottom"/>
            <w:hideMark/>
          </w:tcPr>
          <w:p w14:paraId="17E414C8"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3FDF228"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Healthcare Facilities &amp; Services</w:t>
            </w:r>
          </w:p>
        </w:tc>
        <w:tc>
          <w:tcPr>
            <w:tcW w:w="1163" w:type="dxa"/>
            <w:shd w:val="clear" w:color="auto" w:fill="FFFFFF" w:themeFill="background1"/>
            <w:noWrap/>
            <w:vAlign w:val="center"/>
            <w:hideMark/>
          </w:tcPr>
          <w:p w14:paraId="603FB68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074A5C9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4ACFF1BD"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679BF6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27B14AF5" w14:textId="77777777" w:rsidR="00736F61" w:rsidRPr="00CC1FC3" w:rsidRDefault="00736F61" w:rsidP="003F224E">
            <w:pPr>
              <w:spacing w:after="0" w:line="240" w:lineRule="auto"/>
              <w:jc w:val="center"/>
              <w:rPr>
                <w:rFonts w:eastAsia="Times New Roman"/>
                <w:lang w:eastAsia="en-GB"/>
              </w:rPr>
            </w:pPr>
          </w:p>
        </w:tc>
      </w:tr>
      <w:tr w:rsidR="00736F61" w:rsidRPr="00CC1FC3" w14:paraId="73210F0F" w14:textId="77777777" w:rsidTr="00621211">
        <w:trPr>
          <w:trHeight w:val="226"/>
        </w:trPr>
        <w:tc>
          <w:tcPr>
            <w:tcW w:w="504" w:type="dxa"/>
            <w:shd w:val="clear" w:color="auto" w:fill="FFFFFF" w:themeFill="background1"/>
            <w:noWrap/>
            <w:vAlign w:val="bottom"/>
            <w:hideMark/>
          </w:tcPr>
          <w:p w14:paraId="18869B1F"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EF9B658"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Managed Healthcare</w:t>
            </w:r>
          </w:p>
        </w:tc>
        <w:tc>
          <w:tcPr>
            <w:tcW w:w="1163" w:type="dxa"/>
            <w:shd w:val="clear" w:color="auto" w:fill="FFFFFF" w:themeFill="background1"/>
            <w:noWrap/>
            <w:vAlign w:val="center"/>
            <w:hideMark/>
          </w:tcPr>
          <w:p w14:paraId="4CD5561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2F55720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7C0421B3"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58DC1D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6A525202" w14:textId="77777777" w:rsidR="00736F61" w:rsidRPr="00CC1FC3" w:rsidRDefault="00736F61" w:rsidP="003F224E">
            <w:pPr>
              <w:spacing w:after="0" w:line="240" w:lineRule="auto"/>
              <w:jc w:val="center"/>
              <w:rPr>
                <w:rFonts w:eastAsia="Times New Roman"/>
                <w:lang w:eastAsia="en-GB"/>
              </w:rPr>
            </w:pPr>
          </w:p>
        </w:tc>
      </w:tr>
      <w:tr w:rsidR="00736F61" w:rsidRPr="00CC1FC3" w14:paraId="08EB7F7D" w14:textId="77777777" w:rsidTr="00621211">
        <w:trPr>
          <w:trHeight w:val="226"/>
        </w:trPr>
        <w:tc>
          <w:tcPr>
            <w:tcW w:w="504" w:type="dxa"/>
            <w:shd w:val="clear" w:color="auto" w:fill="FFFFFF" w:themeFill="background1"/>
            <w:noWrap/>
            <w:vAlign w:val="bottom"/>
            <w:hideMark/>
          </w:tcPr>
          <w:p w14:paraId="564BA7B6"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F6DD54C"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Medical Equipment, Supplies &amp; Distribution</w:t>
            </w:r>
          </w:p>
        </w:tc>
        <w:tc>
          <w:tcPr>
            <w:tcW w:w="1163" w:type="dxa"/>
            <w:shd w:val="clear" w:color="auto" w:fill="FFFFFF" w:themeFill="background1"/>
            <w:noWrap/>
            <w:vAlign w:val="center"/>
            <w:hideMark/>
          </w:tcPr>
          <w:p w14:paraId="239C98D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499FDD2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14F3D65F"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973ACA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15B2D6EA" w14:textId="77777777" w:rsidR="00736F61" w:rsidRPr="00CC1FC3" w:rsidRDefault="00736F61" w:rsidP="003F224E">
            <w:pPr>
              <w:spacing w:after="0" w:line="240" w:lineRule="auto"/>
              <w:jc w:val="center"/>
              <w:rPr>
                <w:rFonts w:eastAsia="Times New Roman"/>
                <w:lang w:eastAsia="en-GB"/>
              </w:rPr>
            </w:pPr>
          </w:p>
        </w:tc>
      </w:tr>
      <w:tr w:rsidR="00736F61" w:rsidRPr="00CC1FC3" w14:paraId="52DB6C5E"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4D86A5E4"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4197009B"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Pharmaceuticals</w:t>
            </w:r>
          </w:p>
        </w:tc>
        <w:tc>
          <w:tcPr>
            <w:tcW w:w="1163" w:type="dxa"/>
            <w:tcBorders>
              <w:top w:val="nil"/>
              <w:left w:val="nil"/>
              <w:bottom w:val="single" w:sz="8" w:space="0" w:color="auto"/>
              <w:right w:val="nil"/>
            </w:tcBorders>
            <w:shd w:val="clear" w:color="auto" w:fill="FFFFFF" w:themeFill="background1"/>
            <w:noWrap/>
            <w:vAlign w:val="center"/>
            <w:hideMark/>
          </w:tcPr>
          <w:p w14:paraId="58FF1FE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11</w:t>
            </w:r>
          </w:p>
        </w:tc>
        <w:tc>
          <w:tcPr>
            <w:tcW w:w="933" w:type="dxa"/>
            <w:tcBorders>
              <w:top w:val="nil"/>
              <w:left w:val="nil"/>
              <w:bottom w:val="single" w:sz="8" w:space="0" w:color="auto"/>
              <w:right w:val="nil"/>
            </w:tcBorders>
            <w:shd w:val="clear" w:color="auto" w:fill="FFFFFF" w:themeFill="background1"/>
            <w:noWrap/>
            <w:vAlign w:val="center"/>
            <w:hideMark/>
          </w:tcPr>
          <w:p w14:paraId="4E78132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6F845D8B"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4405802D"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21320B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11</w:t>
            </w:r>
          </w:p>
        </w:tc>
      </w:tr>
      <w:tr w:rsidR="00736F61" w:rsidRPr="00CC1FC3" w14:paraId="0A83CF91" w14:textId="77777777" w:rsidTr="00621211">
        <w:trPr>
          <w:trHeight w:val="226"/>
        </w:trPr>
        <w:tc>
          <w:tcPr>
            <w:tcW w:w="4351" w:type="dxa"/>
            <w:gridSpan w:val="3"/>
            <w:tcBorders>
              <w:top w:val="nil"/>
              <w:left w:val="nil"/>
              <w:bottom w:val="single" w:sz="8" w:space="0" w:color="auto"/>
              <w:right w:val="nil"/>
            </w:tcBorders>
            <w:shd w:val="clear" w:color="auto" w:fill="FFFFFF" w:themeFill="background1"/>
            <w:noWrap/>
            <w:vAlign w:val="center"/>
            <w:hideMark/>
          </w:tcPr>
          <w:p w14:paraId="46D92219"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Industrials</w:t>
            </w:r>
          </w:p>
        </w:tc>
        <w:tc>
          <w:tcPr>
            <w:tcW w:w="1163" w:type="dxa"/>
            <w:tcBorders>
              <w:top w:val="nil"/>
              <w:left w:val="nil"/>
              <w:bottom w:val="single" w:sz="8" w:space="0" w:color="auto"/>
              <w:right w:val="nil"/>
            </w:tcBorders>
            <w:shd w:val="clear" w:color="auto" w:fill="FFFFFF" w:themeFill="background1"/>
            <w:noWrap/>
            <w:vAlign w:val="center"/>
            <w:hideMark/>
          </w:tcPr>
          <w:p w14:paraId="12FDEBA8"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43</w:t>
            </w:r>
          </w:p>
        </w:tc>
        <w:tc>
          <w:tcPr>
            <w:tcW w:w="933" w:type="dxa"/>
            <w:tcBorders>
              <w:top w:val="nil"/>
              <w:left w:val="nil"/>
              <w:bottom w:val="single" w:sz="8" w:space="0" w:color="auto"/>
              <w:right w:val="nil"/>
            </w:tcBorders>
            <w:shd w:val="clear" w:color="auto" w:fill="FFFFFF" w:themeFill="background1"/>
            <w:noWrap/>
            <w:vAlign w:val="center"/>
            <w:hideMark/>
          </w:tcPr>
          <w:p w14:paraId="324645F4"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43</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4CF664C7"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2384F68B"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24</w:t>
            </w: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3EF2FA94"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19</w:t>
            </w:r>
          </w:p>
        </w:tc>
      </w:tr>
      <w:tr w:rsidR="00736F61" w:rsidRPr="00CC1FC3" w14:paraId="44D30162" w14:textId="77777777" w:rsidTr="00621211">
        <w:trPr>
          <w:trHeight w:val="226"/>
        </w:trPr>
        <w:tc>
          <w:tcPr>
            <w:tcW w:w="504" w:type="dxa"/>
            <w:shd w:val="clear" w:color="auto" w:fill="FFFFFF" w:themeFill="background1"/>
            <w:noWrap/>
            <w:vAlign w:val="bottom"/>
            <w:hideMark/>
          </w:tcPr>
          <w:p w14:paraId="7DBEB24F"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7CB693A"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Aerospace &amp; Défense</w:t>
            </w:r>
          </w:p>
        </w:tc>
        <w:tc>
          <w:tcPr>
            <w:tcW w:w="1163" w:type="dxa"/>
            <w:shd w:val="clear" w:color="auto" w:fill="FFFFFF" w:themeFill="background1"/>
            <w:noWrap/>
            <w:vAlign w:val="center"/>
            <w:hideMark/>
          </w:tcPr>
          <w:p w14:paraId="7190988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c>
          <w:tcPr>
            <w:tcW w:w="933" w:type="dxa"/>
            <w:shd w:val="clear" w:color="auto" w:fill="FFFFFF" w:themeFill="background1"/>
            <w:noWrap/>
            <w:vAlign w:val="center"/>
            <w:hideMark/>
          </w:tcPr>
          <w:p w14:paraId="533877AA"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c>
          <w:tcPr>
            <w:tcW w:w="1056" w:type="dxa"/>
            <w:gridSpan w:val="2"/>
            <w:shd w:val="clear" w:color="auto" w:fill="FFFFFF" w:themeFill="background1"/>
            <w:noWrap/>
            <w:vAlign w:val="bottom"/>
            <w:hideMark/>
          </w:tcPr>
          <w:p w14:paraId="3853A214"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7B7DB3A0"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061039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r>
      <w:tr w:rsidR="00736F61" w:rsidRPr="00CC1FC3" w14:paraId="6C66F9A8" w14:textId="77777777" w:rsidTr="00621211">
        <w:trPr>
          <w:trHeight w:val="226"/>
        </w:trPr>
        <w:tc>
          <w:tcPr>
            <w:tcW w:w="504" w:type="dxa"/>
            <w:shd w:val="clear" w:color="auto" w:fill="FFFFFF" w:themeFill="background1"/>
            <w:noWrap/>
            <w:vAlign w:val="bottom"/>
            <w:hideMark/>
          </w:tcPr>
          <w:p w14:paraId="6DE8E46A"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A8FB238"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Airlines</w:t>
            </w:r>
          </w:p>
        </w:tc>
        <w:tc>
          <w:tcPr>
            <w:tcW w:w="1163" w:type="dxa"/>
            <w:shd w:val="clear" w:color="auto" w:fill="FFFFFF" w:themeFill="background1"/>
            <w:noWrap/>
            <w:vAlign w:val="center"/>
            <w:hideMark/>
          </w:tcPr>
          <w:p w14:paraId="15B4BDA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c>
          <w:tcPr>
            <w:tcW w:w="933" w:type="dxa"/>
            <w:shd w:val="clear" w:color="auto" w:fill="FFFFFF" w:themeFill="background1"/>
            <w:noWrap/>
            <w:vAlign w:val="center"/>
            <w:hideMark/>
          </w:tcPr>
          <w:p w14:paraId="51DB6E3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c>
          <w:tcPr>
            <w:tcW w:w="1056" w:type="dxa"/>
            <w:gridSpan w:val="2"/>
            <w:shd w:val="clear" w:color="auto" w:fill="FFFFFF" w:themeFill="background1"/>
            <w:noWrap/>
            <w:vAlign w:val="bottom"/>
            <w:hideMark/>
          </w:tcPr>
          <w:p w14:paraId="6A1F9AE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59858958"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2F2EC7A"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r>
      <w:tr w:rsidR="00736F61" w:rsidRPr="00CC1FC3" w14:paraId="1B1DEE4B" w14:textId="77777777" w:rsidTr="00621211">
        <w:trPr>
          <w:trHeight w:val="226"/>
        </w:trPr>
        <w:tc>
          <w:tcPr>
            <w:tcW w:w="504" w:type="dxa"/>
            <w:shd w:val="clear" w:color="auto" w:fill="FFFFFF" w:themeFill="background1"/>
            <w:noWrap/>
            <w:vAlign w:val="bottom"/>
            <w:hideMark/>
          </w:tcPr>
          <w:p w14:paraId="45848D41"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092BCDC2"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Construction &amp; Engineering</w:t>
            </w:r>
          </w:p>
        </w:tc>
        <w:tc>
          <w:tcPr>
            <w:tcW w:w="1163" w:type="dxa"/>
            <w:shd w:val="clear" w:color="auto" w:fill="FFFFFF" w:themeFill="background1"/>
            <w:noWrap/>
            <w:vAlign w:val="center"/>
            <w:hideMark/>
          </w:tcPr>
          <w:p w14:paraId="7081487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shd w:val="clear" w:color="auto" w:fill="FFFFFF" w:themeFill="background1"/>
            <w:noWrap/>
            <w:vAlign w:val="center"/>
            <w:hideMark/>
          </w:tcPr>
          <w:p w14:paraId="2AC5F7E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056" w:type="dxa"/>
            <w:gridSpan w:val="2"/>
            <w:shd w:val="clear" w:color="auto" w:fill="FFFFFF" w:themeFill="background1"/>
            <w:noWrap/>
            <w:vAlign w:val="bottom"/>
            <w:hideMark/>
          </w:tcPr>
          <w:p w14:paraId="07C3A6A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7DCBFF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134" w:type="dxa"/>
            <w:shd w:val="clear" w:color="auto" w:fill="FFFFFF" w:themeFill="background1"/>
            <w:noWrap/>
            <w:vAlign w:val="bottom"/>
            <w:hideMark/>
          </w:tcPr>
          <w:p w14:paraId="6ABE21A7" w14:textId="77777777" w:rsidR="00736F61" w:rsidRPr="00CC1FC3" w:rsidRDefault="00736F61" w:rsidP="003F224E">
            <w:pPr>
              <w:spacing w:after="0" w:line="240" w:lineRule="auto"/>
              <w:jc w:val="center"/>
              <w:rPr>
                <w:rFonts w:eastAsia="Times New Roman"/>
                <w:lang w:eastAsia="en-GB"/>
              </w:rPr>
            </w:pPr>
          </w:p>
        </w:tc>
      </w:tr>
      <w:tr w:rsidR="00736F61" w:rsidRPr="00CC1FC3" w14:paraId="4033D5E5" w14:textId="77777777" w:rsidTr="00621211">
        <w:trPr>
          <w:trHeight w:val="226"/>
        </w:trPr>
        <w:tc>
          <w:tcPr>
            <w:tcW w:w="504" w:type="dxa"/>
            <w:shd w:val="clear" w:color="auto" w:fill="FFFFFF" w:themeFill="background1"/>
            <w:noWrap/>
            <w:vAlign w:val="bottom"/>
            <w:hideMark/>
          </w:tcPr>
          <w:p w14:paraId="664B78ED"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86B1973"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Construction Supplies &amp; Fixtures</w:t>
            </w:r>
          </w:p>
        </w:tc>
        <w:tc>
          <w:tcPr>
            <w:tcW w:w="1163" w:type="dxa"/>
            <w:shd w:val="clear" w:color="auto" w:fill="FFFFFF" w:themeFill="background1"/>
            <w:noWrap/>
            <w:vAlign w:val="center"/>
            <w:hideMark/>
          </w:tcPr>
          <w:p w14:paraId="3FBC4C8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35D1E67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5084096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74696C89"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B75C5D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6771A8EC" w14:textId="77777777" w:rsidTr="00621211">
        <w:trPr>
          <w:trHeight w:val="226"/>
        </w:trPr>
        <w:tc>
          <w:tcPr>
            <w:tcW w:w="504" w:type="dxa"/>
            <w:shd w:val="clear" w:color="auto" w:fill="FFFFFF" w:themeFill="background1"/>
            <w:noWrap/>
            <w:vAlign w:val="bottom"/>
            <w:hideMark/>
          </w:tcPr>
          <w:p w14:paraId="1FA197A6"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5436C89"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Consumer Goods Conglomerates</w:t>
            </w:r>
          </w:p>
        </w:tc>
        <w:tc>
          <w:tcPr>
            <w:tcW w:w="1163" w:type="dxa"/>
            <w:shd w:val="clear" w:color="auto" w:fill="FFFFFF" w:themeFill="background1"/>
            <w:noWrap/>
            <w:vAlign w:val="center"/>
            <w:hideMark/>
          </w:tcPr>
          <w:p w14:paraId="56A7843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c>
          <w:tcPr>
            <w:tcW w:w="933" w:type="dxa"/>
            <w:shd w:val="clear" w:color="auto" w:fill="FFFFFF" w:themeFill="background1"/>
            <w:noWrap/>
            <w:vAlign w:val="center"/>
            <w:hideMark/>
          </w:tcPr>
          <w:p w14:paraId="7387C72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c>
          <w:tcPr>
            <w:tcW w:w="1056" w:type="dxa"/>
            <w:gridSpan w:val="2"/>
            <w:shd w:val="clear" w:color="auto" w:fill="FFFFFF" w:themeFill="background1"/>
            <w:noWrap/>
            <w:vAlign w:val="bottom"/>
            <w:hideMark/>
          </w:tcPr>
          <w:p w14:paraId="3AF13F6D"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41AFB0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6</w:t>
            </w:r>
          </w:p>
        </w:tc>
        <w:tc>
          <w:tcPr>
            <w:tcW w:w="1134" w:type="dxa"/>
            <w:shd w:val="clear" w:color="auto" w:fill="FFFFFF" w:themeFill="background1"/>
            <w:noWrap/>
            <w:vAlign w:val="bottom"/>
            <w:hideMark/>
          </w:tcPr>
          <w:p w14:paraId="2A1E4CB6" w14:textId="77777777" w:rsidR="00736F61" w:rsidRPr="00CC1FC3" w:rsidRDefault="00736F61" w:rsidP="003F224E">
            <w:pPr>
              <w:spacing w:after="0" w:line="240" w:lineRule="auto"/>
              <w:jc w:val="center"/>
              <w:rPr>
                <w:rFonts w:eastAsia="Times New Roman"/>
                <w:lang w:eastAsia="en-GB"/>
              </w:rPr>
            </w:pPr>
          </w:p>
        </w:tc>
      </w:tr>
      <w:tr w:rsidR="00736F61" w:rsidRPr="00CC1FC3" w14:paraId="4A29B102" w14:textId="77777777" w:rsidTr="00621211">
        <w:trPr>
          <w:trHeight w:val="226"/>
        </w:trPr>
        <w:tc>
          <w:tcPr>
            <w:tcW w:w="504" w:type="dxa"/>
            <w:shd w:val="clear" w:color="auto" w:fill="FFFFFF" w:themeFill="background1"/>
            <w:noWrap/>
            <w:vAlign w:val="bottom"/>
            <w:hideMark/>
          </w:tcPr>
          <w:p w14:paraId="0E6A5887"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0D2F103"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Courier, Postal, Air Freight &amp; Land-based Logistics</w:t>
            </w:r>
          </w:p>
        </w:tc>
        <w:tc>
          <w:tcPr>
            <w:tcW w:w="1163" w:type="dxa"/>
            <w:shd w:val="clear" w:color="auto" w:fill="FFFFFF" w:themeFill="background1"/>
            <w:noWrap/>
            <w:vAlign w:val="center"/>
            <w:hideMark/>
          </w:tcPr>
          <w:p w14:paraId="5774BBE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shd w:val="clear" w:color="auto" w:fill="FFFFFF" w:themeFill="background1"/>
            <w:noWrap/>
            <w:vAlign w:val="center"/>
            <w:hideMark/>
          </w:tcPr>
          <w:p w14:paraId="3458A4F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056" w:type="dxa"/>
            <w:gridSpan w:val="2"/>
            <w:shd w:val="clear" w:color="auto" w:fill="FFFFFF" w:themeFill="background1"/>
            <w:noWrap/>
            <w:vAlign w:val="bottom"/>
            <w:hideMark/>
          </w:tcPr>
          <w:p w14:paraId="47BE809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257CBF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134" w:type="dxa"/>
            <w:shd w:val="clear" w:color="auto" w:fill="FFFFFF" w:themeFill="background1"/>
            <w:noWrap/>
            <w:vAlign w:val="bottom"/>
            <w:hideMark/>
          </w:tcPr>
          <w:p w14:paraId="2D37A109" w14:textId="77777777" w:rsidR="00736F61" w:rsidRPr="00CC1FC3" w:rsidRDefault="00736F61" w:rsidP="003F224E">
            <w:pPr>
              <w:spacing w:after="0" w:line="240" w:lineRule="auto"/>
              <w:jc w:val="center"/>
              <w:rPr>
                <w:rFonts w:eastAsia="Times New Roman"/>
                <w:lang w:eastAsia="en-GB"/>
              </w:rPr>
            </w:pPr>
          </w:p>
        </w:tc>
      </w:tr>
      <w:tr w:rsidR="00736F61" w:rsidRPr="00CC1FC3" w14:paraId="7283A5B3" w14:textId="77777777" w:rsidTr="00621211">
        <w:trPr>
          <w:trHeight w:val="226"/>
        </w:trPr>
        <w:tc>
          <w:tcPr>
            <w:tcW w:w="504" w:type="dxa"/>
            <w:shd w:val="clear" w:color="auto" w:fill="FFFFFF" w:themeFill="background1"/>
            <w:noWrap/>
            <w:vAlign w:val="bottom"/>
            <w:hideMark/>
          </w:tcPr>
          <w:p w14:paraId="3C78724B"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3C5758B"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Diversified Industrial Goods Wholesale</w:t>
            </w:r>
          </w:p>
        </w:tc>
        <w:tc>
          <w:tcPr>
            <w:tcW w:w="1163" w:type="dxa"/>
            <w:shd w:val="clear" w:color="auto" w:fill="FFFFFF" w:themeFill="background1"/>
            <w:noWrap/>
            <w:vAlign w:val="center"/>
            <w:hideMark/>
          </w:tcPr>
          <w:p w14:paraId="793B4E9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933" w:type="dxa"/>
            <w:shd w:val="clear" w:color="auto" w:fill="FFFFFF" w:themeFill="background1"/>
            <w:noWrap/>
            <w:vAlign w:val="center"/>
            <w:hideMark/>
          </w:tcPr>
          <w:p w14:paraId="734271F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1056" w:type="dxa"/>
            <w:gridSpan w:val="2"/>
            <w:shd w:val="clear" w:color="auto" w:fill="FFFFFF" w:themeFill="background1"/>
            <w:noWrap/>
            <w:vAlign w:val="bottom"/>
            <w:hideMark/>
          </w:tcPr>
          <w:p w14:paraId="571BB1E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C83DCC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1134" w:type="dxa"/>
            <w:shd w:val="clear" w:color="auto" w:fill="FFFFFF" w:themeFill="background1"/>
            <w:noWrap/>
            <w:vAlign w:val="bottom"/>
            <w:hideMark/>
          </w:tcPr>
          <w:p w14:paraId="49B9A88B" w14:textId="77777777" w:rsidR="00736F61" w:rsidRPr="00CC1FC3" w:rsidRDefault="00736F61" w:rsidP="003F224E">
            <w:pPr>
              <w:spacing w:after="0" w:line="240" w:lineRule="auto"/>
              <w:jc w:val="center"/>
              <w:rPr>
                <w:rFonts w:eastAsia="Times New Roman"/>
                <w:lang w:eastAsia="en-GB"/>
              </w:rPr>
            </w:pPr>
          </w:p>
        </w:tc>
      </w:tr>
      <w:tr w:rsidR="00736F61" w:rsidRPr="00CC1FC3" w14:paraId="455C0998" w14:textId="77777777" w:rsidTr="00621211">
        <w:trPr>
          <w:trHeight w:val="226"/>
        </w:trPr>
        <w:tc>
          <w:tcPr>
            <w:tcW w:w="504" w:type="dxa"/>
            <w:shd w:val="clear" w:color="auto" w:fill="FFFFFF" w:themeFill="background1"/>
            <w:noWrap/>
            <w:vAlign w:val="bottom"/>
            <w:hideMark/>
          </w:tcPr>
          <w:p w14:paraId="3F78AFA0"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3F660AC"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Electrical Components &amp; Equipment</w:t>
            </w:r>
          </w:p>
        </w:tc>
        <w:tc>
          <w:tcPr>
            <w:tcW w:w="1163" w:type="dxa"/>
            <w:shd w:val="clear" w:color="auto" w:fill="FFFFFF" w:themeFill="background1"/>
            <w:noWrap/>
            <w:vAlign w:val="center"/>
            <w:hideMark/>
          </w:tcPr>
          <w:p w14:paraId="6DE76E4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627E00F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16F8E578"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6587F439"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BB1216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14B3CEE0" w14:textId="77777777" w:rsidTr="00621211">
        <w:trPr>
          <w:trHeight w:val="226"/>
        </w:trPr>
        <w:tc>
          <w:tcPr>
            <w:tcW w:w="504" w:type="dxa"/>
            <w:shd w:val="clear" w:color="auto" w:fill="FFFFFF" w:themeFill="background1"/>
            <w:noWrap/>
            <w:vAlign w:val="bottom"/>
            <w:hideMark/>
          </w:tcPr>
          <w:p w14:paraId="76E8F27E"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61ABC9A7"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Employment Services</w:t>
            </w:r>
          </w:p>
        </w:tc>
        <w:tc>
          <w:tcPr>
            <w:tcW w:w="1163" w:type="dxa"/>
            <w:shd w:val="clear" w:color="auto" w:fill="FFFFFF" w:themeFill="background1"/>
            <w:noWrap/>
            <w:vAlign w:val="center"/>
            <w:hideMark/>
          </w:tcPr>
          <w:p w14:paraId="1663EB8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124E738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66B3D132"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B6D575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4CBD495A" w14:textId="77777777" w:rsidR="00736F61" w:rsidRPr="00CC1FC3" w:rsidRDefault="00736F61" w:rsidP="003F224E">
            <w:pPr>
              <w:spacing w:after="0" w:line="240" w:lineRule="auto"/>
              <w:jc w:val="center"/>
              <w:rPr>
                <w:rFonts w:eastAsia="Times New Roman"/>
                <w:lang w:eastAsia="en-GB"/>
              </w:rPr>
            </w:pPr>
          </w:p>
        </w:tc>
      </w:tr>
      <w:tr w:rsidR="00736F61" w:rsidRPr="00CC1FC3" w14:paraId="0F495A29" w14:textId="77777777" w:rsidTr="00621211">
        <w:trPr>
          <w:trHeight w:val="226"/>
        </w:trPr>
        <w:tc>
          <w:tcPr>
            <w:tcW w:w="504" w:type="dxa"/>
            <w:shd w:val="clear" w:color="auto" w:fill="FFFFFF" w:themeFill="background1"/>
            <w:noWrap/>
            <w:vAlign w:val="bottom"/>
            <w:hideMark/>
          </w:tcPr>
          <w:p w14:paraId="51141E4C"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0BDB28EC"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Heavy Machinery &amp; Vehicles</w:t>
            </w:r>
          </w:p>
        </w:tc>
        <w:tc>
          <w:tcPr>
            <w:tcW w:w="1163" w:type="dxa"/>
            <w:shd w:val="clear" w:color="auto" w:fill="FFFFFF" w:themeFill="background1"/>
            <w:noWrap/>
            <w:vAlign w:val="center"/>
            <w:hideMark/>
          </w:tcPr>
          <w:p w14:paraId="71BD9B0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shd w:val="clear" w:color="auto" w:fill="FFFFFF" w:themeFill="background1"/>
            <w:noWrap/>
            <w:vAlign w:val="center"/>
            <w:hideMark/>
          </w:tcPr>
          <w:p w14:paraId="11F07B3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056" w:type="dxa"/>
            <w:gridSpan w:val="2"/>
            <w:shd w:val="clear" w:color="auto" w:fill="FFFFFF" w:themeFill="background1"/>
            <w:noWrap/>
            <w:vAlign w:val="bottom"/>
            <w:hideMark/>
          </w:tcPr>
          <w:p w14:paraId="51B2A3CC"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4D42AE43"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224226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r>
      <w:tr w:rsidR="00736F61" w:rsidRPr="00CC1FC3" w14:paraId="623C092C" w14:textId="77777777" w:rsidTr="00621211">
        <w:trPr>
          <w:trHeight w:val="226"/>
        </w:trPr>
        <w:tc>
          <w:tcPr>
            <w:tcW w:w="504" w:type="dxa"/>
            <w:shd w:val="clear" w:color="auto" w:fill="FFFFFF" w:themeFill="background1"/>
            <w:noWrap/>
            <w:vAlign w:val="bottom"/>
            <w:hideMark/>
          </w:tcPr>
          <w:p w14:paraId="0C1490F8"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0C0A24CE"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Investment Holding Companies</w:t>
            </w:r>
          </w:p>
        </w:tc>
        <w:tc>
          <w:tcPr>
            <w:tcW w:w="1163" w:type="dxa"/>
            <w:shd w:val="clear" w:color="auto" w:fill="FFFFFF" w:themeFill="background1"/>
            <w:noWrap/>
            <w:vAlign w:val="center"/>
            <w:hideMark/>
          </w:tcPr>
          <w:p w14:paraId="7C32BAD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4136B94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6B6F87BA"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0B6D2B9"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0BEC94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1723CEE6" w14:textId="77777777" w:rsidTr="00621211">
        <w:trPr>
          <w:trHeight w:val="226"/>
        </w:trPr>
        <w:tc>
          <w:tcPr>
            <w:tcW w:w="504" w:type="dxa"/>
            <w:shd w:val="clear" w:color="auto" w:fill="FFFFFF" w:themeFill="background1"/>
            <w:noWrap/>
            <w:vAlign w:val="bottom"/>
            <w:hideMark/>
          </w:tcPr>
          <w:p w14:paraId="3438C450"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00CFF70D"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IT Services &amp; Consulting</w:t>
            </w:r>
          </w:p>
        </w:tc>
        <w:tc>
          <w:tcPr>
            <w:tcW w:w="1163" w:type="dxa"/>
            <w:shd w:val="clear" w:color="auto" w:fill="FFFFFF" w:themeFill="background1"/>
            <w:noWrap/>
            <w:vAlign w:val="center"/>
            <w:hideMark/>
          </w:tcPr>
          <w:p w14:paraId="454553D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center"/>
            <w:hideMark/>
          </w:tcPr>
          <w:p w14:paraId="0FAF0A3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shd w:val="clear" w:color="auto" w:fill="FFFFFF" w:themeFill="background1"/>
            <w:noWrap/>
            <w:vAlign w:val="bottom"/>
            <w:hideMark/>
          </w:tcPr>
          <w:p w14:paraId="4927EFD8"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C2901B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6C33B7EC" w14:textId="77777777" w:rsidR="00736F61" w:rsidRPr="00CC1FC3" w:rsidRDefault="00736F61" w:rsidP="003F224E">
            <w:pPr>
              <w:spacing w:after="0" w:line="240" w:lineRule="auto"/>
              <w:jc w:val="center"/>
              <w:rPr>
                <w:rFonts w:eastAsia="Times New Roman"/>
                <w:lang w:eastAsia="en-GB"/>
              </w:rPr>
            </w:pPr>
          </w:p>
        </w:tc>
      </w:tr>
      <w:tr w:rsidR="00736F61" w:rsidRPr="00CC1FC3" w14:paraId="40801760" w14:textId="77777777" w:rsidTr="00621211">
        <w:trPr>
          <w:trHeight w:val="226"/>
        </w:trPr>
        <w:tc>
          <w:tcPr>
            <w:tcW w:w="504" w:type="dxa"/>
            <w:shd w:val="clear" w:color="auto" w:fill="FFFFFF" w:themeFill="background1"/>
            <w:noWrap/>
            <w:vAlign w:val="bottom"/>
            <w:hideMark/>
          </w:tcPr>
          <w:p w14:paraId="53C51243"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4A5A83D5"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Marine Freight &amp; Logistics</w:t>
            </w:r>
          </w:p>
        </w:tc>
        <w:tc>
          <w:tcPr>
            <w:tcW w:w="1163" w:type="dxa"/>
            <w:shd w:val="clear" w:color="auto" w:fill="FFFFFF" w:themeFill="background1"/>
            <w:noWrap/>
            <w:vAlign w:val="center"/>
            <w:hideMark/>
          </w:tcPr>
          <w:p w14:paraId="0D80670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11FC8F65"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2115DD1A"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ECFE5E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68B3458D" w14:textId="77777777" w:rsidR="00736F61" w:rsidRPr="00CC1FC3" w:rsidRDefault="00736F61" w:rsidP="003F224E">
            <w:pPr>
              <w:spacing w:after="0" w:line="240" w:lineRule="auto"/>
              <w:jc w:val="center"/>
              <w:rPr>
                <w:rFonts w:eastAsia="Times New Roman"/>
                <w:lang w:eastAsia="en-GB"/>
              </w:rPr>
            </w:pPr>
          </w:p>
        </w:tc>
      </w:tr>
      <w:tr w:rsidR="00736F61" w:rsidRPr="00CC1FC3" w14:paraId="091B65F6"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0D0D9FF6"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5EBE4AED"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Miscellaneous Speciality Retailers</w:t>
            </w:r>
          </w:p>
        </w:tc>
        <w:tc>
          <w:tcPr>
            <w:tcW w:w="1163" w:type="dxa"/>
            <w:tcBorders>
              <w:top w:val="nil"/>
              <w:left w:val="nil"/>
              <w:bottom w:val="single" w:sz="8" w:space="0" w:color="auto"/>
              <w:right w:val="nil"/>
            </w:tcBorders>
            <w:shd w:val="clear" w:color="auto" w:fill="FFFFFF" w:themeFill="background1"/>
            <w:noWrap/>
            <w:vAlign w:val="center"/>
            <w:hideMark/>
          </w:tcPr>
          <w:p w14:paraId="454D468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4097A07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13F456B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FAE8D2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06691A1C" w14:textId="77777777" w:rsidR="00736F61" w:rsidRPr="00CC1FC3" w:rsidRDefault="00736F61" w:rsidP="003F224E">
            <w:pPr>
              <w:spacing w:after="0" w:line="240" w:lineRule="auto"/>
              <w:jc w:val="center"/>
              <w:rPr>
                <w:rFonts w:eastAsia="Times New Roman"/>
                <w:lang w:eastAsia="en-GB"/>
              </w:rPr>
            </w:pPr>
          </w:p>
        </w:tc>
      </w:tr>
      <w:tr w:rsidR="00736F61" w:rsidRPr="00CC1FC3" w14:paraId="72EC9C55"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7B235446"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Information Technology</w:t>
            </w:r>
          </w:p>
        </w:tc>
        <w:tc>
          <w:tcPr>
            <w:tcW w:w="1163" w:type="dxa"/>
            <w:tcBorders>
              <w:top w:val="nil"/>
              <w:left w:val="nil"/>
              <w:bottom w:val="single" w:sz="8" w:space="0" w:color="auto"/>
              <w:right w:val="nil"/>
            </w:tcBorders>
            <w:shd w:val="clear" w:color="auto" w:fill="FFFFFF" w:themeFill="background1"/>
            <w:noWrap/>
            <w:vAlign w:val="center"/>
            <w:hideMark/>
          </w:tcPr>
          <w:p w14:paraId="1564ED54"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23</w:t>
            </w:r>
          </w:p>
        </w:tc>
        <w:tc>
          <w:tcPr>
            <w:tcW w:w="933" w:type="dxa"/>
            <w:tcBorders>
              <w:top w:val="nil"/>
              <w:left w:val="nil"/>
              <w:bottom w:val="single" w:sz="8" w:space="0" w:color="auto"/>
              <w:right w:val="nil"/>
            </w:tcBorders>
            <w:shd w:val="clear" w:color="auto" w:fill="FFFFFF" w:themeFill="background1"/>
            <w:noWrap/>
            <w:vAlign w:val="bottom"/>
            <w:hideMark/>
          </w:tcPr>
          <w:p w14:paraId="5BF17892" w14:textId="77777777" w:rsidR="00736F61" w:rsidRPr="00CC1FC3" w:rsidRDefault="00736F61" w:rsidP="003F224E">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59AB56B3"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23</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1D29ECD1"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6C6ED4F5"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23</w:t>
            </w:r>
          </w:p>
        </w:tc>
      </w:tr>
      <w:tr w:rsidR="00736F61" w:rsidRPr="00CC1FC3" w14:paraId="41361E7B" w14:textId="77777777" w:rsidTr="00621211">
        <w:trPr>
          <w:trHeight w:val="226"/>
        </w:trPr>
        <w:tc>
          <w:tcPr>
            <w:tcW w:w="504" w:type="dxa"/>
            <w:shd w:val="clear" w:color="auto" w:fill="FFFFFF" w:themeFill="background1"/>
            <w:noWrap/>
            <w:vAlign w:val="bottom"/>
            <w:hideMark/>
          </w:tcPr>
          <w:p w14:paraId="7A366748"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4251F7C"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Communications &amp; Networking</w:t>
            </w:r>
          </w:p>
        </w:tc>
        <w:tc>
          <w:tcPr>
            <w:tcW w:w="1163" w:type="dxa"/>
            <w:shd w:val="clear" w:color="auto" w:fill="FFFFFF" w:themeFill="background1"/>
            <w:noWrap/>
            <w:vAlign w:val="center"/>
            <w:hideMark/>
          </w:tcPr>
          <w:p w14:paraId="6F3581E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shd w:val="clear" w:color="auto" w:fill="FFFFFF" w:themeFill="background1"/>
            <w:noWrap/>
            <w:vAlign w:val="bottom"/>
            <w:hideMark/>
          </w:tcPr>
          <w:p w14:paraId="72C675E7"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42A6153B"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134" w:type="dxa"/>
            <w:shd w:val="clear" w:color="auto" w:fill="FFFFFF" w:themeFill="background1"/>
            <w:noWrap/>
            <w:vAlign w:val="bottom"/>
            <w:hideMark/>
          </w:tcPr>
          <w:p w14:paraId="78894B14"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612258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63A3BA56" w14:textId="77777777" w:rsidTr="00621211">
        <w:trPr>
          <w:trHeight w:val="226"/>
        </w:trPr>
        <w:tc>
          <w:tcPr>
            <w:tcW w:w="504" w:type="dxa"/>
            <w:shd w:val="clear" w:color="auto" w:fill="FFFFFF" w:themeFill="background1"/>
            <w:noWrap/>
            <w:vAlign w:val="bottom"/>
            <w:hideMark/>
          </w:tcPr>
          <w:p w14:paraId="543C333E"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486B435"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Computer Hardware</w:t>
            </w:r>
          </w:p>
        </w:tc>
        <w:tc>
          <w:tcPr>
            <w:tcW w:w="1163" w:type="dxa"/>
            <w:shd w:val="clear" w:color="auto" w:fill="FFFFFF" w:themeFill="background1"/>
            <w:noWrap/>
            <w:vAlign w:val="center"/>
            <w:hideMark/>
          </w:tcPr>
          <w:p w14:paraId="5EBC1132"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933" w:type="dxa"/>
            <w:shd w:val="clear" w:color="auto" w:fill="FFFFFF" w:themeFill="background1"/>
            <w:noWrap/>
            <w:vAlign w:val="bottom"/>
            <w:hideMark/>
          </w:tcPr>
          <w:p w14:paraId="6FEC90FD"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6183345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1134" w:type="dxa"/>
            <w:shd w:val="clear" w:color="auto" w:fill="FFFFFF" w:themeFill="background1"/>
            <w:noWrap/>
            <w:vAlign w:val="bottom"/>
            <w:hideMark/>
          </w:tcPr>
          <w:p w14:paraId="017BE652"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93F7CC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r>
      <w:tr w:rsidR="00736F61" w:rsidRPr="00CC1FC3" w14:paraId="69AEC6A2" w14:textId="77777777" w:rsidTr="00621211">
        <w:trPr>
          <w:trHeight w:val="226"/>
        </w:trPr>
        <w:tc>
          <w:tcPr>
            <w:tcW w:w="504" w:type="dxa"/>
            <w:shd w:val="clear" w:color="auto" w:fill="FFFFFF" w:themeFill="background1"/>
            <w:noWrap/>
            <w:vAlign w:val="bottom"/>
            <w:hideMark/>
          </w:tcPr>
          <w:p w14:paraId="1B304FDF"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774D8E8"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Electronic Equipment &amp; Parts</w:t>
            </w:r>
          </w:p>
        </w:tc>
        <w:tc>
          <w:tcPr>
            <w:tcW w:w="1163" w:type="dxa"/>
            <w:shd w:val="clear" w:color="auto" w:fill="FFFFFF" w:themeFill="background1"/>
            <w:noWrap/>
            <w:vAlign w:val="center"/>
            <w:hideMark/>
          </w:tcPr>
          <w:p w14:paraId="48B20D4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bottom"/>
            <w:hideMark/>
          </w:tcPr>
          <w:p w14:paraId="71B44431"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2BA8FF1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0D4FEA5C"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DDE715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137B8BD7" w14:textId="77777777" w:rsidTr="00621211">
        <w:trPr>
          <w:trHeight w:val="226"/>
        </w:trPr>
        <w:tc>
          <w:tcPr>
            <w:tcW w:w="504" w:type="dxa"/>
            <w:shd w:val="clear" w:color="auto" w:fill="FFFFFF" w:themeFill="background1"/>
            <w:noWrap/>
            <w:vAlign w:val="bottom"/>
            <w:hideMark/>
          </w:tcPr>
          <w:p w14:paraId="71071F3F"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3946B164"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IT Services &amp; Consulting</w:t>
            </w:r>
          </w:p>
        </w:tc>
        <w:tc>
          <w:tcPr>
            <w:tcW w:w="1163" w:type="dxa"/>
            <w:shd w:val="clear" w:color="auto" w:fill="FFFFFF" w:themeFill="background1"/>
            <w:noWrap/>
            <w:vAlign w:val="center"/>
            <w:hideMark/>
          </w:tcPr>
          <w:p w14:paraId="68102CC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shd w:val="clear" w:color="auto" w:fill="FFFFFF" w:themeFill="background1"/>
            <w:noWrap/>
            <w:vAlign w:val="bottom"/>
            <w:hideMark/>
          </w:tcPr>
          <w:p w14:paraId="4F91E9BD"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2BC0DAA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134" w:type="dxa"/>
            <w:shd w:val="clear" w:color="auto" w:fill="FFFFFF" w:themeFill="background1"/>
            <w:noWrap/>
            <w:vAlign w:val="bottom"/>
            <w:hideMark/>
          </w:tcPr>
          <w:p w14:paraId="20909D6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6F3010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r>
      <w:tr w:rsidR="00736F61" w:rsidRPr="00CC1FC3" w14:paraId="6FAB4572" w14:textId="77777777" w:rsidTr="00621211">
        <w:trPr>
          <w:trHeight w:val="226"/>
        </w:trPr>
        <w:tc>
          <w:tcPr>
            <w:tcW w:w="504" w:type="dxa"/>
            <w:shd w:val="clear" w:color="auto" w:fill="FFFFFF" w:themeFill="background1"/>
            <w:noWrap/>
            <w:vAlign w:val="bottom"/>
            <w:hideMark/>
          </w:tcPr>
          <w:p w14:paraId="05B07B38"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5E73CB17"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Phones &amp; Handheld Devices</w:t>
            </w:r>
          </w:p>
        </w:tc>
        <w:tc>
          <w:tcPr>
            <w:tcW w:w="1163" w:type="dxa"/>
            <w:shd w:val="clear" w:color="auto" w:fill="FFFFFF" w:themeFill="background1"/>
            <w:noWrap/>
            <w:vAlign w:val="center"/>
            <w:hideMark/>
          </w:tcPr>
          <w:p w14:paraId="1B43109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bottom"/>
            <w:hideMark/>
          </w:tcPr>
          <w:p w14:paraId="76E04585"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14D8094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134" w:type="dxa"/>
            <w:shd w:val="clear" w:color="auto" w:fill="FFFFFF" w:themeFill="background1"/>
            <w:noWrap/>
            <w:vAlign w:val="bottom"/>
            <w:hideMark/>
          </w:tcPr>
          <w:p w14:paraId="3EE81240"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81102F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790BF521" w14:textId="77777777" w:rsidTr="00621211">
        <w:trPr>
          <w:trHeight w:val="226"/>
        </w:trPr>
        <w:tc>
          <w:tcPr>
            <w:tcW w:w="504" w:type="dxa"/>
            <w:shd w:val="clear" w:color="auto" w:fill="FFFFFF" w:themeFill="background1"/>
            <w:noWrap/>
            <w:vAlign w:val="bottom"/>
            <w:hideMark/>
          </w:tcPr>
          <w:p w14:paraId="18941B74"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04EE007E"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Semiconductors</w:t>
            </w:r>
          </w:p>
        </w:tc>
        <w:tc>
          <w:tcPr>
            <w:tcW w:w="1163" w:type="dxa"/>
            <w:shd w:val="clear" w:color="auto" w:fill="FFFFFF" w:themeFill="background1"/>
            <w:noWrap/>
            <w:vAlign w:val="center"/>
            <w:hideMark/>
          </w:tcPr>
          <w:p w14:paraId="3995A2F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933" w:type="dxa"/>
            <w:shd w:val="clear" w:color="auto" w:fill="FFFFFF" w:themeFill="background1"/>
            <w:noWrap/>
            <w:vAlign w:val="bottom"/>
            <w:hideMark/>
          </w:tcPr>
          <w:p w14:paraId="3C999241" w14:textId="77777777" w:rsidR="00736F61" w:rsidRPr="00CC1FC3" w:rsidRDefault="00736F61" w:rsidP="003F224E">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6A8CAE1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1134" w:type="dxa"/>
            <w:shd w:val="clear" w:color="auto" w:fill="FFFFFF" w:themeFill="background1"/>
            <w:noWrap/>
            <w:vAlign w:val="bottom"/>
            <w:hideMark/>
          </w:tcPr>
          <w:p w14:paraId="32007AF5"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779DC7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r>
      <w:tr w:rsidR="00736F61" w:rsidRPr="00CC1FC3" w14:paraId="549F73BC"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5AC7F7C3"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4478C895"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Software</w:t>
            </w:r>
          </w:p>
        </w:tc>
        <w:tc>
          <w:tcPr>
            <w:tcW w:w="1163" w:type="dxa"/>
            <w:tcBorders>
              <w:top w:val="nil"/>
              <w:left w:val="nil"/>
              <w:bottom w:val="single" w:sz="8" w:space="0" w:color="auto"/>
              <w:right w:val="nil"/>
            </w:tcBorders>
            <w:shd w:val="clear" w:color="auto" w:fill="FFFFFF" w:themeFill="background1"/>
            <w:noWrap/>
            <w:vAlign w:val="center"/>
            <w:hideMark/>
          </w:tcPr>
          <w:p w14:paraId="68B3E6AD"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tcBorders>
              <w:top w:val="nil"/>
              <w:left w:val="nil"/>
              <w:bottom w:val="single" w:sz="8" w:space="0" w:color="auto"/>
              <w:right w:val="nil"/>
            </w:tcBorders>
            <w:shd w:val="clear" w:color="auto" w:fill="FFFFFF" w:themeFill="background1"/>
            <w:noWrap/>
            <w:vAlign w:val="bottom"/>
            <w:hideMark/>
          </w:tcPr>
          <w:p w14:paraId="58A55FED" w14:textId="77777777" w:rsidR="00736F61" w:rsidRPr="00CC1FC3" w:rsidRDefault="00736F61" w:rsidP="003F224E">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5B5DE23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134" w:type="dxa"/>
            <w:shd w:val="clear" w:color="auto" w:fill="FFFFFF" w:themeFill="background1"/>
            <w:noWrap/>
            <w:vAlign w:val="bottom"/>
            <w:hideMark/>
          </w:tcPr>
          <w:p w14:paraId="3BBC06A9"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758617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r>
      <w:tr w:rsidR="00736F61" w:rsidRPr="00CC1FC3" w14:paraId="2B914674"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0427CFEA"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Materials</w:t>
            </w:r>
          </w:p>
        </w:tc>
        <w:tc>
          <w:tcPr>
            <w:tcW w:w="1163" w:type="dxa"/>
            <w:tcBorders>
              <w:top w:val="nil"/>
              <w:left w:val="nil"/>
              <w:bottom w:val="single" w:sz="8" w:space="0" w:color="auto"/>
              <w:right w:val="nil"/>
            </w:tcBorders>
            <w:shd w:val="clear" w:color="auto" w:fill="FFFFFF" w:themeFill="background1"/>
            <w:noWrap/>
            <w:vAlign w:val="center"/>
            <w:hideMark/>
          </w:tcPr>
          <w:p w14:paraId="065FE49B"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21</w:t>
            </w:r>
          </w:p>
        </w:tc>
        <w:tc>
          <w:tcPr>
            <w:tcW w:w="933" w:type="dxa"/>
            <w:tcBorders>
              <w:top w:val="nil"/>
              <w:left w:val="nil"/>
              <w:bottom w:val="single" w:sz="8" w:space="0" w:color="auto"/>
              <w:right w:val="nil"/>
            </w:tcBorders>
            <w:shd w:val="clear" w:color="auto" w:fill="FFFFFF" w:themeFill="background1"/>
            <w:noWrap/>
            <w:vAlign w:val="center"/>
            <w:hideMark/>
          </w:tcPr>
          <w:p w14:paraId="27D1C250"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21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35182CC9"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000000" w:themeColor="text1"/>
              <w:left w:val="nil"/>
              <w:bottom w:val="single" w:sz="8" w:space="0" w:color="000000" w:themeColor="text1"/>
              <w:right w:val="nil"/>
            </w:tcBorders>
            <w:shd w:val="clear" w:color="auto" w:fill="FFFFFF" w:themeFill="background1"/>
            <w:noWrap/>
            <w:vAlign w:val="bottom"/>
            <w:hideMark/>
          </w:tcPr>
          <w:p w14:paraId="7B7AFDEC"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000000" w:themeColor="text1"/>
              <w:left w:val="nil"/>
              <w:bottom w:val="single" w:sz="8" w:space="0" w:color="000000" w:themeColor="text1"/>
              <w:right w:val="nil"/>
            </w:tcBorders>
            <w:shd w:val="clear" w:color="auto" w:fill="FFFFFF" w:themeFill="background1"/>
            <w:noWrap/>
            <w:vAlign w:val="center"/>
            <w:hideMark/>
          </w:tcPr>
          <w:p w14:paraId="386C3DF2"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21</w:t>
            </w:r>
          </w:p>
        </w:tc>
      </w:tr>
      <w:tr w:rsidR="00736F61" w:rsidRPr="00CC1FC3" w14:paraId="4726C785" w14:textId="77777777" w:rsidTr="00621211">
        <w:trPr>
          <w:trHeight w:val="226"/>
        </w:trPr>
        <w:tc>
          <w:tcPr>
            <w:tcW w:w="504" w:type="dxa"/>
            <w:shd w:val="clear" w:color="auto" w:fill="FFFFFF" w:themeFill="background1"/>
            <w:noWrap/>
            <w:vAlign w:val="bottom"/>
            <w:hideMark/>
          </w:tcPr>
          <w:p w14:paraId="7F48AC4D"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2206EFD9"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Commodity Chemicals</w:t>
            </w:r>
          </w:p>
        </w:tc>
        <w:tc>
          <w:tcPr>
            <w:tcW w:w="1163" w:type="dxa"/>
            <w:shd w:val="clear" w:color="auto" w:fill="FFFFFF" w:themeFill="background1"/>
            <w:noWrap/>
            <w:vAlign w:val="center"/>
            <w:hideMark/>
          </w:tcPr>
          <w:p w14:paraId="7F2C24A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c>
          <w:tcPr>
            <w:tcW w:w="933" w:type="dxa"/>
            <w:shd w:val="clear" w:color="auto" w:fill="FFFFFF" w:themeFill="background1"/>
            <w:noWrap/>
            <w:vAlign w:val="center"/>
            <w:hideMark/>
          </w:tcPr>
          <w:p w14:paraId="5B863BA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c>
          <w:tcPr>
            <w:tcW w:w="1056" w:type="dxa"/>
            <w:gridSpan w:val="2"/>
            <w:shd w:val="clear" w:color="auto" w:fill="FFFFFF" w:themeFill="background1"/>
            <w:noWrap/>
            <w:vAlign w:val="bottom"/>
            <w:hideMark/>
          </w:tcPr>
          <w:p w14:paraId="47AB8FF2"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BBE10AE"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592ADEA"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r>
      <w:tr w:rsidR="00736F61" w:rsidRPr="00CC1FC3" w14:paraId="69E403FD" w14:textId="77777777" w:rsidTr="00621211">
        <w:trPr>
          <w:trHeight w:val="226"/>
        </w:trPr>
        <w:tc>
          <w:tcPr>
            <w:tcW w:w="504" w:type="dxa"/>
            <w:shd w:val="clear" w:color="auto" w:fill="FFFFFF" w:themeFill="background1"/>
            <w:noWrap/>
            <w:vAlign w:val="bottom"/>
            <w:hideMark/>
          </w:tcPr>
          <w:p w14:paraId="35C1072B"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493CCBE5"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Construction Materials</w:t>
            </w:r>
          </w:p>
        </w:tc>
        <w:tc>
          <w:tcPr>
            <w:tcW w:w="1163" w:type="dxa"/>
            <w:shd w:val="clear" w:color="auto" w:fill="FFFFFF" w:themeFill="background1"/>
            <w:noWrap/>
            <w:vAlign w:val="center"/>
            <w:hideMark/>
          </w:tcPr>
          <w:p w14:paraId="3C66F0C6"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933" w:type="dxa"/>
            <w:shd w:val="clear" w:color="auto" w:fill="FFFFFF" w:themeFill="background1"/>
            <w:noWrap/>
            <w:vAlign w:val="center"/>
            <w:hideMark/>
          </w:tcPr>
          <w:p w14:paraId="542FBAF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c>
          <w:tcPr>
            <w:tcW w:w="1056" w:type="dxa"/>
            <w:gridSpan w:val="2"/>
            <w:shd w:val="clear" w:color="auto" w:fill="FFFFFF" w:themeFill="background1"/>
            <w:noWrap/>
            <w:vAlign w:val="bottom"/>
            <w:hideMark/>
          </w:tcPr>
          <w:p w14:paraId="46236F5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5872400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20E4E71"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3</w:t>
            </w:r>
          </w:p>
        </w:tc>
      </w:tr>
      <w:tr w:rsidR="00736F61" w:rsidRPr="00CC1FC3" w14:paraId="405CD635" w14:textId="77777777" w:rsidTr="00621211">
        <w:trPr>
          <w:trHeight w:val="226"/>
        </w:trPr>
        <w:tc>
          <w:tcPr>
            <w:tcW w:w="504" w:type="dxa"/>
            <w:shd w:val="clear" w:color="auto" w:fill="FFFFFF" w:themeFill="background1"/>
            <w:noWrap/>
            <w:vAlign w:val="bottom"/>
            <w:hideMark/>
          </w:tcPr>
          <w:p w14:paraId="6B79F0ED"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lastRenderedPageBreak/>
              <w:t> </w:t>
            </w:r>
          </w:p>
        </w:tc>
        <w:tc>
          <w:tcPr>
            <w:tcW w:w="3847" w:type="dxa"/>
            <w:gridSpan w:val="2"/>
            <w:shd w:val="clear" w:color="auto" w:fill="FFFFFF" w:themeFill="background1"/>
            <w:noWrap/>
            <w:vAlign w:val="center"/>
            <w:hideMark/>
          </w:tcPr>
          <w:p w14:paraId="401CA324"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Diversified Chemicals</w:t>
            </w:r>
          </w:p>
        </w:tc>
        <w:tc>
          <w:tcPr>
            <w:tcW w:w="1163" w:type="dxa"/>
            <w:shd w:val="clear" w:color="auto" w:fill="FFFFFF" w:themeFill="background1"/>
            <w:noWrap/>
            <w:vAlign w:val="center"/>
            <w:hideMark/>
          </w:tcPr>
          <w:p w14:paraId="25AB7D6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3EF6FD1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2458FE74"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05267578"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F75417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0E58CBC3" w14:textId="77777777" w:rsidTr="00621211">
        <w:trPr>
          <w:trHeight w:val="226"/>
        </w:trPr>
        <w:tc>
          <w:tcPr>
            <w:tcW w:w="504" w:type="dxa"/>
            <w:shd w:val="clear" w:color="auto" w:fill="FFFFFF" w:themeFill="background1"/>
            <w:noWrap/>
            <w:vAlign w:val="bottom"/>
            <w:hideMark/>
          </w:tcPr>
          <w:p w14:paraId="44928BA4"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4503EAFE"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Diversified Mining</w:t>
            </w:r>
          </w:p>
        </w:tc>
        <w:tc>
          <w:tcPr>
            <w:tcW w:w="1163" w:type="dxa"/>
            <w:shd w:val="clear" w:color="auto" w:fill="FFFFFF" w:themeFill="background1"/>
            <w:noWrap/>
            <w:vAlign w:val="center"/>
            <w:hideMark/>
          </w:tcPr>
          <w:p w14:paraId="425AF90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c>
          <w:tcPr>
            <w:tcW w:w="933" w:type="dxa"/>
            <w:shd w:val="clear" w:color="auto" w:fill="FFFFFF" w:themeFill="background1"/>
            <w:noWrap/>
            <w:vAlign w:val="center"/>
            <w:hideMark/>
          </w:tcPr>
          <w:p w14:paraId="370F4FF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c>
          <w:tcPr>
            <w:tcW w:w="1056" w:type="dxa"/>
            <w:gridSpan w:val="2"/>
            <w:shd w:val="clear" w:color="auto" w:fill="FFFFFF" w:themeFill="background1"/>
            <w:noWrap/>
            <w:vAlign w:val="bottom"/>
            <w:hideMark/>
          </w:tcPr>
          <w:p w14:paraId="617B7DD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5997630B"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FBF70D8"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4</w:t>
            </w:r>
          </w:p>
        </w:tc>
      </w:tr>
      <w:tr w:rsidR="00736F61" w:rsidRPr="00CC1FC3" w14:paraId="10CD5C82" w14:textId="77777777" w:rsidTr="00621211">
        <w:trPr>
          <w:trHeight w:val="226"/>
        </w:trPr>
        <w:tc>
          <w:tcPr>
            <w:tcW w:w="504" w:type="dxa"/>
            <w:shd w:val="clear" w:color="auto" w:fill="FFFFFF" w:themeFill="background1"/>
            <w:noWrap/>
            <w:vAlign w:val="bottom"/>
            <w:hideMark/>
          </w:tcPr>
          <w:p w14:paraId="7F8DC1A4"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7C4AAD8E"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Iron &amp; Steel</w:t>
            </w:r>
          </w:p>
        </w:tc>
        <w:tc>
          <w:tcPr>
            <w:tcW w:w="1163" w:type="dxa"/>
            <w:shd w:val="clear" w:color="auto" w:fill="FFFFFF" w:themeFill="background1"/>
            <w:noWrap/>
            <w:vAlign w:val="center"/>
            <w:hideMark/>
          </w:tcPr>
          <w:p w14:paraId="57F11FE3"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933" w:type="dxa"/>
            <w:shd w:val="clear" w:color="auto" w:fill="FFFFFF" w:themeFill="background1"/>
            <w:noWrap/>
            <w:vAlign w:val="center"/>
            <w:hideMark/>
          </w:tcPr>
          <w:p w14:paraId="586138A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c>
          <w:tcPr>
            <w:tcW w:w="1056" w:type="dxa"/>
            <w:gridSpan w:val="2"/>
            <w:shd w:val="clear" w:color="auto" w:fill="FFFFFF" w:themeFill="background1"/>
            <w:noWrap/>
            <w:vAlign w:val="bottom"/>
            <w:hideMark/>
          </w:tcPr>
          <w:p w14:paraId="24C856A9"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4B15701"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2639164"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7</w:t>
            </w:r>
          </w:p>
        </w:tc>
      </w:tr>
      <w:tr w:rsidR="00736F61" w:rsidRPr="00CC1FC3" w14:paraId="19AD3AA9"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31629D07"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2F2ED90E"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Specialty Chemicals</w:t>
            </w:r>
          </w:p>
        </w:tc>
        <w:tc>
          <w:tcPr>
            <w:tcW w:w="1163" w:type="dxa"/>
            <w:tcBorders>
              <w:top w:val="nil"/>
              <w:left w:val="nil"/>
              <w:bottom w:val="single" w:sz="8" w:space="0" w:color="auto"/>
              <w:right w:val="nil"/>
            </w:tcBorders>
            <w:shd w:val="clear" w:color="auto" w:fill="FFFFFF" w:themeFill="background1"/>
            <w:noWrap/>
            <w:vAlign w:val="center"/>
            <w:hideMark/>
          </w:tcPr>
          <w:p w14:paraId="3349BAD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2E90976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7C0D1C1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DFB77BF"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32DA8B0"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r>
      <w:tr w:rsidR="00736F61" w:rsidRPr="00CC1FC3" w14:paraId="576E203D"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25B02D41" w14:textId="77777777" w:rsidR="00736F61" w:rsidRPr="00CC1FC3" w:rsidRDefault="00736F61" w:rsidP="003F224E">
            <w:pPr>
              <w:spacing w:after="0" w:line="240" w:lineRule="auto"/>
              <w:jc w:val="both"/>
              <w:rPr>
                <w:rFonts w:eastAsia="Times New Roman"/>
                <w:b/>
                <w:bCs/>
                <w:i/>
                <w:iCs/>
                <w:sz w:val="18"/>
                <w:szCs w:val="18"/>
                <w:lang w:eastAsia="en-GB"/>
              </w:rPr>
            </w:pPr>
            <w:r w:rsidRPr="00CC1FC3">
              <w:rPr>
                <w:rFonts w:eastAsia="Times New Roman"/>
                <w:b/>
                <w:bCs/>
                <w:i/>
                <w:iCs/>
                <w:sz w:val="18"/>
                <w:szCs w:val="18"/>
                <w:lang w:eastAsia="en-GB"/>
              </w:rPr>
              <w:t>Real Estate</w:t>
            </w:r>
          </w:p>
        </w:tc>
        <w:tc>
          <w:tcPr>
            <w:tcW w:w="1163" w:type="dxa"/>
            <w:tcBorders>
              <w:top w:val="nil"/>
              <w:left w:val="nil"/>
              <w:bottom w:val="single" w:sz="8" w:space="0" w:color="auto"/>
              <w:right w:val="nil"/>
            </w:tcBorders>
            <w:shd w:val="clear" w:color="auto" w:fill="FFFFFF" w:themeFill="background1"/>
            <w:noWrap/>
            <w:vAlign w:val="center"/>
            <w:hideMark/>
          </w:tcPr>
          <w:p w14:paraId="72C4D181"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03A6393A"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1AEE2730" w14:textId="77777777" w:rsidR="00736F61" w:rsidRPr="00CC1FC3" w:rsidRDefault="00736F61" w:rsidP="003F224E">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3D6209FF"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1</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75263FE5" w14:textId="77777777" w:rsidR="00736F61" w:rsidRPr="00CC1FC3" w:rsidRDefault="00736F61" w:rsidP="003F224E">
            <w:pPr>
              <w:spacing w:after="0" w:line="240" w:lineRule="auto"/>
              <w:jc w:val="center"/>
              <w:rPr>
                <w:rFonts w:eastAsia="Times New Roman"/>
                <w:lang w:eastAsia="en-GB"/>
              </w:rPr>
            </w:pPr>
          </w:p>
        </w:tc>
      </w:tr>
      <w:tr w:rsidR="00736F61" w:rsidRPr="00CC1FC3" w14:paraId="553391EA"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36D79B4D"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086DBC55"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Homebuilding</w:t>
            </w:r>
          </w:p>
        </w:tc>
        <w:tc>
          <w:tcPr>
            <w:tcW w:w="1163" w:type="dxa"/>
            <w:tcBorders>
              <w:top w:val="nil"/>
              <w:left w:val="nil"/>
              <w:bottom w:val="single" w:sz="8" w:space="0" w:color="auto"/>
              <w:right w:val="nil"/>
            </w:tcBorders>
            <w:shd w:val="clear" w:color="auto" w:fill="FFFFFF" w:themeFill="background1"/>
            <w:noWrap/>
            <w:vAlign w:val="center"/>
            <w:hideMark/>
          </w:tcPr>
          <w:p w14:paraId="74DEB6C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1F180A4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78500369" w14:textId="77777777" w:rsidR="00736F61" w:rsidRPr="00CC1FC3" w:rsidRDefault="00736F61" w:rsidP="003F224E">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center"/>
            <w:hideMark/>
          </w:tcPr>
          <w:p w14:paraId="309FD260"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1</w:t>
            </w:r>
          </w:p>
        </w:tc>
        <w:tc>
          <w:tcPr>
            <w:tcW w:w="1134" w:type="dxa"/>
            <w:tcBorders>
              <w:top w:val="nil"/>
              <w:left w:val="nil"/>
              <w:bottom w:val="single" w:sz="8" w:space="0" w:color="auto"/>
              <w:right w:val="nil"/>
            </w:tcBorders>
            <w:shd w:val="clear" w:color="auto" w:fill="FFFFFF" w:themeFill="background1"/>
            <w:noWrap/>
            <w:vAlign w:val="bottom"/>
            <w:hideMark/>
          </w:tcPr>
          <w:p w14:paraId="7E5670D5" w14:textId="77777777" w:rsidR="00736F61" w:rsidRPr="00CC1FC3" w:rsidRDefault="00736F61" w:rsidP="003F224E">
            <w:pPr>
              <w:spacing w:after="0" w:line="240" w:lineRule="auto"/>
              <w:jc w:val="center"/>
              <w:rPr>
                <w:rFonts w:eastAsia="Times New Roman"/>
                <w:lang w:eastAsia="en-GB"/>
              </w:rPr>
            </w:pPr>
          </w:p>
        </w:tc>
      </w:tr>
      <w:tr w:rsidR="00736F61" w:rsidRPr="00CC1FC3" w14:paraId="0EF248DC" w14:textId="77777777" w:rsidTr="00621211">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3671A5A2" w14:textId="77777777" w:rsidR="00736F61" w:rsidRPr="00CC1FC3" w:rsidRDefault="00736F61" w:rsidP="003F224E">
            <w:pPr>
              <w:spacing w:after="0" w:line="240" w:lineRule="auto"/>
              <w:jc w:val="both"/>
              <w:rPr>
                <w:rFonts w:eastAsia="Times New Roman"/>
                <w:b/>
                <w:bCs/>
                <w:i/>
                <w:iCs/>
                <w:sz w:val="18"/>
                <w:szCs w:val="18"/>
                <w:lang w:eastAsia="en-GB"/>
              </w:rPr>
            </w:pPr>
            <w:r w:rsidRPr="00CC1FC3">
              <w:rPr>
                <w:rFonts w:eastAsia="Times New Roman"/>
                <w:b/>
                <w:bCs/>
                <w:i/>
                <w:iCs/>
                <w:sz w:val="18"/>
                <w:szCs w:val="18"/>
                <w:lang w:eastAsia="en-GB"/>
              </w:rPr>
              <w:t>Utilities</w:t>
            </w:r>
          </w:p>
        </w:tc>
        <w:tc>
          <w:tcPr>
            <w:tcW w:w="1163" w:type="dxa"/>
            <w:tcBorders>
              <w:top w:val="nil"/>
              <w:left w:val="nil"/>
              <w:bottom w:val="single" w:sz="8" w:space="0" w:color="auto"/>
              <w:right w:val="nil"/>
            </w:tcBorders>
            <w:shd w:val="clear" w:color="auto" w:fill="FFFFFF" w:themeFill="background1"/>
            <w:noWrap/>
            <w:vAlign w:val="center"/>
            <w:hideMark/>
          </w:tcPr>
          <w:p w14:paraId="40EC19B5"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7</w:t>
            </w:r>
          </w:p>
        </w:tc>
        <w:tc>
          <w:tcPr>
            <w:tcW w:w="933" w:type="dxa"/>
            <w:tcBorders>
              <w:top w:val="nil"/>
              <w:left w:val="nil"/>
              <w:bottom w:val="single" w:sz="8" w:space="0" w:color="auto"/>
              <w:right w:val="nil"/>
            </w:tcBorders>
            <w:shd w:val="clear" w:color="auto" w:fill="FFFFFF" w:themeFill="background1"/>
            <w:noWrap/>
            <w:vAlign w:val="center"/>
            <w:hideMark/>
          </w:tcPr>
          <w:p w14:paraId="3CA31723"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7</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57BB6025" w14:textId="77777777" w:rsidR="00736F61" w:rsidRPr="00CC1FC3" w:rsidRDefault="00736F61" w:rsidP="003F224E">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bottom"/>
            <w:hideMark/>
          </w:tcPr>
          <w:p w14:paraId="4A6461C1" w14:textId="77777777" w:rsidR="00736F61" w:rsidRPr="00CC1FC3" w:rsidRDefault="00736F61" w:rsidP="003F224E">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center"/>
            <w:hideMark/>
          </w:tcPr>
          <w:p w14:paraId="0806FBB0" w14:textId="77777777" w:rsidR="00736F61" w:rsidRPr="00CC1FC3" w:rsidRDefault="00736F61" w:rsidP="003F224E">
            <w:pPr>
              <w:spacing w:after="0" w:line="240" w:lineRule="auto"/>
              <w:jc w:val="center"/>
              <w:rPr>
                <w:rFonts w:eastAsia="Times New Roman"/>
                <w:b/>
                <w:bCs/>
                <w:i/>
                <w:iCs/>
                <w:sz w:val="18"/>
                <w:szCs w:val="18"/>
                <w:lang w:eastAsia="en-GB"/>
              </w:rPr>
            </w:pPr>
            <w:r w:rsidRPr="00CC1FC3">
              <w:rPr>
                <w:rFonts w:eastAsia="Times New Roman"/>
                <w:b/>
                <w:bCs/>
                <w:i/>
                <w:iCs/>
                <w:sz w:val="18"/>
                <w:szCs w:val="18"/>
                <w:lang w:eastAsia="en-GB"/>
              </w:rPr>
              <w:t>7</w:t>
            </w:r>
          </w:p>
        </w:tc>
      </w:tr>
      <w:tr w:rsidR="00736F61" w:rsidRPr="00CC1FC3" w14:paraId="0F2EB85F" w14:textId="77777777" w:rsidTr="00621211">
        <w:trPr>
          <w:trHeight w:val="226"/>
        </w:trPr>
        <w:tc>
          <w:tcPr>
            <w:tcW w:w="504" w:type="dxa"/>
            <w:shd w:val="clear" w:color="auto" w:fill="FFFFFF" w:themeFill="background1"/>
            <w:noWrap/>
            <w:vAlign w:val="bottom"/>
            <w:hideMark/>
          </w:tcPr>
          <w:p w14:paraId="7FE1E30E"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shd w:val="clear" w:color="auto" w:fill="FFFFFF" w:themeFill="background1"/>
            <w:noWrap/>
            <w:vAlign w:val="center"/>
            <w:hideMark/>
          </w:tcPr>
          <w:p w14:paraId="17D086B3"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Electric Utilities</w:t>
            </w:r>
          </w:p>
        </w:tc>
        <w:tc>
          <w:tcPr>
            <w:tcW w:w="1163" w:type="dxa"/>
            <w:shd w:val="clear" w:color="auto" w:fill="FFFFFF" w:themeFill="background1"/>
            <w:noWrap/>
            <w:vAlign w:val="center"/>
            <w:hideMark/>
          </w:tcPr>
          <w:p w14:paraId="35CC492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933" w:type="dxa"/>
            <w:shd w:val="clear" w:color="auto" w:fill="FFFFFF" w:themeFill="background1"/>
            <w:noWrap/>
            <w:vAlign w:val="center"/>
            <w:hideMark/>
          </w:tcPr>
          <w:p w14:paraId="792066D7"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c>
          <w:tcPr>
            <w:tcW w:w="1056" w:type="dxa"/>
            <w:gridSpan w:val="2"/>
            <w:shd w:val="clear" w:color="auto" w:fill="FFFFFF" w:themeFill="background1"/>
            <w:noWrap/>
            <w:vAlign w:val="bottom"/>
            <w:hideMark/>
          </w:tcPr>
          <w:p w14:paraId="6B162CFB"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4CC88228"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33624CE"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2</w:t>
            </w:r>
          </w:p>
        </w:tc>
      </w:tr>
      <w:tr w:rsidR="00736F61" w:rsidRPr="00CC1FC3" w14:paraId="066A2E73" w14:textId="77777777" w:rsidTr="00621211">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0E63DD92" w14:textId="77777777" w:rsidR="00736F61" w:rsidRPr="00CC1FC3" w:rsidRDefault="00736F61" w:rsidP="003F224E">
            <w:pPr>
              <w:spacing w:after="0" w:line="240" w:lineRule="auto"/>
              <w:jc w:val="both"/>
              <w:rPr>
                <w:rFonts w:eastAsia="Times New Roman"/>
                <w:lang w:eastAsia="en-GB"/>
              </w:rPr>
            </w:pPr>
            <w:r w:rsidRPr="00CC1FC3">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2837E157" w14:textId="77777777" w:rsidR="00736F61" w:rsidRPr="00CC1FC3" w:rsidRDefault="00736F61" w:rsidP="003F224E">
            <w:pPr>
              <w:spacing w:after="0" w:line="240" w:lineRule="auto"/>
              <w:jc w:val="both"/>
              <w:rPr>
                <w:rFonts w:eastAsia="Times New Roman"/>
                <w:sz w:val="18"/>
                <w:szCs w:val="18"/>
                <w:lang w:eastAsia="en-GB"/>
              </w:rPr>
            </w:pPr>
            <w:r w:rsidRPr="00CC1FC3">
              <w:rPr>
                <w:rFonts w:eastAsia="Times New Roman"/>
                <w:sz w:val="18"/>
                <w:szCs w:val="18"/>
                <w:lang w:eastAsia="en-GB"/>
              </w:rPr>
              <w:t>Multiline Utilities</w:t>
            </w:r>
          </w:p>
        </w:tc>
        <w:tc>
          <w:tcPr>
            <w:tcW w:w="1163" w:type="dxa"/>
            <w:tcBorders>
              <w:top w:val="nil"/>
              <w:left w:val="nil"/>
              <w:bottom w:val="single" w:sz="8" w:space="0" w:color="auto"/>
              <w:right w:val="nil"/>
            </w:tcBorders>
            <w:shd w:val="clear" w:color="auto" w:fill="FFFFFF" w:themeFill="background1"/>
            <w:noWrap/>
            <w:vAlign w:val="center"/>
            <w:hideMark/>
          </w:tcPr>
          <w:p w14:paraId="02CC7C09"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933" w:type="dxa"/>
            <w:tcBorders>
              <w:top w:val="nil"/>
              <w:left w:val="nil"/>
              <w:bottom w:val="single" w:sz="8" w:space="0" w:color="auto"/>
              <w:right w:val="nil"/>
            </w:tcBorders>
            <w:shd w:val="clear" w:color="auto" w:fill="FFFFFF" w:themeFill="background1"/>
            <w:noWrap/>
            <w:vAlign w:val="center"/>
            <w:hideMark/>
          </w:tcPr>
          <w:p w14:paraId="79BF05EF"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3053A986"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49B424A" w14:textId="77777777" w:rsidR="00736F61" w:rsidRPr="00CC1FC3" w:rsidRDefault="00736F61" w:rsidP="003F224E">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34AC4BC" w14:textId="77777777" w:rsidR="00736F61" w:rsidRPr="00CC1FC3" w:rsidRDefault="00736F61" w:rsidP="003F224E">
            <w:pPr>
              <w:spacing w:after="0" w:line="240" w:lineRule="auto"/>
              <w:jc w:val="center"/>
              <w:rPr>
                <w:rFonts w:eastAsia="Times New Roman"/>
                <w:sz w:val="18"/>
                <w:szCs w:val="18"/>
                <w:lang w:eastAsia="en-GB"/>
              </w:rPr>
            </w:pPr>
            <w:r w:rsidRPr="00CC1FC3">
              <w:rPr>
                <w:rFonts w:eastAsia="Times New Roman"/>
                <w:sz w:val="18"/>
                <w:szCs w:val="18"/>
                <w:lang w:eastAsia="en-GB"/>
              </w:rPr>
              <w:t>5</w:t>
            </w:r>
          </w:p>
        </w:tc>
      </w:tr>
      <w:tr w:rsidR="00736F61" w:rsidRPr="00CC1FC3" w14:paraId="199CB76A" w14:textId="77777777" w:rsidTr="00621211">
        <w:trPr>
          <w:trHeight w:val="226"/>
        </w:trPr>
        <w:tc>
          <w:tcPr>
            <w:tcW w:w="4351" w:type="dxa"/>
            <w:gridSpan w:val="3"/>
            <w:tcBorders>
              <w:top w:val="single" w:sz="8" w:space="0" w:color="auto"/>
              <w:left w:val="nil"/>
              <w:bottom w:val="single" w:sz="4" w:space="0" w:color="auto"/>
              <w:right w:val="nil"/>
            </w:tcBorders>
            <w:shd w:val="clear" w:color="auto" w:fill="FFFFFF" w:themeFill="background1"/>
            <w:noWrap/>
            <w:vAlign w:val="center"/>
            <w:hideMark/>
          </w:tcPr>
          <w:p w14:paraId="3284B690" w14:textId="77777777" w:rsidR="00736F61" w:rsidRPr="00CC1FC3" w:rsidRDefault="00736F61" w:rsidP="003F224E">
            <w:pPr>
              <w:spacing w:after="0" w:line="240" w:lineRule="auto"/>
              <w:jc w:val="both"/>
              <w:rPr>
                <w:rFonts w:eastAsia="Times New Roman"/>
                <w:b/>
                <w:bCs/>
                <w:sz w:val="18"/>
                <w:szCs w:val="18"/>
                <w:lang w:eastAsia="en-GB"/>
              </w:rPr>
            </w:pPr>
            <w:r w:rsidRPr="00CC1FC3">
              <w:rPr>
                <w:rFonts w:eastAsia="Times New Roman"/>
                <w:b/>
                <w:bCs/>
                <w:sz w:val="18"/>
                <w:szCs w:val="18"/>
                <w:lang w:eastAsia="en-GB"/>
              </w:rPr>
              <w:t>Total number of Companies</w:t>
            </w:r>
          </w:p>
        </w:tc>
        <w:tc>
          <w:tcPr>
            <w:tcW w:w="1163" w:type="dxa"/>
            <w:tcBorders>
              <w:top w:val="nil"/>
              <w:left w:val="nil"/>
              <w:bottom w:val="single" w:sz="4" w:space="0" w:color="auto"/>
              <w:right w:val="nil"/>
            </w:tcBorders>
            <w:shd w:val="clear" w:color="auto" w:fill="FFFFFF" w:themeFill="background1"/>
            <w:noWrap/>
            <w:vAlign w:val="center"/>
            <w:hideMark/>
          </w:tcPr>
          <w:p w14:paraId="285C826A"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255</w:t>
            </w:r>
          </w:p>
        </w:tc>
        <w:tc>
          <w:tcPr>
            <w:tcW w:w="933" w:type="dxa"/>
            <w:tcBorders>
              <w:top w:val="nil"/>
              <w:left w:val="nil"/>
              <w:bottom w:val="single" w:sz="4" w:space="0" w:color="auto"/>
              <w:right w:val="nil"/>
            </w:tcBorders>
            <w:shd w:val="clear" w:color="auto" w:fill="FFFFFF" w:themeFill="background1"/>
            <w:noWrap/>
            <w:vAlign w:val="center"/>
            <w:hideMark/>
          </w:tcPr>
          <w:p w14:paraId="0003D6A8"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186</w:t>
            </w:r>
          </w:p>
        </w:tc>
        <w:tc>
          <w:tcPr>
            <w:tcW w:w="1056" w:type="dxa"/>
            <w:gridSpan w:val="2"/>
            <w:tcBorders>
              <w:top w:val="nil"/>
              <w:left w:val="nil"/>
              <w:bottom w:val="single" w:sz="4" w:space="0" w:color="auto"/>
              <w:right w:val="nil"/>
            </w:tcBorders>
            <w:shd w:val="clear" w:color="auto" w:fill="FFFFFF" w:themeFill="background1"/>
            <w:noWrap/>
            <w:vAlign w:val="center"/>
            <w:hideMark/>
          </w:tcPr>
          <w:p w14:paraId="2E4E9CB6"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69</w:t>
            </w:r>
          </w:p>
        </w:tc>
        <w:tc>
          <w:tcPr>
            <w:tcW w:w="1134" w:type="dxa"/>
            <w:tcBorders>
              <w:top w:val="single" w:sz="8" w:space="0" w:color="auto"/>
              <w:left w:val="nil"/>
              <w:bottom w:val="single" w:sz="4" w:space="0" w:color="auto"/>
              <w:right w:val="nil"/>
            </w:tcBorders>
            <w:shd w:val="clear" w:color="auto" w:fill="FFFFFF" w:themeFill="background1"/>
            <w:noWrap/>
            <w:vAlign w:val="center"/>
            <w:hideMark/>
          </w:tcPr>
          <w:p w14:paraId="18DEB602"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71</w:t>
            </w:r>
          </w:p>
        </w:tc>
        <w:tc>
          <w:tcPr>
            <w:tcW w:w="1134" w:type="dxa"/>
            <w:tcBorders>
              <w:top w:val="single" w:sz="8" w:space="0" w:color="auto"/>
              <w:left w:val="nil"/>
              <w:bottom w:val="single" w:sz="4" w:space="0" w:color="auto"/>
              <w:right w:val="nil"/>
            </w:tcBorders>
            <w:shd w:val="clear" w:color="auto" w:fill="FFFFFF" w:themeFill="background1"/>
            <w:noWrap/>
            <w:vAlign w:val="center"/>
            <w:hideMark/>
          </w:tcPr>
          <w:p w14:paraId="32F91B65" w14:textId="77777777" w:rsidR="00736F61" w:rsidRPr="00CC1FC3" w:rsidRDefault="00736F61" w:rsidP="003F224E">
            <w:pPr>
              <w:spacing w:after="0" w:line="240" w:lineRule="auto"/>
              <w:jc w:val="center"/>
              <w:rPr>
                <w:rFonts w:eastAsia="Times New Roman"/>
                <w:b/>
                <w:bCs/>
                <w:sz w:val="18"/>
                <w:szCs w:val="18"/>
                <w:lang w:eastAsia="en-GB"/>
              </w:rPr>
            </w:pPr>
            <w:r w:rsidRPr="00CC1FC3">
              <w:rPr>
                <w:rFonts w:eastAsia="Times New Roman"/>
                <w:b/>
                <w:bCs/>
                <w:sz w:val="18"/>
                <w:szCs w:val="18"/>
                <w:lang w:eastAsia="en-GB"/>
              </w:rPr>
              <w:t>184</w:t>
            </w:r>
          </w:p>
        </w:tc>
      </w:tr>
    </w:tbl>
    <w:p w14:paraId="2C3524CE" w14:textId="77777777" w:rsidR="00736F61" w:rsidRDefault="00736F61" w:rsidP="00736F61">
      <w:pPr>
        <w:pStyle w:val="Heading4"/>
        <w:spacing w:before="0" w:after="0"/>
        <w:rPr>
          <w:rStyle w:val="Strong"/>
          <w:b/>
        </w:rPr>
      </w:pPr>
      <w:bookmarkStart w:id="152" w:name="_Toc215651888"/>
      <w:bookmarkStart w:id="153" w:name="_Toc216557288"/>
      <w:bookmarkStart w:id="154" w:name="_Toc220848388"/>
    </w:p>
    <w:p w14:paraId="0DD1B304" w14:textId="77777777" w:rsidR="00736F61" w:rsidRPr="00CC1FC3" w:rsidRDefault="00736F61" w:rsidP="00736F61">
      <w:pPr>
        <w:pStyle w:val="Heading4"/>
        <w:spacing w:before="0" w:after="0"/>
        <w:rPr>
          <w:rStyle w:val="Strong"/>
          <w:rFonts w:cs="Times New Roman"/>
        </w:rPr>
      </w:pPr>
      <w:r w:rsidRPr="00CC1FC3">
        <w:rPr>
          <w:rStyle w:val="Strong"/>
          <w:rFonts w:cs="Times New Roman"/>
          <w:b/>
        </w:rPr>
        <w:t>5.4.2.2 Definitions of variables</w:t>
      </w:r>
      <w:bookmarkEnd w:id="152"/>
      <w:bookmarkEnd w:id="153"/>
      <w:bookmarkEnd w:id="154"/>
    </w:p>
    <w:p w14:paraId="40CD56D0" w14:textId="77777777" w:rsidR="00736F61" w:rsidRPr="00CC1FC3" w:rsidRDefault="00736F61" w:rsidP="00736F61">
      <w:pPr>
        <w:spacing w:after="0" w:line="480" w:lineRule="auto"/>
        <w:rPr>
          <w:rStyle w:val="Strong"/>
          <w:rFonts w:eastAsia="Times New Roman"/>
          <w:b w:val="0"/>
          <w:bCs w:val="0"/>
        </w:rPr>
      </w:pPr>
      <w:r w:rsidRPr="00CC1FC3">
        <w:rPr>
          <w:rStyle w:val="Strong"/>
          <w:rFonts w:eastAsia="Times New Roman"/>
          <w:b w:val="0"/>
          <w:bCs w:val="0"/>
        </w:rPr>
        <w:t xml:space="preserve">Table </w:t>
      </w:r>
      <w:r>
        <w:rPr>
          <w:rStyle w:val="Strong"/>
          <w:rFonts w:eastAsia="Times New Roman"/>
          <w:b w:val="0"/>
          <w:bCs w:val="0"/>
        </w:rPr>
        <w:t xml:space="preserve">5.13 </w:t>
      </w:r>
      <w:r w:rsidRPr="00CC1FC3">
        <w:rPr>
          <w:rStyle w:val="Strong"/>
          <w:rFonts w:eastAsia="Times New Roman"/>
          <w:b w:val="0"/>
          <w:bCs w:val="0"/>
        </w:rPr>
        <w:t>presents the definitions of the variables.</w:t>
      </w:r>
    </w:p>
    <w:p w14:paraId="20884E28" w14:textId="77777777" w:rsidR="00736F61" w:rsidRPr="00CC1FC3" w:rsidRDefault="00736F61" w:rsidP="00736F61">
      <w:pPr>
        <w:spacing w:after="0" w:line="480" w:lineRule="auto"/>
        <w:rPr>
          <w:rStyle w:val="Strong"/>
          <w:rFonts w:eastAsia="Times New Roman"/>
          <w:b w:val="0"/>
          <w:bCs w:val="0"/>
        </w:rPr>
      </w:pPr>
      <w:r w:rsidRPr="00CC1FC3">
        <w:rPr>
          <w:rStyle w:val="Strong"/>
          <w:rFonts w:eastAsia="Times New Roman"/>
        </w:rPr>
        <w:t xml:space="preserve">Table </w:t>
      </w:r>
      <w:r>
        <w:rPr>
          <w:rStyle w:val="Strong"/>
          <w:rFonts w:eastAsia="Times New Roman"/>
        </w:rPr>
        <w:t>5.13</w:t>
      </w:r>
      <w:r w:rsidRPr="00CC1FC3">
        <w:rPr>
          <w:rStyle w:val="Strong"/>
          <w:rFonts w:eastAsia="Times New Roman"/>
        </w:rPr>
        <w:t xml:space="preserve">: </w:t>
      </w:r>
      <w:r w:rsidRPr="00CC1FC3">
        <w:rPr>
          <w:rStyle w:val="Strong"/>
          <w:rFonts w:eastAsia="Times New Roman"/>
          <w:b w:val="0"/>
          <w:bCs w:val="0"/>
        </w:rPr>
        <w:t xml:space="preserve">Definition of components of ACMS </w:t>
      </w:r>
    </w:p>
    <w:tbl>
      <w:tblPr>
        <w:tblStyle w:val="TableGrid"/>
        <w:tblW w:w="9498" w:type="dxa"/>
        <w:tblLook w:val="04A0" w:firstRow="1" w:lastRow="0" w:firstColumn="1" w:lastColumn="0" w:noHBand="0" w:noVBand="1"/>
      </w:tblPr>
      <w:tblGrid>
        <w:gridCol w:w="1803"/>
        <w:gridCol w:w="1461"/>
        <w:gridCol w:w="6234"/>
      </w:tblGrid>
      <w:tr w:rsidR="00736F61" w:rsidRPr="005742B8" w14:paraId="17E74EFE" w14:textId="77777777" w:rsidTr="00621211">
        <w:trPr>
          <w:trHeight w:val="300"/>
        </w:trPr>
        <w:tc>
          <w:tcPr>
            <w:tcW w:w="9498" w:type="dxa"/>
            <w:gridSpan w:val="3"/>
            <w:tcBorders>
              <w:top w:val="single" w:sz="4" w:space="0" w:color="auto"/>
              <w:left w:val="nil"/>
              <w:bottom w:val="single" w:sz="4" w:space="0" w:color="auto"/>
              <w:right w:val="nil"/>
            </w:tcBorders>
            <w:hideMark/>
          </w:tcPr>
          <w:p w14:paraId="282B1592" w14:textId="77777777" w:rsidR="00736F61" w:rsidRPr="005742B8" w:rsidRDefault="00736F61" w:rsidP="003F224E">
            <w:pPr>
              <w:jc w:val="center"/>
              <w:rPr>
                <w:rStyle w:val="Strong"/>
                <w:sz w:val="20"/>
                <w:szCs w:val="20"/>
              </w:rPr>
            </w:pPr>
            <w:r w:rsidRPr="005742B8">
              <w:rPr>
                <w:rStyle w:val="Strong"/>
                <w:sz w:val="20"/>
                <w:szCs w:val="20"/>
              </w:rPr>
              <w:t>Dependent Variable</w:t>
            </w:r>
          </w:p>
        </w:tc>
      </w:tr>
      <w:tr w:rsidR="00736F61" w:rsidRPr="005742B8" w14:paraId="43E0A857" w14:textId="77777777" w:rsidTr="00621211">
        <w:trPr>
          <w:trHeight w:val="300"/>
        </w:trPr>
        <w:tc>
          <w:tcPr>
            <w:tcW w:w="9498" w:type="dxa"/>
            <w:gridSpan w:val="3"/>
            <w:tcBorders>
              <w:top w:val="single" w:sz="4" w:space="0" w:color="auto"/>
              <w:left w:val="nil"/>
              <w:bottom w:val="single" w:sz="4" w:space="0" w:color="auto"/>
              <w:right w:val="nil"/>
            </w:tcBorders>
            <w:hideMark/>
          </w:tcPr>
          <w:p w14:paraId="1FCE2EA8" w14:textId="77777777" w:rsidR="00736F61" w:rsidRPr="005742B8" w:rsidRDefault="00736F61" w:rsidP="003F224E">
            <w:pPr>
              <w:rPr>
                <w:sz w:val="20"/>
                <w:szCs w:val="20"/>
              </w:rPr>
            </w:pPr>
            <w:r w:rsidRPr="005742B8">
              <w:rPr>
                <w:rStyle w:val="Strong"/>
                <w:sz w:val="20"/>
                <w:szCs w:val="20"/>
              </w:rPr>
              <w:t>Variable                Acronym</w:t>
            </w:r>
            <w:r w:rsidRPr="005742B8">
              <w:rPr>
                <w:sz w:val="20"/>
                <w:szCs w:val="20"/>
              </w:rPr>
              <w:tab/>
            </w:r>
            <w:r w:rsidRPr="005742B8">
              <w:rPr>
                <w:rStyle w:val="Strong"/>
                <w:sz w:val="20"/>
                <w:szCs w:val="20"/>
              </w:rPr>
              <w:t xml:space="preserve">                           Definition</w:t>
            </w:r>
          </w:p>
        </w:tc>
      </w:tr>
      <w:tr w:rsidR="00736F61" w:rsidRPr="005742B8" w14:paraId="54D6C037" w14:textId="77777777" w:rsidTr="00621211">
        <w:trPr>
          <w:trHeight w:val="1192"/>
        </w:trPr>
        <w:tc>
          <w:tcPr>
            <w:tcW w:w="1803" w:type="dxa"/>
            <w:tcBorders>
              <w:top w:val="single" w:sz="4" w:space="0" w:color="auto"/>
              <w:left w:val="nil"/>
              <w:bottom w:val="nil"/>
              <w:right w:val="nil"/>
            </w:tcBorders>
          </w:tcPr>
          <w:p w14:paraId="1CA6EC1F" w14:textId="77777777" w:rsidR="00736F61" w:rsidRPr="005742B8" w:rsidRDefault="00736F61" w:rsidP="003F224E">
            <w:pPr>
              <w:rPr>
                <w:rFonts w:eastAsia="Times New Roman"/>
                <w:sz w:val="20"/>
                <w:szCs w:val="20"/>
              </w:rPr>
            </w:pPr>
            <w:r w:rsidRPr="005742B8">
              <w:rPr>
                <w:rFonts w:eastAsia="Times New Roman"/>
                <w:sz w:val="20"/>
                <w:szCs w:val="20"/>
              </w:rPr>
              <w:t>Health and Safety Policy Score</w:t>
            </w:r>
          </w:p>
          <w:p w14:paraId="4ABD24EC" w14:textId="77777777" w:rsidR="00736F61" w:rsidRPr="005742B8" w:rsidRDefault="00736F61" w:rsidP="003F224E">
            <w:pPr>
              <w:rPr>
                <w:rFonts w:eastAsia="Times New Roman"/>
                <w:sz w:val="20"/>
                <w:szCs w:val="20"/>
              </w:rPr>
            </w:pPr>
            <w:r w:rsidRPr="005742B8">
              <w:rPr>
                <w:rStyle w:val="Strong"/>
                <w:b w:val="0"/>
                <w:bCs w:val="0"/>
                <w:sz w:val="20"/>
                <w:szCs w:val="20"/>
              </w:rPr>
              <w:t>(0-100)</w:t>
            </w:r>
          </w:p>
          <w:p w14:paraId="553E4C66" w14:textId="77777777" w:rsidR="00736F61" w:rsidRPr="005742B8" w:rsidRDefault="00736F61" w:rsidP="003F224E">
            <w:pPr>
              <w:rPr>
                <w:rStyle w:val="Strong"/>
                <w:b w:val="0"/>
                <w:bCs w:val="0"/>
                <w:sz w:val="20"/>
                <w:szCs w:val="20"/>
              </w:rPr>
            </w:pPr>
          </w:p>
        </w:tc>
        <w:tc>
          <w:tcPr>
            <w:tcW w:w="1461" w:type="dxa"/>
            <w:tcBorders>
              <w:top w:val="single" w:sz="4" w:space="0" w:color="auto"/>
              <w:left w:val="nil"/>
              <w:bottom w:val="nil"/>
              <w:right w:val="nil"/>
            </w:tcBorders>
          </w:tcPr>
          <w:p w14:paraId="5205B6A7" w14:textId="77777777" w:rsidR="00736F61" w:rsidRPr="005742B8" w:rsidRDefault="00736F61" w:rsidP="003F224E">
            <w:pPr>
              <w:jc w:val="center"/>
              <w:rPr>
                <w:rStyle w:val="Strong"/>
                <w:b w:val="0"/>
                <w:bCs w:val="0"/>
                <w:sz w:val="20"/>
                <w:szCs w:val="20"/>
              </w:rPr>
            </w:pPr>
            <w:r w:rsidRPr="005742B8">
              <w:rPr>
                <w:rStyle w:val="Strong"/>
                <w:b w:val="0"/>
                <w:bCs w:val="0"/>
                <w:sz w:val="20"/>
                <w:szCs w:val="20"/>
              </w:rPr>
              <w:t>H&amp;S</w:t>
            </w:r>
          </w:p>
          <w:p w14:paraId="403CF717" w14:textId="77777777" w:rsidR="00736F61" w:rsidRPr="005742B8" w:rsidRDefault="00736F61" w:rsidP="003F224E">
            <w:pPr>
              <w:jc w:val="center"/>
              <w:rPr>
                <w:sz w:val="20"/>
                <w:szCs w:val="20"/>
              </w:rPr>
            </w:pPr>
          </w:p>
          <w:p w14:paraId="7DDFFFB3" w14:textId="77777777" w:rsidR="00736F61" w:rsidRPr="005742B8" w:rsidRDefault="00736F61" w:rsidP="003F224E">
            <w:pPr>
              <w:jc w:val="center"/>
              <w:rPr>
                <w:rStyle w:val="Strong"/>
                <w:sz w:val="20"/>
                <w:szCs w:val="20"/>
              </w:rPr>
            </w:pPr>
          </w:p>
        </w:tc>
        <w:tc>
          <w:tcPr>
            <w:tcW w:w="6234" w:type="dxa"/>
            <w:tcBorders>
              <w:top w:val="single" w:sz="4" w:space="0" w:color="auto"/>
              <w:left w:val="nil"/>
              <w:bottom w:val="nil"/>
              <w:right w:val="nil"/>
            </w:tcBorders>
            <w:hideMark/>
          </w:tcPr>
          <w:p w14:paraId="156167C5" w14:textId="77777777" w:rsidR="00736F61" w:rsidRPr="005742B8" w:rsidRDefault="00736F61" w:rsidP="003F224E">
            <w:pPr>
              <w:jc w:val="both"/>
              <w:rPr>
                <w:sz w:val="20"/>
                <w:szCs w:val="20"/>
              </w:rPr>
            </w:pPr>
            <w:r w:rsidRPr="005742B8">
              <w:rPr>
                <w:sz w:val="20"/>
                <w:szCs w:val="20"/>
              </w:rPr>
              <w:t>Assesses the strength of health and safety protocols across operations and supply chains. A higher score reflects comprehensive safeguards and effective risk controls.</w:t>
            </w:r>
          </w:p>
        </w:tc>
      </w:tr>
      <w:tr w:rsidR="00736F61" w:rsidRPr="005742B8" w14:paraId="3D55BEA8" w14:textId="77777777" w:rsidTr="00621211">
        <w:trPr>
          <w:trHeight w:val="300"/>
        </w:trPr>
        <w:tc>
          <w:tcPr>
            <w:tcW w:w="1803" w:type="dxa"/>
          </w:tcPr>
          <w:p w14:paraId="4D98DB0A" w14:textId="77777777" w:rsidR="00736F61" w:rsidRPr="005742B8" w:rsidRDefault="00736F61" w:rsidP="003F224E">
            <w:pPr>
              <w:rPr>
                <w:rFonts w:eastAsia="Times New Roman"/>
                <w:sz w:val="20"/>
                <w:szCs w:val="20"/>
              </w:rPr>
            </w:pPr>
          </w:p>
          <w:p w14:paraId="7C17FF66" w14:textId="77777777" w:rsidR="00736F61" w:rsidRPr="005742B8" w:rsidRDefault="00736F61" w:rsidP="003F224E">
            <w:pPr>
              <w:rPr>
                <w:rFonts w:eastAsia="Times New Roman"/>
                <w:sz w:val="20"/>
                <w:szCs w:val="20"/>
              </w:rPr>
            </w:pPr>
            <w:r w:rsidRPr="005742B8">
              <w:rPr>
                <w:rFonts w:eastAsia="Times New Roman"/>
                <w:sz w:val="20"/>
                <w:szCs w:val="20"/>
              </w:rPr>
              <w:t>Child Labour Policy Score</w:t>
            </w:r>
          </w:p>
          <w:p w14:paraId="3FADD40E" w14:textId="77777777" w:rsidR="00736F61" w:rsidRPr="005742B8" w:rsidRDefault="00736F61" w:rsidP="003F224E">
            <w:pPr>
              <w:rPr>
                <w:rFonts w:eastAsia="Times New Roman"/>
                <w:sz w:val="20"/>
                <w:szCs w:val="20"/>
              </w:rPr>
            </w:pPr>
            <w:r w:rsidRPr="005742B8">
              <w:rPr>
                <w:rStyle w:val="Strong"/>
                <w:b w:val="0"/>
                <w:bCs w:val="0"/>
                <w:sz w:val="20"/>
                <w:szCs w:val="20"/>
              </w:rPr>
              <w:t>(0-100)</w:t>
            </w:r>
          </w:p>
          <w:p w14:paraId="0AACFB6D" w14:textId="77777777" w:rsidR="00736F61" w:rsidRPr="005742B8" w:rsidRDefault="00736F61" w:rsidP="003F224E">
            <w:pPr>
              <w:rPr>
                <w:rStyle w:val="Strong"/>
                <w:b w:val="0"/>
                <w:bCs w:val="0"/>
                <w:sz w:val="20"/>
                <w:szCs w:val="20"/>
              </w:rPr>
            </w:pPr>
          </w:p>
        </w:tc>
        <w:tc>
          <w:tcPr>
            <w:tcW w:w="1461" w:type="dxa"/>
            <w:tcBorders>
              <w:top w:val="single" w:sz="4" w:space="0" w:color="auto"/>
              <w:left w:val="nil"/>
              <w:bottom w:val="nil"/>
              <w:right w:val="nil"/>
            </w:tcBorders>
          </w:tcPr>
          <w:p w14:paraId="29362C03" w14:textId="77777777" w:rsidR="00736F61" w:rsidRPr="005742B8" w:rsidRDefault="00736F61" w:rsidP="003F224E">
            <w:pPr>
              <w:jc w:val="center"/>
              <w:rPr>
                <w:sz w:val="20"/>
                <w:szCs w:val="20"/>
              </w:rPr>
            </w:pPr>
          </w:p>
          <w:p w14:paraId="1E433766" w14:textId="77777777" w:rsidR="00736F61" w:rsidRPr="005742B8" w:rsidRDefault="00736F61" w:rsidP="003F224E">
            <w:pPr>
              <w:jc w:val="center"/>
              <w:rPr>
                <w:sz w:val="20"/>
                <w:szCs w:val="20"/>
                <w:lang w:val="de-DE"/>
              </w:rPr>
            </w:pPr>
            <w:r w:rsidRPr="005742B8">
              <w:rPr>
                <w:sz w:val="20"/>
                <w:szCs w:val="20"/>
                <w:lang w:val="de-DE"/>
              </w:rPr>
              <w:t>CL</w:t>
            </w:r>
          </w:p>
          <w:p w14:paraId="13B10266" w14:textId="77777777" w:rsidR="00736F61" w:rsidRPr="005742B8" w:rsidRDefault="00736F61" w:rsidP="003F224E">
            <w:pPr>
              <w:jc w:val="center"/>
              <w:rPr>
                <w:rStyle w:val="Strong"/>
                <w:sz w:val="20"/>
                <w:szCs w:val="20"/>
              </w:rPr>
            </w:pPr>
          </w:p>
        </w:tc>
        <w:tc>
          <w:tcPr>
            <w:tcW w:w="6234" w:type="dxa"/>
            <w:tcBorders>
              <w:top w:val="single" w:sz="4" w:space="0" w:color="auto"/>
              <w:left w:val="nil"/>
              <w:bottom w:val="nil"/>
              <w:right w:val="nil"/>
            </w:tcBorders>
          </w:tcPr>
          <w:p w14:paraId="08B5BB54" w14:textId="77777777" w:rsidR="00736F61" w:rsidRPr="005742B8" w:rsidRDefault="00736F61" w:rsidP="003F224E">
            <w:pPr>
              <w:jc w:val="both"/>
              <w:rPr>
                <w:rFonts w:eastAsia="Times New Roman"/>
                <w:sz w:val="20"/>
                <w:szCs w:val="20"/>
              </w:rPr>
            </w:pPr>
            <w:r w:rsidRPr="005742B8">
              <w:rPr>
                <w:sz w:val="20"/>
                <w:szCs w:val="20"/>
              </w:rPr>
              <w:t xml:space="preserve">Evaluates efforts to prevent child labour, including adherence to international codes </w:t>
            </w:r>
            <w:r w:rsidRPr="005742B8">
              <w:rPr>
                <w:rFonts w:eastAsia="Times New Roman"/>
                <w:sz w:val="20"/>
                <w:szCs w:val="20"/>
              </w:rPr>
              <w:t xml:space="preserve">(e.g., the Electronic Industry Citizenship Coalition (EICC) Code of Conduct and the Pharmaceutical Industry Principles (PSCI)), </w:t>
            </w:r>
            <w:r w:rsidRPr="005742B8">
              <w:rPr>
                <w:sz w:val="20"/>
                <w:szCs w:val="20"/>
              </w:rPr>
              <w:t>and legal frameworks. A higher score indicates rigorous enforcement and proactive measures.</w:t>
            </w:r>
          </w:p>
          <w:p w14:paraId="3EE048CD" w14:textId="77777777" w:rsidR="00736F61" w:rsidRPr="005742B8" w:rsidRDefault="00736F61" w:rsidP="003F224E">
            <w:pPr>
              <w:jc w:val="both"/>
              <w:rPr>
                <w:sz w:val="20"/>
                <w:szCs w:val="20"/>
                <w:lang w:val="de-DE"/>
              </w:rPr>
            </w:pPr>
          </w:p>
        </w:tc>
      </w:tr>
      <w:tr w:rsidR="00736F61" w:rsidRPr="005742B8" w14:paraId="510760E1" w14:textId="77777777" w:rsidTr="00621211">
        <w:trPr>
          <w:trHeight w:val="300"/>
        </w:trPr>
        <w:tc>
          <w:tcPr>
            <w:tcW w:w="1803" w:type="dxa"/>
            <w:hideMark/>
          </w:tcPr>
          <w:p w14:paraId="1D80193C" w14:textId="77777777" w:rsidR="00736F61" w:rsidRPr="005742B8" w:rsidRDefault="00736F61" w:rsidP="003F224E">
            <w:pPr>
              <w:rPr>
                <w:rFonts w:eastAsia="Times New Roman"/>
                <w:sz w:val="20"/>
                <w:szCs w:val="20"/>
              </w:rPr>
            </w:pPr>
            <w:r w:rsidRPr="005742B8">
              <w:rPr>
                <w:rFonts w:eastAsia="Times New Roman"/>
                <w:sz w:val="20"/>
                <w:szCs w:val="20"/>
              </w:rPr>
              <w:t>Forced Labour Policy Score</w:t>
            </w:r>
          </w:p>
          <w:p w14:paraId="5654E358" w14:textId="77777777" w:rsidR="00736F61" w:rsidRPr="005742B8" w:rsidRDefault="00736F61" w:rsidP="003F224E">
            <w:pPr>
              <w:rPr>
                <w:rStyle w:val="Strong"/>
                <w:b w:val="0"/>
                <w:bCs w:val="0"/>
                <w:sz w:val="20"/>
                <w:szCs w:val="20"/>
              </w:rPr>
            </w:pPr>
            <w:r w:rsidRPr="005742B8">
              <w:rPr>
                <w:rStyle w:val="Strong"/>
                <w:b w:val="0"/>
                <w:bCs w:val="0"/>
                <w:sz w:val="20"/>
                <w:szCs w:val="20"/>
              </w:rPr>
              <w:t>(0-100)</w:t>
            </w:r>
          </w:p>
        </w:tc>
        <w:tc>
          <w:tcPr>
            <w:tcW w:w="1461" w:type="dxa"/>
            <w:tcBorders>
              <w:top w:val="single" w:sz="4" w:space="0" w:color="auto"/>
              <w:left w:val="nil"/>
              <w:bottom w:val="nil"/>
              <w:right w:val="nil"/>
            </w:tcBorders>
          </w:tcPr>
          <w:p w14:paraId="11A28AED" w14:textId="77777777" w:rsidR="00736F61" w:rsidRPr="005742B8" w:rsidRDefault="00736F61" w:rsidP="003F224E">
            <w:pPr>
              <w:jc w:val="center"/>
              <w:rPr>
                <w:sz w:val="20"/>
                <w:szCs w:val="20"/>
                <w:lang w:val="de-DE"/>
              </w:rPr>
            </w:pPr>
            <w:r w:rsidRPr="005742B8">
              <w:rPr>
                <w:sz w:val="20"/>
                <w:szCs w:val="20"/>
                <w:lang w:val="de-DE"/>
              </w:rPr>
              <w:t>FL</w:t>
            </w:r>
          </w:p>
          <w:p w14:paraId="23B8656A" w14:textId="77777777" w:rsidR="00736F61" w:rsidRPr="005742B8" w:rsidRDefault="00736F61" w:rsidP="003F224E">
            <w:pPr>
              <w:jc w:val="center"/>
              <w:rPr>
                <w:sz w:val="20"/>
                <w:szCs w:val="20"/>
                <w:lang w:val="de-DE"/>
              </w:rPr>
            </w:pPr>
          </w:p>
          <w:p w14:paraId="741759A3" w14:textId="77777777" w:rsidR="00736F61" w:rsidRPr="005742B8" w:rsidRDefault="00736F61" w:rsidP="003F224E">
            <w:pPr>
              <w:jc w:val="center"/>
              <w:rPr>
                <w:rStyle w:val="Strong"/>
                <w:sz w:val="20"/>
                <w:szCs w:val="20"/>
              </w:rPr>
            </w:pPr>
          </w:p>
        </w:tc>
        <w:tc>
          <w:tcPr>
            <w:tcW w:w="6234" w:type="dxa"/>
            <w:tcBorders>
              <w:top w:val="single" w:sz="4" w:space="0" w:color="auto"/>
              <w:left w:val="nil"/>
              <w:bottom w:val="nil"/>
              <w:right w:val="nil"/>
            </w:tcBorders>
          </w:tcPr>
          <w:p w14:paraId="3ED6C304" w14:textId="77777777" w:rsidR="00736F61" w:rsidRPr="005742B8" w:rsidRDefault="00736F61" w:rsidP="003F224E">
            <w:pPr>
              <w:jc w:val="both"/>
              <w:rPr>
                <w:sz w:val="20"/>
                <w:szCs w:val="20"/>
              </w:rPr>
            </w:pPr>
            <w:r w:rsidRPr="005742B8">
              <w:rPr>
                <w:sz w:val="20"/>
                <w:szCs w:val="20"/>
              </w:rPr>
              <w:t>Measures the company’s systems to prevent forced or compulsory labour, aligned with industry codes and legal standards. A higher score denotes robust compliance mechanisms.</w:t>
            </w:r>
          </w:p>
          <w:p w14:paraId="50045395" w14:textId="77777777" w:rsidR="00736F61" w:rsidRPr="005742B8" w:rsidRDefault="00736F61" w:rsidP="003F224E">
            <w:pPr>
              <w:jc w:val="both"/>
              <w:rPr>
                <w:sz w:val="20"/>
                <w:szCs w:val="20"/>
              </w:rPr>
            </w:pPr>
          </w:p>
        </w:tc>
      </w:tr>
      <w:tr w:rsidR="00736F61" w:rsidRPr="005742B8" w14:paraId="47432E3F" w14:textId="77777777" w:rsidTr="00621211">
        <w:trPr>
          <w:trHeight w:val="300"/>
        </w:trPr>
        <w:tc>
          <w:tcPr>
            <w:tcW w:w="1803" w:type="dxa"/>
          </w:tcPr>
          <w:p w14:paraId="231C8B34" w14:textId="77777777" w:rsidR="00736F61" w:rsidRPr="005742B8" w:rsidRDefault="00736F61" w:rsidP="003F224E">
            <w:pPr>
              <w:jc w:val="both"/>
              <w:rPr>
                <w:sz w:val="20"/>
                <w:szCs w:val="20"/>
              </w:rPr>
            </w:pPr>
            <w:r w:rsidRPr="005742B8">
              <w:rPr>
                <w:rFonts w:eastAsia="Times New Roman"/>
                <w:sz w:val="20"/>
                <w:szCs w:val="20"/>
              </w:rPr>
              <w:t>Human Rights Contractor Policy Score</w:t>
            </w:r>
            <w:r w:rsidRPr="005742B8">
              <w:rPr>
                <w:sz w:val="20"/>
                <w:szCs w:val="20"/>
              </w:rPr>
              <w:tab/>
            </w:r>
          </w:p>
          <w:p w14:paraId="19152036" w14:textId="77777777" w:rsidR="00736F61" w:rsidRPr="005742B8" w:rsidRDefault="00736F61" w:rsidP="003F224E">
            <w:pPr>
              <w:jc w:val="both"/>
              <w:rPr>
                <w:rFonts w:eastAsia="Times New Roman"/>
                <w:sz w:val="20"/>
                <w:szCs w:val="20"/>
              </w:rPr>
            </w:pPr>
            <w:r w:rsidRPr="005742B8">
              <w:rPr>
                <w:rStyle w:val="Strong"/>
                <w:b w:val="0"/>
                <w:bCs w:val="0"/>
                <w:sz w:val="20"/>
                <w:szCs w:val="20"/>
              </w:rPr>
              <w:t>(0-100)</w:t>
            </w:r>
          </w:p>
          <w:p w14:paraId="5A8174AF" w14:textId="77777777" w:rsidR="00736F61" w:rsidRPr="005742B8" w:rsidRDefault="00736F61" w:rsidP="003F224E">
            <w:pPr>
              <w:rPr>
                <w:rStyle w:val="Strong"/>
                <w:b w:val="0"/>
                <w:bCs w:val="0"/>
                <w:sz w:val="20"/>
                <w:szCs w:val="20"/>
              </w:rPr>
            </w:pPr>
          </w:p>
        </w:tc>
        <w:tc>
          <w:tcPr>
            <w:tcW w:w="1461" w:type="dxa"/>
            <w:tcBorders>
              <w:top w:val="single" w:sz="4" w:space="0" w:color="auto"/>
              <w:left w:val="nil"/>
              <w:bottom w:val="nil"/>
              <w:right w:val="nil"/>
            </w:tcBorders>
          </w:tcPr>
          <w:p w14:paraId="336638D7" w14:textId="77777777" w:rsidR="00736F61" w:rsidRPr="005742B8" w:rsidRDefault="00736F61" w:rsidP="003F224E">
            <w:pPr>
              <w:jc w:val="both"/>
              <w:rPr>
                <w:rFonts w:eastAsia="Times New Roman"/>
                <w:sz w:val="20"/>
                <w:szCs w:val="20"/>
                <w:lang w:val="de-DE"/>
              </w:rPr>
            </w:pPr>
            <w:r w:rsidRPr="005742B8">
              <w:rPr>
                <w:rFonts w:eastAsia="Times New Roman"/>
                <w:sz w:val="20"/>
                <w:szCs w:val="20"/>
                <w:lang w:val="de-DE"/>
              </w:rPr>
              <w:t>HRCON</w:t>
            </w:r>
            <w:r w:rsidRPr="005742B8">
              <w:rPr>
                <w:sz w:val="20"/>
                <w:szCs w:val="20"/>
                <w:lang w:val="de-DE"/>
              </w:rPr>
              <w:tab/>
            </w:r>
          </w:p>
          <w:p w14:paraId="739F4CB8" w14:textId="77777777" w:rsidR="00736F61" w:rsidRPr="005742B8" w:rsidRDefault="00736F61" w:rsidP="003F224E">
            <w:pPr>
              <w:jc w:val="center"/>
              <w:rPr>
                <w:rStyle w:val="Strong"/>
                <w:sz w:val="20"/>
                <w:szCs w:val="20"/>
              </w:rPr>
            </w:pPr>
          </w:p>
        </w:tc>
        <w:tc>
          <w:tcPr>
            <w:tcW w:w="6234" w:type="dxa"/>
            <w:tcBorders>
              <w:top w:val="single" w:sz="4" w:space="0" w:color="auto"/>
              <w:left w:val="nil"/>
              <w:bottom w:val="nil"/>
              <w:right w:val="nil"/>
            </w:tcBorders>
          </w:tcPr>
          <w:p w14:paraId="414F2D06" w14:textId="77777777" w:rsidR="00736F61" w:rsidRPr="005742B8" w:rsidRDefault="00736F61" w:rsidP="003F224E">
            <w:pPr>
              <w:jc w:val="both"/>
              <w:rPr>
                <w:rFonts w:eastAsia="Times New Roman"/>
                <w:sz w:val="20"/>
                <w:szCs w:val="20"/>
              </w:rPr>
            </w:pPr>
            <w:r w:rsidRPr="005742B8">
              <w:rPr>
                <w:rFonts w:eastAsia="Times New Roman"/>
                <w:sz w:val="20"/>
                <w:szCs w:val="20"/>
              </w:rPr>
              <w:t>Captures integration of human rights criteria in supplier selection and oversight, reflecting alignment with EICC, PSCI, and laws like the UK MSA. A higher score signals strong supplier governance.</w:t>
            </w:r>
          </w:p>
          <w:p w14:paraId="157F1487" w14:textId="77777777" w:rsidR="00736F61" w:rsidRPr="005742B8" w:rsidRDefault="00736F61" w:rsidP="003F224E">
            <w:pPr>
              <w:jc w:val="both"/>
              <w:rPr>
                <w:sz w:val="20"/>
                <w:szCs w:val="20"/>
              </w:rPr>
            </w:pPr>
          </w:p>
        </w:tc>
      </w:tr>
      <w:tr w:rsidR="00736F61" w:rsidRPr="005742B8" w14:paraId="10737086" w14:textId="77777777" w:rsidTr="00621211">
        <w:trPr>
          <w:trHeight w:val="300"/>
        </w:trPr>
        <w:tc>
          <w:tcPr>
            <w:tcW w:w="1803" w:type="dxa"/>
          </w:tcPr>
          <w:p w14:paraId="7752115B" w14:textId="77777777" w:rsidR="00736F61" w:rsidRPr="005742B8" w:rsidRDefault="00736F61" w:rsidP="003F224E">
            <w:pPr>
              <w:jc w:val="both"/>
              <w:rPr>
                <w:rFonts w:eastAsia="Times New Roman"/>
                <w:sz w:val="20"/>
                <w:szCs w:val="20"/>
              </w:rPr>
            </w:pPr>
            <w:r w:rsidRPr="005742B8">
              <w:rPr>
                <w:rFonts w:eastAsia="Times New Roman"/>
                <w:sz w:val="20"/>
                <w:szCs w:val="20"/>
              </w:rPr>
              <w:t>Human Rights Policy Score</w:t>
            </w:r>
          </w:p>
          <w:p w14:paraId="2270D489" w14:textId="77777777" w:rsidR="00736F61" w:rsidRPr="005742B8" w:rsidRDefault="00736F61" w:rsidP="003F224E">
            <w:pPr>
              <w:jc w:val="both"/>
              <w:rPr>
                <w:rFonts w:eastAsia="Times New Roman"/>
                <w:sz w:val="20"/>
                <w:szCs w:val="20"/>
              </w:rPr>
            </w:pPr>
            <w:r w:rsidRPr="005742B8">
              <w:rPr>
                <w:rStyle w:val="Strong"/>
                <w:b w:val="0"/>
                <w:bCs w:val="0"/>
                <w:sz w:val="20"/>
                <w:szCs w:val="20"/>
              </w:rPr>
              <w:t>(0-100)</w:t>
            </w:r>
          </w:p>
          <w:p w14:paraId="5D9644A3" w14:textId="77777777" w:rsidR="00736F61" w:rsidRPr="005742B8" w:rsidRDefault="00736F61" w:rsidP="003F224E">
            <w:pPr>
              <w:rPr>
                <w:rStyle w:val="Strong"/>
                <w:b w:val="0"/>
                <w:bCs w:val="0"/>
                <w:sz w:val="20"/>
                <w:szCs w:val="20"/>
              </w:rPr>
            </w:pPr>
          </w:p>
        </w:tc>
        <w:tc>
          <w:tcPr>
            <w:tcW w:w="1461" w:type="dxa"/>
            <w:tcBorders>
              <w:top w:val="single" w:sz="4" w:space="0" w:color="auto"/>
              <w:left w:val="nil"/>
              <w:bottom w:val="nil"/>
              <w:right w:val="nil"/>
            </w:tcBorders>
          </w:tcPr>
          <w:p w14:paraId="68D41C3F" w14:textId="77777777" w:rsidR="00736F61" w:rsidRPr="005742B8" w:rsidRDefault="00736F61" w:rsidP="003F224E">
            <w:pPr>
              <w:jc w:val="center"/>
              <w:rPr>
                <w:rFonts w:eastAsia="Times New Roman"/>
                <w:sz w:val="20"/>
                <w:szCs w:val="20"/>
                <w:lang w:val="de-DE"/>
              </w:rPr>
            </w:pPr>
          </w:p>
          <w:p w14:paraId="2C4C8078" w14:textId="77777777" w:rsidR="00736F61" w:rsidRPr="005742B8" w:rsidRDefault="00736F61" w:rsidP="003F224E">
            <w:pPr>
              <w:jc w:val="center"/>
              <w:rPr>
                <w:sz w:val="20"/>
                <w:szCs w:val="20"/>
                <w:lang w:val="de-DE"/>
              </w:rPr>
            </w:pPr>
            <w:r w:rsidRPr="005742B8">
              <w:rPr>
                <w:rFonts w:eastAsia="Times New Roman"/>
                <w:sz w:val="20"/>
                <w:szCs w:val="20"/>
                <w:lang w:val="de-DE"/>
              </w:rPr>
              <w:t>PHR</w:t>
            </w:r>
          </w:p>
          <w:p w14:paraId="0DE93E6F" w14:textId="77777777" w:rsidR="00736F61" w:rsidRPr="005742B8" w:rsidRDefault="00736F61" w:rsidP="003F224E">
            <w:pPr>
              <w:jc w:val="center"/>
              <w:rPr>
                <w:rStyle w:val="Strong"/>
                <w:sz w:val="20"/>
                <w:szCs w:val="20"/>
              </w:rPr>
            </w:pPr>
          </w:p>
        </w:tc>
        <w:tc>
          <w:tcPr>
            <w:tcW w:w="6234" w:type="dxa"/>
            <w:tcBorders>
              <w:top w:val="single" w:sz="4" w:space="0" w:color="auto"/>
              <w:left w:val="nil"/>
              <w:bottom w:val="nil"/>
              <w:right w:val="nil"/>
            </w:tcBorders>
          </w:tcPr>
          <w:p w14:paraId="480CDCB3" w14:textId="77777777" w:rsidR="00736F61" w:rsidRPr="005742B8" w:rsidRDefault="00736F61" w:rsidP="003F224E">
            <w:pPr>
              <w:jc w:val="both"/>
              <w:rPr>
                <w:rFonts w:eastAsia="Times New Roman"/>
                <w:sz w:val="20"/>
                <w:szCs w:val="20"/>
              </w:rPr>
            </w:pPr>
            <w:r w:rsidRPr="005742B8">
              <w:rPr>
                <w:sz w:val="20"/>
                <w:szCs w:val="20"/>
              </w:rPr>
              <w:t>Evaluates the breadth and implementation of the company’s general human rights policy. A higher score reflects clear articulation and robust execution.</w:t>
            </w:r>
          </w:p>
          <w:p w14:paraId="307B9798" w14:textId="77777777" w:rsidR="00736F61" w:rsidRPr="005742B8" w:rsidRDefault="00736F61" w:rsidP="003F224E">
            <w:pPr>
              <w:jc w:val="both"/>
              <w:rPr>
                <w:sz w:val="20"/>
                <w:szCs w:val="20"/>
              </w:rPr>
            </w:pPr>
          </w:p>
        </w:tc>
      </w:tr>
      <w:tr w:rsidR="00736F61" w:rsidRPr="005742B8" w14:paraId="7935BDEC" w14:textId="77777777" w:rsidTr="00621211">
        <w:trPr>
          <w:trHeight w:val="300"/>
        </w:trPr>
        <w:tc>
          <w:tcPr>
            <w:tcW w:w="1803" w:type="dxa"/>
            <w:hideMark/>
          </w:tcPr>
          <w:p w14:paraId="37B0710A" w14:textId="77777777" w:rsidR="00736F61" w:rsidRPr="005742B8" w:rsidRDefault="00736F61" w:rsidP="003F224E">
            <w:pPr>
              <w:rPr>
                <w:rFonts w:eastAsia="Times New Roman"/>
                <w:sz w:val="20"/>
                <w:szCs w:val="20"/>
              </w:rPr>
            </w:pPr>
            <w:r w:rsidRPr="005742B8">
              <w:rPr>
                <w:rFonts w:eastAsia="Times New Roman"/>
                <w:sz w:val="20"/>
                <w:szCs w:val="20"/>
              </w:rPr>
              <w:t>ILO and United Nations Human Rights Score</w:t>
            </w:r>
          </w:p>
          <w:p w14:paraId="06ED547E" w14:textId="77777777" w:rsidR="00736F61" w:rsidRPr="005742B8" w:rsidRDefault="00736F61" w:rsidP="003F224E">
            <w:pPr>
              <w:rPr>
                <w:rStyle w:val="Strong"/>
                <w:b w:val="0"/>
                <w:bCs w:val="0"/>
                <w:sz w:val="20"/>
                <w:szCs w:val="20"/>
              </w:rPr>
            </w:pPr>
            <w:r w:rsidRPr="005742B8">
              <w:rPr>
                <w:rStyle w:val="Strong"/>
                <w:b w:val="0"/>
                <w:bCs w:val="0"/>
                <w:sz w:val="20"/>
                <w:szCs w:val="20"/>
              </w:rPr>
              <w:t>(0-100)</w:t>
            </w:r>
            <w:r w:rsidRPr="005742B8">
              <w:rPr>
                <w:sz w:val="20"/>
                <w:szCs w:val="20"/>
              </w:rPr>
              <w:tab/>
            </w:r>
          </w:p>
        </w:tc>
        <w:tc>
          <w:tcPr>
            <w:tcW w:w="1461" w:type="dxa"/>
            <w:tcBorders>
              <w:top w:val="single" w:sz="4" w:space="0" w:color="auto"/>
              <w:left w:val="nil"/>
              <w:bottom w:val="nil"/>
              <w:right w:val="nil"/>
            </w:tcBorders>
          </w:tcPr>
          <w:p w14:paraId="59CF20AA" w14:textId="77777777" w:rsidR="00736F61" w:rsidRPr="005742B8" w:rsidRDefault="00736F61" w:rsidP="003F224E">
            <w:pPr>
              <w:jc w:val="center"/>
              <w:rPr>
                <w:sz w:val="20"/>
                <w:szCs w:val="20"/>
                <w:lang w:val="de-DE"/>
              </w:rPr>
            </w:pPr>
            <w:r w:rsidRPr="005742B8">
              <w:rPr>
                <w:rFonts w:eastAsia="Times New Roman"/>
                <w:sz w:val="20"/>
                <w:szCs w:val="20"/>
                <w:lang w:val="de-DE"/>
              </w:rPr>
              <w:t>FHR</w:t>
            </w:r>
          </w:p>
          <w:p w14:paraId="7A25111E" w14:textId="77777777" w:rsidR="00736F61" w:rsidRPr="005742B8" w:rsidRDefault="00736F61" w:rsidP="003F224E">
            <w:pPr>
              <w:jc w:val="center"/>
              <w:rPr>
                <w:rStyle w:val="Strong"/>
                <w:sz w:val="20"/>
                <w:szCs w:val="20"/>
              </w:rPr>
            </w:pPr>
          </w:p>
        </w:tc>
        <w:tc>
          <w:tcPr>
            <w:tcW w:w="6234" w:type="dxa"/>
            <w:tcBorders>
              <w:top w:val="single" w:sz="4" w:space="0" w:color="auto"/>
              <w:left w:val="nil"/>
              <w:bottom w:val="nil"/>
              <w:right w:val="nil"/>
            </w:tcBorders>
            <w:hideMark/>
          </w:tcPr>
          <w:p w14:paraId="7B0E934C" w14:textId="77777777" w:rsidR="00736F61" w:rsidRPr="005742B8" w:rsidRDefault="00736F61" w:rsidP="003F224E">
            <w:pPr>
              <w:jc w:val="both"/>
              <w:rPr>
                <w:sz w:val="20"/>
                <w:szCs w:val="20"/>
              </w:rPr>
            </w:pPr>
            <w:r w:rsidRPr="005742B8">
              <w:rPr>
                <w:sz w:val="20"/>
                <w:szCs w:val="20"/>
              </w:rPr>
              <w:t>Assesses public commitment to international human rights principles (ILO, UN). A higher score indicates strong alignment and formal recognition.</w:t>
            </w:r>
          </w:p>
        </w:tc>
      </w:tr>
      <w:tr w:rsidR="00736F61" w:rsidRPr="005742B8" w14:paraId="01B014F1" w14:textId="77777777" w:rsidTr="00621211">
        <w:trPr>
          <w:trHeight w:val="300"/>
        </w:trPr>
        <w:tc>
          <w:tcPr>
            <w:tcW w:w="9498" w:type="dxa"/>
            <w:gridSpan w:val="3"/>
            <w:tcBorders>
              <w:top w:val="single" w:sz="4" w:space="0" w:color="auto"/>
              <w:left w:val="nil"/>
              <w:bottom w:val="nil"/>
              <w:right w:val="nil"/>
            </w:tcBorders>
            <w:hideMark/>
          </w:tcPr>
          <w:p w14:paraId="1DC3F58E" w14:textId="77777777" w:rsidR="00736F61" w:rsidRPr="005742B8" w:rsidRDefault="00736F61" w:rsidP="003F224E">
            <w:pPr>
              <w:jc w:val="center"/>
              <w:rPr>
                <w:b/>
                <w:bCs/>
                <w:sz w:val="20"/>
                <w:szCs w:val="20"/>
              </w:rPr>
            </w:pPr>
            <w:r w:rsidRPr="005742B8">
              <w:rPr>
                <w:b/>
                <w:bCs/>
                <w:sz w:val="20"/>
                <w:szCs w:val="20"/>
              </w:rPr>
              <w:t>Independent Variables</w:t>
            </w:r>
          </w:p>
        </w:tc>
      </w:tr>
      <w:tr w:rsidR="00736F61" w:rsidRPr="005742B8" w14:paraId="75754EA3" w14:textId="77777777" w:rsidTr="00621211">
        <w:trPr>
          <w:trHeight w:val="300"/>
        </w:trPr>
        <w:tc>
          <w:tcPr>
            <w:tcW w:w="1803" w:type="dxa"/>
            <w:tcBorders>
              <w:top w:val="single" w:sz="4" w:space="0" w:color="auto"/>
              <w:left w:val="nil"/>
              <w:bottom w:val="nil"/>
              <w:right w:val="nil"/>
            </w:tcBorders>
            <w:hideMark/>
          </w:tcPr>
          <w:p w14:paraId="5B20188C" w14:textId="77777777" w:rsidR="00736F61" w:rsidRPr="005742B8" w:rsidRDefault="00736F61" w:rsidP="003F224E">
            <w:pPr>
              <w:rPr>
                <w:b/>
                <w:bCs/>
                <w:sz w:val="20"/>
                <w:szCs w:val="20"/>
              </w:rPr>
            </w:pPr>
            <w:r w:rsidRPr="005742B8">
              <w:rPr>
                <w:rStyle w:val="Strong"/>
                <w:b w:val="0"/>
                <w:bCs w:val="0"/>
                <w:sz w:val="20"/>
                <w:szCs w:val="20"/>
              </w:rPr>
              <w:t>CSR Strategy Score (0-100)</w:t>
            </w:r>
          </w:p>
        </w:tc>
        <w:tc>
          <w:tcPr>
            <w:tcW w:w="1461" w:type="dxa"/>
            <w:tcBorders>
              <w:top w:val="single" w:sz="4" w:space="0" w:color="auto"/>
              <w:left w:val="nil"/>
              <w:bottom w:val="single" w:sz="4" w:space="0" w:color="auto"/>
              <w:right w:val="nil"/>
            </w:tcBorders>
            <w:hideMark/>
          </w:tcPr>
          <w:p w14:paraId="795A9923" w14:textId="77777777" w:rsidR="00736F61" w:rsidRPr="005742B8" w:rsidRDefault="00736F61" w:rsidP="003F224E">
            <w:pPr>
              <w:jc w:val="center"/>
              <w:rPr>
                <w:b/>
                <w:bCs/>
                <w:sz w:val="20"/>
                <w:szCs w:val="20"/>
              </w:rPr>
            </w:pPr>
            <w:r w:rsidRPr="005742B8">
              <w:rPr>
                <w:rStyle w:val="Strong"/>
                <w:b w:val="0"/>
                <w:bCs w:val="0"/>
                <w:sz w:val="20"/>
                <w:szCs w:val="20"/>
              </w:rPr>
              <w:t>CSRST</w:t>
            </w:r>
          </w:p>
        </w:tc>
        <w:tc>
          <w:tcPr>
            <w:tcW w:w="6234" w:type="dxa"/>
            <w:tcBorders>
              <w:top w:val="single" w:sz="4" w:space="0" w:color="auto"/>
              <w:left w:val="nil"/>
              <w:bottom w:val="single" w:sz="4" w:space="0" w:color="auto"/>
              <w:right w:val="nil"/>
            </w:tcBorders>
            <w:hideMark/>
          </w:tcPr>
          <w:p w14:paraId="23B1C23C" w14:textId="77777777" w:rsidR="00736F61" w:rsidRPr="005742B8" w:rsidRDefault="00736F61" w:rsidP="003F224E">
            <w:pPr>
              <w:jc w:val="both"/>
              <w:rPr>
                <w:sz w:val="20"/>
                <w:szCs w:val="20"/>
              </w:rPr>
            </w:pPr>
            <w:r w:rsidRPr="005742B8">
              <w:rPr>
                <w:sz w:val="20"/>
                <w:szCs w:val="20"/>
              </w:rPr>
              <w:t>Assess the extent to which a company integrates economic, social, and environmental factors into strategic decision-making. Higher values indicate a stronger commitment to sustainable business practices.</w:t>
            </w:r>
          </w:p>
        </w:tc>
      </w:tr>
      <w:tr w:rsidR="00736F61" w:rsidRPr="005742B8" w14:paraId="164F19BA" w14:textId="77777777" w:rsidTr="00621211">
        <w:trPr>
          <w:trHeight w:val="300"/>
        </w:trPr>
        <w:tc>
          <w:tcPr>
            <w:tcW w:w="1803" w:type="dxa"/>
          </w:tcPr>
          <w:p w14:paraId="3056B110" w14:textId="77777777" w:rsidR="00736F61" w:rsidRPr="005742B8" w:rsidRDefault="00736F61" w:rsidP="003F224E">
            <w:pPr>
              <w:rPr>
                <w:rStyle w:val="Strong"/>
                <w:b w:val="0"/>
                <w:bCs w:val="0"/>
                <w:sz w:val="20"/>
                <w:szCs w:val="20"/>
              </w:rPr>
            </w:pPr>
            <w:r w:rsidRPr="005742B8">
              <w:rPr>
                <w:rStyle w:val="Strong"/>
                <w:b w:val="0"/>
                <w:bCs w:val="0"/>
                <w:sz w:val="20"/>
                <w:szCs w:val="20"/>
              </w:rPr>
              <w:t xml:space="preserve">Board Gender Diversity </w:t>
            </w:r>
          </w:p>
          <w:p w14:paraId="08D37162" w14:textId="77777777" w:rsidR="00736F61" w:rsidRPr="005742B8" w:rsidRDefault="00736F61" w:rsidP="003F224E">
            <w:pPr>
              <w:rPr>
                <w:sz w:val="20"/>
                <w:szCs w:val="20"/>
              </w:rPr>
            </w:pPr>
            <w:r w:rsidRPr="005742B8">
              <w:rPr>
                <w:rStyle w:val="Strong"/>
                <w:b w:val="0"/>
                <w:bCs w:val="0"/>
                <w:sz w:val="20"/>
                <w:szCs w:val="20"/>
              </w:rPr>
              <w:t>(0-100)</w:t>
            </w:r>
          </w:p>
        </w:tc>
        <w:tc>
          <w:tcPr>
            <w:tcW w:w="1461" w:type="dxa"/>
            <w:tcBorders>
              <w:top w:val="single" w:sz="4" w:space="0" w:color="auto"/>
              <w:left w:val="nil"/>
              <w:bottom w:val="single" w:sz="4" w:space="0" w:color="auto"/>
              <w:right w:val="nil"/>
            </w:tcBorders>
          </w:tcPr>
          <w:p w14:paraId="32B1636A" w14:textId="77777777" w:rsidR="00736F61" w:rsidRPr="005742B8" w:rsidRDefault="00736F61" w:rsidP="003F224E">
            <w:pPr>
              <w:rPr>
                <w:rStyle w:val="Strong"/>
                <w:b w:val="0"/>
                <w:bCs w:val="0"/>
                <w:sz w:val="20"/>
                <w:szCs w:val="20"/>
              </w:rPr>
            </w:pPr>
          </w:p>
          <w:p w14:paraId="5A3FB6CB" w14:textId="77777777" w:rsidR="00736F61" w:rsidRPr="005742B8" w:rsidRDefault="00736F61" w:rsidP="003F224E">
            <w:pPr>
              <w:jc w:val="center"/>
              <w:rPr>
                <w:sz w:val="20"/>
                <w:szCs w:val="20"/>
              </w:rPr>
            </w:pPr>
            <w:r w:rsidRPr="005742B8">
              <w:rPr>
                <w:rStyle w:val="Strong"/>
                <w:b w:val="0"/>
                <w:bCs w:val="0"/>
                <w:sz w:val="20"/>
                <w:szCs w:val="20"/>
              </w:rPr>
              <w:t>BGD</w:t>
            </w:r>
          </w:p>
        </w:tc>
        <w:tc>
          <w:tcPr>
            <w:tcW w:w="6234" w:type="dxa"/>
            <w:tcBorders>
              <w:top w:val="single" w:sz="4" w:space="0" w:color="auto"/>
              <w:left w:val="nil"/>
              <w:bottom w:val="single" w:sz="4" w:space="0" w:color="auto"/>
              <w:right w:val="nil"/>
            </w:tcBorders>
            <w:hideMark/>
          </w:tcPr>
          <w:p w14:paraId="5954690E" w14:textId="77777777" w:rsidR="00736F61" w:rsidRPr="005742B8" w:rsidRDefault="00736F61" w:rsidP="003F224E">
            <w:pPr>
              <w:jc w:val="both"/>
              <w:rPr>
                <w:sz w:val="20"/>
                <w:szCs w:val="20"/>
              </w:rPr>
            </w:pPr>
            <w:r w:rsidRPr="005742B8">
              <w:rPr>
                <w:sz w:val="20"/>
                <w:szCs w:val="20"/>
              </w:rPr>
              <w:t>The percentage of female directors on a company’s board reflects the firm’s commitment to gender diversity and ethical governance.</w:t>
            </w:r>
          </w:p>
        </w:tc>
      </w:tr>
      <w:tr w:rsidR="00736F61" w:rsidRPr="005742B8" w14:paraId="4219D70F" w14:textId="77777777" w:rsidTr="00621211">
        <w:trPr>
          <w:trHeight w:val="300"/>
        </w:trPr>
        <w:tc>
          <w:tcPr>
            <w:tcW w:w="1803" w:type="dxa"/>
            <w:hideMark/>
          </w:tcPr>
          <w:p w14:paraId="739AADAA" w14:textId="77777777" w:rsidR="00736F61" w:rsidRPr="005742B8" w:rsidRDefault="00736F61" w:rsidP="003F224E">
            <w:pPr>
              <w:rPr>
                <w:b/>
                <w:bCs/>
                <w:sz w:val="20"/>
                <w:szCs w:val="20"/>
              </w:rPr>
            </w:pPr>
            <w:r w:rsidRPr="005742B8">
              <w:rPr>
                <w:rStyle w:val="Strong"/>
                <w:b w:val="0"/>
                <w:bCs w:val="0"/>
                <w:sz w:val="20"/>
                <w:szCs w:val="20"/>
              </w:rPr>
              <w:lastRenderedPageBreak/>
              <w:t>CSR Committee Score (0-100)</w:t>
            </w:r>
          </w:p>
        </w:tc>
        <w:tc>
          <w:tcPr>
            <w:tcW w:w="1461" w:type="dxa"/>
            <w:tcBorders>
              <w:top w:val="single" w:sz="4" w:space="0" w:color="auto"/>
              <w:left w:val="nil"/>
              <w:bottom w:val="single" w:sz="4" w:space="0" w:color="auto"/>
              <w:right w:val="nil"/>
            </w:tcBorders>
            <w:hideMark/>
          </w:tcPr>
          <w:p w14:paraId="10053C56" w14:textId="77777777" w:rsidR="00736F61" w:rsidRPr="005742B8" w:rsidRDefault="00736F61" w:rsidP="003F224E">
            <w:pPr>
              <w:jc w:val="center"/>
              <w:rPr>
                <w:b/>
                <w:bCs/>
                <w:sz w:val="20"/>
                <w:szCs w:val="20"/>
              </w:rPr>
            </w:pPr>
            <w:r w:rsidRPr="005742B8">
              <w:rPr>
                <w:rStyle w:val="Strong"/>
                <w:b w:val="0"/>
                <w:bCs w:val="0"/>
                <w:sz w:val="20"/>
                <w:szCs w:val="20"/>
              </w:rPr>
              <w:t>CSRC</w:t>
            </w:r>
          </w:p>
        </w:tc>
        <w:tc>
          <w:tcPr>
            <w:tcW w:w="6234" w:type="dxa"/>
            <w:tcBorders>
              <w:top w:val="single" w:sz="4" w:space="0" w:color="auto"/>
              <w:left w:val="nil"/>
              <w:bottom w:val="single" w:sz="4" w:space="0" w:color="auto"/>
              <w:right w:val="nil"/>
            </w:tcBorders>
          </w:tcPr>
          <w:p w14:paraId="33E8602C" w14:textId="77777777" w:rsidR="00736F61" w:rsidRPr="005742B8" w:rsidRDefault="00736F61" w:rsidP="003F224E">
            <w:pPr>
              <w:jc w:val="both"/>
              <w:rPr>
                <w:sz w:val="20"/>
                <w:szCs w:val="20"/>
              </w:rPr>
            </w:pPr>
            <w:r w:rsidRPr="005742B8">
              <w:rPr>
                <w:sz w:val="20"/>
                <w:szCs w:val="20"/>
              </w:rPr>
              <w:t>Measures whether a firm has a dedicated CSR or sustainability committee responsible for overseeing sustainability policies. A higher score indicates stronger governance and accountability.</w:t>
            </w:r>
          </w:p>
          <w:p w14:paraId="74BE42E9" w14:textId="77777777" w:rsidR="00736F61" w:rsidRPr="005742B8" w:rsidRDefault="00736F61" w:rsidP="003F224E">
            <w:pPr>
              <w:jc w:val="both"/>
              <w:rPr>
                <w:sz w:val="20"/>
                <w:szCs w:val="20"/>
              </w:rPr>
            </w:pPr>
          </w:p>
        </w:tc>
      </w:tr>
      <w:tr w:rsidR="00736F61" w:rsidRPr="005742B8" w14:paraId="118FC244" w14:textId="77777777" w:rsidTr="00621211">
        <w:trPr>
          <w:trHeight w:val="300"/>
        </w:trPr>
        <w:tc>
          <w:tcPr>
            <w:tcW w:w="1803" w:type="dxa"/>
          </w:tcPr>
          <w:p w14:paraId="745C425F" w14:textId="77777777" w:rsidR="00736F61" w:rsidRPr="005742B8" w:rsidRDefault="00736F61" w:rsidP="003F224E">
            <w:pPr>
              <w:rPr>
                <w:b/>
                <w:bCs/>
                <w:sz w:val="20"/>
                <w:szCs w:val="20"/>
              </w:rPr>
            </w:pPr>
            <w:r w:rsidRPr="005742B8">
              <w:rPr>
                <w:rStyle w:val="Strong"/>
                <w:b w:val="0"/>
                <w:bCs w:val="0"/>
                <w:sz w:val="20"/>
                <w:szCs w:val="20"/>
              </w:rPr>
              <w:t xml:space="preserve">CSR Reporting </w:t>
            </w:r>
          </w:p>
          <w:p w14:paraId="126B343F" w14:textId="77777777" w:rsidR="00736F61" w:rsidRPr="005742B8" w:rsidRDefault="00736F61" w:rsidP="003F224E">
            <w:pPr>
              <w:rPr>
                <w:rStyle w:val="Strong"/>
                <w:b w:val="0"/>
                <w:bCs w:val="0"/>
                <w:sz w:val="20"/>
                <w:szCs w:val="20"/>
              </w:rPr>
            </w:pPr>
            <w:r w:rsidRPr="005742B8">
              <w:rPr>
                <w:rStyle w:val="Strong"/>
                <w:b w:val="0"/>
                <w:bCs w:val="0"/>
                <w:sz w:val="20"/>
                <w:szCs w:val="20"/>
              </w:rPr>
              <w:t>Score (0-100)</w:t>
            </w:r>
          </w:p>
        </w:tc>
        <w:tc>
          <w:tcPr>
            <w:tcW w:w="1461" w:type="dxa"/>
            <w:tcBorders>
              <w:top w:val="single" w:sz="4" w:space="0" w:color="auto"/>
              <w:left w:val="nil"/>
              <w:bottom w:val="single" w:sz="4" w:space="0" w:color="auto"/>
              <w:right w:val="nil"/>
            </w:tcBorders>
          </w:tcPr>
          <w:p w14:paraId="35C00092" w14:textId="77777777" w:rsidR="00736F61" w:rsidRPr="005742B8" w:rsidRDefault="00736F61" w:rsidP="003F224E">
            <w:pPr>
              <w:jc w:val="center"/>
              <w:rPr>
                <w:rStyle w:val="Strong"/>
                <w:b w:val="0"/>
                <w:bCs w:val="0"/>
                <w:sz w:val="20"/>
                <w:szCs w:val="20"/>
              </w:rPr>
            </w:pPr>
            <w:r w:rsidRPr="005742B8">
              <w:rPr>
                <w:rStyle w:val="Strong"/>
                <w:b w:val="0"/>
                <w:bCs w:val="0"/>
                <w:sz w:val="20"/>
                <w:szCs w:val="20"/>
              </w:rPr>
              <w:t>CSRREP</w:t>
            </w:r>
          </w:p>
        </w:tc>
        <w:tc>
          <w:tcPr>
            <w:tcW w:w="6234" w:type="dxa"/>
            <w:tcBorders>
              <w:top w:val="single" w:sz="4" w:space="0" w:color="auto"/>
              <w:left w:val="nil"/>
              <w:bottom w:val="single" w:sz="4" w:space="0" w:color="auto"/>
              <w:right w:val="nil"/>
            </w:tcBorders>
          </w:tcPr>
          <w:p w14:paraId="21E2B6E9" w14:textId="77777777" w:rsidR="00736F61" w:rsidRPr="005742B8" w:rsidRDefault="00736F61" w:rsidP="003F224E">
            <w:pPr>
              <w:jc w:val="both"/>
              <w:rPr>
                <w:sz w:val="20"/>
                <w:szCs w:val="20"/>
              </w:rPr>
            </w:pPr>
            <w:r w:rsidRPr="005742B8">
              <w:rPr>
                <w:sz w:val="20"/>
                <w:szCs w:val="20"/>
              </w:rPr>
              <w:t>Measures the extent to which the company discloses CSR, H&amp;S, or sustainability initiatives through standalone reports or annual disclosures.</w:t>
            </w:r>
          </w:p>
        </w:tc>
      </w:tr>
      <w:tr w:rsidR="00736F61" w:rsidRPr="005742B8" w14:paraId="66425943" w14:textId="77777777" w:rsidTr="00621211">
        <w:trPr>
          <w:trHeight w:val="300"/>
        </w:trPr>
        <w:tc>
          <w:tcPr>
            <w:tcW w:w="1803" w:type="dxa"/>
            <w:hideMark/>
          </w:tcPr>
          <w:p w14:paraId="531C7854" w14:textId="77777777" w:rsidR="00736F61" w:rsidRPr="005742B8" w:rsidRDefault="00736F61" w:rsidP="003F224E">
            <w:pPr>
              <w:rPr>
                <w:b/>
                <w:bCs/>
                <w:sz w:val="20"/>
                <w:szCs w:val="20"/>
              </w:rPr>
            </w:pPr>
            <w:r w:rsidRPr="005742B8">
              <w:rPr>
                <w:rStyle w:val="Strong"/>
                <w:b w:val="0"/>
                <w:bCs w:val="0"/>
                <w:sz w:val="20"/>
                <w:szCs w:val="20"/>
              </w:rPr>
              <w:t>External CSR Assurance Score (0-100)</w:t>
            </w:r>
          </w:p>
        </w:tc>
        <w:tc>
          <w:tcPr>
            <w:tcW w:w="1461" w:type="dxa"/>
            <w:tcBorders>
              <w:top w:val="single" w:sz="4" w:space="0" w:color="auto"/>
              <w:left w:val="nil"/>
              <w:bottom w:val="single" w:sz="4" w:space="0" w:color="auto"/>
              <w:right w:val="nil"/>
            </w:tcBorders>
            <w:hideMark/>
          </w:tcPr>
          <w:p w14:paraId="06410F40" w14:textId="77777777" w:rsidR="00736F61" w:rsidRPr="005742B8" w:rsidRDefault="00736F61" w:rsidP="003F224E">
            <w:pPr>
              <w:jc w:val="center"/>
              <w:rPr>
                <w:b/>
                <w:bCs/>
                <w:sz w:val="20"/>
                <w:szCs w:val="20"/>
              </w:rPr>
            </w:pPr>
            <w:r w:rsidRPr="005742B8">
              <w:rPr>
                <w:rStyle w:val="Strong"/>
                <w:b w:val="0"/>
                <w:bCs w:val="0"/>
                <w:sz w:val="20"/>
                <w:szCs w:val="20"/>
              </w:rPr>
              <w:t>CSRA</w:t>
            </w:r>
          </w:p>
        </w:tc>
        <w:tc>
          <w:tcPr>
            <w:tcW w:w="6234" w:type="dxa"/>
            <w:tcBorders>
              <w:top w:val="single" w:sz="4" w:space="0" w:color="auto"/>
              <w:left w:val="nil"/>
              <w:bottom w:val="single" w:sz="4" w:space="0" w:color="auto"/>
              <w:right w:val="nil"/>
            </w:tcBorders>
          </w:tcPr>
          <w:p w14:paraId="08F2D0D6" w14:textId="77777777" w:rsidR="00736F61" w:rsidRPr="005742B8" w:rsidRDefault="00736F61" w:rsidP="003F224E">
            <w:pPr>
              <w:jc w:val="both"/>
              <w:rPr>
                <w:sz w:val="20"/>
                <w:szCs w:val="20"/>
              </w:rPr>
            </w:pPr>
            <w:r w:rsidRPr="005742B8">
              <w:rPr>
                <w:sz w:val="20"/>
                <w:szCs w:val="20"/>
              </w:rPr>
              <w:t>Assess whether a company engages independent auditors for CSR, health and safety (H&amp;S), or sustainability reporting. A higher score reflects greater transparency and regulatory compliance.</w:t>
            </w:r>
          </w:p>
        </w:tc>
      </w:tr>
      <w:tr w:rsidR="00736F61" w:rsidRPr="005742B8" w14:paraId="35B2D758" w14:textId="77777777" w:rsidTr="00621211">
        <w:trPr>
          <w:trHeight w:val="300"/>
        </w:trPr>
        <w:tc>
          <w:tcPr>
            <w:tcW w:w="1803" w:type="dxa"/>
            <w:hideMark/>
          </w:tcPr>
          <w:p w14:paraId="1A675009" w14:textId="77777777" w:rsidR="00736F61" w:rsidRPr="005742B8" w:rsidRDefault="00736F61" w:rsidP="003F224E">
            <w:pPr>
              <w:rPr>
                <w:rStyle w:val="Strong"/>
                <w:b w:val="0"/>
                <w:bCs w:val="0"/>
                <w:sz w:val="20"/>
                <w:szCs w:val="20"/>
              </w:rPr>
            </w:pPr>
            <w:r w:rsidRPr="005742B8">
              <w:rPr>
                <w:rStyle w:val="Strong"/>
                <w:b w:val="0"/>
                <w:bCs w:val="0"/>
                <w:sz w:val="20"/>
                <w:szCs w:val="20"/>
              </w:rPr>
              <w:t>Corporate Social Performance Score (0-100)</w:t>
            </w:r>
          </w:p>
        </w:tc>
        <w:tc>
          <w:tcPr>
            <w:tcW w:w="1461" w:type="dxa"/>
            <w:tcBorders>
              <w:top w:val="single" w:sz="4" w:space="0" w:color="auto"/>
              <w:left w:val="nil"/>
              <w:bottom w:val="single" w:sz="4" w:space="0" w:color="auto"/>
              <w:right w:val="nil"/>
            </w:tcBorders>
            <w:hideMark/>
          </w:tcPr>
          <w:p w14:paraId="087623F1" w14:textId="77777777" w:rsidR="00736F61" w:rsidRPr="005742B8" w:rsidRDefault="00736F61" w:rsidP="003F224E">
            <w:pPr>
              <w:jc w:val="center"/>
              <w:rPr>
                <w:rStyle w:val="Strong"/>
                <w:b w:val="0"/>
                <w:bCs w:val="0"/>
                <w:sz w:val="20"/>
                <w:szCs w:val="20"/>
              </w:rPr>
            </w:pPr>
            <w:r w:rsidRPr="005742B8">
              <w:rPr>
                <w:rStyle w:val="Strong"/>
                <w:b w:val="0"/>
                <w:bCs w:val="0"/>
                <w:sz w:val="20"/>
                <w:szCs w:val="20"/>
              </w:rPr>
              <w:t>CSP</w:t>
            </w:r>
          </w:p>
        </w:tc>
        <w:tc>
          <w:tcPr>
            <w:tcW w:w="6234" w:type="dxa"/>
            <w:tcBorders>
              <w:top w:val="single" w:sz="4" w:space="0" w:color="auto"/>
              <w:left w:val="nil"/>
              <w:bottom w:val="single" w:sz="4" w:space="0" w:color="auto"/>
              <w:right w:val="nil"/>
            </w:tcBorders>
          </w:tcPr>
          <w:p w14:paraId="374D90A5" w14:textId="77777777" w:rsidR="00736F61" w:rsidRPr="005742B8" w:rsidRDefault="00736F61" w:rsidP="003F224E">
            <w:pPr>
              <w:jc w:val="both"/>
              <w:rPr>
                <w:sz w:val="20"/>
                <w:szCs w:val="20"/>
              </w:rPr>
            </w:pPr>
            <w:r w:rsidRPr="005742B8">
              <w:rPr>
                <w:sz w:val="20"/>
                <w:szCs w:val="20"/>
              </w:rPr>
              <w:t>The social pillar score measures a firm’s ability to foster trust and loyalty through ethical management and effective stakeholder engagement. A higher score reflects stronger social governance and responsible business conduct.</w:t>
            </w:r>
          </w:p>
        </w:tc>
      </w:tr>
      <w:tr w:rsidR="00736F61" w:rsidRPr="005742B8" w14:paraId="41BA15BA" w14:textId="77777777" w:rsidTr="00621211">
        <w:trPr>
          <w:trHeight w:val="300"/>
        </w:trPr>
        <w:tc>
          <w:tcPr>
            <w:tcW w:w="1803" w:type="dxa"/>
            <w:hideMark/>
          </w:tcPr>
          <w:p w14:paraId="28FC16CC" w14:textId="77777777" w:rsidR="00736F61" w:rsidRPr="005742B8" w:rsidRDefault="00736F61" w:rsidP="003F224E">
            <w:pPr>
              <w:rPr>
                <w:b/>
                <w:bCs/>
                <w:sz w:val="20"/>
                <w:szCs w:val="20"/>
              </w:rPr>
            </w:pPr>
            <w:r w:rsidRPr="005742B8">
              <w:rPr>
                <w:rStyle w:val="Strong"/>
                <w:b w:val="0"/>
                <w:bCs w:val="0"/>
                <w:sz w:val="20"/>
                <w:szCs w:val="20"/>
              </w:rPr>
              <w:t>CSR Recognition Awards Score (0-100)</w:t>
            </w:r>
          </w:p>
        </w:tc>
        <w:tc>
          <w:tcPr>
            <w:tcW w:w="1461" w:type="dxa"/>
            <w:tcBorders>
              <w:top w:val="single" w:sz="4" w:space="0" w:color="auto"/>
              <w:left w:val="nil"/>
              <w:bottom w:val="single" w:sz="4" w:space="0" w:color="auto"/>
              <w:right w:val="nil"/>
            </w:tcBorders>
            <w:hideMark/>
          </w:tcPr>
          <w:p w14:paraId="6A03630E" w14:textId="77777777" w:rsidR="00736F61" w:rsidRPr="005742B8" w:rsidRDefault="00736F61" w:rsidP="003F224E">
            <w:pPr>
              <w:jc w:val="center"/>
              <w:rPr>
                <w:b/>
                <w:bCs/>
                <w:sz w:val="20"/>
                <w:szCs w:val="20"/>
              </w:rPr>
            </w:pPr>
            <w:r w:rsidRPr="005742B8">
              <w:rPr>
                <w:rStyle w:val="Strong"/>
                <w:b w:val="0"/>
                <w:bCs w:val="0"/>
                <w:sz w:val="20"/>
                <w:szCs w:val="20"/>
              </w:rPr>
              <w:t>CSRAW</w:t>
            </w:r>
          </w:p>
        </w:tc>
        <w:tc>
          <w:tcPr>
            <w:tcW w:w="6234" w:type="dxa"/>
            <w:tcBorders>
              <w:top w:val="single" w:sz="4" w:space="0" w:color="auto"/>
              <w:left w:val="nil"/>
              <w:bottom w:val="single" w:sz="4" w:space="0" w:color="auto"/>
              <w:right w:val="nil"/>
            </w:tcBorders>
          </w:tcPr>
          <w:p w14:paraId="1EFBECD9" w14:textId="77777777" w:rsidR="00736F61" w:rsidRPr="005742B8" w:rsidRDefault="00736F61" w:rsidP="003F224E">
            <w:pPr>
              <w:jc w:val="both"/>
              <w:rPr>
                <w:sz w:val="20"/>
                <w:szCs w:val="20"/>
              </w:rPr>
            </w:pPr>
            <w:r w:rsidRPr="005742B8">
              <w:rPr>
                <w:sz w:val="20"/>
                <w:szCs w:val="20"/>
              </w:rPr>
              <w:t>Evaluate whether a company has received external recognition for CSR initiatives, including corporate social responsibility, human rights, or environmental sustainability awards. Higher values indicate strong external validation.</w:t>
            </w:r>
          </w:p>
        </w:tc>
      </w:tr>
      <w:tr w:rsidR="00736F61" w:rsidRPr="005742B8" w14:paraId="4007C2C4" w14:textId="77777777" w:rsidTr="00621211">
        <w:trPr>
          <w:trHeight w:val="300"/>
        </w:trPr>
        <w:tc>
          <w:tcPr>
            <w:tcW w:w="1803" w:type="dxa"/>
          </w:tcPr>
          <w:p w14:paraId="1AE052B2" w14:textId="77777777" w:rsidR="00736F61" w:rsidRPr="005742B8" w:rsidRDefault="00736F61" w:rsidP="003F224E">
            <w:pPr>
              <w:rPr>
                <w:rStyle w:val="Strong"/>
                <w:b w:val="0"/>
                <w:bCs w:val="0"/>
                <w:sz w:val="20"/>
                <w:szCs w:val="20"/>
              </w:rPr>
            </w:pPr>
            <w:r w:rsidRPr="005742B8">
              <w:rPr>
                <w:rStyle w:val="Strong"/>
                <w:b w:val="0"/>
                <w:bCs w:val="0"/>
                <w:sz w:val="20"/>
                <w:szCs w:val="20"/>
              </w:rPr>
              <w:t>Board Independence (0-100)</w:t>
            </w:r>
          </w:p>
        </w:tc>
        <w:tc>
          <w:tcPr>
            <w:tcW w:w="1461" w:type="dxa"/>
            <w:tcBorders>
              <w:top w:val="single" w:sz="4" w:space="0" w:color="auto"/>
              <w:left w:val="nil"/>
              <w:bottom w:val="single" w:sz="4" w:space="0" w:color="auto"/>
              <w:right w:val="nil"/>
            </w:tcBorders>
            <w:hideMark/>
          </w:tcPr>
          <w:p w14:paraId="2AD12D23" w14:textId="77777777" w:rsidR="00736F61" w:rsidRPr="005742B8" w:rsidRDefault="00736F61" w:rsidP="003F224E">
            <w:pPr>
              <w:jc w:val="center"/>
              <w:rPr>
                <w:rStyle w:val="Strong"/>
                <w:b w:val="0"/>
                <w:bCs w:val="0"/>
                <w:sz w:val="20"/>
                <w:szCs w:val="20"/>
              </w:rPr>
            </w:pPr>
            <w:r w:rsidRPr="005742B8">
              <w:rPr>
                <w:rStyle w:val="Strong"/>
                <w:b w:val="0"/>
                <w:bCs w:val="0"/>
                <w:sz w:val="20"/>
                <w:szCs w:val="20"/>
              </w:rPr>
              <w:t>BINDP</w:t>
            </w:r>
          </w:p>
        </w:tc>
        <w:tc>
          <w:tcPr>
            <w:tcW w:w="6234" w:type="dxa"/>
            <w:tcBorders>
              <w:top w:val="single" w:sz="4" w:space="0" w:color="auto"/>
              <w:left w:val="nil"/>
              <w:bottom w:val="single" w:sz="4" w:space="0" w:color="auto"/>
              <w:right w:val="nil"/>
            </w:tcBorders>
            <w:hideMark/>
          </w:tcPr>
          <w:p w14:paraId="35BD7394" w14:textId="77777777" w:rsidR="00736F61" w:rsidRPr="005742B8" w:rsidRDefault="00736F61" w:rsidP="003F224E">
            <w:pPr>
              <w:jc w:val="both"/>
              <w:rPr>
                <w:sz w:val="20"/>
                <w:szCs w:val="20"/>
              </w:rPr>
            </w:pPr>
            <w:r w:rsidRPr="005742B8">
              <w:rPr>
                <w:sz w:val="20"/>
                <w:szCs w:val="20"/>
              </w:rPr>
              <w:t>The percentage of independent board members reflects the corporate governance structures that ensure oversight and accountability.</w:t>
            </w:r>
          </w:p>
        </w:tc>
      </w:tr>
      <w:tr w:rsidR="00736F61" w:rsidRPr="005742B8" w14:paraId="7CADD8D8" w14:textId="77777777" w:rsidTr="00621211">
        <w:trPr>
          <w:trHeight w:val="300"/>
        </w:trPr>
        <w:tc>
          <w:tcPr>
            <w:tcW w:w="9498" w:type="dxa"/>
            <w:gridSpan w:val="3"/>
            <w:tcBorders>
              <w:top w:val="single" w:sz="4" w:space="0" w:color="auto"/>
              <w:bottom w:val="single" w:sz="4" w:space="0" w:color="auto"/>
            </w:tcBorders>
          </w:tcPr>
          <w:p w14:paraId="04C7B66B" w14:textId="77777777" w:rsidR="00736F61" w:rsidRPr="005742B8" w:rsidRDefault="00736F61" w:rsidP="003F224E">
            <w:pPr>
              <w:jc w:val="center"/>
              <w:rPr>
                <w:b/>
                <w:bCs/>
                <w:sz w:val="20"/>
                <w:szCs w:val="20"/>
              </w:rPr>
            </w:pPr>
            <w:r w:rsidRPr="005742B8">
              <w:rPr>
                <w:b/>
                <w:bCs/>
                <w:sz w:val="20"/>
                <w:szCs w:val="20"/>
              </w:rPr>
              <w:t>Control variables</w:t>
            </w:r>
          </w:p>
        </w:tc>
      </w:tr>
      <w:tr w:rsidR="00736F61" w:rsidRPr="005742B8" w14:paraId="04B960C3" w14:textId="77777777" w:rsidTr="00621211">
        <w:trPr>
          <w:trHeight w:val="300"/>
        </w:trPr>
        <w:tc>
          <w:tcPr>
            <w:tcW w:w="1803" w:type="dxa"/>
            <w:tcBorders>
              <w:top w:val="single" w:sz="4" w:space="0" w:color="auto"/>
            </w:tcBorders>
            <w:hideMark/>
          </w:tcPr>
          <w:p w14:paraId="3464DC97" w14:textId="77777777" w:rsidR="00736F61" w:rsidRPr="005742B8" w:rsidRDefault="00736F61" w:rsidP="003F224E">
            <w:pPr>
              <w:rPr>
                <w:rStyle w:val="Strong"/>
                <w:b w:val="0"/>
                <w:bCs w:val="0"/>
                <w:sz w:val="20"/>
                <w:szCs w:val="20"/>
              </w:rPr>
            </w:pPr>
            <w:r w:rsidRPr="005742B8">
              <w:rPr>
                <w:rStyle w:val="Strong"/>
                <w:b w:val="0"/>
                <w:bCs w:val="0"/>
                <w:sz w:val="20"/>
                <w:szCs w:val="20"/>
              </w:rPr>
              <w:t>Board Size</w:t>
            </w:r>
          </w:p>
        </w:tc>
        <w:tc>
          <w:tcPr>
            <w:tcW w:w="1461" w:type="dxa"/>
            <w:tcBorders>
              <w:top w:val="single" w:sz="4" w:space="0" w:color="auto"/>
              <w:left w:val="nil"/>
              <w:bottom w:val="single" w:sz="4" w:space="0" w:color="auto"/>
              <w:right w:val="nil"/>
            </w:tcBorders>
            <w:hideMark/>
          </w:tcPr>
          <w:p w14:paraId="1C6F6C18" w14:textId="77777777" w:rsidR="00736F61" w:rsidRPr="005742B8" w:rsidRDefault="00736F61" w:rsidP="003F224E">
            <w:pPr>
              <w:jc w:val="center"/>
              <w:rPr>
                <w:rStyle w:val="Strong"/>
                <w:b w:val="0"/>
                <w:bCs w:val="0"/>
                <w:sz w:val="20"/>
                <w:szCs w:val="20"/>
              </w:rPr>
            </w:pPr>
            <w:r w:rsidRPr="005742B8">
              <w:rPr>
                <w:rStyle w:val="Strong"/>
                <w:b w:val="0"/>
                <w:bCs w:val="0"/>
                <w:sz w:val="20"/>
                <w:szCs w:val="20"/>
              </w:rPr>
              <w:t>BSIZE</w:t>
            </w:r>
          </w:p>
        </w:tc>
        <w:tc>
          <w:tcPr>
            <w:tcW w:w="6234" w:type="dxa"/>
            <w:tcBorders>
              <w:top w:val="single" w:sz="4" w:space="0" w:color="auto"/>
              <w:left w:val="nil"/>
              <w:bottom w:val="single" w:sz="4" w:space="0" w:color="auto"/>
              <w:right w:val="nil"/>
            </w:tcBorders>
          </w:tcPr>
          <w:p w14:paraId="79928305" w14:textId="77777777" w:rsidR="00736F61" w:rsidRPr="005742B8" w:rsidRDefault="00736F61" w:rsidP="003F224E">
            <w:pPr>
              <w:jc w:val="both"/>
              <w:rPr>
                <w:sz w:val="20"/>
                <w:szCs w:val="20"/>
              </w:rPr>
            </w:pPr>
            <w:r w:rsidRPr="005742B8">
              <w:rPr>
                <w:sz w:val="20"/>
                <w:szCs w:val="20"/>
              </w:rPr>
              <w:t>Total number of board members at the end of the fiscal year, influencing governance efficiency and strategic decision-making.</w:t>
            </w:r>
          </w:p>
        </w:tc>
      </w:tr>
      <w:tr w:rsidR="00736F61" w:rsidRPr="005742B8" w14:paraId="49C10AF4" w14:textId="77777777" w:rsidTr="00621211">
        <w:trPr>
          <w:trHeight w:val="300"/>
        </w:trPr>
        <w:tc>
          <w:tcPr>
            <w:tcW w:w="1803" w:type="dxa"/>
            <w:hideMark/>
          </w:tcPr>
          <w:p w14:paraId="56C1DBC0" w14:textId="77777777" w:rsidR="00736F61" w:rsidRPr="005742B8" w:rsidRDefault="00736F61" w:rsidP="003F224E">
            <w:pPr>
              <w:rPr>
                <w:rStyle w:val="Strong"/>
                <w:b w:val="0"/>
                <w:bCs w:val="0"/>
                <w:sz w:val="20"/>
                <w:szCs w:val="20"/>
              </w:rPr>
            </w:pPr>
            <w:r w:rsidRPr="005742B8">
              <w:rPr>
                <w:rStyle w:val="Strong"/>
                <w:b w:val="0"/>
                <w:bCs w:val="0"/>
                <w:sz w:val="20"/>
                <w:szCs w:val="20"/>
              </w:rPr>
              <w:t>Return on Assets</w:t>
            </w:r>
          </w:p>
        </w:tc>
        <w:tc>
          <w:tcPr>
            <w:tcW w:w="1461" w:type="dxa"/>
            <w:tcBorders>
              <w:top w:val="single" w:sz="4" w:space="0" w:color="auto"/>
              <w:left w:val="nil"/>
              <w:bottom w:val="single" w:sz="4" w:space="0" w:color="auto"/>
              <w:right w:val="nil"/>
            </w:tcBorders>
            <w:hideMark/>
          </w:tcPr>
          <w:p w14:paraId="66183674" w14:textId="77777777" w:rsidR="00736F61" w:rsidRPr="005742B8" w:rsidRDefault="00736F61" w:rsidP="003F224E">
            <w:pPr>
              <w:jc w:val="center"/>
              <w:rPr>
                <w:rStyle w:val="Strong"/>
                <w:b w:val="0"/>
                <w:bCs w:val="0"/>
                <w:sz w:val="20"/>
                <w:szCs w:val="20"/>
              </w:rPr>
            </w:pPr>
            <w:proofErr w:type="spellStart"/>
            <w:r w:rsidRPr="005742B8">
              <w:rPr>
                <w:rStyle w:val="Strong"/>
                <w:b w:val="0"/>
                <w:bCs w:val="0"/>
                <w:sz w:val="20"/>
                <w:szCs w:val="20"/>
              </w:rPr>
              <w:t>Log_ROA</w:t>
            </w:r>
            <w:proofErr w:type="spellEnd"/>
          </w:p>
        </w:tc>
        <w:tc>
          <w:tcPr>
            <w:tcW w:w="6234" w:type="dxa"/>
            <w:tcBorders>
              <w:top w:val="single" w:sz="4" w:space="0" w:color="auto"/>
              <w:left w:val="nil"/>
              <w:bottom w:val="single" w:sz="4" w:space="0" w:color="auto"/>
              <w:right w:val="nil"/>
            </w:tcBorders>
          </w:tcPr>
          <w:p w14:paraId="49EDFAF3" w14:textId="77777777" w:rsidR="00736F61" w:rsidRPr="005742B8" w:rsidRDefault="00736F61" w:rsidP="003F224E">
            <w:pPr>
              <w:jc w:val="both"/>
              <w:rPr>
                <w:sz w:val="20"/>
                <w:szCs w:val="20"/>
              </w:rPr>
            </w:pPr>
            <w:r w:rsidRPr="005742B8">
              <w:rPr>
                <w:sz w:val="20"/>
                <w:szCs w:val="20"/>
              </w:rPr>
              <w:t>The income after taxes-to-average total assets ratio reflects a firm’s financial performance and efficiency.</w:t>
            </w:r>
          </w:p>
        </w:tc>
      </w:tr>
      <w:tr w:rsidR="00736F61" w:rsidRPr="005742B8" w14:paraId="4E001536" w14:textId="77777777" w:rsidTr="00621211">
        <w:trPr>
          <w:trHeight w:val="300"/>
        </w:trPr>
        <w:tc>
          <w:tcPr>
            <w:tcW w:w="1803" w:type="dxa"/>
            <w:hideMark/>
          </w:tcPr>
          <w:p w14:paraId="0DCE01D8" w14:textId="77777777" w:rsidR="00736F61" w:rsidRPr="005742B8" w:rsidRDefault="00736F61" w:rsidP="003F224E">
            <w:pPr>
              <w:rPr>
                <w:rStyle w:val="Strong"/>
                <w:b w:val="0"/>
                <w:bCs w:val="0"/>
                <w:sz w:val="20"/>
                <w:szCs w:val="20"/>
              </w:rPr>
            </w:pPr>
            <w:r w:rsidRPr="005742B8">
              <w:rPr>
                <w:rStyle w:val="Strong"/>
                <w:b w:val="0"/>
                <w:bCs w:val="0"/>
                <w:sz w:val="20"/>
                <w:szCs w:val="20"/>
              </w:rPr>
              <w:t>Firm Size (Employees)</w:t>
            </w:r>
          </w:p>
        </w:tc>
        <w:tc>
          <w:tcPr>
            <w:tcW w:w="1461" w:type="dxa"/>
            <w:tcBorders>
              <w:top w:val="single" w:sz="4" w:space="0" w:color="auto"/>
              <w:left w:val="nil"/>
              <w:bottom w:val="single" w:sz="4" w:space="0" w:color="auto"/>
              <w:right w:val="nil"/>
            </w:tcBorders>
            <w:hideMark/>
          </w:tcPr>
          <w:p w14:paraId="33296EB9" w14:textId="77777777" w:rsidR="00736F61" w:rsidRPr="005742B8" w:rsidRDefault="00736F61" w:rsidP="003F224E">
            <w:pPr>
              <w:jc w:val="center"/>
              <w:rPr>
                <w:rStyle w:val="Strong"/>
                <w:b w:val="0"/>
                <w:bCs w:val="0"/>
                <w:sz w:val="20"/>
                <w:szCs w:val="20"/>
              </w:rPr>
            </w:pPr>
            <w:proofErr w:type="spellStart"/>
            <w:r w:rsidRPr="005742B8">
              <w:rPr>
                <w:rStyle w:val="Strong"/>
                <w:b w:val="0"/>
                <w:bCs w:val="0"/>
                <w:sz w:val="20"/>
                <w:szCs w:val="20"/>
              </w:rPr>
              <w:t>Log_FTE</w:t>
            </w:r>
            <w:proofErr w:type="spellEnd"/>
          </w:p>
        </w:tc>
        <w:tc>
          <w:tcPr>
            <w:tcW w:w="6234" w:type="dxa"/>
            <w:tcBorders>
              <w:top w:val="single" w:sz="4" w:space="0" w:color="auto"/>
              <w:left w:val="nil"/>
              <w:bottom w:val="single" w:sz="4" w:space="0" w:color="auto"/>
              <w:right w:val="nil"/>
            </w:tcBorders>
          </w:tcPr>
          <w:p w14:paraId="57896BF9" w14:textId="77777777" w:rsidR="00736F61" w:rsidRPr="005742B8" w:rsidRDefault="00736F61" w:rsidP="003F224E">
            <w:pPr>
              <w:jc w:val="both"/>
              <w:rPr>
                <w:sz w:val="20"/>
                <w:szCs w:val="20"/>
              </w:rPr>
            </w:pPr>
            <w:r w:rsidRPr="005742B8">
              <w:rPr>
                <w:sz w:val="20"/>
                <w:szCs w:val="20"/>
              </w:rPr>
              <w:t>Log-transformed number of full-time employees, serving as a proxy for firm size, influences resource allocation and sustainability practices.</w:t>
            </w:r>
          </w:p>
        </w:tc>
      </w:tr>
      <w:tr w:rsidR="00736F61" w:rsidRPr="005742B8" w14:paraId="2F63EE7D" w14:textId="77777777" w:rsidTr="00621211">
        <w:trPr>
          <w:trHeight w:val="300"/>
        </w:trPr>
        <w:tc>
          <w:tcPr>
            <w:tcW w:w="1803" w:type="dxa"/>
            <w:hideMark/>
          </w:tcPr>
          <w:p w14:paraId="743A85B7" w14:textId="77777777" w:rsidR="00736F61" w:rsidRPr="005742B8" w:rsidRDefault="00736F61" w:rsidP="003F224E">
            <w:pPr>
              <w:rPr>
                <w:rStyle w:val="Strong"/>
                <w:b w:val="0"/>
                <w:bCs w:val="0"/>
                <w:sz w:val="20"/>
                <w:szCs w:val="20"/>
              </w:rPr>
            </w:pPr>
            <w:r w:rsidRPr="005742B8">
              <w:rPr>
                <w:rStyle w:val="Strong"/>
                <w:b w:val="0"/>
                <w:bCs w:val="0"/>
                <w:sz w:val="20"/>
                <w:szCs w:val="20"/>
              </w:rPr>
              <w:t xml:space="preserve">Board Skills </w:t>
            </w:r>
          </w:p>
          <w:p w14:paraId="0428BA2A" w14:textId="77777777" w:rsidR="00736F61" w:rsidRPr="005742B8" w:rsidRDefault="00736F61" w:rsidP="003F224E">
            <w:pPr>
              <w:rPr>
                <w:rStyle w:val="Strong"/>
                <w:b w:val="0"/>
                <w:bCs w:val="0"/>
                <w:sz w:val="20"/>
                <w:szCs w:val="20"/>
              </w:rPr>
            </w:pPr>
            <w:r w:rsidRPr="005742B8">
              <w:rPr>
                <w:rStyle w:val="Strong"/>
                <w:b w:val="0"/>
                <w:bCs w:val="0"/>
                <w:sz w:val="20"/>
                <w:szCs w:val="20"/>
              </w:rPr>
              <w:t xml:space="preserve">(0-100) </w:t>
            </w:r>
          </w:p>
        </w:tc>
        <w:tc>
          <w:tcPr>
            <w:tcW w:w="1461" w:type="dxa"/>
            <w:tcBorders>
              <w:top w:val="single" w:sz="4" w:space="0" w:color="auto"/>
              <w:left w:val="nil"/>
              <w:bottom w:val="single" w:sz="4" w:space="0" w:color="auto"/>
              <w:right w:val="nil"/>
            </w:tcBorders>
            <w:hideMark/>
          </w:tcPr>
          <w:p w14:paraId="297A9A53" w14:textId="77777777" w:rsidR="00736F61" w:rsidRPr="005742B8" w:rsidRDefault="00736F61" w:rsidP="003F224E">
            <w:pPr>
              <w:jc w:val="center"/>
              <w:rPr>
                <w:rStyle w:val="Strong"/>
                <w:b w:val="0"/>
                <w:bCs w:val="0"/>
                <w:sz w:val="20"/>
                <w:szCs w:val="20"/>
              </w:rPr>
            </w:pPr>
            <w:r w:rsidRPr="005742B8">
              <w:rPr>
                <w:rStyle w:val="Strong"/>
                <w:b w:val="0"/>
                <w:bCs w:val="0"/>
                <w:sz w:val="20"/>
                <w:szCs w:val="20"/>
              </w:rPr>
              <w:t>BSKIL</w:t>
            </w:r>
          </w:p>
        </w:tc>
        <w:tc>
          <w:tcPr>
            <w:tcW w:w="6234" w:type="dxa"/>
            <w:tcBorders>
              <w:top w:val="single" w:sz="4" w:space="0" w:color="auto"/>
              <w:left w:val="nil"/>
              <w:bottom w:val="single" w:sz="4" w:space="0" w:color="auto"/>
              <w:right w:val="nil"/>
            </w:tcBorders>
          </w:tcPr>
          <w:p w14:paraId="5F7F3D6A" w14:textId="77777777" w:rsidR="00736F61" w:rsidRPr="005742B8" w:rsidRDefault="00736F61" w:rsidP="003F224E">
            <w:pPr>
              <w:jc w:val="both"/>
              <w:rPr>
                <w:sz w:val="20"/>
                <w:szCs w:val="20"/>
              </w:rPr>
            </w:pPr>
            <w:r w:rsidRPr="005742B8">
              <w:rPr>
                <w:sz w:val="20"/>
                <w:szCs w:val="20"/>
              </w:rPr>
              <w:t>Percentage of board members with expertise in industry-specific domains or finance, reflecting corporate governance quality.</w:t>
            </w:r>
          </w:p>
        </w:tc>
      </w:tr>
      <w:tr w:rsidR="00736F61" w:rsidRPr="005742B8" w14:paraId="5A6FFE60" w14:textId="77777777" w:rsidTr="00621211">
        <w:trPr>
          <w:trHeight w:val="300"/>
        </w:trPr>
        <w:tc>
          <w:tcPr>
            <w:tcW w:w="1803" w:type="dxa"/>
            <w:vAlign w:val="center"/>
            <w:hideMark/>
          </w:tcPr>
          <w:p w14:paraId="27C1093A" w14:textId="77777777" w:rsidR="00736F61" w:rsidRPr="005742B8" w:rsidRDefault="00736F61" w:rsidP="003F224E">
            <w:pPr>
              <w:rPr>
                <w:rStyle w:val="Strong"/>
                <w:sz w:val="20"/>
                <w:szCs w:val="20"/>
              </w:rPr>
            </w:pPr>
            <w:r w:rsidRPr="005742B8">
              <w:rPr>
                <w:rFonts w:eastAsia="Times New Roman"/>
                <w:sz w:val="20"/>
                <w:szCs w:val="20"/>
                <w:lang w:eastAsia="en-GB"/>
              </w:rPr>
              <w:t>Industry</w:t>
            </w:r>
          </w:p>
        </w:tc>
        <w:tc>
          <w:tcPr>
            <w:tcW w:w="1461" w:type="dxa"/>
            <w:tcBorders>
              <w:top w:val="single" w:sz="4" w:space="0" w:color="auto"/>
              <w:left w:val="nil"/>
              <w:bottom w:val="single" w:sz="4" w:space="0" w:color="auto"/>
              <w:right w:val="nil"/>
            </w:tcBorders>
            <w:vAlign w:val="center"/>
            <w:hideMark/>
          </w:tcPr>
          <w:p w14:paraId="338BCB6A" w14:textId="77777777" w:rsidR="00736F61" w:rsidRPr="005742B8" w:rsidRDefault="00736F61" w:rsidP="003F224E">
            <w:pPr>
              <w:jc w:val="center"/>
              <w:rPr>
                <w:rStyle w:val="Strong"/>
                <w:b w:val="0"/>
                <w:bCs w:val="0"/>
                <w:sz w:val="20"/>
                <w:szCs w:val="20"/>
              </w:rPr>
            </w:pPr>
            <w:r w:rsidRPr="005742B8">
              <w:rPr>
                <w:rFonts w:eastAsia="Times New Roman"/>
                <w:sz w:val="20"/>
                <w:szCs w:val="20"/>
                <w:lang w:eastAsia="en-GB"/>
              </w:rPr>
              <w:t>Industry</w:t>
            </w:r>
          </w:p>
        </w:tc>
        <w:tc>
          <w:tcPr>
            <w:tcW w:w="6234" w:type="dxa"/>
            <w:tcBorders>
              <w:top w:val="single" w:sz="4" w:space="0" w:color="auto"/>
              <w:left w:val="nil"/>
              <w:bottom w:val="single" w:sz="4" w:space="0" w:color="auto"/>
              <w:right w:val="nil"/>
            </w:tcBorders>
            <w:vAlign w:val="center"/>
            <w:hideMark/>
          </w:tcPr>
          <w:p w14:paraId="15077714" w14:textId="77777777" w:rsidR="00736F61" w:rsidRPr="005742B8" w:rsidRDefault="00736F61" w:rsidP="003F224E">
            <w:pPr>
              <w:jc w:val="both"/>
              <w:rPr>
                <w:sz w:val="20"/>
                <w:szCs w:val="20"/>
              </w:rPr>
            </w:pPr>
            <w:r w:rsidRPr="005742B8">
              <w:rPr>
                <w:rFonts w:eastAsia="Times New Roman"/>
                <w:color w:val="auto"/>
                <w:sz w:val="20"/>
                <w:szCs w:val="20"/>
                <w:lang w:eastAsia="en-GB"/>
              </w:rPr>
              <w:t>A dummy variable representing firms based on the industry classification benchmark (TRBC</w:t>
            </w:r>
            <w:r w:rsidRPr="005742B8">
              <w:rPr>
                <w:rStyle w:val="FootnoteReference"/>
                <w:rFonts w:eastAsia="Times New Roman"/>
                <w:color w:val="auto"/>
                <w:sz w:val="20"/>
                <w:szCs w:val="20"/>
                <w:lang w:eastAsia="en-GB"/>
              </w:rPr>
              <w:footnoteReference w:id="2"/>
            </w:r>
            <w:r w:rsidRPr="005742B8">
              <w:rPr>
                <w:rFonts w:eastAsia="Times New Roman"/>
                <w:color w:val="auto"/>
                <w:sz w:val="20"/>
                <w:szCs w:val="20"/>
                <w:lang w:eastAsia="en-GB"/>
              </w:rPr>
              <w:t>) to control for the industry effects</w:t>
            </w:r>
          </w:p>
        </w:tc>
      </w:tr>
      <w:tr w:rsidR="00736F61" w:rsidRPr="005742B8" w14:paraId="24979CBC" w14:textId="77777777" w:rsidTr="00621211">
        <w:trPr>
          <w:trHeight w:val="300"/>
        </w:trPr>
        <w:tc>
          <w:tcPr>
            <w:tcW w:w="1803" w:type="dxa"/>
            <w:vAlign w:val="center"/>
            <w:hideMark/>
          </w:tcPr>
          <w:p w14:paraId="157E86FD" w14:textId="77777777" w:rsidR="00736F61" w:rsidRPr="005742B8" w:rsidRDefault="00736F61" w:rsidP="003F224E">
            <w:pPr>
              <w:rPr>
                <w:rStyle w:val="Strong"/>
                <w:sz w:val="20"/>
                <w:szCs w:val="20"/>
              </w:rPr>
            </w:pPr>
            <w:r w:rsidRPr="005742B8">
              <w:rPr>
                <w:rFonts w:eastAsia="Times New Roman"/>
                <w:sz w:val="20"/>
                <w:szCs w:val="20"/>
                <w:lang w:eastAsia="en-GB"/>
              </w:rPr>
              <w:t>Firms</w:t>
            </w:r>
          </w:p>
        </w:tc>
        <w:tc>
          <w:tcPr>
            <w:tcW w:w="1461" w:type="dxa"/>
            <w:tcBorders>
              <w:top w:val="single" w:sz="4" w:space="0" w:color="auto"/>
              <w:left w:val="nil"/>
              <w:bottom w:val="single" w:sz="4" w:space="0" w:color="auto"/>
              <w:right w:val="nil"/>
            </w:tcBorders>
            <w:vAlign w:val="center"/>
            <w:hideMark/>
          </w:tcPr>
          <w:p w14:paraId="320D50C8" w14:textId="77777777" w:rsidR="00736F61" w:rsidRPr="005742B8" w:rsidRDefault="00736F61" w:rsidP="003F224E">
            <w:pPr>
              <w:jc w:val="center"/>
              <w:rPr>
                <w:rStyle w:val="Strong"/>
                <w:b w:val="0"/>
                <w:bCs w:val="0"/>
                <w:sz w:val="20"/>
                <w:szCs w:val="20"/>
              </w:rPr>
            </w:pPr>
            <w:r w:rsidRPr="005742B8">
              <w:rPr>
                <w:rFonts w:eastAsia="Times New Roman"/>
                <w:sz w:val="20"/>
                <w:szCs w:val="20"/>
                <w:lang w:eastAsia="en-GB"/>
              </w:rPr>
              <w:t>Firm</w:t>
            </w:r>
          </w:p>
        </w:tc>
        <w:tc>
          <w:tcPr>
            <w:tcW w:w="6234" w:type="dxa"/>
            <w:tcBorders>
              <w:top w:val="single" w:sz="4" w:space="0" w:color="auto"/>
              <w:left w:val="nil"/>
              <w:bottom w:val="single" w:sz="4" w:space="0" w:color="auto"/>
              <w:right w:val="nil"/>
            </w:tcBorders>
            <w:vAlign w:val="center"/>
            <w:hideMark/>
          </w:tcPr>
          <w:p w14:paraId="43E0DD53" w14:textId="77777777" w:rsidR="00736F61" w:rsidRPr="005742B8" w:rsidRDefault="00736F61" w:rsidP="003F224E">
            <w:pPr>
              <w:jc w:val="both"/>
              <w:rPr>
                <w:sz w:val="20"/>
                <w:szCs w:val="20"/>
              </w:rPr>
            </w:pPr>
            <w:r w:rsidRPr="005742B8">
              <w:rPr>
                <w:rFonts w:eastAsia="Times New Roman"/>
                <w:color w:val="auto"/>
                <w:sz w:val="20"/>
                <w:szCs w:val="20"/>
                <w:lang w:eastAsia="en-GB"/>
              </w:rPr>
              <w:t>Dummy variables to control for firm effects</w:t>
            </w:r>
          </w:p>
        </w:tc>
      </w:tr>
      <w:tr w:rsidR="00736F61" w:rsidRPr="005742B8" w14:paraId="08A4E00A" w14:textId="77777777" w:rsidTr="00621211">
        <w:trPr>
          <w:trHeight w:val="300"/>
        </w:trPr>
        <w:tc>
          <w:tcPr>
            <w:tcW w:w="1803" w:type="dxa"/>
            <w:tcBorders>
              <w:bottom w:val="single" w:sz="4" w:space="0" w:color="auto"/>
            </w:tcBorders>
            <w:vAlign w:val="center"/>
            <w:hideMark/>
          </w:tcPr>
          <w:p w14:paraId="67649B21" w14:textId="77777777" w:rsidR="00736F61" w:rsidRPr="005742B8" w:rsidRDefault="00736F61" w:rsidP="003F224E">
            <w:pPr>
              <w:rPr>
                <w:rStyle w:val="Strong"/>
                <w:sz w:val="20"/>
                <w:szCs w:val="20"/>
              </w:rPr>
            </w:pPr>
            <w:r w:rsidRPr="005742B8">
              <w:rPr>
                <w:rFonts w:eastAsia="Times New Roman"/>
                <w:sz w:val="20"/>
                <w:szCs w:val="20"/>
                <w:lang w:eastAsia="en-GB"/>
              </w:rPr>
              <w:t>Year</w:t>
            </w:r>
          </w:p>
        </w:tc>
        <w:tc>
          <w:tcPr>
            <w:tcW w:w="1461" w:type="dxa"/>
            <w:tcBorders>
              <w:top w:val="single" w:sz="4" w:space="0" w:color="auto"/>
              <w:left w:val="nil"/>
              <w:bottom w:val="single" w:sz="4" w:space="0" w:color="auto"/>
              <w:right w:val="nil"/>
            </w:tcBorders>
            <w:vAlign w:val="center"/>
            <w:hideMark/>
          </w:tcPr>
          <w:p w14:paraId="19A04218" w14:textId="77777777" w:rsidR="00736F61" w:rsidRPr="005742B8" w:rsidRDefault="00736F61" w:rsidP="003F224E">
            <w:pPr>
              <w:jc w:val="center"/>
              <w:rPr>
                <w:rStyle w:val="Strong"/>
                <w:b w:val="0"/>
                <w:bCs w:val="0"/>
                <w:sz w:val="20"/>
                <w:szCs w:val="20"/>
              </w:rPr>
            </w:pPr>
            <w:r w:rsidRPr="005742B8">
              <w:rPr>
                <w:rFonts w:eastAsia="Times New Roman"/>
                <w:sz w:val="20"/>
                <w:szCs w:val="20"/>
                <w:lang w:eastAsia="en-GB"/>
              </w:rPr>
              <w:t>Year</w:t>
            </w:r>
          </w:p>
        </w:tc>
        <w:tc>
          <w:tcPr>
            <w:tcW w:w="6234" w:type="dxa"/>
            <w:tcBorders>
              <w:top w:val="single" w:sz="4" w:space="0" w:color="auto"/>
              <w:left w:val="nil"/>
              <w:bottom w:val="single" w:sz="4" w:space="0" w:color="auto"/>
              <w:right w:val="nil"/>
            </w:tcBorders>
            <w:vAlign w:val="center"/>
            <w:hideMark/>
          </w:tcPr>
          <w:p w14:paraId="341444EC" w14:textId="77777777" w:rsidR="00736F61" w:rsidRPr="005742B8" w:rsidRDefault="00736F61" w:rsidP="003F224E">
            <w:pPr>
              <w:jc w:val="both"/>
              <w:rPr>
                <w:sz w:val="20"/>
                <w:szCs w:val="20"/>
              </w:rPr>
            </w:pPr>
            <w:r w:rsidRPr="005742B8">
              <w:rPr>
                <w:rFonts w:eastAsia="Times New Roman"/>
                <w:color w:val="auto"/>
                <w:sz w:val="20"/>
                <w:szCs w:val="20"/>
                <w:lang w:eastAsia="en-GB"/>
              </w:rPr>
              <w:t>Dummy variables to control for year effects</w:t>
            </w:r>
          </w:p>
        </w:tc>
      </w:tr>
      <w:tr w:rsidR="00736F61" w:rsidRPr="005742B8" w14:paraId="6BB16E3E" w14:textId="77777777" w:rsidTr="00621211">
        <w:trPr>
          <w:trHeight w:val="300"/>
        </w:trPr>
        <w:tc>
          <w:tcPr>
            <w:tcW w:w="1803" w:type="dxa"/>
            <w:tcBorders>
              <w:top w:val="single" w:sz="4" w:space="0" w:color="auto"/>
            </w:tcBorders>
            <w:vAlign w:val="center"/>
            <w:hideMark/>
          </w:tcPr>
          <w:p w14:paraId="38338BFE" w14:textId="77777777" w:rsidR="00736F61" w:rsidRPr="005742B8" w:rsidRDefault="00736F61" w:rsidP="003F224E">
            <w:pPr>
              <w:rPr>
                <w:rStyle w:val="Strong"/>
                <w:sz w:val="20"/>
                <w:szCs w:val="20"/>
              </w:rPr>
            </w:pPr>
            <w:r w:rsidRPr="005742B8">
              <w:rPr>
                <w:rFonts w:eastAsia="Times New Roman"/>
                <w:sz w:val="20"/>
                <w:szCs w:val="20"/>
                <w:lang w:eastAsia="en-GB"/>
              </w:rPr>
              <w:t>Capital Intensive Industry</w:t>
            </w:r>
          </w:p>
        </w:tc>
        <w:tc>
          <w:tcPr>
            <w:tcW w:w="7695" w:type="dxa"/>
            <w:gridSpan w:val="2"/>
            <w:tcBorders>
              <w:top w:val="single" w:sz="4" w:space="0" w:color="auto"/>
              <w:left w:val="nil"/>
              <w:bottom w:val="single" w:sz="4" w:space="0" w:color="auto"/>
              <w:right w:val="nil"/>
            </w:tcBorders>
            <w:vAlign w:val="center"/>
            <w:hideMark/>
          </w:tcPr>
          <w:p w14:paraId="2C8E5722" w14:textId="77777777" w:rsidR="00736F61" w:rsidRPr="005742B8" w:rsidRDefault="00736F61" w:rsidP="003F224E">
            <w:pPr>
              <w:jc w:val="both"/>
              <w:rPr>
                <w:sz w:val="20"/>
                <w:szCs w:val="20"/>
              </w:rPr>
            </w:pPr>
            <w:r w:rsidRPr="005742B8">
              <w:rPr>
                <w:rFonts w:eastAsia="Times New Roman"/>
                <w:sz w:val="20"/>
                <w:szCs w:val="20"/>
              </w:rPr>
              <w:t xml:space="preserve">Capital-intensive industries rely heavily on large-scale investments in machinery, equipment, and technology rather than on human labour. Firms in these industries often have higher fixed costs but greater automation and efficiency </w:t>
            </w:r>
            <w:sdt>
              <w:sdtPr>
                <w:rPr>
                  <w:sz w:val="20"/>
                  <w:szCs w:val="20"/>
                </w:rPr>
                <w:tag w:val="MENDELEY_CITATION_v3_eyJjaXRhdGlvbklEIjoiTUVOREVMRVlfQ0lUQVRJT05fZTM5ZjdlMDQtY2I0ZC00M2NkLWEyZTAtZWY2Y2ZmYmQ5MGZjIiwicHJvcGVydGllcyI6eyJub3RlSW5kZXgiOjB9LCJpc0VkaXRlZCI6ZmFsc2UsIm1hbnVhbE92ZXJyaWRlIjp7ImlzTWFudWFsbHlPdmVycmlkZGVuIjpmYWxzZSwiY2l0ZXByb2NUZXh0IjoiKEhlbGZheWEgPGk+ZXQgYWwuPC9pPiwgMjAyNCkiLCJtYW51YWxPdmVycmlkZVRleHQiOiIifSwiY2l0YXRpb25JdGVtcyI6W3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
                <w:id w:val="341283516"/>
                <w:placeholder>
                  <w:docPart w:val="86A8489335BC469695E5F68D29964DCB"/>
                </w:placeholder>
              </w:sdtPr>
              <w:sdtEndPr/>
              <w:sdtContent>
                <w:r w:rsidRPr="005742B8">
                  <w:rPr>
                    <w:rFonts w:eastAsia="Times New Roman"/>
                    <w:sz w:val="20"/>
                    <w:szCs w:val="20"/>
                  </w:rPr>
                  <w:t xml:space="preserve">(Helfaya </w:t>
                </w:r>
                <w:r w:rsidRPr="005742B8">
                  <w:rPr>
                    <w:rFonts w:eastAsia="Times New Roman"/>
                    <w:i/>
                    <w:iCs/>
                    <w:sz w:val="20"/>
                    <w:szCs w:val="20"/>
                  </w:rPr>
                  <w:t>et al.</w:t>
                </w:r>
                <w:r w:rsidRPr="005742B8">
                  <w:rPr>
                    <w:rFonts w:eastAsia="Times New Roman"/>
                    <w:sz w:val="20"/>
                    <w:szCs w:val="20"/>
                  </w:rPr>
                  <w:t>, 2024)</w:t>
                </w:r>
              </w:sdtContent>
            </w:sdt>
          </w:p>
        </w:tc>
      </w:tr>
      <w:tr w:rsidR="00736F61" w:rsidRPr="005742B8" w14:paraId="003BC1B1" w14:textId="77777777" w:rsidTr="00621211">
        <w:trPr>
          <w:trHeight w:val="300"/>
        </w:trPr>
        <w:tc>
          <w:tcPr>
            <w:tcW w:w="1803" w:type="dxa"/>
            <w:vAlign w:val="center"/>
            <w:hideMark/>
          </w:tcPr>
          <w:p w14:paraId="10DF37E3" w14:textId="77777777" w:rsidR="00736F61" w:rsidRPr="005742B8" w:rsidRDefault="00736F61" w:rsidP="003F224E">
            <w:pPr>
              <w:rPr>
                <w:rStyle w:val="Strong"/>
                <w:sz w:val="20"/>
                <w:szCs w:val="20"/>
              </w:rPr>
            </w:pPr>
            <w:r w:rsidRPr="005742B8">
              <w:rPr>
                <w:rFonts w:eastAsia="Times New Roman"/>
                <w:sz w:val="20"/>
                <w:szCs w:val="20"/>
                <w:lang w:eastAsia="en-GB"/>
              </w:rPr>
              <w:t>Labour-intensive Industries</w:t>
            </w:r>
          </w:p>
        </w:tc>
        <w:tc>
          <w:tcPr>
            <w:tcW w:w="7695" w:type="dxa"/>
            <w:gridSpan w:val="2"/>
            <w:tcBorders>
              <w:top w:val="single" w:sz="4" w:space="0" w:color="auto"/>
              <w:left w:val="nil"/>
              <w:bottom w:val="single" w:sz="4" w:space="0" w:color="auto"/>
              <w:right w:val="nil"/>
            </w:tcBorders>
            <w:vAlign w:val="center"/>
            <w:hideMark/>
          </w:tcPr>
          <w:p w14:paraId="5E6FC093" w14:textId="77777777" w:rsidR="00736F61" w:rsidRPr="005742B8" w:rsidRDefault="00736F61" w:rsidP="003F224E">
            <w:pPr>
              <w:jc w:val="both"/>
              <w:rPr>
                <w:sz w:val="20"/>
                <w:szCs w:val="20"/>
              </w:rPr>
            </w:pPr>
            <w:r w:rsidRPr="005742B8">
              <w:rPr>
                <w:rFonts w:eastAsia="Times New Roman"/>
                <w:sz w:val="20"/>
                <w:szCs w:val="20"/>
              </w:rPr>
              <w:t xml:space="preserve">Labour-intensive industries primarily depend on human effort rather than automated processes. These industries are more vulnerable to labour exploitation, requiring stronger governance frameworks to mitigate MS risks </w:t>
            </w:r>
            <w:sdt>
              <w:sdtPr>
                <w:rPr>
                  <w:sz w:val="20"/>
                  <w:szCs w:val="20"/>
                </w:rPr>
                <w:tag w:val="MENDELEY_CITATION_v3_eyJjaXRhdGlvbklEIjoiTUVOREVMRVlfQ0lUQVRJT05fNjg4NWM4ZDMtZTdiMy00MjQ0LWFmMDEtYzJjNTM0MjdhMTM5IiwicHJvcGVydGllcyI6eyJub3RlSW5kZXgiOjB9LCJpc0VkaXRlZCI6ZmFsc2UsIm1hbnVhbE92ZXJyaWRlIjp7ImlzTWFudWFsbHlPdmVycmlkZGVuIjpmYWxzZSwiY2l0ZXByb2NUZXh0IjoiKEhlbGZheWEgPGk+ZXQgYWwuPC9pPiwgMjAyNCkiLCJtYW51YWxPdmVycmlkZVRleHQiOiIifSwiY2l0YXRpb25JdGVtcyI6W3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
                <w:id w:val="1025174036"/>
                <w:placeholder>
                  <w:docPart w:val="C2A86BC11BD94D23BBCA3BB23E260134"/>
                </w:placeholder>
              </w:sdtPr>
              <w:sdtEndPr/>
              <w:sdtContent>
                <w:r w:rsidRPr="005742B8">
                  <w:rPr>
                    <w:rFonts w:eastAsia="Times New Roman"/>
                    <w:sz w:val="20"/>
                    <w:szCs w:val="20"/>
                  </w:rPr>
                  <w:t xml:space="preserve">(Helfaya </w:t>
                </w:r>
                <w:r w:rsidRPr="005742B8">
                  <w:rPr>
                    <w:rFonts w:eastAsia="Times New Roman"/>
                    <w:i/>
                    <w:iCs/>
                    <w:sz w:val="20"/>
                    <w:szCs w:val="20"/>
                  </w:rPr>
                  <w:t>et al.</w:t>
                </w:r>
                <w:r w:rsidRPr="005742B8">
                  <w:rPr>
                    <w:rFonts w:eastAsia="Times New Roman"/>
                    <w:sz w:val="20"/>
                    <w:szCs w:val="20"/>
                  </w:rPr>
                  <w:t>, 2024)</w:t>
                </w:r>
              </w:sdtContent>
            </w:sdt>
            <w:r w:rsidRPr="005742B8">
              <w:rPr>
                <w:sz w:val="20"/>
                <w:szCs w:val="20"/>
              </w:rPr>
              <w:t>.</w:t>
            </w:r>
          </w:p>
        </w:tc>
      </w:tr>
      <w:tr w:rsidR="00736F61" w:rsidRPr="005742B8" w14:paraId="4F7D87FA" w14:textId="77777777" w:rsidTr="00621211">
        <w:trPr>
          <w:trHeight w:val="300"/>
        </w:trPr>
        <w:tc>
          <w:tcPr>
            <w:tcW w:w="1803" w:type="dxa"/>
            <w:vAlign w:val="center"/>
            <w:hideMark/>
          </w:tcPr>
          <w:p w14:paraId="0F824133" w14:textId="77777777" w:rsidR="00736F61" w:rsidRPr="005742B8" w:rsidRDefault="00736F61" w:rsidP="003F224E">
            <w:pPr>
              <w:rPr>
                <w:rStyle w:val="Strong"/>
                <w:sz w:val="20"/>
                <w:szCs w:val="20"/>
              </w:rPr>
            </w:pPr>
            <w:r w:rsidRPr="005742B8">
              <w:rPr>
                <w:rFonts w:eastAsia="Times New Roman"/>
                <w:sz w:val="20"/>
                <w:szCs w:val="20"/>
                <w:lang w:eastAsia="en-GB"/>
              </w:rPr>
              <w:t>High-risk sectors for CMS</w:t>
            </w:r>
          </w:p>
        </w:tc>
        <w:tc>
          <w:tcPr>
            <w:tcW w:w="7695" w:type="dxa"/>
            <w:gridSpan w:val="2"/>
            <w:tcBorders>
              <w:top w:val="single" w:sz="4" w:space="0" w:color="auto"/>
              <w:left w:val="nil"/>
              <w:bottom w:val="single" w:sz="4" w:space="0" w:color="auto"/>
              <w:right w:val="nil"/>
            </w:tcBorders>
            <w:vAlign w:val="center"/>
          </w:tcPr>
          <w:p w14:paraId="130C0737" w14:textId="77777777" w:rsidR="00736F61" w:rsidRPr="005742B8" w:rsidRDefault="00736F61" w:rsidP="003F224E">
            <w:pPr>
              <w:jc w:val="both"/>
              <w:rPr>
                <w:sz w:val="20"/>
                <w:szCs w:val="20"/>
              </w:rPr>
            </w:pPr>
            <w:r w:rsidRPr="005742B8">
              <w:rPr>
                <w:rFonts w:eastAsia="Times New Roman"/>
                <w:color w:val="auto"/>
                <w:sz w:val="20"/>
                <w:szCs w:val="20"/>
                <w:lang w:eastAsia="en-GB"/>
              </w:rPr>
              <w:t xml:space="preserve">Dummy variable representing industries with a high risk of exposure to MS risks </w:t>
            </w:r>
            <w:sdt>
              <w:sdtPr>
                <w:rPr>
                  <w:rFonts w:eastAsia="Times New Roman"/>
                  <w:sz w:val="20"/>
                  <w:szCs w:val="20"/>
                  <w:lang w:eastAsia="en-GB"/>
                </w:rPr>
                <w:tag w:val="MENDELEY_CITATION_v3_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"/>
                <w:id w:val="149890001"/>
                <w:placeholder>
                  <w:docPart w:val="7134ECF1081A4F419EFA76D3441A138E"/>
                </w:placeholder>
              </w:sdtPr>
              <w:sdtEndPr>
                <w:rPr>
                  <w:rFonts w:eastAsiaTheme="minorHAnsi"/>
                  <w:lang w:eastAsia="en-US"/>
                </w:rPr>
              </w:sdtEndPr>
              <w:sdtContent>
                <w:r w:rsidRPr="005742B8">
                  <w:rPr>
                    <w:rFonts w:eastAsia="Times New Roman"/>
                    <w:sz w:val="20"/>
                    <w:szCs w:val="20"/>
                  </w:rPr>
                  <w:t xml:space="preserve">(Allam </w:t>
                </w:r>
                <w:r w:rsidRPr="005742B8">
                  <w:rPr>
                    <w:rFonts w:eastAsia="Times New Roman"/>
                    <w:i/>
                    <w:iCs/>
                    <w:sz w:val="20"/>
                    <w:szCs w:val="20"/>
                  </w:rPr>
                  <w:t>et al.</w:t>
                </w:r>
                <w:r w:rsidRPr="005742B8">
                  <w:rPr>
                    <w:rFonts w:eastAsia="Times New Roman"/>
                    <w:sz w:val="20"/>
                    <w:szCs w:val="20"/>
                  </w:rPr>
                  <w:t xml:space="preserve">, 2024; Cousins </w:t>
                </w:r>
                <w:r w:rsidRPr="005742B8">
                  <w:rPr>
                    <w:rFonts w:eastAsia="Times New Roman"/>
                    <w:i/>
                    <w:iCs/>
                    <w:sz w:val="20"/>
                    <w:szCs w:val="20"/>
                  </w:rPr>
                  <w:t>et al.</w:t>
                </w:r>
                <w:r w:rsidRPr="005742B8">
                  <w:rPr>
                    <w:rFonts w:eastAsia="Times New Roman"/>
                    <w:sz w:val="20"/>
                    <w:szCs w:val="20"/>
                  </w:rPr>
                  <w:t>, 2020)</w:t>
                </w:r>
              </w:sdtContent>
            </w:sdt>
            <w:r w:rsidRPr="005742B8">
              <w:rPr>
                <w:sz w:val="20"/>
                <w:szCs w:val="20"/>
              </w:rPr>
              <w:t>.</w:t>
            </w:r>
          </w:p>
        </w:tc>
      </w:tr>
      <w:tr w:rsidR="00736F61" w:rsidRPr="005742B8" w14:paraId="5860F507" w14:textId="77777777" w:rsidTr="00621211">
        <w:trPr>
          <w:trHeight w:val="300"/>
        </w:trPr>
        <w:tc>
          <w:tcPr>
            <w:tcW w:w="1803" w:type="dxa"/>
            <w:vAlign w:val="center"/>
            <w:hideMark/>
          </w:tcPr>
          <w:p w14:paraId="1DD65A4B" w14:textId="77777777" w:rsidR="00736F61" w:rsidRPr="005742B8" w:rsidRDefault="00736F61" w:rsidP="003F224E">
            <w:pPr>
              <w:rPr>
                <w:rStyle w:val="Strong"/>
                <w:sz w:val="20"/>
                <w:szCs w:val="20"/>
              </w:rPr>
            </w:pPr>
            <w:r w:rsidRPr="005742B8">
              <w:rPr>
                <w:rFonts w:eastAsia="Times New Roman"/>
                <w:sz w:val="20"/>
                <w:szCs w:val="20"/>
                <w:lang w:eastAsia="en-GB"/>
              </w:rPr>
              <w:t>Low-risk sectors for CMS</w:t>
            </w:r>
          </w:p>
        </w:tc>
        <w:tc>
          <w:tcPr>
            <w:tcW w:w="7695" w:type="dxa"/>
            <w:gridSpan w:val="2"/>
            <w:vMerge w:val="restart"/>
            <w:tcBorders>
              <w:top w:val="single" w:sz="4" w:space="0" w:color="auto"/>
              <w:left w:val="nil"/>
              <w:bottom w:val="single" w:sz="4" w:space="0" w:color="auto"/>
              <w:right w:val="nil"/>
            </w:tcBorders>
            <w:vAlign w:val="center"/>
            <w:hideMark/>
          </w:tcPr>
          <w:p w14:paraId="4352BE72" w14:textId="77777777" w:rsidR="00736F61" w:rsidRPr="005742B8" w:rsidRDefault="00736F61" w:rsidP="003F224E">
            <w:pPr>
              <w:jc w:val="both"/>
              <w:rPr>
                <w:sz w:val="20"/>
                <w:szCs w:val="20"/>
              </w:rPr>
            </w:pPr>
            <w:r w:rsidRPr="005742B8">
              <w:rPr>
                <w:rFonts w:eastAsia="Times New Roman"/>
                <w:color w:val="auto"/>
                <w:sz w:val="20"/>
                <w:szCs w:val="20"/>
                <w:lang w:eastAsia="en-GB"/>
              </w:rPr>
              <w:t xml:space="preserve">Dummy variable representing the industries that have a low risk of exploring MS risks </w:t>
            </w:r>
            <w:sdt>
              <w:sdtPr>
                <w:rPr>
                  <w:sz w:val="20"/>
                  <w:szCs w:val="20"/>
                </w:rPr>
                <w:tag w:val="MENDELEY_CITATION_v3_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"/>
                <w:id w:val="613690562"/>
                <w:placeholder>
                  <w:docPart w:val="ABB5E08369E641FFB6A14D7F5810441F"/>
                </w:placeholder>
              </w:sdtPr>
              <w:sdtEndPr/>
              <w:sdtContent>
                <w:r w:rsidRPr="005742B8">
                  <w:rPr>
                    <w:rFonts w:eastAsia="Times New Roman"/>
                    <w:sz w:val="20"/>
                    <w:szCs w:val="20"/>
                  </w:rPr>
                  <w:t>(Cousins et al., 2020; Allam et al., 2024)</w:t>
                </w:r>
              </w:sdtContent>
            </w:sdt>
            <w:r w:rsidRPr="005742B8">
              <w:rPr>
                <w:sz w:val="20"/>
                <w:szCs w:val="20"/>
              </w:rPr>
              <w:t>.</w:t>
            </w:r>
          </w:p>
        </w:tc>
      </w:tr>
      <w:tr w:rsidR="00736F61" w:rsidRPr="005742B8" w14:paraId="765ADD42" w14:textId="77777777" w:rsidTr="00621211">
        <w:trPr>
          <w:trHeight w:val="300"/>
        </w:trPr>
        <w:tc>
          <w:tcPr>
            <w:tcW w:w="1803" w:type="dxa"/>
            <w:tcBorders>
              <w:top w:val="nil"/>
              <w:left w:val="nil"/>
              <w:bottom w:val="single" w:sz="4" w:space="0" w:color="auto"/>
              <w:right w:val="nil"/>
            </w:tcBorders>
          </w:tcPr>
          <w:p w14:paraId="1AA4F0AD" w14:textId="77777777" w:rsidR="00736F61" w:rsidRPr="005742B8" w:rsidRDefault="00736F61" w:rsidP="003F224E">
            <w:pPr>
              <w:rPr>
                <w:rStyle w:val="Strong"/>
                <w:b w:val="0"/>
                <w:bCs w:val="0"/>
                <w:sz w:val="20"/>
                <w:szCs w:val="20"/>
              </w:rPr>
            </w:pPr>
          </w:p>
        </w:tc>
        <w:tc>
          <w:tcPr>
            <w:tcW w:w="0" w:type="auto"/>
            <w:gridSpan w:val="2"/>
            <w:vMerge/>
            <w:tcBorders>
              <w:top w:val="nil"/>
              <w:left w:val="nil"/>
              <w:bottom w:val="single" w:sz="4" w:space="0" w:color="auto"/>
              <w:right w:val="nil"/>
            </w:tcBorders>
            <w:vAlign w:val="center"/>
            <w:hideMark/>
          </w:tcPr>
          <w:p w14:paraId="44B1DC3D" w14:textId="77777777" w:rsidR="00736F61" w:rsidRPr="005742B8" w:rsidRDefault="00736F61" w:rsidP="003F224E">
            <w:pPr>
              <w:rPr>
                <w:sz w:val="20"/>
                <w:szCs w:val="20"/>
              </w:rPr>
            </w:pPr>
          </w:p>
        </w:tc>
      </w:tr>
    </w:tbl>
    <w:p w14:paraId="16E729A9" w14:textId="77777777" w:rsidR="00736F61" w:rsidRPr="00CC1FC3" w:rsidRDefault="00736F61" w:rsidP="00736F61">
      <w:pPr>
        <w:spacing w:after="0" w:line="240" w:lineRule="auto"/>
        <w:jc w:val="both"/>
        <w:rPr>
          <w:b/>
          <w:bCs/>
          <w:sz w:val="21"/>
          <w:szCs w:val="21"/>
        </w:rPr>
      </w:pPr>
    </w:p>
    <w:p w14:paraId="3D35F576" w14:textId="77777777" w:rsidR="00736F61" w:rsidRPr="00CC1FC3" w:rsidRDefault="00736F61" w:rsidP="00736F61">
      <w:pPr>
        <w:spacing w:after="0" w:line="240" w:lineRule="auto"/>
        <w:jc w:val="both"/>
      </w:pPr>
    </w:p>
    <w:p w14:paraId="5A168B21" w14:textId="77777777" w:rsidR="00736F61" w:rsidRDefault="00736F61" w:rsidP="00736F61">
      <w:pPr>
        <w:pStyle w:val="Heading4"/>
      </w:pPr>
      <w:bookmarkStart w:id="155" w:name="_Toc215651889"/>
      <w:bookmarkStart w:id="156" w:name="_Toc216557289"/>
      <w:bookmarkStart w:id="157" w:name="_Toc220848389"/>
      <w:r w:rsidRPr="00CC1FC3">
        <w:lastRenderedPageBreak/>
        <w:t>5.4.2.3 Dependent Variable:</w:t>
      </w:r>
      <w:bookmarkEnd w:id="155"/>
      <w:bookmarkEnd w:id="156"/>
      <w:bookmarkEnd w:id="157"/>
    </w:p>
    <w:p w14:paraId="2DE453F8" w14:textId="77777777" w:rsidR="00736F61" w:rsidRPr="00CC1FC3" w:rsidRDefault="00736F61" w:rsidP="00736F61">
      <w:pPr>
        <w:spacing w:line="480" w:lineRule="auto"/>
        <w:jc w:val="both"/>
        <w:rPr>
          <w:color w:val="auto"/>
        </w:rPr>
      </w:pPr>
      <w:r w:rsidRPr="00CC1FC3">
        <w:rPr>
          <w:color w:val="auto"/>
        </w:rPr>
        <w:t>The dependent variable for the meso-level quantitative analysis is the ACMS Index, developed to capture the extent of a firm’s formal governance commitments to addressing CMS risks within its operations and global supply chains. The ACMS Index is constructed as a policy-based, disclosure-driven measure that reflects the presence and strength of ACMS policies, due diligence systems, and governance mechanisms documented in publicly available reports.</w:t>
      </w:r>
    </w:p>
    <w:p w14:paraId="2B7628E9" w14:textId="77777777" w:rsidR="00736F61" w:rsidRPr="00CC1FC3" w:rsidRDefault="00736F61" w:rsidP="00736F61">
      <w:pPr>
        <w:spacing w:line="480" w:lineRule="auto"/>
        <w:ind w:firstLine="720"/>
        <w:jc w:val="both"/>
        <w:rPr>
          <w:color w:val="auto"/>
        </w:rPr>
      </w:pPr>
      <w:r w:rsidRPr="00CC1FC3">
        <w:rPr>
          <w:color w:val="auto"/>
        </w:rPr>
        <w:t xml:space="preserve">Although the ACMS Index does not directly measure the actual implementation or effectiveness of ACMS practices, it is theoretically justified within the NIT framework. NIT emphasises that organisations respond to coercive pressures (e.g., regulatory requirements such as MSAs), normative pressures (professional and societal expectations), and mimetic pressures (imitation of industry leaders) by adopting formal structures and policies that signal compliance and legitimacy. Thus, policy disclosures—despite the potential gap between rhetoric and practice—constitute a valid indicator of firms’ institutional responses to external accountability demands </w:t>
      </w:r>
      <w:sdt>
        <w:sdtPr>
          <w:tag w:val="MENDELEY_CITATION_v3_eyJjaXRhdGlvbklEIjoiTUVOREVMRVlfQ0lUQVRJT05fZjFkNGYxNWEtMzk4YS00N2FjLWEyMTAtNGRjMDU1MDFiMzU4IiwicHJvcGVydGllcyI6eyJub3RlSW5kZXgiOjB9LCJpc0VkaXRlZCI6ZmFsc2UsIm1hbnVhbE92ZXJyaWRlIjp7ImlzTWFudWFsbHlPdmVycmlkZGVuIjp0cnVlLCJjaXRlcHJvY1RleHQiOiIoTXV0aHV0aGFudHJpZ2UgPGk+ZXQgYWwuPC9pPiwgMjAyNikiLCJtYW51YWxPdmVycmlkZVRleHQiOiIoR3V0aWVycmV6LUh1ZXJ0ZXIgTyBldCBhbC4sIDIwMjM7IEthcmFtYXR6YW5pcyBldCBhbC4sIDIwMjU7IE11dGh1dGhhbnRyaWdlIGV0IGFsLiwgMjAyNik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116636808"/>
          <w:placeholder>
            <w:docPart w:val="6A2862198BF14F31BFCE1CAB55A0BBD1"/>
          </w:placeholder>
        </w:sdtPr>
        <w:sdtEndPr/>
        <w:sdtContent>
          <w:r w:rsidRPr="00A73C12">
            <w:t xml:space="preserve">(Gutierrez-Huerter O et al., 2023; </w:t>
          </w:r>
          <w:proofErr w:type="spellStart"/>
          <w:r w:rsidRPr="00A73C12">
            <w:t>Karamatzanis</w:t>
          </w:r>
          <w:proofErr w:type="spellEnd"/>
          <w:r w:rsidRPr="00A73C12">
            <w:t xml:space="preserve"> et al., 2025; Muthuthantrige et al., 2026)</w:t>
          </w:r>
        </w:sdtContent>
      </w:sdt>
      <w:r w:rsidRPr="00CC1FC3">
        <w:rPr>
          <w:color w:val="auto"/>
        </w:rPr>
        <w:t>.</w:t>
      </w:r>
    </w:p>
    <w:p w14:paraId="6F0C47FC" w14:textId="77777777" w:rsidR="00736F61" w:rsidRPr="00CC1FC3" w:rsidRDefault="00736F61" w:rsidP="00736F61">
      <w:pPr>
        <w:spacing w:line="480" w:lineRule="auto"/>
        <w:ind w:firstLine="720"/>
        <w:jc w:val="both"/>
        <w:rPr>
          <w:lang w:eastAsia="en-GB"/>
        </w:rPr>
      </w:pPr>
      <w:r w:rsidRPr="00CC1FC3">
        <w:rPr>
          <w:color w:val="auto"/>
        </w:rPr>
        <w:t xml:space="preserve">The ACMS Index is therefore conceptualised as a proxy for a firm’s formalised AMS governance architecture, capturing how organisations position themselves in relation to legal, ethical, and reputational expectations. This aligns with prior scholarship that uses disclosure-based indices to measure corporate commitments to human rights, MS, and sustainability governance </w:t>
      </w:r>
      <w:sdt>
        <w:sdtPr>
          <w:tag w:val="MENDELEY_CITATION_v3_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"/>
          <w:id w:val="-1168250164"/>
          <w:placeholder>
            <w:docPart w:val="4BC34DEC0AD64D9F98AE7208E8AFFCF6"/>
          </w:placeholder>
        </w:sdtPr>
        <w:sdtEndPr/>
        <w:sdtContent>
          <w:r w:rsidRPr="00A73C12">
            <w:t>(Burritt and Christ, 2021; Islam and Van Staden, 2021; Young and Gad, 2022)</w:t>
          </w:r>
        </w:sdtContent>
      </w:sdt>
      <w:r w:rsidRPr="00CC1FC3">
        <w:t xml:space="preserve">. </w:t>
      </w:r>
      <w:r w:rsidRPr="00CC1FC3">
        <w:rPr>
          <w:lang w:eastAsia="en-GB"/>
        </w:rPr>
        <w:t>The ACMS Index ranges from 0 to 100, with higher values representing more comprehensive policy articulation and stronger formalised commitments.</w:t>
      </w:r>
    </w:p>
    <w:p w14:paraId="45328A7A" w14:textId="77777777" w:rsidR="00736F61" w:rsidRPr="00CC1FC3" w:rsidRDefault="00736F61" w:rsidP="00736F61">
      <w:pPr>
        <w:spacing w:line="480" w:lineRule="auto"/>
        <w:ind w:firstLine="720"/>
        <w:jc w:val="both"/>
        <w:rPr>
          <w:lang w:eastAsia="en-GB"/>
        </w:rPr>
      </w:pPr>
      <w:r w:rsidRPr="00CC1FC3">
        <w:rPr>
          <w:lang w:eastAsia="en-GB"/>
        </w:rPr>
        <w:t>The ACMS Index is constructed using six policy dimensions reported in the Refinitiv Eikon database, each of which reflects a core aspect of corporate labour-rights governance:</w:t>
      </w:r>
    </w:p>
    <w:p w14:paraId="3EF754F2" w14:textId="77777777" w:rsidR="00736F61" w:rsidRPr="00CC1FC3" w:rsidRDefault="00736F61" w:rsidP="00736F61">
      <w:pPr>
        <w:pStyle w:val="ListParagraph"/>
        <w:numPr>
          <w:ilvl w:val="0"/>
          <w:numId w:val="36"/>
        </w:numPr>
        <w:shd w:val="clear" w:color="auto" w:fill="FFFFFF" w:themeFill="background1"/>
        <w:spacing w:after="0" w:line="480" w:lineRule="auto"/>
        <w:jc w:val="both"/>
        <w:rPr>
          <w:lang w:eastAsia="en-GB"/>
        </w:rPr>
      </w:pPr>
      <w:r w:rsidRPr="00CC1FC3">
        <w:rPr>
          <w:lang w:eastAsia="en-GB"/>
        </w:rPr>
        <w:lastRenderedPageBreak/>
        <w:t>Health and Safety Policy (H&amp;S)</w:t>
      </w:r>
    </w:p>
    <w:p w14:paraId="31828D99" w14:textId="77777777" w:rsidR="00736F61" w:rsidRPr="00CC1FC3" w:rsidRDefault="00736F61" w:rsidP="00736F61">
      <w:pPr>
        <w:pStyle w:val="ListParagraph"/>
        <w:numPr>
          <w:ilvl w:val="0"/>
          <w:numId w:val="36"/>
        </w:numPr>
        <w:shd w:val="clear" w:color="auto" w:fill="FFFFFF" w:themeFill="background1"/>
        <w:spacing w:after="0" w:line="480" w:lineRule="auto"/>
        <w:jc w:val="both"/>
        <w:rPr>
          <w:lang w:eastAsia="en-GB"/>
        </w:rPr>
      </w:pPr>
      <w:r w:rsidRPr="00CC1FC3">
        <w:rPr>
          <w:lang w:eastAsia="en-GB"/>
        </w:rPr>
        <w:t>Child Labour Policy (CL)</w:t>
      </w:r>
    </w:p>
    <w:p w14:paraId="787EFD92" w14:textId="77777777" w:rsidR="00736F61" w:rsidRPr="00CC1FC3" w:rsidRDefault="00736F61" w:rsidP="00736F61">
      <w:pPr>
        <w:pStyle w:val="ListParagraph"/>
        <w:numPr>
          <w:ilvl w:val="0"/>
          <w:numId w:val="36"/>
        </w:numPr>
        <w:shd w:val="clear" w:color="auto" w:fill="FFFFFF" w:themeFill="background1"/>
        <w:spacing w:after="0" w:line="480" w:lineRule="auto"/>
        <w:jc w:val="both"/>
        <w:rPr>
          <w:lang w:eastAsia="en-GB"/>
        </w:rPr>
      </w:pPr>
      <w:r w:rsidRPr="00CC1FC3">
        <w:rPr>
          <w:lang w:eastAsia="en-GB"/>
        </w:rPr>
        <w:t>Forced Labour Policy (FL)</w:t>
      </w:r>
    </w:p>
    <w:p w14:paraId="3AD2C5D2" w14:textId="77777777" w:rsidR="00736F61" w:rsidRPr="00CC1FC3" w:rsidRDefault="00736F61" w:rsidP="00736F61">
      <w:pPr>
        <w:pStyle w:val="ListParagraph"/>
        <w:numPr>
          <w:ilvl w:val="0"/>
          <w:numId w:val="36"/>
        </w:numPr>
        <w:shd w:val="clear" w:color="auto" w:fill="FFFFFF" w:themeFill="background1"/>
        <w:spacing w:after="0" w:line="480" w:lineRule="auto"/>
        <w:jc w:val="both"/>
        <w:rPr>
          <w:lang w:eastAsia="en-GB"/>
        </w:rPr>
      </w:pPr>
      <w:r w:rsidRPr="00CC1FC3">
        <w:rPr>
          <w:lang w:eastAsia="en-GB"/>
        </w:rPr>
        <w:t>Human Rights Contractor Policy (HRCON)</w:t>
      </w:r>
    </w:p>
    <w:p w14:paraId="42FBE5D3" w14:textId="77777777" w:rsidR="00736F61" w:rsidRPr="00CC1FC3" w:rsidRDefault="00736F61" w:rsidP="00736F61">
      <w:pPr>
        <w:pStyle w:val="ListParagraph"/>
        <w:numPr>
          <w:ilvl w:val="0"/>
          <w:numId w:val="36"/>
        </w:numPr>
        <w:shd w:val="clear" w:color="auto" w:fill="FFFFFF" w:themeFill="background1"/>
        <w:spacing w:after="0" w:line="480" w:lineRule="auto"/>
        <w:jc w:val="both"/>
        <w:rPr>
          <w:lang w:eastAsia="en-GB"/>
        </w:rPr>
      </w:pPr>
      <w:r w:rsidRPr="00CC1FC3">
        <w:rPr>
          <w:lang w:eastAsia="en-GB"/>
        </w:rPr>
        <w:t>Human Rights Policy (PHR)</w:t>
      </w:r>
    </w:p>
    <w:p w14:paraId="54ACB601" w14:textId="77777777" w:rsidR="00736F61" w:rsidRPr="00CC1FC3" w:rsidRDefault="00736F61" w:rsidP="00736F61">
      <w:pPr>
        <w:pStyle w:val="ListParagraph"/>
        <w:numPr>
          <w:ilvl w:val="0"/>
          <w:numId w:val="36"/>
        </w:numPr>
        <w:shd w:val="clear" w:color="auto" w:fill="FFFFFF" w:themeFill="background1"/>
        <w:spacing w:after="0" w:line="480" w:lineRule="auto"/>
        <w:jc w:val="both"/>
        <w:rPr>
          <w:lang w:eastAsia="en-GB"/>
        </w:rPr>
      </w:pPr>
      <w:r w:rsidRPr="00CC1FC3">
        <w:rPr>
          <w:lang w:eastAsia="en-GB"/>
        </w:rPr>
        <w:t>ILO and United Nations Fundamental Human Rights policy score (FHR)</w:t>
      </w:r>
    </w:p>
    <w:p w14:paraId="00CF22DA" w14:textId="77777777" w:rsidR="00736F61" w:rsidRPr="00CC1FC3" w:rsidRDefault="00736F61" w:rsidP="00736F61">
      <w:pPr>
        <w:shd w:val="clear" w:color="auto" w:fill="FFFFFF" w:themeFill="background1"/>
        <w:spacing w:after="0" w:line="480" w:lineRule="auto"/>
        <w:jc w:val="both"/>
        <w:rPr>
          <w:lang w:eastAsia="en-GB"/>
        </w:rPr>
      </w:pPr>
      <w:r w:rsidRPr="00CC1FC3">
        <w:rPr>
          <w:lang w:eastAsia="en-GB"/>
        </w:rPr>
        <w:t>Each variable is standardised on a 0–100 scale, and the AMS Index is computed as their unweighted arithmetic mean:</w:t>
      </w:r>
    </w:p>
    <w:p w14:paraId="2578BA8C" w14:textId="77777777" w:rsidR="00736F61" w:rsidRPr="00CC1FC3" w:rsidRDefault="00736F61" w:rsidP="00736F61">
      <w:pPr>
        <w:pStyle w:val="ListParagraph"/>
        <w:shd w:val="clear" w:color="auto" w:fill="FFFFFF" w:themeFill="background1"/>
        <w:spacing w:after="0" w:line="480" w:lineRule="auto"/>
        <w:ind w:left="1080"/>
        <w:jc w:val="both"/>
        <w:rPr>
          <w:lang w:eastAsia="en-GB"/>
        </w:rPr>
      </w:pPr>
      <w:r w:rsidRPr="00CC1FC3">
        <w:rPr>
          <w:lang w:eastAsia="en-GB"/>
        </w:rPr>
        <w:t>ACMS Score = (H&amp;S + CL + FL + HRCON + PHR + FHR) / 6</w:t>
      </w:r>
    </w:p>
    <w:p w14:paraId="23994CED" w14:textId="77777777" w:rsidR="00736F61" w:rsidRPr="00CC1FC3" w:rsidRDefault="00736F61" w:rsidP="00736F61">
      <w:pPr>
        <w:shd w:val="clear" w:color="auto" w:fill="FFFFFF" w:themeFill="background1"/>
        <w:spacing w:after="0" w:line="480" w:lineRule="auto"/>
        <w:jc w:val="both"/>
        <w:rPr>
          <w:lang w:eastAsia="en-GB"/>
        </w:rPr>
      </w:pPr>
      <w:r w:rsidRPr="00CC1FC3">
        <w:rPr>
          <w:lang w:eastAsia="en-GB"/>
        </w:rPr>
        <w:t xml:space="preserve">(See Table </w:t>
      </w:r>
      <w:r>
        <w:rPr>
          <w:lang w:eastAsia="en-GB"/>
        </w:rPr>
        <w:t>5.13</w:t>
      </w:r>
      <w:r w:rsidRPr="00CC1FC3">
        <w:rPr>
          <w:lang w:eastAsia="en-GB"/>
        </w:rPr>
        <w:t xml:space="preserve"> for detailed variable definitions.)</w:t>
      </w:r>
    </w:p>
    <w:p w14:paraId="4B28EAB0" w14:textId="77777777" w:rsidR="00736F61" w:rsidRPr="00CC1FC3" w:rsidRDefault="00736F61" w:rsidP="00736F61">
      <w:pPr>
        <w:shd w:val="clear" w:color="auto" w:fill="FFFFFF" w:themeFill="background1"/>
        <w:spacing w:after="0" w:line="480" w:lineRule="auto"/>
        <w:jc w:val="both"/>
        <w:rPr>
          <w:lang w:eastAsia="en-GB"/>
        </w:rPr>
      </w:pPr>
      <w:r w:rsidRPr="00CC1FC3">
        <w:rPr>
          <w:lang w:eastAsia="en-GB"/>
        </w:rPr>
        <w:t xml:space="preserve">This study’s use of policy-based indicators aligns with a growing body of scholarship that recognises that formal corporate disclosures provide a credible proxy for organisational commitment to labour rights governance, particularly in contexts where verified enforcement data are scarce or inconsistent. As demonstrated by Helfaya </w:t>
      </w:r>
      <w:r w:rsidRPr="00CC1FC3">
        <w:rPr>
          <w:i/>
          <w:iCs/>
          <w:lang w:eastAsia="en-GB"/>
        </w:rPr>
        <w:t>et al</w:t>
      </w:r>
      <w:r w:rsidRPr="00CC1FC3">
        <w:rPr>
          <w:lang w:eastAsia="en-GB"/>
        </w:rPr>
        <w:t xml:space="preserve"> (2024), policy statements on forced labour, child labour, and broader human rights protection serve as meaningful indicators of a firm’s ethical orientation and governance stance. </w:t>
      </w:r>
      <w:sdt>
        <w:sdtPr>
          <w:rPr>
            <w:lang w:eastAsia="en-GB"/>
          </w:rPr>
          <w:tag w:val="MENDELEY_CITATION_v3_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"/>
          <w:id w:val="-1986925507"/>
          <w:placeholder>
            <w:docPart w:val="4BC34DEC0AD64D9F98AE7208E8AFFCF6"/>
          </w:placeholder>
        </w:sdtPr>
        <w:sdtEndPr/>
        <w:sdtContent>
          <w:r w:rsidRPr="00A73C12">
            <w:rPr>
              <w:lang w:eastAsia="en-GB"/>
            </w:rPr>
            <w:t>Locke (2013)</w:t>
          </w:r>
        </w:sdtContent>
      </w:sdt>
      <w:r w:rsidRPr="00CC1FC3">
        <w:rPr>
          <w:lang w:eastAsia="en-GB"/>
        </w:rPr>
        <w:t xml:space="preserve"> similarly argues that organisational responses to labour exploitation typically begin with the articulation of formal policies, which often precede and shape subsequent behavioural and operational changes. By drawing on structured policy disclosures available through the Refinitiv Eikon database, this study adopts a methodologically robust approach consistent with established ESG and social accountability research. Within this thesis, the ACMS Index is therefore conceptualised not as a measure of enforcement effectiveness, but as a theoretically justified indicator of a firm’s formal governance commitment to addressing CMS risks and aligning with evolving institutional expectations.</w:t>
      </w:r>
    </w:p>
    <w:p w14:paraId="7BC0482D" w14:textId="77777777" w:rsidR="00736F61" w:rsidRPr="00CC1FC3" w:rsidRDefault="00736F61" w:rsidP="00736F61">
      <w:pPr>
        <w:shd w:val="clear" w:color="auto" w:fill="FFFFFF" w:themeFill="background1"/>
        <w:spacing w:after="0" w:line="480" w:lineRule="auto"/>
        <w:ind w:firstLine="720"/>
        <w:jc w:val="both"/>
        <w:rPr>
          <w:rStyle w:val="Strong"/>
          <w:b w:val="0"/>
          <w:bCs w:val="0"/>
        </w:rPr>
      </w:pPr>
      <w:r w:rsidRPr="00CC1FC3">
        <w:rPr>
          <w:lang w:eastAsia="en-GB"/>
        </w:rPr>
        <w:lastRenderedPageBreak/>
        <w:t>This conceptual distinction is firmly rooted in NIT, which posits that organisations frequently adopt formal structures, policies, and governance mechanisms in response to external institutional pressures from regulators, investors, civil society, and other stakeholders (</w:t>
      </w:r>
      <w:proofErr w:type="spellStart"/>
      <w:r w:rsidRPr="00CC1FC3">
        <w:rPr>
          <w:lang w:eastAsia="en-GB"/>
        </w:rPr>
        <w:t>DiM</w:t>
      </w:r>
      <w:sdt>
        <w:sdtPr>
          <w:rPr>
            <w:lang w:eastAsia="en-GB"/>
          </w:rPr>
          <w:tag w:val="MENDELEY_CITATION_v3_eyJjaXRhdGlvbklEIjoiTUVOREVMRVlfQ0lUQVRJT05fNTRiMjM0NzUtMjA5Yy00OWVhLTljNzMtZDVhNTM2ZWFlMTY5IiwicHJvcGVydGllcyI6eyJub3RlSW5kZXgiOjB9LCJpc0VkaXRlZCI6ZmFsc2UsIm1hbnVhbE92ZXJyaWRlIjp7ImlzTWFudWFsbHlPdmVycmlkZGVuIjp0cnVlLCJjaXRlcHJvY1RleHQiOiIoRGlNYWdnaW8gYW5kIFBvd2VsbCwgMTk4MzsgTnRpbSBhbmQgU29vYmFyb3llbiwgMjAxMykiLCJtYW51YWxPdmVycmlkZVRleHQiOiJnZ2lvIGFuZCBQb3dlbGwsIDE5ODM7IE50aW0gYW5kIFNvb2Jhcm95ZW4sIDIwMTMp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556434853"/>
          <w:placeholder>
            <w:docPart w:val="D4540EC29EEF40AA8CDA1B891F70DA52"/>
          </w:placeholder>
        </w:sdtPr>
        <w:sdtEndPr/>
        <w:sdtContent>
          <w:r w:rsidRPr="00A73C12">
            <w:rPr>
              <w:lang w:eastAsia="en-GB"/>
            </w:rPr>
            <w:t>ggio</w:t>
          </w:r>
          <w:proofErr w:type="spellEnd"/>
          <w:r w:rsidRPr="00A73C12">
            <w:rPr>
              <w:lang w:eastAsia="en-GB"/>
            </w:rPr>
            <w:t xml:space="preserve"> and Powell, 1983; Ntim and Soobaroyen, 2013)</w:t>
          </w:r>
        </w:sdtContent>
      </w:sdt>
      <w:r w:rsidRPr="00CC1FC3">
        <w:rPr>
          <w:lang w:eastAsia="en-GB"/>
        </w:rPr>
        <w:t>. Such policy adoption—</w:t>
      </w:r>
      <w:proofErr w:type="gramStart"/>
      <w:r w:rsidRPr="00CC1FC3">
        <w:rPr>
          <w:lang w:eastAsia="en-GB"/>
        </w:rPr>
        <w:t>whether or not</w:t>
      </w:r>
      <w:proofErr w:type="gramEnd"/>
      <w:r w:rsidRPr="00CC1FC3">
        <w:rPr>
          <w:lang w:eastAsia="en-GB"/>
        </w:rPr>
        <w:t xml:space="preserve"> it translates into substantive operational change—constitutes a form of institutional isomorphism aimed at signalling conformity with prevailing social, regulatory, and normative expectations. In this regard, the existence of formal ACMS policies reflects a firm’s efforts to secure organisational legitimacy, manage reputational exposure, and align with globally recognised governance standards, including SDG Target 8.7 and emerging mandatory human r</w:t>
      </w:r>
      <w:r>
        <w:rPr>
          <w:lang w:eastAsia="en-GB"/>
        </w:rPr>
        <w:t>ight due diligence frameworks (</w:t>
      </w:r>
      <w:r>
        <w:rPr>
          <w:rFonts w:eastAsia="Times New Roman"/>
        </w:rPr>
        <w:t xml:space="preserve">Allain </w:t>
      </w:r>
      <w:r>
        <w:rPr>
          <w:rFonts w:eastAsia="Times New Roman"/>
          <w:i/>
          <w:iCs/>
        </w:rPr>
        <w:t>et al.</w:t>
      </w:r>
      <w:r>
        <w:rPr>
          <w:rFonts w:eastAsia="Times New Roman"/>
        </w:rPr>
        <w:t xml:space="preserve">, 2013; Vidal </w:t>
      </w:r>
      <w:r>
        <w:rPr>
          <w:rFonts w:eastAsia="Times New Roman"/>
          <w:i/>
          <w:iCs/>
        </w:rPr>
        <w:t>et al.</w:t>
      </w:r>
      <w:r>
        <w:rPr>
          <w:rFonts w:eastAsia="Times New Roman"/>
        </w:rPr>
        <w:t>, 2023)</w:t>
      </w:r>
      <w:sdt>
        <w:sdtPr>
          <w:rPr>
            <w:i/>
            <w:lang w:eastAsia="en-GB"/>
          </w:rPr>
          <w:tag w:val="MENDELEY_CITATION_v3_eyJjaXRhdGlvbklEIjoiTUVOREVMRVlfQ0lUQVRJT05fZTQzYzFlYjAtOGI3YS00ZGM2LTkwMGUtYzk1NDlkMjY4YTdmIiwicHJvcGVydGllcyI6eyJub3RlSW5kZXgiOjB9LCJpc0VkaXRlZCI6ZmFsc2UsIm1hbnVhbE92ZXJyaWRlIjp7ImlzTWFudWFsbHlPdmVycmlkZGVuIjp0cnVlLCJjaXRlcHJvY1RleHQiOiIoQWxsYWluIDxpPmV0IGFsLjwvaT4sIDIwMTM7IFZpZGFsIDxpPmV0IGFsLjwvaT4sIDIwMjMpIiwibWFudWFsT3ZlcnJpZGVUZXh0IjoidCBhbC4sIDIwMTM7IFZpZGFsIGV0IGFsLiwgMjAyMykifSwiY2l0YXRpb25JdGVtcyI6W3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"/>
          <w:id w:val="2063124589"/>
          <w:placeholder>
            <w:docPart w:val="5D51104BC1EA49128B9D19F21A1F6FF5"/>
          </w:placeholder>
        </w:sdtPr>
        <w:sdtEndPr>
          <w:rPr>
            <w:rStyle w:val="Strong"/>
            <w:b/>
            <w:bCs/>
            <w:lang w:eastAsia="en-US"/>
          </w:rPr>
        </w:sdtEndPr>
        <w:sdtContent>
          <w:r w:rsidRPr="00A73C12">
            <w:rPr>
              <w:rFonts w:eastAsia="Times New Roman"/>
              <w:i/>
              <w:iCs/>
            </w:rPr>
            <w:t>t al., 2013; Vidal et al., 2023)</w:t>
          </w:r>
        </w:sdtContent>
      </w:sdt>
      <w:r w:rsidRPr="00CC1FC3">
        <w:rPr>
          <w:rStyle w:val="Strong"/>
          <w:b w:val="0"/>
          <w:bCs w:val="0"/>
        </w:rPr>
        <w:t>.</w:t>
      </w:r>
    </w:p>
    <w:p w14:paraId="1A9DCD9A" w14:textId="77777777" w:rsidR="00736F61" w:rsidRDefault="00736F61" w:rsidP="00736F61">
      <w:pPr>
        <w:shd w:val="clear" w:color="auto" w:fill="FFFFFF" w:themeFill="background1"/>
        <w:spacing w:after="0" w:line="480" w:lineRule="auto"/>
        <w:ind w:firstLine="720"/>
        <w:jc w:val="both"/>
        <w:rPr>
          <w:lang w:eastAsia="en-GB"/>
        </w:rPr>
      </w:pPr>
      <w:r w:rsidRPr="00CC1FC3">
        <w:rPr>
          <w:lang w:eastAsia="en-GB"/>
        </w:rPr>
        <w:t>While this study recognises the inherent limitations of policy-based measures—particularly the risk of symbolic adoption without corresponding action—the presence and specification of such policies remain valuable first-order indicators of a firm’s ethical orientation and governance intent. Policy disclosures provide a transparent, standardised, and cross-comparable basis for examining corporate commitments in contexts where direct evidence of enforcement is often unavailable or inconsistent. Accordingly, the ACMS score is employed in this thesis as a proxy for corporate commitment to AMS governance, capturing the extent to which firms institutionalise internal accountability mechanisms and align with international labour rights expectations, such as those embedded in the EU-CSDDD.</w:t>
      </w:r>
    </w:p>
    <w:p w14:paraId="32E54C1C" w14:textId="77777777" w:rsidR="00736F61" w:rsidRDefault="00736F61" w:rsidP="00736F61">
      <w:pPr>
        <w:pStyle w:val="Heading4"/>
      </w:pPr>
      <w:bookmarkStart w:id="158" w:name="_Toc215651890"/>
      <w:bookmarkStart w:id="159" w:name="_Toc216557290"/>
      <w:bookmarkStart w:id="160" w:name="_Toc220848390"/>
      <w:r w:rsidRPr="00CC1FC3">
        <w:t>5.4.2.4 Independent Variables</w:t>
      </w:r>
      <w:bookmarkEnd w:id="158"/>
      <w:bookmarkEnd w:id="159"/>
      <w:bookmarkEnd w:id="160"/>
    </w:p>
    <w:p w14:paraId="21A5ACBC" w14:textId="77777777" w:rsidR="00736F61" w:rsidRPr="00CC1FC3" w:rsidRDefault="00736F61" w:rsidP="00736F61">
      <w:pPr>
        <w:spacing w:after="0" w:line="480" w:lineRule="auto"/>
        <w:jc w:val="both"/>
        <w:rPr>
          <w:lang w:eastAsia="en-GB"/>
        </w:rPr>
      </w:pPr>
      <w:r w:rsidRPr="00CC1FC3">
        <w:rPr>
          <w:lang w:eastAsia="en-GB"/>
        </w:rPr>
        <w:t>SGI index, a composite indicator (</w:t>
      </w:r>
      <w:r w:rsidRPr="00CC1FC3">
        <w:rPr>
          <w:rStyle w:val="Strong"/>
          <w:rFonts w:eastAsiaTheme="majorEastAsia"/>
          <w:b w:val="0"/>
          <w:bCs w:val="0"/>
        </w:rPr>
        <w:t>CSRST, BGD, CSRC,</w:t>
      </w:r>
      <w:r w:rsidRPr="00CC1FC3">
        <w:rPr>
          <w:b/>
          <w:bCs/>
        </w:rPr>
        <w:t xml:space="preserve"> </w:t>
      </w:r>
      <w:r w:rsidRPr="00CC1FC3">
        <w:rPr>
          <w:rStyle w:val="Strong"/>
          <w:rFonts w:eastAsiaTheme="majorEastAsia"/>
          <w:b w:val="0"/>
          <w:bCs w:val="0"/>
        </w:rPr>
        <w:t>CSRREP, CSRA, CSP, and CSRAW) developed</w:t>
      </w:r>
      <w:r w:rsidRPr="00CC1FC3">
        <w:rPr>
          <w:lang w:eastAsia="en-GB"/>
        </w:rPr>
        <w:t xml:space="preserve"> to capture the extent to which firms embed sustainability-related governance structures and practices within their organisational systems. The SGI index reflects how companies internalise sustainability principles across strategic, managerial, and accountability </w:t>
      </w:r>
      <w:r w:rsidRPr="00CC1FC3">
        <w:rPr>
          <w:lang w:eastAsia="en-GB"/>
        </w:rPr>
        <w:lastRenderedPageBreak/>
        <w:t xml:space="preserve">processes. It aligns with the assumptions of NIT, which suggests that organisations adopt governance structures in response to institutionalised expectations and pressures—whether coercive, normative, or mimetic—aimed at securing legitimacy and reducing uncertainty </w:t>
      </w:r>
      <w:sdt>
        <w:sdtPr>
          <w:rPr>
            <w:lang w:eastAsia="en-GB"/>
          </w:rPr>
          <w:tag w:val="MENDELEY_CITATION_v3_eyJjaXRhdGlvbklEIjoiTUVOREVMRVlfQ0lUQVRJT05fM2JkZjdlMzAtMzkzMS00YmNhLWJlZjEtOWZiNWUwNjlkNGYw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433938512"/>
          <w:placeholder>
            <w:docPart w:val="CEAE3D35140241A39680F6EF79DBD152"/>
          </w:placeholder>
        </w:sdtPr>
        <w:sdtEndPr/>
        <w:sdtContent>
          <w:r w:rsidRPr="00A73C12">
            <w:rPr>
              <w:lang w:eastAsia="en-GB"/>
            </w:rPr>
            <w:t>(DiMaggio and Powell, 1983; Scott, 2013)</w:t>
          </w:r>
        </w:sdtContent>
      </w:sdt>
      <w:r w:rsidRPr="00CC1FC3">
        <w:rPr>
          <w:lang w:eastAsia="en-GB"/>
        </w:rPr>
        <w:t xml:space="preserve">. </w:t>
      </w:r>
      <w:r w:rsidRPr="00CC1FC3">
        <w:t>The SGI index is constructed by averaging six governance components, each scored from 0 to 100:</w:t>
      </w:r>
    </w:p>
    <w:p w14:paraId="6BE0649D" w14:textId="77777777" w:rsidR="00736F61" w:rsidRPr="00CC1FC3" w:rsidRDefault="00736F61" w:rsidP="00736F61">
      <w:pPr>
        <w:pStyle w:val="NormalWeb"/>
        <w:spacing w:before="0" w:beforeAutospacing="0" w:after="0" w:afterAutospacing="0" w:line="480" w:lineRule="auto"/>
        <w:jc w:val="both"/>
        <w:rPr>
          <w:rStyle w:val="katex-mathml"/>
        </w:rPr>
      </w:pPr>
      <w:r w:rsidRPr="00CC1FC3">
        <w:rPr>
          <w:rStyle w:val="katex-mathml"/>
        </w:rPr>
        <w:t>SGIs = (CSRST+BGD+CSRC+CSRA+CSP+CSRAW+CSRREP)/7</w:t>
      </w:r>
    </w:p>
    <w:p w14:paraId="1A80BD58" w14:textId="77777777" w:rsidR="00736F61" w:rsidRPr="00CC1FC3" w:rsidRDefault="00736F61" w:rsidP="00736F61">
      <w:pPr>
        <w:pStyle w:val="NormalWeb"/>
        <w:spacing w:before="0" w:beforeAutospacing="0" w:after="0" w:afterAutospacing="0" w:line="480" w:lineRule="auto"/>
        <w:jc w:val="both"/>
        <w:rPr>
          <w:rStyle w:val="katex-mathml"/>
        </w:rPr>
      </w:pPr>
      <w:r w:rsidRPr="00CC1FC3">
        <w:rPr>
          <w:rStyle w:val="katex-mathml"/>
        </w:rPr>
        <w:t xml:space="preserve">See Table </w:t>
      </w:r>
      <w:r>
        <w:rPr>
          <w:rStyle w:val="katex-mathml"/>
        </w:rPr>
        <w:t>5</w:t>
      </w:r>
      <w:r w:rsidRPr="00CC1FC3">
        <w:rPr>
          <w:rStyle w:val="katex-mathml"/>
        </w:rPr>
        <w:t>.</w:t>
      </w:r>
      <w:r>
        <w:rPr>
          <w:rStyle w:val="katex-mathml"/>
        </w:rPr>
        <w:t>13</w:t>
      </w:r>
      <w:r w:rsidRPr="00CC1FC3">
        <w:rPr>
          <w:rStyle w:val="katex-mathml"/>
        </w:rPr>
        <w:t xml:space="preserve"> for the detailed definitions of these variables. </w:t>
      </w:r>
    </w:p>
    <w:p w14:paraId="57EC986F" w14:textId="77777777" w:rsidR="00736F61" w:rsidRDefault="00736F61" w:rsidP="00736F61">
      <w:pPr>
        <w:pStyle w:val="Heading4"/>
      </w:pPr>
      <w:bookmarkStart w:id="161" w:name="_Toc215651891"/>
      <w:bookmarkStart w:id="162" w:name="_Toc216557291"/>
      <w:bookmarkStart w:id="163" w:name="_Toc220848391"/>
      <w:r w:rsidRPr="00CC1FC3">
        <w:rPr>
          <w:rStyle w:val="Strong"/>
          <w:rFonts w:cs="Times New Roman"/>
          <w:b/>
        </w:rPr>
        <w:t>5.4.2.5</w:t>
      </w:r>
      <w:r w:rsidRPr="00CC1FC3">
        <w:t xml:space="preserve"> Control Variables</w:t>
      </w:r>
      <w:bookmarkEnd w:id="161"/>
      <w:bookmarkEnd w:id="162"/>
      <w:bookmarkEnd w:id="163"/>
    </w:p>
    <w:p w14:paraId="2AA0AE65" w14:textId="77777777" w:rsidR="00736F61" w:rsidRPr="00CC1FC3" w:rsidRDefault="00736F61" w:rsidP="00736F61">
      <w:pPr>
        <w:pStyle w:val="NormalWeb"/>
        <w:spacing w:before="0" w:beforeAutospacing="0" w:after="0" w:afterAutospacing="0" w:line="480" w:lineRule="auto"/>
        <w:jc w:val="both"/>
        <w:rPr>
          <w:rStyle w:val="Strong"/>
          <w:rFonts w:eastAsiaTheme="majorEastAsia"/>
          <w:b w:val="0"/>
          <w:bCs w:val="0"/>
        </w:rPr>
      </w:pPr>
      <w:r w:rsidRPr="00CC1FC3">
        <w:rPr>
          <w:color w:val="auto"/>
        </w:rPr>
        <w:t xml:space="preserve">To enhance the robustness </w:t>
      </w:r>
      <w:r w:rsidRPr="00CC1FC3">
        <w:t xml:space="preserve">of the results, the study incorporates control variables for corporate governance, financial performance, and firm size, while accounting for firm-specific factors that may influence the effectiveness of ACMS policy implementation. </w:t>
      </w:r>
      <w:r w:rsidRPr="00CC1FC3">
        <w:rPr>
          <w:rStyle w:val="Strong"/>
          <w:rFonts w:eastAsiaTheme="majorEastAsia"/>
          <w:b w:val="0"/>
          <w:bCs w:val="0"/>
        </w:rPr>
        <w:t>Board Independence (BINDP)</w:t>
      </w:r>
      <w:r w:rsidRPr="00CC1FC3">
        <w:t xml:space="preserve"> is included as a control variable because independent directors are often associated with stronger oversight and accountability, which can enhance a firm’s commitment to adopt AMS practices </w:t>
      </w:r>
      <w:sdt>
        <w:sdtPr>
          <w:tag w:val="MENDELEY_CITATION_v3_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V19"/>
          <w:id w:val="683250406"/>
          <w:placeholder>
            <w:docPart w:val="45B43145487847F896B5BB07D777AEFD"/>
          </w:placeholder>
        </w:sdtPr>
        <w:sdtEndPr/>
        <w:sdtContent>
          <w:r w:rsidRPr="00A73C12">
            <w:t xml:space="preserve">(Allam </w:t>
          </w:r>
          <w:r w:rsidRPr="00A73C12">
            <w:rPr>
              <w:i/>
              <w:iCs/>
            </w:rPr>
            <w:t>et al.</w:t>
          </w:r>
          <w:r w:rsidRPr="00A73C12">
            <w:t>, 2024)</w:t>
          </w:r>
        </w:sdtContent>
      </w:sdt>
      <w:r w:rsidRPr="00CC1FC3">
        <w:t xml:space="preserve">. </w:t>
      </w:r>
      <w:r w:rsidRPr="00CC1FC3">
        <w:rPr>
          <w:rStyle w:val="Strong"/>
          <w:rFonts w:eastAsiaTheme="majorEastAsia"/>
          <w:b w:val="0"/>
          <w:bCs w:val="0"/>
        </w:rPr>
        <w:t>Board size (BSIZE) is also controlled</w:t>
      </w:r>
      <w:r w:rsidRPr="00CC1FC3">
        <w:t xml:space="preserve">, as larger boards may either improve decision-making due to diverse perspectives or create inefficiencies that hinder effective oversight. The </w:t>
      </w:r>
      <w:r w:rsidRPr="00CC1FC3">
        <w:rPr>
          <w:rStyle w:val="Strong"/>
          <w:rFonts w:eastAsiaTheme="majorEastAsia"/>
          <w:b w:val="0"/>
          <w:bCs w:val="0"/>
        </w:rPr>
        <w:t>profitability of a firm,</w:t>
      </w:r>
      <w:r w:rsidRPr="00CC1FC3">
        <w:t xml:space="preserve"> measured by the </w:t>
      </w:r>
      <w:r w:rsidRPr="00CC1FC3">
        <w:rPr>
          <w:rStyle w:val="Strong"/>
          <w:rFonts w:eastAsiaTheme="majorEastAsia"/>
          <w:b w:val="0"/>
          <w:bCs w:val="0"/>
        </w:rPr>
        <w:t>log of return on assets (</w:t>
      </w:r>
      <w:proofErr w:type="spellStart"/>
      <w:r w:rsidRPr="00CC1FC3">
        <w:rPr>
          <w:rStyle w:val="Strong"/>
          <w:rFonts w:eastAsiaTheme="majorEastAsia"/>
          <w:b w:val="0"/>
          <w:bCs w:val="0"/>
        </w:rPr>
        <w:t>Log_ROA</w:t>
      </w:r>
      <w:proofErr w:type="spellEnd"/>
      <w:r w:rsidRPr="00CC1FC3">
        <w:rPr>
          <w:b/>
          <w:bCs/>
        </w:rPr>
        <w:t>),</w:t>
      </w:r>
      <w:r w:rsidRPr="00CC1FC3">
        <w:t xml:space="preserve"> is another key control variable, as more profitable firms may have greater financial resources to invest in </w:t>
      </w:r>
      <w:r w:rsidRPr="00CC1FC3">
        <w:rPr>
          <w:rStyle w:val="Strong"/>
          <w:rFonts w:eastAsiaTheme="majorEastAsia"/>
          <w:b w:val="0"/>
          <w:bCs w:val="0"/>
        </w:rPr>
        <w:t>AMS initiatives.</w:t>
      </w:r>
    </w:p>
    <w:p w14:paraId="714F2AE3" w14:textId="77777777" w:rsidR="00736F61" w:rsidRPr="00CC1FC3" w:rsidRDefault="00736F61" w:rsidP="00736F61">
      <w:pPr>
        <w:spacing w:after="0" w:line="480" w:lineRule="auto"/>
        <w:ind w:firstLine="720"/>
        <w:jc w:val="both"/>
        <w:rPr>
          <w:rFonts w:eastAsia="Times New Roman"/>
          <w:lang w:eastAsia="en-GB"/>
        </w:rPr>
      </w:pPr>
      <w:r w:rsidRPr="00CC1FC3">
        <w:t xml:space="preserve">Additionally, the study includes </w:t>
      </w:r>
      <w:r w:rsidRPr="00CC1FC3">
        <w:rPr>
          <w:rStyle w:val="Strong"/>
          <w:rFonts w:eastAsiaTheme="majorEastAsia"/>
          <w:b w:val="0"/>
          <w:bCs w:val="0"/>
        </w:rPr>
        <w:t>firm size</w:t>
      </w:r>
      <w:r w:rsidRPr="00CC1FC3">
        <w:rPr>
          <w:b/>
          <w:bCs/>
        </w:rPr>
        <w:t xml:space="preserve">, </w:t>
      </w:r>
      <w:r w:rsidRPr="00CC1FC3">
        <w:t>measured as the l</w:t>
      </w:r>
      <w:r w:rsidRPr="00CC1FC3">
        <w:rPr>
          <w:rStyle w:val="Strong"/>
          <w:rFonts w:eastAsiaTheme="majorEastAsia"/>
          <w:b w:val="0"/>
          <w:bCs w:val="0"/>
        </w:rPr>
        <w:t>og of full-time employees</w:t>
      </w:r>
      <w:r w:rsidRPr="00CC1FC3">
        <w:rPr>
          <w:rStyle w:val="Strong"/>
          <w:rFonts w:eastAsiaTheme="majorEastAsia"/>
        </w:rPr>
        <w:t xml:space="preserve"> </w:t>
      </w:r>
      <w:r w:rsidRPr="00CC1FC3">
        <w:rPr>
          <w:rStyle w:val="Strong"/>
          <w:rFonts w:eastAsiaTheme="majorEastAsia"/>
          <w:b w:val="0"/>
          <w:bCs w:val="0"/>
        </w:rPr>
        <w:t>(</w:t>
      </w:r>
      <w:proofErr w:type="spellStart"/>
      <w:r w:rsidRPr="00CC1FC3">
        <w:rPr>
          <w:rStyle w:val="Strong"/>
          <w:rFonts w:eastAsiaTheme="majorEastAsia"/>
          <w:b w:val="0"/>
          <w:bCs w:val="0"/>
        </w:rPr>
        <w:t>Log_FTE</w:t>
      </w:r>
      <w:proofErr w:type="spellEnd"/>
      <w:r w:rsidRPr="00CC1FC3">
        <w:rPr>
          <w:rStyle w:val="Strong"/>
          <w:rFonts w:eastAsiaTheme="majorEastAsia"/>
          <w:b w:val="0"/>
          <w:bCs w:val="0"/>
        </w:rPr>
        <w:t>)</w:t>
      </w:r>
      <w:r w:rsidRPr="00CC1FC3">
        <w:rPr>
          <w:b/>
          <w:bCs/>
        </w:rPr>
        <w:t>.</w:t>
      </w:r>
      <w:r w:rsidRPr="00CC1FC3">
        <w:t xml:space="preserve"> It helps to account for differences in operational complexity. Larger firms may have more resources to implement AMS strategies, but may also face challenges in managing complex, global supply chains </w:t>
      </w:r>
      <w:sdt>
        <w:sdtPr>
          <w:tag w:val="MENDELEY_CITATION_v3_eyJjaXRhdGlvbklEIjoiTUVOREVMRVlfQ0lUQVRJT05fZTFkNWRjNmEtMTBmYS00Y2ZlLWI1MDQtMzY1MWNlMDVhMGZkIiwicHJvcGVydGllcyI6eyJub3RlSW5kZXgiOjB9LCJpc0VkaXRlZCI6ZmFsc2UsIm1hbnVhbE92ZXJyaWRlIjp7ImlzTWFudWFsbHlPdmVycmlkZGVuIjp0cnVlLCJjaXRlcHJvY1RleHQiOiIoR2xvYmFsIFJlcG9ydGluZyBJbml0aWF0aXZlIChHUkkpIGFuZCBSZXNwb25zaWJsZSBMYWJvdXIgSW5pdGlhdGl2ZSAoUkxJKSwgMjAxOSkiLCJtYW51YWxPdmVycmlkZVRleHQiOiIoR1JJIGFuZCBSTEksIDIwMTkp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
          <w:id w:val="-1789278810"/>
          <w:placeholder>
            <w:docPart w:val="7F196E57CE5049B18C3BE09A1978FD82"/>
          </w:placeholder>
        </w:sdtPr>
        <w:sdtEndPr/>
        <w:sdtContent>
          <w:r w:rsidRPr="00A73C12">
            <w:t>(GRI and RLI, 2019)</w:t>
          </w:r>
        </w:sdtContent>
      </w:sdt>
      <w:r w:rsidRPr="00CC1FC3">
        <w:t xml:space="preserve">. </w:t>
      </w:r>
      <w:r w:rsidRPr="00CC1FC3">
        <w:rPr>
          <w:rStyle w:val="Strong"/>
          <w:rFonts w:eastAsiaTheme="majorEastAsia"/>
          <w:b w:val="0"/>
          <w:bCs w:val="0"/>
        </w:rPr>
        <w:t>Board Skill Diversity (BSKIL)</w:t>
      </w:r>
      <w:r w:rsidRPr="00CC1FC3">
        <w:t xml:space="preserve"> is also controlled for, as boards with a higher proportion of directors with expertise in sustainability and ethics are more likely to implement robust governance structures, thereby contributing to </w:t>
      </w:r>
      <w:r w:rsidRPr="00CC1FC3">
        <w:lastRenderedPageBreak/>
        <w:t xml:space="preserve">the </w:t>
      </w:r>
      <w:r w:rsidRPr="00C12DCB">
        <w:t>effectiveness of ACMS</w:t>
      </w:r>
      <w:r w:rsidRPr="00C12DCB">
        <w:rPr>
          <w:rStyle w:val="Strong"/>
          <w:rFonts w:eastAsiaTheme="majorEastAsia"/>
          <w:b w:val="0"/>
          <w:bCs w:val="0"/>
        </w:rPr>
        <w:t xml:space="preserve"> efforts</w:t>
      </w:r>
      <w:r w:rsidRPr="00C12DCB">
        <w:rPr>
          <w:b/>
          <w:bCs/>
        </w:rPr>
        <w:t>.</w:t>
      </w:r>
      <w:r w:rsidRPr="00C12DCB">
        <w:t xml:space="preserve"> Detailed definitions of the control variables are presented in Table 5.13.</w:t>
      </w:r>
    </w:p>
    <w:p w14:paraId="052D2A46" w14:textId="77777777" w:rsidR="00736F61" w:rsidRPr="00CC1FC3" w:rsidRDefault="00736F61" w:rsidP="00736F61">
      <w:pPr>
        <w:pStyle w:val="Heading4"/>
      </w:pPr>
      <w:bookmarkStart w:id="164" w:name="_Toc215651892"/>
      <w:bookmarkStart w:id="165" w:name="_Toc216557292"/>
      <w:bookmarkStart w:id="166" w:name="_Toc220848392"/>
      <w:r w:rsidRPr="00CC1FC3">
        <w:t>5.4.2.6 Model Specification</w:t>
      </w:r>
      <w:bookmarkEnd w:id="164"/>
      <w:bookmarkEnd w:id="165"/>
      <w:bookmarkEnd w:id="166"/>
    </w:p>
    <w:p w14:paraId="30BB70CF" w14:textId="77777777" w:rsidR="00736F61" w:rsidRPr="00CC1FC3" w:rsidRDefault="00736F61" w:rsidP="00736F61">
      <w:pPr>
        <w:spacing w:after="0" w:line="480" w:lineRule="auto"/>
        <w:jc w:val="both"/>
      </w:pPr>
      <w:r w:rsidRPr="00CC1FC3">
        <w:t xml:space="preserve">This study primarily employs two-stage least squares (2SLS) regression models to investigate the causal impact of firm-level sustainability governance mechanisms on their performance in addressing MS risks, as measured by the CAMS index. The 2SLS approach is chosen to address potential </w:t>
      </w:r>
      <w:r w:rsidRPr="00CC1FC3">
        <w:rPr>
          <w:rStyle w:val="Strong"/>
          <w:b w:val="0"/>
          <w:bCs w:val="0"/>
        </w:rPr>
        <w:t>endogeneity concerns</w:t>
      </w:r>
      <w:r w:rsidRPr="00CC1FC3">
        <w:t xml:space="preserve">, such as </w:t>
      </w:r>
      <w:r w:rsidRPr="00CC1FC3">
        <w:rPr>
          <w:rStyle w:val="Strong"/>
          <w:b w:val="0"/>
          <w:bCs w:val="0"/>
        </w:rPr>
        <w:t>reverse causality</w:t>
      </w:r>
      <w:r w:rsidRPr="00CC1FC3">
        <w:rPr>
          <w:b/>
          <w:bCs/>
        </w:rPr>
        <w:t xml:space="preserve">, </w:t>
      </w:r>
      <w:r w:rsidRPr="00CC1FC3">
        <w:rPr>
          <w:rStyle w:val="Strong"/>
          <w:b w:val="0"/>
          <w:bCs w:val="0"/>
        </w:rPr>
        <w:t>simultaneity</w:t>
      </w:r>
      <w:r w:rsidRPr="00CC1FC3">
        <w:t xml:space="preserve">, and </w:t>
      </w:r>
      <w:r w:rsidRPr="00CC1FC3">
        <w:rPr>
          <w:rStyle w:val="Strong"/>
          <w:b w:val="0"/>
          <w:bCs w:val="0"/>
        </w:rPr>
        <w:t>omitted variable</w:t>
      </w:r>
      <w:r w:rsidRPr="00CC1FC3">
        <w:rPr>
          <w:rStyle w:val="Strong"/>
        </w:rPr>
        <w:t xml:space="preserve"> </w:t>
      </w:r>
      <w:r w:rsidRPr="00CC1FC3">
        <w:rPr>
          <w:rStyle w:val="Strong"/>
          <w:b w:val="0"/>
          <w:bCs w:val="0"/>
        </w:rPr>
        <w:t>bias</w:t>
      </w:r>
      <w:r w:rsidRPr="00CC1FC3">
        <w:t xml:space="preserve">, which are common in corporate governance studies </w:t>
      </w:r>
      <w:sdt>
        <w:sdtPr>
          <w:tag w:val="MENDELEY_CITATION_v3_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"/>
          <w:id w:val="1366644997"/>
          <w:placeholder>
            <w:docPart w:val="92E18D59728547E3924ADB2A4CB1B9AC"/>
          </w:placeholder>
        </w:sdtPr>
        <w:sdtEndPr/>
        <w:sdtContent>
          <w:r w:rsidRPr="00A73C12">
            <w:rPr>
              <w:rFonts w:eastAsia="Times New Roman"/>
            </w:rPr>
            <w:t>(</w:t>
          </w:r>
          <w:proofErr w:type="spellStart"/>
          <w:r w:rsidRPr="00A73C12">
            <w:rPr>
              <w:rFonts w:eastAsia="Times New Roman"/>
            </w:rPr>
            <w:t>Wintoki</w:t>
          </w:r>
          <w:proofErr w:type="spellEnd"/>
          <w:r w:rsidRPr="00A73C12">
            <w:rPr>
              <w:rFonts w:eastAsia="Times New Roman"/>
            </w:rPr>
            <w:t xml:space="preserve"> </w:t>
          </w:r>
          <w:r w:rsidRPr="00A73C12">
            <w:rPr>
              <w:rFonts w:eastAsia="Times New Roman"/>
              <w:i/>
              <w:iCs/>
            </w:rPr>
            <w:t>et al.</w:t>
          </w:r>
          <w:r w:rsidRPr="00A73C12">
            <w:rPr>
              <w:rFonts w:eastAsia="Times New Roman"/>
            </w:rPr>
            <w:t>, 2012)</w:t>
          </w:r>
        </w:sdtContent>
      </w:sdt>
      <w:r w:rsidRPr="00CC1FC3">
        <w:t>. The empirical model is specified as follows:</w:t>
      </w:r>
    </w:p>
    <w:p w14:paraId="21E38394" w14:textId="77777777" w:rsidR="00736F61" w:rsidRPr="00CC1FC3" w:rsidRDefault="00736F61" w:rsidP="00736F61">
      <w:pPr>
        <w:spacing w:after="0" w:line="240" w:lineRule="auto"/>
        <w:ind w:left="720"/>
        <w:rPr>
          <w:rFonts w:eastAsia="Times New Roman"/>
          <w:vertAlign w:val="subscript"/>
          <w:lang w:eastAsia="en-GB"/>
        </w:rPr>
      </w:pPr>
      <w:r w:rsidRPr="00CC1FC3">
        <w:rPr>
          <w:rFonts w:eastAsia="Times New Roman"/>
          <w:vertAlign w:val="superscript"/>
          <w:lang w:eastAsia="en-GB"/>
        </w:rPr>
        <w:t xml:space="preserve">                                                   </w:t>
      </w:r>
      <w:r w:rsidRPr="00CC1FC3">
        <w:rPr>
          <w:rFonts w:eastAsia="Times New Roman"/>
          <w:vertAlign w:val="subscript"/>
          <w:lang w:eastAsia="en-GB"/>
        </w:rPr>
        <w:t>n</w:t>
      </w:r>
    </w:p>
    <w:p w14:paraId="303B7818" w14:textId="77777777" w:rsidR="00736F61" w:rsidRPr="00CC1FC3" w:rsidRDefault="00736F61" w:rsidP="00736F61">
      <w:pPr>
        <w:spacing w:after="0" w:line="240" w:lineRule="auto"/>
        <w:ind w:left="720"/>
        <w:rPr>
          <w:rStyle w:val="mop"/>
        </w:rPr>
      </w:pPr>
      <w:proofErr w:type="spellStart"/>
      <w:r w:rsidRPr="00CC1FC3">
        <w:rPr>
          <w:rFonts w:eastAsia="Times New Roman"/>
          <w:lang w:eastAsia="en-GB"/>
        </w:rPr>
        <w:t>ACMS</w:t>
      </w:r>
      <w:r w:rsidRPr="00CC1FC3">
        <w:rPr>
          <w:rFonts w:eastAsia="Times New Roman"/>
          <w:i/>
          <w:iCs/>
          <w:vertAlign w:val="subscript"/>
          <w:lang w:eastAsia="en-GB"/>
        </w:rPr>
        <w:t>it</w:t>
      </w:r>
      <w:proofErr w:type="spellEnd"/>
      <w:r w:rsidRPr="00CC1FC3">
        <w:rPr>
          <w:rFonts w:eastAsia="Times New Roman"/>
          <w:vertAlign w:val="subscript"/>
          <w:lang w:eastAsia="en-GB"/>
        </w:rPr>
        <w:t>​</w:t>
      </w:r>
      <w:r w:rsidRPr="00CC1FC3">
        <w:rPr>
          <w:rFonts w:eastAsia="Times New Roman"/>
          <w:lang w:eastAsia="en-GB"/>
        </w:rPr>
        <w:t>=</w:t>
      </w:r>
      <w:r w:rsidRPr="00CC1FC3">
        <w:rPr>
          <w:rFonts w:eastAsia="Times New Roman"/>
          <w:i/>
          <w:iCs/>
          <w:lang w:eastAsia="en-GB"/>
        </w:rPr>
        <w:t>β</w:t>
      </w:r>
      <w:r w:rsidRPr="00CC1FC3">
        <w:rPr>
          <w:rFonts w:eastAsia="Times New Roman"/>
          <w:vertAlign w:val="subscript"/>
          <w:lang w:eastAsia="en-GB"/>
        </w:rPr>
        <w:t>0</w:t>
      </w:r>
      <w:r w:rsidRPr="00CC1FC3">
        <w:rPr>
          <w:rFonts w:eastAsia="Times New Roman"/>
          <w:lang w:eastAsia="en-GB"/>
        </w:rPr>
        <w:t>​+</w:t>
      </w:r>
      <w:r w:rsidRPr="00CC1FC3">
        <w:rPr>
          <w:rFonts w:eastAsia="Times New Roman"/>
          <w:i/>
          <w:iCs/>
          <w:lang w:eastAsia="en-GB"/>
        </w:rPr>
        <w:t>β</w:t>
      </w:r>
      <w:r w:rsidRPr="00CC1FC3">
        <w:rPr>
          <w:rFonts w:eastAsia="Times New Roman"/>
          <w:vertAlign w:val="subscript"/>
          <w:lang w:eastAsia="en-GB"/>
        </w:rPr>
        <w:t>1</w:t>
      </w:r>
      <w:r w:rsidRPr="00CC1FC3">
        <w:rPr>
          <w:rFonts w:eastAsia="Times New Roman"/>
          <w:lang w:eastAsia="en-GB"/>
        </w:rPr>
        <w:t>​</w:t>
      </w:r>
      <w:proofErr w:type="spellStart"/>
      <w:r w:rsidRPr="00CC1FC3">
        <w:rPr>
          <w:rFonts w:eastAsia="Times New Roman"/>
          <w:lang w:eastAsia="en-GB"/>
        </w:rPr>
        <w:t>SGIs</w:t>
      </w:r>
      <w:r w:rsidRPr="00CC1FC3">
        <w:rPr>
          <w:rFonts w:eastAsia="Times New Roman"/>
          <w:i/>
          <w:iCs/>
          <w:vertAlign w:val="subscript"/>
          <w:lang w:eastAsia="en-GB"/>
        </w:rPr>
        <w:t>it</w:t>
      </w:r>
      <w:proofErr w:type="spellEnd"/>
      <w:r w:rsidRPr="00CC1FC3">
        <w:rPr>
          <w:rFonts w:eastAsia="Times New Roman"/>
          <w:lang w:eastAsia="en-GB"/>
        </w:rPr>
        <w:t xml:space="preserve">​+ </w:t>
      </w:r>
      <w:r w:rsidRPr="00CC1FC3">
        <w:rPr>
          <w:rStyle w:val="mop"/>
        </w:rPr>
        <w:t>∑</w:t>
      </w:r>
      <w:proofErr w:type="spellStart"/>
      <w:r w:rsidRPr="00CC1FC3">
        <w:rPr>
          <w:rStyle w:val="mord"/>
          <w:i/>
          <w:iCs/>
        </w:rPr>
        <w:t>γk</w:t>
      </w:r>
      <w:proofErr w:type="spellEnd"/>
      <w:r w:rsidRPr="00CC1FC3">
        <w:rPr>
          <w:rStyle w:val="mord"/>
          <w:i/>
          <w:iCs/>
        </w:rPr>
        <w:t xml:space="preserve"> </w:t>
      </w:r>
      <w:r w:rsidRPr="00CC1FC3">
        <w:rPr>
          <w:rStyle w:val="vlist-s"/>
        </w:rPr>
        <w:t xml:space="preserve">​ </w:t>
      </w:r>
      <w:r w:rsidRPr="00CC1FC3">
        <w:rPr>
          <w:rFonts w:eastAsia="Times New Roman"/>
          <w:lang w:eastAsia="en-GB"/>
        </w:rPr>
        <w:t>Control </w:t>
      </w:r>
      <w:proofErr w:type="spellStart"/>
      <w:r w:rsidRPr="00CC1FC3">
        <w:rPr>
          <w:rFonts w:eastAsia="Times New Roman"/>
          <w:lang w:eastAsia="en-GB"/>
        </w:rPr>
        <w:t>Variables</w:t>
      </w:r>
      <w:r w:rsidRPr="00CC1FC3">
        <w:rPr>
          <w:rFonts w:eastAsia="Times New Roman"/>
          <w:i/>
          <w:iCs/>
          <w:vertAlign w:val="subscript"/>
          <w:lang w:eastAsia="en-GB"/>
        </w:rPr>
        <w:t>it</w:t>
      </w:r>
      <w:proofErr w:type="spellEnd"/>
      <w:r w:rsidRPr="00CC1FC3">
        <w:rPr>
          <w:rFonts w:eastAsia="Times New Roman"/>
          <w:vertAlign w:val="subscript"/>
          <w:lang w:eastAsia="en-GB"/>
        </w:rPr>
        <w:t>​</w:t>
      </w:r>
      <w:r w:rsidRPr="00CC1FC3">
        <w:rPr>
          <w:rFonts w:eastAsia="Times New Roman"/>
          <w:lang w:eastAsia="en-GB"/>
        </w:rPr>
        <w:t>+</w:t>
      </w:r>
      <w:r w:rsidRPr="00CC1FC3">
        <w:rPr>
          <w:rFonts w:eastAsia="Times New Roman"/>
          <w:i/>
          <w:iCs/>
          <w:lang w:eastAsia="en-GB"/>
        </w:rPr>
        <w:t>α</w:t>
      </w:r>
      <w:proofErr w:type="spellStart"/>
      <w:r w:rsidRPr="00CC1FC3">
        <w:rPr>
          <w:rFonts w:eastAsia="Times New Roman"/>
          <w:i/>
          <w:iCs/>
          <w:vertAlign w:val="subscript"/>
          <w:lang w:eastAsia="en-GB"/>
        </w:rPr>
        <w:t>i</w:t>
      </w:r>
      <w:proofErr w:type="spellEnd"/>
      <w:r w:rsidRPr="00CC1FC3">
        <w:rPr>
          <w:rFonts w:eastAsia="Times New Roman"/>
          <w:lang w:eastAsia="en-GB"/>
        </w:rPr>
        <w:t>​+</w:t>
      </w:r>
      <w:proofErr w:type="spellStart"/>
      <w:r w:rsidRPr="00CC1FC3">
        <w:rPr>
          <w:rFonts w:eastAsia="Times New Roman"/>
          <w:i/>
          <w:iCs/>
          <w:lang w:eastAsia="en-GB"/>
        </w:rPr>
        <w:t>δ</w:t>
      </w:r>
      <w:r w:rsidRPr="00CC1FC3">
        <w:rPr>
          <w:rFonts w:eastAsia="Times New Roman"/>
          <w:i/>
          <w:iCs/>
          <w:vertAlign w:val="subscript"/>
          <w:lang w:eastAsia="en-GB"/>
        </w:rPr>
        <w:t>t</w:t>
      </w:r>
      <w:proofErr w:type="spellEnd"/>
      <w:r w:rsidRPr="00CC1FC3">
        <w:rPr>
          <w:rFonts w:eastAsia="Times New Roman"/>
          <w:vertAlign w:val="subscript"/>
          <w:lang w:eastAsia="en-GB"/>
        </w:rPr>
        <w:t>​</w:t>
      </w:r>
      <w:r w:rsidRPr="00CC1FC3">
        <w:rPr>
          <w:rFonts w:eastAsia="Times New Roman"/>
          <w:lang w:eastAsia="en-GB"/>
        </w:rPr>
        <w:t>+</w:t>
      </w:r>
      <w:r w:rsidRPr="00CC1FC3">
        <w:rPr>
          <w:rFonts w:eastAsia="Times New Roman"/>
          <w:i/>
          <w:iCs/>
          <w:lang w:eastAsia="en-GB"/>
        </w:rPr>
        <w:t>ϵ</w:t>
      </w:r>
      <w:r w:rsidRPr="00CC1FC3">
        <w:rPr>
          <w:rFonts w:eastAsia="Times New Roman"/>
          <w:i/>
          <w:iCs/>
          <w:vertAlign w:val="subscript"/>
          <w:lang w:eastAsia="en-GB"/>
        </w:rPr>
        <w:t>it</w:t>
      </w:r>
      <w:r w:rsidRPr="00CC1FC3">
        <w:rPr>
          <w:rFonts w:eastAsia="Times New Roman"/>
          <w:vertAlign w:val="subscript"/>
          <w:lang w:eastAsia="en-GB"/>
        </w:rPr>
        <w:t>​</w:t>
      </w:r>
      <w:r w:rsidRPr="00CC1FC3">
        <w:br/>
      </w:r>
      <w:r w:rsidRPr="00CC1FC3">
        <w:rPr>
          <w:rStyle w:val="mord"/>
          <w:i/>
          <w:iCs/>
          <w:vertAlign w:val="subscript"/>
        </w:rPr>
        <w:t xml:space="preserve">                                                   k</w:t>
      </w:r>
      <w:r w:rsidRPr="00CC1FC3">
        <w:rPr>
          <w:rStyle w:val="mrel"/>
          <w:vertAlign w:val="subscript"/>
        </w:rPr>
        <w:t>=</w:t>
      </w:r>
      <w:r w:rsidRPr="00CC1FC3">
        <w:rPr>
          <w:rStyle w:val="mord"/>
          <w:vertAlign w:val="subscript"/>
        </w:rPr>
        <w:t>1</w:t>
      </w:r>
      <w:r w:rsidRPr="00CC1FC3">
        <w:rPr>
          <w:rStyle w:val="vlist-s"/>
        </w:rPr>
        <w:t>​​</w:t>
      </w:r>
    </w:p>
    <w:p w14:paraId="747AF473" w14:textId="77777777" w:rsidR="00736F61" w:rsidRPr="00CC1FC3" w:rsidRDefault="00736F61" w:rsidP="00736F61">
      <w:pPr>
        <w:spacing w:after="0" w:line="480" w:lineRule="auto"/>
        <w:rPr>
          <w:rFonts w:eastAsia="Times New Roman"/>
          <w:lang w:eastAsia="en-GB"/>
        </w:rPr>
      </w:pPr>
      <w:r w:rsidRPr="00CC1FC3">
        <w:rPr>
          <w:rFonts w:eastAsia="Times New Roman"/>
          <w:lang w:eastAsia="en-GB"/>
        </w:rPr>
        <w:t>Where:</w:t>
      </w:r>
    </w:p>
    <w:p w14:paraId="2C00E7C6" w14:textId="77777777" w:rsidR="00736F61" w:rsidRPr="00CC1FC3" w:rsidRDefault="00736F61" w:rsidP="00736F61">
      <w:pPr>
        <w:numPr>
          <w:ilvl w:val="0"/>
          <w:numId w:val="27"/>
        </w:numPr>
        <w:spacing w:after="0" w:line="480" w:lineRule="auto"/>
        <w:rPr>
          <w:rFonts w:eastAsia="Times New Roman"/>
          <w:lang w:eastAsia="en-GB"/>
        </w:rPr>
      </w:pPr>
      <w:proofErr w:type="spellStart"/>
      <w:r w:rsidRPr="00CC1FC3">
        <w:rPr>
          <w:rFonts w:eastAsia="Times New Roman"/>
          <w:lang w:eastAsia="en-GB"/>
        </w:rPr>
        <w:t>ACMS</w:t>
      </w:r>
      <w:r w:rsidRPr="00CC1FC3">
        <w:rPr>
          <w:rFonts w:eastAsia="Times New Roman"/>
          <w:i/>
          <w:iCs/>
          <w:vertAlign w:val="subscript"/>
          <w:lang w:eastAsia="en-GB"/>
        </w:rPr>
        <w:t>it</w:t>
      </w:r>
      <w:proofErr w:type="spellEnd"/>
      <w:r w:rsidRPr="00CC1FC3">
        <w:rPr>
          <w:rFonts w:eastAsia="Times New Roman"/>
          <w:lang w:eastAsia="en-GB"/>
        </w:rPr>
        <w:t xml:space="preserve">​: Composite index captures the level of Anti-modern slavery practices of firm </w:t>
      </w:r>
      <w:proofErr w:type="spellStart"/>
      <w:r w:rsidRPr="00CC1FC3">
        <w:rPr>
          <w:rFonts w:eastAsia="Times New Roman"/>
          <w:i/>
          <w:iCs/>
          <w:lang w:eastAsia="en-GB"/>
        </w:rPr>
        <w:t>i</w:t>
      </w:r>
      <w:proofErr w:type="spellEnd"/>
      <w:r w:rsidRPr="00CC1FC3">
        <w:rPr>
          <w:rFonts w:eastAsia="Times New Roman"/>
          <w:lang w:eastAsia="en-GB"/>
        </w:rPr>
        <w:t> in year </w:t>
      </w:r>
      <w:r w:rsidRPr="00CC1FC3">
        <w:rPr>
          <w:rFonts w:eastAsia="Times New Roman"/>
          <w:i/>
          <w:iCs/>
          <w:lang w:eastAsia="en-GB"/>
        </w:rPr>
        <w:t>t</w:t>
      </w:r>
      <w:r w:rsidRPr="00CC1FC3">
        <w:rPr>
          <w:rFonts w:eastAsia="Times New Roman"/>
          <w:lang w:eastAsia="en-GB"/>
        </w:rPr>
        <w:t>.</w:t>
      </w:r>
    </w:p>
    <w:p w14:paraId="39C8647B" w14:textId="77777777" w:rsidR="00736F61" w:rsidRPr="00CC1FC3" w:rsidRDefault="00736F61" w:rsidP="00736F61">
      <w:pPr>
        <w:numPr>
          <w:ilvl w:val="0"/>
          <w:numId w:val="27"/>
        </w:numPr>
        <w:spacing w:after="0" w:line="480" w:lineRule="auto"/>
        <w:rPr>
          <w:rFonts w:eastAsia="Times New Roman"/>
          <w:lang w:eastAsia="en-GB"/>
        </w:rPr>
      </w:pPr>
      <w:proofErr w:type="spellStart"/>
      <w:r w:rsidRPr="00CC1FC3">
        <w:rPr>
          <w:rFonts w:eastAsia="Times New Roman"/>
          <w:bdr w:val="none" w:sz="0" w:space="0" w:color="auto" w:frame="1"/>
          <w:lang w:eastAsia="en-GB"/>
        </w:rPr>
        <w:t>SGI</w:t>
      </w:r>
      <w:r w:rsidRPr="00CC1FC3">
        <w:rPr>
          <w:rFonts w:eastAsia="Times New Roman"/>
          <w:i/>
          <w:iCs/>
          <w:vertAlign w:val="subscript"/>
          <w:lang w:eastAsia="en-GB"/>
        </w:rPr>
        <w:t>it</w:t>
      </w:r>
      <w:proofErr w:type="spellEnd"/>
      <w:r w:rsidRPr="00CC1FC3">
        <w:rPr>
          <w:rFonts w:eastAsia="Times New Roman"/>
          <w:vertAlign w:val="subscript"/>
          <w:lang w:eastAsia="en-GB"/>
        </w:rPr>
        <w:t>​</w:t>
      </w:r>
      <w:r w:rsidRPr="00CC1FC3">
        <w:rPr>
          <w:rFonts w:eastAsia="Times New Roman"/>
          <w:lang w:eastAsia="en-GB"/>
        </w:rPr>
        <w:t xml:space="preserve">: </w:t>
      </w:r>
      <w:r w:rsidRPr="00CC1FC3">
        <w:t xml:space="preserve">Denotes the sustainability governance initiatives for firm </w:t>
      </w:r>
      <w:proofErr w:type="spellStart"/>
      <w:r w:rsidRPr="00CC1FC3">
        <w:rPr>
          <w:rStyle w:val="katex-mathml"/>
        </w:rPr>
        <w:t>i</w:t>
      </w:r>
      <w:proofErr w:type="spellEnd"/>
      <w:r w:rsidRPr="00CC1FC3">
        <w:rPr>
          <w:rStyle w:val="katex-mathml"/>
        </w:rPr>
        <w:t xml:space="preserve"> </w:t>
      </w:r>
      <w:r w:rsidRPr="00CC1FC3">
        <w:t xml:space="preserve">in year </w:t>
      </w:r>
      <w:r w:rsidRPr="00CC1FC3">
        <w:rPr>
          <w:rStyle w:val="mord"/>
        </w:rPr>
        <w:t>t</w:t>
      </w:r>
      <w:r w:rsidRPr="00CC1FC3">
        <w:t>, encompassing seven dimensions (</w:t>
      </w:r>
      <w:r w:rsidRPr="00CC1FC3">
        <w:rPr>
          <w:rFonts w:eastAsia="Times New Roman"/>
          <w:lang w:eastAsia="en-GB"/>
        </w:rPr>
        <w:t>CSRST, BGD, CSRC, CSRA, CSP, CSRAW, CSRREP)</w:t>
      </w:r>
    </w:p>
    <w:p w14:paraId="57C39C72" w14:textId="77777777" w:rsidR="00736F61" w:rsidRPr="00CC1FC3" w:rsidRDefault="00736F61" w:rsidP="00736F61">
      <w:pPr>
        <w:numPr>
          <w:ilvl w:val="0"/>
          <w:numId w:val="27"/>
        </w:numPr>
        <w:spacing w:after="0" w:line="480" w:lineRule="auto"/>
      </w:pPr>
      <w:r w:rsidRPr="00CC1FC3">
        <w:rPr>
          <w:rStyle w:val="mop"/>
        </w:rPr>
        <w:t>∑</w:t>
      </w:r>
      <w:proofErr w:type="spellStart"/>
      <w:r w:rsidRPr="00CC1FC3">
        <w:rPr>
          <w:rStyle w:val="mord"/>
          <w:i/>
          <w:iCs/>
        </w:rPr>
        <w:t>γk</w:t>
      </w:r>
      <w:proofErr w:type="spellEnd"/>
      <w:r w:rsidRPr="00CC1FC3">
        <w:rPr>
          <w:rStyle w:val="mord"/>
          <w:i/>
          <w:iCs/>
        </w:rPr>
        <w:t xml:space="preserve"> </w:t>
      </w:r>
      <w:r w:rsidRPr="00CC1FC3">
        <w:rPr>
          <w:rStyle w:val="Strong"/>
          <w:rFonts w:eastAsiaTheme="majorEastAsia"/>
          <w:b w:val="0"/>
          <w:bCs w:val="0"/>
        </w:rPr>
        <w:t>Control Variables</w:t>
      </w:r>
      <w:r w:rsidRPr="00CC1FC3">
        <w:rPr>
          <w:b/>
          <w:bCs/>
        </w:rPr>
        <w:t xml:space="preserve">: </w:t>
      </w:r>
      <w:r w:rsidRPr="00CC1FC3">
        <w:t xml:space="preserve">includes a vector of control variables </w:t>
      </w:r>
      <w:r w:rsidRPr="00CC1FC3">
        <w:rPr>
          <w:rStyle w:val="mord"/>
          <w:rFonts w:eastAsiaTheme="majorEastAsia"/>
        </w:rPr>
        <w:t>BINDP</w:t>
      </w:r>
      <w:r w:rsidRPr="00CC1FC3">
        <w:t xml:space="preserve">, </w:t>
      </w:r>
      <w:r w:rsidRPr="00CC1FC3">
        <w:rPr>
          <w:rStyle w:val="mord"/>
          <w:rFonts w:eastAsiaTheme="majorEastAsia"/>
        </w:rPr>
        <w:t>BSIZE</w:t>
      </w:r>
      <w:r w:rsidRPr="00CC1FC3">
        <w:t xml:space="preserve">, </w:t>
      </w:r>
      <w:proofErr w:type="spellStart"/>
      <w:r w:rsidRPr="00CC1FC3">
        <w:rPr>
          <w:rStyle w:val="mop"/>
        </w:rPr>
        <w:t>Log_</w:t>
      </w:r>
      <w:r w:rsidRPr="00CC1FC3">
        <w:rPr>
          <w:rStyle w:val="mord"/>
          <w:rFonts w:eastAsiaTheme="majorEastAsia"/>
        </w:rPr>
        <w:t>ROA</w:t>
      </w:r>
      <w:proofErr w:type="spellEnd"/>
      <w:r w:rsidRPr="00CC1FC3">
        <w:t xml:space="preserve">, </w:t>
      </w:r>
      <w:proofErr w:type="spellStart"/>
      <w:r w:rsidRPr="00CC1FC3">
        <w:t>Log_FTE</w:t>
      </w:r>
      <w:proofErr w:type="spellEnd"/>
      <w:r w:rsidRPr="00CC1FC3">
        <w:t xml:space="preserve">, </w:t>
      </w:r>
      <w:r w:rsidRPr="00CC1FC3">
        <w:rPr>
          <w:rStyle w:val="mord"/>
          <w:rFonts w:eastAsiaTheme="majorEastAsia"/>
        </w:rPr>
        <w:t>BSKIL.</w:t>
      </w:r>
    </w:p>
    <w:p w14:paraId="0655B27C" w14:textId="77777777" w:rsidR="00736F61" w:rsidRPr="00CC1FC3" w:rsidRDefault="00736F61" w:rsidP="00736F61">
      <w:pPr>
        <w:numPr>
          <w:ilvl w:val="0"/>
          <w:numId w:val="27"/>
        </w:numPr>
        <w:spacing w:after="0" w:line="480" w:lineRule="auto"/>
        <w:rPr>
          <w:rFonts w:eastAsia="Times New Roman"/>
          <w:lang w:eastAsia="en-GB"/>
        </w:rPr>
      </w:pPr>
      <w:r w:rsidRPr="00CC1FC3">
        <w:rPr>
          <w:rFonts w:eastAsia="Times New Roman"/>
          <w:i/>
          <w:iCs/>
          <w:lang w:eastAsia="en-GB"/>
        </w:rPr>
        <w:t>α</w:t>
      </w:r>
      <w:proofErr w:type="spellStart"/>
      <w:r w:rsidRPr="00CC1FC3">
        <w:rPr>
          <w:rFonts w:eastAsia="Times New Roman"/>
          <w:i/>
          <w:iCs/>
          <w:vertAlign w:val="subscript"/>
          <w:lang w:eastAsia="en-GB"/>
        </w:rPr>
        <w:t>i</w:t>
      </w:r>
      <w:proofErr w:type="spellEnd"/>
      <w:r w:rsidRPr="00CC1FC3">
        <w:rPr>
          <w:rFonts w:eastAsia="Times New Roman"/>
          <w:lang w:eastAsia="en-GB"/>
        </w:rPr>
        <w:t>​: Industry-fixed effects.</w:t>
      </w:r>
    </w:p>
    <w:p w14:paraId="20ACF632" w14:textId="77777777" w:rsidR="00736F61" w:rsidRPr="00CC1FC3" w:rsidRDefault="00736F61" w:rsidP="00736F61">
      <w:pPr>
        <w:numPr>
          <w:ilvl w:val="0"/>
          <w:numId w:val="27"/>
        </w:numPr>
        <w:spacing w:after="0" w:line="480" w:lineRule="auto"/>
        <w:rPr>
          <w:rFonts w:eastAsia="Times New Roman"/>
          <w:lang w:eastAsia="en-GB"/>
        </w:rPr>
      </w:pPr>
      <w:proofErr w:type="spellStart"/>
      <w:r w:rsidRPr="00CC1FC3">
        <w:rPr>
          <w:rFonts w:eastAsia="Times New Roman"/>
          <w:bdr w:val="none" w:sz="0" w:space="0" w:color="auto" w:frame="1"/>
          <w:lang w:eastAsia="en-GB"/>
        </w:rPr>
        <w:t>δ</w:t>
      </w:r>
      <w:r w:rsidRPr="00CC1FC3">
        <w:rPr>
          <w:rFonts w:eastAsia="Times New Roman"/>
          <w:bdr w:val="none" w:sz="0" w:space="0" w:color="auto" w:frame="1"/>
          <w:vertAlign w:val="subscript"/>
          <w:lang w:eastAsia="en-GB"/>
        </w:rPr>
        <w:t>t</w:t>
      </w:r>
      <w:proofErr w:type="spellEnd"/>
      <w:r w:rsidRPr="00CC1FC3">
        <w:rPr>
          <w:rFonts w:eastAsia="Times New Roman"/>
          <w:lang w:eastAsia="en-GB"/>
        </w:rPr>
        <w:t>​: Year-fixed effects.</w:t>
      </w:r>
    </w:p>
    <w:p w14:paraId="266DAA04" w14:textId="77777777" w:rsidR="00736F61" w:rsidRPr="00CC1FC3" w:rsidRDefault="00736F61" w:rsidP="00736F61">
      <w:pPr>
        <w:numPr>
          <w:ilvl w:val="0"/>
          <w:numId w:val="27"/>
        </w:numPr>
        <w:spacing w:after="0" w:line="480" w:lineRule="auto"/>
        <w:rPr>
          <w:rFonts w:eastAsia="Times New Roman"/>
          <w:lang w:eastAsia="en-GB"/>
        </w:rPr>
      </w:pPr>
      <w:r w:rsidRPr="00CC1FC3">
        <w:rPr>
          <w:rFonts w:eastAsia="Times New Roman"/>
          <w:i/>
          <w:iCs/>
          <w:lang w:eastAsia="en-GB"/>
        </w:rPr>
        <w:t>ϵ</w:t>
      </w:r>
      <w:r w:rsidRPr="00CC1FC3">
        <w:rPr>
          <w:rFonts w:eastAsia="Times New Roman"/>
          <w:i/>
          <w:iCs/>
          <w:vertAlign w:val="subscript"/>
          <w:lang w:eastAsia="en-GB"/>
        </w:rPr>
        <w:t>it</w:t>
      </w:r>
      <w:r w:rsidRPr="00CC1FC3">
        <w:rPr>
          <w:rFonts w:eastAsia="Times New Roman"/>
          <w:lang w:eastAsia="en-GB"/>
        </w:rPr>
        <w:t>​: Error term.</w:t>
      </w:r>
    </w:p>
    <w:p w14:paraId="58202ABA" w14:textId="77777777" w:rsidR="00736F61" w:rsidRPr="00CC1FC3" w:rsidRDefault="00736F61" w:rsidP="00736F61">
      <w:pPr>
        <w:numPr>
          <w:ilvl w:val="0"/>
          <w:numId w:val="27"/>
        </w:numPr>
        <w:spacing w:after="0" w:line="480" w:lineRule="auto"/>
        <w:rPr>
          <w:rFonts w:eastAsia="Times New Roman"/>
          <w:lang w:eastAsia="en-GB"/>
        </w:rPr>
      </w:pPr>
      <w:r w:rsidRPr="00CC1FC3">
        <w:t>Clustered standard errors at the firm level account for within-firm correlation.</w:t>
      </w:r>
    </w:p>
    <w:p w14:paraId="65140227" w14:textId="77777777" w:rsidR="00736F61" w:rsidRDefault="00736F61" w:rsidP="00736F61">
      <w:pPr>
        <w:pStyle w:val="Heading2"/>
        <w:rPr>
          <w:rStyle w:val="normaltextrun"/>
          <w:bCs w:val="0"/>
        </w:rPr>
      </w:pPr>
      <w:bookmarkStart w:id="167" w:name="_Toc221437662"/>
      <w:bookmarkStart w:id="168" w:name="_Toc220848393"/>
      <w:r w:rsidRPr="00CC1FC3">
        <w:rPr>
          <w:rStyle w:val="normaltextrun"/>
        </w:rPr>
        <w:lastRenderedPageBreak/>
        <w:t>5.5 Qualitative Strand</w:t>
      </w:r>
      <w:bookmarkEnd w:id="167"/>
    </w:p>
    <w:p w14:paraId="4BA3712D" w14:textId="77777777" w:rsidR="00736F61" w:rsidRPr="00CC1FC3" w:rsidRDefault="00736F61" w:rsidP="00736F61">
      <w:pPr>
        <w:pStyle w:val="Heading3"/>
        <w:rPr>
          <w:rStyle w:val="normaltextrun"/>
          <w:bCs/>
        </w:rPr>
      </w:pPr>
      <w:bookmarkStart w:id="169" w:name="_Toc221437663"/>
      <w:r w:rsidRPr="00CC1FC3">
        <w:rPr>
          <w:rStyle w:val="normaltextrun"/>
        </w:rPr>
        <w:t>5.5.1 Disclosure Analysis</w:t>
      </w:r>
      <w:bookmarkEnd w:id="148"/>
      <w:bookmarkEnd w:id="168"/>
      <w:r>
        <w:rPr>
          <w:rStyle w:val="normaltextrun"/>
        </w:rPr>
        <w:t xml:space="preserve"> </w:t>
      </w:r>
      <w:r w:rsidRPr="00CC1FC3">
        <w:rPr>
          <w:rStyle w:val="normaltextrun"/>
        </w:rPr>
        <w:t>-</w:t>
      </w:r>
      <w:r>
        <w:rPr>
          <w:rStyle w:val="normaltextrun"/>
          <w:bCs/>
        </w:rPr>
        <w:t xml:space="preserve"> </w:t>
      </w:r>
      <w:r w:rsidRPr="00CC1FC3">
        <w:rPr>
          <w:rStyle w:val="normaltextrun"/>
        </w:rPr>
        <w:t>Meso-Level</w:t>
      </w:r>
      <w:bookmarkEnd w:id="169"/>
      <w:r w:rsidRPr="00CC1FC3">
        <w:rPr>
          <w:rStyle w:val="normaltextrun"/>
        </w:rPr>
        <w:t xml:space="preserve"> </w:t>
      </w:r>
    </w:p>
    <w:p w14:paraId="5839B179" w14:textId="77777777" w:rsidR="00736F61" w:rsidRPr="00CC1FC3" w:rsidRDefault="00736F61" w:rsidP="00736F61">
      <w:pPr>
        <w:spacing w:after="0" w:line="480" w:lineRule="auto"/>
        <w:jc w:val="both"/>
        <w:rPr>
          <w:rFonts w:eastAsia="Times New Roman"/>
          <w:color w:val="auto"/>
          <w:lang w:eastAsia="en-GB"/>
        </w:rPr>
      </w:pPr>
      <w:r w:rsidRPr="00CC1FC3">
        <w:rPr>
          <w:rFonts w:eastAsia="Times New Roman"/>
          <w:color w:val="auto"/>
          <w:lang w:eastAsia="en-GB"/>
        </w:rPr>
        <w:t xml:space="preserve">The meso-level qualitative extension plays a critical role in contextualising and deepening insights from the quantitative analysis of SGIs and ACMS commitments. While the quantitative strand identifies statistical patterns in corporate sustainability governance, it cannot, on its own, explain </w:t>
      </w:r>
      <w:r w:rsidRPr="00CC1FC3">
        <w:rPr>
          <w:rFonts w:eastAsia="Times New Roman"/>
          <w:i/>
          <w:iCs/>
          <w:color w:val="auto"/>
          <w:lang w:eastAsia="en-GB"/>
        </w:rPr>
        <w:t>how</w:t>
      </w:r>
      <w:r w:rsidRPr="00CC1FC3">
        <w:rPr>
          <w:rFonts w:eastAsia="Times New Roman"/>
          <w:color w:val="auto"/>
          <w:lang w:eastAsia="en-GB"/>
        </w:rPr>
        <w:t xml:space="preserve"> or </w:t>
      </w:r>
      <w:r w:rsidRPr="00CC1FC3">
        <w:rPr>
          <w:rFonts w:eastAsia="Times New Roman"/>
          <w:i/>
          <w:iCs/>
          <w:color w:val="auto"/>
          <w:lang w:eastAsia="en-GB"/>
        </w:rPr>
        <w:t>why</w:t>
      </w:r>
      <w:r w:rsidRPr="00CC1FC3">
        <w:rPr>
          <w:rFonts w:eastAsia="Times New Roman"/>
          <w:color w:val="auto"/>
          <w:lang w:eastAsia="en-GB"/>
        </w:rPr>
        <w:t xml:space="preserve"> firms articulate </w:t>
      </w:r>
      <w:proofErr w:type="gramStart"/>
      <w:r w:rsidRPr="00CC1FC3">
        <w:rPr>
          <w:rFonts w:eastAsia="Times New Roman"/>
          <w:color w:val="auto"/>
          <w:lang w:eastAsia="en-GB"/>
        </w:rPr>
        <w:t>particular commitments</w:t>
      </w:r>
      <w:proofErr w:type="gramEnd"/>
      <w:r w:rsidRPr="00CC1FC3">
        <w:rPr>
          <w:rFonts w:eastAsia="Times New Roman"/>
          <w:color w:val="auto"/>
          <w:lang w:eastAsia="en-GB"/>
        </w:rPr>
        <w:t>, nor whether these commitments represent substantive action or merely symbolic compliance. The disclosure analysis, therefore, examines the narrative, rhetorical, and structural features of corporate reporting to assess the extent to which firms translate institutional expectations into meaningful labour rights governance.</w:t>
      </w:r>
    </w:p>
    <w:p w14:paraId="385A5EE7" w14:textId="77777777" w:rsidR="00736F61" w:rsidRPr="00CC1FC3" w:rsidRDefault="00736F61" w:rsidP="00736F61">
      <w:pPr>
        <w:spacing w:before="100" w:beforeAutospacing="1" w:after="100" w:afterAutospacing="1" w:line="480" w:lineRule="auto"/>
        <w:ind w:firstLine="720"/>
        <w:jc w:val="both"/>
        <w:rPr>
          <w:color w:val="auto"/>
          <w:lang w:eastAsia="en-GB"/>
        </w:rPr>
      </w:pPr>
      <w:r w:rsidRPr="00CC1FC3">
        <w:rPr>
          <w:rFonts w:eastAsia="Times New Roman"/>
          <w:color w:val="auto"/>
          <w:lang w:eastAsia="en-GB"/>
        </w:rPr>
        <w:t xml:space="preserve"> Anchored in NIT, this phase interrogates the interplay of coercive, normative, and mimetic pressures shaping corporate responses to MS regulation, particularly within high-risk global supply chains. It also provides an empirical lens through which to identify institutional decoupling—the disjunction between formal policy commitments and actual implementation practices—and legitimacy-seeking behaviours embedded in sustainability and slavery-related disclosures. By analysing how leading apparel and textile MNCs publicly construct their ACMS strategies, this </w:t>
      </w:r>
      <w:r>
        <w:rPr>
          <w:rFonts w:eastAsia="Times New Roman"/>
          <w:color w:val="auto"/>
          <w:lang w:eastAsia="en-GB"/>
        </w:rPr>
        <w:t xml:space="preserve">disclosure analysis of </w:t>
      </w:r>
      <w:r w:rsidRPr="00CC1FC3">
        <w:rPr>
          <w:rFonts w:eastAsia="Times New Roman"/>
          <w:color w:val="auto"/>
          <w:lang w:eastAsia="en-GB"/>
        </w:rPr>
        <w:t>meso-level bridges the macro-level institutional environment and the micro-level lived realities of workers, enabling a more nuanced interpretation of governance gaps and the organisational motivations that underlie them.</w:t>
      </w:r>
    </w:p>
    <w:p w14:paraId="7DF785A0" w14:textId="77777777" w:rsidR="00736F61" w:rsidRDefault="00736F61" w:rsidP="00736F61">
      <w:pPr>
        <w:pStyle w:val="Heading4"/>
      </w:pPr>
      <w:bookmarkStart w:id="170" w:name="_Toc216557294"/>
      <w:bookmarkStart w:id="171" w:name="_Toc220848394"/>
      <w:r w:rsidRPr="00CC1FC3">
        <w:t>5.5.1.1 Sample Selection and Justification</w:t>
      </w:r>
      <w:bookmarkEnd w:id="170"/>
      <w:bookmarkEnd w:id="171"/>
    </w:p>
    <w:p w14:paraId="1BCE56CB" w14:textId="77777777" w:rsidR="00736F61" w:rsidRPr="00CC1FC3" w:rsidRDefault="00736F61" w:rsidP="00736F61">
      <w:pPr>
        <w:pStyle w:val="NormalWeb"/>
        <w:spacing w:before="0" w:beforeAutospacing="0" w:after="0" w:afterAutospacing="0" w:line="480" w:lineRule="auto"/>
        <w:jc w:val="both"/>
        <w:rPr>
          <w:color w:val="auto"/>
        </w:rPr>
      </w:pPr>
      <w:r w:rsidRPr="00CC1FC3">
        <w:rPr>
          <w:color w:val="auto"/>
        </w:rPr>
        <w:t xml:space="preserve">The </w:t>
      </w:r>
      <w:r>
        <w:rPr>
          <w:color w:val="auto"/>
        </w:rPr>
        <w:t>disclosure analysis</w:t>
      </w:r>
      <w:r w:rsidRPr="00CC1FC3">
        <w:rPr>
          <w:color w:val="auto"/>
        </w:rPr>
        <w:t xml:space="preserve"> focuses on three leading MNCs—Nike, Inditex, and Christian Dior—selected through a theoretically informed and context-driven sampling strategy. Table </w:t>
      </w:r>
      <w:r>
        <w:rPr>
          <w:color w:val="auto"/>
        </w:rPr>
        <w:t>5.14</w:t>
      </w:r>
      <w:r w:rsidRPr="00CC1FC3">
        <w:rPr>
          <w:color w:val="auto"/>
        </w:rPr>
        <w:t xml:space="preserve"> presents the justification for the sample selection for the Meso-Level disclosure analysis. These firms were chosen because they operate within the global A&amp;TI sector, which is widely </w:t>
      </w:r>
      <w:r w:rsidRPr="00CC1FC3">
        <w:rPr>
          <w:color w:val="auto"/>
        </w:rPr>
        <w:lastRenderedPageBreak/>
        <w:t>recognised as high-risk for CMS due to its extensive subcontracting networks, labour-intensive production processes, and geographically dispersed supply chains. Each company represents a distinct market segment—Nike, Inditex, and Christian Dior—enabling comparative analysis across different business models, governance structures, and institutional environments.</w:t>
      </w:r>
    </w:p>
    <w:p w14:paraId="55E47366" w14:textId="77777777" w:rsidR="00736F61" w:rsidRPr="00CC1FC3" w:rsidRDefault="00736F61" w:rsidP="00736F61">
      <w:pPr>
        <w:spacing w:after="0" w:line="480" w:lineRule="auto"/>
        <w:ind w:firstLine="720"/>
        <w:jc w:val="both"/>
        <w:rPr>
          <w:rFonts w:eastAsia="Times New Roman"/>
          <w:color w:val="auto"/>
          <w:lang w:eastAsia="en-GB"/>
        </w:rPr>
      </w:pPr>
      <w:r w:rsidRPr="00CC1FC3">
        <w:rPr>
          <w:rFonts w:eastAsia="Times New Roman"/>
          <w:color w:val="auto"/>
          <w:lang w:eastAsia="en-GB"/>
        </w:rPr>
        <w:t xml:space="preserve">The selection is further justified by their significant sourcing presence in Sri Lanka’s A&amp;TI, as confirmed through public supplier disclosures (e.g., Nike) and worker testimonies referencing production for these brands. Their longstanding global visibility and substantial market share make them subject to strong coercive, normative, and mimetic institutional pressures, making them analytically suitable for exploring how these pressures shape disclosure practices </w:t>
      </w:r>
      <w:sdt>
        <w:sdtPr>
          <w:rPr>
            <w:rFonts w:eastAsia="Times New Roman"/>
            <w:lang w:eastAsia="en-GB"/>
          </w:rPr>
          <w:tag w:val="MENDELEY_CITATION_v3_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"/>
          <w:id w:val="497700585"/>
          <w:placeholder>
            <w:docPart w:val="BAB2841F77CC4190A4A452E3964DDC86"/>
          </w:placeholder>
        </w:sdtPr>
        <w:sdtEndPr/>
        <w:sdtContent>
          <w:r w:rsidRPr="00A73C12">
            <w:rPr>
              <w:rFonts w:eastAsia="Times New Roman"/>
            </w:rPr>
            <w:t xml:space="preserve">(Alves </w:t>
          </w:r>
          <w:r w:rsidRPr="00A73C12">
            <w:rPr>
              <w:rFonts w:eastAsia="Times New Roman"/>
              <w:i/>
              <w:iCs/>
            </w:rPr>
            <w:t>et al.</w:t>
          </w:r>
          <w:r w:rsidRPr="00A73C12">
            <w:rPr>
              <w:rFonts w:eastAsia="Times New Roman"/>
            </w:rPr>
            <w:t>, 2024)</w:t>
          </w:r>
        </w:sdtContent>
      </w:sdt>
      <w:r w:rsidRPr="00CC1FC3">
        <w:rPr>
          <w:rFonts w:eastAsia="Times New Roman"/>
          <w:color w:val="auto"/>
          <w:lang w:eastAsia="en-GB"/>
        </w:rPr>
        <w:t>. Moreover, all three firms publish extensive sustainability, human rights, and MS-related disclosures, offering rich longitudinal documentary evidence for the period 2019–2023. This availability of consistent reporting allows for systematic comparison of policy commitments, narrative framing, and governance mechanisms over time.</w:t>
      </w:r>
    </w:p>
    <w:p w14:paraId="382BFF19" w14:textId="77777777" w:rsidR="00736F61" w:rsidRPr="00CC1FC3" w:rsidRDefault="00736F61" w:rsidP="00736F61">
      <w:pPr>
        <w:spacing w:before="100" w:beforeAutospacing="1" w:after="100" w:afterAutospacing="1" w:line="480" w:lineRule="auto"/>
        <w:ind w:firstLine="720"/>
        <w:jc w:val="both"/>
        <w:rPr>
          <w:rFonts w:eastAsia="Times New Roman"/>
          <w:b/>
          <w:bCs/>
          <w:color w:val="auto"/>
          <w:lang w:eastAsia="en-GB"/>
        </w:rPr>
      </w:pPr>
      <w:r w:rsidRPr="00CC1FC3">
        <w:rPr>
          <w:rFonts w:eastAsia="Times New Roman"/>
          <w:color w:val="auto"/>
          <w:lang w:eastAsia="en-GB"/>
        </w:rPr>
        <w:t>By selecting firms that are both industry leaders and institutional exemplars, this phase enables a rigorous assessment of whether corporate disclosures reflect substantive accountability or symbolic compliance. It also provides a crucial bridge between macro-level governance indicators and micro-level labour experiences, thereby advancing the explanatory aims of the sequential mixed-methods design.</w:t>
      </w:r>
      <w:r>
        <w:rPr>
          <w:rFonts w:eastAsia="Times New Roman"/>
          <w:color w:val="auto"/>
          <w:lang w:eastAsia="en-GB"/>
        </w:rPr>
        <w:t xml:space="preserve"> </w:t>
      </w:r>
    </w:p>
    <w:p w14:paraId="0AE64345" w14:textId="77777777" w:rsidR="00736F61" w:rsidRPr="00CC1FC3" w:rsidRDefault="00736F61" w:rsidP="00736F61">
      <w:pPr>
        <w:spacing w:after="0" w:line="240" w:lineRule="auto"/>
        <w:rPr>
          <w:rFonts w:eastAsia="Times New Roman"/>
          <w:b/>
          <w:bCs/>
          <w:color w:val="auto"/>
          <w:lang w:eastAsia="en-GB"/>
        </w:rPr>
        <w:sectPr w:rsidR="00736F61" w:rsidRPr="00CC1FC3" w:rsidSect="00736F61">
          <w:pgSz w:w="11906" w:h="16838"/>
          <w:pgMar w:top="1440" w:right="1440" w:bottom="1440" w:left="1440" w:header="708" w:footer="708" w:gutter="0"/>
          <w:cols w:space="720"/>
        </w:sectPr>
      </w:pPr>
    </w:p>
    <w:tbl>
      <w:tblPr>
        <w:tblpPr w:leftFromText="180" w:rightFromText="180" w:bottomFromText="160" w:vertAnchor="page" w:horzAnchor="margin" w:tblpY="1747"/>
        <w:tblW w:w="0" w:type="auto"/>
        <w:tblCellSpacing w:w="15" w:type="dxa"/>
        <w:tblLayout w:type="fixed"/>
        <w:tblLook w:val="04A0" w:firstRow="1" w:lastRow="0" w:firstColumn="1" w:lastColumn="0" w:noHBand="0" w:noVBand="1"/>
      </w:tblPr>
      <w:tblGrid>
        <w:gridCol w:w="2268"/>
        <w:gridCol w:w="2731"/>
        <w:gridCol w:w="2574"/>
        <w:gridCol w:w="2917"/>
        <w:gridCol w:w="3464"/>
      </w:tblGrid>
      <w:tr w:rsidR="00736F61" w:rsidRPr="00CC1FC3" w14:paraId="1C8C316F" w14:textId="77777777" w:rsidTr="00621211">
        <w:trPr>
          <w:trHeight w:val="172"/>
          <w:tblHeader/>
          <w:tblCellSpacing w:w="15" w:type="dxa"/>
        </w:trPr>
        <w:tc>
          <w:tcPr>
            <w:tcW w:w="2223"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3EAF51BC" w14:textId="77777777" w:rsidR="00736F61" w:rsidRPr="00CC1FC3" w:rsidRDefault="00736F61" w:rsidP="003F224E">
            <w:pPr>
              <w:spacing w:after="0" w:line="240" w:lineRule="auto"/>
              <w:jc w:val="center"/>
              <w:rPr>
                <w:rFonts w:eastAsia="Times New Roman"/>
                <w:b/>
                <w:bCs/>
                <w:color w:val="auto"/>
                <w:sz w:val="22"/>
                <w:szCs w:val="22"/>
                <w:lang w:eastAsia="en-GB"/>
              </w:rPr>
            </w:pPr>
            <w:r w:rsidRPr="00CC1FC3">
              <w:rPr>
                <w:rFonts w:eastAsia="Times New Roman"/>
                <w:b/>
                <w:bCs/>
                <w:color w:val="auto"/>
                <w:sz w:val="22"/>
                <w:szCs w:val="22"/>
                <w:lang w:eastAsia="en-GB"/>
              </w:rPr>
              <w:lastRenderedPageBreak/>
              <w:t>Criterion</w:t>
            </w:r>
          </w:p>
        </w:tc>
        <w:tc>
          <w:tcPr>
            <w:tcW w:w="2701"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66DF5E74" w14:textId="77777777" w:rsidR="00736F61" w:rsidRPr="00CC1FC3" w:rsidRDefault="00736F61" w:rsidP="003F224E">
            <w:pPr>
              <w:spacing w:after="0" w:line="240" w:lineRule="auto"/>
              <w:jc w:val="center"/>
              <w:rPr>
                <w:rFonts w:eastAsia="Times New Roman"/>
                <w:b/>
                <w:bCs/>
                <w:color w:val="auto"/>
                <w:sz w:val="22"/>
                <w:szCs w:val="22"/>
                <w:lang w:eastAsia="en-GB"/>
              </w:rPr>
            </w:pPr>
            <w:r w:rsidRPr="00CC1FC3">
              <w:rPr>
                <w:rFonts w:eastAsia="Times New Roman"/>
                <w:b/>
                <w:bCs/>
                <w:color w:val="auto"/>
                <w:sz w:val="22"/>
                <w:szCs w:val="22"/>
                <w:lang w:eastAsia="en-GB"/>
              </w:rPr>
              <w:t xml:space="preserve">Nike </w:t>
            </w:r>
          </w:p>
        </w:tc>
        <w:tc>
          <w:tcPr>
            <w:tcW w:w="2544"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22377B15" w14:textId="77777777" w:rsidR="00736F61" w:rsidRPr="00CC1FC3" w:rsidRDefault="00736F61" w:rsidP="003F224E">
            <w:pPr>
              <w:spacing w:after="0" w:line="240" w:lineRule="auto"/>
              <w:jc w:val="center"/>
              <w:rPr>
                <w:rFonts w:eastAsia="Times New Roman"/>
                <w:b/>
                <w:bCs/>
                <w:color w:val="auto"/>
                <w:sz w:val="22"/>
                <w:szCs w:val="22"/>
                <w:lang w:eastAsia="en-GB"/>
              </w:rPr>
            </w:pPr>
            <w:r w:rsidRPr="00CC1FC3">
              <w:rPr>
                <w:rFonts w:eastAsia="Times New Roman"/>
                <w:b/>
                <w:bCs/>
                <w:color w:val="auto"/>
                <w:sz w:val="22"/>
                <w:szCs w:val="22"/>
                <w:lang w:eastAsia="en-GB"/>
              </w:rPr>
              <w:t xml:space="preserve">Inditex </w:t>
            </w:r>
          </w:p>
        </w:tc>
        <w:tc>
          <w:tcPr>
            <w:tcW w:w="2887"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4579A088" w14:textId="77777777" w:rsidR="00736F61" w:rsidRPr="00CC1FC3" w:rsidRDefault="00736F61" w:rsidP="003F224E">
            <w:pPr>
              <w:spacing w:after="0" w:line="240" w:lineRule="auto"/>
              <w:jc w:val="center"/>
              <w:rPr>
                <w:rFonts w:eastAsia="Times New Roman"/>
                <w:b/>
                <w:bCs/>
                <w:color w:val="auto"/>
                <w:sz w:val="22"/>
                <w:szCs w:val="22"/>
                <w:lang w:eastAsia="en-GB"/>
              </w:rPr>
            </w:pPr>
            <w:r w:rsidRPr="00CC1FC3">
              <w:rPr>
                <w:rFonts w:eastAsia="Times New Roman"/>
                <w:b/>
                <w:bCs/>
                <w:color w:val="auto"/>
                <w:sz w:val="22"/>
                <w:szCs w:val="22"/>
                <w:lang w:eastAsia="en-GB"/>
              </w:rPr>
              <w:t>Christian Dior</w:t>
            </w:r>
          </w:p>
        </w:tc>
        <w:tc>
          <w:tcPr>
            <w:tcW w:w="3419"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66105B51" w14:textId="77777777" w:rsidR="00736F61" w:rsidRPr="00CC1FC3" w:rsidRDefault="00736F61" w:rsidP="003F224E">
            <w:pPr>
              <w:spacing w:after="0" w:line="240" w:lineRule="auto"/>
              <w:jc w:val="center"/>
              <w:rPr>
                <w:rFonts w:eastAsia="Times New Roman"/>
                <w:b/>
                <w:bCs/>
                <w:color w:val="auto"/>
                <w:sz w:val="22"/>
                <w:szCs w:val="22"/>
                <w:lang w:eastAsia="en-GB"/>
              </w:rPr>
            </w:pPr>
            <w:r w:rsidRPr="00CC1FC3">
              <w:rPr>
                <w:rFonts w:eastAsia="Times New Roman"/>
                <w:b/>
                <w:bCs/>
                <w:color w:val="auto"/>
                <w:sz w:val="22"/>
                <w:szCs w:val="22"/>
                <w:lang w:eastAsia="en-GB"/>
              </w:rPr>
              <w:t>Justification</w:t>
            </w:r>
          </w:p>
        </w:tc>
      </w:tr>
      <w:tr w:rsidR="00736F61" w:rsidRPr="00CC1FC3" w14:paraId="4702A75E" w14:textId="77777777" w:rsidTr="00621211">
        <w:trPr>
          <w:trHeight w:val="855"/>
          <w:tblCellSpacing w:w="15" w:type="dxa"/>
        </w:trPr>
        <w:tc>
          <w:tcPr>
            <w:tcW w:w="2223" w:type="dxa"/>
            <w:tcMar>
              <w:top w:w="15" w:type="dxa"/>
              <w:left w:w="15" w:type="dxa"/>
              <w:bottom w:w="15" w:type="dxa"/>
              <w:right w:w="15" w:type="dxa"/>
            </w:tcMar>
            <w:vAlign w:val="center"/>
            <w:hideMark/>
          </w:tcPr>
          <w:p w14:paraId="49511E3B"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Global Market Power</w:t>
            </w:r>
          </w:p>
        </w:tc>
        <w:tc>
          <w:tcPr>
            <w:tcW w:w="2701" w:type="dxa"/>
            <w:tcMar>
              <w:top w:w="15" w:type="dxa"/>
              <w:left w:w="15" w:type="dxa"/>
              <w:bottom w:w="15" w:type="dxa"/>
              <w:right w:w="15" w:type="dxa"/>
            </w:tcMar>
            <w:vAlign w:val="center"/>
            <w:hideMark/>
          </w:tcPr>
          <w:p w14:paraId="48018C09"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tc>
        <w:tc>
          <w:tcPr>
            <w:tcW w:w="2544" w:type="dxa"/>
            <w:tcMar>
              <w:top w:w="15" w:type="dxa"/>
              <w:left w:w="15" w:type="dxa"/>
              <w:bottom w:w="15" w:type="dxa"/>
              <w:right w:w="15" w:type="dxa"/>
            </w:tcMar>
            <w:vAlign w:val="center"/>
            <w:hideMark/>
          </w:tcPr>
          <w:p w14:paraId="7E65FD7F"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tc>
        <w:tc>
          <w:tcPr>
            <w:tcW w:w="2887" w:type="dxa"/>
            <w:tcMar>
              <w:top w:w="15" w:type="dxa"/>
              <w:left w:w="15" w:type="dxa"/>
              <w:bottom w:w="15" w:type="dxa"/>
              <w:right w:w="15" w:type="dxa"/>
            </w:tcMar>
            <w:vAlign w:val="center"/>
            <w:hideMark/>
          </w:tcPr>
          <w:p w14:paraId="29BAF53D"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tc>
        <w:tc>
          <w:tcPr>
            <w:tcW w:w="3419" w:type="dxa"/>
            <w:tcMar>
              <w:top w:w="15" w:type="dxa"/>
              <w:left w:w="15" w:type="dxa"/>
              <w:bottom w:w="15" w:type="dxa"/>
              <w:right w:w="15" w:type="dxa"/>
            </w:tcMar>
            <w:vAlign w:val="center"/>
            <w:hideMark/>
          </w:tcPr>
          <w:p w14:paraId="045EE1A2"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All three are industry leaders with significant influence over global apparel supply-chain practices.</w:t>
            </w:r>
          </w:p>
        </w:tc>
      </w:tr>
      <w:tr w:rsidR="00736F61" w:rsidRPr="00CC1FC3" w14:paraId="166B4E8D" w14:textId="77777777" w:rsidTr="00621211">
        <w:trPr>
          <w:trHeight w:val="681"/>
          <w:tblCellSpacing w:w="15" w:type="dxa"/>
        </w:trPr>
        <w:tc>
          <w:tcPr>
            <w:tcW w:w="2223" w:type="dxa"/>
            <w:tcMar>
              <w:top w:w="15" w:type="dxa"/>
              <w:left w:w="15" w:type="dxa"/>
              <w:bottom w:w="15" w:type="dxa"/>
              <w:right w:w="15" w:type="dxa"/>
            </w:tcMar>
            <w:vAlign w:val="center"/>
            <w:hideMark/>
          </w:tcPr>
          <w:p w14:paraId="4BDB9EBC"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Presence in G500 Sample</w:t>
            </w:r>
          </w:p>
        </w:tc>
        <w:tc>
          <w:tcPr>
            <w:tcW w:w="2701" w:type="dxa"/>
            <w:tcMar>
              <w:top w:w="15" w:type="dxa"/>
              <w:left w:w="15" w:type="dxa"/>
              <w:bottom w:w="15" w:type="dxa"/>
              <w:right w:w="15" w:type="dxa"/>
            </w:tcMar>
            <w:vAlign w:val="center"/>
            <w:hideMark/>
          </w:tcPr>
          <w:p w14:paraId="4365671E"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tc>
        <w:tc>
          <w:tcPr>
            <w:tcW w:w="2544" w:type="dxa"/>
            <w:tcMar>
              <w:top w:w="15" w:type="dxa"/>
              <w:left w:w="15" w:type="dxa"/>
              <w:bottom w:w="15" w:type="dxa"/>
              <w:right w:w="15" w:type="dxa"/>
            </w:tcMar>
            <w:vAlign w:val="center"/>
            <w:hideMark/>
          </w:tcPr>
          <w:p w14:paraId="2431B50E"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tc>
        <w:tc>
          <w:tcPr>
            <w:tcW w:w="2887" w:type="dxa"/>
            <w:tcMar>
              <w:top w:w="15" w:type="dxa"/>
              <w:left w:w="15" w:type="dxa"/>
              <w:bottom w:w="15" w:type="dxa"/>
              <w:right w:w="15" w:type="dxa"/>
            </w:tcMar>
            <w:vAlign w:val="center"/>
            <w:hideMark/>
          </w:tcPr>
          <w:p w14:paraId="21FB94AF"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tc>
        <w:tc>
          <w:tcPr>
            <w:tcW w:w="3419" w:type="dxa"/>
            <w:tcMar>
              <w:top w:w="15" w:type="dxa"/>
              <w:left w:w="15" w:type="dxa"/>
              <w:bottom w:w="15" w:type="dxa"/>
              <w:right w:w="15" w:type="dxa"/>
            </w:tcMar>
            <w:vAlign w:val="center"/>
            <w:hideMark/>
          </w:tcPr>
          <w:p w14:paraId="4B83B2B3"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Ensures alignment and comparability with the meso-level quantitative dataset.</w:t>
            </w:r>
          </w:p>
        </w:tc>
      </w:tr>
      <w:tr w:rsidR="00736F61" w:rsidRPr="00CC1FC3" w14:paraId="7C64BA15" w14:textId="77777777" w:rsidTr="00621211">
        <w:trPr>
          <w:trHeight w:val="885"/>
          <w:tblCellSpacing w:w="15" w:type="dxa"/>
        </w:trPr>
        <w:tc>
          <w:tcPr>
            <w:tcW w:w="2223" w:type="dxa"/>
            <w:tcMar>
              <w:top w:w="15" w:type="dxa"/>
              <w:left w:w="15" w:type="dxa"/>
              <w:bottom w:w="15" w:type="dxa"/>
              <w:right w:w="15" w:type="dxa"/>
            </w:tcMar>
            <w:vAlign w:val="center"/>
            <w:hideMark/>
          </w:tcPr>
          <w:p w14:paraId="2DB142AD"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Sri Lanka Sourcing Links</w:t>
            </w:r>
          </w:p>
        </w:tc>
        <w:tc>
          <w:tcPr>
            <w:tcW w:w="2701" w:type="dxa"/>
            <w:tcMar>
              <w:top w:w="15" w:type="dxa"/>
              <w:left w:w="15" w:type="dxa"/>
              <w:bottom w:w="15" w:type="dxa"/>
              <w:right w:w="15" w:type="dxa"/>
            </w:tcMar>
            <w:vAlign w:val="center"/>
            <w:hideMark/>
          </w:tcPr>
          <w:p w14:paraId="0457BD52"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3506976E"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(Public supplier list includes Sri Lanka)</w:t>
            </w:r>
          </w:p>
        </w:tc>
        <w:tc>
          <w:tcPr>
            <w:tcW w:w="2544" w:type="dxa"/>
            <w:tcMar>
              <w:top w:w="15" w:type="dxa"/>
              <w:left w:w="15" w:type="dxa"/>
              <w:bottom w:w="15" w:type="dxa"/>
              <w:right w:w="15" w:type="dxa"/>
            </w:tcMar>
            <w:vAlign w:val="center"/>
            <w:hideMark/>
          </w:tcPr>
          <w:p w14:paraId="58EC29FB"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771365E9"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(workers referenced Zara production in interviews)</w:t>
            </w:r>
          </w:p>
        </w:tc>
        <w:tc>
          <w:tcPr>
            <w:tcW w:w="2887" w:type="dxa"/>
            <w:tcMar>
              <w:top w:w="15" w:type="dxa"/>
              <w:left w:w="15" w:type="dxa"/>
              <w:bottom w:w="15" w:type="dxa"/>
              <w:right w:w="15" w:type="dxa"/>
            </w:tcMar>
            <w:vAlign w:val="center"/>
            <w:hideMark/>
          </w:tcPr>
          <w:p w14:paraId="3E3992C8"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41C0D54D"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(mentioned in worker accounts; sector presence in Sri Lankan suppliers)</w:t>
            </w:r>
          </w:p>
        </w:tc>
        <w:tc>
          <w:tcPr>
            <w:tcW w:w="3419" w:type="dxa"/>
            <w:tcMar>
              <w:top w:w="15" w:type="dxa"/>
              <w:left w:w="15" w:type="dxa"/>
              <w:bottom w:w="15" w:type="dxa"/>
              <w:right w:w="15" w:type="dxa"/>
            </w:tcMar>
            <w:vAlign w:val="center"/>
            <w:hideMark/>
          </w:tcPr>
          <w:p w14:paraId="1DC3D23A"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Establishes relevance to micro-level fieldwork; ties corporate disclosure to worker realities.</w:t>
            </w:r>
          </w:p>
        </w:tc>
      </w:tr>
      <w:tr w:rsidR="00736F61" w:rsidRPr="00CC1FC3" w14:paraId="5A27B052" w14:textId="77777777" w:rsidTr="00621211">
        <w:trPr>
          <w:trHeight w:val="892"/>
          <w:tblCellSpacing w:w="15" w:type="dxa"/>
        </w:trPr>
        <w:tc>
          <w:tcPr>
            <w:tcW w:w="2223" w:type="dxa"/>
            <w:tcMar>
              <w:top w:w="15" w:type="dxa"/>
              <w:left w:w="15" w:type="dxa"/>
              <w:bottom w:w="15" w:type="dxa"/>
              <w:right w:w="15" w:type="dxa"/>
            </w:tcMar>
            <w:vAlign w:val="center"/>
            <w:hideMark/>
          </w:tcPr>
          <w:p w14:paraId="3F43AE9E"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Availability of Disclosure Materials (2019–2023)</w:t>
            </w:r>
          </w:p>
        </w:tc>
        <w:tc>
          <w:tcPr>
            <w:tcW w:w="2701" w:type="dxa"/>
            <w:tcMar>
              <w:top w:w="15" w:type="dxa"/>
              <w:left w:w="15" w:type="dxa"/>
              <w:bottom w:w="15" w:type="dxa"/>
              <w:right w:w="15" w:type="dxa"/>
            </w:tcMar>
            <w:vAlign w:val="center"/>
            <w:hideMark/>
          </w:tcPr>
          <w:p w14:paraId="228EA7F6"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55CE438F"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Annual Reports, Impact Reports, MSA Statements</w:t>
            </w:r>
          </w:p>
        </w:tc>
        <w:tc>
          <w:tcPr>
            <w:tcW w:w="2544" w:type="dxa"/>
            <w:tcMar>
              <w:top w:w="15" w:type="dxa"/>
              <w:left w:w="15" w:type="dxa"/>
              <w:bottom w:w="15" w:type="dxa"/>
              <w:right w:w="15" w:type="dxa"/>
            </w:tcMar>
            <w:vAlign w:val="center"/>
            <w:hideMark/>
          </w:tcPr>
          <w:p w14:paraId="6502B1D1"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336C9C35"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Integrated Reports, Sustainability Reports, Policies</w:t>
            </w:r>
          </w:p>
        </w:tc>
        <w:tc>
          <w:tcPr>
            <w:tcW w:w="2887" w:type="dxa"/>
            <w:tcMar>
              <w:top w:w="15" w:type="dxa"/>
              <w:left w:w="15" w:type="dxa"/>
              <w:bottom w:w="15" w:type="dxa"/>
              <w:right w:w="15" w:type="dxa"/>
            </w:tcMar>
            <w:vAlign w:val="center"/>
            <w:hideMark/>
          </w:tcPr>
          <w:p w14:paraId="68B16BB4"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797DB90C"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Annual Reports, Human Rights Disclosures</w:t>
            </w:r>
          </w:p>
        </w:tc>
        <w:tc>
          <w:tcPr>
            <w:tcW w:w="3419" w:type="dxa"/>
            <w:tcMar>
              <w:top w:w="15" w:type="dxa"/>
              <w:left w:w="15" w:type="dxa"/>
              <w:bottom w:w="15" w:type="dxa"/>
              <w:right w:w="15" w:type="dxa"/>
            </w:tcMar>
            <w:vAlign w:val="center"/>
            <w:hideMark/>
          </w:tcPr>
          <w:p w14:paraId="6730E756"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Ensures the feasibility of longitudinal content analysis.</w:t>
            </w:r>
          </w:p>
        </w:tc>
      </w:tr>
      <w:tr w:rsidR="00736F61" w:rsidRPr="00CC1FC3" w14:paraId="1D60BB3A" w14:textId="77777777" w:rsidTr="00621211">
        <w:trPr>
          <w:trHeight w:val="855"/>
          <w:tblCellSpacing w:w="15" w:type="dxa"/>
        </w:trPr>
        <w:tc>
          <w:tcPr>
            <w:tcW w:w="2223" w:type="dxa"/>
            <w:tcMar>
              <w:top w:w="15" w:type="dxa"/>
              <w:left w:w="15" w:type="dxa"/>
              <w:bottom w:w="15" w:type="dxa"/>
              <w:right w:w="15" w:type="dxa"/>
            </w:tcMar>
            <w:vAlign w:val="center"/>
            <w:hideMark/>
          </w:tcPr>
          <w:p w14:paraId="3FA43113"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High CMS-Risk Industry</w:t>
            </w:r>
          </w:p>
        </w:tc>
        <w:tc>
          <w:tcPr>
            <w:tcW w:w="2701" w:type="dxa"/>
            <w:tcMar>
              <w:top w:w="15" w:type="dxa"/>
              <w:left w:w="15" w:type="dxa"/>
              <w:bottom w:w="15" w:type="dxa"/>
              <w:right w:w="15" w:type="dxa"/>
            </w:tcMar>
            <w:vAlign w:val="center"/>
            <w:hideMark/>
          </w:tcPr>
          <w:p w14:paraId="18FB8656"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045D6252"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 xml:space="preserve"> Apparel/Footwear</w:t>
            </w:r>
          </w:p>
        </w:tc>
        <w:tc>
          <w:tcPr>
            <w:tcW w:w="2544" w:type="dxa"/>
            <w:tcMar>
              <w:top w:w="15" w:type="dxa"/>
              <w:left w:w="15" w:type="dxa"/>
              <w:bottom w:w="15" w:type="dxa"/>
              <w:right w:w="15" w:type="dxa"/>
            </w:tcMar>
            <w:vAlign w:val="center"/>
            <w:hideMark/>
          </w:tcPr>
          <w:p w14:paraId="0D91856F"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r w:rsidRPr="00CC1FC3">
              <w:rPr>
                <w:rFonts w:eastAsia="Times New Roman"/>
                <w:color w:val="auto"/>
                <w:sz w:val="22"/>
                <w:szCs w:val="22"/>
                <w:lang w:eastAsia="en-GB"/>
              </w:rPr>
              <w:t xml:space="preserve"> </w:t>
            </w:r>
          </w:p>
          <w:p w14:paraId="22B8BC28"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Fast Fashion</w:t>
            </w:r>
          </w:p>
        </w:tc>
        <w:tc>
          <w:tcPr>
            <w:tcW w:w="2887" w:type="dxa"/>
            <w:tcMar>
              <w:top w:w="15" w:type="dxa"/>
              <w:left w:w="15" w:type="dxa"/>
              <w:bottom w:w="15" w:type="dxa"/>
              <w:right w:w="15" w:type="dxa"/>
            </w:tcMar>
            <w:vAlign w:val="center"/>
            <w:hideMark/>
          </w:tcPr>
          <w:p w14:paraId="2417134A"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244BBFAC"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Luxury Fashion</w:t>
            </w:r>
          </w:p>
        </w:tc>
        <w:tc>
          <w:tcPr>
            <w:tcW w:w="3419" w:type="dxa"/>
            <w:tcMar>
              <w:top w:w="15" w:type="dxa"/>
              <w:left w:w="15" w:type="dxa"/>
              <w:bottom w:w="15" w:type="dxa"/>
              <w:right w:w="15" w:type="dxa"/>
            </w:tcMar>
            <w:vAlign w:val="center"/>
            <w:hideMark/>
          </w:tcPr>
          <w:p w14:paraId="0904EF65"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The A&amp;TI is classified as high-risk for forced labour, wage exploitation, and supply-chain opacity.</w:t>
            </w:r>
          </w:p>
        </w:tc>
      </w:tr>
      <w:tr w:rsidR="00736F61" w:rsidRPr="00CC1FC3" w14:paraId="03FF736E" w14:textId="77777777" w:rsidTr="00621211">
        <w:trPr>
          <w:trHeight w:val="711"/>
          <w:tblCellSpacing w:w="15" w:type="dxa"/>
        </w:trPr>
        <w:tc>
          <w:tcPr>
            <w:tcW w:w="2223" w:type="dxa"/>
            <w:tcMar>
              <w:top w:w="15" w:type="dxa"/>
              <w:left w:w="15" w:type="dxa"/>
              <w:bottom w:w="15" w:type="dxa"/>
              <w:right w:w="15" w:type="dxa"/>
            </w:tcMar>
            <w:vAlign w:val="center"/>
            <w:hideMark/>
          </w:tcPr>
          <w:p w14:paraId="22FB6921"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Significance in Global Supply Chains</w:t>
            </w:r>
          </w:p>
        </w:tc>
        <w:tc>
          <w:tcPr>
            <w:tcW w:w="2701" w:type="dxa"/>
            <w:tcMar>
              <w:top w:w="15" w:type="dxa"/>
              <w:left w:w="15" w:type="dxa"/>
              <w:bottom w:w="15" w:type="dxa"/>
              <w:right w:w="15" w:type="dxa"/>
            </w:tcMar>
            <w:vAlign w:val="center"/>
            <w:hideMark/>
          </w:tcPr>
          <w:p w14:paraId="21FCCE4A"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7A82A24E"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Large-scale tiered production networks</w:t>
            </w:r>
          </w:p>
        </w:tc>
        <w:tc>
          <w:tcPr>
            <w:tcW w:w="2544" w:type="dxa"/>
            <w:tcMar>
              <w:top w:w="15" w:type="dxa"/>
              <w:left w:w="15" w:type="dxa"/>
              <w:bottom w:w="15" w:type="dxa"/>
              <w:right w:w="15" w:type="dxa"/>
            </w:tcMar>
            <w:vAlign w:val="center"/>
            <w:hideMark/>
          </w:tcPr>
          <w:p w14:paraId="009977BC"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r w:rsidRPr="00CC1FC3">
              <w:rPr>
                <w:rFonts w:eastAsia="Times New Roman"/>
                <w:color w:val="auto"/>
                <w:sz w:val="22"/>
                <w:szCs w:val="22"/>
                <w:lang w:eastAsia="en-GB"/>
              </w:rPr>
              <w:t xml:space="preserve"> </w:t>
            </w:r>
          </w:p>
          <w:p w14:paraId="1A932245"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World’s largest fashion retailer</w:t>
            </w:r>
          </w:p>
        </w:tc>
        <w:tc>
          <w:tcPr>
            <w:tcW w:w="2887" w:type="dxa"/>
            <w:tcMar>
              <w:top w:w="15" w:type="dxa"/>
              <w:left w:w="15" w:type="dxa"/>
              <w:bottom w:w="15" w:type="dxa"/>
              <w:right w:w="15" w:type="dxa"/>
            </w:tcMar>
            <w:vAlign w:val="center"/>
            <w:hideMark/>
          </w:tcPr>
          <w:p w14:paraId="199662AC"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395428E7"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Global luxury conglomerate under LVMH</w:t>
            </w:r>
          </w:p>
        </w:tc>
        <w:tc>
          <w:tcPr>
            <w:tcW w:w="3419" w:type="dxa"/>
            <w:tcMar>
              <w:top w:w="15" w:type="dxa"/>
              <w:left w:w="15" w:type="dxa"/>
              <w:bottom w:w="15" w:type="dxa"/>
              <w:right w:w="15" w:type="dxa"/>
            </w:tcMar>
            <w:vAlign w:val="center"/>
            <w:hideMark/>
          </w:tcPr>
          <w:p w14:paraId="6CB201E4"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Ideal cases for examining decoupling and symbolic compliance.</w:t>
            </w:r>
          </w:p>
        </w:tc>
      </w:tr>
      <w:tr w:rsidR="00736F61" w:rsidRPr="00CC1FC3" w14:paraId="4A4E5F0E" w14:textId="77777777" w:rsidTr="00621211">
        <w:trPr>
          <w:trHeight w:val="711"/>
          <w:tblCellSpacing w:w="15" w:type="dxa"/>
        </w:trPr>
        <w:tc>
          <w:tcPr>
            <w:tcW w:w="2223" w:type="dxa"/>
            <w:tcBorders>
              <w:top w:val="nil"/>
              <w:left w:val="nil"/>
              <w:bottom w:val="single" w:sz="4" w:space="0" w:color="auto"/>
              <w:right w:val="nil"/>
            </w:tcBorders>
            <w:tcMar>
              <w:top w:w="15" w:type="dxa"/>
              <w:left w:w="15" w:type="dxa"/>
              <w:bottom w:w="15" w:type="dxa"/>
              <w:right w:w="15" w:type="dxa"/>
            </w:tcMar>
            <w:vAlign w:val="center"/>
            <w:hideMark/>
          </w:tcPr>
          <w:p w14:paraId="79FBF024"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Brand Visibility and Institutional Pressures</w:t>
            </w:r>
          </w:p>
        </w:tc>
        <w:tc>
          <w:tcPr>
            <w:tcW w:w="2701" w:type="dxa"/>
            <w:tcBorders>
              <w:top w:val="nil"/>
              <w:left w:val="nil"/>
              <w:bottom w:val="single" w:sz="4" w:space="0" w:color="auto"/>
              <w:right w:val="nil"/>
            </w:tcBorders>
            <w:tcMar>
              <w:top w:w="15" w:type="dxa"/>
              <w:left w:w="15" w:type="dxa"/>
              <w:bottom w:w="15" w:type="dxa"/>
              <w:right w:w="15" w:type="dxa"/>
            </w:tcMar>
            <w:vAlign w:val="center"/>
            <w:hideMark/>
          </w:tcPr>
          <w:p w14:paraId="51388339"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p>
          <w:p w14:paraId="000EFC26"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Subject to strong public scrutiny and activism</w:t>
            </w:r>
          </w:p>
        </w:tc>
        <w:tc>
          <w:tcPr>
            <w:tcW w:w="2544" w:type="dxa"/>
            <w:tcBorders>
              <w:top w:val="nil"/>
              <w:left w:val="nil"/>
              <w:bottom w:val="single" w:sz="4" w:space="0" w:color="auto"/>
              <w:right w:val="nil"/>
            </w:tcBorders>
            <w:tcMar>
              <w:top w:w="15" w:type="dxa"/>
              <w:left w:w="15" w:type="dxa"/>
              <w:bottom w:w="15" w:type="dxa"/>
              <w:right w:w="15" w:type="dxa"/>
            </w:tcMar>
            <w:vAlign w:val="center"/>
            <w:hideMark/>
          </w:tcPr>
          <w:p w14:paraId="59EBFA7F"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r w:rsidRPr="00CC1FC3">
              <w:rPr>
                <w:rFonts w:eastAsia="Times New Roman"/>
                <w:color w:val="auto"/>
                <w:sz w:val="22"/>
                <w:szCs w:val="22"/>
                <w:lang w:eastAsia="en-GB"/>
              </w:rPr>
              <w:t xml:space="preserve"> </w:t>
            </w:r>
          </w:p>
          <w:p w14:paraId="4CF5B8EC"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High regulatory and consumer visibility</w:t>
            </w:r>
          </w:p>
        </w:tc>
        <w:tc>
          <w:tcPr>
            <w:tcW w:w="2887" w:type="dxa"/>
            <w:tcBorders>
              <w:top w:val="nil"/>
              <w:left w:val="nil"/>
              <w:bottom w:val="single" w:sz="4" w:space="0" w:color="auto"/>
              <w:right w:val="nil"/>
            </w:tcBorders>
            <w:tcMar>
              <w:top w:w="15" w:type="dxa"/>
              <w:left w:w="15" w:type="dxa"/>
              <w:bottom w:w="15" w:type="dxa"/>
              <w:right w:w="15" w:type="dxa"/>
            </w:tcMar>
            <w:vAlign w:val="center"/>
            <w:hideMark/>
          </w:tcPr>
          <w:p w14:paraId="09C41499"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ascii="Segoe UI Symbol" w:eastAsia="Times New Roman" w:hAnsi="Segoe UI Symbol" w:cs="Segoe UI Symbol"/>
                <w:color w:val="auto"/>
                <w:sz w:val="22"/>
                <w:szCs w:val="22"/>
                <w:lang w:eastAsia="en-GB"/>
              </w:rPr>
              <w:t>✓</w:t>
            </w:r>
            <w:r w:rsidRPr="00CC1FC3">
              <w:rPr>
                <w:rFonts w:eastAsia="Times New Roman"/>
                <w:color w:val="auto"/>
                <w:sz w:val="22"/>
                <w:szCs w:val="22"/>
                <w:lang w:eastAsia="en-GB"/>
              </w:rPr>
              <w:t xml:space="preserve"> </w:t>
            </w:r>
          </w:p>
          <w:p w14:paraId="4256E369"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Reputational sensitivity in luxury markets</w:t>
            </w:r>
          </w:p>
        </w:tc>
        <w:tc>
          <w:tcPr>
            <w:tcW w:w="3419" w:type="dxa"/>
            <w:tcBorders>
              <w:top w:val="nil"/>
              <w:left w:val="nil"/>
              <w:bottom w:val="single" w:sz="4" w:space="0" w:color="auto"/>
              <w:right w:val="nil"/>
            </w:tcBorders>
            <w:tcMar>
              <w:top w:w="15" w:type="dxa"/>
              <w:left w:w="15" w:type="dxa"/>
              <w:bottom w:w="15" w:type="dxa"/>
              <w:right w:w="15" w:type="dxa"/>
            </w:tcMar>
            <w:vAlign w:val="center"/>
            <w:hideMark/>
          </w:tcPr>
          <w:p w14:paraId="1A5F04F8" w14:textId="77777777" w:rsidR="00736F61" w:rsidRPr="00CC1FC3" w:rsidRDefault="00736F61" w:rsidP="003F224E">
            <w:pPr>
              <w:spacing w:after="0" w:line="240" w:lineRule="auto"/>
              <w:jc w:val="center"/>
              <w:rPr>
                <w:rFonts w:eastAsia="Times New Roman"/>
                <w:color w:val="auto"/>
                <w:sz w:val="22"/>
                <w:szCs w:val="22"/>
                <w:lang w:eastAsia="en-GB"/>
              </w:rPr>
            </w:pPr>
            <w:r w:rsidRPr="00CC1FC3">
              <w:rPr>
                <w:rFonts w:eastAsia="Times New Roman"/>
                <w:color w:val="auto"/>
                <w:sz w:val="22"/>
                <w:szCs w:val="22"/>
                <w:lang w:eastAsia="en-GB"/>
              </w:rPr>
              <w:t>NIT-aligned: high coercive, normative, and mimetic pressures.</w:t>
            </w:r>
          </w:p>
        </w:tc>
      </w:tr>
    </w:tbl>
    <w:p w14:paraId="3BA1886F" w14:textId="77777777" w:rsidR="00736F61" w:rsidRPr="00CC1FC3" w:rsidRDefault="00736F61" w:rsidP="00736F61">
      <w:pPr>
        <w:spacing w:after="0" w:line="480" w:lineRule="auto"/>
        <w:jc w:val="both"/>
        <w:rPr>
          <w:rFonts w:eastAsia="Times New Roman"/>
          <w:color w:val="auto"/>
          <w:lang w:eastAsia="en-GB"/>
        </w:rPr>
      </w:pPr>
      <w:r w:rsidRPr="00CC1FC3">
        <w:rPr>
          <w:b/>
          <w:bCs/>
        </w:rPr>
        <w:t xml:space="preserve">Table </w:t>
      </w:r>
      <w:r>
        <w:rPr>
          <w:b/>
          <w:bCs/>
        </w:rPr>
        <w:t>5.14</w:t>
      </w:r>
      <w:r w:rsidRPr="00CC1FC3">
        <w:rPr>
          <w:b/>
          <w:bCs/>
        </w:rPr>
        <w:t>:</w:t>
      </w:r>
      <w:r w:rsidRPr="00CC1FC3">
        <w:t xml:space="preserve"> Justification for sample selection for Meso-Level Disclosure Analysis</w:t>
      </w:r>
    </w:p>
    <w:p w14:paraId="3EFBD6D4" w14:textId="77777777" w:rsidR="00736F61" w:rsidRPr="00CC1FC3" w:rsidRDefault="00736F61" w:rsidP="00736F61">
      <w:pPr>
        <w:spacing w:after="0" w:line="240" w:lineRule="auto"/>
        <w:rPr>
          <w:rFonts w:eastAsia="Times New Roman"/>
          <w:b/>
          <w:bCs/>
          <w:color w:val="auto"/>
          <w:lang w:eastAsia="en-GB"/>
        </w:rPr>
      </w:pPr>
    </w:p>
    <w:p w14:paraId="5E6D47F3" w14:textId="77777777" w:rsidR="00736F61" w:rsidRPr="00CC1FC3" w:rsidRDefault="00736F61" w:rsidP="00736F61">
      <w:pPr>
        <w:spacing w:after="0" w:line="240" w:lineRule="auto"/>
        <w:rPr>
          <w:rFonts w:eastAsia="Times New Roman"/>
          <w:color w:val="auto"/>
          <w:lang w:eastAsia="en-GB"/>
        </w:rPr>
        <w:sectPr w:rsidR="00736F61" w:rsidRPr="00CC1FC3" w:rsidSect="00736F61">
          <w:pgSz w:w="16838" w:h="11906" w:orient="landscape"/>
          <w:pgMar w:top="1440" w:right="1440" w:bottom="1440" w:left="1440" w:header="709" w:footer="709" w:gutter="0"/>
          <w:cols w:space="720"/>
        </w:sectPr>
      </w:pPr>
    </w:p>
    <w:p w14:paraId="216E1351" w14:textId="77777777" w:rsidR="00736F61" w:rsidRPr="00CC1FC3" w:rsidRDefault="00736F61" w:rsidP="00736F61">
      <w:pPr>
        <w:pStyle w:val="Heading4"/>
      </w:pPr>
      <w:bookmarkStart w:id="172" w:name="_Toc216557295"/>
      <w:bookmarkStart w:id="173" w:name="_Toc220848395"/>
      <w:r w:rsidRPr="00CC1FC3">
        <w:lastRenderedPageBreak/>
        <w:t>5.5.1.2 Data Sources for Disclosure Analysis</w:t>
      </w:r>
      <w:bookmarkEnd w:id="172"/>
      <w:bookmarkEnd w:id="173"/>
    </w:p>
    <w:p w14:paraId="16E7BC55" w14:textId="77777777" w:rsidR="00736F61" w:rsidRPr="00CC1FC3" w:rsidRDefault="00736F61" w:rsidP="00736F61">
      <w:pPr>
        <w:pStyle w:val="Heading5"/>
        <w:spacing w:line="480" w:lineRule="auto"/>
        <w:rPr>
          <w:rFonts w:cs="Times New Roman"/>
          <w:color w:val="0F4761" w:themeColor="accent1" w:themeShade="BF"/>
        </w:rPr>
      </w:pPr>
      <w:bookmarkStart w:id="174" w:name="_Toc216557296"/>
      <w:bookmarkStart w:id="175" w:name="_Toc220848396"/>
      <w:r w:rsidRPr="00CC1FC3">
        <w:rPr>
          <w:rFonts w:cs="Times New Roman"/>
        </w:rPr>
        <w:t>5.5.1.2.1 Documents Included</w:t>
      </w:r>
      <w:bookmarkEnd w:id="174"/>
      <w:bookmarkEnd w:id="175"/>
    </w:p>
    <w:p w14:paraId="5330BB4E" w14:textId="77777777" w:rsidR="00736F61" w:rsidRPr="00CC1FC3" w:rsidRDefault="00736F61" w:rsidP="00736F61">
      <w:pPr>
        <w:spacing w:line="480" w:lineRule="auto"/>
        <w:jc w:val="both"/>
      </w:pPr>
      <w:r w:rsidRPr="00CC1FC3">
        <w:t>The meso-level disclosure analysis drew on a curated set of publicly available corporate documents from Nike, Inditex, and Christian Dior, produced between 2019 and 2023. The dataset comprised Integrated Reports, Annual Reports, Sustainability/Impact Reports, MSS, Codes of Conduct, Supplier Standards, and Human Rights/Due Diligence disclosures. These documents represent each firm's formal and externally communicated commitments to labour governance, ethical sourcing, and ACMS compliance, making them suitable for examining both symbolic and substantive accountability practices.</w:t>
      </w:r>
    </w:p>
    <w:p w14:paraId="0F8E828B" w14:textId="77777777" w:rsidR="00736F61" w:rsidRPr="00CC1FC3" w:rsidRDefault="00736F61" w:rsidP="00736F61">
      <w:pPr>
        <w:spacing w:line="480" w:lineRule="auto"/>
        <w:ind w:firstLine="720"/>
        <w:jc w:val="both"/>
      </w:pPr>
      <w:r w:rsidRPr="00CC1FC3">
        <w:t>To strengthen analytical depth and triangulation, these primary corporate disclosures were supplemented with media investigations, NGO reports, and labour rights publications (e.g., the Clean Clothes Campaign and Human Rights Watch). These external sources provided independent perspectives on working conditions, enforcement gaps, and supply-chain realities, enabling the study to contrast corporate narratives with documented incidents and industry scrutiny. Collectively, the dataset provided a longitudinal, multi-perspectival evidence base for analysing how the selected MNCs articulated, adapted, and legitimised their labour and supply-chain governance strategies over the five years.</w:t>
      </w:r>
    </w:p>
    <w:p w14:paraId="6932D4DA" w14:textId="77777777" w:rsidR="00736F61" w:rsidRPr="00CC1FC3" w:rsidRDefault="00736F61" w:rsidP="00736F61">
      <w:pPr>
        <w:pStyle w:val="Heading5"/>
        <w:rPr>
          <w:rFonts w:cs="Times New Roman"/>
        </w:rPr>
      </w:pPr>
      <w:bookmarkStart w:id="176" w:name="_Toc216557297"/>
      <w:bookmarkStart w:id="177" w:name="_Toc220848397"/>
      <w:r w:rsidRPr="00CC1FC3">
        <w:rPr>
          <w:rFonts w:cs="Times New Roman"/>
        </w:rPr>
        <w:t>5.5.1.2.2 Inclusion and Exclusion Criteria</w:t>
      </w:r>
      <w:bookmarkEnd w:id="176"/>
      <w:bookmarkEnd w:id="177"/>
    </w:p>
    <w:p w14:paraId="5E1C9E8A" w14:textId="77777777" w:rsidR="00736F61" w:rsidRPr="00CC1FC3" w:rsidRDefault="00736F61" w:rsidP="00736F61">
      <w:pPr>
        <w:spacing w:before="100" w:beforeAutospacing="1" w:after="100" w:afterAutospacing="1" w:line="480" w:lineRule="auto"/>
        <w:jc w:val="both"/>
        <w:rPr>
          <w:rFonts w:eastAsia="Times New Roman"/>
          <w:color w:val="auto"/>
          <w:lang w:eastAsia="en-GB"/>
        </w:rPr>
      </w:pPr>
      <w:r w:rsidRPr="00CC1FC3">
        <w:rPr>
          <w:rFonts w:eastAsia="Times New Roman"/>
          <w:color w:val="auto"/>
          <w:lang w:eastAsia="en-GB"/>
        </w:rPr>
        <w:t>Documents were included in the analysis if they met the following criteria:</w:t>
      </w:r>
    </w:p>
    <w:p w14:paraId="0AFAEAD4" w14:textId="77777777" w:rsidR="00736F61" w:rsidRPr="00CC1FC3" w:rsidRDefault="00736F61" w:rsidP="00736F61">
      <w:pPr>
        <w:pStyle w:val="ListParagraph"/>
        <w:numPr>
          <w:ilvl w:val="0"/>
          <w:numId w:val="33"/>
        </w:numPr>
        <w:spacing w:before="100" w:beforeAutospacing="1" w:after="100" w:afterAutospacing="1" w:line="480" w:lineRule="auto"/>
        <w:jc w:val="both"/>
        <w:rPr>
          <w:rFonts w:eastAsia="Times New Roman"/>
          <w:color w:val="auto"/>
          <w:lang w:eastAsia="en-GB"/>
        </w:rPr>
      </w:pPr>
      <w:r w:rsidRPr="00CC1FC3">
        <w:rPr>
          <w:rFonts w:eastAsia="Times New Roman"/>
          <w:b/>
          <w:bCs/>
          <w:i/>
          <w:iCs/>
          <w:color w:val="auto"/>
          <w:lang w:eastAsia="en-GB"/>
        </w:rPr>
        <w:t>Publication period:</w:t>
      </w:r>
      <w:r w:rsidRPr="00CC1FC3">
        <w:rPr>
          <w:rFonts w:eastAsia="Times New Roman"/>
          <w:color w:val="auto"/>
          <w:lang w:eastAsia="en-GB"/>
        </w:rPr>
        <w:t xml:space="preserve"> 2019-2023.</w:t>
      </w:r>
    </w:p>
    <w:p w14:paraId="570F808F" w14:textId="77777777" w:rsidR="00736F61" w:rsidRPr="00CC1FC3" w:rsidRDefault="00736F61" w:rsidP="00736F61">
      <w:pPr>
        <w:pStyle w:val="ListParagraph"/>
        <w:numPr>
          <w:ilvl w:val="0"/>
          <w:numId w:val="33"/>
        </w:numPr>
        <w:spacing w:before="100" w:beforeAutospacing="1" w:after="100" w:afterAutospacing="1" w:line="480" w:lineRule="auto"/>
        <w:jc w:val="both"/>
        <w:rPr>
          <w:rFonts w:eastAsia="Times New Roman"/>
          <w:color w:val="auto"/>
          <w:lang w:eastAsia="en-GB"/>
        </w:rPr>
      </w:pPr>
      <w:r w:rsidRPr="00CC1FC3">
        <w:rPr>
          <w:rFonts w:eastAsia="Times New Roman"/>
          <w:b/>
          <w:bCs/>
          <w:i/>
          <w:iCs/>
          <w:color w:val="auto"/>
          <w:lang w:eastAsia="en-GB"/>
        </w:rPr>
        <w:t>Content relevance:</w:t>
      </w:r>
      <w:r w:rsidRPr="00CC1FC3">
        <w:rPr>
          <w:rFonts w:eastAsia="Times New Roman"/>
          <w:color w:val="auto"/>
          <w:lang w:eastAsia="en-GB"/>
        </w:rPr>
        <w:t xml:space="preserve"> contained explicit reference to labour governance, human rights, supply-chain oversight, due diligence mechanisms, or MS-related policies.</w:t>
      </w:r>
    </w:p>
    <w:p w14:paraId="08C3DAF9" w14:textId="77777777" w:rsidR="00736F61" w:rsidRPr="00CC1FC3" w:rsidRDefault="00736F61" w:rsidP="00736F61">
      <w:pPr>
        <w:spacing w:before="100" w:beforeAutospacing="1" w:after="100" w:afterAutospacing="1" w:line="480" w:lineRule="auto"/>
        <w:ind w:left="567"/>
        <w:jc w:val="both"/>
        <w:rPr>
          <w:rFonts w:eastAsia="Times New Roman"/>
          <w:color w:val="auto"/>
          <w:lang w:eastAsia="en-GB"/>
        </w:rPr>
      </w:pPr>
    </w:p>
    <w:p w14:paraId="5CB440F2" w14:textId="77777777" w:rsidR="00736F61" w:rsidRPr="00CC1FC3" w:rsidRDefault="00736F61" w:rsidP="00736F61">
      <w:pPr>
        <w:pStyle w:val="ListParagraph"/>
        <w:numPr>
          <w:ilvl w:val="0"/>
          <w:numId w:val="33"/>
        </w:numPr>
        <w:spacing w:before="100" w:beforeAutospacing="1" w:after="100" w:afterAutospacing="1" w:line="480" w:lineRule="auto"/>
        <w:jc w:val="both"/>
        <w:rPr>
          <w:rFonts w:eastAsia="Times New Roman"/>
          <w:color w:val="auto"/>
          <w:lang w:eastAsia="en-GB"/>
        </w:rPr>
      </w:pPr>
      <w:r w:rsidRPr="00CC1FC3">
        <w:rPr>
          <w:rFonts w:eastAsia="Times New Roman"/>
          <w:b/>
          <w:bCs/>
          <w:i/>
          <w:iCs/>
          <w:color w:val="auto"/>
          <w:lang w:eastAsia="en-GB"/>
        </w:rPr>
        <w:lastRenderedPageBreak/>
        <w:t>Source validity</w:t>
      </w:r>
      <w:r w:rsidRPr="00CC1FC3">
        <w:rPr>
          <w:rFonts w:eastAsia="Times New Roman"/>
          <w:color w:val="auto"/>
          <w:lang w:eastAsia="en-GB"/>
        </w:rPr>
        <w:t xml:space="preserve"> was official corporate publications or verified third-party reports (e.g., reputable NGOs, investigative media).</w:t>
      </w:r>
    </w:p>
    <w:p w14:paraId="0A2C707D" w14:textId="77777777" w:rsidR="00736F61" w:rsidRPr="00CC1FC3" w:rsidRDefault="00736F61" w:rsidP="00736F61">
      <w:pPr>
        <w:pStyle w:val="ListParagraph"/>
        <w:numPr>
          <w:ilvl w:val="0"/>
          <w:numId w:val="33"/>
        </w:numPr>
        <w:spacing w:before="100" w:beforeAutospacing="1" w:after="100" w:afterAutospacing="1" w:line="480" w:lineRule="auto"/>
        <w:jc w:val="both"/>
        <w:rPr>
          <w:rFonts w:eastAsia="Times New Roman"/>
          <w:color w:val="auto"/>
          <w:lang w:eastAsia="en-GB"/>
        </w:rPr>
      </w:pPr>
      <w:r w:rsidRPr="00CC1FC3">
        <w:rPr>
          <w:rFonts w:eastAsia="Times New Roman"/>
          <w:b/>
          <w:bCs/>
          <w:i/>
          <w:iCs/>
          <w:color w:val="auto"/>
          <w:lang w:eastAsia="en-GB"/>
        </w:rPr>
        <w:t>Comparability:</w:t>
      </w:r>
      <w:r w:rsidRPr="00CC1FC3">
        <w:rPr>
          <w:rFonts w:eastAsia="Times New Roman"/>
          <w:color w:val="auto"/>
          <w:lang w:eastAsia="en-GB"/>
        </w:rPr>
        <w:t xml:space="preserve"> followed standardised reporting formats that enabled cross-company and longitudinal analysis.</w:t>
      </w:r>
    </w:p>
    <w:p w14:paraId="65E42674" w14:textId="77777777" w:rsidR="00736F61" w:rsidRPr="00CC1FC3" w:rsidRDefault="00736F61" w:rsidP="00736F61">
      <w:pPr>
        <w:spacing w:before="100" w:beforeAutospacing="1" w:after="100" w:afterAutospacing="1" w:line="480" w:lineRule="auto"/>
        <w:ind w:firstLine="360"/>
        <w:jc w:val="both"/>
        <w:rPr>
          <w:rFonts w:eastAsia="Times New Roman"/>
          <w:color w:val="auto"/>
          <w:lang w:eastAsia="en-GB"/>
        </w:rPr>
      </w:pPr>
      <w:r w:rsidRPr="00CC1FC3">
        <w:rPr>
          <w:rFonts w:eastAsia="Times New Roman"/>
          <w:color w:val="auto"/>
          <w:lang w:eastAsia="en-GB"/>
        </w:rPr>
        <w:t>Documents were excluded if they focused primarily on brand promotion, marketing, or financial performance without substantive labour or sustainability content. Investor presentations, press releases, and advertising materials were similarly excluded due to a lack of analytical value for the ACMS governance assessment.</w:t>
      </w:r>
    </w:p>
    <w:p w14:paraId="7CA40F12" w14:textId="77777777" w:rsidR="00736F61" w:rsidRPr="00CC1FC3" w:rsidRDefault="00736F61" w:rsidP="00736F61">
      <w:pPr>
        <w:spacing w:before="100" w:beforeAutospacing="1" w:after="100" w:afterAutospacing="1" w:line="480" w:lineRule="auto"/>
        <w:ind w:firstLine="720"/>
        <w:jc w:val="both"/>
        <w:rPr>
          <w:rFonts w:eastAsia="Times New Roman"/>
          <w:color w:val="auto"/>
          <w:lang w:eastAsia="en-GB"/>
        </w:rPr>
      </w:pPr>
      <w:r w:rsidRPr="00CC1FC3">
        <w:rPr>
          <w:rFonts w:eastAsia="Times New Roman"/>
          <w:color w:val="auto"/>
          <w:lang w:eastAsia="en-GB"/>
        </w:rPr>
        <w:t>This selective inclusion strategy ensured that the final dataset captured material disclosures most relevant to evaluating firms’ institutional responses to MS governance expectations and aligned with key regulatory frameworks, including the UK MSA (2015), the Australian MSA (2018), and the emerging EU-CSDDD (2024). Restricting the analysis to standardised, publicly available disclosures enhanced both transparency and comparability, providing a robust basis for identifying patterns of institutional decoupling, legitimacy-seeking behaviour, and governance alignment across the three case-study firms.</w:t>
      </w:r>
    </w:p>
    <w:p w14:paraId="3CE32B10" w14:textId="77777777" w:rsidR="00736F61" w:rsidRPr="00CC1FC3" w:rsidRDefault="00736F61" w:rsidP="00736F61">
      <w:pPr>
        <w:spacing w:after="0" w:line="480" w:lineRule="auto"/>
        <w:ind w:firstLine="720"/>
        <w:jc w:val="both"/>
        <w:rPr>
          <w:rFonts w:eastAsia="Times New Roman"/>
          <w:color w:val="auto"/>
          <w:lang w:eastAsia="en-GB"/>
        </w:rPr>
      </w:pPr>
      <w:r w:rsidRPr="00CC1FC3">
        <w:rPr>
          <w:rFonts w:eastAsia="Times New Roman"/>
          <w:color w:val="auto"/>
          <w:lang w:eastAsia="en-GB"/>
        </w:rPr>
        <w:t xml:space="preserve">Figure </w:t>
      </w:r>
      <w:r>
        <w:rPr>
          <w:rFonts w:eastAsia="Times New Roman"/>
          <w:color w:val="auto"/>
          <w:lang w:eastAsia="en-GB"/>
        </w:rPr>
        <w:t>5.13</w:t>
      </w:r>
      <w:r w:rsidRPr="00CC1FC3">
        <w:rPr>
          <w:rFonts w:eastAsia="Times New Roman"/>
          <w:color w:val="auto"/>
          <w:lang w:eastAsia="en-GB"/>
        </w:rPr>
        <w:t xml:space="preserve"> presents a PRISMA-style flow diagram documenting the systematic process by which disclosure materials were identified, screened, evaluated, and ultimately included in the meso-level qualitative analysis. The adoption of a PRISMA structure enhances methodological rigour by providing a replicable and auditable selection pathway, establishing transparent inclusion and exclusion criteria, reducing the risk of selection bias, and aligning the study with best practices in qualitative document analysis </w:t>
      </w:r>
      <w:sdt>
        <w:sdtPr>
          <w:rPr>
            <w:rFonts w:eastAsia="Times New Roman"/>
            <w:lang w:eastAsia="en-GB"/>
          </w:rPr>
          <w:tag w:val="MENDELEY_CITATION_v3_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iLCJwYXJzZS1uYW1lcyI6ZmFsc2UsImRyb3BwaW5nLXBhcnRpY2xlIjoiIiwibm9uLWRyb3BwaW5nLXBhcnRpY2xlIjoiIn0seyJmYW1pbHkiOiJXZWxjaCIsImdpdmVuIjoiVml2aWFuIEE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"/>
          <w:id w:val="-1088309032"/>
          <w:placeholder>
            <w:docPart w:val="A1B9069BBBD544FDA1EF06E1720E5BC5"/>
          </w:placeholder>
        </w:sdtPr>
        <w:sdtEndPr/>
        <w:sdtContent>
          <w:r w:rsidRPr="00A73C12">
            <w:rPr>
              <w:rFonts w:eastAsia="Times New Roman"/>
            </w:rPr>
            <w:t xml:space="preserve">(Mishra and Mishra, 2023; Page </w:t>
          </w:r>
          <w:r w:rsidRPr="00A73C12">
            <w:rPr>
              <w:rFonts w:eastAsia="Times New Roman"/>
              <w:i/>
              <w:iCs/>
            </w:rPr>
            <w:t>et al.</w:t>
          </w:r>
          <w:r w:rsidRPr="00A73C12">
            <w:rPr>
              <w:rFonts w:eastAsia="Times New Roman"/>
            </w:rPr>
            <w:t>, 2021)</w:t>
          </w:r>
        </w:sdtContent>
      </w:sdt>
      <w:r w:rsidRPr="00CC1FC3">
        <w:rPr>
          <w:rFonts w:eastAsia="Times New Roman"/>
          <w:color w:val="auto"/>
          <w:lang w:eastAsia="en-GB"/>
        </w:rPr>
        <w:t xml:space="preserve">. Beyond its procedural function, the diagram also serves a conceptual role by visually reinforcing the methodology's explanatory sequential logic and demonstrating how the </w:t>
      </w:r>
      <w:r w:rsidRPr="00CC1FC3">
        <w:rPr>
          <w:rFonts w:eastAsia="Times New Roman"/>
          <w:color w:val="auto"/>
          <w:lang w:eastAsia="en-GB"/>
        </w:rPr>
        <w:lastRenderedPageBreak/>
        <w:t xml:space="preserve">disclosure dataset was systematically constructed prior to coding and thematic analysis </w:t>
      </w:r>
      <w:sdt>
        <w:sdtPr>
          <w:rPr>
            <w:rFonts w:eastAsia="Times New Roman"/>
            <w:lang w:eastAsia="en-GB"/>
          </w:rPr>
          <w:tag w:val="MENDELEY_CITATION_v3_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"/>
          <w:id w:val="1461837168"/>
          <w:placeholder>
            <w:docPart w:val="BAB2841F77CC4190A4A452E3964DDC86"/>
          </w:placeholder>
        </w:sdtPr>
        <w:sdtEndPr/>
        <w:sdtContent>
          <w:r w:rsidRPr="00A73C12">
            <w:rPr>
              <w:rFonts w:eastAsia="Times New Roman"/>
              <w:lang w:eastAsia="en-GB"/>
            </w:rPr>
            <w:t>(Bowen, 2009)</w:t>
          </w:r>
        </w:sdtContent>
      </w:sdt>
      <w:r w:rsidRPr="00CC1FC3">
        <w:rPr>
          <w:rFonts w:eastAsia="Times New Roman"/>
          <w:color w:val="auto"/>
          <w:lang w:eastAsia="en-GB"/>
        </w:rPr>
        <w:t>.</w:t>
      </w:r>
    </w:p>
    <w:p w14:paraId="71F7D2A9" w14:textId="77777777" w:rsidR="00736F61" w:rsidRPr="00CC1FC3" w:rsidRDefault="00736F61" w:rsidP="00736F61">
      <w:pPr>
        <w:spacing w:after="0"/>
        <w:rPr>
          <w:rStyle w:val="normaltextrun"/>
          <w:b/>
          <w:bCs/>
        </w:rPr>
      </w:pPr>
      <w:r w:rsidRPr="00CC1FC3">
        <w:rPr>
          <w:noProof/>
        </w:rPr>
        <mc:AlternateContent>
          <mc:Choice Requires="wpg">
            <w:drawing>
              <wp:anchor distT="0" distB="0" distL="114300" distR="114300" simplePos="0" relativeHeight="251683840" behindDoc="0" locked="0" layoutInCell="1" allowOverlap="1" wp14:anchorId="07EA7A34" wp14:editId="495ECD72">
                <wp:simplePos x="0" y="0"/>
                <wp:positionH relativeFrom="column">
                  <wp:posOffset>0</wp:posOffset>
                </wp:positionH>
                <wp:positionV relativeFrom="paragraph">
                  <wp:posOffset>165100</wp:posOffset>
                </wp:positionV>
                <wp:extent cx="5763260" cy="3782695"/>
                <wp:effectExtent l="0" t="0" r="27940" b="27305"/>
                <wp:wrapNone/>
                <wp:docPr id="392437976" name="Group 8"/>
                <wp:cNvGraphicFramePr/>
                <a:graphic xmlns:a="http://schemas.openxmlformats.org/drawingml/2006/main">
                  <a:graphicData uri="http://schemas.microsoft.com/office/word/2010/wordprocessingGroup">
                    <wpg:wgp>
                      <wpg:cNvGrpSpPr/>
                      <wpg:grpSpPr>
                        <a:xfrm>
                          <a:off x="0" y="0"/>
                          <a:ext cx="5763260" cy="3782695"/>
                          <a:chOff x="0" y="0"/>
                          <a:chExt cx="5763336" cy="3732784"/>
                        </a:xfrm>
                      </wpg:grpSpPr>
                      <wps:wsp>
                        <wps:cNvPr id="839144774" name="Text Box 2"/>
                        <wps:cNvSpPr txBox="1">
                          <a:spLocks noChangeArrowheads="1"/>
                        </wps:cNvSpPr>
                        <wps:spPr bwMode="auto">
                          <a:xfrm>
                            <a:off x="3028426" y="1585849"/>
                            <a:ext cx="2684145" cy="2146935"/>
                          </a:xfrm>
                          <a:prstGeom prst="rect">
                            <a:avLst/>
                          </a:prstGeom>
                          <a:solidFill>
                            <a:srgbClr val="FFFFFF"/>
                          </a:solidFill>
                          <a:ln w="9525">
                            <a:solidFill>
                              <a:srgbClr val="000000"/>
                            </a:solidFill>
                            <a:miter lim="800000"/>
                            <a:headEnd/>
                            <a:tailEnd/>
                          </a:ln>
                        </wps:spPr>
                        <wps:txbx>
                          <w:txbxContent>
                            <w:p w14:paraId="198B0C75" w14:textId="77777777" w:rsidR="00736F61" w:rsidRPr="004F777C" w:rsidRDefault="00736F61" w:rsidP="00736F61">
                              <w:pPr>
                                <w:spacing w:after="0"/>
                                <w:rPr>
                                  <w:rStyle w:val="normaltextrun"/>
                                  <w:b/>
                                  <w:bCs/>
                                  <w:sz w:val="20"/>
                                  <w:szCs w:val="20"/>
                                </w:rPr>
                              </w:pPr>
                              <w:r w:rsidRPr="004F777C">
                                <w:rPr>
                                  <w:rStyle w:val="normaltextrun"/>
                                  <w:b/>
                                  <w:bCs/>
                                  <w:sz w:val="20"/>
                                  <w:szCs w:val="20"/>
                                </w:rPr>
                                <w:t>INCLUSION (n=</w:t>
                              </w:r>
                              <w:r>
                                <w:rPr>
                                  <w:rStyle w:val="normaltextrun"/>
                                  <w:b/>
                                  <w:bCs/>
                                  <w:sz w:val="20"/>
                                  <w:szCs w:val="20"/>
                                </w:rPr>
                                <w:t>114</w:t>
                              </w:r>
                              <w:r w:rsidRPr="004F777C">
                                <w:rPr>
                                  <w:rStyle w:val="normaltextrun"/>
                                  <w:b/>
                                  <w:bCs/>
                                  <w:sz w:val="20"/>
                                  <w:szCs w:val="20"/>
                                </w:rPr>
                                <w:t>):</w:t>
                              </w:r>
                            </w:p>
                            <w:p w14:paraId="0669B2BC"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Published 2019–2023  </w:t>
                              </w:r>
                            </w:p>
                            <w:p w14:paraId="1FFA7BB0"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Contains explicit labour/human rights content  </w:t>
                              </w:r>
                            </w:p>
                            <w:p w14:paraId="6767DAEA"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Official corporate disclosure or verified third-party report  </w:t>
                              </w:r>
                            </w:p>
                            <w:p w14:paraId="164623E5" w14:textId="77777777" w:rsidR="00736F61" w:rsidRPr="004F777C" w:rsidRDefault="00736F61" w:rsidP="00736F61">
                              <w:pPr>
                                <w:spacing w:after="0"/>
                                <w:rPr>
                                  <w:rStyle w:val="normaltextrun"/>
                                  <w:b/>
                                  <w:bCs/>
                                  <w:sz w:val="20"/>
                                  <w:szCs w:val="20"/>
                                </w:rPr>
                              </w:pPr>
                              <w:r w:rsidRPr="004F777C">
                                <w:rPr>
                                  <w:rStyle w:val="normaltextrun"/>
                                  <w:b/>
                                  <w:bCs/>
                                  <w:sz w:val="20"/>
                                  <w:szCs w:val="20"/>
                                </w:rPr>
                                <w:t>EXCLUSION (n=</w:t>
                              </w:r>
                              <w:r>
                                <w:rPr>
                                  <w:rStyle w:val="normaltextrun"/>
                                  <w:b/>
                                  <w:bCs/>
                                  <w:sz w:val="20"/>
                                  <w:szCs w:val="20"/>
                                </w:rPr>
                                <w:t>34</w:t>
                              </w:r>
                              <w:r w:rsidRPr="004F777C">
                                <w:rPr>
                                  <w:rStyle w:val="normaltextrun"/>
                                  <w:b/>
                                  <w:bCs/>
                                  <w:sz w:val="20"/>
                                  <w:szCs w:val="20"/>
                                </w:rPr>
                                <w:t>):</w:t>
                              </w:r>
                            </w:p>
                            <w:p w14:paraId="1BDBB65A"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Marketing-only or promotional materials </w:t>
                              </w:r>
                            </w:p>
                            <w:p w14:paraId="56EF49F9"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Financial-only documents with no labour disclosure </w:t>
                              </w:r>
                            </w:p>
                            <w:p w14:paraId="34F5C6E6"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Duplicates or archived versions </w:t>
                              </w:r>
                            </w:p>
                            <w:p w14:paraId="53DC3F8B" w14:textId="77777777" w:rsidR="00736F61" w:rsidRPr="004F777C" w:rsidRDefault="00736F61" w:rsidP="00736F61">
                              <w:pPr>
                                <w:spacing w:after="0"/>
                              </w:pPr>
                              <w:r w:rsidRPr="004F777C">
                                <w:rPr>
                                  <w:rStyle w:val="normaltextrun"/>
                                  <w:rFonts w:ascii="Segoe UI Symbol" w:hAnsi="Segoe UI Symbol" w:cs="Segoe UI Symbol"/>
                                  <w:sz w:val="20"/>
                                  <w:szCs w:val="20"/>
                                </w:rPr>
                                <w:t>✗</w:t>
                              </w:r>
                              <w:r w:rsidRPr="004F777C">
                                <w:rPr>
                                  <w:rStyle w:val="normaltextrun"/>
                                  <w:sz w:val="20"/>
                                  <w:szCs w:val="20"/>
                                </w:rPr>
                                <w:t xml:space="preserve"> Reports outside timeframe </w:t>
                              </w:r>
                            </w:p>
                          </w:txbxContent>
                        </wps:txbx>
                        <wps:bodyPr rot="0" vert="horz" wrap="square" lIns="91440" tIns="45720" rIns="91440" bIns="45720" anchor="t" anchorCtr="0">
                          <a:noAutofit/>
                        </wps:bodyPr>
                      </wps:wsp>
                      <wps:wsp>
                        <wps:cNvPr id="1998685576" name="Text Box 2"/>
                        <wps:cNvSpPr txBox="1">
                          <a:spLocks noChangeArrowheads="1"/>
                        </wps:cNvSpPr>
                        <wps:spPr bwMode="auto">
                          <a:xfrm>
                            <a:off x="285226" y="1560682"/>
                            <a:ext cx="2289810" cy="964565"/>
                          </a:xfrm>
                          <a:prstGeom prst="rect">
                            <a:avLst/>
                          </a:prstGeom>
                          <a:solidFill>
                            <a:srgbClr val="FFFFFF"/>
                          </a:solidFill>
                          <a:ln w="9525">
                            <a:solidFill>
                              <a:srgbClr val="000000"/>
                            </a:solidFill>
                            <a:miter lim="800000"/>
                            <a:headEnd/>
                            <a:tailEnd/>
                          </a:ln>
                        </wps:spPr>
                        <wps:txbx>
                          <w:txbxContent>
                            <w:p w14:paraId="6A77B7F4" w14:textId="77777777" w:rsidR="00736F61" w:rsidRPr="004F777C" w:rsidRDefault="00736F61" w:rsidP="00736F61">
                              <w:pPr>
                                <w:spacing w:after="0"/>
                                <w:rPr>
                                  <w:sz w:val="20"/>
                                  <w:szCs w:val="20"/>
                                </w:rPr>
                              </w:pPr>
                              <w:r w:rsidRPr="004F777C">
                                <w:rPr>
                                  <w:sz w:val="20"/>
                                  <w:szCs w:val="20"/>
                                </w:rPr>
                                <w:t>Documents screened for relevance to:</w:t>
                              </w:r>
                            </w:p>
                            <w:p w14:paraId="0DD900FB" w14:textId="77777777" w:rsidR="00736F61" w:rsidRPr="004F777C" w:rsidRDefault="00736F61" w:rsidP="00736F61">
                              <w:pPr>
                                <w:spacing w:after="0"/>
                                <w:rPr>
                                  <w:sz w:val="20"/>
                                  <w:szCs w:val="20"/>
                                </w:rPr>
                              </w:pPr>
                              <w:r w:rsidRPr="004F777C">
                                <w:rPr>
                                  <w:sz w:val="20"/>
                                  <w:szCs w:val="20"/>
                                </w:rPr>
                                <w:t>• Labour governance</w:t>
                              </w:r>
                            </w:p>
                            <w:p w14:paraId="590761E4" w14:textId="77777777" w:rsidR="00736F61" w:rsidRPr="004F777C" w:rsidRDefault="00736F61" w:rsidP="00736F61">
                              <w:pPr>
                                <w:spacing w:after="0"/>
                                <w:rPr>
                                  <w:sz w:val="20"/>
                                  <w:szCs w:val="20"/>
                                </w:rPr>
                              </w:pPr>
                              <w:r w:rsidRPr="004F777C">
                                <w:rPr>
                                  <w:sz w:val="20"/>
                                  <w:szCs w:val="20"/>
                                </w:rPr>
                                <w:t>• Human rights due diligence</w:t>
                              </w:r>
                            </w:p>
                            <w:p w14:paraId="0B435753" w14:textId="77777777" w:rsidR="00736F61" w:rsidRPr="004F777C" w:rsidRDefault="00736F61" w:rsidP="00736F61">
                              <w:pPr>
                                <w:spacing w:after="0"/>
                                <w:rPr>
                                  <w:sz w:val="20"/>
                                  <w:szCs w:val="20"/>
                                </w:rPr>
                              </w:pPr>
                              <w:r w:rsidRPr="004F777C">
                                <w:rPr>
                                  <w:sz w:val="20"/>
                                  <w:szCs w:val="20"/>
                                </w:rPr>
                                <w:t>• Supply-chain oversight</w:t>
                              </w:r>
                            </w:p>
                            <w:p w14:paraId="3179C96B" w14:textId="77777777" w:rsidR="00736F61" w:rsidRPr="004F777C" w:rsidRDefault="00736F61" w:rsidP="00736F61">
                              <w:pPr>
                                <w:spacing w:after="0"/>
                                <w:rPr>
                                  <w:sz w:val="20"/>
                                  <w:szCs w:val="20"/>
                                </w:rPr>
                              </w:pPr>
                              <w:r w:rsidRPr="004F777C">
                                <w:rPr>
                                  <w:sz w:val="20"/>
                                  <w:szCs w:val="20"/>
                                </w:rPr>
                                <w:t>• ACMS policies</w:t>
                              </w:r>
                            </w:p>
                          </w:txbxContent>
                        </wps:txbx>
                        <wps:bodyPr rot="0" vert="horz" wrap="square" lIns="91440" tIns="45720" rIns="91440" bIns="45720" anchor="t" anchorCtr="0">
                          <a:noAutofit/>
                        </wps:bodyPr>
                      </wps:wsp>
                      <wps:wsp>
                        <wps:cNvPr id="354892200" name="Text Box 2"/>
                        <wps:cNvSpPr txBox="1">
                          <a:spLocks noChangeArrowheads="1"/>
                        </wps:cNvSpPr>
                        <wps:spPr bwMode="auto">
                          <a:xfrm>
                            <a:off x="3029026" y="528825"/>
                            <a:ext cx="2734310" cy="449433"/>
                          </a:xfrm>
                          <a:prstGeom prst="rect">
                            <a:avLst/>
                          </a:prstGeom>
                          <a:solidFill>
                            <a:srgbClr val="FFFFFF"/>
                          </a:solidFill>
                          <a:ln w="9525">
                            <a:solidFill>
                              <a:srgbClr val="000000"/>
                            </a:solidFill>
                            <a:miter lim="800000"/>
                            <a:headEnd/>
                            <a:tailEnd/>
                          </a:ln>
                        </wps:spPr>
                        <wps:txbx>
                          <w:txbxContent>
                            <w:p w14:paraId="76E2A689" w14:textId="77777777" w:rsidR="00736F61" w:rsidRPr="004F777C" w:rsidRDefault="00736F61" w:rsidP="00736F61">
                              <w:pPr>
                                <w:spacing w:after="0" w:line="240" w:lineRule="auto"/>
                                <w:ind w:firstLineChars="100" w:firstLine="201"/>
                                <w:rPr>
                                  <w:rFonts w:eastAsia="Times New Roman"/>
                                  <w:b/>
                                  <w:bCs/>
                                  <w:sz w:val="20"/>
                                  <w:szCs w:val="20"/>
                                  <w:lang w:eastAsia="en-GB"/>
                                </w:rPr>
                              </w:pPr>
                              <w:r w:rsidRPr="004F777C">
                                <w:rPr>
                                  <w:rFonts w:eastAsia="Times New Roman"/>
                                  <w:b/>
                                  <w:bCs/>
                                  <w:sz w:val="20"/>
                                  <w:szCs w:val="20"/>
                                  <w:lang w:eastAsia="en-GB"/>
                                </w:rPr>
                                <w:t>Additional records from external sources</w:t>
                              </w:r>
                              <w:r w:rsidRPr="004F777C">
                                <w:rPr>
                                  <w:rFonts w:eastAsia="Times New Roman"/>
                                  <w:sz w:val="20"/>
                                  <w:szCs w:val="20"/>
                                  <w:lang w:eastAsia="en-GB"/>
                                </w:rPr>
                                <w:t>:</w:t>
                              </w:r>
                            </w:p>
                            <w:p w14:paraId="701BD9F1" w14:textId="77777777" w:rsidR="00736F61" w:rsidRPr="004F777C" w:rsidRDefault="00736F61" w:rsidP="00736F61">
                              <w:pPr>
                                <w:spacing w:after="0" w:line="240" w:lineRule="auto"/>
                                <w:ind w:firstLineChars="100" w:firstLine="200"/>
                                <w:rPr>
                                  <w:rFonts w:eastAsia="Times New Roman"/>
                                  <w:sz w:val="20"/>
                                  <w:szCs w:val="20"/>
                                  <w:lang w:eastAsia="en-GB"/>
                                </w:rPr>
                              </w:pPr>
                              <w:r w:rsidRPr="004F777C">
                                <w:rPr>
                                  <w:rFonts w:eastAsia="Times New Roman"/>
                                  <w:sz w:val="20"/>
                                  <w:szCs w:val="20"/>
                                  <w:lang w:eastAsia="en-GB"/>
                                </w:rPr>
                                <w:t xml:space="preserve">NGO </w:t>
                              </w:r>
                              <w:r>
                                <w:rPr>
                                  <w:rFonts w:eastAsia="Times New Roman"/>
                                  <w:sz w:val="20"/>
                                  <w:szCs w:val="20"/>
                                  <w:lang w:eastAsia="en-GB"/>
                                </w:rPr>
                                <w:t>and</w:t>
                              </w:r>
                              <w:r w:rsidRPr="004F777C">
                                <w:rPr>
                                  <w:rFonts w:eastAsia="Times New Roman"/>
                                  <w:sz w:val="20"/>
                                  <w:szCs w:val="20"/>
                                  <w:lang w:eastAsia="en-GB"/>
                                </w:rPr>
                                <w:t xml:space="preserve"> media reports: </w:t>
                              </w:r>
                              <w:r w:rsidRPr="004F777C">
                                <w:rPr>
                                  <w:rFonts w:eastAsia="Times New Roman"/>
                                  <w:b/>
                                  <w:bCs/>
                                  <w:sz w:val="20"/>
                                  <w:szCs w:val="20"/>
                                  <w:lang w:eastAsia="en-GB"/>
                                </w:rPr>
                                <w:t xml:space="preserve">n = </w:t>
                              </w:r>
                              <w:r>
                                <w:rPr>
                                  <w:rFonts w:eastAsia="Times New Roman"/>
                                  <w:b/>
                                  <w:bCs/>
                                  <w:sz w:val="20"/>
                                  <w:szCs w:val="20"/>
                                  <w:lang w:eastAsia="en-GB"/>
                                </w:rPr>
                                <w:t>40</w:t>
                              </w:r>
                            </w:p>
                            <w:p w14:paraId="7784DC46" w14:textId="77777777" w:rsidR="00736F61" w:rsidRPr="004F777C" w:rsidRDefault="00736F61" w:rsidP="00736F61"/>
                          </w:txbxContent>
                        </wps:txbx>
                        <wps:bodyPr rot="0" vert="horz" wrap="square" lIns="91440" tIns="45720" rIns="91440" bIns="45720" anchor="t" anchorCtr="0">
                          <a:noAutofit/>
                        </wps:bodyPr>
                      </wps:wsp>
                      <wps:wsp>
                        <wps:cNvPr id="622047330" name="Text Box 2"/>
                        <wps:cNvSpPr txBox="1">
                          <a:spLocks noChangeArrowheads="1"/>
                        </wps:cNvSpPr>
                        <wps:spPr bwMode="auto">
                          <a:xfrm>
                            <a:off x="637563" y="0"/>
                            <a:ext cx="1316990" cy="264795"/>
                          </a:xfrm>
                          <a:prstGeom prst="rect">
                            <a:avLst/>
                          </a:prstGeom>
                          <a:solidFill>
                            <a:srgbClr val="FFFFFF"/>
                          </a:solidFill>
                          <a:ln w="9525">
                            <a:solidFill>
                              <a:srgbClr val="000000"/>
                            </a:solidFill>
                            <a:miter lim="800000"/>
                            <a:headEnd/>
                            <a:tailEnd/>
                          </a:ln>
                        </wps:spPr>
                        <wps:txbx>
                          <w:txbxContent>
                            <w:p w14:paraId="7CED6C27" w14:textId="77777777" w:rsidR="00736F61" w:rsidRPr="004F777C" w:rsidRDefault="00736F61" w:rsidP="00736F61">
                              <w:pPr>
                                <w:spacing w:after="0" w:line="240" w:lineRule="auto"/>
                                <w:rPr>
                                  <w:rFonts w:eastAsia="Times New Roman"/>
                                  <w:b/>
                                  <w:bCs/>
                                  <w:sz w:val="22"/>
                                  <w:szCs w:val="22"/>
                                  <w:lang w:eastAsia="en-GB"/>
                                </w:rPr>
                              </w:pPr>
                              <w:r w:rsidRPr="004F777C">
                                <w:rPr>
                                  <w:rFonts w:eastAsia="Times New Roman"/>
                                  <w:b/>
                                  <w:bCs/>
                                  <w:sz w:val="22"/>
                                  <w:szCs w:val="22"/>
                                  <w:lang w:eastAsia="en-GB"/>
                                </w:rPr>
                                <w:t>Identification</w:t>
                              </w:r>
                            </w:p>
                            <w:p w14:paraId="3B5B0E4D" w14:textId="77777777" w:rsidR="00736F61" w:rsidRPr="004F777C" w:rsidRDefault="00736F61" w:rsidP="00736F61"/>
                          </w:txbxContent>
                        </wps:txbx>
                        <wps:bodyPr rot="0" vert="horz" wrap="square" lIns="91440" tIns="45720" rIns="91440" bIns="45720" anchor="t" anchorCtr="0">
                          <a:noAutofit/>
                        </wps:bodyPr>
                      </wps:wsp>
                      <wps:wsp>
                        <wps:cNvPr id="157668019" name="Straight Arrow Connector 157668019"/>
                        <wps:cNvCnPr/>
                        <wps:spPr>
                          <a:xfrm>
                            <a:off x="1303265" y="293944"/>
                            <a:ext cx="0" cy="26797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664344306" name="Straight Arrow Connector 664344306"/>
                        <wps:cNvCnPr/>
                        <wps:spPr>
                          <a:xfrm>
                            <a:off x="1303265" y="2558972"/>
                            <a:ext cx="0" cy="26797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323790" name="Text Box 2"/>
                        <wps:cNvSpPr txBox="1">
                          <a:spLocks noChangeArrowheads="1"/>
                        </wps:cNvSpPr>
                        <wps:spPr bwMode="auto">
                          <a:xfrm>
                            <a:off x="0" y="528836"/>
                            <a:ext cx="2700655" cy="477648"/>
                          </a:xfrm>
                          <a:prstGeom prst="rect">
                            <a:avLst/>
                          </a:prstGeom>
                          <a:solidFill>
                            <a:srgbClr val="FFFFFF"/>
                          </a:solidFill>
                          <a:ln w="9525">
                            <a:solidFill>
                              <a:srgbClr val="000000"/>
                            </a:solidFill>
                            <a:miter lim="800000"/>
                            <a:headEnd/>
                            <a:tailEnd/>
                          </a:ln>
                        </wps:spPr>
                        <wps:txbx>
                          <w:txbxContent>
                            <w:p w14:paraId="5800ED0F" w14:textId="77777777" w:rsidR="00736F61" w:rsidRPr="004F777C" w:rsidRDefault="00736F61" w:rsidP="00736F61">
                              <w:pPr>
                                <w:spacing w:after="0" w:line="240" w:lineRule="auto"/>
                                <w:rPr>
                                  <w:sz w:val="20"/>
                                  <w:szCs w:val="20"/>
                                </w:rPr>
                              </w:pPr>
                              <w:r w:rsidRPr="004F777C">
                                <w:rPr>
                                  <w:b/>
                                  <w:bCs/>
                                  <w:sz w:val="20"/>
                                  <w:szCs w:val="20"/>
                                </w:rPr>
                                <w:t>Corporate disclosures identified</w:t>
                              </w:r>
                              <w:r w:rsidRPr="004F777C">
                                <w:rPr>
                                  <w:sz w:val="20"/>
                                  <w:szCs w:val="20"/>
                                </w:rPr>
                                <w:t xml:space="preserve"> (2019–2023): </w:t>
                              </w:r>
                            </w:p>
                            <w:p w14:paraId="36934CD0" w14:textId="77777777" w:rsidR="00736F61" w:rsidRPr="004F777C" w:rsidRDefault="00736F61" w:rsidP="00736F61">
                              <w:pPr>
                                <w:spacing w:after="0" w:line="240" w:lineRule="auto"/>
                                <w:jc w:val="center"/>
                                <w:rPr>
                                  <w:sz w:val="20"/>
                                  <w:szCs w:val="20"/>
                                </w:rPr>
                              </w:pPr>
                              <w:r w:rsidRPr="004F777C">
                                <w:rPr>
                                  <w:sz w:val="20"/>
                                  <w:szCs w:val="20"/>
                                </w:rPr>
                                <w:t xml:space="preserve">Total documents: </w:t>
                              </w:r>
                              <w:r w:rsidRPr="00DE0CA7">
                                <w:rPr>
                                  <w:b/>
                                  <w:bCs/>
                                  <w:sz w:val="20"/>
                                  <w:szCs w:val="20"/>
                                </w:rPr>
                                <w:t>n = 123</w:t>
                              </w:r>
                            </w:p>
                          </w:txbxContent>
                        </wps:txbx>
                        <wps:bodyPr rot="0" vert="horz" wrap="square" lIns="91440" tIns="45720" rIns="91440" bIns="45720" anchor="t" anchorCtr="0">
                          <a:noAutofit/>
                        </wps:bodyPr>
                      </wps:wsp>
                      <wps:wsp>
                        <wps:cNvPr id="875904040" name="Straight Arrow Connector 875904040"/>
                        <wps:cNvCnPr/>
                        <wps:spPr>
                          <a:xfrm>
                            <a:off x="2701255" y="722482"/>
                            <a:ext cx="327771" cy="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935996220" name="Straight Arrow Connector 1935996220"/>
                        <wps:cNvCnPr/>
                        <wps:spPr>
                          <a:xfrm>
                            <a:off x="1303265" y="1007008"/>
                            <a:ext cx="0" cy="570807"/>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174098742" name="Straight Arrow Connector 1174098742"/>
                        <wps:cNvCnPr/>
                        <wps:spPr>
                          <a:xfrm>
                            <a:off x="2575420" y="2073109"/>
                            <a:ext cx="453390" cy="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g:wgp>
                  </a:graphicData>
                </a:graphic>
                <wp14:sizeRelH relativeFrom="page">
                  <wp14:pctWidth>0</wp14:pctWidth>
                </wp14:sizeRelH>
                <wp14:sizeRelV relativeFrom="margin">
                  <wp14:pctHeight>0</wp14:pctHeight>
                </wp14:sizeRelV>
              </wp:anchor>
            </w:drawing>
          </mc:Choice>
          <mc:Fallback>
            <w:pict>
              <v:group w14:anchorId="07EA7A34" id="Group 8" o:spid="_x0000_s1072" style="position:absolute;margin-left:0;margin-top:13pt;width:453.8pt;height:297.85pt;z-index:251683840;mso-height-relative:margin" coordsize="57633,37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">
                <v:shape id="_x0000_s1073" type="#_x0000_t202" style="position:absolute;left:30284;top:15858;width:26841;height:21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">
                  <v:textbox>
                    <w:txbxContent>
                      <w:p w14:paraId="198B0C75" w14:textId="77777777" w:rsidR="00736F61" w:rsidRPr="004F777C" w:rsidRDefault="00736F61" w:rsidP="00736F61">
                        <w:pPr>
                          <w:spacing w:after="0"/>
                          <w:rPr>
                            <w:rStyle w:val="normaltextrun"/>
                            <w:b/>
                            <w:bCs/>
                            <w:sz w:val="20"/>
                            <w:szCs w:val="20"/>
                          </w:rPr>
                        </w:pPr>
                        <w:r w:rsidRPr="004F777C">
                          <w:rPr>
                            <w:rStyle w:val="normaltextrun"/>
                            <w:b/>
                            <w:bCs/>
                            <w:sz w:val="20"/>
                            <w:szCs w:val="20"/>
                          </w:rPr>
                          <w:t>INCLUSION (n=</w:t>
                        </w:r>
                        <w:r>
                          <w:rPr>
                            <w:rStyle w:val="normaltextrun"/>
                            <w:b/>
                            <w:bCs/>
                            <w:sz w:val="20"/>
                            <w:szCs w:val="20"/>
                          </w:rPr>
                          <w:t>114</w:t>
                        </w:r>
                        <w:r w:rsidRPr="004F777C">
                          <w:rPr>
                            <w:rStyle w:val="normaltextrun"/>
                            <w:b/>
                            <w:bCs/>
                            <w:sz w:val="20"/>
                            <w:szCs w:val="20"/>
                          </w:rPr>
                          <w:t>):</w:t>
                        </w:r>
                      </w:p>
                      <w:p w14:paraId="0669B2BC"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Published 2019–2023  </w:t>
                        </w:r>
                      </w:p>
                      <w:p w14:paraId="1FFA7BB0"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Contains explicit labour/human rights content  </w:t>
                        </w:r>
                      </w:p>
                      <w:p w14:paraId="6767DAEA"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Official corporate disclosure or verified third-party report  </w:t>
                        </w:r>
                      </w:p>
                      <w:p w14:paraId="164623E5" w14:textId="77777777" w:rsidR="00736F61" w:rsidRPr="004F777C" w:rsidRDefault="00736F61" w:rsidP="00736F61">
                        <w:pPr>
                          <w:spacing w:after="0"/>
                          <w:rPr>
                            <w:rStyle w:val="normaltextrun"/>
                            <w:b/>
                            <w:bCs/>
                            <w:sz w:val="20"/>
                            <w:szCs w:val="20"/>
                          </w:rPr>
                        </w:pPr>
                        <w:r w:rsidRPr="004F777C">
                          <w:rPr>
                            <w:rStyle w:val="normaltextrun"/>
                            <w:b/>
                            <w:bCs/>
                            <w:sz w:val="20"/>
                            <w:szCs w:val="20"/>
                          </w:rPr>
                          <w:t>EXCLUSION (n=</w:t>
                        </w:r>
                        <w:r>
                          <w:rPr>
                            <w:rStyle w:val="normaltextrun"/>
                            <w:b/>
                            <w:bCs/>
                            <w:sz w:val="20"/>
                            <w:szCs w:val="20"/>
                          </w:rPr>
                          <w:t>34</w:t>
                        </w:r>
                        <w:r w:rsidRPr="004F777C">
                          <w:rPr>
                            <w:rStyle w:val="normaltextrun"/>
                            <w:b/>
                            <w:bCs/>
                            <w:sz w:val="20"/>
                            <w:szCs w:val="20"/>
                          </w:rPr>
                          <w:t>):</w:t>
                        </w:r>
                      </w:p>
                      <w:p w14:paraId="1BDBB65A"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Marketing-only or promotional materials </w:t>
                        </w:r>
                      </w:p>
                      <w:p w14:paraId="56EF49F9"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Financial-only documents with no labour disclosure </w:t>
                        </w:r>
                      </w:p>
                      <w:p w14:paraId="34F5C6E6" w14:textId="77777777" w:rsidR="00736F61" w:rsidRPr="004F777C" w:rsidRDefault="00736F61" w:rsidP="00736F61">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Duplicates or archived versions </w:t>
                        </w:r>
                      </w:p>
                      <w:p w14:paraId="53DC3F8B" w14:textId="77777777" w:rsidR="00736F61" w:rsidRPr="004F777C" w:rsidRDefault="00736F61" w:rsidP="00736F61">
                        <w:pPr>
                          <w:spacing w:after="0"/>
                        </w:pPr>
                        <w:r w:rsidRPr="004F777C">
                          <w:rPr>
                            <w:rStyle w:val="normaltextrun"/>
                            <w:rFonts w:ascii="Segoe UI Symbol" w:hAnsi="Segoe UI Symbol" w:cs="Segoe UI Symbol"/>
                            <w:sz w:val="20"/>
                            <w:szCs w:val="20"/>
                          </w:rPr>
                          <w:t>✗</w:t>
                        </w:r>
                        <w:r w:rsidRPr="004F777C">
                          <w:rPr>
                            <w:rStyle w:val="normaltextrun"/>
                            <w:sz w:val="20"/>
                            <w:szCs w:val="20"/>
                          </w:rPr>
                          <w:t xml:space="preserve"> Reports outside timeframe </w:t>
                        </w:r>
                      </w:p>
                    </w:txbxContent>
                  </v:textbox>
                </v:shape>
                <v:shape id="_x0000_s1074" type="#_x0000_t202" style="position:absolute;left:2852;top:15606;width:22898;height:96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">
                  <v:textbox>
                    <w:txbxContent>
                      <w:p w14:paraId="6A77B7F4" w14:textId="77777777" w:rsidR="00736F61" w:rsidRPr="004F777C" w:rsidRDefault="00736F61" w:rsidP="00736F61">
                        <w:pPr>
                          <w:spacing w:after="0"/>
                          <w:rPr>
                            <w:sz w:val="20"/>
                            <w:szCs w:val="20"/>
                          </w:rPr>
                        </w:pPr>
                        <w:r w:rsidRPr="004F777C">
                          <w:rPr>
                            <w:sz w:val="20"/>
                            <w:szCs w:val="20"/>
                          </w:rPr>
                          <w:t>Documents screened for relevance to:</w:t>
                        </w:r>
                      </w:p>
                      <w:p w14:paraId="0DD900FB" w14:textId="77777777" w:rsidR="00736F61" w:rsidRPr="004F777C" w:rsidRDefault="00736F61" w:rsidP="00736F61">
                        <w:pPr>
                          <w:spacing w:after="0"/>
                          <w:rPr>
                            <w:sz w:val="20"/>
                            <w:szCs w:val="20"/>
                          </w:rPr>
                        </w:pPr>
                        <w:r w:rsidRPr="004F777C">
                          <w:rPr>
                            <w:sz w:val="20"/>
                            <w:szCs w:val="20"/>
                          </w:rPr>
                          <w:t>• Labour governance</w:t>
                        </w:r>
                      </w:p>
                      <w:p w14:paraId="590761E4" w14:textId="77777777" w:rsidR="00736F61" w:rsidRPr="004F777C" w:rsidRDefault="00736F61" w:rsidP="00736F61">
                        <w:pPr>
                          <w:spacing w:after="0"/>
                          <w:rPr>
                            <w:sz w:val="20"/>
                            <w:szCs w:val="20"/>
                          </w:rPr>
                        </w:pPr>
                        <w:r w:rsidRPr="004F777C">
                          <w:rPr>
                            <w:sz w:val="20"/>
                            <w:szCs w:val="20"/>
                          </w:rPr>
                          <w:t>• Human rights due diligence</w:t>
                        </w:r>
                      </w:p>
                      <w:p w14:paraId="0B435753" w14:textId="77777777" w:rsidR="00736F61" w:rsidRPr="004F777C" w:rsidRDefault="00736F61" w:rsidP="00736F61">
                        <w:pPr>
                          <w:spacing w:after="0"/>
                          <w:rPr>
                            <w:sz w:val="20"/>
                            <w:szCs w:val="20"/>
                          </w:rPr>
                        </w:pPr>
                        <w:r w:rsidRPr="004F777C">
                          <w:rPr>
                            <w:sz w:val="20"/>
                            <w:szCs w:val="20"/>
                          </w:rPr>
                          <w:t>• Supply-chain oversight</w:t>
                        </w:r>
                      </w:p>
                      <w:p w14:paraId="3179C96B" w14:textId="77777777" w:rsidR="00736F61" w:rsidRPr="004F777C" w:rsidRDefault="00736F61" w:rsidP="00736F61">
                        <w:pPr>
                          <w:spacing w:after="0"/>
                          <w:rPr>
                            <w:sz w:val="20"/>
                            <w:szCs w:val="20"/>
                          </w:rPr>
                        </w:pPr>
                        <w:r w:rsidRPr="004F777C">
                          <w:rPr>
                            <w:sz w:val="20"/>
                            <w:szCs w:val="20"/>
                          </w:rPr>
                          <w:t>• ACMS policies</w:t>
                        </w:r>
                      </w:p>
                    </w:txbxContent>
                  </v:textbox>
                </v:shape>
                <v:shape id="_x0000_s1075" type="#_x0000_t202" style="position:absolute;left:30290;top:5288;width:27343;height:4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">
                  <v:textbox>
                    <w:txbxContent>
                      <w:p w14:paraId="76E2A689" w14:textId="77777777" w:rsidR="00736F61" w:rsidRPr="004F777C" w:rsidRDefault="00736F61" w:rsidP="00736F61">
                        <w:pPr>
                          <w:spacing w:after="0" w:line="240" w:lineRule="auto"/>
                          <w:ind w:firstLineChars="100" w:firstLine="201"/>
                          <w:rPr>
                            <w:rFonts w:eastAsia="Times New Roman"/>
                            <w:b/>
                            <w:bCs/>
                            <w:sz w:val="20"/>
                            <w:szCs w:val="20"/>
                            <w:lang w:eastAsia="en-GB"/>
                          </w:rPr>
                        </w:pPr>
                        <w:r w:rsidRPr="004F777C">
                          <w:rPr>
                            <w:rFonts w:eastAsia="Times New Roman"/>
                            <w:b/>
                            <w:bCs/>
                            <w:sz w:val="20"/>
                            <w:szCs w:val="20"/>
                            <w:lang w:eastAsia="en-GB"/>
                          </w:rPr>
                          <w:t>Additional records from external sources</w:t>
                        </w:r>
                        <w:r w:rsidRPr="004F777C">
                          <w:rPr>
                            <w:rFonts w:eastAsia="Times New Roman"/>
                            <w:sz w:val="20"/>
                            <w:szCs w:val="20"/>
                            <w:lang w:eastAsia="en-GB"/>
                          </w:rPr>
                          <w:t>:</w:t>
                        </w:r>
                      </w:p>
                      <w:p w14:paraId="701BD9F1" w14:textId="77777777" w:rsidR="00736F61" w:rsidRPr="004F777C" w:rsidRDefault="00736F61" w:rsidP="00736F61">
                        <w:pPr>
                          <w:spacing w:after="0" w:line="240" w:lineRule="auto"/>
                          <w:ind w:firstLineChars="100" w:firstLine="200"/>
                          <w:rPr>
                            <w:rFonts w:eastAsia="Times New Roman"/>
                            <w:sz w:val="20"/>
                            <w:szCs w:val="20"/>
                            <w:lang w:eastAsia="en-GB"/>
                          </w:rPr>
                        </w:pPr>
                        <w:r w:rsidRPr="004F777C">
                          <w:rPr>
                            <w:rFonts w:eastAsia="Times New Roman"/>
                            <w:sz w:val="20"/>
                            <w:szCs w:val="20"/>
                            <w:lang w:eastAsia="en-GB"/>
                          </w:rPr>
                          <w:t xml:space="preserve">NGO </w:t>
                        </w:r>
                        <w:r>
                          <w:rPr>
                            <w:rFonts w:eastAsia="Times New Roman"/>
                            <w:sz w:val="20"/>
                            <w:szCs w:val="20"/>
                            <w:lang w:eastAsia="en-GB"/>
                          </w:rPr>
                          <w:t>and</w:t>
                        </w:r>
                        <w:r w:rsidRPr="004F777C">
                          <w:rPr>
                            <w:rFonts w:eastAsia="Times New Roman"/>
                            <w:sz w:val="20"/>
                            <w:szCs w:val="20"/>
                            <w:lang w:eastAsia="en-GB"/>
                          </w:rPr>
                          <w:t xml:space="preserve"> media reports: </w:t>
                        </w:r>
                        <w:r w:rsidRPr="004F777C">
                          <w:rPr>
                            <w:rFonts w:eastAsia="Times New Roman"/>
                            <w:b/>
                            <w:bCs/>
                            <w:sz w:val="20"/>
                            <w:szCs w:val="20"/>
                            <w:lang w:eastAsia="en-GB"/>
                          </w:rPr>
                          <w:t xml:space="preserve">n = </w:t>
                        </w:r>
                        <w:r>
                          <w:rPr>
                            <w:rFonts w:eastAsia="Times New Roman"/>
                            <w:b/>
                            <w:bCs/>
                            <w:sz w:val="20"/>
                            <w:szCs w:val="20"/>
                            <w:lang w:eastAsia="en-GB"/>
                          </w:rPr>
                          <w:t>40</w:t>
                        </w:r>
                      </w:p>
                      <w:p w14:paraId="7784DC46" w14:textId="77777777" w:rsidR="00736F61" w:rsidRPr="004F777C" w:rsidRDefault="00736F61" w:rsidP="00736F61"/>
                    </w:txbxContent>
                  </v:textbox>
                </v:shape>
                <v:shape id="_x0000_s1076" type="#_x0000_t202" style="position:absolute;left:6375;width:13170;height:2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">
                  <v:textbox>
                    <w:txbxContent>
                      <w:p w14:paraId="7CED6C27" w14:textId="77777777" w:rsidR="00736F61" w:rsidRPr="004F777C" w:rsidRDefault="00736F61" w:rsidP="00736F61">
                        <w:pPr>
                          <w:spacing w:after="0" w:line="240" w:lineRule="auto"/>
                          <w:rPr>
                            <w:rFonts w:eastAsia="Times New Roman"/>
                            <w:b/>
                            <w:bCs/>
                            <w:sz w:val="22"/>
                            <w:szCs w:val="22"/>
                            <w:lang w:eastAsia="en-GB"/>
                          </w:rPr>
                        </w:pPr>
                        <w:r w:rsidRPr="004F777C">
                          <w:rPr>
                            <w:rFonts w:eastAsia="Times New Roman"/>
                            <w:b/>
                            <w:bCs/>
                            <w:sz w:val="22"/>
                            <w:szCs w:val="22"/>
                            <w:lang w:eastAsia="en-GB"/>
                          </w:rPr>
                          <w:t>Identification</w:t>
                        </w:r>
                      </w:p>
                      <w:p w14:paraId="3B5B0E4D" w14:textId="77777777" w:rsidR="00736F61" w:rsidRPr="004F777C" w:rsidRDefault="00736F61" w:rsidP="00736F61"/>
                    </w:txbxContent>
                  </v:textbox>
                </v:shape>
                <v:shape id="Straight Arrow Connector 157668019" o:spid="_x0000_s1077" type="#_x0000_t32" style="position:absolute;left:13032;top:2939;width:0;height:26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" strokecolor="black [3200]" strokeweight="1.5pt">
                  <v:stroke endarrow="open"/>
                </v:shape>
                <v:shape id="Straight Arrow Connector 664344306" o:spid="_x0000_s1078" type="#_x0000_t32" style="position:absolute;left:13032;top:25589;width:0;height:26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" strokecolor="black [3200]" strokeweight="1.5pt">
                  <v:stroke endarrow="open"/>
                </v:shape>
                <v:shape id="_x0000_s1079" type="#_x0000_t202" style="position:absolute;top:5288;width:27006;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">
                  <v:textbox>
                    <w:txbxContent>
                      <w:p w14:paraId="5800ED0F" w14:textId="77777777" w:rsidR="00736F61" w:rsidRPr="004F777C" w:rsidRDefault="00736F61" w:rsidP="00736F61">
                        <w:pPr>
                          <w:spacing w:after="0" w:line="240" w:lineRule="auto"/>
                          <w:rPr>
                            <w:sz w:val="20"/>
                            <w:szCs w:val="20"/>
                          </w:rPr>
                        </w:pPr>
                        <w:r w:rsidRPr="004F777C">
                          <w:rPr>
                            <w:b/>
                            <w:bCs/>
                            <w:sz w:val="20"/>
                            <w:szCs w:val="20"/>
                          </w:rPr>
                          <w:t>Corporate disclosures identified</w:t>
                        </w:r>
                        <w:r w:rsidRPr="004F777C">
                          <w:rPr>
                            <w:sz w:val="20"/>
                            <w:szCs w:val="20"/>
                          </w:rPr>
                          <w:t xml:space="preserve"> (2019–2023): </w:t>
                        </w:r>
                      </w:p>
                      <w:p w14:paraId="36934CD0" w14:textId="77777777" w:rsidR="00736F61" w:rsidRPr="004F777C" w:rsidRDefault="00736F61" w:rsidP="00736F61">
                        <w:pPr>
                          <w:spacing w:after="0" w:line="240" w:lineRule="auto"/>
                          <w:jc w:val="center"/>
                          <w:rPr>
                            <w:sz w:val="20"/>
                            <w:szCs w:val="20"/>
                          </w:rPr>
                        </w:pPr>
                        <w:r w:rsidRPr="004F777C">
                          <w:rPr>
                            <w:sz w:val="20"/>
                            <w:szCs w:val="20"/>
                          </w:rPr>
                          <w:t xml:space="preserve">Total documents: </w:t>
                        </w:r>
                        <w:r w:rsidRPr="00DE0CA7">
                          <w:rPr>
                            <w:b/>
                            <w:bCs/>
                            <w:sz w:val="20"/>
                            <w:szCs w:val="20"/>
                          </w:rPr>
                          <w:t>n = 123</w:t>
                        </w:r>
                      </w:p>
                    </w:txbxContent>
                  </v:textbox>
                </v:shape>
                <v:shape id="Straight Arrow Connector 875904040" o:spid="_x0000_s1080" type="#_x0000_t32" style="position:absolute;left:27012;top:7224;width:327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" strokecolor="black [3200]" strokeweight="1.5pt">
                  <v:stroke endarrow="open"/>
                </v:shape>
                <v:shape id="Straight Arrow Connector 1935996220" o:spid="_x0000_s1081" type="#_x0000_t32" style="position:absolute;left:13032;top:10070;width:0;height:570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" strokecolor="black [3200]" strokeweight="1.5pt">
                  <v:stroke endarrow="open"/>
                </v:shape>
                <v:shape id="Straight Arrow Connector 1174098742" o:spid="_x0000_s1082" type="#_x0000_t32" style="position:absolute;left:25754;top:20731;width:45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" strokecolor="black [3200]" strokeweight="1.5pt">
                  <v:stroke endarrow="open"/>
                </v:shape>
              </v:group>
            </w:pict>
          </mc:Fallback>
        </mc:AlternateContent>
      </w:r>
    </w:p>
    <w:p w14:paraId="4B599308" w14:textId="77777777" w:rsidR="00736F61" w:rsidRPr="00CC1FC3" w:rsidRDefault="00736F61" w:rsidP="00736F61">
      <w:pPr>
        <w:spacing w:after="0"/>
        <w:rPr>
          <w:rStyle w:val="normaltextrun"/>
        </w:rPr>
      </w:pPr>
    </w:p>
    <w:p w14:paraId="466A7AA3" w14:textId="77777777" w:rsidR="00736F61" w:rsidRPr="00CC1FC3" w:rsidRDefault="00736F61" w:rsidP="00736F61">
      <w:pPr>
        <w:rPr>
          <w:rStyle w:val="normaltextrun"/>
        </w:rPr>
      </w:pPr>
    </w:p>
    <w:p w14:paraId="7DEFAC28" w14:textId="77777777" w:rsidR="00736F61" w:rsidRPr="00CC1FC3" w:rsidRDefault="00736F61" w:rsidP="00736F61">
      <w:pPr>
        <w:spacing w:after="0" w:line="240" w:lineRule="auto"/>
        <w:rPr>
          <w:rFonts w:eastAsia="Times New Roman"/>
          <w:b/>
          <w:bCs/>
          <w:sz w:val="20"/>
          <w:szCs w:val="20"/>
          <w:lang w:eastAsia="en-GB"/>
        </w:rPr>
      </w:pPr>
      <w:r w:rsidRPr="00CC1FC3">
        <w:rPr>
          <w:rFonts w:eastAsia="Times New Roman"/>
          <w:b/>
          <w:bCs/>
          <w:sz w:val="20"/>
          <w:szCs w:val="20"/>
          <w:lang w:eastAsia="en-GB"/>
        </w:rPr>
        <w:t>Screening Criteria</w:t>
      </w:r>
    </w:p>
    <w:p w14:paraId="6EAC7EC7" w14:textId="77777777" w:rsidR="00736F61" w:rsidRPr="00CC1FC3" w:rsidRDefault="00736F61" w:rsidP="00736F61">
      <w:pPr>
        <w:rPr>
          <w:rStyle w:val="normaltextrun"/>
        </w:rPr>
      </w:pPr>
    </w:p>
    <w:p w14:paraId="6A88890F" w14:textId="77777777" w:rsidR="00736F61" w:rsidRDefault="00736F61" w:rsidP="00736F61">
      <w:pPr>
        <w:ind w:firstLine="720"/>
        <w:rPr>
          <w:rStyle w:val="normaltextrun"/>
        </w:rPr>
      </w:pPr>
      <w:r>
        <w:rPr>
          <w:rStyle w:val="normaltextrun"/>
        </w:rPr>
        <w:t xml:space="preserve"> </w:t>
      </w:r>
    </w:p>
    <w:p w14:paraId="12FEEC87" w14:textId="77777777" w:rsidR="00736F61" w:rsidRPr="00CC1FC3" w:rsidRDefault="00736F61" w:rsidP="00736F61">
      <w:pPr>
        <w:ind w:firstLine="720"/>
        <w:rPr>
          <w:rStyle w:val="normaltextrun"/>
        </w:rPr>
      </w:pPr>
      <w:r w:rsidRPr="00CC1FC3">
        <w:rPr>
          <w:rStyle w:val="normaltextrun"/>
        </w:rPr>
        <w:t>Eligibility</w:t>
      </w:r>
    </w:p>
    <w:p w14:paraId="58C4B5FB" w14:textId="77777777" w:rsidR="00736F61" w:rsidRPr="00CC1FC3" w:rsidRDefault="00736F61" w:rsidP="00736F61">
      <w:pPr>
        <w:rPr>
          <w:rStyle w:val="normaltextrun"/>
        </w:rPr>
      </w:pPr>
    </w:p>
    <w:p w14:paraId="0D864E34" w14:textId="77777777" w:rsidR="00736F61" w:rsidRPr="00CC1FC3" w:rsidRDefault="00736F61" w:rsidP="00736F61">
      <w:pPr>
        <w:rPr>
          <w:rStyle w:val="normaltextrun"/>
        </w:rPr>
      </w:pPr>
    </w:p>
    <w:p w14:paraId="7472E991" w14:textId="77777777" w:rsidR="00736F61" w:rsidRPr="00CC1FC3" w:rsidRDefault="00736F61" w:rsidP="00736F61">
      <w:pPr>
        <w:rPr>
          <w:rStyle w:val="normaltextrun"/>
        </w:rPr>
      </w:pPr>
    </w:p>
    <w:p w14:paraId="77776738" w14:textId="77777777" w:rsidR="00736F61" w:rsidRPr="00CC1FC3" w:rsidRDefault="00736F61" w:rsidP="00736F61">
      <w:pPr>
        <w:rPr>
          <w:rStyle w:val="normaltextrun"/>
        </w:rPr>
      </w:pPr>
    </w:p>
    <w:p w14:paraId="3ABFBFD0" w14:textId="77777777" w:rsidR="00736F61" w:rsidRPr="00CC1FC3" w:rsidRDefault="00736F61" w:rsidP="00736F61">
      <w:pPr>
        <w:rPr>
          <w:rStyle w:val="normaltextrun"/>
        </w:rPr>
      </w:pPr>
      <w:r w:rsidRPr="00CC1FC3">
        <w:rPr>
          <w:noProof/>
        </w:rPr>
        <mc:AlternateContent>
          <mc:Choice Requires="wps">
            <w:drawing>
              <wp:anchor distT="45720" distB="45720" distL="114300" distR="114300" simplePos="0" relativeHeight="251681792" behindDoc="0" locked="0" layoutInCell="1" allowOverlap="1" wp14:anchorId="54FC5CDD" wp14:editId="70836AF1">
                <wp:simplePos x="0" y="0"/>
                <wp:positionH relativeFrom="column">
                  <wp:posOffset>133350</wp:posOffset>
                </wp:positionH>
                <wp:positionV relativeFrom="paragraph">
                  <wp:posOffset>40261</wp:posOffset>
                </wp:positionV>
                <wp:extent cx="2365375" cy="1686560"/>
                <wp:effectExtent l="0" t="0" r="15875" b="15240"/>
                <wp:wrapSquare wrapText="bothSides"/>
                <wp:docPr id="136274222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5375" cy="1686560"/>
                        </a:xfrm>
                        <a:prstGeom prst="rect">
                          <a:avLst/>
                        </a:prstGeom>
                        <a:solidFill>
                          <a:srgbClr val="FFFFFF"/>
                        </a:solidFill>
                        <a:ln w="9525">
                          <a:solidFill>
                            <a:srgbClr val="000000"/>
                          </a:solidFill>
                          <a:miter lim="800000"/>
                          <a:headEnd/>
                          <a:tailEnd/>
                        </a:ln>
                      </wps:spPr>
                      <wps:txbx>
                        <w:txbxContent>
                          <w:p w14:paraId="501C1845" w14:textId="77777777" w:rsidR="00736F61" w:rsidRDefault="00736F61" w:rsidP="00736F61">
                            <w:pPr>
                              <w:spacing w:after="0"/>
                              <w:rPr>
                                <w:rFonts w:eastAsia="Times New Roman"/>
                                <w:sz w:val="20"/>
                                <w:szCs w:val="20"/>
                                <w:lang w:eastAsia="en-GB"/>
                              </w:rPr>
                            </w:pPr>
                            <w:r>
                              <w:rPr>
                                <w:rFonts w:eastAsia="Times New Roman"/>
                                <w:b/>
                                <w:bCs/>
                                <w:sz w:val="20"/>
                                <w:szCs w:val="20"/>
                                <w:lang w:eastAsia="en-GB"/>
                              </w:rPr>
                              <w:t xml:space="preserve">Final documents included in qualitative disclosure analysis:   </w:t>
                            </w:r>
                            <w:r>
                              <w:rPr>
                                <w:rFonts w:eastAsia="Times New Roman"/>
                                <w:sz w:val="20"/>
                                <w:szCs w:val="20"/>
                                <w:lang w:eastAsia="en-GB"/>
                              </w:rPr>
                              <w:t>n = 80</w:t>
                            </w:r>
                          </w:p>
                          <w:p w14:paraId="60DBEED3" w14:textId="77777777" w:rsidR="00736F61" w:rsidRDefault="00736F61" w:rsidP="00736F61">
                            <w:pPr>
                              <w:spacing w:after="0"/>
                              <w:rPr>
                                <w:rFonts w:eastAsia="Times New Roman"/>
                                <w:sz w:val="20"/>
                                <w:szCs w:val="20"/>
                                <w:lang w:eastAsia="en-GB"/>
                              </w:rPr>
                            </w:pPr>
                            <w:r>
                              <w:rPr>
                                <w:rFonts w:eastAsia="Times New Roman"/>
                                <w:sz w:val="20"/>
                                <w:szCs w:val="20"/>
                                <w:lang w:eastAsia="en-GB"/>
                              </w:rPr>
                              <w:t>Breakdown:</w:t>
                            </w:r>
                          </w:p>
                          <w:p w14:paraId="7065F3BC" w14:textId="77777777" w:rsidR="00736F61" w:rsidRDefault="00736F61" w:rsidP="00736F61">
                            <w:pPr>
                              <w:spacing w:after="0"/>
                              <w:ind w:left="720"/>
                              <w:rPr>
                                <w:rFonts w:eastAsia="Times New Roman"/>
                                <w:sz w:val="20"/>
                                <w:szCs w:val="20"/>
                                <w:lang w:eastAsia="en-GB"/>
                              </w:rPr>
                            </w:pPr>
                            <w:r>
                              <w:rPr>
                                <w:rFonts w:eastAsia="Times New Roman"/>
                                <w:sz w:val="20"/>
                                <w:szCs w:val="20"/>
                                <w:lang w:eastAsia="en-GB"/>
                              </w:rPr>
                              <w:t>• Nike = 18</w:t>
                            </w:r>
                          </w:p>
                          <w:p w14:paraId="12446065" w14:textId="77777777" w:rsidR="00736F61" w:rsidRDefault="00736F61" w:rsidP="00736F61">
                            <w:pPr>
                              <w:spacing w:after="0"/>
                              <w:ind w:left="720"/>
                              <w:rPr>
                                <w:rFonts w:eastAsia="Times New Roman"/>
                                <w:sz w:val="20"/>
                                <w:szCs w:val="20"/>
                                <w:lang w:eastAsia="en-GB"/>
                              </w:rPr>
                            </w:pPr>
                            <w:r>
                              <w:rPr>
                                <w:rFonts w:eastAsia="Times New Roman"/>
                                <w:sz w:val="20"/>
                                <w:szCs w:val="20"/>
                                <w:lang w:eastAsia="en-GB"/>
                              </w:rPr>
                              <w:t>• Inditex = 18</w:t>
                            </w:r>
                          </w:p>
                          <w:p w14:paraId="6432C826" w14:textId="77777777" w:rsidR="00736F61" w:rsidRDefault="00736F61" w:rsidP="00736F61">
                            <w:pPr>
                              <w:spacing w:after="0"/>
                              <w:ind w:left="720"/>
                              <w:rPr>
                                <w:rFonts w:eastAsia="Times New Roman"/>
                                <w:sz w:val="20"/>
                                <w:szCs w:val="20"/>
                                <w:lang w:eastAsia="en-GB"/>
                              </w:rPr>
                            </w:pPr>
                            <w:r>
                              <w:rPr>
                                <w:rFonts w:eastAsia="Times New Roman"/>
                                <w:sz w:val="20"/>
                                <w:szCs w:val="20"/>
                                <w:lang w:eastAsia="en-GB"/>
                              </w:rPr>
                              <w:t>• Christian Dior = 16</w:t>
                            </w:r>
                          </w:p>
                          <w:p w14:paraId="0B354242" w14:textId="77777777" w:rsidR="00736F61" w:rsidRDefault="00736F61" w:rsidP="00736F61">
                            <w:pPr>
                              <w:spacing w:after="0"/>
                              <w:rPr>
                                <w:rFonts w:eastAsia="Times New Roman"/>
                                <w:sz w:val="20"/>
                                <w:szCs w:val="20"/>
                                <w:lang w:eastAsia="en-GB"/>
                              </w:rPr>
                            </w:pPr>
                            <w:r>
                              <w:rPr>
                                <w:rFonts w:eastAsia="Times New Roman"/>
                                <w:sz w:val="20"/>
                                <w:szCs w:val="20"/>
                                <w:lang w:eastAsia="en-GB"/>
                              </w:rPr>
                              <w:t>External triangulation sources included:</w:t>
                            </w:r>
                          </w:p>
                          <w:p w14:paraId="153B9966" w14:textId="77777777" w:rsidR="00736F61" w:rsidRDefault="00736F61" w:rsidP="00736F61">
                            <w:pPr>
                              <w:spacing w:after="0"/>
                              <w:ind w:left="720"/>
                              <w:rPr>
                                <w:sz w:val="20"/>
                                <w:szCs w:val="20"/>
                              </w:rPr>
                            </w:pPr>
                            <w:r>
                              <w:rPr>
                                <w:rFonts w:eastAsia="Times New Roman"/>
                                <w:sz w:val="20"/>
                                <w:szCs w:val="20"/>
                                <w:lang w:eastAsia="en-GB"/>
                              </w:rPr>
                              <w:t>• NGO reports and Investigative media = 28</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FC5CDD" id="Text Box 7" o:spid="_x0000_s1083" type="#_x0000_t202" style="position:absolute;margin-left:10.5pt;margin-top:3.15pt;width:186.25pt;height:132.8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">
                <v:textbox style="mso-fit-shape-to-text:t">
                  <w:txbxContent>
                    <w:p w14:paraId="501C1845" w14:textId="77777777" w:rsidR="00736F61" w:rsidRDefault="00736F61" w:rsidP="00736F61">
                      <w:pPr>
                        <w:spacing w:after="0"/>
                        <w:rPr>
                          <w:rFonts w:eastAsia="Times New Roman"/>
                          <w:sz w:val="20"/>
                          <w:szCs w:val="20"/>
                          <w:lang w:eastAsia="en-GB"/>
                        </w:rPr>
                      </w:pPr>
                      <w:r>
                        <w:rPr>
                          <w:rFonts w:eastAsia="Times New Roman"/>
                          <w:b/>
                          <w:bCs/>
                          <w:sz w:val="20"/>
                          <w:szCs w:val="20"/>
                          <w:lang w:eastAsia="en-GB"/>
                        </w:rPr>
                        <w:t xml:space="preserve">Final documents included in qualitative disclosure analysis:   </w:t>
                      </w:r>
                      <w:r>
                        <w:rPr>
                          <w:rFonts w:eastAsia="Times New Roman"/>
                          <w:sz w:val="20"/>
                          <w:szCs w:val="20"/>
                          <w:lang w:eastAsia="en-GB"/>
                        </w:rPr>
                        <w:t>n = 80</w:t>
                      </w:r>
                    </w:p>
                    <w:p w14:paraId="60DBEED3" w14:textId="77777777" w:rsidR="00736F61" w:rsidRDefault="00736F61" w:rsidP="00736F61">
                      <w:pPr>
                        <w:spacing w:after="0"/>
                        <w:rPr>
                          <w:rFonts w:eastAsia="Times New Roman"/>
                          <w:sz w:val="20"/>
                          <w:szCs w:val="20"/>
                          <w:lang w:eastAsia="en-GB"/>
                        </w:rPr>
                      </w:pPr>
                      <w:r>
                        <w:rPr>
                          <w:rFonts w:eastAsia="Times New Roman"/>
                          <w:sz w:val="20"/>
                          <w:szCs w:val="20"/>
                          <w:lang w:eastAsia="en-GB"/>
                        </w:rPr>
                        <w:t>Breakdown:</w:t>
                      </w:r>
                    </w:p>
                    <w:p w14:paraId="7065F3BC" w14:textId="77777777" w:rsidR="00736F61" w:rsidRDefault="00736F61" w:rsidP="00736F61">
                      <w:pPr>
                        <w:spacing w:after="0"/>
                        <w:ind w:left="720"/>
                        <w:rPr>
                          <w:rFonts w:eastAsia="Times New Roman"/>
                          <w:sz w:val="20"/>
                          <w:szCs w:val="20"/>
                          <w:lang w:eastAsia="en-GB"/>
                        </w:rPr>
                      </w:pPr>
                      <w:r>
                        <w:rPr>
                          <w:rFonts w:eastAsia="Times New Roman"/>
                          <w:sz w:val="20"/>
                          <w:szCs w:val="20"/>
                          <w:lang w:eastAsia="en-GB"/>
                        </w:rPr>
                        <w:t>• Nike = 18</w:t>
                      </w:r>
                    </w:p>
                    <w:p w14:paraId="12446065" w14:textId="77777777" w:rsidR="00736F61" w:rsidRDefault="00736F61" w:rsidP="00736F61">
                      <w:pPr>
                        <w:spacing w:after="0"/>
                        <w:ind w:left="720"/>
                        <w:rPr>
                          <w:rFonts w:eastAsia="Times New Roman"/>
                          <w:sz w:val="20"/>
                          <w:szCs w:val="20"/>
                          <w:lang w:eastAsia="en-GB"/>
                        </w:rPr>
                      </w:pPr>
                      <w:r>
                        <w:rPr>
                          <w:rFonts w:eastAsia="Times New Roman"/>
                          <w:sz w:val="20"/>
                          <w:szCs w:val="20"/>
                          <w:lang w:eastAsia="en-GB"/>
                        </w:rPr>
                        <w:t>• Inditex = 18</w:t>
                      </w:r>
                    </w:p>
                    <w:p w14:paraId="6432C826" w14:textId="77777777" w:rsidR="00736F61" w:rsidRDefault="00736F61" w:rsidP="00736F61">
                      <w:pPr>
                        <w:spacing w:after="0"/>
                        <w:ind w:left="720"/>
                        <w:rPr>
                          <w:rFonts w:eastAsia="Times New Roman"/>
                          <w:sz w:val="20"/>
                          <w:szCs w:val="20"/>
                          <w:lang w:eastAsia="en-GB"/>
                        </w:rPr>
                      </w:pPr>
                      <w:r>
                        <w:rPr>
                          <w:rFonts w:eastAsia="Times New Roman"/>
                          <w:sz w:val="20"/>
                          <w:szCs w:val="20"/>
                          <w:lang w:eastAsia="en-GB"/>
                        </w:rPr>
                        <w:t>• Christian Dior = 16</w:t>
                      </w:r>
                    </w:p>
                    <w:p w14:paraId="0B354242" w14:textId="77777777" w:rsidR="00736F61" w:rsidRDefault="00736F61" w:rsidP="00736F61">
                      <w:pPr>
                        <w:spacing w:after="0"/>
                        <w:rPr>
                          <w:rFonts w:eastAsia="Times New Roman"/>
                          <w:sz w:val="20"/>
                          <w:szCs w:val="20"/>
                          <w:lang w:eastAsia="en-GB"/>
                        </w:rPr>
                      </w:pPr>
                      <w:r>
                        <w:rPr>
                          <w:rFonts w:eastAsia="Times New Roman"/>
                          <w:sz w:val="20"/>
                          <w:szCs w:val="20"/>
                          <w:lang w:eastAsia="en-GB"/>
                        </w:rPr>
                        <w:t>External triangulation sources included:</w:t>
                      </w:r>
                    </w:p>
                    <w:p w14:paraId="153B9966" w14:textId="77777777" w:rsidR="00736F61" w:rsidRDefault="00736F61" w:rsidP="00736F61">
                      <w:pPr>
                        <w:spacing w:after="0"/>
                        <w:ind w:left="720"/>
                        <w:rPr>
                          <w:sz w:val="20"/>
                          <w:szCs w:val="20"/>
                        </w:rPr>
                      </w:pPr>
                      <w:r>
                        <w:rPr>
                          <w:rFonts w:eastAsia="Times New Roman"/>
                          <w:sz w:val="20"/>
                          <w:szCs w:val="20"/>
                          <w:lang w:eastAsia="en-GB"/>
                        </w:rPr>
                        <w:t>• NGO reports and Investigative media = 28</w:t>
                      </w:r>
                    </w:p>
                  </w:txbxContent>
                </v:textbox>
                <w10:wrap type="square"/>
              </v:shape>
            </w:pict>
          </mc:Fallback>
        </mc:AlternateContent>
      </w:r>
    </w:p>
    <w:p w14:paraId="692E5AC3" w14:textId="77777777" w:rsidR="00736F61" w:rsidRPr="00CC1FC3" w:rsidRDefault="00736F61" w:rsidP="00736F61">
      <w:pPr>
        <w:rPr>
          <w:rStyle w:val="normaltextrun"/>
        </w:rPr>
      </w:pPr>
    </w:p>
    <w:p w14:paraId="325CE0A1" w14:textId="77777777" w:rsidR="00736F61" w:rsidRPr="00CC1FC3" w:rsidRDefault="00736F61" w:rsidP="00736F61">
      <w:pPr>
        <w:rPr>
          <w:rStyle w:val="normaltextrun"/>
        </w:rPr>
      </w:pPr>
    </w:p>
    <w:p w14:paraId="302248A5" w14:textId="77777777" w:rsidR="00736F61" w:rsidRPr="00CC1FC3" w:rsidRDefault="00736F61" w:rsidP="00736F61">
      <w:pPr>
        <w:rPr>
          <w:rStyle w:val="normaltextrun"/>
        </w:rPr>
      </w:pPr>
    </w:p>
    <w:p w14:paraId="2E49B8B6" w14:textId="77777777" w:rsidR="00736F61" w:rsidRPr="00CC1FC3" w:rsidRDefault="00736F61" w:rsidP="00736F61">
      <w:pPr>
        <w:rPr>
          <w:rStyle w:val="normaltextrun"/>
        </w:rPr>
      </w:pPr>
    </w:p>
    <w:p w14:paraId="5D3FDEA1" w14:textId="77777777" w:rsidR="00736F61" w:rsidRDefault="00736F61" w:rsidP="00736F61">
      <w:pPr>
        <w:jc w:val="center"/>
        <w:rPr>
          <w:rStyle w:val="normaltextrun"/>
          <w:b/>
          <w:bCs/>
        </w:rPr>
      </w:pPr>
    </w:p>
    <w:p w14:paraId="764CAF63" w14:textId="77777777" w:rsidR="00736F61" w:rsidRDefault="00736F61" w:rsidP="00736F61">
      <w:pPr>
        <w:jc w:val="center"/>
        <w:rPr>
          <w:rStyle w:val="normaltextrun"/>
        </w:rPr>
      </w:pPr>
      <w:r w:rsidRPr="00CC1FC3">
        <w:rPr>
          <w:rStyle w:val="normaltextrun"/>
          <w:b/>
          <w:bCs/>
        </w:rPr>
        <w:t xml:space="preserve">Figure </w:t>
      </w:r>
      <w:r>
        <w:rPr>
          <w:rStyle w:val="normaltextrun"/>
          <w:b/>
          <w:bCs/>
        </w:rPr>
        <w:t>5.13</w:t>
      </w:r>
      <w:r w:rsidRPr="00CC1FC3">
        <w:rPr>
          <w:rStyle w:val="normaltextrun"/>
        </w:rPr>
        <w:t>: PRISMA Document Selection Flowchart</w:t>
      </w:r>
    </w:p>
    <w:p w14:paraId="76F14E31" w14:textId="77777777" w:rsidR="00736F61" w:rsidRDefault="00736F61" w:rsidP="00736F61">
      <w:pPr>
        <w:jc w:val="center"/>
        <w:rPr>
          <w:rStyle w:val="normaltextrun"/>
        </w:rPr>
      </w:pPr>
      <w:r>
        <w:rPr>
          <w:rStyle w:val="normaltextrun"/>
        </w:rPr>
        <w:t xml:space="preserve">Furthermore, Table 5.15 present the detailed information of the document selection process. </w:t>
      </w:r>
    </w:p>
    <w:p w14:paraId="225196ED" w14:textId="77777777" w:rsidR="00736F61" w:rsidRPr="00AA2A4A" w:rsidRDefault="00736F61" w:rsidP="00736F61">
      <w:pPr>
        <w:rPr>
          <w:rStyle w:val="normaltextrun"/>
          <w:b/>
          <w:bCs/>
        </w:rPr>
      </w:pPr>
      <w:r w:rsidRPr="00AA2A4A">
        <w:rPr>
          <w:rStyle w:val="normaltextrun"/>
          <w:b/>
          <w:bCs/>
        </w:rPr>
        <w:t>Table 5.15:</w:t>
      </w:r>
      <w:r>
        <w:rPr>
          <w:rStyle w:val="normaltextrun"/>
          <w:b/>
          <w:bCs/>
        </w:rPr>
        <w:t xml:space="preserve"> </w:t>
      </w:r>
      <w:r w:rsidRPr="00F7600A">
        <w:rPr>
          <w:rStyle w:val="normaltextrun"/>
        </w:rPr>
        <w:t>Document selection detailed process</w:t>
      </w:r>
    </w:p>
    <w:tbl>
      <w:tblPr>
        <w:tblW w:w="0" w:type="auto"/>
        <w:tblLook w:val="06A0" w:firstRow="1" w:lastRow="0" w:firstColumn="1" w:lastColumn="0" w:noHBand="1" w:noVBand="1"/>
      </w:tblPr>
      <w:tblGrid>
        <w:gridCol w:w="1740"/>
        <w:gridCol w:w="3782"/>
        <w:gridCol w:w="750"/>
        <w:gridCol w:w="898"/>
        <w:gridCol w:w="1004"/>
        <w:gridCol w:w="852"/>
      </w:tblGrid>
      <w:tr w:rsidR="00736F61" w:rsidRPr="00101337" w14:paraId="350E7654" w14:textId="77777777" w:rsidTr="003F224E">
        <w:trPr>
          <w:trHeight w:val="600"/>
        </w:trPr>
        <w:tc>
          <w:tcPr>
            <w:tcW w:w="1740" w:type="dxa"/>
            <w:tcBorders>
              <w:top w:val="single" w:sz="4" w:space="0" w:color="auto"/>
              <w:left w:val="nil"/>
              <w:bottom w:val="single" w:sz="4" w:space="0" w:color="auto"/>
              <w:right w:val="nil"/>
            </w:tcBorders>
            <w:tcMar>
              <w:top w:w="15" w:type="dxa"/>
              <w:left w:w="15" w:type="dxa"/>
              <w:right w:w="15" w:type="dxa"/>
            </w:tcMar>
            <w:vAlign w:val="center"/>
          </w:tcPr>
          <w:p w14:paraId="2F17D5F2" w14:textId="77777777" w:rsidR="00736F61" w:rsidRPr="00101337" w:rsidRDefault="00736F61" w:rsidP="003F224E">
            <w:pPr>
              <w:spacing w:after="0"/>
              <w:jc w:val="center"/>
              <w:rPr>
                <w:sz w:val="20"/>
                <w:szCs w:val="20"/>
              </w:rPr>
            </w:pPr>
            <w:r w:rsidRPr="00101337">
              <w:rPr>
                <w:rFonts w:eastAsia="Aptos Narrow"/>
                <w:b/>
                <w:bCs/>
                <w:color w:val="000000" w:themeColor="text1"/>
                <w:sz w:val="20"/>
                <w:szCs w:val="20"/>
              </w:rPr>
              <w:t>Stage</w:t>
            </w:r>
          </w:p>
        </w:tc>
        <w:tc>
          <w:tcPr>
            <w:tcW w:w="3782" w:type="dxa"/>
            <w:tcBorders>
              <w:top w:val="single" w:sz="4" w:space="0" w:color="auto"/>
              <w:left w:val="nil"/>
              <w:bottom w:val="single" w:sz="4" w:space="0" w:color="auto"/>
              <w:right w:val="nil"/>
            </w:tcBorders>
            <w:tcMar>
              <w:top w:w="15" w:type="dxa"/>
              <w:left w:w="15" w:type="dxa"/>
              <w:right w:w="15" w:type="dxa"/>
            </w:tcMar>
            <w:vAlign w:val="center"/>
          </w:tcPr>
          <w:p w14:paraId="40776235" w14:textId="77777777" w:rsidR="00736F61" w:rsidRPr="00101337" w:rsidRDefault="00736F61" w:rsidP="003F224E">
            <w:pPr>
              <w:spacing w:after="0"/>
              <w:jc w:val="center"/>
              <w:rPr>
                <w:sz w:val="20"/>
                <w:szCs w:val="20"/>
              </w:rPr>
            </w:pPr>
            <w:r w:rsidRPr="00101337">
              <w:rPr>
                <w:rFonts w:eastAsia="Aptos Narrow"/>
                <w:b/>
                <w:bCs/>
                <w:color w:val="000000" w:themeColor="text1"/>
                <w:sz w:val="20"/>
                <w:szCs w:val="20"/>
              </w:rPr>
              <w:t>Description</w:t>
            </w:r>
          </w:p>
        </w:tc>
        <w:tc>
          <w:tcPr>
            <w:tcW w:w="750" w:type="dxa"/>
            <w:tcBorders>
              <w:top w:val="single" w:sz="4" w:space="0" w:color="auto"/>
              <w:left w:val="nil"/>
              <w:bottom w:val="single" w:sz="4" w:space="0" w:color="auto"/>
              <w:right w:val="nil"/>
            </w:tcBorders>
            <w:tcMar>
              <w:top w:w="15" w:type="dxa"/>
              <w:left w:w="15" w:type="dxa"/>
              <w:right w:w="15" w:type="dxa"/>
            </w:tcMar>
            <w:vAlign w:val="center"/>
          </w:tcPr>
          <w:p w14:paraId="3EFF550F"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Nike</w:t>
            </w:r>
          </w:p>
        </w:tc>
        <w:tc>
          <w:tcPr>
            <w:tcW w:w="898" w:type="dxa"/>
            <w:tcBorders>
              <w:top w:val="single" w:sz="4" w:space="0" w:color="auto"/>
              <w:left w:val="nil"/>
              <w:bottom w:val="single" w:sz="4" w:space="0" w:color="auto"/>
              <w:right w:val="nil"/>
            </w:tcBorders>
            <w:tcMar>
              <w:top w:w="15" w:type="dxa"/>
              <w:left w:w="15" w:type="dxa"/>
              <w:right w:w="15" w:type="dxa"/>
            </w:tcMar>
            <w:vAlign w:val="center"/>
          </w:tcPr>
          <w:p w14:paraId="646EF710"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Inditex</w:t>
            </w:r>
          </w:p>
        </w:tc>
        <w:tc>
          <w:tcPr>
            <w:tcW w:w="1004" w:type="dxa"/>
            <w:tcBorders>
              <w:top w:val="single" w:sz="4" w:space="0" w:color="auto"/>
              <w:left w:val="nil"/>
              <w:bottom w:val="single" w:sz="4" w:space="0" w:color="auto"/>
              <w:right w:val="nil"/>
            </w:tcBorders>
            <w:tcMar>
              <w:top w:w="15" w:type="dxa"/>
              <w:left w:w="15" w:type="dxa"/>
              <w:right w:w="15" w:type="dxa"/>
            </w:tcMar>
            <w:vAlign w:val="center"/>
          </w:tcPr>
          <w:p w14:paraId="1009201E"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Christian Dior</w:t>
            </w:r>
          </w:p>
        </w:tc>
        <w:tc>
          <w:tcPr>
            <w:tcW w:w="852" w:type="dxa"/>
            <w:tcBorders>
              <w:top w:val="single" w:sz="4" w:space="0" w:color="auto"/>
              <w:left w:val="nil"/>
              <w:bottom w:val="single" w:sz="4" w:space="0" w:color="auto"/>
              <w:right w:val="nil"/>
            </w:tcBorders>
            <w:tcMar>
              <w:top w:w="15" w:type="dxa"/>
              <w:left w:w="15" w:type="dxa"/>
              <w:right w:w="15" w:type="dxa"/>
            </w:tcMar>
            <w:vAlign w:val="center"/>
          </w:tcPr>
          <w:p w14:paraId="4921E9AD"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Total</w:t>
            </w:r>
          </w:p>
        </w:tc>
      </w:tr>
      <w:tr w:rsidR="00736F61" w:rsidRPr="00101337" w14:paraId="4052A7D1" w14:textId="77777777" w:rsidTr="003F224E">
        <w:trPr>
          <w:trHeight w:val="1200"/>
        </w:trPr>
        <w:tc>
          <w:tcPr>
            <w:tcW w:w="1740" w:type="dxa"/>
            <w:tcBorders>
              <w:top w:val="single" w:sz="4" w:space="0" w:color="auto"/>
              <w:left w:val="nil"/>
              <w:bottom w:val="nil"/>
              <w:right w:val="nil"/>
            </w:tcBorders>
            <w:tcMar>
              <w:top w:w="15" w:type="dxa"/>
              <w:left w:w="15" w:type="dxa"/>
              <w:right w:w="15" w:type="dxa"/>
            </w:tcMar>
            <w:vAlign w:val="center"/>
          </w:tcPr>
          <w:p w14:paraId="06DE3E40" w14:textId="77777777" w:rsidR="00736F61" w:rsidRPr="00101337" w:rsidRDefault="00736F61" w:rsidP="003F224E">
            <w:pPr>
              <w:spacing w:after="0"/>
              <w:rPr>
                <w:sz w:val="20"/>
                <w:szCs w:val="20"/>
              </w:rPr>
            </w:pPr>
            <w:r w:rsidRPr="00101337">
              <w:rPr>
                <w:rFonts w:eastAsia="Aptos Narrow"/>
                <w:b/>
                <w:bCs/>
                <w:color w:val="000000" w:themeColor="text1"/>
                <w:sz w:val="20"/>
                <w:szCs w:val="20"/>
              </w:rPr>
              <w:t>Identification</w:t>
            </w:r>
          </w:p>
        </w:tc>
        <w:tc>
          <w:tcPr>
            <w:tcW w:w="3782" w:type="dxa"/>
            <w:tcBorders>
              <w:top w:val="single" w:sz="4" w:space="0" w:color="auto"/>
              <w:left w:val="nil"/>
              <w:bottom w:val="nil"/>
              <w:right w:val="nil"/>
            </w:tcBorders>
            <w:tcMar>
              <w:top w:w="15" w:type="dxa"/>
              <w:left w:w="15" w:type="dxa"/>
              <w:right w:w="15" w:type="dxa"/>
            </w:tcMar>
            <w:vAlign w:val="center"/>
          </w:tcPr>
          <w:p w14:paraId="1706C68A" w14:textId="77777777" w:rsidR="00736F61" w:rsidRPr="00101337" w:rsidRDefault="00736F61" w:rsidP="003F224E">
            <w:pPr>
              <w:spacing w:after="0"/>
              <w:rPr>
                <w:sz w:val="20"/>
                <w:szCs w:val="20"/>
              </w:rPr>
            </w:pPr>
            <w:r w:rsidRPr="00101337">
              <w:rPr>
                <w:rFonts w:eastAsia="Aptos Narrow"/>
                <w:color w:val="000000" w:themeColor="text1"/>
                <w:sz w:val="20"/>
                <w:szCs w:val="20"/>
              </w:rPr>
              <w:t>Initial corporate documents identified (annual, sustainability, impact, human rights, MSS statements, codes of conduct, supplier standards) for the period of 201-2023</w:t>
            </w:r>
          </w:p>
        </w:tc>
        <w:tc>
          <w:tcPr>
            <w:tcW w:w="750" w:type="dxa"/>
            <w:tcBorders>
              <w:top w:val="single" w:sz="4" w:space="0" w:color="auto"/>
              <w:left w:val="nil"/>
              <w:bottom w:val="nil"/>
              <w:right w:val="nil"/>
            </w:tcBorders>
            <w:tcMar>
              <w:top w:w="15" w:type="dxa"/>
              <w:left w:w="15" w:type="dxa"/>
              <w:right w:w="15" w:type="dxa"/>
            </w:tcMar>
            <w:vAlign w:val="center"/>
          </w:tcPr>
          <w:p w14:paraId="79FB52D4"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46</w:t>
            </w:r>
          </w:p>
        </w:tc>
        <w:tc>
          <w:tcPr>
            <w:tcW w:w="898" w:type="dxa"/>
            <w:tcBorders>
              <w:top w:val="single" w:sz="4" w:space="0" w:color="auto"/>
              <w:left w:val="nil"/>
              <w:bottom w:val="nil"/>
              <w:right w:val="nil"/>
            </w:tcBorders>
            <w:tcMar>
              <w:top w:w="15" w:type="dxa"/>
              <w:left w:w="15" w:type="dxa"/>
              <w:right w:w="15" w:type="dxa"/>
            </w:tcMar>
            <w:vAlign w:val="center"/>
          </w:tcPr>
          <w:p w14:paraId="39A57FC9"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42</w:t>
            </w:r>
          </w:p>
        </w:tc>
        <w:tc>
          <w:tcPr>
            <w:tcW w:w="1004" w:type="dxa"/>
            <w:tcBorders>
              <w:top w:val="single" w:sz="4" w:space="0" w:color="auto"/>
              <w:left w:val="nil"/>
              <w:bottom w:val="nil"/>
              <w:right w:val="nil"/>
            </w:tcBorders>
            <w:tcMar>
              <w:top w:w="15" w:type="dxa"/>
              <w:left w:w="15" w:type="dxa"/>
              <w:right w:w="15" w:type="dxa"/>
            </w:tcMar>
            <w:vAlign w:val="center"/>
          </w:tcPr>
          <w:p w14:paraId="1D2403BC"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35</w:t>
            </w:r>
          </w:p>
        </w:tc>
        <w:tc>
          <w:tcPr>
            <w:tcW w:w="852" w:type="dxa"/>
            <w:tcBorders>
              <w:top w:val="single" w:sz="4" w:space="0" w:color="auto"/>
              <w:left w:val="nil"/>
              <w:bottom w:val="nil"/>
              <w:right w:val="nil"/>
            </w:tcBorders>
            <w:tcMar>
              <w:top w:w="15" w:type="dxa"/>
              <w:left w:w="15" w:type="dxa"/>
              <w:right w:w="15" w:type="dxa"/>
            </w:tcMar>
            <w:vAlign w:val="center"/>
          </w:tcPr>
          <w:p w14:paraId="09B0023E"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123</w:t>
            </w:r>
          </w:p>
        </w:tc>
      </w:tr>
      <w:tr w:rsidR="00736F61" w:rsidRPr="00101337" w14:paraId="52475E04" w14:textId="77777777" w:rsidTr="003F224E">
        <w:trPr>
          <w:trHeight w:val="900"/>
        </w:trPr>
        <w:tc>
          <w:tcPr>
            <w:tcW w:w="1740" w:type="dxa"/>
            <w:tcBorders>
              <w:top w:val="nil"/>
              <w:left w:val="nil"/>
              <w:bottom w:val="nil"/>
              <w:right w:val="nil"/>
            </w:tcBorders>
            <w:tcMar>
              <w:top w:w="15" w:type="dxa"/>
              <w:left w:w="15" w:type="dxa"/>
              <w:right w:w="15" w:type="dxa"/>
            </w:tcMar>
            <w:vAlign w:val="center"/>
          </w:tcPr>
          <w:p w14:paraId="3DFCC59B" w14:textId="77777777" w:rsidR="00736F61" w:rsidRPr="00101337" w:rsidRDefault="00736F61" w:rsidP="003F224E">
            <w:pPr>
              <w:rPr>
                <w:sz w:val="20"/>
                <w:szCs w:val="20"/>
              </w:rPr>
            </w:pPr>
          </w:p>
        </w:tc>
        <w:tc>
          <w:tcPr>
            <w:tcW w:w="3782" w:type="dxa"/>
            <w:tcBorders>
              <w:top w:val="nil"/>
              <w:left w:val="nil"/>
              <w:bottom w:val="nil"/>
              <w:right w:val="nil"/>
            </w:tcBorders>
            <w:tcMar>
              <w:top w:w="15" w:type="dxa"/>
              <w:left w:w="15" w:type="dxa"/>
              <w:right w:w="15" w:type="dxa"/>
            </w:tcMar>
            <w:vAlign w:val="center"/>
          </w:tcPr>
          <w:p w14:paraId="2535AC7E" w14:textId="77777777" w:rsidR="00736F61" w:rsidRPr="00101337" w:rsidRDefault="00736F61" w:rsidP="003F224E">
            <w:pPr>
              <w:spacing w:after="0"/>
              <w:rPr>
                <w:sz w:val="20"/>
                <w:szCs w:val="20"/>
              </w:rPr>
            </w:pPr>
            <w:r w:rsidRPr="00101337">
              <w:rPr>
                <w:rFonts w:eastAsia="Aptos Narrow"/>
                <w:color w:val="000000" w:themeColor="text1"/>
                <w:sz w:val="20"/>
                <w:szCs w:val="20"/>
              </w:rPr>
              <w:t>Additional documents identified through NGO reports, media investigations, and labour rights organisations</w:t>
            </w:r>
          </w:p>
        </w:tc>
        <w:tc>
          <w:tcPr>
            <w:tcW w:w="750" w:type="dxa"/>
            <w:tcBorders>
              <w:top w:val="nil"/>
              <w:left w:val="nil"/>
              <w:bottom w:val="nil"/>
              <w:right w:val="nil"/>
            </w:tcBorders>
            <w:tcMar>
              <w:top w:w="15" w:type="dxa"/>
              <w:left w:w="15" w:type="dxa"/>
              <w:right w:w="15" w:type="dxa"/>
            </w:tcMar>
            <w:vAlign w:val="center"/>
          </w:tcPr>
          <w:p w14:paraId="172727CE"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16</w:t>
            </w:r>
          </w:p>
        </w:tc>
        <w:tc>
          <w:tcPr>
            <w:tcW w:w="898" w:type="dxa"/>
            <w:tcBorders>
              <w:top w:val="nil"/>
              <w:left w:val="nil"/>
              <w:bottom w:val="nil"/>
              <w:right w:val="nil"/>
            </w:tcBorders>
            <w:tcMar>
              <w:top w:w="15" w:type="dxa"/>
              <w:left w:w="15" w:type="dxa"/>
              <w:right w:w="15" w:type="dxa"/>
            </w:tcMar>
            <w:vAlign w:val="center"/>
          </w:tcPr>
          <w:p w14:paraId="542ECEFE"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13</w:t>
            </w:r>
          </w:p>
        </w:tc>
        <w:tc>
          <w:tcPr>
            <w:tcW w:w="1004" w:type="dxa"/>
            <w:tcBorders>
              <w:top w:val="nil"/>
              <w:left w:val="nil"/>
              <w:bottom w:val="nil"/>
              <w:right w:val="nil"/>
            </w:tcBorders>
            <w:tcMar>
              <w:top w:w="15" w:type="dxa"/>
              <w:left w:w="15" w:type="dxa"/>
              <w:right w:w="15" w:type="dxa"/>
            </w:tcMar>
            <w:vAlign w:val="center"/>
          </w:tcPr>
          <w:p w14:paraId="22C7D937"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11</w:t>
            </w:r>
          </w:p>
        </w:tc>
        <w:tc>
          <w:tcPr>
            <w:tcW w:w="852" w:type="dxa"/>
            <w:tcBorders>
              <w:top w:val="nil"/>
              <w:left w:val="nil"/>
              <w:bottom w:val="nil"/>
              <w:right w:val="nil"/>
            </w:tcBorders>
            <w:tcMar>
              <w:top w:w="15" w:type="dxa"/>
              <w:left w:w="15" w:type="dxa"/>
              <w:right w:w="15" w:type="dxa"/>
            </w:tcMar>
            <w:vAlign w:val="center"/>
          </w:tcPr>
          <w:p w14:paraId="67E4DEE1"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40</w:t>
            </w:r>
          </w:p>
        </w:tc>
      </w:tr>
      <w:tr w:rsidR="00736F61" w:rsidRPr="00101337" w14:paraId="0668C4F0" w14:textId="77777777" w:rsidTr="003F224E">
        <w:trPr>
          <w:trHeight w:val="600"/>
        </w:trPr>
        <w:tc>
          <w:tcPr>
            <w:tcW w:w="5522" w:type="dxa"/>
            <w:gridSpan w:val="2"/>
            <w:tcBorders>
              <w:top w:val="single" w:sz="4" w:space="0" w:color="auto"/>
              <w:left w:val="nil"/>
              <w:bottom w:val="nil"/>
              <w:right w:val="nil"/>
            </w:tcBorders>
            <w:tcMar>
              <w:top w:w="15" w:type="dxa"/>
              <w:left w:w="15" w:type="dxa"/>
              <w:right w:w="15" w:type="dxa"/>
            </w:tcMar>
            <w:vAlign w:val="center"/>
          </w:tcPr>
          <w:p w14:paraId="16EE9819" w14:textId="77777777" w:rsidR="00736F61" w:rsidRPr="00101337" w:rsidRDefault="00736F61" w:rsidP="003F224E">
            <w:pPr>
              <w:spacing w:after="0"/>
              <w:jc w:val="center"/>
              <w:rPr>
                <w:sz w:val="20"/>
                <w:szCs w:val="20"/>
              </w:rPr>
            </w:pPr>
            <w:r w:rsidRPr="00101337">
              <w:rPr>
                <w:rFonts w:eastAsia="Aptos Narrow"/>
                <w:b/>
                <w:bCs/>
                <w:color w:val="000000" w:themeColor="text1"/>
                <w:sz w:val="20"/>
                <w:szCs w:val="20"/>
              </w:rPr>
              <w:t>Total records identified</w:t>
            </w:r>
          </w:p>
        </w:tc>
        <w:tc>
          <w:tcPr>
            <w:tcW w:w="750" w:type="dxa"/>
            <w:tcBorders>
              <w:top w:val="single" w:sz="4" w:space="0" w:color="auto"/>
              <w:left w:val="nil"/>
              <w:bottom w:val="nil"/>
              <w:right w:val="nil"/>
            </w:tcBorders>
            <w:tcMar>
              <w:top w:w="15" w:type="dxa"/>
              <w:left w:w="15" w:type="dxa"/>
              <w:right w:w="15" w:type="dxa"/>
            </w:tcMar>
            <w:vAlign w:val="center"/>
          </w:tcPr>
          <w:p w14:paraId="5A4DA5FC"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62</w:t>
            </w:r>
          </w:p>
        </w:tc>
        <w:tc>
          <w:tcPr>
            <w:tcW w:w="898" w:type="dxa"/>
            <w:tcBorders>
              <w:top w:val="single" w:sz="4" w:space="0" w:color="auto"/>
              <w:left w:val="nil"/>
              <w:bottom w:val="nil"/>
              <w:right w:val="nil"/>
            </w:tcBorders>
            <w:tcMar>
              <w:top w:w="15" w:type="dxa"/>
              <w:left w:w="15" w:type="dxa"/>
              <w:right w:w="15" w:type="dxa"/>
            </w:tcMar>
            <w:vAlign w:val="center"/>
          </w:tcPr>
          <w:p w14:paraId="6FE5A982"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55</w:t>
            </w:r>
          </w:p>
        </w:tc>
        <w:tc>
          <w:tcPr>
            <w:tcW w:w="1004" w:type="dxa"/>
            <w:tcBorders>
              <w:top w:val="single" w:sz="4" w:space="0" w:color="auto"/>
              <w:left w:val="nil"/>
              <w:bottom w:val="nil"/>
              <w:right w:val="nil"/>
            </w:tcBorders>
            <w:tcMar>
              <w:top w:w="15" w:type="dxa"/>
              <w:left w:w="15" w:type="dxa"/>
              <w:right w:w="15" w:type="dxa"/>
            </w:tcMar>
            <w:vAlign w:val="center"/>
          </w:tcPr>
          <w:p w14:paraId="58A4CED2"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46</w:t>
            </w:r>
          </w:p>
        </w:tc>
        <w:tc>
          <w:tcPr>
            <w:tcW w:w="852" w:type="dxa"/>
            <w:tcBorders>
              <w:top w:val="single" w:sz="4" w:space="0" w:color="auto"/>
              <w:left w:val="nil"/>
              <w:bottom w:val="nil"/>
              <w:right w:val="nil"/>
            </w:tcBorders>
            <w:tcMar>
              <w:top w:w="15" w:type="dxa"/>
              <w:left w:w="15" w:type="dxa"/>
              <w:right w:w="15" w:type="dxa"/>
            </w:tcMar>
            <w:vAlign w:val="center"/>
          </w:tcPr>
          <w:p w14:paraId="459F2C06"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163</w:t>
            </w:r>
          </w:p>
        </w:tc>
      </w:tr>
      <w:tr w:rsidR="00736F61" w:rsidRPr="00101337" w14:paraId="665686AA" w14:textId="77777777" w:rsidTr="003F224E">
        <w:trPr>
          <w:trHeight w:val="600"/>
        </w:trPr>
        <w:tc>
          <w:tcPr>
            <w:tcW w:w="1740" w:type="dxa"/>
            <w:tcBorders>
              <w:top w:val="single" w:sz="4" w:space="0" w:color="auto"/>
              <w:left w:val="nil"/>
              <w:bottom w:val="nil"/>
              <w:right w:val="nil"/>
            </w:tcBorders>
            <w:tcMar>
              <w:top w:w="15" w:type="dxa"/>
              <w:left w:w="15" w:type="dxa"/>
              <w:right w:w="15" w:type="dxa"/>
            </w:tcMar>
            <w:vAlign w:val="center"/>
          </w:tcPr>
          <w:p w14:paraId="7C57EE18" w14:textId="77777777" w:rsidR="00736F61" w:rsidRPr="00101337" w:rsidRDefault="00736F61" w:rsidP="003F224E">
            <w:pPr>
              <w:spacing w:after="0"/>
              <w:rPr>
                <w:sz w:val="20"/>
                <w:szCs w:val="20"/>
              </w:rPr>
            </w:pPr>
            <w:r w:rsidRPr="00101337">
              <w:rPr>
                <w:rFonts w:eastAsia="Aptos Narrow"/>
                <w:b/>
                <w:bCs/>
                <w:color w:val="000000" w:themeColor="text1"/>
                <w:sz w:val="20"/>
                <w:szCs w:val="20"/>
              </w:rPr>
              <w:lastRenderedPageBreak/>
              <w:t>Screening</w:t>
            </w:r>
          </w:p>
        </w:tc>
        <w:tc>
          <w:tcPr>
            <w:tcW w:w="3782" w:type="dxa"/>
            <w:tcBorders>
              <w:top w:val="single" w:sz="4" w:space="0" w:color="auto"/>
              <w:left w:val="nil"/>
              <w:bottom w:val="nil"/>
              <w:right w:val="nil"/>
            </w:tcBorders>
            <w:tcMar>
              <w:top w:w="15" w:type="dxa"/>
              <w:left w:w="15" w:type="dxa"/>
              <w:right w:w="15" w:type="dxa"/>
            </w:tcMar>
            <w:vAlign w:val="center"/>
          </w:tcPr>
          <w:p w14:paraId="545616CA" w14:textId="77777777" w:rsidR="00736F61" w:rsidRPr="00101337" w:rsidRDefault="00736F61" w:rsidP="003F224E">
            <w:pPr>
              <w:spacing w:after="0"/>
              <w:rPr>
                <w:sz w:val="20"/>
                <w:szCs w:val="20"/>
              </w:rPr>
            </w:pPr>
            <w:r w:rsidRPr="00101337">
              <w:rPr>
                <w:rFonts w:eastAsia="Aptos Narrow"/>
                <w:color w:val="000000" w:themeColor="text1"/>
                <w:sz w:val="20"/>
                <w:szCs w:val="20"/>
              </w:rPr>
              <w:t>Records screened for relevance (title, executive summary, table of contents review)</w:t>
            </w:r>
          </w:p>
        </w:tc>
        <w:tc>
          <w:tcPr>
            <w:tcW w:w="750" w:type="dxa"/>
            <w:tcBorders>
              <w:top w:val="single" w:sz="4" w:space="0" w:color="auto"/>
              <w:left w:val="nil"/>
              <w:bottom w:val="nil"/>
              <w:right w:val="nil"/>
            </w:tcBorders>
            <w:tcMar>
              <w:top w:w="15" w:type="dxa"/>
              <w:left w:w="15" w:type="dxa"/>
              <w:right w:w="15" w:type="dxa"/>
            </w:tcMar>
            <w:vAlign w:val="center"/>
          </w:tcPr>
          <w:p w14:paraId="05B517D5"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62</w:t>
            </w:r>
          </w:p>
        </w:tc>
        <w:tc>
          <w:tcPr>
            <w:tcW w:w="898" w:type="dxa"/>
            <w:tcBorders>
              <w:top w:val="single" w:sz="4" w:space="0" w:color="auto"/>
              <w:left w:val="nil"/>
              <w:bottom w:val="nil"/>
              <w:right w:val="nil"/>
            </w:tcBorders>
            <w:tcMar>
              <w:top w:w="15" w:type="dxa"/>
              <w:left w:w="15" w:type="dxa"/>
              <w:right w:w="15" w:type="dxa"/>
            </w:tcMar>
            <w:vAlign w:val="center"/>
          </w:tcPr>
          <w:p w14:paraId="0F5FEEB2"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55</w:t>
            </w:r>
          </w:p>
        </w:tc>
        <w:tc>
          <w:tcPr>
            <w:tcW w:w="1004" w:type="dxa"/>
            <w:tcBorders>
              <w:top w:val="single" w:sz="4" w:space="0" w:color="auto"/>
              <w:left w:val="nil"/>
              <w:bottom w:val="nil"/>
              <w:right w:val="nil"/>
            </w:tcBorders>
            <w:tcMar>
              <w:top w:w="15" w:type="dxa"/>
              <w:left w:w="15" w:type="dxa"/>
              <w:right w:w="15" w:type="dxa"/>
            </w:tcMar>
            <w:vAlign w:val="center"/>
          </w:tcPr>
          <w:p w14:paraId="6E54CB7F"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46</w:t>
            </w:r>
          </w:p>
        </w:tc>
        <w:tc>
          <w:tcPr>
            <w:tcW w:w="852" w:type="dxa"/>
            <w:tcBorders>
              <w:top w:val="single" w:sz="4" w:space="0" w:color="auto"/>
              <w:left w:val="nil"/>
              <w:bottom w:val="nil"/>
              <w:right w:val="nil"/>
            </w:tcBorders>
            <w:tcMar>
              <w:top w:w="15" w:type="dxa"/>
              <w:left w:w="15" w:type="dxa"/>
              <w:right w:w="15" w:type="dxa"/>
            </w:tcMar>
            <w:vAlign w:val="center"/>
          </w:tcPr>
          <w:p w14:paraId="460FC71D"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163</w:t>
            </w:r>
          </w:p>
        </w:tc>
      </w:tr>
      <w:tr w:rsidR="00736F61" w:rsidRPr="00101337" w14:paraId="5B50D8BF" w14:textId="77777777" w:rsidTr="003F224E">
        <w:trPr>
          <w:trHeight w:val="900"/>
        </w:trPr>
        <w:tc>
          <w:tcPr>
            <w:tcW w:w="1740" w:type="dxa"/>
            <w:tcBorders>
              <w:top w:val="nil"/>
              <w:left w:val="nil"/>
              <w:bottom w:val="nil"/>
              <w:right w:val="nil"/>
            </w:tcBorders>
            <w:tcMar>
              <w:top w:w="15" w:type="dxa"/>
              <w:left w:w="15" w:type="dxa"/>
              <w:right w:w="15" w:type="dxa"/>
            </w:tcMar>
            <w:vAlign w:val="center"/>
          </w:tcPr>
          <w:p w14:paraId="20790D83" w14:textId="77777777" w:rsidR="00736F61" w:rsidRPr="00101337" w:rsidRDefault="00736F61" w:rsidP="003F224E">
            <w:pPr>
              <w:rPr>
                <w:sz w:val="20"/>
                <w:szCs w:val="20"/>
              </w:rPr>
            </w:pPr>
          </w:p>
        </w:tc>
        <w:tc>
          <w:tcPr>
            <w:tcW w:w="3782" w:type="dxa"/>
            <w:tcBorders>
              <w:top w:val="nil"/>
              <w:left w:val="nil"/>
              <w:bottom w:val="nil"/>
              <w:right w:val="nil"/>
            </w:tcBorders>
            <w:tcMar>
              <w:top w:w="15" w:type="dxa"/>
              <w:left w:w="15" w:type="dxa"/>
              <w:right w:w="15" w:type="dxa"/>
            </w:tcMar>
            <w:vAlign w:val="center"/>
          </w:tcPr>
          <w:p w14:paraId="5F0827B1" w14:textId="77777777" w:rsidR="00736F61" w:rsidRPr="00101337" w:rsidRDefault="00736F61" w:rsidP="003F224E">
            <w:pPr>
              <w:spacing w:after="0"/>
              <w:rPr>
                <w:sz w:val="20"/>
                <w:szCs w:val="20"/>
              </w:rPr>
            </w:pPr>
            <w:r w:rsidRPr="00101337">
              <w:rPr>
                <w:rFonts w:eastAsia="Aptos Narrow"/>
                <w:color w:val="000000" w:themeColor="text1"/>
                <w:sz w:val="20"/>
                <w:szCs w:val="20"/>
              </w:rPr>
              <w:t>Records excluded at screening stage (marketing-focused, financial-only, duplicate reports)</w:t>
            </w:r>
          </w:p>
        </w:tc>
        <w:tc>
          <w:tcPr>
            <w:tcW w:w="750" w:type="dxa"/>
            <w:tcBorders>
              <w:top w:val="nil"/>
              <w:left w:val="nil"/>
              <w:bottom w:val="nil"/>
              <w:right w:val="nil"/>
            </w:tcBorders>
            <w:tcMar>
              <w:top w:w="15" w:type="dxa"/>
              <w:left w:w="15" w:type="dxa"/>
              <w:right w:w="15" w:type="dxa"/>
            </w:tcMar>
            <w:vAlign w:val="center"/>
          </w:tcPr>
          <w:p w14:paraId="56E7879E"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19</w:t>
            </w:r>
          </w:p>
        </w:tc>
        <w:tc>
          <w:tcPr>
            <w:tcW w:w="898" w:type="dxa"/>
            <w:tcBorders>
              <w:top w:val="nil"/>
              <w:left w:val="nil"/>
              <w:bottom w:val="nil"/>
              <w:right w:val="nil"/>
            </w:tcBorders>
            <w:tcMar>
              <w:top w:w="15" w:type="dxa"/>
              <w:left w:w="15" w:type="dxa"/>
              <w:right w:w="15" w:type="dxa"/>
            </w:tcMar>
            <w:vAlign w:val="center"/>
          </w:tcPr>
          <w:p w14:paraId="0B4A9BD5"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16</w:t>
            </w:r>
          </w:p>
        </w:tc>
        <w:tc>
          <w:tcPr>
            <w:tcW w:w="1004" w:type="dxa"/>
            <w:tcBorders>
              <w:top w:val="nil"/>
              <w:left w:val="nil"/>
              <w:bottom w:val="nil"/>
              <w:right w:val="nil"/>
            </w:tcBorders>
            <w:tcMar>
              <w:top w:w="15" w:type="dxa"/>
              <w:left w:w="15" w:type="dxa"/>
              <w:right w:w="15" w:type="dxa"/>
            </w:tcMar>
            <w:vAlign w:val="center"/>
          </w:tcPr>
          <w:p w14:paraId="4848EF47"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14</w:t>
            </w:r>
          </w:p>
        </w:tc>
        <w:tc>
          <w:tcPr>
            <w:tcW w:w="852" w:type="dxa"/>
            <w:tcBorders>
              <w:top w:val="nil"/>
              <w:left w:val="nil"/>
              <w:bottom w:val="nil"/>
              <w:right w:val="nil"/>
            </w:tcBorders>
            <w:tcMar>
              <w:top w:w="15" w:type="dxa"/>
              <w:left w:w="15" w:type="dxa"/>
              <w:right w:w="15" w:type="dxa"/>
            </w:tcMar>
            <w:vAlign w:val="center"/>
          </w:tcPr>
          <w:p w14:paraId="311059C6"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49</w:t>
            </w:r>
          </w:p>
        </w:tc>
      </w:tr>
      <w:tr w:rsidR="00736F61" w:rsidRPr="00101337" w14:paraId="4FEDADA4" w14:textId="77777777" w:rsidTr="003F224E">
        <w:trPr>
          <w:trHeight w:val="300"/>
        </w:trPr>
        <w:tc>
          <w:tcPr>
            <w:tcW w:w="1740" w:type="dxa"/>
            <w:tcBorders>
              <w:top w:val="single" w:sz="4" w:space="0" w:color="auto"/>
              <w:left w:val="nil"/>
              <w:bottom w:val="single" w:sz="4" w:space="0" w:color="auto"/>
              <w:right w:val="nil"/>
            </w:tcBorders>
            <w:tcMar>
              <w:top w:w="15" w:type="dxa"/>
              <w:left w:w="15" w:type="dxa"/>
              <w:right w:w="15" w:type="dxa"/>
            </w:tcMar>
            <w:vAlign w:val="center"/>
          </w:tcPr>
          <w:p w14:paraId="4797ECBB" w14:textId="77777777" w:rsidR="00736F61" w:rsidRPr="00101337" w:rsidRDefault="00736F61" w:rsidP="003F224E">
            <w:pPr>
              <w:spacing w:after="0"/>
              <w:rPr>
                <w:sz w:val="20"/>
                <w:szCs w:val="20"/>
              </w:rPr>
            </w:pPr>
            <w:r w:rsidRPr="00101337">
              <w:rPr>
                <w:rFonts w:eastAsia="Aptos Narrow"/>
                <w:b/>
                <w:bCs/>
                <w:color w:val="000000" w:themeColor="text1"/>
                <w:sz w:val="20"/>
                <w:szCs w:val="20"/>
              </w:rPr>
              <w:t>Eligibility</w:t>
            </w:r>
          </w:p>
        </w:tc>
        <w:tc>
          <w:tcPr>
            <w:tcW w:w="3782" w:type="dxa"/>
            <w:tcBorders>
              <w:top w:val="single" w:sz="4" w:space="0" w:color="auto"/>
              <w:left w:val="nil"/>
              <w:bottom w:val="single" w:sz="4" w:space="0" w:color="auto"/>
              <w:right w:val="nil"/>
            </w:tcBorders>
            <w:tcMar>
              <w:top w:w="15" w:type="dxa"/>
              <w:left w:w="15" w:type="dxa"/>
              <w:right w:w="15" w:type="dxa"/>
            </w:tcMar>
            <w:vAlign w:val="center"/>
          </w:tcPr>
          <w:p w14:paraId="2A619781" w14:textId="77777777" w:rsidR="00736F61" w:rsidRPr="00101337" w:rsidRDefault="00736F61" w:rsidP="003F224E">
            <w:pPr>
              <w:spacing w:after="0"/>
              <w:rPr>
                <w:sz w:val="20"/>
                <w:szCs w:val="20"/>
              </w:rPr>
            </w:pPr>
            <w:r w:rsidRPr="00101337">
              <w:rPr>
                <w:rFonts w:eastAsia="Aptos Narrow"/>
                <w:color w:val="000000" w:themeColor="text1"/>
                <w:sz w:val="20"/>
                <w:szCs w:val="20"/>
              </w:rPr>
              <w:t>Full-text reports assessed for eligibility</w:t>
            </w:r>
          </w:p>
        </w:tc>
        <w:tc>
          <w:tcPr>
            <w:tcW w:w="750" w:type="dxa"/>
            <w:tcBorders>
              <w:top w:val="single" w:sz="4" w:space="0" w:color="auto"/>
              <w:left w:val="nil"/>
              <w:bottom w:val="single" w:sz="4" w:space="0" w:color="auto"/>
              <w:right w:val="nil"/>
            </w:tcBorders>
            <w:tcMar>
              <w:top w:w="15" w:type="dxa"/>
              <w:left w:w="15" w:type="dxa"/>
              <w:right w:w="15" w:type="dxa"/>
            </w:tcMar>
            <w:vAlign w:val="center"/>
          </w:tcPr>
          <w:p w14:paraId="7CFDF3F8"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43</w:t>
            </w:r>
          </w:p>
        </w:tc>
        <w:tc>
          <w:tcPr>
            <w:tcW w:w="898" w:type="dxa"/>
            <w:tcBorders>
              <w:top w:val="single" w:sz="4" w:space="0" w:color="auto"/>
              <w:left w:val="nil"/>
              <w:bottom w:val="single" w:sz="4" w:space="0" w:color="auto"/>
              <w:right w:val="nil"/>
            </w:tcBorders>
            <w:tcMar>
              <w:top w:w="15" w:type="dxa"/>
              <w:left w:w="15" w:type="dxa"/>
              <w:right w:w="15" w:type="dxa"/>
            </w:tcMar>
            <w:vAlign w:val="center"/>
          </w:tcPr>
          <w:p w14:paraId="35857591"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39</w:t>
            </w:r>
          </w:p>
        </w:tc>
        <w:tc>
          <w:tcPr>
            <w:tcW w:w="1004" w:type="dxa"/>
            <w:tcBorders>
              <w:top w:val="single" w:sz="4" w:space="0" w:color="auto"/>
              <w:left w:val="nil"/>
              <w:bottom w:val="single" w:sz="4" w:space="0" w:color="auto"/>
              <w:right w:val="nil"/>
            </w:tcBorders>
            <w:tcMar>
              <w:top w:w="15" w:type="dxa"/>
              <w:left w:w="15" w:type="dxa"/>
              <w:right w:w="15" w:type="dxa"/>
            </w:tcMar>
            <w:vAlign w:val="center"/>
          </w:tcPr>
          <w:p w14:paraId="5BFC1AE9"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32</w:t>
            </w:r>
          </w:p>
        </w:tc>
        <w:tc>
          <w:tcPr>
            <w:tcW w:w="852" w:type="dxa"/>
            <w:tcBorders>
              <w:top w:val="single" w:sz="4" w:space="0" w:color="auto"/>
              <w:left w:val="nil"/>
              <w:bottom w:val="single" w:sz="4" w:space="0" w:color="auto"/>
              <w:right w:val="nil"/>
            </w:tcBorders>
            <w:tcMar>
              <w:top w:w="15" w:type="dxa"/>
              <w:left w:w="15" w:type="dxa"/>
              <w:right w:w="15" w:type="dxa"/>
            </w:tcMar>
            <w:vAlign w:val="center"/>
          </w:tcPr>
          <w:p w14:paraId="71A13150" w14:textId="77777777" w:rsidR="00736F61" w:rsidRPr="00101337" w:rsidRDefault="00736F61" w:rsidP="003F224E">
            <w:pPr>
              <w:spacing w:after="0"/>
              <w:jc w:val="right"/>
              <w:rPr>
                <w:color w:val="EE0000"/>
                <w:sz w:val="20"/>
                <w:szCs w:val="20"/>
              </w:rPr>
            </w:pPr>
            <w:r w:rsidRPr="00101337">
              <w:rPr>
                <w:rFonts w:eastAsia="Aptos Narrow"/>
                <w:b/>
                <w:bCs/>
                <w:color w:val="000000" w:themeColor="text1"/>
                <w:sz w:val="20"/>
                <w:szCs w:val="20"/>
              </w:rPr>
              <w:t>114</w:t>
            </w:r>
          </w:p>
        </w:tc>
      </w:tr>
      <w:tr w:rsidR="00736F61" w:rsidRPr="00101337" w14:paraId="49905862" w14:textId="77777777" w:rsidTr="003F224E">
        <w:trPr>
          <w:trHeight w:val="900"/>
        </w:trPr>
        <w:tc>
          <w:tcPr>
            <w:tcW w:w="1740" w:type="dxa"/>
            <w:tcBorders>
              <w:top w:val="single" w:sz="4" w:space="0" w:color="auto"/>
              <w:left w:val="nil"/>
              <w:bottom w:val="nil"/>
              <w:right w:val="nil"/>
            </w:tcBorders>
            <w:tcMar>
              <w:top w:w="15" w:type="dxa"/>
              <w:left w:w="15" w:type="dxa"/>
              <w:right w:w="15" w:type="dxa"/>
            </w:tcMar>
            <w:vAlign w:val="center"/>
          </w:tcPr>
          <w:p w14:paraId="6C2B55DA" w14:textId="77777777" w:rsidR="00736F61" w:rsidRPr="00101337" w:rsidRDefault="00736F61" w:rsidP="003F224E">
            <w:pPr>
              <w:rPr>
                <w:sz w:val="20"/>
                <w:szCs w:val="20"/>
              </w:rPr>
            </w:pPr>
          </w:p>
        </w:tc>
        <w:tc>
          <w:tcPr>
            <w:tcW w:w="3782" w:type="dxa"/>
            <w:tcBorders>
              <w:top w:val="single" w:sz="4" w:space="0" w:color="auto"/>
              <w:left w:val="nil"/>
              <w:bottom w:val="nil"/>
              <w:right w:val="nil"/>
            </w:tcBorders>
            <w:tcMar>
              <w:top w:w="15" w:type="dxa"/>
              <w:left w:w="15" w:type="dxa"/>
              <w:right w:w="15" w:type="dxa"/>
            </w:tcMar>
            <w:vAlign w:val="center"/>
          </w:tcPr>
          <w:p w14:paraId="55896DE7" w14:textId="77777777" w:rsidR="00736F61" w:rsidRPr="00101337" w:rsidRDefault="00736F61" w:rsidP="003F224E">
            <w:pPr>
              <w:spacing w:after="0"/>
              <w:rPr>
                <w:sz w:val="20"/>
                <w:szCs w:val="20"/>
              </w:rPr>
            </w:pPr>
            <w:r w:rsidRPr="00101337">
              <w:rPr>
                <w:rFonts w:eastAsia="Aptos Narrow"/>
                <w:color w:val="000000" w:themeColor="text1"/>
                <w:sz w:val="20"/>
                <w:szCs w:val="20"/>
              </w:rPr>
              <w:t>Excluded after full-text review (limited labour content, lack of MS relevance, non-comparable format)</w:t>
            </w:r>
          </w:p>
        </w:tc>
        <w:tc>
          <w:tcPr>
            <w:tcW w:w="750" w:type="dxa"/>
            <w:tcBorders>
              <w:top w:val="single" w:sz="4" w:space="0" w:color="auto"/>
              <w:left w:val="nil"/>
              <w:bottom w:val="nil"/>
              <w:right w:val="nil"/>
            </w:tcBorders>
            <w:tcMar>
              <w:top w:w="15" w:type="dxa"/>
              <w:left w:w="15" w:type="dxa"/>
              <w:right w:w="15" w:type="dxa"/>
            </w:tcMar>
            <w:vAlign w:val="center"/>
          </w:tcPr>
          <w:p w14:paraId="144A0B5D"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14</w:t>
            </w:r>
          </w:p>
        </w:tc>
        <w:tc>
          <w:tcPr>
            <w:tcW w:w="898" w:type="dxa"/>
            <w:tcBorders>
              <w:top w:val="single" w:sz="4" w:space="0" w:color="auto"/>
              <w:left w:val="nil"/>
              <w:bottom w:val="nil"/>
              <w:right w:val="nil"/>
            </w:tcBorders>
            <w:tcMar>
              <w:top w:w="15" w:type="dxa"/>
              <w:left w:w="15" w:type="dxa"/>
              <w:right w:w="15" w:type="dxa"/>
            </w:tcMar>
            <w:vAlign w:val="center"/>
          </w:tcPr>
          <w:p w14:paraId="77A2BD75"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11</w:t>
            </w:r>
          </w:p>
        </w:tc>
        <w:tc>
          <w:tcPr>
            <w:tcW w:w="1004" w:type="dxa"/>
            <w:tcBorders>
              <w:top w:val="single" w:sz="4" w:space="0" w:color="auto"/>
              <w:left w:val="nil"/>
              <w:bottom w:val="nil"/>
              <w:right w:val="nil"/>
            </w:tcBorders>
            <w:tcMar>
              <w:top w:w="15" w:type="dxa"/>
              <w:left w:w="15" w:type="dxa"/>
              <w:right w:w="15" w:type="dxa"/>
            </w:tcMar>
            <w:vAlign w:val="center"/>
          </w:tcPr>
          <w:p w14:paraId="394B2711"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9</w:t>
            </w:r>
          </w:p>
        </w:tc>
        <w:tc>
          <w:tcPr>
            <w:tcW w:w="852" w:type="dxa"/>
            <w:tcBorders>
              <w:top w:val="single" w:sz="4" w:space="0" w:color="auto"/>
              <w:left w:val="nil"/>
              <w:bottom w:val="nil"/>
              <w:right w:val="nil"/>
            </w:tcBorders>
            <w:tcMar>
              <w:top w:w="15" w:type="dxa"/>
              <w:left w:w="15" w:type="dxa"/>
              <w:right w:w="15" w:type="dxa"/>
            </w:tcMar>
            <w:vAlign w:val="center"/>
          </w:tcPr>
          <w:p w14:paraId="132690DE"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34</w:t>
            </w:r>
          </w:p>
        </w:tc>
      </w:tr>
      <w:tr w:rsidR="00736F61" w:rsidRPr="00101337" w14:paraId="39546C4A" w14:textId="77777777" w:rsidTr="003F224E">
        <w:trPr>
          <w:trHeight w:val="600"/>
        </w:trPr>
        <w:tc>
          <w:tcPr>
            <w:tcW w:w="1740" w:type="dxa"/>
            <w:tcBorders>
              <w:top w:val="single" w:sz="4" w:space="0" w:color="auto"/>
              <w:left w:val="nil"/>
              <w:bottom w:val="single" w:sz="4" w:space="0" w:color="auto"/>
              <w:right w:val="nil"/>
            </w:tcBorders>
            <w:tcMar>
              <w:top w:w="15" w:type="dxa"/>
              <w:left w:w="15" w:type="dxa"/>
              <w:right w:w="15" w:type="dxa"/>
            </w:tcMar>
            <w:vAlign w:val="center"/>
          </w:tcPr>
          <w:p w14:paraId="419B893C" w14:textId="77777777" w:rsidR="00736F61" w:rsidRPr="00101337" w:rsidRDefault="00736F61" w:rsidP="003F224E">
            <w:pPr>
              <w:spacing w:after="0"/>
              <w:rPr>
                <w:sz w:val="20"/>
                <w:szCs w:val="20"/>
              </w:rPr>
            </w:pPr>
            <w:r w:rsidRPr="00101337">
              <w:rPr>
                <w:rFonts w:eastAsia="Aptos Narrow"/>
                <w:b/>
                <w:bCs/>
                <w:color w:val="000000" w:themeColor="text1"/>
                <w:sz w:val="20"/>
                <w:szCs w:val="20"/>
              </w:rPr>
              <w:t>Included</w:t>
            </w:r>
          </w:p>
        </w:tc>
        <w:tc>
          <w:tcPr>
            <w:tcW w:w="3782" w:type="dxa"/>
            <w:tcBorders>
              <w:top w:val="single" w:sz="4" w:space="0" w:color="auto"/>
              <w:left w:val="nil"/>
              <w:bottom w:val="single" w:sz="4" w:space="0" w:color="auto"/>
              <w:right w:val="nil"/>
            </w:tcBorders>
            <w:tcMar>
              <w:top w:w="15" w:type="dxa"/>
              <w:left w:w="15" w:type="dxa"/>
              <w:right w:w="15" w:type="dxa"/>
            </w:tcMar>
            <w:vAlign w:val="center"/>
          </w:tcPr>
          <w:p w14:paraId="06EC9047" w14:textId="77777777" w:rsidR="00736F61" w:rsidRPr="00101337" w:rsidRDefault="00736F61" w:rsidP="003F224E">
            <w:pPr>
              <w:spacing w:after="0"/>
              <w:rPr>
                <w:sz w:val="20"/>
                <w:szCs w:val="20"/>
              </w:rPr>
            </w:pPr>
            <w:r w:rsidRPr="00101337">
              <w:rPr>
                <w:rFonts w:eastAsia="Aptos Narrow"/>
                <w:color w:val="000000" w:themeColor="text1"/>
                <w:sz w:val="20"/>
                <w:szCs w:val="20"/>
              </w:rPr>
              <w:t>Final documents included in thematic disclosure analysis</w:t>
            </w:r>
          </w:p>
        </w:tc>
        <w:tc>
          <w:tcPr>
            <w:tcW w:w="750" w:type="dxa"/>
            <w:tcBorders>
              <w:top w:val="single" w:sz="4" w:space="0" w:color="auto"/>
              <w:left w:val="nil"/>
              <w:bottom w:val="single" w:sz="4" w:space="0" w:color="auto"/>
              <w:right w:val="nil"/>
            </w:tcBorders>
            <w:tcMar>
              <w:top w:w="15" w:type="dxa"/>
              <w:left w:w="15" w:type="dxa"/>
              <w:right w:w="15" w:type="dxa"/>
            </w:tcMar>
            <w:vAlign w:val="center"/>
          </w:tcPr>
          <w:p w14:paraId="3C67A03A"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29</w:t>
            </w:r>
          </w:p>
        </w:tc>
        <w:tc>
          <w:tcPr>
            <w:tcW w:w="898" w:type="dxa"/>
            <w:tcBorders>
              <w:top w:val="single" w:sz="4" w:space="0" w:color="auto"/>
              <w:left w:val="nil"/>
              <w:bottom w:val="single" w:sz="4" w:space="0" w:color="auto"/>
              <w:right w:val="nil"/>
            </w:tcBorders>
            <w:tcMar>
              <w:top w:w="15" w:type="dxa"/>
              <w:left w:w="15" w:type="dxa"/>
              <w:right w:w="15" w:type="dxa"/>
            </w:tcMar>
            <w:vAlign w:val="center"/>
          </w:tcPr>
          <w:p w14:paraId="6E7A9FE4"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28</w:t>
            </w:r>
          </w:p>
        </w:tc>
        <w:tc>
          <w:tcPr>
            <w:tcW w:w="1004" w:type="dxa"/>
            <w:tcBorders>
              <w:top w:val="single" w:sz="4" w:space="0" w:color="auto"/>
              <w:left w:val="nil"/>
              <w:bottom w:val="single" w:sz="4" w:space="0" w:color="auto"/>
              <w:right w:val="nil"/>
            </w:tcBorders>
            <w:tcMar>
              <w:top w:w="15" w:type="dxa"/>
              <w:left w:w="15" w:type="dxa"/>
              <w:right w:w="15" w:type="dxa"/>
            </w:tcMar>
            <w:vAlign w:val="center"/>
          </w:tcPr>
          <w:p w14:paraId="7154F153"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23</w:t>
            </w:r>
          </w:p>
        </w:tc>
        <w:tc>
          <w:tcPr>
            <w:tcW w:w="852" w:type="dxa"/>
            <w:tcBorders>
              <w:top w:val="single" w:sz="4" w:space="0" w:color="auto"/>
              <w:left w:val="nil"/>
              <w:bottom w:val="single" w:sz="4" w:space="0" w:color="auto"/>
              <w:right w:val="nil"/>
            </w:tcBorders>
            <w:tcMar>
              <w:top w:w="15" w:type="dxa"/>
              <w:left w:w="15" w:type="dxa"/>
              <w:right w:w="15" w:type="dxa"/>
            </w:tcMar>
            <w:vAlign w:val="center"/>
          </w:tcPr>
          <w:p w14:paraId="62BAF4F6"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80</w:t>
            </w:r>
          </w:p>
        </w:tc>
      </w:tr>
      <w:tr w:rsidR="00736F61" w:rsidRPr="00101337" w14:paraId="6CA7998E" w14:textId="77777777" w:rsidTr="00013C3D">
        <w:trPr>
          <w:trHeight w:val="236"/>
        </w:trPr>
        <w:tc>
          <w:tcPr>
            <w:tcW w:w="9026" w:type="dxa"/>
            <w:gridSpan w:val="6"/>
            <w:tcBorders>
              <w:top w:val="single" w:sz="4" w:space="0" w:color="auto"/>
              <w:left w:val="nil"/>
              <w:bottom w:val="single" w:sz="4" w:space="0" w:color="auto"/>
              <w:right w:val="nil"/>
            </w:tcBorders>
            <w:tcMar>
              <w:top w:w="15" w:type="dxa"/>
              <w:left w:w="15" w:type="dxa"/>
              <w:right w:w="15" w:type="dxa"/>
            </w:tcMar>
            <w:vAlign w:val="bottom"/>
          </w:tcPr>
          <w:p w14:paraId="76CB3470" w14:textId="77777777" w:rsidR="00736F61" w:rsidRPr="00101337" w:rsidRDefault="00736F61" w:rsidP="003F224E">
            <w:pPr>
              <w:spacing w:after="0"/>
              <w:jc w:val="center"/>
              <w:rPr>
                <w:rFonts w:eastAsia="Aptos Narrow"/>
                <w:b/>
                <w:bCs/>
                <w:color w:val="000000" w:themeColor="text1"/>
                <w:sz w:val="20"/>
                <w:szCs w:val="20"/>
              </w:rPr>
            </w:pPr>
            <w:r w:rsidRPr="00101337">
              <w:rPr>
                <w:rFonts w:eastAsia="Aptos Narrow"/>
                <w:b/>
                <w:bCs/>
                <w:color w:val="000000" w:themeColor="text1"/>
                <w:sz w:val="20"/>
                <w:szCs w:val="20"/>
              </w:rPr>
              <w:t>Sample composition</w:t>
            </w:r>
          </w:p>
        </w:tc>
      </w:tr>
      <w:tr w:rsidR="00736F61" w:rsidRPr="00101337" w14:paraId="4E89ED37" w14:textId="77777777" w:rsidTr="003F224E">
        <w:trPr>
          <w:trHeight w:val="600"/>
        </w:trPr>
        <w:tc>
          <w:tcPr>
            <w:tcW w:w="5522" w:type="dxa"/>
            <w:gridSpan w:val="2"/>
            <w:tcBorders>
              <w:top w:val="single" w:sz="4" w:space="0" w:color="auto"/>
              <w:left w:val="nil"/>
              <w:bottom w:val="single" w:sz="4" w:space="0" w:color="auto"/>
              <w:right w:val="nil"/>
            </w:tcBorders>
            <w:tcMar>
              <w:top w:w="15" w:type="dxa"/>
              <w:left w:w="15" w:type="dxa"/>
              <w:right w:w="15" w:type="dxa"/>
            </w:tcMar>
            <w:vAlign w:val="bottom"/>
          </w:tcPr>
          <w:p w14:paraId="74BAD9F0" w14:textId="77777777" w:rsidR="00736F61" w:rsidRPr="00101337" w:rsidRDefault="00736F61" w:rsidP="003F224E">
            <w:pPr>
              <w:spacing w:after="0"/>
              <w:jc w:val="center"/>
              <w:rPr>
                <w:sz w:val="20"/>
                <w:szCs w:val="20"/>
              </w:rPr>
            </w:pPr>
            <w:r w:rsidRPr="00101337">
              <w:rPr>
                <w:rFonts w:eastAsia="Aptos Narrow"/>
                <w:b/>
                <w:bCs/>
                <w:color w:val="000000" w:themeColor="text1"/>
                <w:sz w:val="20"/>
                <w:szCs w:val="20"/>
              </w:rPr>
              <w:t>Document Type</w:t>
            </w:r>
          </w:p>
        </w:tc>
        <w:tc>
          <w:tcPr>
            <w:tcW w:w="750" w:type="dxa"/>
            <w:tcBorders>
              <w:top w:val="single" w:sz="4" w:space="0" w:color="auto"/>
              <w:left w:val="nil"/>
              <w:bottom w:val="single" w:sz="4" w:space="0" w:color="auto"/>
              <w:right w:val="nil"/>
            </w:tcBorders>
            <w:tcMar>
              <w:top w:w="15" w:type="dxa"/>
              <w:left w:w="15" w:type="dxa"/>
              <w:right w:w="15" w:type="dxa"/>
            </w:tcMar>
            <w:vAlign w:val="center"/>
          </w:tcPr>
          <w:p w14:paraId="3F47C80B"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Nike</w:t>
            </w:r>
          </w:p>
        </w:tc>
        <w:tc>
          <w:tcPr>
            <w:tcW w:w="898" w:type="dxa"/>
            <w:tcBorders>
              <w:top w:val="single" w:sz="4" w:space="0" w:color="auto"/>
              <w:left w:val="nil"/>
              <w:bottom w:val="single" w:sz="4" w:space="0" w:color="auto"/>
              <w:right w:val="nil"/>
            </w:tcBorders>
            <w:tcMar>
              <w:top w:w="15" w:type="dxa"/>
              <w:left w:w="15" w:type="dxa"/>
              <w:right w:w="15" w:type="dxa"/>
            </w:tcMar>
            <w:vAlign w:val="center"/>
          </w:tcPr>
          <w:p w14:paraId="3FD23193"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Inditex</w:t>
            </w:r>
          </w:p>
        </w:tc>
        <w:tc>
          <w:tcPr>
            <w:tcW w:w="1004" w:type="dxa"/>
            <w:tcBorders>
              <w:top w:val="single" w:sz="4" w:space="0" w:color="auto"/>
              <w:left w:val="nil"/>
              <w:bottom w:val="single" w:sz="4" w:space="0" w:color="auto"/>
              <w:right w:val="nil"/>
            </w:tcBorders>
            <w:tcMar>
              <w:top w:w="15" w:type="dxa"/>
              <w:left w:w="15" w:type="dxa"/>
              <w:right w:w="15" w:type="dxa"/>
            </w:tcMar>
            <w:vAlign w:val="center"/>
          </w:tcPr>
          <w:p w14:paraId="7DC4BD99"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Christian Dior</w:t>
            </w:r>
          </w:p>
        </w:tc>
        <w:tc>
          <w:tcPr>
            <w:tcW w:w="852" w:type="dxa"/>
            <w:tcBorders>
              <w:top w:val="single" w:sz="4" w:space="0" w:color="auto"/>
              <w:left w:val="nil"/>
              <w:bottom w:val="single" w:sz="4" w:space="0" w:color="auto"/>
              <w:right w:val="nil"/>
            </w:tcBorders>
            <w:tcMar>
              <w:top w:w="15" w:type="dxa"/>
              <w:left w:w="15" w:type="dxa"/>
              <w:right w:w="15" w:type="dxa"/>
            </w:tcMar>
            <w:vAlign w:val="center"/>
          </w:tcPr>
          <w:p w14:paraId="7FAA97AE"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Total</w:t>
            </w:r>
          </w:p>
        </w:tc>
      </w:tr>
      <w:tr w:rsidR="00736F61" w:rsidRPr="00101337" w14:paraId="552DB108" w14:textId="77777777" w:rsidTr="003F224E">
        <w:trPr>
          <w:trHeight w:val="300"/>
        </w:trPr>
        <w:tc>
          <w:tcPr>
            <w:tcW w:w="5522" w:type="dxa"/>
            <w:gridSpan w:val="2"/>
            <w:tcBorders>
              <w:top w:val="single" w:sz="4" w:space="0" w:color="auto"/>
              <w:left w:val="nil"/>
              <w:bottom w:val="nil"/>
              <w:right w:val="nil"/>
            </w:tcBorders>
            <w:tcMar>
              <w:top w:w="15" w:type="dxa"/>
              <w:left w:w="15" w:type="dxa"/>
              <w:right w:w="15" w:type="dxa"/>
            </w:tcMar>
            <w:vAlign w:val="bottom"/>
          </w:tcPr>
          <w:p w14:paraId="1C5E2C54" w14:textId="77777777" w:rsidR="00736F61" w:rsidRPr="00101337" w:rsidRDefault="00736F61" w:rsidP="003F224E">
            <w:pPr>
              <w:spacing w:after="0"/>
              <w:rPr>
                <w:sz w:val="20"/>
                <w:szCs w:val="20"/>
              </w:rPr>
            </w:pPr>
            <w:r w:rsidRPr="00101337">
              <w:rPr>
                <w:rFonts w:eastAsia="Aptos Narrow"/>
                <w:color w:val="000000" w:themeColor="text1"/>
                <w:sz w:val="20"/>
                <w:szCs w:val="20"/>
              </w:rPr>
              <w:t>Annual / Integrated Reports</w:t>
            </w:r>
          </w:p>
        </w:tc>
        <w:tc>
          <w:tcPr>
            <w:tcW w:w="750" w:type="dxa"/>
            <w:tcBorders>
              <w:top w:val="single" w:sz="4" w:space="0" w:color="auto"/>
              <w:left w:val="nil"/>
              <w:bottom w:val="nil"/>
              <w:right w:val="nil"/>
            </w:tcBorders>
            <w:tcMar>
              <w:top w:w="15" w:type="dxa"/>
              <w:left w:w="15" w:type="dxa"/>
              <w:right w:w="15" w:type="dxa"/>
            </w:tcMar>
            <w:vAlign w:val="center"/>
          </w:tcPr>
          <w:p w14:paraId="63D741B8"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5</w:t>
            </w:r>
          </w:p>
        </w:tc>
        <w:tc>
          <w:tcPr>
            <w:tcW w:w="898" w:type="dxa"/>
            <w:tcBorders>
              <w:top w:val="single" w:sz="4" w:space="0" w:color="auto"/>
              <w:left w:val="nil"/>
              <w:bottom w:val="nil"/>
              <w:right w:val="nil"/>
            </w:tcBorders>
            <w:tcMar>
              <w:top w:w="15" w:type="dxa"/>
              <w:left w:w="15" w:type="dxa"/>
              <w:right w:w="15" w:type="dxa"/>
            </w:tcMar>
            <w:vAlign w:val="center"/>
          </w:tcPr>
          <w:p w14:paraId="54011A51"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5</w:t>
            </w:r>
          </w:p>
        </w:tc>
        <w:tc>
          <w:tcPr>
            <w:tcW w:w="1004" w:type="dxa"/>
            <w:tcBorders>
              <w:top w:val="single" w:sz="4" w:space="0" w:color="auto"/>
              <w:left w:val="nil"/>
              <w:bottom w:val="nil"/>
              <w:right w:val="nil"/>
            </w:tcBorders>
            <w:tcMar>
              <w:top w:w="15" w:type="dxa"/>
              <w:left w:w="15" w:type="dxa"/>
              <w:right w:w="15" w:type="dxa"/>
            </w:tcMar>
            <w:vAlign w:val="center"/>
          </w:tcPr>
          <w:p w14:paraId="495B7389"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5</w:t>
            </w:r>
          </w:p>
        </w:tc>
        <w:tc>
          <w:tcPr>
            <w:tcW w:w="852" w:type="dxa"/>
            <w:tcBorders>
              <w:top w:val="single" w:sz="4" w:space="0" w:color="auto"/>
              <w:left w:val="nil"/>
              <w:bottom w:val="nil"/>
              <w:right w:val="nil"/>
            </w:tcBorders>
            <w:tcMar>
              <w:top w:w="15" w:type="dxa"/>
              <w:left w:w="15" w:type="dxa"/>
              <w:right w:w="15" w:type="dxa"/>
            </w:tcMar>
            <w:vAlign w:val="center"/>
          </w:tcPr>
          <w:p w14:paraId="546C2E01"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15</w:t>
            </w:r>
          </w:p>
        </w:tc>
      </w:tr>
      <w:tr w:rsidR="00736F61" w:rsidRPr="00101337" w14:paraId="0DC60869" w14:textId="77777777" w:rsidTr="003F224E">
        <w:trPr>
          <w:trHeight w:val="300"/>
        </w:trPr>
        <w:tc>
          <w:tcPr>
            <w:tcW w:w="5522" w:type="dxa"/>
            <w:gridSpan w:val="2"/>
            <w:tcBorders>
              <w:top w:val="nil"/>
              <w:left w:val="nil"/>
              <w:bottom w:val="nil"/>
              <w:right w:val="nil"/>
            </w:tcBorders>
            <w:tcMar>
              <w:top w:w="15" w:type="dxa"/>
              <w:left w:w="15" w:type="dxa"/>
              <w:right w:w="15" w:type="dxa"/>
            </w:tcMar>
            <w:vAlign w:val="bottom"/>
          </w:tcPr>
          <w:p w14:paraId="54ED637C" w14:textId="77777777" w:rsidR="00736F61" w:rsidRPr="00101337" w:rsidRDefault="00736F61" w:rsidP="003F224E">
            <w:pPr>
              <w:spacing w:after="0"/>
              <w:rPr>
                <w:rFonts w:eastAsia="Aptos Narrow"/>
                <w:color w:val="000000" w:themeColor="text1"/>
                <w:sz w:val="20"/>
                <w:szCs w:val="20"/>
              </w:rPr>
            </w:pPr>
            <w:r w:rsidRPr="00101337">
              <w:rPr>
                <w:rFonts w:eastAsia="Aptos Narrow"/>
                <w:color w:val="000000" w:themeColor="text1"/>
                <w:sz w:val="20"/>
                <w:szCs w:val="20"/>
              </w:rPr>
              <w:t>Sustainability / Impact Reports</w:t>
            </w:r>
          </w:p>
        </w:tc>
        <w:tc>
          <w:tcPr>
            <w:tcW w:w="750" w:type="dxa"/>
            <w:tcBorders>
              <w:top w:val="nil"/>
              <w:left w:val="nil"/>
              <w:bottom w:val="nil"/>
              <w:right w:val="nil"/>
            </w:tcBorders>
            <w:tcMar>
              <w:top w:w="15" w:type="dxa"/>
              <w:left w:w="15" w:type="dxa"/>
              <w:right w:w="15" w:type="dxa"/>
            </w:tcMar>
            <w:vAlign w:val="center"/>
          </w:tcPr>
          <w:p w14:paraId="320E753F"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5</w:t>
            </w:r>
          </w:p>
        </w:tc>
        <w:tc>
          <w:tcPr>
            <w:tcW w:w="898" w:type="dxa"/>
            <w:tcBorders>
              <w:top w:val="nil"/>
              <w:left w:val="nil"/>
              <w:bottom w:val="nil"/>
              <w:right w:val="nil"/>
            </w:tcBorders>
            <w:tcMar>
              <w:top w:w="15" w:type="dxa"/>
              <w:left w:w="15" w:type="dxa"/>
              <w:right w:w="15" w:type="dxa"/>
            </w:tcMar>
            <w:vAlign w:val="center"/>
          </w:tcPr>
          <w:p w14:paraId="6FB4CC9F"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5</w:t>
            </w:r>
          </w:p>
        </w:tc>
        <w:tc>
          <w:tcPr>
            <w:tcW w:w="1004" w:type="dxa"/>
            <w:tcBorders>
              <w:top w:val="nil"/>
              <w:left w:val="nil"/>
              <w:bottom w:val="nil"/>
              <w:right w:val="nil"/>
            </w:tcBorders>
            <w:tcMar>
              <w:top w:w="15" w:type="dxa"/>
              <w:left w:w="15" w:type="dxa"/>
              <w:right w:w="15" w:type="dxa"/>
            </w:tcMar>
            <w:vAlign w:val="center"/>
          </w:tcPr>
          <w:p w14:paraId="061AEEB2"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5</w:t>
            </w:r>
          </w:p>
        </w:tc>
        <w:tc>
          <w:tcPr>
            <w:tcW w:w="852" w:type="dxa"/>
            <w:tcBorders>
              <w:top w:val="nil"/>
              <w:left w:val="nil"/>
              <w:bottom w:val="nil"/>
              <w:right w:val="nil"/>
            </w:tcBorders>
            <w:tcMar>
              <w:top w:w="15" w:type="dxa"/>
              <w:left w:w="15" w:type="dxa"/>
              <w:right w:w="15" w:type="dxa"/>
            </w:tcMar>
            <w:vAlign w:val="center"/>
          </w:tcPr>
          <w:p w14:paraId="5243CAC0"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15</w:t>
            </w:r>
          </w:p>
        </w:tc>
      </w:tr>
      <w:tr w:rsidR="00736F61" w:rsidRPr="00101337" w14:paraId="6C7E3C54" w14:textId="77777777" w:rsidTr="003F224E">
        <w:trPr>
          <w:trHeight w:val="300"/>
        </w:trPr>
        <w:tc>
          <w:tcPr>
            <w:tcW w:w="5522" w:type="dxa"/>
            <w:gridSpan w:val="2"/>
            <w:tcBorders>
              <w:top w:val="nil"/>
              <w:left w:val="nil"/>
              <w:bottom w:val="nil"/>
              <w:right w:val="nil"/>
            </w:tcBorders>
            <w:tcMar>
              <w:top w:w="15" w:type="dxa"/>
              <w:left w:w="15" w:type="dxa"/>
              <w:right w:w="15" w:type="dxa"/>
            </w:tcMar>
            <w:vAlign w:val="bottom"/>
          </w:tcPr>
          <w:p w14:paraId="013D63C3" w14:textId="77777777" w:rsidR="00736F61" w:rsidRPr="00101337" w:rsidRDefault="00736F61" w:rsidP="003F224E">
            <w:pPr>
              <w:spacing w:after="0"/>
              <w:rPr>
                <w:rFonts w:eastAsia="Aptos Narrow"/>
                <w:color w:val="000000" w:themeColor="text1"/>
                <w:sz w:val="20"/>
                <w:szCs w:val="20"/>
              </w:rPr>
            </w:pPr>
            <w:r w:rsidRPr="00101337">
              <w:rPr>
                <w:rFonts w:eastAsia="Aptos Narrow"/>
                <w:color w:val="000000" w:themeColor="text1"/>
                <w:sz w:val="20"/>
                <w:szCs w:val="20"/>
              </w:rPr>
              <w:t>Human Rights / Due Diligence Reports</w:t>
            </w:r>
          </w:p>
        </w:tc>
        <w:tc>
          <w:tcPr>
            <w:tcW w:w="750" w:type="dxa"/>
            <w:tcBorders>
              <w:top w:val="nil"/>
              <w:left w:val="nil"/>
              <w:bottom w:val="nil"/>
              <w:right w:val="nil"/>
            </w:tcBorders>
            <w:tcMar>
              <w:top w:w="15" w:type="dxa"/>
              <w:left w:w="15" w:type="dxa"/>
              <w:right w:w="15" w:type="dxa"/>
            </w:tcMar>
            <w:vAlign w:val="center"/>
          </w:tcPr>
          <w:p w14:paraId="2B28EB7C"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5</w:t>
            </w:r>
          </w:p>
        </w:tc>
        <w:tc>
          <w:tcPr>
            <w:tcW w:w="898" w:type="dxa"/>
            <w:tcBorders>
              <w:top w:val="nil"/>
              <w:left w:val="nil"/>
              <w:bottom w:val="nil"/>
              <w:right w:val="nil"/>
            </w:tcBorders>
            <w:tcMar>
              <w:top w:w="15" w:type="dxa"/>
              <w:left w:w="15" w:type="dxa"/>
              <w:right w:w="15" w:type="dxa"/>
            </w:tcMar>
            <w:vAlign w:val="center"/>
          </w:tcPr>
          <w:p w14:paraId="5BDEBE00"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5</w:t>
            </w:r>
          </w:p>
        </w:tc>
        <w:tc>
          <w:tcPr>
            <w:tcW w:w="1004" w:type="dxa"/>
            <w:tcBorders>
              <w:top w:val="nil"/>
              <w:left w:val="nil"/>
              <w:bottom w:val="nil"/>
              <w:right w:val="nil"/>
            </w:tcBorders>
            <w:tcMar>
              <w:top w:w="15" w:type="dxa"/>
              <w:left w:w="15" w:type="dxa"/>
              <w:right w:w="15" w:type="dxa"/>
            </w:tcMar>
            <w:vAlign w:val="center"/>
          </w:tcPr>
          <w:p w14:paraId="0B2BF60F"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4</w:t>
            </w:r>
          </w:p>
        </w:tc>
        <w:tc>
          <w:tcPr>
            <w:tcW w:w="852" w:type="dxa"/>
            <w:tcBorders>
              <w:top w:val="nil"/>
              <w:left w:val="nil"/>
              <w:bottom w:val="nil"/>
              <w:right w:val="nil"/>
            </w:tcBorders>
            <w:tcMar>
              <w:top w:w="15" w:type="dxa"/>
              <w:left w:w="15" w:type="dxa"/>
              <w:right w:w="15" w:type="dxa"/>
            </w:tcMar>
            <w:vAlign w:val="center"/>
          </w:tcPr>
          <w:p w14:paraId="308B5665"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14</w:t>
            </w:r>
          </w:p>
        </w:tc>
      </w:tr>
      <w:tr w:rsidR="00736F61" w:rsidRPr="00101337" w14:paraId="3393D1D8" w14:textId="77777777" w:rsidTr="003F224E">
        <w:trPr>
          <w:trHeight w:val="300"/>
        </w:trPr>
        <w:tc>
          <w:tcPr>
            <w:tcW w:w="5522" w:type="dxa"/>
            <w:gridSpan w:val="2"/>
            <w:tcBorders>
              <w:top w:val="nil"/>
              <w:left w:val="nil"/>
              <w:bottom w:val="nil"/>
              <w:right w:val="nil"/>
            </w:tcBorders>
            <w:tcMar>
              <w:top w:w="15" w:type="dxa"/>
              <w:left w:w="15" w:type="dxa"/>
              <w:right w:w="15" w:type="dxa"/>
            </w:tcMar>
            <w:vAlign w:val="bottom"/>
          </w:tcPr>
          <w:p w14:paraId="41DD41F9" w14:textId="77777777" w:rsidR="00736F61" w:rsidRPr="00101337" w:rsidRDefault="00736F61" w:rsidP="003F224E">
            <w:pPr>
              <w:spacing w:after="0"/>
              <w:rPr>
                <w:rFonts w:eastAsia="Aptos Narrow"/>
                <w:color w:val="000000" w:themeColor="text1"/>
                <w:sz w:val="20"/>
                <w:szCs w:val="20"/>
              </w:rPr>
            </w:pPr>
            <w:r w:rsidRPr="00101337">
              <w:rPr>
                <w:rFonts w:eastAsia="Aptos Narrow"/>
                <w:color w:val="000000" w:themeColor="text1"/>
                <w:sz w:val="20"/>
                <w:szCs w:val="20"/>
              </w:rPr>
              <w:t>Codes of Conduct / Supplier Standards</w:t>
            </w:r>
          </w:p>
        </w:tc>
        <w:tc>
          <w:tcPr>
            <w:tcW w:w="750" w:type="dxa"/>
            <w:tcBorders>
              <w:top w:val="nil"/>
              <w:left w:val="nil"/>
              <w:bottom w:val="nil"/>
              <w:right w:val="nil"/>
            </w:tcBorders>
            <w:tcMar>
              <w:top w:w="15" w:type="dxa"/>
              <w:left w:w="15" w:type="dxa"/>
              <w:right w:w="15" w:type="dxa"/>
            </w:tcMar>
            <w:vAlign w:val="center"/>
          </w:tcPr>
          <w:p w14:paraId="6038D72E"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3</w:t>
            </w:r>
          </w:p>
        </w:tc>
        <w:tc>
          <w:tcPr>
            <w:tcW w:w="898" w:type="dxa"/>
            <w:tcBorders>
              <w:top w:val="nil"/>
              <w:left w:val="nil"/>
              <w:bottom w:val="nil"/>
              <w:right w:val="nil"/>
            </w:tcBorders>
            <w:tcMar>
              <w:top w:w="15" w:type="dxa"/>
              <w:left w:w="15" w:type="dxa"/>
              <w:right w:w="15" w:type="dxa"/>
            </w:tcMar>
            <w:vAlign w:val="center"/>
          </w:tcPr>
          <w:p w14:paraId="7FA3E4DC"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3</w:t>
            </w:r>
          </w:p>
        </w:tc>
        <w:tc>
          <w:tcPr>
            <w:tcW w:w="1004" w:type="dxa"/>
            <w:tcBorders>
              <w:top w:val="nil"/>
              <w:left w:val="nil"/>
              <w:bottom w:val="nil"/>
              <w:right w:val="nil"/>
            </w:tcBorders>
            <w:tcMar>
              <w:top w:w="15" w:type="dxa"/>
              <w:left w:w="15" w:type="dxa"/>
              <w:right w:w="15" w:type="dxa"/>
            </w:tcMar>
            <w:vAlign w:val="center"/>
          </w:tcPr>
          <w:p w14:paraId="4D8FD45E"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2</w:t>
            </w:r>
          </w:p>
        </w:tc>
        <w:tc>
          <w:tcPr>
            <w:tcW w:w="852" w:type="dxa"/>
            <w:tcBorders>
              <w:top w:val="nil"/>
              <w:left w:val="nil"/>
              <w:bottom w:val="nil"/>
              <w:right w:val="nil"/>
            </w:tcBorders>
            <w:tcMar>
              <w:top w:w="15" w:type="dxa"/>
              <w:left w:w="15" w:type="dxa"/>
              <w:right w:w="15" w:type="dxa"/>
            </w:tcMar>
            <w:vAlign w:val="center"/>
          </w:tcPr>
          <w:p w14:paraId="21D2EB26"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8</w:t>
            </w:r>
          </w:p>
        </w:tc>
      </w:tr>
      <w:tr w:rsidR="00736F61" w:rsidRPr="00101337" w14:paraId="23CF8F3C" w14:textId="77777777" w:rsidTr="003F224E">
        <w:trPr>
          <w:trHeight w:val="300"/>
        </w:trPr>
        <w:tc>
          <w:tcPr>
            <w:tcW w:w="5522" w:type="dxa"/>
            <w:gridSpan w:val="2"/>
            <w:tcBorders>
              <w:top w:val="nil"/>
              <w:left w:val="nil"/>
              <w:bottom w:val="nil"/>
              <w:right w:val="nil"/>
            </w:tcBorders>
            <w:tcMar>
              <w:top w:w="15" w:type="dxa"/>
              <w:left w:w="15" w:type="dxa"/>
              <w:right w:w="15" w:type="dxa"/>
            </w:tcMar>
            <w:vAlign w:val="bottom"/>
          </w:tcPr>
          <w:p w14:paraId="48E6186B" w14:textId="77777777" w:rsidR="00736F61" w:rsidRPr="00101337" w:rsidRDefault="00736F61" w:rsidP="003F224E">
            <w:pPr>
              <w:spacing w:after="0"/>
              <w:rPr>
                <w:rFonts w:eastAsia="Aptos Narrow"/>
                <w:color w:val="000000" w:themeColor="text1"/>
                <w:sz w:val="20"/>
                <w:szCs w:val="20"/>
              </w:rPr>
            </w:pPr>
            <w:r w:rsidRPr="00101337">
              <w:rPr>
                <w:rFonts w:eastAsia="Aptos Narrow"/>
                <w:color w:val="000000" w:themeColor="text1"/>
                <w:sz w:val="20"/>
                <w:szCs w:val="20"/>
              </w:rPr>
              <w:t>NGO / Investigative Reports (triangulation)</w:t>
            </w:r>
          </w:p>
        </w:tc>
        <w:tc>
          <w:tcPr>
            <w:tcW w:w="750" w:type="dxa"/>
            <w:tcBorders>
              <w:top w:val="nil"/>
              <w:left w:val="nil"/>
              <w:bottom w:val="nil"/>
              <w:right w:val="nil"/>
            </w:tcBorders>
            <w:tcMar>
              <w:top w:w="15" w:type="dxa"/>
              <w:left w:w="15" w:type="dxa"/>
              <w:right w:w="15" w:type="dxa"/>
            </w:tcMar>
            <w:vAlign w:val="center"/>
          </w:tcPr>
          <w:p w14:paraId="3E43AF9E"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11</w:t>
            </w:r>
          </w:p>
        </w:tc>
        <w:tc>
          <w:tcPr>
            <w:tcW w:w="898" w:type="dxa"/>
            <w:tcBorders>
              <w:top w:val="nil"/>
              <w:left w:val="nil"/>
              <w:bottom w:val="nil"/>
              <w:right w:val="nil"/>
            </w:tcBorders>
            <w:tcMar>
              <w:top w:w="15" w:type="dxa"/>
              <w:left w:w="15" w:type="dxa"/>
              <w:right w:w="15" w:type="dxa"/>
            </w:tcMar>
            <w:vAlign w:val="center"/>
          </w:tcPr>
          <w:p w14:paraId="45B505B5"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10</w:t>
            </w:r>
          </w:p>
        </w:tc>
        <w:tc>
          <w:tcPr>
            <w:tcW w:w="1004" w:type="dxa"/>
            <w:tcBorders>
              <w:top w:val="nil"/>
              <w:left w:val="nil"/>
              <w:bottom w:val="nil"/>
              <w:right w:val="nil"/>
            </w:tcBorders>
            <w:tcMar>
              <w:top w:w="15" w:type="dxa"/>
              <w:left w:w="15" w:type="dxa"/>
              <w:right w:w="15" w:type="dxa"/>
            </w:tcMar>
            <w:vAlign w:val="center"/>
          </w:tcPr>
          <w:p w14:paraId="4CA8CB44"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7</w:t>
            </w:r>
          </w:p>
        </w:tc>
        <w:tc>
          <w:tcPr>
            <w:tcW w:w="852" w:type="dxa"/>
            <w:tcBorders>
              <w:top w:val="nil"/>
              <w:left w:val="nil"/>
              <w:bottom w:val="nil"/>
              <w:right w:val="nil"/>
            </w:tcBorders>
            <w:tcMar>
              <w:top w:w="15" w:type="dxa"/>
              <w:left w:w="15" w:type="dxa"/>
              <w:right w:w="15" w:type="dxa"/>
            </w:tcMar>
            <w:vAlign w:val="center"/>
          </w:tcPr>
          <w:p w14:paraId="028AD9BB"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28</w:t>
            </w:r>
          </w:p>
        </w:tc>
      </w:tr>
      <w:tr w:rsidR="00736F61" w:rsidRPr="00101337" w14:paraId="376D18AF" w14:textId="77777777" w:rsidTr="003F224E">
        <w:trPr>
          <w:trHeight w:val="300"/>
        </w:trPr>
        <w:tc>
          <w:tcPr>
            <w:tcW w:w="5522" w:type="dxa"/>
            <w:gridSpan w:val="2"/>
            <w:tcBorders>
              <w:top w:val="nil"/>
              <w:left w:val="nil"/>
              <w:bottom w:val="single" w:sz="4" w:space="0" w:color="auto"/>
              <w:right w:val="nil"/>
            </w:tcBorders>
            <w:tcMar>
              <w:top w:w="15" w:type="dxa"/>
              <w:left w:w="15" w:type="dxa"/>
              <w:right w:w="15" w:type="dxa"/>
            </w:tcMar>
            <w:vAlign w:val="bottom"/>
          </w:tcPr>
          <w:p w14:paraId="6CB6C265" w14:textId="77777777" w:rsidR="00736F61" w:rsidRPr="00101337" w:rsidRDefault="00736F61" w:rsidP="003F224E">
            <w:pPr>
              <w:spacing w:after="0"/>
              <w:rPr>
                <w:rFonts w:eastAsia="Aptos Narrow"/>
                <w:color w:val="000000" w:themeColor="text1"/>
                <w:sz w:val="20"/>
                <w:szCs w:val="20"/>
              </w:rPr>
            </w:pPr>
            <w:r w:rsidRPr="00101337">
              <w:rPr>
                <w:rFonts w:eastAsia="Aptos Narrow"/>
                <w:color w:val="000000" w:themeColor="text1"/>
                <w:sz w:val="20"/>
                <w:szCs w:val="20"/>
              </w:rPr>
              <w:t>Total</w:t>
            </w:r>
          </w:p>
        </w:tc>
        <w:tc>
          <w:tcPr>
            <w:tcW w:w="750" w:type="dxa"/>
            <w:tcBorders>
              <w:top w:val="nil"/>
              <w:left w:val="nil"/>
              <w:bottom w:val="single" w:sz="4" w:space="0" w:color="auto"/>
              <w:right w:val="nil"/>
            </w:tcBorders>
            <w:tcMar>
              <w:top w:w="15" w:type="dxa"/>
              <w:left w:w="15" w:type="dxa"/>
              <w:right w:w="15" w:type="dxa"/>
            </w:tcMar>
            <w:vAlign w:val="center"/>
          </w:tcPr>
          <w:p w14:paraId="3A4C861E"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29</w:t>
            </w:r>
          </w:p>
        </w:tc>
        <w:tc>
          <w:tcPr>
            <w:tcW w:w="898" w:type="dxa"/>
            <w:tcBorders>
              <w:top w:val="nil"/>
              <w:left w:val="nil"/>
              <w:bottom w:val="single" w:sz="4" w:space="0" w:color="auto"/>
              <w:right w:val="nil"/>
            </w:tcBorders>
            <w:tcMar>
              <w:top w:w="15" w:type="dxa"/>
              <w:left w:w="15" w:type="dxa"/>
              <w:right w:w="15" w:type="dxa"/>
            </w:tcMar>
            <w:vAlign w:val="center"/>
          </w:tcPr>
          <w:p w14:paraId="24C1F641"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28</w:t>
            </w:r>
          </w:p>
        </w:tc>
        <w:tc>
          <w:tcPr>
            <w:tcW w:w="1004" w:type="dxa"/>
            <w:tcBorders>
              <w:top w:val="nil"/>
              <w:left w:val="nil"/>
              <w:bottom w:val="single" w:sz="4" w:space="0" w:color="auto"/>
              <w:right w:val="nil"/>
            </w:tcBorders>
            <w:tcMar>
              <w:top w:w="15" w:type="dxa"/>
              <w:left w:w="15" w:type="dxa"/>
              <w:right w:w="15" w:type="dxa"/>
            </w:tcMar>
            <w:vAlign w:val="center"/>
          </w:tcPr>
          <w:p w14:paraId="4010EEC9" w14:textId="77777777" w:rsidR="00736F61" w:rsidRPr="00101337" w:rsidRDefault="00736F61" w:rsidP="003F224E">
            <w:pPr>
              <w:spacing w:after="0"/>
              <w:jc w:val="right"/>
              <w:rPr>
                <w:sz w:val="20"/>
                <w:szCs w:val="20"/>
              </w:rPr>
            </w:pPr>
            <w:r w:rsidRPr="00101337">
              <w:rPr>
                <w:rFonts w:eastAsia="Aptos Narrow"/>
                <w:b/>
                <w:bCs/>
                <w:color w:val="000000" w:themeColor="text1"/>
                <w:sz w:val="20"/>
                <w:szCs w:val="20"/>
              </w:rPr>
              <w:t>23</w:t>
            </w:r>
          </w:p>
        </w:tc>
        <w:tc>
          <w:tcPr>
            <w:tcW w:w="852" w:type="dxa"/>
            <w:tcBorders>
              <w:top w:val="nil"/>
              <w:left w:val="nil"/>
              <w:bottom w:val="single" w:sz="4" w:space="0" w:color="auto"/>
              <w:right w:val="nil"/>
            </w:tcBorders>
            <w:tcMar>
              <w:top w:w="15" w:type="dxa"/>
              <w:left w:w="15" w:type="dxa"/>
              <w:right w:w="15" w:type="dxa"/>
            </w:tcMar>
            <w:vAlign w:val="center"/>
          </w:tcPr>
          <w:p w14:paraId="64A56052" w14:textId="77777777" w:rsidR="00736F61" w:rsidRPr="00101337" w:rsidRDefault="00736F61" w:rsidP="003F224E">
            <w:pPr>
              <w:spacing w:after="0"/>
              <w:jc w:val="right"/>
              <w:rPr>
                <w:sz w:val="20"/>
                <w:szCs w:val="20"/>
              </w:rPr>
            </w:pPr>
            <w:r w:rsidRPr="00101337">
              <w:rPr>
                <w:rFonts w:eastAsia="Aptos Narrow"/>
                <w:color w:val="000000" w:themeColor="text1"/>
                <w:sz w:val="20"/>
                <w:szCs w:val="20"/>
              </w:rPr>
              <w:t>80</w:t>
            </w:r>
          </w:p>
        </w:tc>
      </w:tr>
    </w:tbl>
    <w:p w14:paraId="6F58C4D1" w14:textId="77777777" w:rsidR="00736F61" w:rsidRPr="00CC1FC3" w:rsidRDefault="00736F61" w:rsidP="00736F61">
      <w:pPr>
        <w:jc w:val="center"/>
        <w:rPr>
          <w:rStyle w:val="normaltextrun"/>
        </w:rPr>
      </w:pPr>
    </w:p>
    <w:p w14:paraId="3B837E90" w14:textId="77777777" w:rsidR="00736F61" w:rsidRPr="00CC1FC3" w:rsidRDefault="00736F61" w:rsidP="00736F61">
      <w:pPr>
        <w:pStyle w:val="Heading4"/>
        <w:rPr>
          <w:color w:val="0F4761" w:themeColor="accent1" w:themeShade="BF"/>
        </w:rPr>
      </w:pPr>
      <w:bookmarkStart w:id="178" w:name="_Toc216557298"/>
      <w:bookmarkStart w:id="179" w:name="_Toc220848398"/>
      <w:r w:rsidRPr="00CC1FC3">
        <w:t>5.5.1.3 Analytical Framework for Disclosure Analysis</w:t>
      </w:r>
      <w:bookmarkEnd w:id="178"/>
      <w:bookmarkEnd w:id="179"/>
    </w:p>
    <w:p w14:paraId="3E9B1EDF" w14:textId="77777777" w:rsidR="00736F61" w:rsidRPr="00CC1FC3" w:rsidRDefault="00736F61" w:rsidP="00736F61">
      <w:pPr>
        <w:pStyle w:val="Heading5"/>
        <w:spacing w:line="480" w:lineRule="auto"/>
        <w:rPr>
          <w:rFonts w:cs="Times New Roman"/>
        </w:rPr>
      </w:pPr>
      <w:bookmarkStart w:id="180" w:name="_Toc216557299"/>
      <w:bookmarkStart w:id="181" w:name="_Toc220848399"/>
      <w:r w:rsidRPr="00CC1FC3">
        <w:rPr>
          <w:rFonts w:cs="Times New Roman"/>
        </w:rPr>
        <w:t>5.5.1.3.1 Analytical Approach: Thematic Analysis</w:t>
      </w:r>
      <w:bookmarkEnd w:id="180"/>
      <w:bookmarkEnd w:id="181"/>
    </w:p>
    <w:p w14:paraId="5FFC3291" w14:textId="77777777" w:rsidR="00736F61" w:rsidRPr="00CC1FC3" w:rsidRDefault="00736F61" w:rsidP="00736F61">
      <w:pPr>
        <w:spacing w:after="0" w:line="480" w:lineRule="auto"/>
        <w:jc w:val="both"/>
        <w:rPr>
          <w:color w:val="auto"/>
        </w:rPr>
      </w:pPr>
      <w:r w:rsidRPr="00CC1FC3">
        <w:t xml:space="preserve">In line with recent </w:t>
      </w:r>
      <w:r w:rsidRPr="000F4449">
        <w:t xml:space="preserve">literature </w:t>
      </w:r>
      <w:sdt>
        <w:sdtPr>
          <w:tag w:val="MENDELEY_CITATION_v3_eyJjaXRhdGlvbklEIjoiTUVOREVMRVlfQ0lUQVRJT05fYTkxMTE3NTUtZjRmMy00ZmJhLWJlNmQtNjgyOGQ2MzYzYzIwIiwicHJvcGVydGllcyI6eyJub3RlSW5kZXgiOjB9LCJpc0VkaXRlZCI6ZmFsc2UsIm1hbnVhbE92ZXJyaWRlIjp7ImlzTWFudWFsbHlPdmVycmlkZGVuIjp0cnVlLCJjaXRlcHJvY1RleHQiOiIoTXV0aHV0aGFudHJpZ2UgPGk+ZXQgYWwuPC9pPiwgMjAyNikiLCJtYW51YWxPdmVycmlkZVRleHQiOiIoTXV0aHV0aGFudHJpZ2UgZXQgYWwuLCAyMDI2KSw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715701768"/>
          <w:placeholder>
            <w:docPart w:val="3E8D407D012344038A2F247EC03CFC03"/>
          </w:placeholder>
        </w:sdtPr>
        <w:sdtEndPr/>
        <w:sdtContent>
          <w:r w:rsidRPr="00A73C12">
            <w:rPr>
              <w:rFonts w:eastAsia="Times New Roman"/>
            </w:rPr>
            <w:t>(Muthuthantrige et al., 2026),</w:t>
          </w:r>
        </w:sdtContent>
      </w:sdt>
      <w:r w:rsidRPr="000F4449">
        <w:t xml:space="preserve"> this</w:t>
      </w:r>
      <w:r w:rsidRPr="00CC1FC3">
        <w:t xml:space="preserve"> research employed an adapted version of </w:t>
      </w:r>
      <w:sdt>
        <w:sdtPr>
          <w:rPr>
            <w:rFonts w:eastAsia="Times New Roman"/>
            <w:lang w:eastAsia="en-GB"/>
          </w:rPr>
          <w:tag w:val="MENDELEY_CITATION_v3_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"/>
          <w:id w:val="-703481915"/>
          <w:placeholder>
            <w:docPart w:val="A04408BC18F64EDE8A3DCCBA4A581C7E"/>
          </w:placeholder>
        </w:sdtPr>
        <w:sdtEndPr/>
        <w:sdtContent>
          <w:r w:rsidRPr="00A73C12">
            <w:rPr>
              <w:rFonts w:eastAsia="Times New Roman"/>
              <w:lang w:eastAsia="en-GB"/>
            </w:rPr>
            <w:t>Braun and Clarke’s (2006)</w:t>
          </w:r>
        </w:sdtContent>
      </w:sdt>
      <w:r w:rsidRPr="00CC1FC3">
        <w:rPr>
          <w:rFonts w:eastAsia="Times New Roman"/>
          <w:lang w:eastAsia="en-GB"/>
        </w:rPr>
        <w:t xml:space="preserve"> </w:t>
      </w:r>
      <w:r w:rsidRPr="00CC1FC3">
        <w:t xml:space="preserve">six-phase thematic analysis framework. This approach was selected for its methodological flexibility and its capacity to interrogate complex organisational narratives embedded within corporate disclosure reports. </w:t>
      </w:r>
      <w:r w:rsidRPr="00CC1FC3">
        <w:rPr>
          <w:color w:val="auto"/>
        </w:rPr>
        <w:t>This approach was particularly appropriate for analysing how firms construct legitimacy, articulate ACMS commitments, and potentially obscure labour-related risks through symbolic or selective reporting. Consistent with Braun and Clarke’s model, the analysis proceeded through six iterative phases:</w:t>
      </w:r>
    </w:p>
    <w:p w14:paraId="692CD18B" w14:textId="77777777" w:rsidR="00736F61" w:rsidRPr="00CC1FC3" w:rsidRDefault="00736F61" w:rsidP="00736F61">
      <w:pPr>
        <w:spacing w:after="0" w:line="480" w:lineRule="auto"/>
        <w:jc w:val="both"/>
        <w:rPr>
          <w:color w:val="auto"/>
        </w:rPr>
      </w:pPr>
      <w:r w:rsidRPr="00CC1FC3">
        <w:rPr>
          <w:color w:val="auto"/>
        </w:rPr>
        <w:t>(1) familiarisation with the dataset through repeated reading of annual reports, sustainability disclosures, and MS statements.</w:t>
      </w:r>
    </w:p>
    <w:p w14:paraId="776FBEC6" w14:textId="77777777" w:rsidR="00736F61" w:rsidRPr="00CC1FC3" w:rsidRDefault="00736F61" w:rsidP="00736F61">
      <w:pPr>
        <w:spacing w:after="0" w:line="480" w:lineRule="auto"/>
        <w:jc w:val="both"/>
        <w:rPr>
          <w:color w:val="auto"/>
        </w:rPr>
      </w:pPr>
      <w:r w:rsidRPr="00CC1FC3">
        <w:rPr>
          <w:color w:val="auto"/>
        </w:rPr>
        <w:t>(2) generation of initial codes applied systematically across the documents.</w:t>
      </w:r>
    </w:p>
    <w:p w14:paraId="14F6A6BF" w14:textId="77777777" w:rsidR="00736F61" w:rsidRPr="00CC1FC3" w:rsidRDefault="00736F61" w:rsidP="00736F61">
      <w:pPr>
        <w:spacing w:after="0" w:line="480" w:lineRule="auto"/>
        <w:jc w:val="both"/>
        <w:rPr>
          <w:color w:val="auto"/>
        </w:rPr>
      </w:pPr>
      <w:r w:rsidRPr="00CC1FC3">
        <w:rPr>
          <w:color w:val="auto"/>
        </w:rPr>
        <w:lastRenderedPageBreak/>
        <w:t>(3) searching for themes by clustering related codes into broader conceptual patterns.</w:t>
      </w:r>
    </w:p>
    <w:p w14:paraId="5567A7C1" w14:textId="77777777" w:rsidR="00736F61" w:rsidRPr="00CC1FC3" w:rsidRDefault="00736F61" w:rsidP="00736F61">
      <w:pPr>
        <w:spacing w:after="0" w:line="480" w:lineRule="auto"/>
        <w:jc w:val="both"/>
        <w:rPr>
          <w:color w:val="auto"/>
        </w:rPr>
      </w:pPr>
      <w:r w:rsidRPr="00CC1FC3">
        <w:rPr>
          <w:color w:val="auto"/>
        </w:rPr>
        <w:t>(4) reviewing themes to test internal coherence and alignment with the research questions.</w:t>
      </w:r>
    </w:p>
    <w:p w14:paraId="049B8410" w14:textId="77777777" w:rsidR="00736F61" w:rsidRPr="00CC1FC3" w:rsidRDefault="00736F61" w:rsidP="00736F61">
      <w:pPr>
        <w:spacing w:after="0" w:line="480" w:lineRule="auto"/>
        <w:jc w:val="both"/>
        <w:rPr>
          <w:color w:val="auto"/>
        </w:rPr>
      </w:pPr>
      <w:r w:rsidRPr="00CC1FC3">
        <w:rPr>
          <w:color w:val="auto"/>
        </w:rPr>
        <w:t>(5) defining and naming themes to sharpen analytic clarity and interpretive precision; and</w:t>
      </w:r>
    </w:p>
    <w:p w14:paraId="5D261155" w14:textId="77777777" w:rsidR="00736F61" w:rsidRPr="00CC1FC3" w:rsidRDefault="00736F61" w:rsidP="00736F61">
      <w:pPr>
        <w:spacing w:after="0" w:line="480" w:lineRule="auto"/>
        <w:jc w:val="both"/>
        <w:rPr>
          <w:color w:val="auto"/>
        </w:rPr>
      </w:pPr>
      <w:r w:rsidRPr="00CC1FC3">
        <w:rPr>
          <w:color w:val="auto"/>
        </w:rPr>
        <w:t>(6) producing the report, which involved synthesising themes into a structured narrative to compare corporate claims with qualitative interview findings and macro-level institutional expectations.</w:t>
      </w:r>
    </w:p>
    <w:p w14:paraId="1873DA93" w14:textId="77777777" w:rsidR="00736F61" w:rsidRPr="00CC1FC3" w:rsidRDefault="00736F61" w:rsidP="00736F61">
      <w:pPr>
        <w:spacing w:line="480" w:lineRule="auto"/>
        <w:ind w:firstLine="720"/>
        <w:jc w:val="both"/>
        <w:rPr>
          <w:color w:val="auto"/>
        </w:rPr>
      </w:pPr>
      <w:r w:rsidRPr="00CC1FC3">
        <w:rPr>
          <w:color w:val="auto"/>
        </w:rPr>
        <w:t>This structured but flexible process enabled a deeper interrogation of the discursive, symbolic, and strategic dimensions of AMS disclosures, thereby enhancing interpretive insight into institutional decoupling and performative compliance—central concerns within NIT.</w:t>
      </w:r>
    </w:p>
    <w:p w14:paraId="2F94F413" w14:textId="77777777" w:rsidR="00736F61" w:rsidRPr="00CC1FC3" w:rsidRDefault="00736F61" w:rsidP="00736F61">
      <w:pPr>
        <w:pStyle w:val="Heading5"/>
        <w:spacing w:line="480" w:lineRule="auto"/>
        <w:rPr>
          <w:rFonts w:cs="Times New Roman"/>
        </w:rPr>
      </w:pPr>
      <w:bookmarkStart w:id="182" w:name="_Toc216557300"/>
      <w:bookmarkStart w:id="183" w:name="_Toc220848400"/>
      <w:r w:rsidRPr="00CC1FC3">
        <w:rPr>
          <w:rFonts w:cs="Times New Roman"/>
        </w:rPr>
        <w:t>5.5.1.3.2 Coding Framework</w:t>
      </w:r>
      <w:bookmarkEnd w:id="182"/>
      <w:bookmarkEnd w:id="183"/>
    </w:p>
    <w:p w14:paraId="00643900" w14:textId="77777777" w:rsidR="00736F61" w:rsidRPr="00CC1FC3" w:rsidRDefault="00736F61" w:rsidP="00736F61">
      <w:pPr>
        <w:spacing w:line="480" w:lineRule="auto"/>
        <w:jc w:val="both"/>
        <w:rPr>
          <w:color w:val="auto"/>
        </w:rPr>
      </w:pPr>
      <w:r w:rsidRPr="00CC1FC3">
        <w:rPr>
          <w:color w:val="auto"/>
        </w:rPr>
        <w:t xml:space="preserve">The disclosure analysis employed a hybrid deductive–inductive coding framework to ensure grounding in established theoretical constructs while remaining open to the emergence of context-specific patterns within the data </w:t>
      </w:r>
      <w:sdt>
        <w:sdtPr>
          <w:tag w:val="MENDELEY_CITATION_v3_eyJjaXRhdGlvbklEIjoiTUVOREVMRVlfQ0lUQVRJT05fYzI2Y2YzNTYtMDk2NS00OTNkLWE4ZTEtYmY0MTNmYzE2NmEz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60139946"/>
          <w:placeholder>
            <w:docPart w:val="BAB2841F77CC4190A4A452E3964DDC86"/>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color w:val="auto"/>
        </w:rPr>
        <w:t xml:space="preserve">. The deductive coding structure was informed primarily by internationally recognised labour governance frameworks and core tenets of NIT. In particular, the ILO’s five fundamental labour pillars—the elimination of child labour, elimination of forced or bonded labour, provision of safe and healthy working environments, protection of freedom of association and collective bargaining, and elimination of discrimination—provided a normative scaffold against which the selected MNCs’ ACMS disclosures could be assessed </w:t>
      </w:r>
      <w:sdt>
        <w:sdtPr>
          <w:tag w:val="MENDELEY_CITATION_v3_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262651387"/>
          <w:placeholder>
            <w:docPart w:val="BAB2841F77CC4190A4A452E3964DDC86"/>
          </w:placeholder>
        </w:sdtPr>
        <w:sdtEndPr/>
        <w:sdtContent>
          <w:r w:rsidRPr="00A73C12">
            <w:t>(ILO, 2020; Muthuthantrige et al., 2026)</w:t>
          </w:r>
        </w:sdtContent>
      </w:sdt>
      <w:r w:rsidRPr="00CC1FC3">
        <w:rPr>
          <w:color w:val="auto"/>
        </w:rPr>
        <w:t xml:space="preserve">. </w:t>
      </w:r>
    </w:p>
    <w:p w14:paraId="1FEB5C0A" w14:textId="77777777" w:rsidR="00736F61" w:rsidRPr="00CC1FC3" w:rsidRDefault="00736F61" w:rsidP="00736F61">
      <w:pPr>
        <w:spacing w:line="480" w:lineRule="auto"/>
        <w:ind w:firstLine="720"/>
        <w:jc w:val="both"/>
        <w:rPr>
          <w:color w:val="auto"/>
        </w:rPr>
      </w:pPr>
      <w:r w:rsidRPr="00CC1FC3">
        <w:rPr>
          <w:color w:val="auto"/>
        </w:rPr>
        <w:t xml:space="preserve">These pillars have been widely used in prior MS and corporate labour governance research to benchmark the adequacy and scope of firms stated commitments </w:t>
      </w:r>
      <w:sdt>
        <w:sdtPr>
          <w:tag w:val="MENDELEY_CITATION_v3_eyJjaXRhdGlvbklEIjoiTUVOREVMRVlfQ0lUQVRJT05fNGFlNjhiMTgtMjQ5NS00NWJhLWJmOGYtMWFlNGNiZDIzYWEzIiwicHJvcGVydGllcyI6eyJub3RlSW5kZXgiOjB9LCJpc0VkaXRlZCI6ZmFsc2UsIm1hbnVhbE92ZXJyaWRlIjp7ImlzTWFudWFsbHlPdmVycmlkZGVuIjpmYWxzZSwiY2l0ZXByb2NUZXh0IjoiKENyYW5lIDxpPmV0IGFsLjwvaT4sIDIwMTk7IExlQmFyb24gYW5kIExpc3RlciwgMjAyMS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Y29udGFpbmVyLXRpdGxlLXNob3J0IjoiUmVndWwuIEdvdi4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XX0="/>
          <w:id w:val="-1616288580"/>
          <w:placeholder>
            <w:docPart w:val="AD0BF1AF95C944E4B510884B4030137C"/>
          </w:placeholder>
        </w:sdtPr>
        <w:sdtEndPr/>
        <w:sdtContent>
          <w:r w:rsidRPr="008B0B7F">
            <w:rPr>
              <w:rFonts w:eastAsia="Times New Roman"/>
            </w:rPr>
            <w:t xml:space="preserve">(Crane </w:t>
          </w:r>
          <w:r w:rsidRPr="008B0B7F">
            <w:rPr>
              <w:rFonts w:eastAsia="Times New Roman"/>
              <w:i/>
              <w:iCs/>
            </w:rPr>
            <w:t>et al.</w:t>
          </w:r>
          <w:r w:rsidRPr="008B0B7F">
            <w:rPr>
              <w:rFonts w:eastAsia="Times New Roman"/>
            </w:rPr>
            <w:t>, 2019; LeBaron and Lister, 2021)</w:t>
          </w:r>
        </w:sdtContent>
      </w:sdt>
      <w:r w:rsidRPr="00CC1FC3">
        <w:rPr>
          <w:color w:val="auto"/>
        </w:rPr>
        <w:t xml:space="preserve">. Complementing these, a second set of deductive codes was derived from NIT, capturing coercive, normative, and mimetic pressures shaping organisational disclosure practices </w:t>
      </w:r>
      <w:sdt>
        <w:sdtPr>
          <w:tag w:val="MENDELEY_CITATION_v3_eyJjaXRhdGlvbklEIjoiTUVOREVMRVlfQ0lUQVRJT05fYTZmOGRhNWYtZTI1Ni00NjBmLTg0ZTMtMjE5NjJhZGE4MWI3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40497550"/>
          <w:placeholder>
            <w:docPart w:val="BAB2841F77CC4190A4A452E3964DDC86"/>
          </w:placeholder>
        </w:sdtPr>
        <w:sdtEndPr/>
        <w:sdtContent>
          <w:r w:rsidRPr="00A73C12">
            <w:t>(DiMaggio and Powell, 1983; Scott, 2013)</w:t>
          </w:r>
        </w:sdtContent>
      </w:sdt>
      <w:r w:rsidRPr="00CC1FC3">
        <w:t>.</w:t>
      </w:r>
      <w:r w:rsidRPr="00CC1FC3">
        <w:rPr>
          <w:color w:val="auto"/>
        </w:rPr>
        <w:t xml:space="preserve"> These codes enabled systematic identification of institutional decoupling, symbolic compliance, and </w:t>
      </w:r>
      <w:r w:rsidRPr="00CC1FC3">
        <w:rPr>
          <w:color w:val="auto"/>
        </w:rPr>
        <w:lastRenderedPageBreak/>
        <w:t xml:space="preserve">legitimacy-seeking behaviours—phenomena well documented in sustainability reporting and labour governance literature </w:t>
      </w:r>
      <w:sdt>
        <w:sdtPr>
          <w:tag w:val="MENDELEY_CITATION_v3_eyJjaXRhdGlvbklEIjoiTUVOREVMRVlfQ0lUQVRJT05fY2UxYWE3Y2ItNjI1NS00ZmYzLWI5MjUtZWRiY2RmYzI4ZWFjIiwicHJvcGVydGllcyI6eyJub3RlSW5kZXgiOjB9LCJpc0VkaXRlZCI6ZmFsc2UsIm1hbnVhbE92ZXJyaWRlIjp7ImlzTWFudWFsbHlPdmVycmlkZGVuIjpmYWxzZSwiY2l0ZXByb2NUZXh0IjoiKElzbGFtIGFuZCBWYW4gU3RhZGVuLCAyMDIx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I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
          <w:id w:val="-49994558"/>
          <w:placeholder>
            <w:docPart w:val="BAB2841F77CC4190A4A452E3964DDC86"/>
          </w:placeholder>
        </w:sdtPr>
        <w:sdtEndPr/>
        <w:sdtContent>
          <w:r w:rsidRPr="00A73C12">
            <w:t>(Islam and Van Staden, 2021; Meyer and Rowan, 1977)</w:t>
          </w:r>
        </w:sdtContent>
      </w:sdt>
      <w:r w:rsidRPr="00CC1FC3">
        <w:t>.</w:t>
      </w:r>
    </w:p>
    <w:p w14:paraId="2336B777" w14:textId="77777777" w:rsidR="00736F61" w:rsidRPr="00CC1FC3" w:rsidRDefault="00736F61" w:rsidP="00736F61">
      <w:pPr>
        <w:spacing w:line="480" w:lineRule="auto"/>
        <w:ind w:firstLine="720"/>
        <w:jc w:val="both"/>
        <w:rPr>
          <w:color w:val="auto"/>
        </w:rPr>
      </w:pPr>
      <w:r w:rsidRPr="00CC1FC3">
        <w:rPr>
          <w:color w:val="auto"/>
        </w:rPr>
        <w:t xml:space="preserve">Alongside this theoretically anchored, deductive structure, inductive coding enabled the emergence of grounded, empirically driven insights embedded in the corporate reports </w:t>
      </w:r>
      <w:sdt>
        <w:sdtPr>
          <w:tag w:val="MENDELEY_CITATION_v3_eyJjaXRhdGlvbklEIjoiTUVOREVMRVlfQ0lUQVRJT05fMTBiYzg4NTItMGNlMC00MzQ1LWI5MjktNjAyZTYyMTI3MTgy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0499438"/>
          <w:placeholder>
            <w:docPart w:val="BAB2841F77CC4190A4A452E3964DDC86"/>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color w:val="auto"/>
        </w:rPr>
        <w:t xml:space="preserve">. This inductive dimension was essential for identifying disclosure patterns that were not explicitly addressed by existing frameworks but were recurrent across the dataset. For example, several disclosures revealed recurring issues such as wage theft and wage disparity, which align with growing evidence that economic exploitation constitutes a central dimension of contemporary MS </w:t>
      </w:r>
      <w:sdt>
        <w:sdtPr>
          <w:tag w:val="MENDELEY_CITATION_v3_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357046776"/>
          <w:placeholder>
            <w:docPart w:val="BAB2841F77CC4190A4A452E3964DDC86"/>
          </w:placeholder>
        </w:sdtPr>
        <w:sdtEndPr/>
        <w:sdtContent>
          <w:r w:rsidRPr="00A73C12">
            <w:rPr>
              <w:rFonts w:eastAsia="Times New Roman"/>
            </w:rPr>
            <w:t xml:space="preserve">(Lewis </w:t>
          </w:r>
          <w:r w:rsidRPr="00A73C12">
            <w:rPr>
              <w:rFonts w:eastAsia="Times New Roman"/>
              <w:i/>
              <w:iCs/>
            </w:rPr>
            <w:t>et al.</w:t>
          </w:r>
          <w:r w:rsidRPr="00A73C12">
            <w:rPr>
              <w:rFonts w:eastAsia="Times New Roman"/>
            </w:rPr>
            <w:t xml:space="preserve">, 2015; Muthuthantrige </w:t>
          </w:r>
          <w:r w:rsidRPr="00A73C12">
            <w:rPr>
              <w:rFonts w:eastAsia="Times New Roman"/>
              <w:i/>
              <w:iCs/>
            </w:rPr>
            <w:t>et al.</w:t>
          </w:r>
          <w:r w:rsidRPr="00A73C12">
            <w:rPr>
              <w:rFonts w:eastAsia="Times New Roman"/>
            </w:rPr>
            <w:t>, 2026)</w:t>
          </w:r>
        </w:sdtContent>
      </w:sdt>
      <w:r w:rsidRPr="00CC1FC3">
        <w:t>.</w:t>
      </w:r>
      <w:r w:rsidRPr="00CC1FC3">
        <w:rPr>
          <w:color w:val="auto"/>
        </w:rPr>
        <w:t xml:space="preserve"> Additional inductive themes included production pressure, unrealistic quotas, restricted worker mobility, and subcontracting opacity, reflecting risk factors highlighted in labour rights investigations and global value chain scholarship </w:t>
      </w:r>
      <w:sdt>
        <w:sdtPr>
          <w:tag w:val="MENDELEY_CITATION_v3_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"/>
          <w:id w:val="455610991"/>
          <w:placeholder>
            <w:docPart w:val="BAB2841F77CC4190A4A452E3964DDC86"/>
          </w:placeholder>
        </w:sdtPr>
        <w:sdtEndPr/>
        <w:sdtContent>
          <w:r w:rsidRPr="00A73C12">
            <w:t>(Anner, 2020; Barrientos, 2019)</w:t>
          </w:r>
        </w:sdtContent>
      </w:sdt>
      <w:r w:rsidRPr="00CC1FC3">
        <w:rPr>
          <w:color w:val="auto"/>
        </w:rPr>
        <w:t xml:space="preserve">. Other emergent codes—such as gendered harassment, weak or vague corrective action narratives, and audit manipulation indicators—echo concerns raised in critical studies of private auditing and CSR reporting, which often emphasise how supply-chain monitoring can mask deeper structural vulnerabilities </w:t>
      </w:r>
      <w:sdt>
        <w:sdtPr>
          <w:tag w:val="MENDELEY_CITATION_v3_eyJjaXRhdGlvbklEIjoiTUVOREVMRVlfQ0lUQVRJT05fZmEzMWJhNmEtZWI3NS00ZWRhLTgwOTMtNmI0NzljNWE5NmMxIiwicHJvcGVydGllcyI6eyJub3RlSW5kZXgiOjB9LCJpc0VkaXRlZCI6ZmFsc2UsIm1hbnVhbE92ZXJyaWRlIjp7ImlzTWFudWFsbHlPdmVycmlkZGVuIjpmYWxzZSwiY2l0ZXByb2NUZXh0IjoiKExlQmFyb24gYW5kIExpc3RlciwgMjAyMTsgUGFyc2EgPGk+ZXQgYWwuPC9pPiwgMjAxOC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"/>
          <w:id w:val="136389494"/>
          <w:placeholder>
            <w:docPart w:val="BAB2841F77CC4190A4A452E3964DDC86"/>
          </w:placeholder>
        </w:sdtPr>
        <w:sdtEndPr/>
        <w:sdtContent>
          <w:r w:rsidRPr="00A73C12">
            <w:rPr>
              <w:rFonts w:eastAsia="Times New Roman"/>
            </w:rPr>
            <w:t xml:space="preserve">(LeBaron and Lister, 2021; Parsa </w:t>
          </w:r>
          <w:r w:rsidRPr="00A73C12">
            <w:rPr>
              <w:rFonts w:eastAsia="Times New Roman"/>
              <w:i/>
              <w:iCs/>
            </w:rPr>
            <w:t>et al.</w:t>
          </w:r>
          <w:r w:rsidRPr="00A73C12">
            <w:rPr>
              <w:rFonts w:eastAsia="Times New Roman"/>
            </w:rPr>
            <w:t>, 2018)</w:t>
          </w:r>
        </w:sdtContent>
      </w:sdt>
      <w:r w:rsidRPr="00CC1FC3">
        <w:t>.</w:t>
      </w:r>
    </w:p>
    <w:p w14:paraId="05290B34" w14:textId="77777777" w:rsidR="00736F61" w:rsidRPr="00CC1FC3" w:rsidRDefault="00736F61" w:rsidP="00736F61">
      <w:pPr>
        <w:spacing w:line="480" w:lineRule="auto"/>
        <w:ind w:firstLine="720"/>
        <w:jc w:val="both"/>
        <w:rPr>
          <w:color w:val="auto"/>
        </w:rPr>
      </w:pPr>
      <w:r w:rsidRPr="00CC1FC3">
        <w:rPr>
          <w:color w:val="auto"/>
        </w:rPr>
        <w:t>By integrating both deductive and inductive coding strategies, the analysis examined corporate disclosures through a theoretically robust lens while remaining attentive to nuanced organisational behaviours and silences that may signal symbolic compliance or strategic concealment. This hybrid approach thus enhanced the depth and interpretive validity of the meso-level analysis, providing a richer basis for triangulation with worker testimonies and macro-level institutional findings.</w:t>
      </w:r>
    </w:p>
    <w:p w14:paraId="129F7B7F" w14:textId="77777777" w:rsidR="00736F61" w:rsidRPr="00CC1FC3" w:rsidRDefault="00736F61" w:rsidP="00736F61">
      <w:pPr>
        <w:pStyle w:val="Heading3"/>
      </w:pPr>
      <w:bookmarkStart w:id="184" w:name="_Toc221437664"/>
      <w:bookmarkStart w:id="185" w:name="_Toc216557301"/>
      <w:bookmarkStart w:id="186" w:name="_Toc220848401"/>
      <w:r w:rsidRPr="00CC1FC3">
        <w:lastRenderedPageBreak/>
        <w:t>5.5.2 Questionnaire and Interview: Micro-Level</w:t>
      </w:r>
      <w:bookmarkEnd w:id="184"/>
      <w:r w:rsidRPr="00CC1FC3">
        <w:t xml:space="preserve"> </w:t>
      </w:r>
      <w:bookmarkStart w:id="187" w:name="_Toc216557302"/>
      <w:bookmarkStart w:id="188" w:name="_Toc220848402"/>
      <w:bookmarkEnd w:id="185"/>
      <w:bookmarkEnd w:id="186"/>
    </w:p>
    <w:p w14:paraId="0B51740F" w14:textId="77777777" w:rsidR="00736F61" w:rsidRPr="00CC1FC3" w:rsidRDefault="00736F61" w:rsidP="00736F61">
      <w:pPr>
        <w:pStyle w:val="Heading4"/>
        <w:rPr>
          <w:color w:val="0F4761" w:themeColor="accent1" w:themeShade="BF"/>
        </w:rPr>
      </w:pPr>
      <w:r w:rsidRPr="00CC1FC3">
        <w:t>5.5.2.1 Micro-Level Research Setting and Rationale</w:t>
      </w:r>
      <w:bookmarkEnd w:id="187"/>
      <w:bookmarkEnd w:id="188"/>
    </w:p>
    <w:p w14:paraId="4EDE0A69" w14:textId="77777777" w:rsidR="00736F61" w:rsidRPr="00CC1FC3" w:rsidRDefault="00736F61" w:rsidP="00736F61">
      <w:pPr>
        <w:pStyle w:val="Heading5"/>
        <w:spacing w:line="480" w:lineRule="auto"/>
        <w:rPr>
          <w:rFonts w:cs="Times New Roman"/>
        </w:rPr>
      </w:pPr>
      <w:bookmarkStart w:id="189" w:name="_Toc216557303"/>
      <w:bookmarkStart w:id="190" w:name="_Toc220848403"/>
      <w:r w:rsidRPr="00CC1FC3">
        <w:rPr>
          <w:rFonts w:cs="Times New Roman"/>
        </w:rPr>
        <w:t>5.5.2.1.1 Why Sri Lanka’s Apparel and Textile Industry?</w:t>
      </w:r>
      <w:bookmarkEnd w:id="189"/>
      <w:bookmarkEnd w:id="190"/>
    </w:p>
    <w:p w14:paraId="3742495E" w14:textId="77777777" w:rsidR="00736F61" w:rsidRPr="00CC1FC3" w:rsidRDefault="00736F61" w:rsidP="00736F61">
      <w:pPr>
        <w:spacing w:line="480" w:lineRule="auto"/>
        <w:ind w:firstLine="720"/>
        <w:jc w:val="both"/>
        <w:rPr>
          <w:color w:val="auto"/>
        </w:rPr>
      </w:pPr>
      <w:r w:rsidRPr="00CC1FC3">
        <w:rPr>
          <w:color w:val="auto"/>
        </w:rPr>
        <w:t xml:space="preserve">Sri Lanka’s A&amp;TI was selected as the micro-level research context due to its strategic significance within global supply chains and its unique institutional characteristics that make it highly relevant for studying CMS </w:t>
      </w:r>
      <w:sdt>
        <w:sdtPr>
          <w:tag w:val="MENDELEY_CITATION_v3_eyJjaXRhdGlvbklEIjoiTUVOREVMRVlfQ0lUQVRJT05fNDY0YzhiMjMtMTNmOC00OTAwLWFkZTItNTkwMWMyM2RiOWVj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469570423"/>
          <w:placeholder>
            <w:docPart w:val="BAB2841F77CC4190A4A452E3964DDC86"/>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color w:val="auto"/>
        </w:rPr>
        <w:t xml:space="preserve">. As one of the country’s largest export sectors, the A&amp;TI plays a central role in national economic development while simultaneously exhibiting structural vulnerabilities that heighten workers’ exposure to exploitation. The sector is dominated by a large female workforce, many of whom migrate from rural areas and face heightened socio-economic precarity—conditions consistently identified as risk factors for forced labour, coercion, and abuse </w:t>
      </w:r>
      <w:sdt>
        <w:sdtPr>
          <w:tag w:val="MENDELEY_CITATION_v3_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"/>
          <w:id w:val="-1173180952"/>
          <w:placeholder>
            <w:docPart w:val="BAB2841F77CC4190A4A452E3964DDC86"/>
          </w:placeholder>
        </w:sdtPr>
        <w:sdtEndPr/>
        <w:sdtContent>
          <w:r w:rsidRPr="00A73C12">
            <w:t>(EDB, 2024; International Trade Union Confederation (ITUC), 2010)</w:t>
          </w:r>
        </w:sdtContent>
      </w:sdt>
      <w:r w:rsidRPr="00CC1FC3">
        <w:rPr>
          <w:color w:val="auto"/>
        </w:rPr>
        <w:t>.</w:t>
      </w:r>
    </w:p>
    <w:p w14:paraId="05057238" w14:textId="77777777" w:rsidR="00736F61" w:rsidRPr="00CC1FC3" w:rsidRDefault="00736F61" w:rsidP="00736F61">
      <w:pPr>
        <w:spacing w:line="480" w:lineRule="auto"/>
        <w:ind w:firstLine="720"/>
        <w:jc w:val="both"/>
        <w:rPr>
          <w:color w:val="auto"/>
        </w:rPr>
      </w:pPr>
      <w:r w:rsidRPr="00CC1FC3">
        <w:t xml:space="preserve">Table </w:t>
      </w:r>
      <w:r>
        <w:t>5.16</w:t>
      </w:r>
      <w:r w:rsidRPr="00CC1FC3">
        <w:t xml:space="preserve"> explains the rationale for selecting Sri Lanka’s A&amp;TI as the study context. </w:t>
      </w:r>
      <w:r w:rsidRPr="00CC1FC3">
        <w:rPr>
          <w:color w:val="auto"/>
        </w:rPr>
        <w:t>Sri Lanka’s long-standing reputation for “ethical manufacturing” and its global branding campaign, Garments Without Guilt, create a compelling setting for interrogating the gaps between corporate rhetoric and factory-level realities. These public narratives of compliance contrast sharply with findings from NGOs, labour rights organisations, and international indices (e.g., Walk Free, 2023), which reveal persistent labour violations and governance failures. This tension aligns with the study’s aim to examine institutional decoupling and symbolic compliance.</w:t>
      </w:r>
    </w:p>
    <w:p w14:paraId="3CFB845E" w14:textId="77777777" w:rsidR="00736F61" w:rsidRPr="00CC1FC3" w:rsidRDefault="00736F61" w:rsidP="00736F61">
      <w:pPr>
        <w:spacing w:line="480" w:lineRule="auto"/>
        <w:ind w:firstLine="720"/>
        <w:jc w:val="both"/>
        <w:rPr>
          <w:color w:val="auto"/>
        </w:rPr>
      </w:pPr>
      <w:r w:rsidRPr="00CC1FC3">
        <w:rPr>
          <w:color w:val="auto"/>
        </w:rPr>
        <w:t xml:space="preserve">Moreover, Sri Lanka remains a major sourcing hub for leading multinational apparel brands—including Nike, Inditex, and Dior—making it an analytically rich context for linking meso-level corporate disclosures with micro-level labour experiences. Recent economic and political crises have further intensified worker vulnerability, weakened regulatory enforcement, and increased dependency on foreign buyers, amplifying conditions under which </w:t>
      </w:r>
      <w:r w:rsidRPr="00CC1FC3">
        <w:rPr>
          <w:color w:val="auto"/>
        </w:rPr>
        <w:lastRenderedPageBreak/>
        <w:t>CMS practices may flourish. Together, these factors make Sri Lanka’s A&amp;TI an ideal empirical setting for exploring how global governance pressures, corporate sustainability commitments, and local labour dynamics interact to shape MS risks.</w:t>
      </w:r>
    </w:p>
    <w:tbl>
      <w:tblPr>
        <w:tblpPr w:leftFromText="180" w:rightFromText="180" w:vertAnchor="text" w:horzAnchor="margin" w:tblpY="379"/>
        <w:tblW w:w="0" w:type="auto"/>
        <w:tblCellSpacing w:w="15" w:type="dxa"/>
        <w:tblBorders>
          <w:bottom w:val="single" w:sz="4" w:space="0" w:color="auto"/>
        </w:tblBorders>
        <w:tblLook w:val="04A0" w:firstRow="1" w:lastRow="0" w:firstColumn="1" w:lastColumn="0" w:noHBand="0" w:noVBand="1"/>
      </w:tblPr>
      <w:tblGrid>
        <w:gridCol w:w="2127"/>
        <w:gridCol w:w="6899"/>
      </w:tblGrid>
      <w:tr w:rsidR="00736F61" w:rsidRPr="00CC1FC3" w14:paraId="4CBB7B98" w14:textId="77777777" w:rsidTr="00621211">
        <w:trPr>
          <w:tblHeader/>
          <w:tblCellSpacing w:w="15" w:type="dxa"/>
        </w:trPr>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1811E291" w14:textId="77777777" w:rsidR="00736F61" w:rsidRPr="00CC1FC3" w:rsidRDefault="00736F61" w:rsidP="003F224E">
            <w:pPr>
              <w:spacing w:after="0" w:line="240" w:lineRule="auto"/>
              <w:jc w:val="center"/>
              <w:rPr>
                <w:rFonts w:eastAsia="Times New Roman"/>
                <w:b/>
                <w:bCs/>
                <w:color w:val="auto"/>
                <w:lang w:eastAsia="en-GB"/>
              </w:rPr>
            </w:pPr>
            <w:r w:rsidRPr="00CC1FC3">
              <w:rPr>
                <w:rFonts w:eastAsia="Times New Roman"/>
                <w:b/>
                <w:bCs/>
                <w:color w:val="auto"/>
                <w:lang w:eastAsia="en-GB"/>
              </w:rPr>
              <w:t>Reason</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012D950B" w14:textId="77777777" w:rsidR="00736F61" w:rsidRPr="00CC1FC3" w:rsidRDefault="00736F61" w:rsidP="003F224E">
            <w:pPr>
              <w:spacing w:after="0" w:line="240" w:lineRule="auto"/>
              <w:jc w:val="center"/>
              <w:rPr>
                <w:rFonts w:eastAsia="Times New Roman"/>
                <w:b/>
                <w:bCs/>
                <w:color w:val="auto"/>
                <w:lang w:eastAsia="en-GB"/>
              </w:rPr>
            </w:pPr>
            <w:r w:rsidRPr="00CC1FC3">
              <w:rPr>
                <w:rFonts w:eastAsia="Times New Roman"/>
                <w:b/>
                <w:bCs/>
                <w:color w:val="auto"/>
                <w:lang w:eastAsia="en-GB"/>
              </w:rPr>
              <w:t>Explanation</w:t>
            </w:r>
          </w:p>
        </w:tc>
      </w:tr>
      <w:tr w:rsidR="00736F61" w:rsidRPr="00CC1FC3" w14:paraId="1E70A738"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F8163B1"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High Export Dependency</w:t>
            </w:r>
          </w:p>
        </w:tc>
        <w:tc>
          <w:tcPr>
            <w:tcW w:w="0" w:type="auto"/>
            <w:tcBorders>
              <w:top w:val="nil"/>
              <w:left w:val="nil"/>
              <w:bottom w:val="nil"/>
              <w:right w:val="nil"/>
            </w:tcBorders>
            <w:tcMar>
              <w:top w:w="15" w:type="dxa"/>
              <w:left w:w="15" w:type="dxa"/>
              <w:bottom w:w="15" w:type="dxa"/>
              <w:right w:w="15" w:type="dxa"/>
            </w:tcMar>
            <w:vAlign w:val="center"/>
            <w:hideMark/>
          </w:tcPr>
          <w:p w14:paraId="31DA4AB4"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The A&amp;TI contributes over 50% of Sri Lanka’s total export earnings, making the sector highly exposed to global buyer demands and international labour governance pressures.</w:t>
            </w:r>
          </w:p>
        </w:tc>
      </w:tr>
      <w:tr w:rsidR="00736F61" w:rsidRPr="00CC1FC3" w14:paraId="36D947D6"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62CBE24A"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Large Female-Dominated Workforce</w:t>
            </w:r>
          </w:p>
        </w:tc>
        <w:tc>
          <w:tcPr>
            <w:tcW w:w="0" w:type="auto"/>
            <w:tcBorders>
              <w:top w:val="nil"/>
              <w:left w:val="nil"/>
              <w:bottom w:val="nil"/>
              <w:right w:val="nil"/>
            </w:tcBorders>
            <w:tcMar>
              <w:top w:w="15" w:type="dxa"/>
              <w:left w:w="15" w:type="dxa"/>
              <w:bottom w:w="15" w:type="dxa"/>
              <w:right w:w="15" w:type="dxa"/>
            </w:tcMar>
            <w:vAlign w:val="center"/>
            <w:hideMark/>
          </w:tcPr>
          <w:p w14:paraId="42B50DA5"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Approximately 78% of workers in the sector are women—many from rural, low-income backgrounds—heightening vulnerability to exploitation, harassment, and coercive labour practices.</w:t>
            </w:r>
          </w:p>
        </w:tc>
      </w:tr>
      <w:tr w:rsidR="00736F61" w:rsidRPr="00CC1FC3" w14:paraId="7B934E1F"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8A5AEDD"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Ethical Branding Narrative</w:t>
            </w:r>
          </w:p>
        </w:tc>
        <w:tc>
          <w:tcPr>
            <w:tcW w:w="0" w:type="auto"/>
            <w:tcBorders>
              <w:top w:val="nil"/>
              <w:left w:val="nil"/>
              <w:bottom w:val="nil"/>
              <w:right w:val="nil"/>
            </w:tcBorders>
            <w:tcMar>
              <w:top w:w="15" w:type="dxa"/>
              <w:left w:w="15" w:type="dxa"/>
              <w:bottom w:w="15" w:type="dxa"/>
              <w:right w:w="15" w:type="dxa"/>
            </w:tcMar>
            <w:vAlign w:val="center"/>
            <w:hideMark/>
          </w:tcPr>
          <w:p w14:paraId="17323120"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Sri Lanka promotes itself globally through the “Garments Without Guilt” campaign, creating strong legitimacy expectations that contrast with reported labour realities, making it ideal for examining symbolic compliance and decoupling.</w:t>
            </w:r>
          </w:p>
        </w:tc>
      </w:tr>
      <w:tr w:rsidR="00736F61" w:rsidRPr="00CC1FC3" w14:paraId="1DFF5D75"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5D28EFA0"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Economic Crisis and Increased Vulnerability</w:t>
            </w:r>
          </w:p>
        </w:tc>
        <w:tc>
          <w:tcPr>
            <w:tcW w:w="0" w:type="auto"/>
            <w:tcBorders>
              <w:top w:val="nil"/>
              <w:left w:val="nil"/>
              <w:bottom w:val="nil"/>
              <w:right w:val="nil"/>
            </w:tcBorders>
            <w:tcMar>
              <w:top w:w="15" w:type="dxa"/>
              <w:left w:w="15" w:type="dxa"/>
              <w:bottom w:w="15" w:type="dxa"/>
              <w:right w:w="15" w:type="dxa"/>
            </w:tcMar>
            <w:vAlign w:val="center"/>
            <w:hideMark/>
          </w:tcPr>
          <w:p w14:paraId="067DAA6A"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Recent political and economic instability has intensified worker precarity, increased household debt, and weakened bargaining power, amplifying MS risks.</w:t>
            </w:r>
          </w:p>
        </w:tc>
      </w:tr>
      <w:tr w:rsidR="00736F61" w:rsidRPr="00CC1FC3" w14:paraId="2E5DB253"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68B106C7"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Presence of Major MNC Buyers</w:t>
            </w:r>
          </w:p>
        </w:tc>
        <w:tc>
          <w:tcPr>
            <w:tcW w:w="0" w:type="auto"/>
            <w:tcBorders>
              <w:top w:val="nil"/>
              <w:left w:val="nil"/>
              <w:bottom w:val="nil"/>
              <w:right w:val="nil"/>
            </w:tcBorders>
            <w:tcMar>
              <w:top w:w="15" w:type="dxa"/>
              <w:left w:w="15" w:type="dxa"/>
              <w:bottom w:w="15" w:type="dxa"/>
              <w:right w:w="15" w:type="dxa"/>
            </w:tcMar>
            <w:vAlign w:val="center"/>
            <w:hideMark/>
          </w:tcPr>
          <w:p w14:paraId="6A5DDFC0"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The country hosts supplier factories producing for Nike, Inditex (Zara), H&amp;M, Victoria’s Secret, GAP, and other global brands, offering a relevant context for exploring how corporate commitments translate into local practices.</w:t>
            </w:r>
          </w:p>
        </w:tc>
      </w:tr>
      <w:tr w:rsidR="00736F61" w:rsidRPr="00CC1FC3" w14:paraId="30162B22"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5B8EF15E"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Weak Labour Governance and Enforcement</w:t>
            </w:r>
          </w:p>
        </w:tc>
        <w:tc>
          <w:tcPr>
            <w:tcW w:w="0" w:type="auto"/>
            <w:tcBorders>
              <w:top w:val="nil"/>
              <w:left w:val="nil"/>
              <w:bottom w:val="nil"/>
              <w:right w:val="nil"/>
            </w:tcBorders>
            <w:tcMar>
              <w:top w:w="15" w:type="dxa"/>
              <w:left w:w="15" w:type="dxa"/>
              <w:bottom w:w="15" w:type="dxa"/>
              <w:right w:w="15" w:type="dxa"/>
            </w:tcMar>
            <w:vAlign w:val="center"/>
            <w:hideMark/>
          </w:tcPr>
          <w:p w14:paraId="15CE8D79"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Despite ratifying core ILO conventions, Sri Lanka faces challenges such as limited labour inspections, weak enforcement mechanisms, and fragmented regulatory oversight.</w:t>
            </w:r>
          </w:p>
        </w:tc>
      </w:tr>
      <w:tr w:rsidR="00736F61" w:rsidRPr="00CC1FC3" w14:paraId="0A8B396E"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5D817876"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Complex, Multi-Tiered Supply Chains</w:t>
            </w:r>
          </w:p>
        </w:tc>
        <w:tc>
          <w:tcPr>
            <w:tcW w:w="0" w:type="auto"/>
            <w:tcBorders>
              <w:top w:val="nil"/>
              <w:left w:val="nil"/>
              <w:bottom w:val="nil"/>
              <w:right w:val="nil"/>
            </w:tcBorders>
            <w:tcMar>
              <w:top w:w="15" w:type="dxa"/>
              <w:left w:w="15" w:type="dxa"/>
              <w:bottom w:w="15" w:type="dxa"/>
              <w:right w:w="15" w:type="dxa"/>
            </w:tcMar>
            <w:vAlign w:val="center"/>
            <w:hideMark/>
          </w:tcPr>
          <w:p w14:paraId="4AF74126"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Prevalence of subcontracting, outsourcing, and informal labour arrangements increases opacity, creating conditions that enable concealed MS practices.</w:t>
            </w:r>
          </w:p>
        </w:tc>
      </w:tr>
      <w:tr w:rsidR="00736F61" w:rsidRPr="00CC1FC3" w14:paraId="616B1C3E"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1A26F6A6"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Strategic South Asian Location</w:t>
            </w:r>
          </w:p>
        </w:tc>
        <w:tc>
          <w:tcPr>
            <w:tcW w:w="0" w:type="auto"/>
            <w:tcBorders>
              <w:top w:val="nil"/>
              <w:left w:val="nil"/>
              <w:bottom w:val="nil"/>
              <w:right w:val="nil"/>
            </w:tcBorders>
            <w:tcMar>
              <w:top w:w="15" w:type="dxa"/>
              <w:left w:w="15" w:type="dxa"/>
              <w:bottom w:w="15" w:type="dxa"/>
              <w:right w:w="15" w:type="dxa"/>
            </w:tcMar>
            <w:vAlign w:val="center"/>
            <w:hideMark/>
          </w:tcPr>
          <w:p w14:paraId="63D0EEEE"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The country’s position within global production networks makes it a significant sourcing hub for Western markets, where institutional pressures for compliance and disclosure are high.</w:t>
            </w:r>
          </w:p>
        </w:tc>
      </w:tr>
      <w:tr w:rsidR="00736F61" w:rsidRPr="00CC1FC3" w14:paraId="105132F6"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6527530F"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Historical Significance in the Global Apparel Sector</w:t>
            </w:r>
          </w:p>
        </w:tc>
        <w:tc>
          <w:tcPr>
            <w:tcW w:w="0" w:type="auto"/>
            <w:tcBorders>
              <w:top w:val="nil"/>
              <w:left w:val="nil"/>
              <w:bottom w:val="nil"/>
              <w:right w:val="nil"/>
            </w:tcBorders>
            <w:tcMar>
              <w:top w:w="15" w:type="dxa"/>
              <w:left w:w="15" w:type="dxa"/>
              <w:bottom w:w="15" w:type="dxa"/>
              <w:right w:w="15" w:type="dxa"/>
            </w:tcMar>
            <w:vAlign w:val="center"/>
            <w:hideMark/>
          </w:tcPr>
          <w:p w14:paraId="30AA4CCD"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With over four decades of integration into global supply chains, Sri Lanka provides a mature case for examining the evolution of labour governance, CSR practices, and institutional responses.</w:t>
            </w:r>
          </w:p>
        </w:tc>
      </w:tr>
      <w:tr w:rsidR="00736F61" w:rsidRPr="00CC1FC3" w14:paraId="4C5D0FBC" w14:textId="77777777" w:rsidTr="00621211">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161CBCB8" w14:textId="77777777" w:rsidR="00736F61" w:rsidRPr="00CC1FC3" w:rsidRDefault="00736F61" w:rsidP="003F224E">
            <w:pPr>
              <w:spacing w:after="0" w:line="240" w:lineRule="auto"/>
              <w:rPr>
                <w:rFonts w:eastAsia="Times New Roman"/>
                <w:color w:val="auto"/>
                <w:sz w:val="20"/>
                <w:szCs w:val="20"/>
                <w:lang w:eastAsia="en-GB"/>
              </w:rPr>
            </w:pPr>
            <w:r w:rsidRPr="00CC1FC3">
              <w:rPr>
                <w:rFonts w:eastAsia="Times New Roman"/>
                <w:color w:val="auto"/>
                <w:sz w:val="20"/>
                <w:szCs w:val="20"/>
                <w:lang w:eastAsia="en-GB"/>
              </w:rPr>
              <w:t>Worker Access and Contextual Richness</w:t>
            </w:r>
          </w:p>
        </w:tc>
        <w:tc>
          <w:tcPr>
            <w:tcW w:w="0" w:type="auto"/>
            <w:tcBorders>
              <w:top w:val="nil"/>
              <w:left w:val="nil"/>
              <w:bottom w:val="nil"/>
              <w:right w:val="nil"/>
            </w:tcBorders>
            <w:tcMar>
              <w:top w:w="15" w:type="dxa"/>
              <w:left w:w="15" w:type="dxa"/>
              <w:bottom w:w="15" w:type="dxa"/>
              <w:right w:w="15" w:type="dxa"/>
            </w:tcMar>
            <w:vAlign w:val="center"/>
            <w:hideMark/>
          </w:tcPr>
          <w:p w14:paraId="67809EE8" w14:textId="77777777" w:rsidR="00736F61" w:rsidRPr="00CC1FC3" w:rsidRDefault="00736F61" w:rsidP="003F224E">
            <w:pPr>
              <w:spacing w:after="0" w:line="240" w:lineRule="auto"/>
              <w:jc w:val="both"/>
              <w:rPr>
                <w:rFonts w:eastAsia="Times New Roman"/>
                <w:color w:val="auto"/>
                <w:sz w:val="20"/>
                <w:szCs w:val="20"/>
                <w:lang w:eastAsia="en-GB"/>
              </w:rPr>
            </w:pPr>
            <w:r w:rsidRPr="00CC1FC3">
              <w:rPr>
                <w:rFonts w:eastAsia="Times New Roman"/>
                <w:color w:val="auto"/>
                <w:sz w:val="20"/>
                <w:szCs w:val="20"/>
                <w:lang w:eastAsia="en-GB"/>
              </w:rPr>
              <w:t>Strong NGO presence, active labour rights groups, and worker communities allowed for meaningful engagement, enhancing the depth and authenticity of qualitative insights.</w:t>
            </w:r>
          </w:p>
        </w:tc>
      </w:tr>
    </w:tbl>
    <w:p w14:paraId="293176E4" w14:textId="77777777" w:rsidR="00736F61" w:rsidRPr="00CC1FC3" w:rsidRDefault="00736F61" w:rsidP="00736F61">
      <w:pPr>
        <w:spacing w:line="480" w:lineRule="auto"/>
        <w:jc w:val="both"/>
        <w:rPr>
          <w:color w:val="auto"/>
        </w:rPr>
      </w:pPr>
      <w:r w:rsidRPr="00CC1FC3">
        <w:rPr>
          <w:b/>
          <w:bCs/>
        </w:rPr>
        <w:t xml:space="preserve">Table </w:t>
      </w:r>
      <w:r>
        <w:rPr>
          <w:b/>
          <w:bCs/>
        </w:rPr>
        <w:t>5.16</w:t>
      </w:r>
      <w:r w:rsidRPr="00CC1FC3">
        <w:t>: Rationale for Selecting Sri Lanka’s A&amp;TI as the Study Context</w:t>
      </w:r>
    </w:p>
    <w:p w14:paraId="69AAC944" w14:textId="77777777" w:rsidR="00736F61" w:rsidRPr="00CC1FC3" w:rsidRDefault="00736F61" w:rsidP="00736F61">
      <w:pPr>
        <w:spacing w:line="480" w:lineRule="auto"/>
        <w:ind w:firstLine="720"/>
        <w:jc w:val="both"/>
        <w:rPr>
          <w:b/>
          <w:bCs/>
          <w:color w:val="auto"/>
        </w:rPr>
      </w:pPr>
      <w:r w:rsidRPr="00CC1FC3">
        <w:rPr>
          <w:b/>
          <w:bCs/>
          <w:color w:val="auto"/>
        </w:rPr>
        <w:t xml:space="preserve">Source: </w:t>
      </w:r>
      <w:sdt>
        <w:sdtPr>
          <w:rPr>
            <w:bCs/>
          </w:rPr>
          <w:tag w:val="MENDELEY_CITATION_v3_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"/>
          <w:id w:val="-579977991"/>
          <w:placeholder>
            <w:docPart w:val="BAB2841F77CC4190A4A452E3964DDC86"/>
          </w:placeholder>
        </w:sdtPr>
        <w:sdtEndPr/>
        <w:sdtContent>
          <w:r w:rsidRPr="00A73C12">
            <w:rPr>
              <w:bCs/>
            </w:rPr>
            <w:t>Export Development Board (EDB) (2025)</w:t>
          </w:r>
        </w:sdtContent>
      </w:sdt>
    </w:p>
    <w:p w14:paraId="57F817A2" w14:textId="77777777" w:rsidR="00736F61" w:rsidRPr="00CC1FC3" w:rsidRDefault="00736F61" w:rsidP="00736F61">
      <w:pPr>
        <w:pStyle w:val="Heading4"/>
      </w:pPr>
      <w:bookmarkStart w:id="191" w:name="_Toc216557306"/>
      <w:bookmarkStart w:id="192" w:name="_Toc220848409"/>
      <w:bookmarkStart w:id="193" w:name="_Toc220848407"/>
      <w:bookmarkStart w:id="194" w:name="_Toc220848404"/>
      <w:bookmarkStart w:id="195" w:name="_Toc630892499"/>
      <w:bookmarkStart w:id="196" w:name="_Toc216557304"/>
      <w:r w:rsidRPr="00CC1FC3">
        <w:t>5.5.2.2 Qualitative Questionnaire</w:t>
      </w:r>
      <w:bookmarkEnd w:id="191"/>
      <w:bookmarkEnd w:id="192"/>
      <w:r w:rsidRPr="00CC1FC3">
        <w:t xml:space="preserve"> </w:t>
      </w:r>
    </w:p>
    <w:p w14:paraId="63AF8B33" w14:textId="77777777" w:rsidR="00736F61" w:rsidRPr="00CC1FC3" w:rsidRDefault="00736F61" w:rsidP="00736F61">
      <w:pPr>
        <w:pStyle w:val="Heading5"/>
        <w:spacing w:line="480" w:lineRule="auto"/>
        <w:rPr>
          <w:rFonts w:cs="Times New Roman"/>
          <w:color w:val="0F4761" w:themeColor="accent1" w:themeShade="BF"/>
        </w:rPr>
      </w:pPr>
      <w:bookmarkStart w:id="197" w:name="_Toc216557307"/>
      <w:bookmarkStart w:id="198" w:name="_Toc220848410"/>
      <w:r w:rsidRPr="00CC1FC3">
        <w:rPr>
          <w:rFonts w:cs="Times New Roman"/>
        </w:rPr>
        <w:t>5.5.2.2.1 Purpose of the Qualitative Questionnaire</w:t>
      </w:r>
      <w:bookmarkEnd w:id="197"/>
      <w:bookmarkEnd w:id="198"/>
    </w:p>
    <w:p w14:paraId="607C0C33" w14:textId="77777777" w:rsidR="00736F61" w:rsidRPr="00CC1FC3" w:rsidRDefault="00736F61" w:rsidP="00736F61">
      <w:pPr>
        <w:spacing w:line="480" w:lineRule="auto"/>
        <w:jc w:val="both"/>
        <w:rPr>
          <w:color w:val="auto"/>
        </w:rPr>
      </w:pPr>
      <w:r w:rsidRPr="00CC1FC3">
        <w:rPr>
          <w:color w:val="auto"/>
        </w:rPr>
        <w:t xml:space="preserve">The qualitative questionnaire was designed to complement the semi-structured interviews by capturing a broader range of worker perceptions and lived experiences related to CMS practices within Sri Lanka’s A&amp;TI. Unlike quantitative surveys, the questionnaire employed open-ended and short-answer questions, allowing participants to describe their experiences in their own words while maintaining flexibility, anonymity, and cultural sensitivity. This method was </w:t>
      </w:r>
      <w:r w:rsidRPr="00CC1FC3">
        <w:rPr>
          <w:color w:val="auto"/>
        </w:rPr>
        <w:lastRenderedPageBreak/>
        <w:t xml:space="preserve">particularly appropriate for engaging workers who were uncomfortable participating in recorded interviews or who preferred written responses due to fear of retaliation, time constraints, or limited privacy within factory settings </w:t>
      </w:r>
      <w:sdt>
        <w:sdtPr>
          <w:tag w:val="MENDELEY_CITATION_v3_eyJjaXRhdGlvbklEIjoiTUVOREVMRVlfQ0lUQVRJT05fOTBiN2ZkNTQtMWIwMS00ZGE4LWJhZDAtZjhkZTdjNGJhMjJi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805380933"/>
          <w:placeholder>
            <w:docPart w:val="9315F8CFFF864EF4895A0BC29DCA97B4"/>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color w:val="auto"/>
        </w:rPr>
        <w:t>.</w:t>
      </w:r>
    </w:p>
    <w:p w14:paraId="11ECF738" w14:textId="77777777" w:rsidR="00736F61" w:rsidRPr="00CC1FC3" w:rsidRDefault="00736F61" w:rsidP="00736F61">
      <w:pPr>
        <w:spacing w:line="480" w:lineRule="auto"/>
        <w:jc w:val="both"/>
        <w:rPr>
          <w:color w:val="auto"/>
        </w:rPr>
      </w:pPr>
      <w:r w:rsidRPr="00CC1FC3">
        <w:rPr>
          <w:color w:val="auto"/>
        </w:rPr>
        <w:tab/>
        <w:t xml:space="preserve">The questionnaire provided an additional layer of insight into issues such as working conditions, economic vulnerability, discrimination, harassment, and worker agency—areas that are often underreported due to the normalisation of exploitative practices in the industry </w:t>
      </w:r>
      <w:sdt>
        <w:sdtPr>
          <w:tag w:val="MENDELEY_CITATION_v3_eyJjaXRhdGlvbklEIjoiTUVOREVMRVlfQ0lUQVRJT05fZmNkY2NjZTctMmJiNy00N2Y3LThlMTEtYmE4NTE4M2QzNjc5IiwicHJvcGVydGllcyI6eyJub3RlSW5kZXgiOjB9LCJpc0VkaXRlZCI6ZmFsc2UsIm1hbnVhbE92ZXJyaWRlIjp7ImlzTWFudWFsbHlPdmVycmlkZGVuIjpmYWxzZSwiY2l0ZXByb2NUZXh0IjoiKExlQmFyb24gYW5kIExpc3RlciwgMjAyMTsgTXV0aHV0aGFudHJpZ2UgPGk+ZXQgYWwuPC9pPiwgMjAyNikiLCJtYW51YWxPdmVycmlkZVRleHQiOiI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"/>
          <w:id w:val="-1193452444"/>
          <w:placeholder>
            <w:docPart w:val="9315F8CFFF864EF4895A0BC29DCA97B4"/>
          </w:placeholder>
        </w:sdtPr>
        <w:sdtEndPr/>
        <w:sdtContent>
          <w:r w:rsidRPr="00A73C12">
            <w:rPr>
              <w:rFonts w:eastAsia="Times New Roman"/>
            </w:rPr>
            <w:t xml:space="preserve">(LeBaron and Lister, 2021; Muthuthantrige </w:t>
          </w:r>
          <w:r w:rsidRPr="00A73C12">
            <w:rPr>
              <w:rFonts w:eastAsia="Times New Roman"/>
              <w:i/>
              <w:iCs/>
            </w:rPr>
            <w:t>et al.</w:t>
          </w:r>
          <w:r w:rsidRPr="00A73C12">
            <w:rPr>
              <w:rFonts w:eastAsia="Times New Roman"/>
            </w:rPr>
            <w:t>, 2026)</w:t>
          </w:r>
        </w:sdtContent>
      </w:sdt>
      <w:r w:rsidRPr="00CC1FC3">
        <w:t xml:space="preserve">. </w:t>
      </w:r>
      <w:r w:rsidRPr="00CC1FC3">
        <w:rPr>
          <w:color w:val="auto"/>
        </w:rPr>
        <w:t xml:space="preserve"> As part of the explanatory sequential design, these responses enriched the interpretation of micro-level themes and triangulated findings from interviews and document analysis.</w:t>
      </w:r>
    </w:p>
    <w:p w14:paraId="4AD4C808" w14:textId="77777777" w:rsidR="00736F61" w:rsidRPr="00CC1FC3" w:rsidRDefault="00736F61" w:rsidP="00736F61">
      <w:pPr>
        <w:pStyle w:val="Heading5"/>
        <w:spacing w:line="480" w:lineRule="auto"/>
        <w:rPr>
          <w:rFonts w:cs="Times New Roman"/>
        </w:rPr>
      </w:pPr>
      <w:bookmarkStart w:id="199" w:name="_Toc216557308"/>
      <w:bookmarkStart w:id="200" w:name="_Toc220848411"/>
      <w:r w:rsidRPr="00CC1FC3">
        <w:rPr>
          <w:rFonts w:cs="Times New Roman"/>
        </w:rPr>
        <w:t>5.5.2.2.2 Questionnaire Design and Development</w:t>
      </w:r>
      <w:bookmarkEnd w:id="199"/>
      <w:bookmarkEnd w:id="200"/>
    </w:p>
    <w:p w14:paraId="600AA695" w14:textId="77777777" w:rsidR="00736F61" w:rsidRPr="00CC1FC3" w:rsidRDefault="00736F61" w:rsidP="00736F61">
      <w:pPr>
        <w:spacing w:line="480" w:lineRule="auto"/>
        <w:jc w:val="both"/>
        <w:rPr>
          <w:color w:val="auto"/>
        </w:rPr>
      </w:pPr>
      <w:r w:rsidRPr="00CC1FC3">
        <w:rPr>
          <w:color w:val="auto"/>
        </w:rPr>
        <w:t>The qualitative questionnaire was designed through an iterative process that drew on both deductive and inductive foundations. Deductively, the structure and content were informed by recognised international labour governance frameworks, including ILO indicators, the UNGP and Human Rights, and SDG Target 8.7, ensuring alignment with globally established markers of labour exploitation and MS vulnerability. Inductively, the questionnaire incorporated insights emerging from preliminary field observations, informal conversations with workers, and pilot consultations with NGO partners who work closely with apparel-sector employees. This combined approach supported the development of questions that were theoretically grounded while remaining sensitive to contextual nuances within Sri Lanka’s A&amp;TI.</w:t>
      </w:r>
    </w:p>
    <w:p w14:paraId="13A58D81" w14:textId="77777777" w:rsidR="00736F61" w:rsidRPr="00CC1FC3" w:rsidRDefault="00736F61" w:rsidP="00736F61">
      <w:pPr>
        <w:spacing w:line="480" w:lineRule="auto"/>
        <w:ind w:firstLine="720"/>
        <w:jc w:val="both"/>
        <w:rPr>
          <w:color w:val="auto"/>
        </w:rPr>
      </w:pPr>
      <w:r w:rsidRPr="00CC1FC3">
        <w:rPr>
          <w:color w:val="auto"/>
        </w:rPr>
        <w:t xml:space="preserve">The final instrument was composed of open-ended and short reflective questions designed to elicit rich narrative responses from workers with diverse educational and literacy backgrounds. The questionnaire explored several core thematic domains, including employment background (such as age, education level), working conditions (production hours, target pressures, overtime, and safety practices), and wages and financial vulnerability </w:t>
      </w:r>
      <w:r w:rsidRPr="00CC1FC3">
        <w:rPr>
          <w:color w:val="auto"/>
        </w:rPr>
        <w:lastRenderedPageBreak/>
        <w:t>(including living wage adequacy, deductions, debt obligations, and recruitment-related costs). Additional sections examined freedom association—particularly potential restrictions, coercive supervision, and practices such as salary retention—as well as experiences of discrimination and harassment linked to gender, caste, ethnicity, or pregnancy. The questionnaire further probed workers’ voice and representation, focusing on union accessibility, grievance mechanisms, and fears of retaliation, alongside their perceptions of global brand influence, especially in relation to well-known global brands—the instrument concluded by inviting workers to provide suggestions for improving labour conditions.</w:t>
      </w:r>
    </w:p>
    <w:p w14:paraId="51324C81" w14:textId="77777777" w:rsidR="00736F61" w:rsidRPr="00CC1FC3" w:rsidRDefault="00736F61" w:rsidP="00736F61">
      <w:pPr>
        <w:spacing w:line="480" w:lineRule="auto"/>
        <w:ind w:firstLine="720"/>
        <w:jc w:val="both"/>
        <w:rPr>
          <w:color w:val="auto"/>
        </w:rPr>
      </w:pPr>
      <w:r w:rsidRPr="00CC1FC3">
        <w:t xml:space="preserve">To ensure linguistic accessibility, </w:t>
      </w:r>
      <w:r w:rsidRPr="00CC1FC3">
        <w:rPr>
          <w:color w:val="auto"/>
        </w:rPr>
        <w:t>cultural appropriateness,</w:t>
      </w:r>
      <w:r w:rsidRPr="00CC1FC3">
        <w:t xml:space="preserve"> and conceptual accuracy, the questionnaire was translated into </w:t>
      </w:r>
      <w:r w:rsidRPr="00CC1FC3">
        <w:rPr>
          <w:rStyle w:val="Strong"/>
          <w:b w:val="0"/>
          <w:bCs w:val="0"/>
        </w:rPr>
        <w:t>Sinhala</w:t>
      </w:r>
      <w:r w:rsidRPr="00CC1FC3">
        <w:t xml:space="preserve">, the primary language of A&amp;TI workers, and then </w:t>
      </w:r>
      <w:proofErr w:type="spellStart"/>
      <w:r w:rsidRPr="00CC1FC3">
        <w:t>backtranslated</w:t>
      </w:r>
      <w:proofErr w:type="spellEnd"/>
      <w:r w:rsidRPr="00CC1FC3">
        <w:t xml:space="preserve"> to confirm semantic and contextual equivalence. The instrument was pilot tested with a small group of workers and NGO practitioners, resulting in refinements to wording, sequencing, and layout to enhance comprehension and comfort. This rigorous development process ensured that the questionnaire was culturally appropriate, ethically sensitive, and methodologically robust for capturing the lived realities of workers within a high-risk, under-researched labour context.</w:t>
      </w:r>
    </w:p>
    <w:p w14:paraId="11ADC503" w14:textId="77777777" w:rsidR="00736F61" w:rsidRPr="00CC1FC3" w:rsidRDefault="00736F61" w:rsidP="00736F61">
      <w:pPr>
        <w:pStyle w:val="Heading5"/>
        <w:rPr>
          <w:rFonts w:cs="Times New Roman"/>
        </w:rPr>
      </w:pPr>
      <w:bookmarkStart w:id="201" w:name="_Toc216557309"/>
      <w:bookmarkStart w:id="202" w:name="_Toc220848412"/>
      <w:r w:rsidRPr="00CC1FC3">
        <w:rPr>
          <w:rStyle w:val="Strong"/>
          <w:rFonts w:cs="Times New Roman"/>
          <w:b/>
        </w:rPr>
        <w:t>5.5.2.2.3</w:t>
      </w:r>
      <w:r w:rsidRPr="00CC1FC3">
        <w:rPr>
          <w:rStyle w:val="Strong"/>
          <w:rFonts w:cs="Times New Roman"/>
          <w:b/>
          <w:bCs w:val="0"/>
        </w:rPr>
        <w:t xml:space="preserve"> Sampling and Data Collection (</w:t>
      </w:r>
      <w:r w:rsidRPr="00CC1FC3">
        <w:rPr>
          <w:rFonts w:cs="Times New Roman"/>
        </w:rPr>
        <w:t>Questionnaire and Fieldwork)</w:t>
      </w:r>
      <w:bookmarkEnd w:id="201"/>
      <w:bookmarkEnd w:id="202"/>
    </w:p>
    <w:p w14:paraId="526BB6E4" w14:textId="77777777" w:rsidR="00736F61" w:rsidRPr="00CC1FC3" w:rsidRDefault="00736F61" w:rsidP="00736F61">
      <w:pPr>
        <w:pStyle w:val="NormalWeb"/>
        <w:spacing w:line="480" w:lineRule="auto"/>
        <w:jc w:val="both"/>
      </w:pPr>
      <w:r w:rsidRPr="00CC1FC3">
        <w:t xml:space="preserve">A </w:t>
      </w:r>
      <w:r w:rsidRPr="00CC1FC3">
        <w:rPr>
          <w:rStyle w:val="Strong"/>
          <w:rFonts w:eastAsiaTheme="majorEastAsia"/>
          <w:b w:val="0"/>
          <w:bCs w:val="0"/>
        </w:rPr>
        <w:t>purposive and snowball sampling</w:t>
      </w:r>
      <w:r w:rsidRPr="00CC1FC3">
        <w:t xml:space="preserve"> strategy was used to distribute the questionnaires among workers from different tiers of the A&amp;TI supply chain, including b</w:t>
      </w:r>
      <w:r w:rsidRPr="00CC1FC3">
        <w:rPr>
          <w:rStyle w:val="Strong"/>
          <w:rFonts w:eastAsiaTheme="majorEastAsia"/>
          <w:b w:val="0"/>
          <w:bCs w:val="0"/>
        </w:rPr>
        <w:t xml:space="preserve">oarding house workers, factory-floor workers (sewing, finishing, cutting, packing), temporary and subcontracted, night-shift workers, and workers in higher-risk geographical zones (Katunayake, </w:t>
      </w:r>
      <w:proofErr w:type="spellStart"/>
      <w:r w:rsidRPr="00CC1FC3">
        <w:rPr>
          <w:rStyle w:val="Strong"/>
          <w:rFonts w:eastAsiaTheme="majorEastAsia"/>
          <w:b w:val="0"/>
          <w:bCs w:val="0"/>
        </w:rPr>
        <w:t>Biyagama</w:t>
      </w:r>
      <w:proofErr w:type="spellEnd"/>
      <w:r w:rsidRPr="00CC1FC3">
        <w:rPr>
          <w:rStyle w:val="Strong"/>
          <w:rFonts w:eastAsiaTheme="majorEastAsia"/>
          <w:b w:val="0"/>
          <w:bCs w:val="0"/>
        </w:rPr>
        <w:t xml:space="preserve">, </w:t>
      </w:r>
      <w:proofErr w:type="spellStart"/>
      <w:r w:rsidRPr="00CC1FC3">
        <w:rPr>
          <w:rStyle w:val="Strong"/>
          <w:rFonts w:eastAsiaTheme="majorEastAsia"/>
          <w:b w:val="0"/>
          <w:bCs w:val="0"/>
        </w:rPr>
        <w:t>Koggala</w:t>
      </w:r>
      <w:proofErr w:type="spellEnd"/>
      <w:r w:rsidRPr="00CC1FC3">
        <w:rPr>
          <w:rStyle w:val="Strong"/>
          <w:rFonts w:eastAsiaTheme="majorEastAsia"/>
          <w:b w:val="0"/>
          <w:bCs w:val="0"/>
        </w:rPr>
        <w:t xml:space="preserve">). </w:t>
      </w:r>
      <w:r w:rsidRPr="00CC1FC3">
        <w:t>Participants were recruited through trusted intermediaries such as NGO-RED, worker centres, and community contacts, which significantly improved participation among vulnerable groups hesitant to speak publicly.</w:t>
      </w:r>
    </w:p>
    <w:p w14:paraId="09542884" w14:textId="77777777" w:rsidR="00736F61" w:rsidRPr="00CC1FC3" w:rsidRDefault="00736F61" w:rsidP="00736F61">
      <w:pPr>
        <w:pStyle w:val="Heading5"/>
        <w:rPr>
          <w:rFonts w:cs="Times New Roman"/>
        </w:rPr>
      </w:pPr>
      <w:bookmarkStart w:id="203" w:name="_Toc216557310"/>
      <w:bookmarkStart w:id="204" w:name="_Toc220848413"/>
      <w:r w:rsidRPr="00CC1FC3">
        <w:rPr>
          <w:rFonts w:cs="Times New Roman"/>
        </w:rPr>
        <w:lastRenderedPageBreak/>
        <w:t>5.5.2.2.4 Questionnaire Administration and Field Procedures</w:t>
      </w:r>
      <w:bookmarkEnd w:id="203"/>
      <w:bookmarkEnd w:id="204"/>
    </w:p>
    <w:p w14:paraId="7CA301B4" w14:textId="77777777" w:rsidR="00736F61" w:rsidRPr="00CC1FC3" w:rsidRDefault="00736F61" w:rsidP="00736F61"/>
    <w:p w14:paraId="1485479C" w14:textId="77777777" w:rsidR="00736F61" w:rsidRPr="00CC1FC3" w:rsidRDefault="00736F61" w:rsidP="00736F61">
      <w:pPr>
        <w:spacing w:line="480" w:lineRule="auto"/>
        <w:jc w:val="both"/>
        <w:rPr>
          <w:color w:val="auto"/>
        </w:rPr>
      </w:pPr>
      <w:r w:rsidRPr="00CC1FC3">
        <w:rPr>
          <w:color w:val="auto"/>
        </w:rPr>
        <w:t>The questionnaire was administered alongside the semi-structured interviews during the micro-level fieldwork to capture workers lived experiences of CMS in a complementary and mutually reinforcing manner. Conducting both methods concurrently allowed the research to balance breadth (through the questionnaire) and depth (through the interviews), consistent with the explanatory sequential design and the need for triangulation in sensitive labour-governance research.</w:t>
      </w:r>
    </w:p>
    <w:p w14:paraId="5818F0D4" w14:textId="77777777" w:rsidR="00736F61" w:rsidRPr="00CC1FC3" w:rsidRDefault="00736F61" w:rsidP="00736F61">
      <w:pPr>
        <w:spacing w:line="480" w:lineRule="auto"/>
        <w:ind w:firstLine="720"/>
        <w:jc w:val="both"/>
        <w:rPr>
          <w:color w:val="auto"/>
        </w:rPr>
      </w:pPr>
      <w:r w:rsidRPr="00CC1FC3">
        <w:rPr>
          <w:color w:val="auto"/>
        </w:rPr>
        <w:t>Data collection occurred over three months across multiple factory zones, workers’ boarding houses, community centres, and NGO-supported safe spaces. These locations were intentionally selected to ensure privacy, minimise surveillance, and facilitate participation from vulnerable groups. Collaboration with local NGOs, such as RED, was essential to providing safe, trusted environments for both questionnaire completion and interviews.</w:t>
      </w:r>
    </w:p>
    <w:p w14:paraId="4FDBE7F4" w14:textId="77777777" w:rsidR="00736F61" w:rsidRPr="00CC1FC3" w:rsidRDefault="00736F61" w:rsidP="00736F61">
      <w:pPr>
        <w:spacing w:line="480" w:lineRule="auto"/>
        <w:ind w:firstLine="720"/>
        <w:jc w:val="both"/>
        <w:rPr>
          <w:color w:val="auto"/>
        </w:rPr>
      </w:pPr>
      <w:r w:rsidRPr="00CC1FC3">
        <w:rPr>
          <w:color w:val="auto"/>
        </w:rPr>
        <w:t>Participation was voluntary, and respondents were informed that all data would be kept anonymous and confidential and would not be shared with employers or state authorities. To further mitigate risks of employer retaliation or monitoring, the questionnaires were completed: individually, without supervisors present, to prevent intimidation or influence;  off-site, wherever possible, with the assistance of NGOs mediating access; in Sinhala, using a clear and accessible format suitable for varying literacy levels; with researcher support, particularly for workers who preferred oral explanation due to language or literacy barriers.</w:t>
      </w:r>
    </w:p>
    <w:p w14:paraId="425E6DE8" w14:textId="77777777" w:rsidR="00736F61" w:rsidRPr="00CC1FC3" w:rsidRDefault="00736F61" w:rsidP="00736F61">
      <w:pPr>
        <w:spacing w:line="480" w:lineRule="auto"/>
        <w:ind w:firstLine="720"/>
        <w:jc w:val="both"/>
        <w:rPr>
          <w:color w:val="auto"/>
        </w:rPr>
      </w:pPr>
      <w:r w:rsidRPr="00CC1FC3">
        <w:rPr>
          <w:color w:val="auto"/>
        </w:rPr>
        <w:t xml:space="preserve">Because interviews and questionnaires were administered concurrently, participants could choose the format in which they felt most comfortable sharing sensitive information. For example, individuals reluctant to speak openly in interviews due to stigma, shame, or fear of reprisals often preferred to disclose concerns about wages, harassment, or coercion </w:t>
      </w:r>
      <w:r w:rsidRPr="00CC1FC3">
        <w:rPr>
          <w:color w:val="auto"/>
        </w:rPr>
        <w:lastRenderedPageBreak/>
        <w:t>anonymously through the questionnaire. Conversely, some participants used the questionnaire as an initial engagement tool before agreeing to a more in-depth interview.</w:t>
      </w:r>
    </w:p>
    <w:p w14:paraId="3BAB3732" w14:textId="77777777" w:rsidR="00736F61" w:rsidRPr="00CC1FC3" w:rsidRDefault="00736F61" w:rsidP="00736F61">
      <w:pPr>
        <w:spacing w:line="480" w:lineRule="auto"/>
        <w:ind w:firstLine="720"/>
        <w:jc w:val="both"/>
        <w:rPr>
          <w:color w:val="auto"/>
        </w:rPr>
      </w:pPr>
      <w:r w:rsidRPr="00CC1FC3">
        <w:rPr>
          <w:color w:val="auto"/>
        </w:rPr>
        <w:t>Completed questionnaires were checked for internal consistency, missing responses, and clarity, while ensuring that no identifying markers—such as names, factory numbers, or line supervisors—were recorded. Open-ended sections invited participants to describe experiences in their own words, and these narratives were later integrated with interview transcripts through inductive coding to strengthen thematic triangulation.</w:t>
      </w:r>
    </w:p>
    <w:p w14:paraId="327151CE" w14:textId="77777777" w:rsidR="00736F61" w:rsidRPr="00CC1FC3" w:rsidRDefault="00736F61" w:rsidP="00736F61">
      <w:pPr>
        <w:spacing w:line="480" w:lineRule="auto"/>
        <w:ind w:firstLine="720"/>
        <w:jc w:val="both"/>
        <w:rPr>
          <w:color w:val="auto"/>
        </w:rPr>
      </w:pPr>
      <w:r w:rsidRPr="00CC1FC3">
        <w:rPr>
          <w:color w:val="auto"/>
        </w:rPr>
        <w:t>By administering questionnaires and interviews simultaneously, the study was able to cross-validate findings, capture a broader range of worker experiences, and address limitations associated with relying on a single qualitative method in a high-risk research context.</w:t>
      </w:r>
    </w:p>
    <w:p w14:paraId="405C211B" w14:textId="77777777" w:rsidR="00736F61" w:rsidRPr="00CC1FC3" w:rsidRDefault="00736F61" w:rsidP="00736F61">
      <w:pPr>
        <w:pStyle w:val="Heading4"/>
      </w:pPr>
      <w:r w:rsidRPr="00CC1FC3">
        <w:t>5.5.2.3 Interview</w:t>
      </w:r>
    </w:p>
    <w:p w14:paraId="296ED769" w14:textId="77777777" w:rsidR="00736F61" w:rsidRPr="00CC1FC3" w:rsidRDefault="00736F61" w:rsidP="00736F61">
      <w:pPr>
        <w:pStyle w:val="Heading5"/>
        <w:spacing w:line="480" w:lineRule="auto"/>
        <w:rPr>
          <w:rFonts w:cs="Times New Roman"/>
          <w:bCs/>
        </w:rPr>
      </w:pPr>
      <w:r w:rsidRPr="00CC1FC3">
        <w:rPr>
          <w:rFonts w:cs="Times New Roman"/>
        </w:rPr>
        <w:t xml:space="preserve">5.5.2.3.1 Research Sampling: </w:t>
      </w:r>
      <w:bookmarkEnd w:id="193"/>
      <w:r w:rsidRPr="00CC1FC3">
        <w:rPr>
          <w:rFonts w:cs="Times New Roman"/>
          <w:bCs/>
        </w:rPr>
        <w:t>Sampling Strategy</w:t>
      </w:r>
    </w:p>
    <w:p w14:paraId="1C4A9F61" w14:textId="77777777" w:rsidR="00736F61" w:rsidRPr="00CC1FC3" w:rsidRDefault="00736F61" w:rsidP="00736F61">
      <w:pPr>
        <w:spacing w:line="480" w:lineRule="auto"/>
        <w:ind w:firstLine="720"/>
        <w:jc w:val="both"/>
        <w:rPr>
          <w:color w:val="auto"/>
        </w:rPr>
      </w:pPr>
      <w:r w:rsidRPr="00CC1FC3">
        <w:rPr>
          <w:color w:val="auto"/>
        </w:rPr>
        <w:t>A combined purposive and snowball sampling strategy was adopted to ensure access to a diverse range of participants and to capture the multilayered nature of CMS within Sri Lanka’s A&amp;TI. Purposive sampling enabled the recruitment of individuals with direct experience or knowledge of labour practices, including workers, supervisors, factory managers, and labour rights advocates. Snowball sampling was essential for reaching hidden or vulnerable populations—such as subcontracted workers, temporary employees, LGBTQ workers, and victims of harassment or coercive practices—who are often absent from formal datasets and who typically avoid direct engagement due to fear of retaliation or social stigma.</w:t>
      </w:r>
    </w:p>
    <w:p w14:paraId="75D1039B" w14:textId="77777777" w:rsidR="00736F61" w:rsidRPr="00CC1FC3" w:rsidRDefault="00736F61" w:rsidP="00736F61">
      <w:pPr>
        <w:spacing w:line="480" w:lineRule="auto"/>
        <w:ind w:firstLine="720"/>
        <w:jc w:val="both"/>
        <w:rPr>
          <w:color w:val="auto"/>
        </w:rPr>
      </w:pPr>
      <w:r w:rsidRPr="00CC1FC3">
        <w:rPr>
          <w:color w:val="auto"/>
        </w:rPr>
        <w:t xml:space="preserve">This multi-stakeholder approach reflects best practice in MS research, ensuring analytical depth and enabling triangulation across organisational levels. The inclusion of diverse participant categories strengthens the study's internal validity by ensuring that findings are not limited to managerial narratives but reflect a holistic, grounded understanding of CMS </w:t>
      </w:r>
      <w:r w:rsidRPr="00CC1FC3">
        <w:rPr>
          <w:color w:val="auto"/>
        </w:rPr>
        <w:lastRenderedPageBreak/>
        <w:t>dynamics. The sampling strategy, therefore, supports both the study's explanatory aims and the broader NIT's focus on how pressures and contradictions manifest across institutional hierarchies.</w:t>
      </w:r>
    </w:p>
    <w:p w14:paraId="6E845A6D" w14:textId="77777777" w:rsidR="00736F61" w:rsidRPr="00CC1FC3" w:rsidRDefault="00736F61" w:rsidP="00736F61">
      <w:pPr>
        <w:pStyle w:val="Heading5"/>
        <w:rPr>
          <w:rFonts w:cs="Times New Roman"/>
        </w:rPr>
      </w:pPr>
      <w:r w:rsidRPr="00CC1FC3">
        <w:rPr>
          <w:rFonts w:cs="Times New Roman"/>
        </w:rPr>
        <w:t>5.5.2.3.2 Participant Categories</w:t>
      </w:r>
    </w:p>
    <w:p w14:paraId="668DF105" w14:textId="77777777" w:rsidR="00736F61" w:rsidRPr="00CC1FC3" w:rsidRDefault="00736F61" w:rsidP="00736F61"/>
    <w:p w14:paraId="6E643C88" w14:textId="77777777" w:rsidR="00736F61" w:rsidRPr="00CC1FC3" w:rsidRDefault="00736F61" w:rsidP="00736F61">
      <w:pPr>
        <w:spacing w:line="480" w:lineRule="auto"/>
        <w:ind w:firstLine="720"/>
        <w:jc w:val="both"/>
        <w:rPr>
          <w:color w:val="auto"/>
        </w:rPr>
      </w:pPr>
      <w:r w:rsidRPr="00CC1FC3">
        <w:rPr>
          <w:color w:val="auto"/>
        </w:rPr>
        <w:t>Participants were drawn from a broad cross-section of the A&amp;TI supply chain and institutional environment to ensure comprehensive representation of experiences and perspectives. Worker participants included female, male, pregnant, migrant, and LGBTQ-identifying workers, capturing heterogeneity in vulnerabilities and workplace experiences. In addition, supervisors, production managers, and HR personnel were interviewed to understand managerial logics, enforcement practices, and organisational responses to global buyer requirements.</w:t>
      </w:r>
    </w:p>
    <w:p w14:paraId="167326F1" w14:textId="77777777" w:rsidR="00736F61" w:rsidRPr="00CC1FC3" w:rsidRDefault="00736F61" w:rsidP="00736F61">
      <w:pPr>
        <w:spacing w:line="480" w:lineRule="auto"/>
        <w:ind w:firstLine="720"/>
        <w:jc w:val="both"/>
        <w:rPr>
          <w:color w:val="auto"/>
        </w:rPr>
      </w:pPr>
      <w:r w:rsidRPr="00CC1FC3">
        <w:rPr>
          <w:color w:val="auto"/>
        </w:rPr>
        <w:t>Individuals from trade unions, labour rights NGOs, ex-workers, and sector-specific academics were also included to provide external and historical perspectives on labour governance, constraints on collective bargaining, and systemic drivers of CMS. This multi-stakeholder composition allows the study to triangulate accounts across power hierarchies and institutional boundaries, ensuring that the resulting analysis captures both formal governance narratives and lived labour realities.</w:t>
      </w:r>
    </w:p>
    <w:p w14:paraId="5AA9B701" w14:textId="77777777" w:rsidR="00736F61" w:rsidRPr="00CC1FC3" w:rsidRDefault="00736F61" w:rsidP="00736F61">
      <w:pPr>
        <w:pStyle w:val="Heading5"/>
        <w:spacing w:line="480" w:lineRule="auto"/>
        <w:rPr>
          <w:rFonts w:cs="Times New Roman"/>
        </w:rPr>
      </w:pPr>
      <w:r w:rsidRPr="00CC1FC3">
        <w:rPr>
          <w:rFonts w:cs="Times New Roman"/>
        </w:rPr>
        <w:t xml:space="preserve">5.5.2.3.2 Data Collection Methods- Interview </w:t>
      </w:r>
    </w:p>
    <w:p w14:paraId="3BDE77D5" w14:textId="77777777" w:rsidR="00736F61" w:rsidRPr="00CC1FC3" w:rsidRDefault="00736F61" w:rsidP="00736F61">
      <w:pPr>
        <w:spacing w:line="480" w:lineRule="auto"/>
        <w:ind w:firstLine="720"/>
        <w:jc w:val="both"/>
        <w:rPr>
          <w:color w:val="auto"/>
        </w:rPr>
      </w:pPr>
      <w:r w:rsidRPr="00CC1FC3">
        <w:rPr>
          <w:color w:val="auto"/>
        </w:rPr>
        <w:t xml:space="preserve">Data were collected primarily through semi-structured interviews, enabling participants to discuss sensitive topics—such as harassment, forced overtime, wage manipulation, and mobility restrictions—in a flexible yet guided manner. Interviews were conducted in Sinhala or English, depending on the participant's preference, and ranged from 30 to 90 minutes. Fieldnotes were also collected during site visits, boarding-house observations, and informal </w:t>
      </w:r>
      <w:r w:rsidRPr="00CC1FC3">
        <w:rPr>
          <w:color w:val="auto"/>
        </w:rPr>
        <w:lastRenderedPageBreak/>
        <w:t>interactions, providing important contextual insights into workplace conditions, worker living arrangements, and local socio-cultural dynamics.</w:t>
      </w:r>
    </w:p>
    <w:p w14:paraId="60A7F161" w14:textId="77777777" w:rsidR="00736F61" w:rsidRPr="00CC1FC3" w:rsidRDefault="00736F61" w:rsidP="00736F61">
      <w:pPr>
        <w:spacing w:line="480" w:lineRule="auto"/>
        <w:ind w:firstLine="720"/>
        <w:jc w:val="both"/>
        <w:rPr>
          <w:color w:val="auto"/>
        </w:rPr>
      </w:pPr>
      <w:r w:rsidRPr="00CC1FC3">
        <w:rPr>
          <w:color w:val="auto"/>
        </w:rPr>
        <w:t xml:space="preserve">While most interviews were audio-recorded, non-recording was employed in cases involving heightened ethical and cultural sensitivities, particularly with female and LGBTQ workers who expressed fear of employer reprisal, social judgment, or personal risk. In such cases, detailed anonymised notes were taken immediately during and after the interview to preserve accuracy. This flexible recording protocol aligns with ethical guidelines for research involving vulnerable populations and ensures that participant safety and comfort remain prioritised throughout the data collection process </w:t>
      </w:r>
      <w:sdt>
        <w:sdtPr>
          <w:tag w:val="MENDELEY_CITATION_v3_eyJjaXRhdGlvbklEIjoiTUVOREVMRVlfQ0lUQVRJT05fMTQzZTU4MDItMmQ5Ni00NzFlLTkwODctNDkyM2I2ZjQwNWRi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267500941"/>
          <w:placeholder>
            <w:docPart w:val="596A31D387954522A48FAAA3B8AE4E68"/>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color w:val="auto"/>
        </w:rPr>
        <w:t>. Together, these methods provided a rich, triangulated dataset that supports a nuanced interpretation of CMS practices and institutional dynamics within Sri Lanka’s A&amp;TI.</w:t>
      </w:r>
    </w:p>
    <w:p w14:paraId="25E40FA0" w14:textId="77777777" w:rsidR="00736F61" w:rsidRPr="00CC1FC3" w:rsidRDefault="00736F61" w:rsidP="00736F61">
      <w:pPr>
        <w:pStyle w:val="Heading5"/>
        <w:spacing w:line="480" w:lineRule="auto"/>
        <w:rPr>
          <w:rFonts w:cs="Times New Roman"/>
        </w:rPr>
      </w:pPr>
      <w:bookmarkStart w:id="205" w:name="_Toc216557305"/>
      <w:bookmarkStart w:id="206" w:name="_Toc220848408"/>
      <w:r w:rsidRPr="00CC1FC3">
        <w:rPr>
          <w:rFonts w:cs="Times New Roman"/>
        </w:rPr>
        <w:t>5.5.2.3.4 Data Analysis Procedures (Micro-Level Interviews)</w:t>
      </w:r>
      <w:bookmarkEnd w:id="205"/>
      <w:bookmarkEnd w:id="206"/>
    </w:p>
    <w:p w14:paraId="39382A7E" w14:textId="77777777" w:rsidR="00736F61" w:rsidRDefault="00736F61" w:rsidP="00736F61">
      <w:pPr>
        <w:spacing w:line="480" w:lineRule="auto"/>
        <w:jc w:val="both"/>
        <w:rPr>
          <w:color w:val="auto"/>
        </w:rPr>
      </w:pPr>
      <w:proofErr w:type="gramStart"/>
      <w:r w:rsidRPr="00CC1FC3">
        <w:rPr>
          <w:color w:val="auto"/>
        </w:rPr>
        <w:t>Similar to</w:t>
      </w:r>
      <w:proofErr w:type="gramEnd"/>
      <w:r w:rsidRPr="00CC1FC3">
        <w:rPr>
          <w:color w:val="auto"/>
        </w:rPr>
        <w:t xml:space="preserve"> the </w:t>
      </w:r>
      <w:sdt>
        <w:sdtPr>
          <w:tag w:val="MENDELEY_CITATION_v3_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394245577"/>
          <w:placeholder>
            <w:docPart w:val="596A31D387954522A48FAAA3B8AE4E68"/>
          </w:placeholder>
        </w:sdtPr>
        <w:sdtEndPr/>
        <w:sdtContent>
          <w:r w:rsidRPr="00A73C12">
            <w:t>Muthuthantrige et al (2026) study, the micro-level interview data were analysed using the six-phase thematic analysis framework (Braun and Clarke, 2006), adapted for labour exploitation and CMS research (see Table</w:t>
          </w:r>
        </w:sdtContent>
      </w:sdt>
      <w:r w:rsidRPr="00CC1FC3">
        <w:rPr>
          <w:color w:val="auto"/>
        </w:rPr>
        <w:t xml:space="preserve"> </w:t>
      </w:r>
      <w:r>
        <w:rPr>
          <w:color w:val="auto"/>
        </w:rPr>
        <w:t>5.17</w:t>
      </w:r>
      <w:r w:rsidRPr="00CC1FC3">
        <w:rPr>
          <w:color w:val="auto"/>
        </w:rPr>
        <w:t xml:space="preserve">). This approach allowed for a flexible yet rigorous interrogation of complex, layered narratives across diverse stakeholder groups. The analysis began with immersion in the data, including repeated readings of transcripts and field notes to deepen contextual familiarity. A hybrid deductive–inductive coding strategy was applied, consistent with methodological recommendations for studying institutionalised exploitation </w:t>
      </w:r>
      <w:sdt>
        <w:sdtPr>
          <w:tag w:val="MENDELEY_CITATION_v3_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"/>
          <w:id w:val="1492442637"/>
          <w:placeholder>
            <w:docPart w:val="86FC7D758AAE4B37B78B6C82C94C6D6D"/>
          </w:placeholder>
        </w:sdtPr>
        <w:sdtEndPr/>
        <w:sdtContent>
          <w:r w:rsidRPr="00A73C12">
            <w:rPr>
              <w:rFonts w:eastAsia="Times New Roman"/>
            </w:rPr>
            <w:t xml:space="preserve">(Fereday </w:t>
          </w:r>
          <w:r w:rsidRPr="00A73C12">
            <w:rPr>
              <w:rFonts w:eastAsia="Times New Roman"/>
              <w:i/>
              <w:iCs/>
            </w:rPr>
            <w:t>et al.</w:t>
          </w:r>
          <w:r w:rsidRPr="00A73C12">
            <w:rPr>
              <w:rFonts w:eastAsia="Times New Roman"/>
            </w:rPr>
            <w:t>, 2006)</w:t>
          </w:r>
        </w:sdtContent>
      </w:sdt>
      <w:r w:rsidRPr="00CC1FC3">
        <w:rPr>
          <w:color w:val="auto"/>
        </w:rPr>
        <w:t xml:space="preserve">. </w:t>
      </w:r>
    </w:p>
    <w:p w14:paraId="3AC2F48C" w14:textId="77777777" w:rsidR="00736F61" w:rsidRPr="00CC1FC3" w:rsidRDefault="00736F61" w:rsidP="00736F61">
      <w:pPr>
        <w:rPr>
          <w:color w:val="auto"/>
        </w:rPr>
      </w:pPr>
      <w:r w:rsidRPr="00CC1FC3">
        <w:rPr>
          <w:b/>
          <w:bCs/>
        </w:rPr>
        <w:t xml:space="preserve">Table </w:t>
      </w:r>
      <w:r>
        <w:rPr>
          <w:b/>
          <w:bCs/>
        </w:rPr>
        <w:t>5.17</w:t>
      </w:r>
      <w:r w:rsidRPr="00CC1FC3">
        <w:rPr>
          <w:b/>
          <w:bCs/>
        </w:rPr>
        <w:t>:</w:t>
      </w:r>
      <w:r w:rsidRPr="00CC1FC3">
        <w:t xml:space="preserve"> Thematic Analysis Process</w:t>
      </w:r>
    </w:p>
    <w:tbl>
      <w:tblPr>
        <w:tblW w:w="9105"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410"/>
        <w:gridCol w:w="6695"/>
      </w:tblGrid>
      <w:tr w:rsidR="00736F61" w:rsidRPr="00B437B8" w14:paraId="2773EF22" w14:textId="77777777" w:rsidTr="00B437B8">
        <w:trPr>
          <w:trHeight w:val="329"/>
        </w:trPr>
        <w:tc>
          <w:tcPr>
            <w:tcW w:w="2410" w:type="dxa"/>
            <w:tcBorders>
              <w:top w:val="single" w:sz="12" w:space="0" w:color="000000" w:themeColor="text1"/>
              <w:left w:val="nil"/>
              <w:bottom w:val="single" w:sz="12" w:space="0" w:color="000000" w:themeColor="text1"/>
              <w:right w:val="nil"/>
            </w:tcBorders>
            <w:vAlign w:val="bottom"/>
            <w:hideMark/>
          </w:tcPr>
          <w:p w14:paraId="642C715B" w14:textId="77777777" w:rsidR="00736F61" w:rsidRPr="00B437B8" w:rsidRDefault="00736F61" w:rsidP="003F224E">
            <w:pPr>
              <w:spacing w:after="0"/>
              <w:jc w:val="center"/>
              <w:rPr>
                <w:rFonts w:eastAsia="Times New Roman"/>
                <w:color w:val="000000" w:themeColor="text1"/>
                <w:sz w:val="20"/>
                <w:szCs w:val="20"/>
              </w:rPr>
            </w:pPr>
            <w:r w:rsidRPr="00B437B8">
              <w:rPr>
                <w:rFonts w:eastAsia="Times New Roman"/>
                <w:b/>
                <w:bCs/>
                <w:color w:val="000000" w:themeColor="text1"/>
                <w:sz w:val="20"/>
                <w:szCs w:val="20"/>
              </w:rPr>
              <w:t>Stage</w:t>
            </w:r>
          </w:p>
        </w:tc>
        <w:tc>
          <w:tcPr>
            <w:tcW w:w="6695" w:type="dxa"/>
            <w:tcBorders>
              <w:top w:val="single" w:sz="12" w:space="0" w:color="000000" w:themeColor="text1"/>
              <w:left w:val="nil"/>
              <w:bottom w:val="single" w:sz="12" w:space="0" w:color="000000" w:themeColor="text1"/>
              <w:right w:val="nil"/>
            </w:tcBorders>
            <w:vAlign w:val="bottom"/>
            <w:hideMark/>
          </w:tcPr>
          <w:p w14:paraId="18058960" w14:textId="77777777" w:rsidR="00736F61" w:rsidRPr="00B437B8" w:rsidRDefault="00736F61" w:rsidP="003F224E">
            <w:pPr>
              <w:spacing w:after="0"/>
              <w:jc w:val="center"/>
              <w:rPr>
                <w:rFonts w:eastAsia="Times New Roman"/>
                <w:color w:val="000000" w:themeColor="text1"/>
                <w:sz w:val="20"/>
                <w:szCs w:val="20"/>
              </w:rPr>
            </w:pPr>
            <w:r w:rsidRPr="00B437B8">
              <w:rPr>
                <w:rFonts w:eastAsia="Times New Roman"/>
                <w:b/>
                <w:bCs/>
                <w:color w:val="000000" w:themeColor="text1"/>
                <w:sz w:val="20"/>
                <w:szCs w:val="20"/>
              </w:rPr>
              <w:t>Description</w:t>
            </w:r>
          </w:p>
        </w:tc>
      </w:tr>
      <w:tr w:rsidR="00736F61" w:rsidRPr="00B437B8" w14:paraId="08AF89E4" w14:textId="77777777" w:rsidTr="00B437B8">
        <w:trPr>
          <w:trHeight w:val="329"/>
        </w:trPr>
        <w:tc>
          <w:tcPr>
            <w:tcW w:w="2410" w:type="dxa"/>
            <w:tcBorders>
              <w:top w:val="single" w:sz="12" w:space="0" w:color="000000" w:themeColor="text1"/>
              <w:left w:val="nil"/>
              <w:bottom w:val="single" w:sz="6" w:space="0" w:color="auto"/>
              <w:right w:val="nil"/>
            </w:tcBorders>
            <w:vAlign w:val="bottom"/>
            <w:hideMark/>
          </w:tcPr>
          <w:p w14:paraId="25A9BB3A" w14:textId="77777777" w:rsidR="00736F61" w:rsidRPr="00B437B8" w:rsidRDefault="00736F61" w:rsidP="003F224E">
            <w:pPr>
              <w:spacing w:after="0"/>
              <w:rPr>
                <w:rFonts w:eastAsia="Times New Roman"/>
                <w:color w:val="000000" w:themeColor="text1"/>
                <w:sz w:val="20"/>
                <w:szCs w:val="20"/>
              </w:rPr>
            </w:pPr>
            <w:r w:rsidRPr="00B437B8">
              <w:rPr>
                <w:rFonts w:eastAsia="Times New Roman"/>
                <w:color w:val="000000" w:themeColor="text1"/>
                <w:sz w:val="20"/>
                <w:szCs w:val="20"/>
              </w:rPr>
              <w:t>1. Familiarisation</w:t>
            </w:r>
          </w:p>
        </w:tc>
        <w:tc>
          <w:tcPr>
            <w:tcW w:w="6695" w:type="dxa"/>
            <w:tcBorders>
              <w:top w:val="single" w:sz="12" w:space="0" w:color="000000" w:themeColor="text1"/>
              <w:left w:val="nil"/>
              <w:bottom w:val="single" w:sz="6" w:space="0" w:color="auto"/>
              <w:right w:val="nil"/>
            </w:tcBorders>
            <w:vAlign w:val="bottom"/>
            <w:hideMark/>
          </w:tcPr>
          <w:p w14:paraId="7B806BAB" w14:textId="77777777" w:rsidR="00736F61" w:rsidRPr="00B437B8" w:rsidRDefault="00736F61" w:rsidP="003F224E">
            <w:pPr>
              <w:spacing w:after="0"/>
              <w:jc w:val="both"/>
              <w:rPr>
                <w:rFonts w:eastAsia="Times New Roman"/>
                <w:color w:val="000000" w:themeColor="text1"/>
                <w:sz w:val="20"/>
                <w:szCs w:val="20"/>
              </w:rPr>
            </w:pPr>
            <w:r w:rsidRPr="00B437B8">
              <w:rPr>
                <w:rFonts w:eastAsia="Times New Roman"/>
                <w:color w:val="000000" w:themeColor="text1"/>
                <w:sz w:val="20"/>
                <w:szCs w:val="20"/>
              </w:rPr>
              <w:t>Interview transcripts and documents were read multiple times to achieve a thorough understanding of the data.</w:t>
            </w:r>
          </w:p>
        </w:tc>
      </w:tr>
      <w:tr w:rsidR="00736F61" w:rsidRPr="00B437B8" w14:paraId="4384BCD0" w14:textId="77777777" w:rsidTr="00B437B8">
        <w:trPr>
          <w:trHeight w:val="329"/>
        </w:trPr>
        <w:tc>
          <w:tcPr>
            <w:tcW w:w="2410" w:type="dxa"/>
            <w:tcBorders>
              <w:top w:val="single" w:sz="6" w:space="0" w:color="auto"/>
              <w:left w:val="nil"/>
              <w:bottom w:val="single" w:sz="6" w:space="0" w:color="auto"/>
              <w:right w:val="nil"/>
            </w:tcBorders>
            <w:vAlign w:val="bottom"/>
            <w:hideMark/>
          </w:tcPr>
          <w:p w14:paraId="5149B297" w14:textId="77777777" w:rsidR="00736F61" w:rsidRPr="00B437B8" w:rsidRDefault="00736F61" w:rsidP="003F224E">
            <w:pPr>
              <w:spacing w:after="0"/>
              <w:rPr>
                <w:rFonts w:eastAsia="Times New Roman"/>
                <w:color w:val="000000" w:themeColor="text1"/>
                <w:sz w:val="20"/>
                <w:szCs w:val="20"/>
              </w:rPr>
            </w:pPr>
            <w:r w:rsidRPr="00B437B8">
              <w:rPr>
                <w:rFonts w:eastAsia="Times New Roman"/>
                <w:color w:val="000000" w:themeColor="text1"/>
                <w:sz w:val="20"/>
                <w:szCs w:val="20"/>
              </w:rPr>
              <w:t>2. Initial Coding</w:t>
            </w:r>
          </w:p>
        </w:tc>
        <w:tc>
          <w:tcPr>
            <w:tcW w:w="6695" w:type="dxa"/>
            <w:tcBorders>
              <w:top w:val="single" w:sz="6" w:space="0" w:color="auto"/>
              <w:left w:val="nil"/>
              <w:bottom w:val="single" w:sz="6" w:space="0" w:color="auto"/>
              <w:right w:val="nil"/>
            </w:tcBorders>
            <w:vAlign w:val="bottom"/>
            <w:hideMark/>
          </w:tcPr>
          <w:p w14:paraId="13551EA1" w14:textId="77777777" w:rsidR="00736F61" w:rsidRPr="00B437B8" w:rsidRDefault="00736F61" w:rsidP="003F224E">
            <w:pPr>
              <w:spacing w:after="0"/>
              <w:jc w:val="both"/>
              <w:rPr>
                <w:rFonts w:eastAsia="Times New Roman"/>
                <w:color w:val="000000" w:themeColor="text1"/>
                <w:sz w:val="20"/>
                <w:szCs w:val="20"/>
              </w:rPr>
            </w:pPr>
            <w:r w:rsidRPr="00B437B8">
              <w:rPr>
                <w:rFonts w:eastAsia="Times New Roman"/>
                <w:color w:val="000000" w:themeColor="text1"/>
                <w:sz w:val="20"/>
                <w:szCs w:val="20"/>
              </w:rPr>
              <w:t xml:space="preserve">Two researchers independently conducted open coding to identify key phrases, patterns, and recurring narratives. Coding was conducted using NVivo 12 software to ensure consistency. To ensure rigour, the process incorporated data </w:t>
            </w:r>
            <w:r w:rsidRPr="00B437B8">
              <w:rPr>
                <w:rFonts w:eastAsia="Times New Roman"/>
                <w:color w:val="000000" w:themeColor="text1"/>
                <w:sz w:val="20"/>
                <w:szCs w:val="20"/>
              </w:rPr>
              <w:lastRenderedPageBreak/>
              <w:t xml:space="preserve">triangulation, member checking, and collaborative coding. An audit trail was maintained to document coding decisions and promote transparency and reliability </w:t>
            </w:r>
            <w:sdt>
              <w:sdtPr>
                <w:rPr>
                  <w:rFonts w:eastAsia="Times New Roman"/>
                  <w:sz w:val="20"/>
                  <w:szCs w:val="20"/>
                </w:rPr>
                <w:tag w:val="MENDELEY_CITATION_v3_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LiBSZXMuIFBzeWNob2wu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"/>
                <w:id w:val="2049872759"/>
                <w:placeholder>
                  <w:docPart w:val="596A31D387954522A48FAAA3B8AE4E68"/>
                </w:placeholder>
              </w:sdtPr>
              <w:sdtEndPr/>
              <w:sdtContent>
                <w:r w:rsidRPr="00B437B8">
                  <w:rPr>
                    <w:rFonts w:eastAsia="Times New Roman"/>
                    <w:sz w:val="20"/>
                    <w:szCs w:val="20"/>
                  </w:rPr>
                  <w:t>(Braun and Clarke, 2006; Creswell, 2014)</w:t>
                </w:r>
              </w:sdtContent>
            </w:sdt>
            <w:r w:rsidRPr="00B437B8">
              <w:rPr>
                <w:rFonts w:eastAsia="Times New Roman"/>
                <w:color w:val="000000" w:themeColor="text1"/>
                <w:sz w:val="20"/>
                <w:szCs w:val="20"/>
              </w:rPr>
              <w:t xml:space="preserve"> </w:t>
            </w:r>
          </w:p>
        </w:tc>
      </w:tr>
      <w:tr w:rsidR="00736F61" w:rsidRPr="00B437B8" w14:paraId="30F6BD21" w14:textId="77777777" w:rsidTr="00B437B8">
        <w:trPr>
          <w:trHeight w:val="329"/>
        </w:trPr>
        <w:tc>
          <w:tcPr>
            <w:tcW w:w="2410" w:type="dxa"/>
            <w:tcBorders>
              <w:top w:val="single" w:sz="6" w:space="0" w:color="auto"/>
              <w:left w:val="nil"/>
              <w:bottom w:val="single" w:sz="6" w:space="0" w:color="auto"/>
              <w:right w:val="nil"/>
            </w:tcBorders>
            <w:vAlign w:val="bottom"/>
            <w:hideMark/>
          </w:tcPr>
          <w:p w14:paraId="564C457D" w14:textId="77777777" w:rsidR="00736F61" w:rsidRPr="00B437B8" w:rsidRDefault="00736F61" w:rsidP="003F224E">
            <w:pPr>
              <w:spacing w:after="0"/>
              <w:rPr>
                <w:rFonts w:eastAsia="Times New Roman"/>
                <w:color w:val="000000" w:themeColor="text1"/>
                <w:sz w:val="20"/>
                <w:szCs w:val="20"/>
              </w:rPr>
            </w:pPr>
            <w:r w:rsidRPr="00B437B8">
              <w:rPr>
                <w:rFonts w:eastAsia="Times New Roman"/>
                <w:color w:val="000000" w:themeColor="text1"/>
                <w:sz w:val="20"/>
                <w:szCs w:val="20"/>
              </w:rPr>
              <w:lastRenderedPageBreak/>
              <w:t>3. Theme Development</w:t>
            </w:r>
          </w:p>
        </w:tc>
        <w:tc>
          <w:tcPr>
            <w:tcW w:w="6695" w:type="dxa"/>
            <w:tcBorders>
              <w:top w:val="single" w:sz="6" w:space="0" w:color="auto"/>
              <w:left w:val="nil"/>
              <w:bottom w:val="single" w:sz="6" w:space="0" w:color="auto"/>
              <w:right w:val="nil"/>
            </w:tcBorders>
            <w:vAlign w:val="bottom"/>
            <w:hideMark/>
          </w:tcPr>
          <w:p w14:paraId="4712A2A7" w14:textId="77777777" w:rsidR="00736F61" w:rsidRPr="00B437B8" w:rsidRDefault="00736F61" w:rsidP="003F224E">
            <w:pPr>
              <w:spacing w:after="0"/>
              <w:jc w:val="both"/>
              <w:rPr>
                <w:rFonts w:eastAsia="Times New Roman"/>
                <w:color w:val="000000" w:themeColor="text1"/>
                <w:sz w:val="20"/>
                <w:szCs w:val="20"/>
              </w:rPr>
            </w:pPr>
            <w:r w:rsidRPr="00B437B8">
              <w:rPr>
                <w:rFonts w:eastAsia="Times New Roman"/>
                <w:color w:val="000000" w:themeColor="text1"/>
                <w:sz w:val="20"/>
                <w:szCs w:val="20"/>
              </w:rPr>
              <w:t>Through iterative comparison, axial coding was applied to cluster codes into broader categories. This recursive process involved cycling between empirical data, theory, and literature to refine and synthesise themes.</w:t>
            </w:r>
          </w:p>
        </w:tc>
      </w:tr>
      <w:tr w:rsidR="00736F61" w:rsidRPr="00B437B8" w14:paraId="5149673C" w14:textId="77777777" w:rsidTr="00B437B8">
        <w:trPr>
          <w:trHeight w:val="329"/>
        </w:trPr>
        <w:tc>
          <w:tcPr>
            <w:tcW w:w="2410" w:type="dxa"/>
            <w:tcBorders>
              <w:top w:val="single" w:sz="6" w:space="0" w:color="auto"/>
              <w:left w:val="nil"/>
              <w:bottom w:val="single" w:sz="6" w:space="0" w:color="auto"/>
              <w:right w:val="nil"/>
            </w:tcBorders>
            <w:vAlign w:val="bottom"/>
            <w:hideMark/>
          </w:tcPr>
          <w:p w14:paraId="04C27A60" w14:textId="77777777" w:rsidR="00736F61" w:rsidRPr="00B437B8" w:rsidRDefault="00736F61" w:rsidP="003F224E">
            <w:pPr>
              <w:spacing w:after="0"/>
              <w:rPr>
                <w:rFonts w:eastAsia="Times New Roman"/>
                <w:color w:val="000000" w:themeColor="text1"/>
                <w:sz w:val="20"/>
                <w:szCs w:val="20"/>
              </w:rPr>
            </w:pPr>
            <w:r w:rsidRPr="00B437B8">
              <w:rPr>
                <w:rFonts w:eastAsia="Times New Roman"/>
                <w:color w:val="000000" w:themeColor="text1"/>
                <w:sz w:val="20"/>
                <w:szCs w:val="20"/>
              </w:rPr>
              <w:t>4. Reviewing and Defining Themes</w:t>
            </w:r>
          </w:p>
        </w:tc>
        <w:tc>
          <w:tcPr>
            <w:tcW w:w="6695" w:type="dxa"/>
            <w:tcBorders>
              <w:top w:val="single" w:sz="6" w:space="0" w:color="auto"/>
              <w:left w:val="nil"/>
              <w:bottom w:val="single" w:sz="6" w:space="0" w:color="auto"/>
              <w:right w:val="nil"/>
            </w:tcBorders>
            <w:vAlign w:val="bottom"/>
            <w:hideMark/>
          </w:tcPr>
          <w:p w14:paraId="33DD711E" w14:textId="77777777" w:rsidR="00736F61" w:rsidRPr="00B437B8" w:rsidRDefault="00736F61" w:rsidP="003F224E">
            <w:pPr>
              <w:spacing w:after="0"/>
              <w:jc w:val="both"/>
              <w:rPr>
                <w:rFonts w:eastAsia="Times New Roman"/>
                <w:color w:val="000000" w:themeColor="text1"/>
                <w:sz w:val="20"/>
                <w:szCs w:val="20"/>
              </w:rPr>
            </w:pPr>
            <w:r w:rsidRPr="00B437B8">
              <w:rPr>
                <w:rFonts w:eastAsia="Times New Roman"/>
                <w:color w:val="000000" w:themeColor="text1"/>
                <w:sz w:val="20"/>
                <w:szCs w:val="20"/>
              </w:rPr>
              <w:t>Codes and categories were repeatedly revisited to ensure coherence and reduce redundancy, as recommended by Braun and Clarke (2006). Any overlapping or vague themes were clarified through the author’s discussion and triangulation.</w:t>
            </w:r>
          </w:p>
        </w:tc>
      </w:tr>
      <w:tr w:rsidR="00736F61" w:rsidRPr="00B437B8" w14:paraId="3CD52459" w14:textId="77777777" w:rsidTr="00B437B8">
        <w:trPr>
          <w:trHeight w:val="329"/>
        </w:trPr>
        <w:tc>
          <w:tcPr>
            <w:tcW w:w="2410" w:type="dxa"/>
            <w:tcBorders>
              <w:top w:val="single" w:sz="6" w:space="0" w:color="auto"/>
              <w:left w:val="nil"/>
              <w:bottom w:val="single" w:sz="6" w:space="0" w:color="auto"/>
              <w:right w:val="nil"/>
            </w:tcBorders>
            <w:vAlign w:val="bottom"/>
            <w:hideMark/>
          </w:tcPr>
          <w:p w14:paraId="080A52C0" w14:textId="77777777" w:rsidR="00736F61" w:rsidRPr="00B437B8" w:rsidRDefault="00736F61" w:rsidP="003F224E">
            <w:pPr>
              <w:spacing w:after="0"/>
              <w:rPr>
                <w:rFonts w:eastAsia="Times New Roman"/>
                <w:color w:val="000000" w:themeColor="text1"/>
                <w:sz w:val="20"/>
                <w:szCs w:val="20"/>
              </w:rPr>
            </w:pPr>
            <w:r w:rsidRPr="00B437B8">
              <w:rPr>
                <w:rFonts w:eastAsia="Times New Roman"/>
                <w:color w:val="000000" w:themeColor="text1"/>
                <w:sz w:val="20"/>
                <w:szCs w:val="20"/>
              </w:rPr>
              <w:t>5. Reflexive Interpretation</w:t>
            </w:r>
          </w:p>
        </w:tc>
        <w:tc>
          <w:tcPr>
            <w:tcW w:w="6695" w:type="dxa"/>
            <w:tcBorders>
              <w:top w:val="single" w:sz="6" w:space="0" w:color="auto"/>
              <w:left w:val="nil"/>
              <w:bottom w:val="single" w:sz="6" w:space="0" w:color="auto"/>
              <w:right w:val="nil"/>
            </w:tcBorders>
            <w:vAlign w:val="bottom"/>
            <w:hideMark/>
          </w:tcPr>
          <w:p w14:paraId="0F153D16" w14:textId="77777777" w:rsidR="00736F61" w:rsidRPr="00B437B8" w:rsidRDefault="00736F61" w:rsidP="003F224E">
            <w:pPr>
              <w:spacing w:after="0"/>
              <w:jc w:val="both"/>
              <w:rPr>
                <w:rFonts w:eastAsia="Times New Roman"/>
                <w:color w:val="000000" w:themeColor="text1"/>
                <w:sz w:val="20"/>
                <w:szCs w:val="20"/>
              </w:rPr>
            </w:pPr>
            <w:r w:rsidRPr="00B437B8">
              <w:rPr>
                <w:rFonts w:eastAsia="Times New Roman"/>
                <w:color w:val="000000" w:themeColor="text1"/>
                <w:sz w:val="20"/>
                <w:szCs w:val="20"/>
              </w:rPr>
              <w:t>Final themes were contextualised within the socio-political realities of Sri Lanka’s A&amp;TI and cross-compared between interview and document data.</w:t>
            </w:r>
          </w:p>
        </w:tc>
      </w:tr>
      <w:tr w:rsidR="00736F61" w:rsidRPr="00B437B8" w14:paraId="53778ACA" w14:textId="77777777" w:rsidTr="00B437B8">
        <w:trPr>
          <w:trHeight w:val="329"/>
        </w:trPr>
        <w:tc>
          <w:tcPr>
            <w:tcW w:w="2410" w:type="dxa"/>
            <w:tcBorders>
              <w:top w:val="single" w:sz="6" w:space="0" w:color="auto"/>
              <w:left w:val="nil"/>
              <w:bottom w:val="single" w:sz="12" w:space="0" w:color="000000" w:themeColor="text1"/>
              <w:right w:val="nil"/>
            </w:tcBorders>
            <w:vAlign w:val="bottom"/>
            <w:hideMark/>
          </w:tcPr>
          <w:p w14:paraId="57E03C61" w14:textId="77777777" w:rsidR="00736F61" w:rsidRPr="00B437B8" w:rsidRDefault="00736F61" w:rsidP="003F224E">
            <w:pPr>
              <w:spacing w:after="0"/>
              <w:rPr>
                <w:rFonts w:eastAsia="Times New Roman"/>
                <w:color w:val="000000" w:themeColor="text1"/>
                <w:sz w:val="20"/>
                <w:szCs w:val="20"/>
              </w:rPr>
            </w:pPr>
            <w:r w:rsidRPr="00B437B8">
              <w:rPr>
                <w:rFonts w:eastAsia="Times New Roman"/>
                <w:color w:val="000000" w:themeColor="text1"/>
                <w:sz w:val="20"/>
                <w:szCs w:val="20"/>
              </w:rPr>
              <w:t>6. Narrative Construction</w:t>
            </w:r>
          </w:p>
        </w:tc>
        <w:tc>
          <w:tcPr>
            <w:tcW w:w="6695" w:type="dxa"/>
            <w:tcBorders>
              <w:top w:val="single" w:sz="6" w:space="0" w:color="auto"/>
              <w:left w:val="nil"/>
              <w:bottom w:val="single" w:sz="12" w:space="0" w:color="000000" w:themeColor="text1"/>
              <w:right w:val="nil"/>
            </w:tcBorders>
            <w:vAlign w:val="bottom"/>
            <w:hideMark/>
          </w:tcPr>
          <w:p w14:paraId="50792B1B" w14:textId="77777777" w:rsidR="00736F61" w:rsidRPr="00B437B8" w:rsidRDefault="00736F61" w:rsidP="003F224E">
            <w:pPr>
              <w:spacing w:after="0"/>
              <w:jc w:val="both"/>
              <w:rPr>
                <w:rFonts w:eastAsia="Times New Roman"/>
                <w:color w:val="000000" w:themeColor="text1"/>
                <w:sz w:val="20"/>
                <w:szCs w:val="20"/>
              </w:rPr>
            </w:pPr>
            <w:r w:rsidRPr="00B437B8">
              <w:rPr>
                <w:rFonts w:eastAsia="Times New Roman"/>
                <w:color w:val="000000" w:themeColor="text1"/>
                <w:sz w:val="20"/>
                <w:szCs w:val="20"/>
              </w:rPr>
              <w:t>The final step involved integrating themes into a coherent analytical narrative that explains how symbolic compliance and structural vulnerabilities manifest in CMS practices.</w:t>
            </w:r>
          </w:p>
        </w:tc>
      </w:tr>
    </w:tbl>
    <w:p w14:paraId="2C145B60" w14:textId="77777777" w:rsidR="00736F61" w:rsidRPr="00CC1FC3" w:rsidRDefault="00736F61" w:rsidP="00736F61">
      <w:pPr>
        <w:spacing w:line="480" w:lineRule="auto"/>
        <w:ind w:firstLine="720"/>
        <w:jc w:val="both"/>
        <w:rPr>
          <w:color w:val="auto"/>
        </w:rPr>
      </w:pPr>
      <w:r w:rsidRPr="00CC1FC3">
        <w:rPr>
          <w:color w:val="auto"/>
        </w:rPr>
        <w:t xml:space="preserve"> </w:t>
      </w:r>
      <w:r w:rsidRPr="00CC1FC3">
        <w:rPr>
          <w:b/>
          <w:bCs/>
          <w:color w:val="auto"/>
          <w:highlight w:val="yellow"/>
        </w:rPr>
        <w:t>Source:</w:t>
      </w:r>
      <w:r w:rsidRPr="00CC1FC3">
        <w:rPr>
          <w:color w:val="auto"/>
          <w:highlight w:val="yellow"/>
        </w:rPr>
        <w:t xml:space="preserve"> </w:t>
      </w:r>
      <w:sdt>
        <w:sdtPr>
          <w:rPr>
            <w:highlight w:val="yellow"/>
          </w:rPr>
          <w:tag w:val="MENDELEY_CITATION_v3_eyJjaXRhdGlvbklEIjoiTUVOREVMRVlfQ0lUQVRJT05fNzRiNTg1YzItNDRjYy00MzM3LWI4ZDItNzBiMDQyZTBiNWQyIiwicHJvcGVydGllcyI6eyJub3RlSW5kZXgiOjB9LCJpc0VkaXRlZCI6ZmFsc2UsIm1hbnVhbE92ZXJyaWRlIjp7ImlzTWFudWFsbHlPdmVycmlkZGVuIjp0cnVlLCJjaXRlcHJvY1RleHQiOiIoTXV0aHV0aGFudHJpZ2UgPGk+ZXQgYWwuPC9pPiwgMjAyNikiLCJtYW51YWxPdmVycmlkZVRleHQiOiJNdXRodXRoYW50cmlnZSBldCBhbCAoMjAyNiwgcCk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204834461"/>
          <w:placeholder>
            <w:docPart w:val="596A31D387954522A48FAAA3B8AE4E68"/>
          </w:placeholder>
        </w:sdtPr>
        <w:sdtEndPr/>
        <w:sdtContent>
          <w:r w:rsidRPr="00A73C12">
            <w:rPr>
              <w:highlight w:val="yellow"/>
            </w:rPr>
            <w:t>Muthuthantrige et al (2026, p)</w:t>
          </w:r>
        </w:sdtContent>
      </w:sdt>
    </w:p>
    <w:p w14:paraId="24022C3F" w14:textId="77777777" w:rsidR="00736F61" w:rsidRPr="00CC1FC3" w:rsidRDefault="00736F61" w:rsidP="00736F61">
      <w:pPr>
        <w:spacing w:line="480" w:lineRule="auto"/>
        <w:ind w:firstLine="720"/>
        <w:jc w:val="both"/>
        <w:rPr>
          <w:color w:val="auto"/>
        </w:rPr>
      </w:pPr>
      <w:r w:rsidRPr="00CC1FC3">
        <w:rPr>
          <w:color w:val="auto"/>
        </w:rPr>
        <w:t xml:space="preserve">Deductive codes were derived from international frameworks—including ILO forced labour indicators, the forced-labour continuum </w:t>
      </w:r>
      <w:sdt>
        <w:sdtPr>
          <w:tag w:val="MENDELEY_CITATION_v3_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"/>
          <w:id w:val="716321039"/>
          <w:placeholder>
            <w:docPart w:val="E078718D63164D2A84391ECF809FDCA1"/>
          </w:placeholder>
        </w:sdtPr>
        <w:sdtEndPr/>
        <w:sdtContent>
          <w:r w:rsidRPr="00A73C12">
            <w:rPr>
              <w:rFonts w:eastAsia="Times New Roman"/>
            </w:rPr>
            <w:t xml:space="preserve">(Lewis </w:t>
          </w:r>
          <w:r w:rsidRPr="00A73C12">
            <w:rPr>
              <w:rFonts w:eastAsia="Times New Roman"/>
              <w:i/>
              <w:iCs/>
            </w:rPr>
            <w:t>et al.</w:t>
          </w:r>
          <w:r w:rsidRPr="00A73C12">
            <w:rPr>
              <w:rFonts w:eastAsia="Times New Roman"/>
            </w:rPr>
            <w:t>, 2015; Skrivankova, 2010)</w:t>
          </w:r>
        </w:sdtContent>
      </w:sdt>
      <w:r w:rsidRPr="00CC1FC3">
        <w:rPr>
          <w:color w:val="auto"/>
        </w:rPr>
        <w:t xml:space="preserve">, and NIT constructs such as coercive pressures, institutional decoupling, and symbolic compliance—while inductive codes emerged organically from worker testimonies highlighting wage dependency, harassment, unsafe conditions, subcontracting opacity, and audit manipulation. Coding was conducted using NVivo 12, with iterative refinement facilitated by peer debriefing and code comparison to enhance reliability. As noted in the </w:t>
      </w:r>
      <w:r w:rsidRPr="00CC1FC3">
        <w:t>study by Muthuthantrige et al. (2026), the analysis triangulated interview data with NGO reports, media investigations, and corporate disclosures, enabling cross-validation and the identification of contradictions between policy rhetoric and workers' experiences</w:t>
      </w:r>
      <w:r w:rsidRPr="00CC1FC3">
        <w:rPr>
          <w:color w:val="auto"/>
        </w:rPr>
        <w:t>. Reflexive memo-writing was employed throughout to surface researchers' assumptions and maintain analytical transparency, culminating in the development of cohesive themes that directly address the study’s research questions.</w:t>
      </w:r>
    </w:p>
    <w:p w14:paraId="02683379" w14:textId="77777777" w:rsidR="00736F61" w:rsidRPr="00CC1FC3" w:rsidRDefault="00736F61" w:rsidP="00736F61">
      <w:pPr>
        <w:pStyle w:val="Heading4"/>
      </w:pPr>
      <w:r w:rsidRPr="00CC1FC3">
        <w:t>5.5.2.2 Questionnaire</w:t>
      </w:r>
      <w:bookmarkEnd w:id="194"/>
    </w:p>
    <w:p w14:paraId="728B607A" w14:textId="77777777" w:rsidR="00736F61" w:rsidRPr="001B4F7C" w:rsidRDefault="00736F61" w:rsidP="00736F61">
      <w:pPr>
        <w:pStyle w:val="Heading5"/>
        <w:spacing w:line="480" w:lineRule="auto"/>
        <w:rPr>
          <w:rFonts w:eastAsia="Times New Roman" w:cs="Times New Roman"/>
          <w:lang w:eastAsia="en-GB"/>
        </w:rPr>
      </w:pPr>
      <w:bookmarkStart w:id="207" w:name="_Toc220848405"/>
      <w:r w:rsidRPr="00CC1FC3">
        <w:rPr>
          <w:rFonts w:cs="Times New Roman"/>
        </w:rPr>
        <w:t>5.5.2.2.</w:t>
      </w:r>
      <w:r w:rsidRPr="001B4F7C">
        <w:rPr>
          <w:rFonts w:cs="Times New Roman"/>
        </w:rPr>
        <w:t>1 Research Sample and Data Collection</w:t>
      </w:r>
      <w:bookmarkEnd w:id="207"/>
    </w:p>
    <w:p w14:paraId="68011903" w14:textId="77777777" w:rsidR="00736F61" w:rsidRPr="00CC1FC3" w:rsidRDefault="00736F61" w:rsidP="00736F61">
      <w:pPr>
        <w:spacing w:after="0" w:line="480" w:lineRule="auto"/>
        <w:ind w:firstLine="720"/>
        <w:jc w:val="both"/>
        <w:rPr>
          <w:rFonts w:eastAsia="Times New Roman"/>
          <w:color w:val="auto"/>
        </w:rPr>
      </w:pPr>
      <w:r w:rsidRPr="001B4F7C">
        <w:rPr>
          <w:rFonts w:eastAsia="Times New Roman"/>
          <w:color w:val="auto"/>
        </w:rPr>
        <w:t xml:space="preserve">After receiving ethical approval from the university, we distributed 123 copies of the questionnaire, accompanied by a cover letter, in January 2024 to different tiers of ground-level </w:t>
      </w:r>
      <w:r w:rsidRPr="001B4F7C">
        <w:rPr>
          <w:color w:val="auto"/>
        </w:rPr>
        <w:lastRenderedPageBreak/>
        <w:t>A&amp;TI</w:t>
      </w:r>
      <w:r w:rsidRPr="001B4F7C">
        <w:rPr>
          <w:rStyle w:val="Strong"/>
          <w:color w:val="auto"/>
        </w:rPr>
        <w:t xml:space="preserve"> </w:t>
      </w:r>
      <w:r w:rsidRPr="001B4F7C">
        <w:rPr>
          <w:rFonts w:eastAsia="Times New Roman"/>
          <w:color w:val="auto"/>
        </w:rPr>
        <w:t>industry workers spread around the Katunayake FTZ and suburbs through the support of a non-government organisation and by visiting their boarding houses. Over six weeks, 105 questionnaires</w:t>
      </w:r>
      <w:r w:rsidRPr="00CC1FC3">
        <w:rPr>
          <w:rFonts w:eastAsia="Times New Roman"/>
          <w:color w:val="auto"/>
        </w:rPr>
        <w:t xml:space="preserve"> were returned with a response rate of 85 per cent. These participants were selected from various factories within the FTZ and export-oriented factories of different scales. This diverse sample ensures a comprehensive representation of the industry’s ground-level workforce across different tiers, including subcontractors, providing insights into their living and working conditions, working hours, and corporate culture, as well as the impact of factory size and location within the key manufacturing hub of Sri Lanka. The designed questionnaire consists of 29 questions, including details about the respondent’s profile. </w:t>
      </w:r>
    </w:p>
    <w:p w14:paraId="0D298034" w14:textId="77777777" w:rsidR="00736F61" w:rsidRPr="00CC1FC3" w:rsidRDefault="00736F61" w:rsidP="00736F61">
      <w:pPr>
        <w:spacing w:line="480" w:lineRule="auto"/>
        <w:ind w:firstLine="720"/>
        <w:jc w:val="both"/>
        <w:rPr>
          <w:rFonts w:eastAsia="Times New Roman"/>
          <w:color w:val="auto"/>
        </w:rPr>
      </w:pPr>
      <w:r w:rsidRPr="00CC1FC3">
        <w:rPr>
          <w:color w:val="auto"/>
        </w:rPr>
        <w:t xml:space="preserve">To ensure the </w:t>
      </w:r>
      <w:r w:rsidRPr="00CC1FC3">
        <w:rPr>
          <w:rStyle w:val="Strong"/>
          <w:b w:val="0"/>
          <w:bCs w:val="0"/>
          <w:color w:val="auto"/>
        </w:rPr>
        <w:t>validity and reliability</w:t>
      </w:r>
      <w:r w:rsidRPr="00CC1FC3">
        <w:rPr>
          <w:color w:val="auto"/>
        </w:rPr>
        <w:t xml:space="preserve"> of the questionnaire instrument, all items were developed based on established constructs in labour standards assessment literature, with a particular focus on working conditions in global supply chains (LeBaron &amp; Lister, 2021; Mezzadri, 2017). Content validity was reinforced through expert review involving labour scholars and practitioners in the Sri Lankan garment sector. Moreover, the self-reported nature of the data introduces potential biases, particularly under conditions of surveillance or precarity; these were mitigated by ensuring respondent anonymity and using neutral, non-leading language in questionnaire administration.</w:t>
      </w:r>
    </w:p>
    <w:p w14:paraId="0C2804E3" w14:textId="77777777" w:rsidR="00736F61" w:rsidRPr="00CC1FC3" w:rsidRDefault="00736F61" w:rsidP="00736F61">
      <w:pPr>
        <w:spacing w:line="480" w:lineRule="auto"/>
        <w:ind w:firstLine="720"/>
        <w:jc w:val="both"/>
        <w:rPr>
          <w:color w:val="auto"/>
        </w:rPr>
      </w:pPr>
      <w:r w:rsidRPr="00CC1FC3">
        <w:rPr>
          <w:color w:val="auto"/>
        </w:rPr>
        <w:t>A pilot test was conducted with a small cohort of workers (</w:t>
      </w:r>
      <w:r w:rsidRPr="00CC1FC3">
        <w:rPr>
          <w:rStyle w:val="Strong"/>
          <w:b w:val="0"/>
          <w:bCs w:val="0"/>
          <w:color w:val="auto"/>
        </w:rPr>
        <w:t>n = 10</w:t>
      </w:r>
      <w:r w:rsidRPr="00CC1FC3">
        <w:rPr>
          <w:color w:val="auto"/>
        </w:rPr>
        <w:t xml:space="preserve">), resulting in minor revisions to enhance clarity and contextual relevance. Internal consistency reliability for the finalised questionnaire was found to be acceptable, with </w:t>
      </w:r>
      <w:r w:rsidRPr="00CC1FC3">
        <w:rPr>
          <w:rStyle w:val="Strong"/>
          <w:b w:val="0"/>
          <w:bCs w:val="0"/>
          <w:color w:val="auto"/>
        </w:rPr>
        <w:t>Cronbach’s Alpha values exceeding 0.70 across all thematic clusters</w:t>
      </w:r>
      <w:r w:rsidRPr="00CC1FC3">
        <w:rPr>
          <w:color w:val="auto"/>
        </w:rPr>
        <w:t xml:space="preserve"> </w:t>
      </w:r>
      <w:sdt>
        <w:sdtPr>
          <w:tag w:val="MENDELEY_CITATION_v3_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"/>
          <w:id w:val="-1370911886"/>
          <w:placeholder>
            <w:docPart w:val="B59E1D2DCD3940A995652A6B321C0C95"/>
          </w:placeholder>
        </w:sdtPr>
        <w:sdtEndPr>
          <w:rPr>
            <w:rFonts w:eastAsia="Times New Roman"/>
          </w:rPr>
        </w:sdtEndPr>
        <w:sdtContent>
          <w:r w:rsidRPr="00A73C12">
            <w:rPr>
              <w:rFonts w:eastAsia="Times New Roman"/>
            </w:rPr>
            <w:t>(Wei et al., 2010).</w:t>
          </w:r>
        </w:sdtContent>
      </w:sdt>
      <w:r w:rsidRPr="00CC1FC3">
        <w:rPr>
          <w:color w:val="auto"/>
        </w:rPr>
        <w:t xml:space="preserve"> The reliability analysis demonstrated strong internal consistency within the identified domains</w:t>
      </w:r>
      <w:r w:rsidRPr="00CC1FC3">
        <w:rPr>
          <w:b/>
          <w:bCs/>
          <w:color w:val="auto"/>
        </w:rPr>
        <w:t xml:space="preserve">. </w:t>
      </w:r>
      <w:r w:rsidRPr="00CC1FC3">
        <w:rPr>
          <w:rStyle w:val="Strong"/>
          <w:b w:val="0"/>
          <w:bCs w:val="0"/>
          <w:color w:val="auto"/>
        </w:rPr>
        <w:t>Items Q1–Q6 and Q7–Q11</w:t>
      </w:r>
      <w:r w:rsidRPr="00CC1FC3">
        <w:rPr>
          <w:b/>
          <w:bCs/>
          <w:color w:val="auto"/>
        </w:rPr>
        <w:t>,</w:t>
      </w:r>
      <w:r w:rsidRPr="00CC1FC3">
        <w:rPr>
          <w:color w:val="auto"/>
        </w:rPr>
        <w:t xml:space="preserve"> which collectively assess </w:t>
      </w:r>
      <w:r w:rsidRPr="00CC1FC3">
        <w:rPr>
          <w:rStyle w:val="Emphasis"/>
          <w:i w:val="0"/>
          <w:iCs w:val="0"/>
          <w:color w:val="auto"/>
        </w:rPr>
        <w:t>living and working conditions</w:t>
      </w:r>
      <w:r w:rsidRPr="00CC1FC3">
        <w:rPr>
          <w:color w:val="auto"/>
        </w:rPr>
        <w:t xml:space="preserve">, yielded </w:t>
      </w:r>
      <w:r w:rsidRPr="00CC1FC3">
        <w:rPr>
          <w:rStyle w:val="Strong"/>
          <w:b w:val="0"/>
          <w:bCs w:val="0"/>
          <w:color w:val="auto"/>
        </w:rPr>
        <w:t>Cronbach’s Alpha values of 0.96 and 0.72</w:t>
      </w:r>
      <w:r w:rsidRPr="00CC1FC3">
        <w:rPr>
          <w:color w:val="auto"/>
        </w:rPr>
        <w:t xml:space="preserve">, respectively, indicating excellent and acceptable reliability. The </w:t>
      </w:r>
      <w:r w:rsidRPr="00CC1FC3">
        <w:rPr>
          <w:rStyle w:val="Emphasis"/>
          <w:i w:val="0"/>
          <w:iCs w:val="0"/>
          <w:color w:val="auto"/>
        </w:rPr>
        <w:t>working hours and wages</w:t>
      </w:r>
      <w:r w:rsidRPr="00CC1FC3">
        <w:rPr>
          <w:color w:val="auto"/>
        </w:rPr>
        <w:t xml:space="preserve"> section, comprising </w:t>
      </w:r>
      <w:r w:rsidRPr="00CC1FC3">
        <w:rPr>
          <w:rStyle w:val="Strong"/>
          <w:b w:val="0"/>
          <w:bCs w:val="0"/>
          <w:color w:val="auto"/>
        </w:rPr>
        <w:t>items Q13–Q17</w:t>
      </w:r>
      <w:r w:rsidRPr="00CC1FC3">
        <w:rPr>
          <w:color w:val="auto"/>
        </w:rPr>
        <w:t xml:space="preserve">, achieved an </w:t>
      </w:r>
      <w:r w:rsidRPr="00CC1FC3">
        <w:rPr>
          <w:rStyle w:val="Strong"/>
          <w:b w:val="0"/>
          <w:bCs w:val="0"/>
          <w:color w:val="auto"/>
        </w:rPr>
        <w:t>Alpha of 0.76</w:t>
      </w:r>
      <w:r w:rsidRPr="00CC1FC3">
        <w:rPr>
          <w:b/>
          <w:bCs/>
          <w:color w:val="auto"/>
        </w:rPr>
        <w:t>,</w:t>
      </w:r>
      <w:r w:rsidRPr="00CC1FC3">
        <w:rPr>
          <w:color w:val="auto"/>
        </w:rPr>
        <w:t xml:space="preserve"> reflecting moderate </w:t>
      </w:r>
      <w:r w:rsidRPr="00CC1FC3">
        <w:rPr>
          <w:color w:val="auto"/>
        </w:rPr>
        <w:lastRenderedPageBreak/>
        <w:t xml:space="preserve">internal consistency. Finally, the </w:t>
      </w:r>
      <w:r w:rsidRPr="00CC1FC3">
        <w:rPr>
          <w:rStyle w:val="Emphasis"/>
          <w:i w:val="0"/>
          <w:iCs w:val="0"/>
          <w:color w:val="auto"/>
        </w:rPr>
        <w:t>corporate culture</w:t>
      </w:r>
      <w:r w:rsidRPr="00CC1FC3">
        <w:rPr>
          <w:color w:val="auto"/>
        </w:rPr>
        <w:t xml:space="preserve"> domain, represented by </w:t>
      </w:r>
      <w:r w:rsidRPr="00CC1FC3">
        <w:rPr>
          <w:rStyle w:val="Strong"/>
          <w:b w:val="0"/>
          <w:bCs w:val="0"/>
          <w:color w:val="auto"/>
        </w:rPr>
        <w:t>items Q19–Q29</w:t>
      </w:r>
      <w:r w:rsidRPr="00CC1FC3">
        <w:rPr>
          <w:color w:val="auto"/>
        </w:rPr>
        <w:t xml:space="preserve">, showed good internal reliability with a </w:t>
      </w:r>
      <w:r w:rsidRPr="00CC1FC3">
        <w:rPr>
          <w:rStyle w:val="Strong"/>
          <w:b w:val="0"/>
          <w:bCs w:val="0"/>
          <w:color w:val="auto"/>
        </w:rPr>
        <w:t>Cronbach’s Alpha of 0.81</w:t>
      </w:r>
      <w:r w:rsidRPr="00CC1FC3">
        <w:rPr>
          <w:b/>
          <w:bCs/>
          <w:color w:val="auto"/>
        </w:rPr>
        <w:t xml:space="preserve">. </w:t>
      </w:r>
      <w:r w:rsidRPr="00CC1FC3">
        <w:rPr>
          <w:rStyle w:val="Strong"/>
          <w:b w:val="0"/>
          <w:bCs w:val="0"/>
          <w:color w:val="auto"/>
        </w:rPr>
        <w:t>Items Q12 and Q18</w:t>
      </w:r>
      <w:r w:rsidRPr="00CC1FC3">
        <w:rPr>
          <w:color w:val="auto"/>
        </w:rPr>
        <w:t xml:space="preserve"> were excluded from the reliability calculations due to low variance in the data.</w:t>
      </w:r>
    </w:p>
    <w:p w14:paraId="76504291" w14:textId="77777777" w:rsidR="00736F61" w:rsidRPr="001B4F7C" w:rsidRDefault="00736F61" w:rsidP="00736F61">
      <w:pPr>
        <w:pStyle w:val="Heading5"/>
        <w:spacing w:line="480" w:lineRule="auto"/>
        <w:rPr>
          <w:rFonts w:cs="Times New Roman"/>
        </w:rPr>
      </w:pPr>
      <w:bookmarkStart w:id="208" w:name="_Toc220848406"/>
      <w:r w:rsidRPr="001B4F7C">
        <w:rPr>
          <w:rFonts w:cs="Times New Roman"/>
        </w:rPr>
        <w:t>5.5.2.2.2 Personal Profiles of the Respondents</w:t>
      </w:r>
      <w:bookmarkEnd w:id="195"/>
      <w:bookmarkEnd w:id="208"/>
    </w:p>
    <w:p w14:paraId="0016A72C" w14:textId="77777777" w:rsidR="00736F61" w:rsidRPr="001B4F7C" w:rsidRDefault="00736F61" w:rsidP="00736F61">
      <w:pPr>
        <w:spacing w:line="480" w:lineRule="auto"/>
        <w:jc w:val="both"/>
        <w:rPr>
          <w:color w:val="FF0000"/>
        </w:rPr>
      </w:pPr>
      <w:r w:rsidRPr="001B4F7C">
        <w:t xml:space="preserve">The demographic information analysis of the questionnaire, as detailed in Table </w:t>
      </w:r>
      <w:r>
        <w:t>5.18</w:t>
      </w:r>
      <w:r w:rsidRPr="001B4F7C">
        <w:t xml:space="preserve">, encompassed 105 participants (ground-level workers), with a notable gender disparity: 86 females (82%) and 19 males (18%). This gender imbalance reflects the high proportion of women employed in Sri Lanka's T&amp;AI, which aligns with the literature of 78% representing women's force in Sri Lanka in T&amp;AL </w:t>
      </w:r>
      <w:sdt>
        <w:sdtPr>
          <w:tag w:val="MENDELEY_CITATION_v3_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"/>
          <w:id w:val="-629558980"/>
          <w:placeholder>
            <w:docPart w:val="7CF44815C9EE4E1CB258F598537DBBE4"/>
          </w:placeholder>
        </w:sdtPr>
        <w:sdtEndPr/>
        <w:sdtContent>
          <w:r w:rsidRPr="00A73C12">
            <w:t>(Development Asia Initiative of Asian Development Bank, 2020)</w:t>
          </w:r>
        </w:sdtContent>
      </w:sdt>
      <w:r w:rsidRPr="001B4F7C">
        <w:t xml:space="preserve">. The age distribution of respondents indicates an experienced workforce, with the majority falling into the 25–45 age range. Specifically, 31 participants were aged 25–35 years, and 27 were aged 35–45 years, highlighting a mature workforce. This gender concentration in the industry reflects a broader trend in the Global South, where low-skill, labour-intensive sectors like apparel often employ a high proportion of women due to gendered labour market dynamics  </w:t>
      </w:r>
      <w:sdt>
        <w:sdtPr>
          <w:tag w:val="MENDELEY_CITATION_v3_eyJjaXRhdGlvbklEIjoiTUVOREVMRVlfQ0lUQVRJT05fMjU5OWIwMTQtMWExNy00MjMzLWJlNWUtYTM3OGExMzg4ZjdhIiwicHJvcGVydGllcyI6eyJub3RlSW5kZXgiOjB9LCJpc0VkaXRlZCI6ZmFsc2UsIm1hbnVhbE92ZXJyaWRlIjp7ImlzTWFudWFsbHlPdmVycmlkZGVuIjpmYWxzZSwiY2l0ZXByb2NUZXh0IjoiKEFraHRlciA8aT5ldCBhbC48L2k+LCAyMDE5OyBJc2xhbSA8aT5ldCBhbC48L2k+LCAyMDIyKSIsIm1hbnVhbE92ZXJyaWRlVGV4dCI6Ii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"/>
          <w:id w:val="1360393598"/>
          <w:placeholder>
            <w:docPart w:val="7CF44815C9EE4E1CB258F598537DBBE4"/>
          </w:placeholder>
        </w:sdtPr>
        <w:sdtEndPr/>
        <w:sdtContent>
          <w:r w:rsidRPr="00A73C12">
            <w:rPr>
              <w:rFonts w:eastAsia="Times New Roman"/>
            </w:rPr>
            <w:t xml:space="preserve">(Akhter </w:t>
          </w:r>
          <w:r w:rsidRPr="00A73C12">
            <w:rPr>
              <w:rFonts w:eastAsia="Times New Roman"/>
              <w:i/>
              <w:iCs/>
            </w:rPr>
            <w:t>et al.</w:t>
          </w:r>
          <w:r w:rsidRPr="00A73C12">
            <w:rPr>
              <w:rFonts w:eastAsia="Times New Roman"/>
            </w:rPr>
            <w:t xml:space="preserve">, 2019; Islam </w:t>
          </w:r>
          <w:r w:rsidRPr="00A73C12">
            <w:rPr>
              <w:rFonts w:eastAsia="Times New Roman"/>
              <w:i/>
              <w:iCs/>
            </w:rPr>
            <w:t>et al.</w:t>
          </w:r>
          <w:r w:rsidRPr="00A73C12">
            <w:rPr>
              <w:rFonts w:eastAsia="Times New Roman"/>
            </w:rPr>
            <w:t>, 2022)</w:t>
          </w:r>
        </w:sdtContent>
      </w:sdt>
      <w:r w:rsidRPr="001B4F7C">
        <w:t>.</w:t>
      </w:r>
    </w:p>
    <w:p w14:paraId="0017E515" w14:textId="77777777" w:rsidR="00736F61" w:rsidRPr="00CC1FC3" w:rsidRDefault="00736F61" w:rsidP="00736F61">
      <w:pPr>
        <w:spacing w:line="480" w:lineRule="auto"/>
        <w:ind w:firstLine="720"/>
        <w:jc w:val="both"/>
        <w:rPr>
          <w:color w:val="FF0000"/>
          <w:highlight w:val="yellow"/>
        </w:rPr>
      </w:pPr>
      <w:r w:rsidRPr="00CC1FC3">
        <w:rPr>
          <w:highlight w:val="yellow"/>
        </w:rPr>
        <w:t xml:space="preserve">The educational qualifications of the participants paint a hidden picture, as a significant proportion of respondents hold GCSE Ordinary Level qualifications, with 52 participants (49%). </w:t>
      </w:r>
      <w:r w:rsidRPr="00CC1FC3">
        <w:rPr>
          <w:color w:val="FF0000"/>
          <w:highlight w:val="yellow"/>
        </w:rPr>
        <w:t xml:space="preserve">Fewer respondents have GCSE Advanced Level qualifications (27%) or higher education degrees (2%), suggesting that most workers possess a foundational level of education but limited advanced qualifications. This educational profile may influence job roles and career progression within the industry. Even though </w:t>
      </w:r>
      <w:proofErr w:type="gramStart"/>
      <w:r w:rsidRPr="00CC1FC3">
        <w:rPr>
          <w:color w:val="FF0000"/>
          <w:highlight w:val="yellow"/>
        </w:rPr>
        <w:t>the majority of</w:t>
      </w:r>
      <w:proofErr w:type="gramEnd"/>
      <w:r w:rsidRPr="00CC1FC3">
        <w:rPr>
          <w:color w:val="FF0000"/>
          <w:highlight w:val="yellow"/>
        </w:rPr>
        <w:t xml:space="preserve"> workers in the study have GCSE qualifications or higher, this does not necessarily translate into better job opportunities or career advancement. This phenomenon points towards economic exploitation within the industry, where workers remain confined to low-wage, labour-intensive jobs despite their relatively high literacy levels. </w:t>
      </w:r>
    </w:p>
    <w:p w14:paraId="2FBBFC8C" w14:textId="77777777" w:rsidR="00736F61" w:rsidRPr="00CC1FC3" w:rsidRDefault="002856A2" w:rsidP="00736F61">
      <w:pPr>
        <w:spacing w:line="480" w:lineRule="auto"/>
        <w:ind w:firstLine="720"/>
        <w:jc w:val="both"/>
      </w:pPr>
      <w:sdt>
        <w:sdtPr>
          <w:rPr>
            <w:highlight w:val="yellow"/>
          </w:rPr>
          <w:tag w:val="MENDELEY_CITATION_v3_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"/>
          <w:id w:val="-722439800"/>
          <w:placeholder>
            <w:docPart w:val="7CF44815C9EE4E1CB258F598537DBBE4"/>
          </w:placeholder>
        </w:sdtPr>
        <w:sdtEndPr/>
        <w:sdtContent>
          <w:r w:rsidR="00736F61" w:rsidRPr="00A73C12">
            <w:rPr>
              <w:highlight w:val="yellow"/>
            </w:rPr>
            <w:t>Standing (1999)</w:t>
          </w:r>
        </w:sdtContent>
      </w:sdt>
      <w:r w:rsidR="00736F61" w:rsidRPr="00CC1FC3">
        <w:rPr>
          <w:highlight w:val="yellow"/>
        </w:rPr>
        <w:t xml:space="preserve"> argues that global feminisation of labour tends to concentrate women in industries where their labour is undervalued, regardless of their education. This results in a form of economic exploitation where workers are not compensated in line with their skills or education level. In the case of Sri Lanka's</w:t>
      </w:r>
      <w:r w:rsidR="00736F61" w:rsidRPr="00CC1FC3">
        <w:t xml:space="preserve"> T&amp;AI, although many workers possess GCSE qualifications, the industry's labour demands do not provide pathways for leveraging those qualifications into higher-skilled or better-paid positions. Moreover, the recruitment and retirement policies stipulate that the minimum age for recruitment is 18 years, while the average retirement age is 55 years, with extensions at management's discretion </w:t>
      </w:r>
      <w:sdt>
        <w:sdtPr>
          <w:tag w:val="MENDELEY_CITATION_v3_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"/>
          <w:id w:val="-424961356"/>
          <w:placeholder>
            <w:docPart w:val="46ED275544B14D26BFDC88F6B6ABDF8C"/>
          </w:placeholder>
        </w:sdtPr>
        <w:sdtEndPr/>
        <w:sdtContent>
          <w:r w:rsidR="00736F61" w:rsidRPr="00A73C12">
            <w:t>(BOI Sri Lanka, 2004)</w:t>
          </w:r>
        </w:sdtContent>
      </w:sdt>
      <w:r w:rsidR="00736F61" w:rsidRPr="00CC1FC3">
        <w:t xml:space="preserve">. Additionally, individuals aged 16 to 18 can be employed under specific conditions: they cannot work more than 50 hours of overtime per month or during the hours of 10:00 p.m. to 6:00 a.m. </w:t>
      </w:r>
      <w:sdt>
        <w:sdtPr>
          <w:tag w:val="MENDELEY_CITATION_v3_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"/>
          <w:id w:val="902109664"/>
          <w:placeholder>
            <w:docPart w:val="2FD5AAF8397E441596535BE9BFFD3348"/>
          </w:placeholder>
        </w:sdtPr>
        <w:sdtEndPr/>
        <w:sdtContent>
          <w:r w:rsidR="00736F61" w:rsidRPr="00A73C12">
            <w:t>(BOI Sri Lanka, 2004)</w:t>
          </w:r>
        </w:sdtContent>
      </w:sdt>
      <w:r w:rsidR="00736F61" w:rsidRPr="00CC1FC3">
        <w:t>.</w:t>
      </w:r>
    </w:p>
    <w:p w14:paraId="59D4448B" w14:textId="77777777" w:rsidR="00736F61" w:rsidRPr="00CC1FC3" w:rsidRDefault="00736F61" w:rsidP="00736F61">
      <w:pPr>
        <w:spacing w:line="480" w:lineRule="auto"/>
        <w:ind w:firstLine="720"/>
        <w:jc w:val="both"/>
      </w:pPr>
      <w:r w:rsidRPr="00CC1FC3">
        <w:t>Interestingly, the questionnaire data also reveals that no respondents were under 16 or above 65 years old, aligning with legal employment age requirements and retirement norms. The responses were collected across a diverse age range, with no participants outside working age. The questionnaire analysis revealed no significant differences between the age groups, gender, and educational qualifications of the respondents, indicating a uniform distribution in these aspects across the sample. However, the high proportion of female respondents and the concentration of workers in specific age brackets are notable trends that could impact the industry's operational and managerial practices.</w:t>
      </w:r>
    </w:p>
    <w:p w14:paraId="3F5668F7" w14:textId="77777777" w:rsidR="00736F61" w:rsidRPr="00CC1FC3" w:rsidRDefault="00736F61" w:rsidP="00736F61">
      <w:pPr>
        <w:spacing w:before="240" w:line="480" w:lineRule="auto"/>
        <w:ind w:firstLine="720"/>
        <w:jc w:val="both"/>
        <w:rPr>
          <w:rFonts w:eastAsia="Times New Roman"/>
        </w:rPr>
      </w:pPr>
      <w:r w:rsidRPr="00CC1FC3">
        <w:rPr>
          <w:rFonts w:eastAsia="Times New Roman"/>
        </w:rPr>
        <w:t xml:space="preserve">For instance, the high percentage of female respondents (82%) might necessitate the introduction of policies that address gender-specific needs in the workplace. This could include implementing flexible working hours, providing childcare support, or promoting leadership programs for women. In industries where </w:t>
      </w:r>
      <w:proofErr w:type="gramStart"/>
      <w:r w:rsidRPr="00CC1FC3">
        <w:rPr>
          <w:rFonts w:eastAsia="Times New Roman"/>
        </w:rPr>
        <w:t>the majority of</w:t>
      </w:r>
      <w:proofErr w:type="gramEnd"/>
      <w:r w:rsidRPr="00CC1FC3">
        <w:rPr>
          <w:rFonts w:eastAsia="Times New Roman"/>
        </w:rPr>
        <w:t xml:space="preserve"> the workforce is female, companies often prioritise family-friendly initiatives (e.g., maternity leave, flexible scheduling, and healthcare benefits tailored for a predominantly female workforce) to enhance employee </w:t>
      </w:r>
      <w:r w:rsidRPr="00CC1FC3">
        <w:rPr>
          <w:rFonts w:eastAsia="Times New Roman"/>
        </w:rPr>
        <w:lastRenderedPageBreak/>
        <w:t>retention and productivity. Additionally, the concentration of workers in the 25-55 age group suggests that most employees are in their prime working years. This age distribution could influence training programs, career development opportunities, and succession planning. For example, a company might offer upskilling initiatives for mid-career employees, preparing them for leadership roles as they progress within the organisation. This trend can also affect operational strategies, as companies may invest more in long-term employee engagement and retention strategies tailored for experienced professionals, ensuring a stable and skilled workforce.</w:t>
      </w:r>
    </w:p>
    <w:p w14:paraId="7105B36E" w14:textId="77777777" w:rsidR="00736F61" w:rsidRPr="00CC1FC3" w:rsidRDefault="00736F61" w:rsidP="00736F61">
      <w:pPr>
        <w:pStyle w:val="Caption"/>
        <w:rPr>
          <w:i/>
        </w:rPr>
      </w:pPr>
      <w:r w:rsidRPr="00AF71FC">
        <w:rPr>
          <w:b/>
          <w:bCs/>
        </w:rPr>
        <w:t xml:space="preserve">Table 5.18: </w:t>
      </w:r>
      <w:r w:rsidRPr="00CC1FC3">
        <w:t>Personal profile of the respondent</w:t>
      </w:r>
    </w:p>
    <w:tbl>
      <w:tblPr>
        <w:tblStyle w:val="TableGrid"/>
        <w:tblW w:w="9214" w:type="dxa"/>
        <w:tblLook w:val="04A0" w:firstRow="1" w:lastRow="0" w:firstColumn="1" w:lastColumn="0" w:noHBand="0" w:noVBand="1"/>
      </w:tblPr>
      <w:tblGrid>
        <w:gridCol w:w="1292"/>
        <w:gridCol w:w="3670"/>
        <w:gridCol w:w="1559"/>
        <w:gridCol w:w="1417"/>
        <w:gridCol w:w="1276"/>
      </w:tblGrid>
      <w:tr w:rsidR="00736F61" w:rsidRPr="00CC1FC3" w14:paraId="0C7D8A1F" w14:textId="77777777" w:rsidTr="00621211">
        <w:trPr>
          <w:trHeight w:val="305"/>
        </w:trPr>
        <w:tc>
          <w:tcPr>
            <w:tcW w:w="1292" w:type="dxa"/>
            <w:tcBorders>
              <w:top w:val="single" w:sz="4" w:space="0" w:color="auto"/>
              <w:bottom w:val="single" w:sz="4" w:space="0" w:color="auto"/>
            </w:tcBorders>
            <w:noWrap/>
            <w:hideMark/>
          </w:tcPr>
          <w:p w14:paraId="02C16BCA" w14:textId="77777777" w:rsidR="00736F61" w:rsidRPr="00CC1FC3" w:rsidRDefault="00736F61" w:rsidP="003F224E">
            <w:pPr>
              <w:spacing w:line="360" w:lineRule="auto"/>
              <w:jc w:val="both"/>
              <w:rPr>
                <w:rFonts w:eastAsia="Times New Roman"/>
                <w:b/>
                <w:bCs/>
                <w:sz w:val="22"/>
                <w:szCs w:val="22"/>
                <w:lang w:eastAsia="en-GB"/>
              </w:rPr>
            </w:pPr>
            <w:r w:rsidRPr="00CC1FC3">
              <w:rPr>
                <w:rFonts w:eastAsia="Times New Roman"/>
                <w:b/>
                <w:bCs/>
                <w:sz w:val="22"/>
                <w:szCs w:val="22"/>
                <w:lang w:eastAsia="en-GB"/>
              </w:rPr>
              <w:t>Category</w:t>
            </w:r>
          </w:p>
        </w:tc>
        <w:tc>
          <w:tcPr>
            <w:tcW w:w="3670" w:type="dxa"/>
            <w:tcBorders>
              <w:top w:val="single" w:sz="4" w:space="0" w:color="auto"/>
              <w:bottom w:val="single" w:sz="4" w:space="0" w:color="auto"/>
            </w:tcBorders>
            <w:noWrap/>
            <w:hideMark/>
          </w:tcPr>
          <w:p w14:paraId="5150DC5B" w14:textId="77777777" w:rsidR="00736F61" w:rsidRPr="00CC1FC3" w:rsidRDefault="00736F61" w:rsidP="003F224E">
            <w:pPr>
              <w:spacing w:line="360" w:lineRule="auto"/>
              <w:jc w:val="both"/>
              <w:rPr>
                <w:rFonts w:eastAsia="Times New Roman"/>
                <w:b/>
                <w:bCs/>
                <w:sz w:val="22"/>
                <w:szCs w:val="22"/>
                <w:lang w:eastAsia="en-GB"/>
              </w:rPr>
            </w:pPr>
            <w:r w:rsidRPr="00CC1FC3">
              <w:rPr>
                <w:rFonts w:eastAsia="Times New Roman"/>
                <w:b/>
                <w:bCs/>
                <w:sz w:val="22"/>
                <w:szCs w:val="22"/>
                <w:lang w:eastAsia="en-GB"/>
              </w:rPr>
              <w:t>Sub-category</w:t>
            </w:r>
          </w:p>
        </w:tc>
        <w:tc>
          <w:tcPr>
            <w:tcW w:w="1559" w:type="dxa"/>
            <w:tcBorders>
              <w:top w:val="single" w:sz="4" w:space="0" w:color="auto"/>
              <w:bottom w:val="single" w:sz="4" w:space="0" w:color="auto"/>
            </w:tcBorders>
            <w:noWrap/>
            <w:hideMark/>
          </w:tcPr>
          <w:p w14:paraId="26225CD7" w14:textId="77777777" w:rsidR="00736F61" w:rsidRPr="00CC1FC3" w:rsidRDefault="00736F61" w:rsidP="003F224E">
            <w:pPr>
              <w:spacing w:line="360" w:lineRule="auto"/>
              <w:jc w:val="both"/>
              <w:rPr>
                <w:rFonts w:eastAsia="Times New Roman"/>
                <w:b/>
                <w:bCs/>
                <w:sz w:val="22"/>
                <w:szCs w:val="22"/>
                <w:lang w:eastAsia="en-GB"/>
              </w:rPr>
            </w:pPr>
            <w:r w:rsidRPr="00CC1FC3">
              <w:rPr>
                <w:rFonts w:eastAsia="Times New Roman"/>
                <w:b/>
                <w:bCs/>
                <w:sz w:val="22"/>
                <w:szCs w:val="22"/>
                <w:lang w:eastAsia="en-GB"/>
              </w:rPr>
              <w:t xml:space="preserve">Male (%) </w:t>
            </w:r>
          </w:p>
          <w:p w14:paraId="0F505D0E" w14:textId="77777777" w:rsidR="00736F61" w:rsidRPr="00CC1FC3" w:rsidRDefault="00736F61" w:rsidP="003F224E">
            <w:pPr>
              <w:spacing w:line="360" w:lineRule="auto"/>
              <w:jc w:val="both"/>
              <w:rPr>
                <w:rFonts w:eastAsia="Times New Roman"/>
                <w:b/>
                <w:bCs/>
                <w:sz w:val="22"/>
                <w:szCs w:val="22"/>
                <w:lang w:eastAsia="en-GB"/>
              </w:rPr>
            </w:pPr>
            <w:r w:rsidRPr="00CC1FC3">
              <w:rPr>
                <w:rFonts w:eastAsia="Times New Roman"/>
                <w:b/>
                <w:bCs/>
                <w:sz w:val="22"/>
                <w:szCs w:val="22"/>
                <w:lang w:eastAsia="en-GB"/>
              </w:rPr>
              <w:t>19 (18.1)</w:t>
            </w:r>
          </w:p>
        </w:tc>
        <w:tc>
          <w:tcPr>
            <w:tcW w:w="1417" w:type="dxa"/>
            <w:tcBorders>
              <w:top w:val="single" w:sz="4" w:space="0" w:color="auto"/>
              <w:bottom w:val="single" w:sz="4" w:space="0" w:color="auto"/>
            </w:tcBorders>
            <w:noWrap/>
            <w:hideMark/>
          </w:tcPr>
          <w:p w14:paraId="190E975D" w14:textId="77777777" w:rsidR="00736F61" w:rsidRPr="00CC1FC3" w:rsidRDefault="00736F61" w:rsidP="003F224E">
            <w:pPr>
              <w:spacing w:line="360" w:lineRule="auto"/>
              <w:jc w:val="both"/>
              <w:rPr>
                <w:rFonts w:eastAsia="Times New Roman"/>
                <w:b/>
                <w:bCs/>
                <w:sz w:val="22"/>
                <w:szCs w:val="22"/>
                <w:lang w:eastAsia="en-GB"/>
              </w:rPr>
            </w:pPr>
            <w:r w:rsidRPr="00CC1FC3">
              <w:rPr>
                <w:rFonts w:eastAsia="Times New Roman"/>
                <w:b/>
                <w:bCs/>
                <w:sz w:val="22"/>
                <w:szCs w:val="22"/>
                <w:lang w:eastAsia="en-GB"/>
              </w:rPr>
              <w:t xml:space="preserve">Female (%) </w:t>
            </w:r>
          </w:p>
          <w:p w14:paraId="5FD183E1" w14:textId="77777777" w:rsidR="00736F61" w:rsidRPr="00CC1FC3" w:rsidRDefault="00736F61" w:rsidP="003F224E">
            <w:pPr>
              <w:spacing w:line="360" w:lineRule="auto"/>
              <w:jc w:val="both"/>
              <w:rPr>
                <w:rFonts w:eastAsia="Times New Roman"/>
                <w:b/>
                <w:bCs/>
                <w:sz w:val="22"/>
                <w:szCs w:val="22"/>
                <w:lang w:eastAsia="en-GB"/>
              </w:rPr>
            </w:pPr>
            <w:r w:rsidRPr="00CC1FC3">
              <w:rPr>
                <w:rFonts w:eastAsia="Times New Roman"/>
                <w:b/>
                <w:bCs/>
                <w:sz w:val="22"/>
                <w:szCs w:val="22"/>
                <w:lang w:eastAsia="en-GB"/>
              </w:rPr>
              <w:t>86 (81.9)</w:t>
            </w:r>
          </w:p>
        </w:tc>
        <w:tc>
          <w:tcPr>
            <w:tcW w:w="1276" w:type="dxa"/>
            <w:tcBorders>
              <w:top w:val="single" w:sz="4" w:space="0" w:color="auto"/>
              <w:bottom w:val="single" w:sz="4" w:space="0" w:color="auto"/>
            </w:tcBorders>
            <w:noWrap/>
            <w:hideMark/>
          </w:tcPr>
          <w:p w14:paraId="03BD3851" w14:textId="77777777" w:rsidR="00736F61" w:rsidRPr="00CC1FC3" w:rsidRDefault="00736F61" w:rsidP="003F224E">
            <w:pPr>
              <w:spacing w:line="360" w:lineRule="auto"/>
              <w:jc w:val="both"/>
              <w:rPr>
                <w:rFonts w:eastAsia="Times New Roman"/>
                <w:b/>
                <w:bCs/>
                <w:sz w:val="22"/>
                <w:szCs w:val="22"/>
                <w:lang w:eastAsia="en-GB"/>
              </w:rPr>
            </w:pPr>
            <w:r w:rsidRPr="00CC1FC3">
              <w:rPr>
                <w:rFonts w:eastAsia="Times New Roman"/>
                <w:b/>
                <w:bCs/>
                <w:sz w:val="22"/>
                <w:szCs w:val="22"/>
                <w:lang w:eastAsia="en-GB"/>
              </w:rPr>
              <w:t>Total (%)</w:t>
            </w:r>
          </w:p>
          <w:p w14:paraId="0D262C48" w14:textId="77777777" w:rsidR="00736F61" w:rsidRPr="00CC1FC3" w:rsidRDefault="00736F61" w:rsidP="003F224E">
            <w:pPr>
              <w:spacing w:line="360" w:lineRule="auto"/>
              <w:jc w:val="both"/>
              <w:rPr>
                <w:rFonts w:eastAsia="Times New Roman"/>
                <w:b/>
                <w:bCs/>
                <w:sz w:val="22"/>
                <w:szCs w:val="22"/>
                <w:lang w:eastAsia="en-GB"/>
              </w:rPr>
            </w:pPr>
            <w:r w:rsidRPr="00CC1FC3">
              <w:rPr>
                <w:rFonts w:eastAsia="Times New Roman"/>
                <w:b/>
                <w:bCs/>
                <w:sz w:val="22"/>
                <w:szCs w:val="22"/>
                <w:lang w:eastAsia="en-GB"/>
              </w:rPr>
              <w:t>105 (100)</w:t>
            </w:r>
          </w:p>
        </w:tc>
      </w:tr>
      <w:tr w:rsidR="00736F61" w:rsidRPr="00CC1FC3" w14:paraId="65E6AB0B" w14:textId="77777777" w:rsidTr="00621211">
        <w:trPr>
          <w:trHeight w:val="305"/>
        </w:trPr>
        <w:tc>
          <w:tcPr>
            <w:tcW w:w="1292" w:type="dxa"/>
            <w:vMerge w:val="restart"/>
            <w:noWrap/>
            <w:hideMark/>
          </w:tcPr>
          <w:p w14:paraId="47287112"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Age Group</w:t>
            </w:r>
          </w:p>
        </w:tc>
        <w:tc>
          <w:tcPr>
            <w:tcW w:w="3670" w:type="dxa"/>
            <w:noWrap/>
            <w:hideMark/>
          </w:tcPr>
          <w:p w14:paraId="7586A703"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Less than 16 years</w:t>
            </w:r>
          </w:p>
        </w:tc>
        <w:tc>
          <w:tcPr>
            <w:tcW w:w="1559" w:type="dxa"/>
            <w:noWrap/>
            <w:hideMark/>
          </w:tcPr>
          <w:p w14:paraId="49C2185F"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0 (0)</w:t>
            </w:r>
          </w:p>
        </w:tc>
        <w:tc>
          <w:tcPr>
            <w:tcW w:w="1417" w:type="dxa"/>
            <w:noWrap/>
            <w:hideMark/>
          </w:tcPr>
          <w:p w14:paraId="362DDF23"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0 (0)</w:t>
            </w:r>
          </w:p>
        </w:tc>
        <w:tc>
          <w:tcPr>
            <w:tcW w:w="1276" w:type="dxa"/>
            <w:noWrap/>
            <w:hideMark/>
          </w:tcPr>
          <w:p w14:paraId="18D60767"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0 (0)</w:t>
            </w:r>
          </w:p>
        </w:tc>
      </w:tr>
      <w:tr w:rsidR="00736F61" w:rsidRPr="00CC1FC3" w14:paraId="78156185" w14:textId="77777777" w:rsidTr="00621211">
        <w:trPr>
          <w:trHeight w:val="249"/>
        </w:trPr>
        <w:tc>
          <w:tcPr>
            <w:tcW w:w="1292" w:type="dxa"/>
            <w:vMerge/>
            <w:noWrap/>
            <w:hideMark/>
          </w:tcPr>
          <w:p w14:paraId="5D3CC0C7"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7EBC6ED3"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16-20 years</w:t>
            </w:r>
          </w:p>
        </w:tc>
        <w:tc>
          <w:tcPr>
            <w:tcW w:w="1559" w:type="dxa"/>
            <w:noWrap/>
            <w:hideMark/>
          </w:tcPr>
          <w:p w14:paraId="1DF4A15F"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 (10.5)</w:t>
            </w:r>
          </w:p>
        </w:tc>
        <w:tc>
          <w:tcPr>
            <w:tcW w:w="1417" w:type="dxa"/>
            <w:noWrap/>
            <w:hideMark/>
          </w:tcPr>
          <w:p w14:paraId="4CDF71C8"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3 (3.5)</w:t>
            </w:r>
          </w:p>
        </w:tc>
        <w:tc>
          <w:tcPr>
            <w:tcW w:w="1276" w:type="dxa"/>
            <w:noWrap/>
            <w:hideMark/>
          </w:tcPr>
          <w:p w14:paraId="331CEF4E"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5 (4.8)</w:t>
            </w:r>
          </w:p>
        </w:tc>
      </w:tr>
      <w:tr w:rsidR="00736F61" w:rsidRPr="00CC1FC3" w14:paraId="68B23A99" w14:textId="77777777" w:rsidTr="00621211">
        <w:trPr>
          <w:trHeight w:val="305"/>
        </w:trPr>
        <w:tc>
          <w:tcPr>
            <w:tcW w:w="1292" w:type="dxa"/>
            <w:vMerge/>
            <w:noWrap/>
            <w:hideMark/>
          </w:tcPr>
          <w:p w14:paraId="674B1184"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45EBEBDD"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20-25 years</w:t>
            </w:r>
          </w:p>
        </w:tc>
        <w:tc>
          <w:tcPr>
            <w:tcW w:w="1559" w:type="dxa"/>
            <w:noWrap/>
            <w:hideMark/>
          </w:tcPr>
          <w:p w14:paraId="06C4613E"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 (10.5)</w:t>
            </w:r>
          </w:p>
        </w:tc>
        <w:tc>
          <w:tcPr>
            <w:tcW w:w="1417" w:type="dxa"/>
            <w:noWrap/>
            <w:hideMark/>
          </w:tcPr>
          <w:p w14:paraId="36D346D7"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10 (11.6)</w:t>
            </w:r>
          </w:p>
        </w:tc>
        <w:tc>
          <w:tcPr>
            <w:tcW w:w="1276" w:type="dxa"/>
            <w:noWrap/>
            <w:hideMark/>
          </w:tcPr>
          <w:p w14:paraId="62516C3D"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12 (11.4)</w:t>
            </w:r>
          </w:p>
        </w:tc>
      </w:tr>
      <w:tr w:rsidR="00736F61" w:rsidRPr="00CC1FC3" w14:paraId="2F00B37C" w14:textId="77777777" w:rsidTr="00621211">
        <w:trPr>
          <w:trHeight w:val="305"/>
        </w:trPr>
        <w:tc>
          <w:tcPr>
            <w:tcW w:w="1292" w:type="dxa"/>
            <w:vMerge/>
            <w:noWrap/>
            <w:hideMark/>
          </w:tcPr>
          <w:p w14:paraId="187EE2A4"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56C96600"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25-35 years</w:t>
            </w:r>
          </w:p>
        </w:tc>
        <w:tc>
          <w:tcPr>
            <w:tcW w:w="1559" w:type="dxa"/>
            <w:noWrap/>
            <w:hideMark/>
          </w:tcPr>
          <w:p w14:paraId="075ADF3A"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6 (31.6)</w:t>
            </w:r>
          </w:p>
        </w:tc>
        <w:tc>
          <w:tcPr>
            <w:tcW w:w="1417" w:type="dxa"/>
            <w:noWrap/>
            <w:hideMark/>
          </w:tcPr>
          <w:p w14:paraId="443263A6"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25 (29.1)</w:t>
            </w:r>
          </w:p>
        </w:tc>
        <w:tc>
          <w:tcPr>
            <w:tcW w:w="1276" w:type="dxa"/>
            <w:noWrap/>
            <w:hideMark/>
          </w:tcPr>
          <w:p w14:paraId="5C25BE41"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31 (29.5)</w:t>
            </w:r>
          </w:p>
        </w:tc>
      </w:tr>
      <w:tr w:rsidR="00736F61" w:rsidRPr="00CC1FC3" w14:paraId="59E955FC" w14:textId="77777777" w:rsidTr="00621211">
        <w:trPr>
          <w:trHeight w:val="305"/>
        </w:trPr>
        <w:tc>
          <w:tcPr>
            <w:tcW w:w="1292" w:type="dxa"/>
            <w:vMerge/>
            <w:noWrap/>
            <w:hideMark/>
          </w:tcPr>
          <w:p w14:paraId="48F256CA"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13F86CCF"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35-45 years</w:t>
            </w:r>
          </w:p>
        </w:tc>
        <w:tc>
          <w:tcPr>
            <w:tcW w:w="1559" w:type="dxa"/>
            <w:noWrap/>
            <w:hideMark/>
          </w:tcPr>
          <w:p w14:paraId="3C730A7B"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4 (21.1)</w:t>
            </w:r>
          </w:p>
        </w:tc>
        <w:tc>
          <w:tcPr>
            <w:tcW w:w="1417" w:type="dxa"/>
            <w:noWrap/>
            <w:hideMark/>
          </w:tcPr>
          <w:p w14:paraId="2465DCE3"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23 (26.7)</w:t>
            </w:r>
          </w:p>
        </w:tc>
        <w:tc>
          <w:tcPr>
            <w:tcW w:w="1276" w:type="dxa"/>
            <w:noWrap/>
            <w:hideMark/>
          </w:tcPr>
          <w:p w14:paraId="72D7BFE3"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27 (25.7)</w:t>
            </w:r>
          </w:p>
        </w:tc>
      </w:tr>
      <w:tr w:rsidR="00736F61" w:rsidRPr="00CC1FC3" w14:paraId="08F53667" w14:textId="77777777" w:rsidTr="00621211">
        <w:trPr>
          <w:trHeight w:val="305"/>
        </w:trPr>
        <w:tc>
          <w:tcPr>
            <w:tcW w:w="1292" w:type="dxa"/>
            <w:vMerge/>
            <w:noWrap/>
            <w:hideMark/>
          </w:tcPr>
          <w:p w14:paraId="67947B63"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464E72CF"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45-55 years</w:t>
            </w:r>
          </w:p>
        </w:tc>
        <w:tc>
          <w:tcPr>
            <w:tcW w:w="1559" w:type="dxa"/>
            <w:noWrap/>
            <w:hideMark/>
          </w:tcPr>
          <w:p w14:paraId="4A9753FA"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5 (26.3)</w:t>
            </w:r>
          </w:p>
        </w:tc>
        <w:tc>
          <w:tcPr>
            <w:tcW w:w="1417" w:type="dxa"/>
            <w:noWrap/>
            <w:hideMark/>
          </w:tcPr>
          <w:p w14:paraId="2A7D836D"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23 (26.7)</w:t>
            </w:r>
          </w:p>
        </w:tc>
        <w:tc>
          <w:tcPr>
            <w:tcW w:w="1276" w:type="dxa"/>
            <w:noWrap/>
            <w:hideMark/>
          </w:tcPr>
          <w:p w14:paraId="2C27ABC4"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28 (26.7)</w:t>
            </w:r>
          </w:p>
        </w:tc>
      </w:tr>
      <w:tr w:rsidR="00736F61" w:rsidRPr="00CC1FC3" w14:paraId="73ECD5BA" w14:textId="77777777" w:rsidTr="00621211">
        <w:trPr>
          <w:trHeight w:val="305"/>
        </w:trPr>
        <w:tc>
          <w:tcPr>
            <w:tcW w:w="1292" w:type="dxa"/>
            <w:vMerge/>
            <w:noWrap/>
            <w:hideMark/>
          </w:tcPr>
          <w:p w14:paraId="4234C9BC"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7E2C1399"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55-65 years</w:t>
            </w:r>
          </w:p>
        </w:tc>
        <w:tc>
          <w:tcPr>
            <w:tcW w:w="1559" w:type="dxa"/>
            <w:noWrap/>
            <w:hideMark/>
          </w:tcPr>
          <w:p w14:paraId="7BF8E0C5"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0 (0)</w:t>
            </w:r>
          </w:p>
        </w:tc>
        <w:tc>
          <w:tcPr>
            <w:tcW w:w="1417" w:type="dxa"/>
            <w:noWrap/>
            <w:hideMark/>
          </w:tcPr>
          <w:p w14:paraId="15D3E014"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 (2.3)</w:t>
            </w:r>
          </w:p>
        </w:tc>
        <w:tc>
          <w:tcPr>
            <w:tcW w:w="1276" w:type="dxa"/>
            <w:noWrap/>
            <w:hideMark/>
          </w:tcPr>
          <w:p w14:paraId="7C481223"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 (1.9)</w:t>
            </w:r>
          </w:p>
        </w:tc>
      </w:tr>
      <w:tr w:rsidR="00736F61" w:rsidRPr="00CC1FC3" w14:paraId="55924ECA" w14:textId="77777777" w:rsidTr="00621211">
        <w:trPr>
          <w:trHeight w:val="305"/>
        </w:trPr>
        <w:tc>
          <w:tcPr>
            <w:tcW w:w="1292" w:type="dxa"/>
            <w:vMerge/>
            <w:noWrap/>
            <w:hideMark/>
          </w:tcPr>
          <w:p w14:paraId="5FD03B14" w14:textId="77777777" w:rsidR="00736F61" w:rsidRPr="00CC1FC3" w:rsidRDefault="00736F61" w:rsidP="003F224E">
            <w:pPr>
              <w:spacing w:line="360" w:lineRule="auto"/>
              <w:jc w:val="both"/>
              <w:rPr>
                <w:rFonts w:eastAsia="Times New Roman"/>
                <w:sz w:val="22"/>
                <w:szCs w:val="22"/>
                <w:lang w:eastAsia="en-GB"/>
              </w:rPr>
            </w:pPr>
          </w:p>
        </w:tc>
        <w:tc>
          <w:tcPr>
            <w:tcW w:w="3670" w:type="dxa"/>
            <w:tcBorders>
              <w:bottom w:val="single" w:sz="4" w:space="0" w:color="auto"/>
            </w:tcBorders>
            <w:noWrap/>
            <w:hideMark/>
          </w:tcPr>
          <w:p w14:paraId="52774781"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Above 65</w:t>
            </w:r>
          </w:p>
        </w:tc>
        <w:tc>
          <w:tcPr>
            <w:tcW w:w="1559" w:type="dxa"/>
            <w:tcBorders>
              <w:bottom w:val="single" w:sz="4" w:space="0" w:color="auto"/>
            </w:tcBorders>
            <w:noWrap/>
            <w:hideMark/>
          </w:tcPr>
          <w:p w14:paraId="44FF0684"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0 (0)</w:t>
            </w:r>
          </w:p>
        </w:tc>
        <w:tc>
          <w:tcPr>
            <w:tcW w:w="1417" w:type="dxa"/>
            <w:tcBorders>
              <w:bottom w:val="single" w:sz="4" w:space="0" w:color="auto"/>
            </w:tcBorders>
            <w:noWrap/>
            <w:hideMark/>
          </w:tcPr>
          <w:p w14:paraId="06A9C9F4"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0 (0)</w:t>
            </w:r>
          </w:p>
        </w:tc>
        <w:tc>
          <w:tcPr>
            <w:tcW w:w="1276" w:type="dxa"/>
            <w:tcBorders>
              <w:bottom w:val="single" w:sz="4" w:space="0" w:color="auto"/>
            </w:tcBorders>
            <w:noWrap/>
            <w:hideMark/>
          </w:tcPr>
          <w:p w14:paraId="3AB53A82"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0 (0)</w:t>
            </w:r>
          </w:p>
        </w:tc>
      </w:tr>
      <w:tr w:rsidR="00736F61" w:rsidRPr="00CC1FC3" w14:paraId="4C7196BB" w14:textId="77777777" w:rsidTr="00621211">
        <w:trPr>
          <w:trHeight w:val="305"/>
        </w:trPr>
        <w:tc>
          <w:tcPr>
            <w:tcW w:w="1292" w:type="dxa"/>
            <w:vMerge/>
            <w:noWrap/>
            <w:hideMark/>
          </w:tcPr>
          <w:p w14:paraId="68E572BF" w14:textId="77777777" w:rsidR="00736F61" w:rsidRPr="00CC1FC3" w:rsidRDefault="00736F61" w:rsidP="003F224E">
            <w:pPr>
              <w:spacing w:line="360" w:lineRule="auto"/>
              <w:jc w:val="both"/>
              <w:rPr>
                <w:rFonts w:eastAsia="Times New Roman"/>
                <w:sz w:val="22"/>
                <w:szCs w:val="22"/>
                <w:lang w:eastAsia="en-GB"/>
              </w:rPr>
            </w:pPr>
          </w:p>
        </w:tc>
        <w:tc>
          <w:tcPr>
            <w:tcW w:w="3670" w:type="dxa"/>
            <w:tcBorders>
              <w:top w:val="single" w:sz="4" w:space="0" w:color="auto"/>
            </w:tcBorders>
            <w:noWrap/>
            <w:hideMark/>
          </w:tcPr>
          <w:p w14:paraId="457001A6"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Total</w:t>
            </w:r>
          </w:p>
        </w:tc>
        <w:tc>
          <w:tcPr>
            <w:tcW w:w="1559" w:type="dxa"/>
            <w:tcBorders>
              <w:top w:val="single" w:sz="4" w:space="0" w:color="auto"/>
            </w:tcBorders>
            <w:noWrap/>
            <w:hideMark/>
          </w:tcPr>
          <w:p w14:paraId="74FC053C"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19 (100)</w:t>
            </w:r>
          </w:p>
        </w:tc>
        <w:tc>
          <w:tcPr>
            <w:tcW w:w="1417" w:type="dxa"/>
            <w:tcBorders>
              <w:top w:val="single" w:sz="4" w:space="0" w:color="auto"/>
            </w:tcBorders>
            <w:noWrap/>
            <w:hideMark/>
          </w:tcPr>
          <w:p w14:paraId="0361B707"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86 (100)</w:t>
            </w:r>
          </w:p>
        </w:tc>
        <w:tc>
          <w:tcPr>
            <w:tcW w:w="1276" w:type="dxa"/>
            <w:tcBorders>
              <w:top w:val="single" w:sz="4" w:space="0" w:color="auto"/>
            </w:tcBorders>
            <w:noWrap/>
            <w:hideMark/>
          </w:tcPr>
          <w:p w14:paraId="56B72E21"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105 (100)</w:t>
            </w:r>
          </w:p>
        </w:tc>
      </w:tr>
      <w:tr w:rsidR="00736F61" w:rsidRPr="00CC1FC3" w14:paraId="6326611E" w14:textId="77777777" w:rsidTr="00621211">
        <w:trPr>
          <w:trHeight w:val="357"/>
        </w:trPr>
        <w:tc>
          <w:tcPr>
            <w:tcW w:w="1292" w:type="dxa"/>
            <w:vMerge w:val="restart"/>
            <w:noWrap/>
            <w:hideMark/>
          </w:tcPr>
          <w:p w14:paraId="3CB06F9B"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Educational Background</w:t>
            </w:r>
          </w:p>
        </w:tc>
        <w:tc>
          <w:tcPr>
            <w:tcW w:w="3670" w:type="dxa"/>
            <w:noWrap/>
            <w:hideMark/>
          </w:tcPr>
          <w:p w14:paraId="57B667D2"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Not Completed: GCSE Ordinary Level</w:t>
            </w:r>
          </w:p>
        </w:tc>
        <w:tc>
          <w:tcPr>
            <w:tcW w:w="1559" w:type="dxa"/>
            <w:noWrap/>
            <w:hideMark/>
          </w:tcPr>
          <w:p w14:paraId="0BB9CD51"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5 (26.3)</w:t>
            </w:r>
          </w:p>
        </w:tc>
        <w:tc>
          <w:tcPr>
            <w:tcW w:w="1417" w:type="dxa"/>
            <w:noWrap/>
            <w:hideMark/>
          </w:tcPr>
          <w:p w14:paraId="720650B9"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18 (20.9)</w:t>
            </w:r>
          </w:p>
        </w:tc>
        <w:tc>
          <w:tcPr>
            <w:tcW w:w="1276" w:type="dxa"/>
            <w:noWrap/>
            <w:hideMark/>
          </w:tcPr>
          <w:p w14:paraId="7753C12A"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23 (21.9)</w:t>
            </w:r>
          </w:p>
        </w:tc>
      </w:tr>
      <w:tr w:rsidR="00736F61" w:rsidRPr="00CC1FC3" w14:paraId="0735CF8B" w14:textId="77777777" w:rsidTr="00621211">
        <w:trPr>
          <w:trHeight w:val="305"/>
        </w:trPr>
        <w:tc>
          <w:tcPr>
            <w:tcW w:w="1292" w:type="dxa"/>
            <w:vMerge/>
            <w:noWrap/>
            <w:hideMark/>
          </w:tcPr>
          <w:p w14:paraId="52689549"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1134061C"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GCSE Ordinary Level</w:t>
            </w:r>
          </w:p>
        </w:tc>
        <w:tc>
          <w:tcPr>
            <w:tcW w:w="1559" w:type="dxa"/>
            <w:noWrap/>
            <w:hideMark/>
          </w:tcPr>
          <w:p w14:paraId="13DB2BED"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7 (36.8)</w:t>
            </w:r>
          </w:p>
        </w:tc>
        <w:tc>
          <w:tcPr>
            <w:tcW w:w="1417" w:type="dxa"/>
            <w:noWrap/>
            <w:hideMark/>
          </w:tcPr>
          <w:p w14:paraId="5A30EF13"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45 (52.3)</w:t>
            </w:r>
          </w:p>
        </w:tc>
        <w:tc>
          <w:tcPr>
            <w:tcW w:w="1276" w:type="dxa"/>
            <w:noWrap/>
            <w:hideMark/>
          </w:tcPr>
          <w:p w14:paraId="22508CC9"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52 (49.5)</w:t>
            </w:r>
          </w:p>
        </w:tc>
      </w:tr>
      <w:tr w:rsidR="00736F61" w:rsidRPr="00CC1FC3" w14:paraId="609246D6" w14:textId="77777777" w:rsidTr="00621211">
        <w:trPr>
          <w:trHeight w:val="305"/>
        </w:trPr>
        <w:tc>
          <w:tcPr>
            <w:tcW w:w="1292" w:type="dxa"/>
            <w:vMerge/>
            <w:noWrap/>
            <w:hideMark/>
          </w:tcPr>
          <w:p w14:paraId="3667B6C7"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43DBBB5F"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GCSE Advanced Level</w:t>
            </w:r>
          </w:p>
        </w:tc>
        <w:tc>
          <w:tcPr>
            <w:tcW w:w="1559" w:type="dxa"/>
            <w:noWrap/>
            <w:hideMark/>
          </w:tcPr>
          <w:p w14:paraId="5FB00580"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6 (31.6)</w:t>
            </w:r>
          </w:p>
        </w:tc>
        <w:tc>
          <w:tcPr>
            <w:tcW w:w="1417" w:type="dxa"/>
            <w:noWrap/>
            <w:hideMark/>
          </w:tcPr>
          <w:p w14:paraId="7ECFDF1B"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22 (25.6)</w:t>
            </w:r>
          </w:p>
        </w:tc>
        <w:tc>
          <w:tcPr>
            <w:tcW w:w="1276" w:type="dxa"/>
            <w:noWrap/>
            <w:hideMark/>
          </w:tcPr>
          <w:p w14:paraId="07AF0653"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28 (26.7)</w:t>
            </w:r>
          </w:p>
        </w:tc>
      </w:tr>
      <w:tr w:rsidR="00736F61" w:rsidRPr="00CC1FC3" w14:paraId="7568C630" w14:textId="77777777" w:rsidTr="00621211">
        <w:trPr>
          <w:trHeight w:val="305"/>
        </w:trPr>
        <w:tc>
          <w:tcPr>
            <w:tcW w:w="1292" w:type="dxa"/>
            <w:vMerge/>
            <w:noWrap/>
            <w:hideMark/>
          </w:tcPr>
          <w:p w14:paraId="66B471C8" w14:textId="77777777" w:rsidR="00736F61" w:rsidRPr="00CC1FC3" w:rsidRDefault="00736F61" w:rsidP="003F224E">
            <w:pPr>
              <w:spacing w:line="360" w:lineRule="auto"/>
              <w:jc w:val="both"/>
              <w:rPr>
                <w:rFonts w:eastAsia="Times New Roman"/>
                <w:sz w:val="22"/>
                <w:szCs w:val="22"/>
                <w:lang w:eastAsia="en-GB"/>
              </w:rPr>
            </w:pPr>
          </w:p>
        </w:tc>
        <w:tc>
          <w:tcPr>
            <w:tcW w:w="3670" w:type="dxa"/>
            <w:tcBorders>
              <w:bottom w:val="single" w:sz="4" w:space="0" w:color="auto"/>
            </w:tcBorders>
            <w:noWrap/>
            <w:hideMark/>
          </w:tcPr>
          <w:p w14:paraId="337DF108"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Degree Level and above</w:t>
            </w:r>
          </w:p>
        </w:tc>
        <w:tc>
          <w:tcPr>
            <w:tcW w:w="1559" w:type="dxa"/>
            <w:tcBorders>
              <w:bottom w:val="single" w:sz="4" w:space="0" w:color="auto"/>
            </w:tcBorders>
            <w:noWrap/>
            <w:hideMark/>
          </w:tcPr>
          <w:p w14:paraId="01947E8D"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1 (5.3)</w:t>
            </w:r>
          </w:p>
        </w:tc>
        <w:tc>
          <w:tcPr>
            <w:tcW w:w="1417" w:type="dxa"/>
            <w:tcBorders>
              <w:bottom w:val="single" w:sz="4" w:space="0" w:color="auto"/>
            </w:tcBorders>
            <w:noWrap/>
            <w:hideMark/>
          </w:tcPr>
          <w:p w14:paraId="38C79501"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1 (1.2)</w:t>
            </w:r>
          </w:p>
        </w:tc>
        <w:tc>
          <w:tcPr>
            <w:tcW w:w="1276" w:type="dxa"/>
            <w:tcBorders>
              <w:bottom w:val="single" w:sz="4" w:space="0" w:color="auto"/>
            </w:tcBorders>
            <w:noWrap/>
            <w:hideMark/>
          </w:tcPr>
          <w:p w14:paraId="5BAC2087"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 (1.9)</w:t>
            </w:r>
          </w:p>
        </w:tc>
      </w:tr>
      <w:tr w:rsidR="00736F61" w:rsidRPr="00CC1FC3" w14:paraId="5DC88D5D" w14:textId="77777777" w:rsidTr="00621211">
        <w:trPr>
          <w:trHeight w:val="305"/>
        </w:trPr>
        <w:tc>
          <w:tcPr>
            <w:tcW w:w="1292" w:type="dxa"/>
            <w:vMerge/>
            <w:noWrap/>
            <w:hideMark/>
          </w:tcPr>
          <w:p w14:paraId="4F8815E6" w14:textId="77777777" w:rsidR="00736F61" w:rsidRPr="00CC1FC3" w:rsidRDefault="00736F61" w:rsidP="003F224E">
            <w:pPr>
              <w:spacing w:line="360" w:lineRule="auto"/>
              <w:jc w:val="both"/>
              <w:rPr>
                <w:rFonts w:eastAsia="Times New Roman"/>
                <w:sz w:val="22"/>
                <w:szCs w:val="22"/>
                <w:lang w:eastAsia="en-GB"/>
              </w:rPr>
            </w:pPr>
          </w:p>
        </w:tc>
        <w:tc>
          <w:tcPr>
            <w:tcW w:w="3670" w:type="dxa"/>
            <w:tcBorders>
              <w:top w:val="single" w:sz="4" w:space="0" w:color="auto"/>
            </w:tcBorders>
            <w:noWrap/>
            <w:hideMark/>
          </w:tcPr>
          <w:p w14:paraId="32BCF923" w14:textId="77777777" w:rsidR="00736F61" w:rsidRPr="00CC1FC3" w:rsidRDefault="00736F61" w:rsidP="003F224E">
            <w:pPr>
              <w:tabs>
                <w:tab w:val="left" w:pos="1676"/>
              </w:tabs>
              <w:spacing w:line="360" w:lineRule="auto"/>
              <w:jc w:val="both"/>
              <w:rPr>
                <w:rFonts w:eastAsia="Times New Roman"/>
                <w:i/>
                <w:iCs/>
                <w:sz w:val="22"/>
                <w:szCs w:val="22"/>
                <w:lang w:eastAsia="en-GB"/>
              </w:rPr>
            </w:pPr>
            <w:r w:rsidRPr="00CC1FC3">
              <w:rPr>
                <w:rFonts w:eastAsia="Times New Roman"/>
                <w:i/>
                <w:iCs/>
                <w:sz w:val="22"/>
                <w:szCs w:val="22"/>
                <w:lang w:eastAsia="en-GB"/>
              </w:rPr>
              <w:t>Total</w:t>
            </w:r>
          </w:p>
        </w:tc>
        <w:tc>
          <w:tcPr>
            <w:tcW w:w="1559" w:type="dxa"/>
            <w:tcBorders>
              <w:top w:val="single" w:sz="4" w:space="0" w:color="auto"/>
            </w:tcBorders>
            <w:noWrap/>
            <w:hideMark/>
          </w:tcPr>
          <w:p w14:paraId="16AE92BA"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19 (100)</w:t>
            </w:r>
          </w:p>
        </w:tc>
        <w:tc>
          <w:tcPr>
            <w:tcW w:w="1417" w:type="dxa"/>
            <w:tcBorders>
              <w:top w:val="single" w:sz="4" w:space="0" w:color="auto"/>
            </w:tcBorders>
            <w:noWrap/>
            <w:hideMark/>
          </w:tcPr>
          <w:p w14:paraId="423FA956"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86 (100)</w:t>
            </w:r>
          </w:p>
        </w:tc>
        <w:tc>
          <w:tcPr>
            <w:tcW w:w="1276" w:type="dxa"/>
            <w:tcBorders>
              <w:top w:val="single" w:sz="4" w:space="0" w:color="auto"/>
            </w:tcBorders>
            <w:noWrap/>
            <w:hideMark/>
          </w:tcPr>
          <w:p w14:paraId="1F5011D3"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105 (100)</w:t>
            </w:r>
          </w:p>
        </w:tc>
      </w:tr>
      <w:tr w:rsidR="00736F61" w:rsidRPr="00CC1FC3" w14:paraId="708A3004" w14:textId="77777777" w:rsidTr="00621211">
        <w:trPr>
          <w:trHeight w:val="387"/>
        </w:trPr>
        <w:tc>
          <w:tcPr>
            <w:tcW w:w="1292" w:type="dxa"/>
            <w:vMerge w:val="restart"/>
            <w:noWrap/>
            <w:hideMark/>
          </w:tcPr>
          <w:p w14:paraId="71E40E16"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Marital Status</w:t>
            </w:r>
          </w:p>
        </w:tc>
        <w:tc>
          <w:tcPr>
            <w:tcW w:w="3670" w:type="dxa"/>
            <w:noWrap/>
            <w:hideMark/>
          </w:tcPr>
          <w:p w14:paraId="54FD5202"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Single</w:t>
            </w:r>
          </w:p>
        </w:tc>
        <w:tc>
          <w:tcPr>
            <w:tcW w:w="1559" w:type="dxa"/>
            <w:noWrap/>
            <w:hideMark/>
          </w:tcPr>
          <w:p w14:paraId="154005D9"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8 (42.1)</w:t>
            </w:r>
          </w:p>
        </w:tc>
        <w:tc>
          <w:tcPr>
            <w:tcW w:w="1417" w:type="dxa"/>
            <w:noWrap/>
            <w:hideMark/>
          </w:tcPr>
          <w:p w14:paraId="542D179E"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21 (24.4)</w:t>
            </w:r>
          </w:p>
        </w:tc>
        <w:tc>
          <w:tcPr>
            <w:tcW w:w="1276" w:type="dxa"/>
            <w:noWrap/>
            <w:hideMark/>
          </w:tcPr>
          <w:p w14:paraId="60EFF4AB"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29 (27.6)</w:t>
            </w:r>
          </w:p>
        </w:tc>
      </w:tr>
      <w:tr w:rsidR="00736F61" w:rsidRPr="00CC1FC3" w14:paraId="146EFCDF" w14:textId="77777777" w:rsidTr="00621211">
        <w:trPr>
          <w:trHeight w:val="305"/>
        </w:trPr>
        <w:tc>
          <w:tcPr>
            <w:tcW w:w="1292" w:type="dxa"/>
            <w:vMerge/>
            <w:noWrap/>
            <w:hideMark/>
          </w:tcPr>
          <w:p w14:paraId="0060F8E0" w14:textId="77777777" w:rsidR="00736F61" w:rsidRPr="00CC1FC3" w:rsidRDefault="00736F61" w:rsidP="003F224E">
            <w:pPr>
              <w:spacing w:line="360" w:lineRule="auto"/>
              <w:jc w:val="both"/>
              <w:rPr>
                <w:rFonts w:eastAsia="Times New Roman"/>
                <w:sz w:val="22"/>
                <w:szCs w:val="22"/>
                <w:lang w:eastAsia="en-GB"/>
              </w:rPr>
            </w:pPr>
          </w:p>
        </w:tc>
        <w:tc>
          <w:tcPr>
            <w:tcW w:w="3670" w:type="dxa"/>
            <w:noWrap/>
            <w:hideMark/>
          </w:tcPr>
          <w:p w14:paraId="233860C0"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Married</w:t>
            </w:r>
          </w:p>
        </w:tc>
        <w:tc>
          <w:tcPr>
            <w:tcW w:w="1559" w:type="dxa"/>
            <w:noWrap/>
            <w:hideMark/>
          </w:tcPr>
          <w:p w14:paraId="44E46225"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7 (36.8)</w:t>
            </w:r>
          </w:p>
        </w:tc>
        <w:tc>
          <w:tcPr>
            <w:tcW w:w="1417" w:type="dxa"/>
            <w:noWrap/>
            <w:hideMark/>
          </w:tcPr>
          <w:p w14:paraId="0895F6BE"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58 (67.4)</w:t>
            </w:r>
          </w:p>
        </w:tc>
        <w:tc>
          <w:tcPr>
            <w:tcW w:w="1276" w:type="dxa"/>
            <w:noWrap/>
            <w:hideMark/>
          </w:tcPr>
          <w:p w14:paraId="7C278D91"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65 (61.9)</w:t>
            </w:r>
          </w:p>
        </w:tc>
      </w:tr>
      <w:tr w:rsidR="00736F61" w:rsidRPr="00CC1FC3" w14:paraId="32ED27CE" w14:textId="77777777" w:rsidTr="00621211">
        <w:trPr>
          <w:trHeight w:val="305"/>
        </w:trPr>
        <w:tc>
          <w:tcPr>
            <w:tcW w:w="1292" w:type="dxa"/>
            <w:vMerge/>
            <w:noWrap/>
            <w:hideMark/>
          </w:tcPr>
          <w:p w14:paraId="00E7C0F8" w14:textId="77777777" w:rsidR="00736F61" w:rsidRPr="00CC1FC3" w:rsidRDefault="00736F61" w:rsidP="003F224E">
            <w:pPr>
              <w:spacing w:line="360" w:lineRule="auto"/>
              <w:jc w:val="both"/>
              <w:rPr>
                <w:rFonts w:eastAsia="Times New Roman"/>
                <w:sz w:val="22"/>
                <w:szCs w:val="22"/>
                <w:lang w:eastAsia="en-GB"/>
              </w:rPr>
            </w:pPr>
          </w:p>
        </w:tc>
        <w:tc>
          <w:tcPr>
            <w:tcW w:w="3670" w:type="dxa"/>
            <w:tcBorders>
              <w:bottom w:val="single" w:sz="4" w:space="0" w:color="auto"/>
            </w:tcBorders>
            <w:noWrap/>
            <w:hideMark/>
          </w:tcPr>
          <w:p w14:paraId="55E2A849"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Divorced/Separated</w:t>
            </w:r>
          </w:p>
        </w:tc>
        <w:tc>
          <w:tcPr>
            <w:tcW w:w="1559" w:type="dxa"/>
            <w:tcBorders>
              <w:bottom w:val="single" w:sz="4" w:space="0" w:color="auto"/>
            </w:tcBorders>
            <w:noWrap/>
            <w:hideMark/>
          </w:tcPr>
          <w:p w14:paraId="735EC937"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4 (21.1)</w:t>
            </w:r>
          </w:p>
        </w:tc>
        <w:tc>
          <w:tcPr>
            <w:tcW w:w="1417" w:type="dxa"/>
            <w:tcBorders>
              <w:bottom w:val="single" w:sz="4" w:space="0" w:color="auto"/>
            </w:tcBorders>
            <w:noWrap/>
            <w:hideMark/>
          </w:tcPr>
          <w:p w14:paraId="165A4057"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7 (8.2)</w:t>
            </w:r>
          </w:p>
        </w:tc>
        <w:tc>
          <w:tcPr>
            <w:tcW w:w="1276" w:type="dxa"/>
            <w:tcBorders>
              <w:bottom w:val="single" w:sz="4" w:space="0" w:color="auto"/>
            </w:tcBorders>
            <w:noWrap/>
            <w:hideMark/>
          </w:tcPr>
          <w:p w14:paraId="1F62F8BD" w14:textId="77777777" w:rsidR="00736F61" w:rsidRPr="00CC1FC3" w:rsidRDefault="00736F61" w:rsidP="003F224E">
            <w:pPr>
              <w:spacing w:line="360" w:lineRule="auto"/>
              <w:jc w:val="both"/>
              <w:rPr>
                <w:rFonts w:eastAsia="Times New Roman"/>
                <w:sz w:val="22"/>
                <w:szCs w:val="22"/>
                <w:lang w:eastAsia="en-GB"/>
              </w:rPr>
            </w:pPr>
            <w:r w:rsidRPr="00CC1FC3">
              <w:rPr>
                <w:rFonts w:eastAsia="Times New Roman"/>
                <w:sz w:val="22"/>
                <w:szCs w:val="22"/>
                <w:lang w:eastAsia="en-GB"/>
              </w:rPr>
              <w:t>11 (10.5)</w:t>
            </w:r>
          </w:p>
        </w:tc>
      </w:tr>
      <w:tr w:rsidR="00736F61" w:rsidRPr="00CC1FC3" w14:paraId="5F1B3D96" w14:textId="77777777" w:rsidTr="00621211">
        <w:trPr>
          <w:trHeight w:val="305"/>
        </w:trPr>
        <w:tc>
          <w:tcPr>
            <w:tcW w:w="1292" w:type="dxa"/>
            <w:vMerge/>
            <w:noWrap/>
            <w:hideMark/>
          </w:tcPr>
          <w:p w14:paraId="4F1CC5B4" w14:textId="77777777" w:rsidR="00736F61" w:rsidRPr="00CC1FC3" w:rsidRDefault="00736F61" w:rsidP="003F224E">
            <w:pPr>
              <w:spacing w:line="360" w:lineRule="auto"/>
              <w:jc w:val="both"/>
              <w:rPr>
                <w:rFonts w:eastAsia="Times New Roman"/>
                <w:sz w:val="22"/>
                <w:szCs w:val="22"/>
                <w:lang w:eastAsia="en-GB"/>
              </w:rPr>
            </w:pPr>
          </w:p>
        </w:tc>
        <w:tc>
          <w:tcPr>
            <w:tcW w:w="3670" w:type="dxa"/>
            <w:tcBorders>
              <w:top w:val="single" w:sz="4" w:space="0" w:color="auto"/>
              <w:bottom w:val="single" w:sz="4" w:space="0" w:color="auto"/>
            </w:tcBorders>
            <w:noWrap/>
            <w:hideMark/>
          </w:tcPr>
          <w:p w14:paraId="1DD96941"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Total</w:t>
            </w:r>
          </w:p>
        </w:tc>
        <w:tc>
          <w:tcPr>
            <w:tcW w:w="1559" w:type="dxa"/>
            <w:tcBorders>
              <w:top w:val="single" w:sz="4" w:space="0" w:color="auto"/>
              <w:bottom w:val="single" w:sz="4" w:space="0" w:color="auto"/>
            </w:tcBorders>
            <w:noWrap/>
            <w:hideMark/>
          </w:tcPr>
          <w:p w14:paraId="38A79471"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19 (100)</w:t>
            </w:r>
          </w:p>
        </w:tc>
        <w:tc>
          <w:tcPr>
            <w:tcW w:w="1417" w:type="dxa"/>
            <w:tcBorders>
              <w:top w:val="single" w:sz="4" w:space="0" w:color="auto"/>
              <w:bottom w:val="single" w:sz="4" w:space="0" w:color="auto"/>
            </w:tcBorders>
            <w:noWrap/>
            <w:hideMark/>
          </w:tcPr>
          <w:p w14:paraId="0FF684E0"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86 (100)</w:t>
            </w:r>
          </w:p>
        </w:tc>
        <w:tc>
          <w:tcPr>
            <w:tcW w:w="1276" w:type="dxa"/>
            <w:tcBorders>
              <w:top w:val="single" w:sz="4" w:space="0" w:color="auto"/>
              <w:bottom w:val="single" w:sz="4" w:space="0" w:color="auto"/>
            </w:tcBorders>
            <w:noWrap/>
            <w:hideMark/>
          </w:tcPr>
          <w:p w14:paraId="7F544656" w14:textId="77777777" w:rsidR="00736F61" w:rsidRPr="00CC1FC3" w:rsidRDefault="00736F61" w:rsidP="003F224E">
            <w:pPr>
              <w:spacing w:line="360" w:lineRule="auto"/>
              <w:jc w:val="both"/>
              <w:rPr>
                <w:rFonts w:eastAsia="Times New Roman"/>
                <w:i/>
                <w:iCs/>
                <w:sz w:val="22"/>
                <w:szCs w:val="22"/>
                <w:lang w:eastAsia="en-GB"/>
              </w:rPr>
            </w:pPr>
            <w:r w:rsidRPr="00CC1FC3">
              <w:rPr>
                <w:rFonts w:eastAsia="Times New Roman"/>
                <w:i/>
                <w:iCs/>
                <w:sz w:val="22"/>
                <w:szCs w:val="22"/>
                <w:lang w:eastAsia="en-GB"/>
              </w:rPr>
              <w:t>105 (100)</w:t>
            </w:r>
          </w:p>
        </w:tc>
      </w:tr>
    </w:tbl>
    <w:p w14:paraId="33169682" w14:textId="77777777" w:rsidR="00736F61" w:rsidRPr="00CC1FC3" w:rsidRDefault="00736F61" w:rsidP="00736F61">
      <w:pPr>
        <w:pStyle w:val="Heading4"/>
      </w:pPr>
      <w:bookmarkStart w:id="209" w:name="_Toc216557311"/>
      <w:bookmarkStart w:id="210" w:name="_Toc220848414"/>
      <w:bookmarkEnd w:id="196"/>
      <w:r w:rsidRPr="00CC1FC3">
        <w:lastRenderedPageBreak/>
        <w:t>5.5.2.3 Ethical Considerations</w:t>
      </w:r>
      <w:bookmarkEnd w:id="209"/>
      <w:bookmarkEnd w:id="210"/>
    </w:p>
    <w:p w14:paraId="0498CC1A" w14:textId="77777777" w:rsidR="00736F61" w:rsidRDefault="00736F61" w:rsidP="00736F61">
      <w:pPr>
        <w:tabs>
          <w:tab w:val="left" w:pos="2115"/>
        </w:tabs>
        <w:spacing w:line="480" w:lineRule="auto"/>
        <w:jc w:val="both"/>
        <w:rPr>
          <w:rFonts w:eastAsia="Times New Roman"/>
        </w:rPr>
      </w:pPr>
      <w:r w:rsidRPr="00242DE0">
        <w:rPr>
          <w:color w:val="auto"/>
        </w:rPr>
        <w:t xml:space="preserve">Given the extreme sensitivity surrounding CMS, coercion, harassment, and workplace exploitation, the micro-level qualitative phase adhered to strict ethical protocols designed to protect vulnerable participants. Ethical approval was secured from the Keele University research ethics committee prior </w:t>
      </w:r>
      <w:r w:rsidRPr="00242DE0">
        <w:rPr>
          <w:color w:val="auto"/>
          <w:highlight w:val="yellow"/>
        </w:rPr>
        <w:t xml:space="preserve">to </w:t>
      </w:r>
      <w:r w:rsidRPr="00242DE0">
        <w:rPr>
          <w:color w:val="EE0000"/>
          <w:highlight w:val="yellow"/>
        </w:rPr>
        <w:t xml:space="preserve">fieldwork (see Appendix </w:t>
      </w:r>
      <w:r w:rsidRPr="00242DE0">
        <w:rPr>
          <w:color w:val="auto"/>
          <w:highlight w:val="yellow"/>
        </w:rPr>
        <w:t>4), consistent</w:t>
      </w:r>
      <w:r w:rsidRPr="00242DE0">
        <w:rPr>
          <w:color w:val="auto"/>
        </w:rPr>
        <w:t xml:space="preserve"> with best practice in qualitative labour rights research </w:t>
      </w:r>
      <w:sdt>
        <w:sdtPr>
          <w:tag w:val="MENDELEY_CITATION_v3_eyJjaXRhdGlvbklEIjoiTUVOREVMRVlfQ0lUQVRJT05fOTJlOThkYjYtNmViOS00Mzc5LWJlMWItMzQzMmI1ZTQyZjRiIiwicHJvcGVydGllcyI6eyJub3RlSW5kZXgiOjB9LCJpc0VkaXRlZCI6ZmFsc2UsIm1hbnVhbE92ZXJyaWRlIjp7ImlzTWFudWFsbHlPdmVycmlkZGVuIjpmYWxzZSwiY2l0ZXByb2NUZXh0IjoiKENyZXN3ZWxsLCAyMDE0OyBNdXRodXRoYW50cmlnZSA8aT5ldCBhbC48L2k+LCAyMDI2KSIsIm1hbnVhbE92ZXJyaWRlVGV4dCI6IiJ9LCJjaXRhdGlvbkl0ZW1zIjpb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"/>
          <w:id w:val="1031456417"/>
          <w:placeholder>
            <w:docPart w:val="08B02F284FAB43A788B5C11C3BB61D65"/>
          </w:placeholder>
        </w:sdtPr>
        <w:sdtEndPr/>
        <w:sdtContent>
          <w:r w:rsidRPr="00A73C12">
            <w:rPr>
              <w:rFonts w:eastAsia="Times New Roman"/>
            </w:rPr>
            <w:t xml:space="preserve">(Creswell, 2014; Muthuthantrige </w:t>
          </w:r>
          <w:r w:rsidRPr="00A73C12">
            <w:rPr>
              <w:rFonts w:eastAsia="Times New Roman"/>
              <w:i/>
              <w:iCs/>
            </w:rPr>
            <w:t>et al.</w:t>
          </w:r>
          <w:r w:rsidRPr="00A73C12">
            <w:rPr>
              <w:rFonts w:eastAsia="Times New Roman"/>
            </w:rPr>
            <w:t>, 2026)</w:t>
          </w:r>
        </w:sdtContent>
      </w:sdt>
      <w:r w:rsidRPr="00242DE0">
        <w:rPr>
          <w:color w:val="auto"/>
        </w:rPr>
        <w:t xml:space="preserve">. Both interview and questionnaire participants were fully informed of the study’s aims, confidentiality measures, and voluntary nature, and each provided informed consent. Special care was taken when </w:t>
      </w:r>
      <w:r w:rsidRPr="001D6FF7">
        <w:rPr>
          <w:color w:val="auto"/>
          <w:highlight w:val="yellow"/>
        </w:rPr>
        <w:t xml:space="preserve">interviewing female workers, LGBTQ participants, and those reporting abuse, reflecting known risks of retaliation, stigma, and psychological harm among workers </w:t>
      </w:r>
      <w:sdt>
        <w:sdtPr>
          <w:rPr>
            <w:rFonts w:eastAsia="Times New Roman"/>
            <w:highlight w:val="yellow"/>
          </w:rPr>
          <w:tag w:val="MENDELEY_CITATION_v3_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1dfQ=="/>
          <w:id w:val="-1125000555"/>
          <w:placeholder>
            <w:docPart w:val="1B14B0CE7F9A46768F0A3CFDC3B16EA7"/>
          </w:placeholder>
        </w:sdtPr>
        <w:sdtEndPr/>
        <w:sdtContent>
          <w:r w:rsidRPr="001D6FF7">
            <w:rPr>
              <w:rFonts w:eastAsia="Times New Roman"/>
              <w:highlight w:val="yellow"/>
            </w:rPr>
            <w:t xml:space="preserve">(Ahmad </w:t>
          </w:r>
          <w:r w:rsidRPr="001D6FF7">
            <w:rPr>
              <w:rFonts w:eastAsia="Times New Roman"/>
              <w:i/>
              <w:iCs/>
              <w:highlight w:val="yellow"/>
            </w:rPr>
            <w:t>et al.</w:t>
          </w:r>
          <w:r w:rsidRPr="001D6FF7">
            <w:rPr>
              <w:rFonts w:eastAsia="Times New Roman"/>
              <w:highlight w:val="yellow"/>
            </w:rPr>
            <w:t>, 2022; Islam and McPhail, 2011b)</w:t>
          </w:r>
        </w:sdtContent>
      </w:sdt>
      <w:r w:rsidRPr="001D6FF7">
        <w:rPr>
          <w:rFonts w:eastAsia="Times New Roman"/>
          <w:highlight w:val="yellow"/>
        </w:rPr>
        <w:t>.</w:t>
      </w:r>
    </w:p>
    <w:p w14:paraId="74DAB0DF" w14:textId="77777777" w:rsidR="00736F61" w:rsidRPr="00CC1FC3" w:rsidRDefault="00736F61" w:rsidP="00736F61">
      <w:pPr>
        <w:spacing w:line="480" w:lineRule="auto"/>
        <w:ind w:firstLine="720"/>
        <w:jc w:val="both"/>
        <w:rPr>
          <w:color w:val="auto"/>
        </w:rPr>
      </w:pPr>
      <w:proofErr w:type="gramStart"/>
      <w:r w:rsidRPr="00CC1FC3">
        <w:rPr>
          <w:color w:val="auto"/>
        </w:rPr>
        <w:t>Similar to</w:t>
      </w:r>
      <w:proofErr w:type="gramEnd"/>
      <w:r w:rsidRPr="00CC1FC3">
        <w:rPr>
          <w:color w:val="auto"/>
        </w:rPr>
        <w:t xml:space="preserve"> the </w:t>
      </w:r>
      <w:sdt>
        <w:sdtPr>
          <w:tag w:val="MENDELEY_CITATION_v3_eyJjaXRhdGlvbklEIjoiTUVOREVMRVlfQ0lUQVRJT05fNjE2NzBhNjctZWZmNi00YzdjLTgzNmUtYThkZmY4ZTc3YzE4IiwicHJvcGVydGllcyI6eyJub3RlSW5kZXgiOjB9LCJpc0VkaXRlZCI6ZmFsc2UsIm1hbnVhbE92ZXJyaWRlIjp7ImlzTWFudWFsbHlPdmVycmlkZGVuIjp0cnVlLCJjaXRlcHJvY1RleHQiOiIoTXV0aHV0aGFudHJpZ2UgPGk+ZXQgYWwuPC9pPiwgMjAyNikiLCJtYW51YWxPdmVycmlkZVRleHQiOiIoTXV0aHV0aGFudHJpZ2UgZXQgYWwgKDIwMjYp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14569834"/>
          <w:placeholder>
            <w:docPart w:val="08B02F284FAB43A788B5C11C3BB61D65"/>
          </w:placeholder>
        </w:sdtPr>
        <w:sdtEndPr/>
        <w:sdtContent>
          <w:r w:rsidRPr="00A73C12">
            <w:t>Muthuthantrige et al (2026)</w:t>
          </w:r>
        </w:sdtContent>
      </w:sdt>
      <w:r w:rsidRPr="00CC1FC3">
        <w:rPr>
          <w:color w:val="auto"/>
        </w:rPr>
        <w:t xml:space="preserve"> notes, several participants expressed fear of job loss, harassment, or social repercussions, necessitating alternative data collection approaches such as non-recorded interviews, the use of pseudonyms, and off-site meeting locations to ensure safety. Reflexive ethical decision-making guided the research process, with interviewers continuously assessing power imbalances, emotional distress, and cultural sensitivities, particularly given the prevalence of gender-based violence and harassment in Sri Lanka’s A&amp;TI. Participants were provided opportunities to withdraw at any stage, and referrals to support organisations were offered when disclosures indicated potential harm.</w:t>
      </w:r>
    </w:p>
    <w:p w14:paraId="04C05A65" w14:textId="77777777" w:rsidR="00736F61" w:rsidRPr="00CC1FC3" w:rsidRDefault="00736F61" w:rsidP="00736F61">
      <w:pPr>
        <w:spacing w:line="480" w:lineRule="auto"/>
        <w:jc w:val="both"/>
        <w:rPr>
          <w:b/>
          <w:bCs/>
          <w:i/>
          <w:iCs/>
          <w:color w:val="auto"/>
          <w:u w:val="single"/>
        </w:rPr>
      </w:pPr>
      <w:r w:rsidRPr="00CC1FC3">
        <w:rPr>
          <w:color w:val="auto"/>
        </w:rPr>
        <w:t xml:space="preserve"> </w:t>
      </w:r>
      <w:r w:rsidRPr="00CC1FC3">
        <w:rPr>
          <w:b/>
          <w:bCs/>
          <w:i/>
          <w:iCs/>
          <w:color w:val="auto"/>
          <w:u w:val="single"/>
        </w:rPr>
        <w:t>Data Management and Confidentiality</w:t>
      </w:r>
    </w:p>
    <w:p w14:paraId="62588013" w14:textId="77777777" w:rsidR="00736F61" w:rsidRPr="00CC1FC3" w:rsidRDefault="00736F61" w:rsidP="00736F61">
      <w:pPr>
        <w:spacing w:line="480" w:lineRule="auto"/>
        <w:ind w:firstLine="720"/>
        <w:jc w:val="both"/>
      </w:pPr>
      <w:r w:rsidRPr="00CC1FC3">
        <w:rPr>
          <w:color w:val="auto"/>
        </w:rPr>
        <w:t xml:space="preserve">To protect participants’ anonymity and comply with institutional data protection requirements, all questionnaire and interview materials were handled using secure, encrypted data management procedures </w:t>
      </w:r>
      <w:sdt>
        <w:sdtPr>
          <w:tag w:val="MENDELEY_CITATION_v3_eyJjaXRhdGlvbklEIjoiTUVOREVMRVlfQ0lUQVRJT05fY2Q1ZjQ1ODEtYmM5ZC00NTgzLThlOWEtZTc2NmQ2OWMwOTA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56981067"/>
          <w:placeholder>
            <w:docPart w:val="08B02F284FAB43A788B5C11C3BB61D65"/>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color w:val="auto"/>
        </w:rPr>
        <w:t xml:space="preserve">. Audio files, transcripts, and field notes were stored on password-protected devices accessible only to the research team. Identifying information—including names, locations, factory identifiers, and brand </w:t>
      </w:r>
      <w:r w:rsidRPr="00CC1FC3">
        <w:rPr>
          <w:color w:val="auto"/>
        </w:rPr>
        <w:lastRenderedPageBreak/>
        <w:t xml:space="preserve">references—was removed during transcription and replaced with anonymised codes (e.g., FW1, HRM3, NGO-RED), following the pseudonymisation approach outlined in the manuscript. Handwritten field notes from non-recorded interviews were digitised immediately after each session, cross-checked for accuracy, and stored securely. A full audit trail was maintained to document data management decisions and ensure traceability of analytic processes </w:t>
      </w:r>
      <w:sdt>
        <w:sdtPr>
          <w:tag w:val="MENDELEY_CITATION_v3_eyJjaXRhdGlvbklEIjoiTUVOREVMRVlfQ0lUQVRJT05fZTUyMTg4NTQtZjQ5Yy00OTFkLThhN2QtNDAzNGE2NWQ5ZmUwIiwicHJvcGVydGllcyI6eyJub3RlSW5kZXgiOjB9LCJpc0VkaXRlZCI6ZmFsc2UsIm1hbnVhbE92ZXJyaWRlIjp7ImlzTWFudWFsbHlPdmVycmlkZGVuIjpmYWxzZSwiY2l0ZXByb2NUZXh0IjoiKEJyYXVuIGFuZCBDbGFya2UsIDIwMDYpIiwibWFudWFsT3ZlcnJpZGVUZXh0IjoiIn0sImNpdGF0aW9uSXRlbXMiOlt7ImlkIjoiNjY3ODRmNmMtZjM3Yi0zOGYxLThiMWUtNGMyNjAwMjg5MzI2IiwiaXRlbURhdGEiOnsidHlwZSI6ImFydGljbGUtam91cm5hbCIsImlkIjoiNjY3ODRmNmMtZjM3Yi0zOGYxLThiMWUtNGMyNjAwMjg5MzI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
          <w:id w:val="976035647"/>
          <w:placeholder>
            <w:docPart w:val="08B02F284FAB43A788B5C11C3BB61D65"/>
          </w:placeholder>
        </w:sdtPr>
        <w:sdtEndPr/>
        <w:sdtContent>
          <w:r w:rsidRPr="00A73C12">
            <w:t>(Braun and Clarke, 2006)</w:t>
          </w:r>
        </w:sdtContent>
      </w:sdt>
      <w:r w:rsidRPr="00CC1FC3">
        <w:rPr>
          <w:color w:val="auto"/>
        </w:rPr>
        <w:t xml:space="preserve">. In compliance with institutional policy, data will be retained for a defined period and destroyed thereafter. Confidentiality obligations were explicitly communicated to all participants, and no identifiable information was shared with third parties, employers, or state authorities. This approach aligns with ethical recommendations for research involving highly vulnerable labour populations experiencing coercion, fear, and managerial surveillance </w:t>
      </w:r>
      <w:sdt>
        <w:sdtPr>
          <w:tag w:val="MENDELEY_CITATION_v3_eyJjaXRhdGlvbklEIjoiTUVOREVMRVlfQ0lUQVRJT05fYmE3MGIyM2UtOGM1YS00N2I4LTg1NDctYWJjYWQ3Y2ZjMTJiIiwicHJvcGVydGllcyI6eyJub3RlSW5kZXgiOjB9LCJpc0VkaXRlZCI6ZmFsc2UsIm1hbnVhbE92ZXJyaWRlIjp7ImlzTWFudWFsbHlPdmVycmlkZGVuIjpmYWxzZSwiY2l0ZXByb2NUZXh0IjoiKExlQmFyb24gYW5kIExpc3RlciwgMjAyMTsgTXV0aHV0aGFudHJpZ2UgPGk+ZXQgYWwuPC9pPiwgMjAyNi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523591216"/>
          <w:placeholder>
            <w:docPart w:val="08B02F284FAB43A788B5C11C3BB61D65"/>
          </w:placeholder>
        </w:sdtPr>
        <w:sdtEndPr/>
        <w:sdtContent>
          <w:r w:rsidRPr="00A73C12">
            <w:rPr>
              <w:rFonts w:eastAsia="Times New Roman"/>
            </w:rPr>
            <w:t xml:space="preserve">(LeBaron and Lister, 2021; Muthuthantrige </w:t>
          </w:r>
          <w:r w:rsidRPr="00A73C12">
            <w:rPr>
              <w:rFonts w:eastAsia="Times New Roman"/>
              <w:i/>
              <w:iCs/>
            </w:rPr>
            <w:t>et al.</w:t>
          </w:r>
          <w:r w:rsidRPr="00A73C12">
            <w:rPr>
              <w:rFonts w:eastAsia="Times New Roman"/>
            </w:rPr>
            <w:t>, 2026)</w:t>
          </w:r>
        </w:sdtContent>
      </w:sdt>
      <w:r w:rsidRPr="00CC1FC3">
        <w:t>.</w:t>
      </w:r>
    </w:p>
    <w:p w14:paraId="78363942" w14:textId="77777777" w:rsidR="00736F61" w:rsidRPr="00CC1FC3" w:rsidRDefault="00736F61" w:rsidP="00736F61">
      <w:pPr>
        <w:pStyle w:val="Heading2"/>
      </w:pPr>
      <w:bookmarkStart w:id="211" w:name="_Toc216557312"/>
      <w:bookmarkStart w:id="212" w:name="_Toc220848415"/>
      <w:bookmarkStart w:id="213" w:name="_Toc221437665"/>
      <w:r w:rsidRPr="00CC1FC3">
        <w:t>5.6 Cross-phase integration</w:t>
      </w:r>
      <w:bookmarkEnd w:id="211"/>
      <w:bookmarkEnd w:id="212"/>
      <w:bookmarkEnd w:id="213"/>
      <w:r w:rsidRPr="00CC1FC3">
        <w:t xml:space="preserve"> </w:t>
      </w:r>
    </w:p>
    <w:p w14:paraId="533F8971" w14:textId="77777777" w:rsidR="00736F61" w:rsidRPr="00CC1FC3" w:rsidRDefault="00736F61" w:rsidP="00736F61">
      <w:pPr>
        <w:spacing w:after="0" w:line="480" w:lineRule="auto"/>
        <w:jc w:val="both"/>
        <w:rPr>
          <w:color w:val="auto"/>
        </w:rPr>
      </w:pPr>
      <w:r w:rsidRPr="00CC1FC3">
        <w:rPr>
          <w:color w:val="auto"/>
        </w:rPr>
        <w:t xml:space="preserve">The integration of findings across the quantitative (macro–meso) and qualitative (meso-extension and micro-level) phases followed an explanatory sequential mixed-methods design, in which qualitative evidence is used to deepen, clarify, and reinterpret the statistical patterns identified earlier in the study. Integration was achieved </w:t>
      </w:r>
      <w:proofErr w:type="gramStart"/>
      <w:r w:rsidRPr="00CC1FC3">
        <w:rPr>
          <w:color w:val="auto"/>
        </w:rPr>
        <w:t>through the use of</w:t>
      </w:r>
      <w:proofErr w:type="gramEnd"/>
      <w:r w:rsidRPr="00CC1FC3">
        <w:rPr>
          <w:color w:val="auto"/>
        </w:rPr>
        <w:t xml:space="preserve"> joint displays, meta-inferences, and systematic triangulation, enabling coherence across the three analytical levels. Joint displays served as a central interface, allowing the side-by-side comparison of statistical associations (such as the relationship between MS and country governance and development indicators, SGIs, and ACMS commitments), patterns emerging from corporate disclosures, and worker experiences captured through interviews and questionnaires. These visual matrices, presented in subsequent empirical chapters, highlighted areas of convergence and divergence—for example, cases in which SGIs appeared to be significant predictors of ACMS </w:t>
      </w:r>
      <w:r w:rsidRPr="00CC1FC3">
        <w:rPr>
          <w:color w:val="auto"/>
        </w:rPr>
        <w:lastRenderedPageBreak/>
        <w:t>performance in the quantitative phase, yet qualitative data revealed limited translation of these commitments into improved labour conditions.</w:t>
      </w:r>
    </w:p>
    <w:p w14:paraId="4788A69E" w14:textId="77777777" w:rsidR="00736F61" w:rsidRPr="00CC1FC3" w:rsidRDefault="00736F61" w:rsidP="00736F61">
      <w:pPr>
        <w:spacing w:after="0" w:line="480" w:lineRule="auto"/>
        <w:ind w:firstLine="720"/>
        <w:jc w:val="both"/>
        <w:rPr>
          <w:color w:val="auto"/>
        </w:rPr>
      </w:pPr>
      <w:r w:rsidRPr="00CC1FC3">
        <w:rPr>
          <w:color w:val="auto"/>
        </w:rPr>
        <w:t>Meta-inferences were then generated by synthesising insights from the macro, meso, and micro strands to explain how and why specific quantitative outcomes manifest in practice. This interpretive process illuminated why firms with strong SGI profiles did not consistently demonstrate equally strong ACMS implementation, how institutional pressures shaped symbolic compliance, and why policy–practice gaps emerged within complex, multi-tiered supply chains. Such meta-inferences are strongly aligned with NIT, reinforcing the theory’s proposition that organisational behaviour is often driven more by legitimacy pressures than by substantive ethical commitments.</w:t>
      </w:r>
    </w:p>
    <w:p w14:paraId="606CCAD2" w14:textId="77777777" w:rsidR="00736F61" w:rsidRPr="00CC1FC3" w:rsidRDefault="00736F61" w:rsidP="00736F61">
      <w:pPr>
        <w:spacing w:after="0" w:line="480" w:lineRule="auto"/>
        <w:ind w:firstLine="720"/>
        <w:jc w:val="both"/>
        <w:rPr>
          <w:color w:val="auto"/>
        </w:rPr>
      </w:pPr>
      <w:r w:rsidRPr="00CC1FC3">
        <w:rPr>
          <w:color w:val="auto"/>
        </w:rPr>
        <w:t>Triangulation further strengthened the study's credibility by comparing and integrating evidence from quantitative models, corporate disclosures, and worker narratives. This process revealed both alignment and contradiction. For instance, while quantitative findings suggested a positive association between SGIs and ACMS commitments, disclosure analysis frequently exposed selective reporting, reliance on generic due diligence language, and inconsistencies across reporting years. Micro-level testimonies added further depth, revealing production pressures, wage deductions, harassment, restricted mobility, and opaque subcontracting—issues rarely acknowledged in corporate reports. These grounded accounts provided critical explanations for disclosure gaps, illustrating patterns of institutional decoupling.</w:t>
      </w:r>
    </w:p>
    <w:p w14:paraId="48ADC8CF" w14:textId="77777777" w:rsidR="00736F61" w:rsidRPr="00CC1FC3" w:rsidRDefault="00736F61" w:rsidP="00736F61">
      <w:pPr>
        <w:spacing w:after="0" w:line="480" w:lineRule="auto"/>
        <w:ind w:firstLine="720"/>
        <w:jc w:val="both"/>
        <w:rPr>
          <w:color w:val="auto"/>
        </w:rPr>
      </w:pPr>
      <w:r w:rsidRPr="00CC1FC3">
        <w:rPr>
          <w:color w:val="auto"/>
        </w:rPr>
        <w:t xml:space="preserve">Conversely, the disclosure analysis helped contextualise quantitative associations by demonstrating that high SGI scores often reflect firms’ adoption of extensive policy frameworks in response to coercive and normative institutional pressures rather than evidence of substantive implementation. Industries with greater reputational exposure tended to produce more detailed disclosures, boosting their measured SGI and ACMS scores even when practice </w:t>
      </w:r>
      <w:proofErr w:type="gramStart"/>
      <w:r w:rsidRPr="00CC1FC3">
        <w:rPr>
          <w:color w:val="auto"/>
        </w:rPr>
        <w:t>lagged behind</w:t>
      </w:r>
      <w:proofErr w:type="gramEnd"/>
      <w:r w:rsidRPr="00CC1FC3">
        <w:rPr>
          <w:color w:val="auto"/>
        </w:rPr>
        <w:t xml:space="preserve"> policy. Similarly, variations by country of incorporation corresponded to </w:t>
      </w:r>
      <w:r w:rsidRPr="00CC1FC3">
        <w:rPr>
          <w:color w:val="auto"/>
        </w:rPr>
        <w:lastRenderedPageBreak/>
        <w:t>differences in reporting regimes and regulatory expectations, further reinforcing NIT’s core arguments. Through these integrative mechanisms, the study generated robust, multi-layered insights that explain not only what relationships exist in the data but also how and why they materialise in practice.</w:t>
      </w:r>
    </w:p>
    <w:p w14:paraId="4DFD83F7" w14:textId="77777777" w:rsidR="00736F61" w:rsidRPr="00CC1FC3" w:rsidRDefault="00736F61" w:rsidP="00736F61">
      <w:pPr>
        <w:pStyle w:val="Heading2"/>
      </w:pPr>
      <w:bookmarkStart w:id="214" w:name="_Toc216557313"/>
      <w:bookmarkStart w:id="215" w:name="_Toc220848416"/>
      <w:bookmarkStart w:id="216" w:name="_Toc221437666"/>
      <w:r w:rsidRPr="00CC1FC3">
        <w:t>5.7 Validity, Reliability, and Trustworthiness</w:t>
      </w:r>
      <w:bookmarkEnd w:id="214"/>
      <w:bookmarkEnd w:id="215"/>
      <w:bookmarkEnd w:id="216"/>
      <w:r w:rsidRPr="00CC1FC3">
        <w:t xml:space="preserve"> </w:t>
      </w:r>
    </w:p>
    <w:p w14:paraId="11BC819C" w14:textId="77777777" w:rsidR="00736F61" w:rsidRPr="00CC1FC3" w:rsidRDefault="00736F61" w:rsidP="00736F61">
      <w:pPr>
        <w:spacing w:after="0" w:line="480" w:lineRule="auto"/>
        <w:jc w:val="both"/>
        <w:rPr>
          <w:color w:val="auto"/>
        </w:rPr>
      </w:pPr>
      <w:r w:rsidRPr="00CC1FC3">
        <w:rPr>
          <w:color w:val="auto"/>
        </w:rPr>
        <w:t>Ensuring methodological rigour in this multi-phase mixed-methods study required a comprehensive strategy to address validity, reliability, and trustworthiness across the quantitative, qualitative, and integrative components. For the quantitative strand, construct validity was strengthened by operationalising variables using established international indicators such as the WGI, SDGI, IHDI, and WGIs, as well as Refinitiv Eikon datasets, thereby ensuring that institutional and corporate governance constructs reflected their theoretical foundations. Internal validity was enhanced through panel-data techniques, including fixed- and random-effects modelling, robust standard errors, and extensive diagnostic testing for multicollinearity, heteroskedasticity, and outlier effects. Time and industry-stratified models further ensured that findings were not artefacts of model specification. External validity was supported by the breadth of the dataset—166 countries and 255 of the G500 firms—providing generalisability across diverse economic contexts. Reliability was maintained through consistent secondary data extraction processes, an audit trail documenting data-cleaning decisions, and the use of replicable coding structures.</w:t>
      </w:r>
    </w:p>
    <w:p w14:paraId="07C50036" w14:textId="77777777" w:rsidR="00736F61" w:rsidRPr="00CC1FC3" w:rsidRDefault="00736F61" w:rsidP="00736F61">
      <w:pPr>
        <w:spacing w:after="0"/>
        <w:jc w:val="both"/>
        <w:rPr>
          <w:color w:val="auto"/>
        </w:rPr>
      </w:pPr>
    </w:p>
    <w:p w14:paraId="2BA5D67C" w14:textId="77777777" w:rsidR="00736F61" w:rsidRPr="00CC1FC3" w:rsidRDefault="00736F61" w:rsidP="00736F61">
      <w:pPr>
        <w:spacing w:after="0" w:line="480" w:lineRule="auto"/>
        <w:ind w:firstLine="720"/>
        <w:jc w:val="both"/>
        <w:rPr>
          <w:color w:val="auto"/>
        </w:rPr>
      </w:pPr>
      <w:r w:rsidRPr="00CC1FC3">
        <w:rPr>
          <w:color w:val="auto"/>
        </w:rPr>
        <w:t xml:space="preserve">For the qualitative strand, trustworthiness was established through the criteria of credibility, dependability, confirmability, and transferability. Credibility was reinforced through triangulation of multiple data sources—including interviews, questionnaires, corporate disclosures, NGO reports, and media investigations—which enabled comparison of narratives across stakeholder groups. Member-checking and prolonged engagement in the field further </w:t>
      </w:r>
      <w:r w:rsidRPr="00CC1FC3">
        <w:rPr>
          <w:color w:val="auto"/>
        </w:rPr>
        <w:lastRenderedPageBreak/>
        <w:t>enhanced interpretive accuracy. Dependability was achieved by maintaining a clear audit trail documenting sampling decisions, coding processes, and thematic development. Collaborative coding and systematic anonymisation of data, ensuring that interpretations were grounded in participant accounts rather than researcher bias. Transferability was facilitated by providing thick descriptions of the Sri Lankan A&amp;TI context, enabling readers to assess the applicability of findings to other Global South production settings.</w:t>
      </w:r>
    </w:p>
    <w:p w14:paraId="142215BC" w14:textId="77777777" w:rsidR="00736F61" w:rsidRPr="00CC1FC3" w:rsidRDefault="00736F61" w:rsidP="00736F61">
      <w:pPr>
        <w:spacing w:after="0" w:line="480" w:lineRule="auto"/>
        <w:ind w:firstLine="720"/>
        <w:jc w:val="both"/>
        <w:rPr>
          <w:color w:val="auto"/>
        </w:rPr>
      </w:pPr>
      <w:r w:rsidRPr="00CC1FC3">
        <w:rPr>
          <w:color w:val="auto"/>
        </w:rPr>
        <w:t>Finally, rigour in the integration of mixed methods was ensured through clear alignment among strands and systematic triangulation during interpretation. The explanatory sequential design allowed quantitative results to inform qualitative sampling and instrument development, while qualitative insights clarified and contextualised statistical associations. Integration validity was achieved by constructing meta-inferences that synthesised evidence across macro, meso, and micro levels, ensuring theoretical coherence with NIT and empirical consistency across datasets. By combining complementarity, development, and triangulation logics, the study generated robust, multi-layered insights into CMS governance dynamics that would not have been attainable through a single-method design.</w:t>
      </w:r>
    </w:p>
    <w:p w14:paraId="7AA89A18" w14:textId="77777777" w:rsidR="00736F61" w:rsidRPr="00CC1FC3" w:rsidRDefault="00736F61" w:rsidP="00736F61">
      <w:pPr>
        <w:pStyle w:val="Heading2"/>
      </w:pPr>
      <w:bookmarkStart w:id="217" w:name="_Toc216557314"/>
      <w:bookmarkStart w:id="218" w:name="_Toc220848417"/>
      <w:bookmarkStart w:id="219" w:name="_Toc221437667"/>
      <w:r w:rsidRPr="00CC1FC3">
        <w:t>5.8 Methodological Limitations</w:t>
      </w:r>
      <w:bookmarkEnd w:id="217"/>
      <w:bookmarkEnd w:id="218"/>
      <w:bookmarkEnd w:id="219"/>
      <w:r w:rsidRPr="00CC1FC3">
        <w:t xml:space="preserve"> </w:t>
      </w:r>
    </w:p>
    <w:p w14:paraId="312C91E4" w14:textId="77777777" w:rsidR="00736F61" w:rsidRPr="00CC1FC3" w:rsidRDefault="00736F61" w:rsidP="00736F61">
      <w:pPr>
        <w:spacing w:line="480" w:lineRule="auto"/>
      </w:pPr>
      <w:r w:rsidRPr="00CC1FC3">
        <w:t xml:space="preserve">Table </w:t>
      </w:r>
      <w:r>
        <w:t>5.19</w:t>
      </w:r>
      <w:r w:rsidRPr="00CC1FC3">
        <w:t xml:space="preserve"> below presents the study's methodological limitations.</w:t>
      </w:r>
    </w:p>
    <w:tbl>
      <w:tblPr>
        <w:tblpPr w:leftFromText="180" w:rightFromText="180" w:vertAnchor="text" w:horzAnchor="margin" w:tblpY="314"/>
        <w:tblW w:w="0" w:type="auto"/>
        <w:tblCellSpacing w:w="15" w:type="dxa"/>
        <w:tblBorders>
          <w:top w:val="single" w:sz="4" w:space="0" w:color="auto"/>
          <w:bottom w:val="single" w:sz="4" w:space="0" w:color="auto"/>
        </w:tblBorders>
        <w:tblLook w:val="04A0" w:firstRow="1" w:lastRow="0" w:firstColumn="1" w:lastColumn="0" w:noHBand="0" w:noVBand="1"/>
      </w:tblPr>
      <w:tblGrid>
        <w:gridCol w:w="2093"/>
        <w:gridCol w:w="3510"/>
        <w:gridCol w:w="3423"/>
      </w:tblGrid>
      <w:tr w:rsidR="00736F61" w:rsidRPr="007771FD" w14:paraId="0D84EAB1" w14:textId="77777777" w:rsidTr="007771FD">
        <w:trPr>
          <w:tblHeader/>
          <w:tblCellSpacing w:w="15" w:type="dxa"/>
        </w:trPr>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15E5A562" w14:textId="77777777" w:rsidR="00736F61" w:rsidRPr="007771FD" w:rsidRDefault="00736F61" w:rsidP="003F224E">
            <w:pPr>
              <w:spacing w:after="0" w:line="240" w:lineRule="auto"/>
              <w:jc w:val="center"/>
              <w:rPr>
                <w:rFonts w:eastAsia="Times New Roman"/>
                <w:b/>
                <w:bCs/>
                <w:color w:val="auto"/>
                <w:sz w:val="20"/>
                <w:szCs w:val="20"/>
                <w:lang w:eastAsia="en-GB"/>
              </w:rPr>
            </w:pPr>
            <w:r w:rsidRPr="007771FD">
              <w:rPr>
                <w:rFonts w:eastAsia="Times New Roman"/>
                <w:b/>
                <w:bCs/>
                <w:color w:val="auto"/>
                <w:sz w:val="20"/>
                <w:szCs w:val="20"/>
                <w:lang w:eastAsia="en-GB"/>
              </w:rPr>
              <w:t>Limitation Category</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26065401" w14:textId="77777777" w:rsidR="00736F61" w:rsidRPr="007771FD" w:rsidRDefault="00736F61" w:rsidP="003F224E">
            <w:pPr>
              <w:spacing w:after="0" w:line="240" w:lineRule="auto"/>
              <w:jc w:val="center"/>
              <w:rPr>
                <w:rFonts w:eastAsia="Times New Roman"/>
                <w:b/>
                <w:bCs/>
                <w:color w:val="auto"/>
                <w:sz w:val="20"/>
                <w:szCs w:val="20"/>
                <w:lang w:eastAsia="en-GB"/>
              </w:rPr>
            </w:pPr>
            <w:r w:rsidRPr="007771FD">
              <w:rPr>
                <w:rFonts w:eastAsia="Times New Roman"/>
                <w:b/>
                <w:bCs/>
                <w:color w:val="auto"/>
                <w:sz w:val="20"/>
                <w:szCs w:val="20"/>
                <w:lang w:eastAsia="en-GB"/>
              </w:rPr>
              <w:t>Description of Limitation</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5BD17511" w14:textId="77777777" w:rsidR="00736F61" w:rsidRPr="007771FD" w:rsidRDefault="00736F61" w:rsidP="003F224E">
            <w:pPr>
              <w:spacing w:after="0" w:line="240" w:lineRule="auto"/>
              <w:jc w:val="center"/>
              <w:rPr>
                <w:rFonts w:eastAsia="Times New Roman"/>
                <w:b/>
                <w:bCs/>
                <w:color w:val="auto"/>
                <w:sz w:val="20"/>
                <w:szCs w:val="20"/>
                <w:lang w:eastAsia="en-GB"/>
              </w:rPr>
            </w:pPr>
            <w:r w:rsidRPr="007771FD">
              <w:rPr>
                <w:rFonts w:eastAsia="Times New Roman"/>
                <w:b/>
                <w:bCs/>
                <w:color w:val="auto"/>
                <w:sz w:val="20"/>
                <w:szCs w:val="20"/>
                <w:lang w:eastAsia="en-GB"/>
              </w:rPr>
              <w:t>Mitigation Strategy Applied</w:t>
            </w:r>
          </w:p>
        </w:tc>
      </w:tr>
      <w:tr w:rsidR="00736F61" w:rsidRPr="007771FD" w14:paraId="2A10BE0C" w14:textId="77777777" w:rsidTr="007771FD">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3F2C2FCA"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1. Secondary Data Gaps (Quantitative Phase)</w:t>
            </w:r>
          </w:p>
        </w:tc>
        <w:tc>
          <w:tcPr>
            <w:tcW w:w="0" w:type="auto"/>
            <w:tcBorders>
              <w:top w:val="nil"/>
              <w:left w:val="nil"/>
              <w:bottom w:val="nil"/>
              <w:right w:val="nil"/>
            </w:tcBorders>
            <w:tcMar>
              <w:top w:w="15" w:type="dxa"/>
              <w:left w:w="15" w:type="dxa"/>
              <w:bottom w:w="15" w:type="dxa"/>
              <w:right w:w="15" w:type="dxa"/>
            </w:tcMar>
            <w:vAlign w:val="center"/>
            <w:hideMark/>
          </w:tcPr>
          <w:p w14:paraId="1D3227A9"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Missing SGI, ACMS, and control variable data for several G500 firms reduced the sample and introduced potential selection bias.</w:t>
            </w:r>
          </w:p>
        </w:tc>
        <w:tc>
          <w:tcPr>
            <w:tcW w:w="0" w:type="auto"/>
            <w:tcBorders>
              <w:top w:val="nil"/>
              <w:left w:val="nil"/>
              <w:bottom w:val="nil"/>
              <w:right w:val="nil"/>
            </w:tcBorders>
            <w:tcMar>
              <w:top w:w="15" w:type="dxa"/>
              <w:left w:w="15" w:type="dxa"/>
              <w:bottom w:w="15" w:type="dxa"/>
              <w:right w:w="15" w:type="dxa"/>
            </w:tcMar>
            <w:vAlign w:val="center"/>
            <w:hideMark/>
          </w:tcPr>
          <w:p w14:paraId="2828389E"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Employed strict inclusion criteria; conducted robustness checks; transparently reported exclusions and sample characteristics.</w:t>
            </w:r>
          </w:p>
        </w:tc>
      </w:tr>
      <w:tr w:rsidR="00736F61" w:rsidRPr="007771FD" w14:paraId="07B76A0A" w14:textId="77777777" w:rsidTr="007771FD">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5F57921F"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2. Variability in Corporate Disclosure Quality (Meso Extension)</w:t>
            </w:r>
          </w:p>
        </w:tc>
        <w:tc>
          <w:tcPr>
            <w:tcW w:w="0" w:type="auto"/>
            <w:tcBorders>
              <w:top w:val="nil"/>
              <w:left w:val="nil"/>
              <w:bottom w:val="nil"/>
              <w:right w:val="nil"/>
            </w:tcBorders>
            <w:tcMar>
              <w:top w:w="15" w:type="dxa"/>
              <w:left w:w="15" w:type="dxa"/>
              <w:bottom w:w="15" w:type="dxa"/>
              <w:right w:w="15" w:type="dxa"/>
            </w:tcMar>
            <w:vAlign w:val="center"/>
            <w:hideMark/>
          </w:tcPr>
          <w:p w14:paraId="3D8D9F34"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Annual reports and sustainability disclosures vary in depth and comparability across firms and years, creating a risk of selective reporting and narrative bias.</w:t>
            </w:r>
          </w:p>
        </w:tc>
        <w:tc>
          <w:tcPr>
            <w:tcW w:w="0" w:type="auto"/>
            <w:tcBorders>
              <w:top w:val="nil"/>
              <w:left w:val="nil"/>
              <w:bottom w:val="nil"/>
              <w:right w:val="nil"/>
            </w:tcBorders>
            <w:tcMar>
              <w:top w:w="15" w:type="dxa"/>
              <w:left w:w="15" w:type="dxa"/>
              <w:bottom w:w="15" w:type="dxa"/>
              <w:right w:w="15" w:type="dxa"/>
            </w:tcMar>
            <w:vAlign w:val="center"/>
            <w:hideMark/>
          </w:tcPr>
          <w:p w14:paraId="7D2175F6"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Used a standardised coding framework; triangulated disclosures with NGO and media reports; analysed longitudinal patterns to identify inconsistencies.</w:t>
            </w:r>
          </w:p>
        </w:tc>
      </w:tr>
      <w:tr w:rsidR="00736F61" w:rsidRPr="007771FD" w14:paraId="7575F959" w14:textId="77777777" w:rsidTr="007771FD">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226BA4ED"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3. Symbolic vs. Substantive Reporting</w:t>
            </w:r>
          </w:p>
        </w:tc>
        <w:tc>
          <w:tcPr>
            <w:tcW w:w="0" w:type="auto"/>
            <w:tcBorders>
              <w:top w:val="nil"/>
              <w:left w:val="nil"/>
              <w:bottom w:val="nil"/>
              <w:right w:val="nil"/>
            </w:tcBorders>
            <w:tcMar>
              <w:top w:w="15" w:type="dxa"/>
              <w:left w:w="15" w:type="dxa"/>
              <w:bottom w:w="15" w:type="dxa"/>
              <w:right w:w="15" w:type="dxa"/>
            </w:tcMar>
            <w:vAlign w:val="center"/>
            <w:hideMark/>
          </w:tcPr>
          <w:p w14:paraId="16A2E0C8"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Corporate disclosures may reflect symbolic compliance rather than actual implementation, leading to overestimation of governance commitment.</w:t>
            </w:r>
          </w:p>
        </w:tc>
        <w:tc>
          <w:tcPr>
            <w:tcW w:w="0" w:type="auto"/>
            <w:tcBorders>
              <w:top w:val="nil"/>
              <w:left w:val="nil"/>
              <w:bottom w:val="nil"/>
              <w:right w:val="nil"/>
            </w:tcBorders>
            <w:tcMar>
              <w:top w:w="15" w:type="dxa"/>
              <w:left w:w="15" w:type="dxa"/>
              <w:bottom w:w="15" w:type="dxa"/>
              <w:right w:w="15" w:type="dxa"/>
            </w:tcMar>
            <w:vAlign w:val="center"/>
            <w:hideMark/>
          </w:tcPr>
          <w:p w14:paraId="0196137B"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Interpreted findings through NIT; integrated micro-level worker data to validate or challenge corporate claims.</w:t>
            </w:r>
          </w:p>
        </w:tc>
      </w:tr>
      <w:tr w:rsidR="00736F61" w:rsidRPr="007771FD" w14:paraId="6311E25D" w14:textId="77777777" w:rsidTr="007771FD">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9EBB6DB"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lastRenderedPageBreak/>
              <w:t>4. Access Challenges in Fieldwork (Micro Phase)</w:t>
            </w:r>
          </w:p>
        </w:tc>
        <w:tc>
          <w:tcPr>
            <w:tcW w:w="0" w:type="auto"/>
            <w:tcBorders>
              <w:top w:val="nil"/>
              <w:left w:val="nil"/>
              <w:bottom w:val="nil"/>
              <w:right w:val="nil"/>
            </w:tcBorders>
            <w:tcMar>
              <w:top w:w="15" w:type="dxa"/>
              <w:left w:w="15" w:type="dxa"/>
              <w:bottom w:w="15" w:type="dxa"/>
              <w:right w:w="15" w:type="dxa"/>
            </w:tcMar>
            <w:vAlign w:val="center"/>
            <w:hideMark/>
          </w:tcPr>
          <w:p w14:paraId="72D2C7BF"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Gaining access to workers—especially vulnerable groups—was constrained by employer surveillance, fear of retaliation, and cultural sensitivities.</w:t>
            </w:r>
          </w:p>
        </w:tc>
        <w:tc>
          <w:tcPr>
            <w:tcW w:w="0" w:type="auto"/>
            <w:tcBorders>
              <w:top w:val="nil"/>
              <w:left w:val="nil"/>
              <w:bottom w:val="nil"/>
              <w:right w:val="nil"/>
            </w:tcBorders>
            <w:tcMar>
              <w:top w:w="15" w:type="dxa"/>
              <w:left w:w="15" w:type="dxa"/>
              <w:bottom w:w="15" w:type="dxa"/>
              <w:right w:w="15" w:type="dxa"/>
            </w:tcMar>
            <w:vAlign w:val="center"/>
            <w:hideMark/>
          </w:tcPr>
          <w:p w14:paraId="1B45E293"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Collaborated with NGOs; used snowball sampling; conducted interviews off-site; adopted flexible and trauma-informed interviewing practices.</w:t>
            </w:r>
          </w:p>
        </w:tc>
      </w:tr>
      <w:tr w:rsidR="00736F61" w:rsidRPr="007771FD" w14:paraId="7C410FCE" w14:textId="77777777" w:rsidTr="007771FD">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025F622"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5. Non-Recording of Sensitive Interviews</w:t>
            </w:r>
          </w:p>
        </w:tc>
        <w:tc>
          <w:tcPr>
            <w:tcW w:w="0" w:type="auto"/>
            <w:tcBorders>
              <w:top w:val="nil"/>
              <w:left w:val="nil"/>
              <w:bottom w:val="nil"/>
              <w:right w:val="nil"/>
            </w:tcBorders>
            <w:tcMar>
              <w:top w:w="15" w:type="dxa"/>
              <w:left w:w="15" w:type="dxa"/>
              <w:bottom w:w="15" w:type="dxa"/>
              <w:right w:w="15" w:type="dxa"/>
            </w:tcMar>
            <w:vAlign w:val="center"/>
            <w:hideMark/>
          </w:tcPr>
          <w:p w14:paraId="0B6042DB"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Some interviews could not be audio-recorded due to the risk to participants, reducing verbatim detail.</w:t>
            </w:r>
          </w:p>
        </w:tc>
        <w:tc>
          <w:tcPr>
            <w:tcW w:w="0" w:type="auto"/>
            <w:tcBorders>
              <w:top w:val="nil"/>
              <w:left w:val="nil"/>
              <w:bottom w:val="nil"/>
              <w:right w:val="nil"/>
            </w:tcBorders>
            <w:tcMar>
              <w:top w:w="15" w:type="dxa"/>
              <w:left w:w="15" w:type="dxa"/>
              <w:bottom w:w="15" w:type="dxa"/>
              <w:right w:w="15" w:type="dxa"/>
            </w:tcMar>
            <w:vAlign w:val="center"/>
            <w:hideMark/>
          </w:tcPr>
          <w:p w14:paraId="06F1907F"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Used detailed fieldnotes; immediate post-interview transcription; cross-checking by research team; maintained reflexive memos.</w:t>
            </w:r>
          </w:p>
        </w:tc>
      </w:tr>
      <w:tr w:rsidR="00736F61" w:rsidRPr="007771FD" w14:paraId="06F6E553" w14:textId="77777777" w:rsidTr="007771FD">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67085076"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6. Questionnaire Non-Response and Literacy Issues</w:t>
            </w:r>
          </w:p>
        </w:tc>
        <w:tc>
          <w:tcPr>
            <w:tcW w:w="0" w:type="auto"/>
            <w:tcBorders>
              <w:top w:val="nil"/>
              <w:left w:val="nil"/>
              <w:bottom w:val="nil"/>
              <w:right w:val="nil"/>
            </w:tcBorders>
            <w:tcMar>
              <w:top w:w="15" w:type="dxa"/>
              <w:left w:w="15" w:type="dxa"/>
              <w:bottom w:w="15" w:type="dxa"/>
              <w:right w:w="15" w:type="dxa"/>
            </w:tcMar>
            <w:vAlign w:val="center"/>
            <w:hideMark/>
          </w:tcPr>
          <w:p w14:paraId="4503BE2C"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Some participants lacked confidence in reading/writing Sinhala; fear of being identified reduced the full completion of questionnaires.</w:t>
            </w:r>
          </w:p>
        </w:tc>
        <w:tc>
          <w:tcPr>
            <w:tcW w:w="0" w:type="auto"/>
            <w:tcBorders>
              <w:top w:val="nil"/>
              <w:left w:val="nil"/>
              <w:bottom w:val="nil"/>
              <w:right w:val="nil"/>
            </w:tcBorders>
            <w:tcMar>
              <w:top w:w="15" w:type="dxa"/>
              <w:left w:w="15" w:type="dxa"/>
              <w:bottom w:w="15" w:type="dxa"/>
              <w:right w:w="15" w:type="dxa"/>
            </w:tcMar>
            <w:vAlign w:val="center"/>
            <w:hideMark/>
          </w:tcPr>
          <w:p w14:paraId="3BA368C3"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Provided verbal-administered versions; simplified questionnaire design; assured anonymity; used researcher assistance when requested.</w:t>
            </w:r>
          </w:p>
        </w:tc>
      </w:tr>
      <w:tr w:rsidR="00736F61" w:rsidRPr="007771FD" w14:paraId="4BD04F26" w14:textId="77777777" w:rsidTr="007771FD">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8C84485"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7. Cross-Country Data Comparability (Macro Level)</w:t>
            </w:r>
          </w:p>
        </w:tc>
        <w:tc>
          <w:tcPr>
            <w:tcW w:w="0" w:type="auto"/>
            <w:tcBorders>
              <w:top w:val="nil"/>
              <w:left w:val="nil"/>
              <w:bottom w:val="nil"/>
              <w:right w:val="nil"/>
            </w:tcBorders>
            <w:tcMar>
              <w:top w:w="15" w:type="dxa"/>
              <w:left w:w="15" w:type="dxa"/>
              <w:bottom w:w="15" w:type="dxa"/>
              <w:right w:w="15" w:type="dxa"/>
            </w:tcMar>
            <w:vAlign w:val="center"/>
            <w:hideMark/>
          </w:tcPr>
          <w:p w14:paraId="45F971F7"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Institutional indicators (e.g., IEQ, SDGI, IHDI) differ in quality and measurement standards across countries.</w:t>
            </w:r>
          </w:p>
        </w:tc>
        <w:tc>
          <w:tcPr>
            <w:tcW w:w="0" w:type="auto"/>
            <w:tcBorders>
              <w:top w:val="nil"/>
              <w:left w:val="nil"/>
              <w:bottom w:val="nil"/>
              <w:right w:val="nil"/>
            </w:tcBorders>
            <w:tcMar>
              <w:top w:w="15" w:type="dxa"/>
              <w:left w:w="15" w:type="dxa"/>
              <w:bottom w:w="15" w:type="dxa"/>
              <w:right w:w="15" w:type="dxa"/>
            </w:tcMar>
            <w:vAlign w:val="center"/>
            <w:hideMark/>
          </w:tcPr>
          <w:p w14:paraId="0D95EDCB"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Used internationally validated datasets; normalised indicators where appropriate; conducted sensitivity analyses.</w:t>
            </w:r>
          </w:p>
        </w:tc>
      </w:tr>
      <w:tr w:rsidR="00736F61" w:rsidRPr="007771FD" w14:paraId="33D2934C" w14:textId="77777777" w:rsidTr="007771FD">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11794CCF"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8. Integration Complexity in Mixed Methods</w:t>
            </w:r>
          </w:p>
        </w:tc>
        <w:tc>
          <w:tcPr>
            <w:tcW w:w="0" w:type="auto"/>
            <w:tcBorders>
              <w:top w:val="nil"/>
              <w:left w:val="nil"/>
              <w:bottom w:val="nil"/>
              <w:right w:val="nil"/>
            </w:tcBorders>
            <w:tcMar>
              <w:top w:w="15" w:type="dxa"/>
              <w:left w:w="15" w:type="dxa"/>
              <w:bottom w:w="15" w:type="dxa"/>
              <w:right w:w="15" w:type="dxa"/>
            </w:tcMar>
            <w:vAlign w:val="center"/>
            <w:hideMark/>
          </w:tcPr>
          <w:p w14:paraId="7584592B"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Combining quantitative and qualitative datasets introduces analytical challenges, especially where findings diverge.</w:t>
            </w:r>
          </w:p>
        </w:tc>
        <w:tc>
          <w:tcPr>
            <w:tcW w:w="0" w:type="auto"/>
            <w:tcBorders>
              <w:top w:val="nil"/>
              <w:left w:val="nil"/>
              <w:bottom w:val="nil"/>
              <w:right w:val="nil"/>
            </w:tcBorders>
            <w:tcMar>
              <w:top w:w="15" w:type="dxa"/>
              <w:left w:w="15" w:type="dxa"/>
              <w:bottom w:w="15" w:type="dxa"/>
              <w:right w:w="15" w:type="dxa"/>
            </w:tcMar>
            <w:vAlign w:val="center"/>
            <w:hideMark/>
          </w:tcPr>
          <w:p w14:paraId="715DBAC2"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Used joint displays, meta-inferences, and systematic triangulation; aligned integration strategy with explanatory sequential logic.</w:t>
            </w:r>
          </w:p>
        </w:tc>
      </w:tr>
      <w:tr w:rsidR="00736F61" w:rsidRPr="007771FD" w14:paraId="6DD7E559" w14:textId="77777777" w:rsidTr="007771FD">
        <w:trPr>
          <w:trHeight w:val="1591"/>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306996F6"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9. Limited Generalisability of Qualitative Findings</w:t>
            </w:r>
          </w:p>
        </w:tc>
        <w:tc>
          <w:tcPr>
            <w:tcW w:w="0" w:type="auto"/>
            <w:tcBorders>
              <w:top w:val="nil"/>
              <w:left w:val="nil"/>
              <w:bottom w:val="nil"/>
              <w:right w:val="nil"/>
            </w:tcBorders>
            <w:tcMar>
              <w:top w:w="15" w:type="dxa"/>
              <w:left w:w="15" w:type="dxa"/>
              <w:bottom w:w="15" w:type="dxa"/>
              <w:right w:w="15" w:type="dxa"/>
            </w:tcMar>
            <w:vAlign w:val="center"/>
            <w:hideMark/>
          </w:tcPr>
          <w:p w14:paraId="5DD138BA"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Micro-level insights from Sri Lanka’s A&amp;TI may not generalise to all countries or supply-chain contexts.</w:t>
            </w:r>
          </w:p>
        </w:tc>
        <w:tc>
          <w:tcPr>
            <w:tcW w:w="0" w:type="auto"/>
            <w:tcBorders>
              <w:top w:val="nil"/>
              <w:left w:val="nil"/>
              <w:bottom w:val="nil"/>
              <w:right w:val="nil"/>
            </w:tcBorders>
            <w:tcMar>
              <w:top w:w="15" w:type="dxa"/>
              <w:left w:w="15" w:type="dxa"/>
              <w:bottom w:w="15" w:type="dxa"/>
              <w:right w:w="15" w:type="dxa"/>
            </w:tcMar>
            <w:vAlign w:val="center"/>
            <w:hideMark/>
          </w:tcPr>
          <w:p w14:paraId="3E7A1DD9" w14:textId="77777777" w:rsidR="00736F61" w:rsidRPr="007771FD" w:rsidRDefault="00736F61" w:rsidP="003F224E">
            <w:pPr>
              <w:spacing w:after="0" w:line="240" w:lineRule="auto"/>
              <w:rPr>
                <w:rFonts w:eastAsia="Times New Roman"/>
                <w:color w:val="auto"/>
                <w:sz w:val="20"/>
                <w:szCs w:val="20"/>
                <w:lang w:eastAsia="en-GB"/>
              </w:rPr>
            </w:pPr>
            <w:r w:rsidRPr="007771FD">
              <w:rPr>
                <w:rFonts w:eastAsia="Times New Roman"/>
                <w:color w:val="auto"/>
                <w:sz w:val="20"/>
                <w:szCs w:val="20"/>
                <w:lang w:eastAsia="en-GB"/>
              </w:rPr>
              <w:t>Positioned qualitative results as contextual explanations; used them to interpret—not generalise beyond—the quantitative findings.</w:t>
            </w:r>
          </w:p>
        </w:tc>
      </w:tr>
    </w:tbl>
    <w:p w14:paraId="0E86672B" w14:textId="77777777" w:rsidR="00736F61" w:rsidRPr="00CC1FC3" w:rsidRDefault="00736F61" w:rsidP="00736F61">
      <w:pPr>
        <w:spacing w:line="480" w:lineRule="auto"/>
      </w:pPr>
      <w:r w:rsidRPr="00CC1FC3">
        <w:rPr>
          <w:b/>
          <w:bCs/>
        </w:rPr>
        <w:t xml:space="preserve">Table </w:t>
      </w:r>
      <w:r>
        <w:rPr>
          <w:b/>
          <w:bCs/>
        </w:rPr>
        <w:t>5.19</w:t>
      </w:r>
      <w:r w:rsidRPr="00CC1FC3">
        <w:rPr>
          <w:b/>
          <w:bCs/>
        </w:rPr>
        <w:t>:</w:t>
      </w:r>
      <w:r w:rsidRPr="00CC1FC3">
        <w:t xml:space="preserve"> Methodological limitations</w:t>
      </w:r>
    </w:p>
    <w:p w14:paraId="55309C62" w14:textId="77777777" w:rsidR="00736F61" w:rsidRPr="00DD330E" w:rsidRDefault="00736F61" w:rsidP="00736F61">
      <w:pPr>
        <w:pStyle w:val="Heading2"/>
        <w:spacing w:before="0" w:after="0"/>
        <w:rPr>
          <w:rStyle w:val="Strong"/>
          <w:b/>
          <w:bCs/>
        </w:rPr>
      </w:pPr>
      <w:bookmarkStart w:id="220" w:name="_Toc221437668"/>
      <w:r w:rsidRPr="00DD330E">
        <w:rPr>
          <w:rStyle w:val="Strong"/>
          <w:b/>
        </w:rPr>
        <w:t>5.9 Summary</w:t>
      </w:r>
      <w:bookmarkEnd w:id="220"/>
    </w:p>
    <w:p w14:paraId="44EC4B8B" w14:textId="77777777" w:rsidR="00736F61" w:rsidRPr="00B82FF9" w:rsidRDefault="00736F61" w:rsidP="00736F61">
      <w:pPr>
        <w:spacing w:after="0" w:line="480" w:lineRule="auto"/>
        <w:jc w:val="both"/>
        <w:rPr>
          <w:rFonts w:eastAsia="Times New Roman"/>
          <w:color w:val="EE0000"/>
          <w:lang w:eastAsia="en-GB"/>
        </w:rPr>
      </w:pPr>
      <w:r w:rsidRPr="00B82FF9">
        <w:rPr>
          <w:rFonts w:eastAsia="Times New Roman"/>
          <w:color w:val="EE0000"/>
          <w:lang w:eastAsia="en-GB"/>
        </w:rPr>
        <w:t>This chapter has outlined the methodological framework guiding this study and justified the philosophical, theoretical, and practical choices underpinning the research design. Grounded in a critical realist ontology and a pragmatic epistemology, the chapter established a coherent philosophical foundation for investigating CMS as both a structurally embedded governance issue and a lived social reality. Positioning the study within Burrell and Morgan’s paradigmatic framework further clarified its alignment with Functionalist and Interpretivist traditions, while acknowledging critical insights from Radical perspectives.</w:t>
      </w:r>
      <w:r>
        <w:rPr>
          <w:rFonts w:eastAsia="Times New Roman"/>
          <w:color w:val="EE0000"/>
          <w:lang w:eastAsia="en-GB"/>
        </w:rPr>
        <w:t xml:space="preserve"> </w:t>
      </w:r>
      <w:r w:rsidRPr="00B82FF9">
        <w:rPr>
          <w:rFonts w:eastAsia="Times New Roman"/>
          <w:color w:val="EE0000"/>
          <w:lang w:eastAsia="en-GB"/>
        </w:rPr>
        <w:t xml:space="preserve">The chapter introduced the Integrated Conceptual Framework, structured around an Inputs–Throughput–Outputs logic informed by </w:t>
      </w:r>
      <w:r w:rsidRPr="001A08A6">
        <w:rPr>
          <w:rFonts w:eastAsia="Times New Roman"/>
          <w:color w:val="EE0000"/>
          <w:lang w:eastAsia="en-GB"/>
        </w:rPr>
        <w:t>NIT</w:t>
      </w:r>
      <w:r w:rsidRPr="00B82FF9">
        <w:rPr>
          <w:rFonts w:eastAsia="Times New Roman"/>
          <w:color w:val="EE0000"/>
          <w:lang w:eastAsia="en-GB"/>
        </w:rPr>
        <w:t>, with institutional decoupling as a central moderating mechanism. This framework guided the mixed-methods, multi-level design, linking macro-level institutional pressures, meso-level corporate governance responses, and micro-level worker experiences.</w:t>
      </w:r>
    </w:p>
    <w:p w14:paraId="381AFB93" w14:textId="77777777" w:rsidR="00736F61" w:rsidRDefault="00736F61" w:rsidP="00736F61">
      <w:pPr>
        <w:spacing w:before="100" w:beforeAutospacing="1" w:after="100" w:afterAutospacing="1" w:line="480" w:lineRule="auto"/>
        <w:ind w:firstLine="720"/>
        <w:jc w:val="both"/>
        <w:rPr>
          <w:rFonts w:eastAsia="Times New Roman"/>
          <w:color w:val="EE0000"/>
          <w:lang w:eastAsia="en-GB"/>
        </w:rPr>
      </w:pPr>
      <w:r w:rsidRPr="00B82FF9">
        <w:rPr>
          <w:rFonts w:eastAsia="Times New Roman"/>
          <w:color w:val="EE0000"/>
          <w:lang w:eastAsia="en-GB"/>
        </w:rPr>
        <w:lastRenderedPageBreak/>
        <w:t xml:space="preserve">An explanatory sequential mixed-methods approach was adopted, combining quantitative and qualitative strands to ensure both breadth and depth of analysis. The quantitative component examined cross-country governance indicators and firm-level SGIs using panel regression techniques, while the qualitative component involved disclosure analysis and in-depth fieldwork in Sri Lanka’s </w:t>
      </w:r>
      <w:r w:rsidRPr="001A08A6">
        <w:rPr>
          <w:rFonts w:eastAsia="Times New Roman"/>
          <w:color w:val="EE0000"/>
          <w:lang w:eastAsia="en-GB"/>
        </w:rPr>
        <w:t>A&amp;TI</w:t>
      </w:r>
      <w:r w:rsidRPr="00B82FF9">
        <w:rPr>
          <w:rFonts w:eastAsia="Times New Roman"/>
          <w:color w:val="EE0000"/>
          <w:lang w:eastAsia="en-GB"/>
        </w:rPr>
        <w:t>. The chapter also detailed procedures for data collection, analysis, integration, and triangulation, alongside considerations of validity, reliability, trustworthiness, and ethics.</w:t>
      </w:r>
      <w:r>
        <w:rPr>
          <w:rFonts w:eastAsia="Times New Roman"/>
          <w:color w:val="EE0000"/>
          <w:lang w:eastAsia="en-GB"/>
        </w:rPr>
        <w:t xml:space="preserve"> </w:t>
      </w:r>
      <w:r w:rsidRPr="00F26810">
        <w:rPr>
          <w:rFonts w:eastAsia="Times New Roman"/>
          <w:color w:val="EE0000"/>
          <w:lang w:eastAsia="en-GB"/>
        </w:rPr>
        <w:t>Building on this methodological foundation, Chapter 6 presents and discusses the empirical findings of the study.</w:t>
      </w:r>
    </w:p>
    <w:p w14:paraId="7E31F557" w14:textId="77777777" w:rsidR="00736F61" w:rsidRDefault="00736F61" w:rsidP="00736F61">
      <w:pPr>
        <w:spacing w:before="100" w:beforeAutospacing="1" w:after="100" w:afterAutospacing="1" w:line="480" w:lineRule="auto"/>
        <w:ind w:firstLine="720"/>
        <w:jc w:val="both"/>
        <w:rPr>
          <w:rFonts w:eastAsia="Times New Roman"/>
          <w:color w:val="EE0000"/>
          <w:lang w:eastAsia="en-GB"/>
        </w:rPr>
      </w:pPr>
    </w:p>
    <w:p w14:paraId="5D9DFA9F" w14:textId="77777777" w:rsidR="00736F61" w:rsidRDefault="00736F61" w:rsidP="00736F61">
      <w:pPr>
        <w:spacing w:before="100" w:beforeAutospacing="1" w:after="100" w:afterAutospacing="1" w:line="480" w:lineRule="auto"/>
        <w:ind w:firstLine="720"/>
        <w:jc w:val="both"/>
        <w:rPr>
          <w:rFonts w:eastAsia="Times New Roman"/>
          <w:color w:val="EE0000"/>
          <w:lang w:eastAsia="en-GB"/>
        </w:rPr>
      </w:pPr>
    </w:p>
    <w:p w14:paraId="10A494E2" w14:textId="77777777" w:rsidR="00736F61" w:rsidRDefault="00736F61" w:rsidP="00736F61">
      <w:pPr>
        <w:spacing w:before="100" w:beforeAutospacing="1" w:after="100" w:afterAutospacing="1" w:line="480" w:lineRule="auto"/>
        <w:ind w:firstLine="720"/>
        <w:jc w:val="both"/>
        <w:rPr>
          <w:rFonts w:eastAsia="Times New Roman"/>
          <w:color w:val="EE0000"/>
          <w:lang w:eastAsia="en-GB"/>
        </w:rPr>
      </w:pPr>
    </w:p>
    <w:p w14:paraId="14F063E4" w14:textId="77777777" w:rsidR="00736F61" w:rsidRDefault="00736F61" w:rsidP="00736F61">
      <w:pPr>
        <w:spacing w:before="100" w:beforeAutospacing="1" w:after="100" w:afterAutospacing="1" w:line="480" w:lineRule="auto"/>
        <w:ind w:firstLine="720"/>
        <w:jc w:val="both"/>
        <w:rPr>
          <w:rFonts w:eastAsia="Times New Roman"/>
          <w:color w:val="EE0000"/>
          <w:lang w:eastAsia="en-GB"/>
        </w:rPr>
      </w:pPr>
    </w:p>
    <w:p w14:paraId="6534E7BC" w14:textId="77777777" w:rsidR="00736F61" w:rsidRDefault="00736F61" w:rsidP="00736F61">
      <w:pPr>
        <w:spacing w:before="100" w:beforeAutospacing="1" w:after="100" w:afterAutospacing="1" w:line="480" w:lineRule="auto"/>
        <w:ind w:firstLine="720"/>
        <w:jc w:val="both"/>
        <w:rPr>
          <w:rFonts w:eastAsia="Times New Roman"/>
          <w:color w:val="EE0000"/>
          <w:lang w:eastAsia="en-GB"/>
        </w:rPr>
      </w:pPr>
    </w:p>
    <w:p w14:paraId="23D39A54" w14:textId="77777777" w:rsidR="001A2EBB" w:rsidRDefault="001A2EBB"/>
    <w:sectPr w:rsidR="001A2E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10968" w14:textId="77777777" w:rsidR="002856A2" w:rsidRDefault="002856A2" w:rsidP="00736F61">
      <w:pPr>
        <w:spacing w:after="0" w:line="240" w:lineRule="auto"/>
      </w:pPr>
      <w:r>
        <w:separator/>
      </w:r>
    </w:p>
  </w:endnote>
  <w:endnote w:type="continuationSeparator" w:id="0">
    <w:p w14:paraId="0D992DB4" w14:textId="77777777" w:rsidR="002856A2" w:rsidRDefault="002856A2" w:rsidP="00736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EFDBF" w14:textId="77777777" w:rsidR="002856A2" w:rsidRDefault="002856A2" w:rsidP="00736F61">
      <w:pPr>
        <w:spacing w:after="0" w:line="240" w:lineRule="auto"/>
      </w:pPr>
      <w:r>
        <w:separator/>
      </w:r>
    </w:p>
  </w:footnote>
  <w:footnote w:type="continuationSeparator" w:id="0">
    <w:p w14:paraId="6FA5A6A0" w14:textId="77777777" w:rsidR="002856A2" w:rsidRDefault="002856A2" w:rsidP="00736F61">
      <w:pPr>
        <w:spacing w:after="0" w:line="240" w:lineRule="auto"/>
      </w:pPr>
      <w:r>
        <w:continuationSeparator/>
      </w:r>
    </w:p>
  </w:footnote>
  <w:footnote w:id="1">
    <w:p w14:paraId="7CAA8586" w14:textId="77777777" w:rsidR="00736F61" w:rsidRDefault="00736F61" w:rsidP="00736F61">
      <w:pPr>
        <w:pStyle w:val="FootnoteText"/>
        <w:jc w:val="both"/>
      </w:pPr>
      <w:r>
        <w:rPr>
          <w:rStyle w:val="FootnoteReference"/>
        </w:rPr>
        <w:footnoteRef/>
      </w:r>
      <w:r>
        <w:t xml:space="preserve"> </w:t>
      </w:r>
      <w:r>
        <w:rPr>
          <w:color w:val="4D4D4D"/>
          <w:sz w:val="18"/>
          <w:szCs w:val="18"/>
          <w:shd w:val="clear" w:color="auto" w:fill="FFFFFF"/>
        </w:rPr>
        <w:t xml:space="preserve">Global Industry Classification Standard (GICS) is a common global classification standard used by many market participants. GICS is a four-tiered, hierarchical industry classification system. It consists of 11 sectors, 25 industry groups, 74 industries, and 163 sub-industries. (see more information:  </w:t>
      </w:r>
      <w:hyperlink r:id="rId1" w:history="1">
        <w:r>
          <w:rPr>
            <w:rStyle w:val="Hyperlink"/>
            <w:sz w:val="18"/>
            <w:szCs w:val="18"/>
            <w:shd w:val="clear" w:color="auto" w:fill="FFFFFF"/>
          </w:rPr>
          <w:t>https://www.lseg.com/en/data-analytics/financial-data/reference-data/classifications/business-and-industry-classifications/global-industry-classification-standard-system</w:t>
        </w:r>
      </w:hyperlink>
      <w:r>
        <w:rPr>
          <w:color w:val="4D4D4D"/>
          <w:sz w:val="18"/>
          <w:szCs w:val="18"/>
          <w:shd w:val="clear" w:color="auto" w:fill="FFFFFF"/>
        </w:rPr>
        <w:t xml:space="preserve">). </w:t>
      </w:r>
    </w:p>
  </w:footnote>
  <w:footnote w:id="2">
    <w:p w14:paraId="34D16E20" w14:textId="77777777" w:rsidR="00736F61" w:rsidRDefault="00736F61" w:rsidP="00736F61">
      <w:pPr>
        <w:pStyle w:val="FootnoteText"/>
        <w:jc w:val="both"/>
        <w:rPr>
          <w:sz w:val="18"/>
          <w:szCs w:val="18"/>
        </w:rPr>
      </w:pPr>
      <w:r>
        <w:rPr>
          <w:rStyle w:val="FootnoteReference"/>
        </w:rPr>
        <w:footnoteRef/>
      </w:r>
      <w:r>
        <w:t xml:space="preserve"> </w:t>
      </w:r>
      <w:r>
        <w:rPr>
          <w:sz w:val="18"/>
          <w:szCs w:val="18"/>
        </w:rPr>
        <w:t xml:space="preserve">The Refinitiv Business Classification (TRBC) is an industry classification of global companies developed by the Thomson Reuters. TRBC is designed to categorize companies and their financial instruments into sectors and industries, providing a standardized framework for investment analysis, portfolio management, and benchmarking. The TRBC system is hierarchical, with four levels ranging from broad economic sectors to more specific industries and subindustries. (See more information </w:t>
      </w:r>
      <w:hyperlink r:id="rId2" w:history="1">
        <w:r>
          <w:rPr>
            <w:rStyle w:val="Hyperlink"/>
            <w:sz w:val="18"/>
            <w:szCs w:val="18"/>
          </w:rPr>
          <w:t>https://www.lseg.com/en/data-analytics/financial-data/indices/trbc-business-classification</w:t>
        </w:r>
      </w:hyperlink>
      <w:r>
        <w:rPr>
          <w:sz w:val="18"/>
          <w:szCs w:val="18"/>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5C8D"/>
    <w:multiLevelType w:val="hybridMultilevel"/>
    <w:tmpl w:val="CD48CBD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5EEAA594"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320E95"/>
    <w:multiLevelType w:val="hybridMultilevel"/>
    <w:tmpl w:val="B4407F42"/>
    <w:lvl w:ilvl="0" w:tplc="01906AD8">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49570F0"/>
    <w:multiLevelType w:val="hybridMultilevel"/>
    <w:tmpl w:val="62DC23B4"/>
    <w:lvl w:ilvl="0" w:tplc="22080D4C">
      <w:start w:val="1"/>
      <w:numFmt w:val="bullet"/>
      <w:lvlText w:val=""/>
      <w:lvlJc w:val="left"/>
      <w:pPr>
        <w:ind w:left="928" w:hanging="360"/>
      </w:pPr>
      <w:rPr>
        <w:rFonts w:ascii="Symbol" w:hAnsi="Symbol" w:hint="default"/>
      </w:rPr>
    </w:lvl>
    <w:lvl w:ilvl="1" w:tplc="9FE827C6">
      <w:start w:val="1"/>
      <w:numFmt w:val="bullet"/>
      <w:lvlText w:val="o"/>
      <w:lvlJc w:val="left"/>
      <w:pPr>
        <w:ind w:left="1648" w:hanging="360"/>
      </w:pPr>
      <w:rPr>
        <w:rFonts w:ascii="Courier New" w:hAnsi="Courier New" w:hint="default"/>
      </w:rPr>
    </w:lvl>
    <w:lvl w:ilvl="2" w:tplc="22E282B0">
      <w:start w:val="1"/>
      <w:numFmt w:val="bullet"/>
      <w:lvlText w:val=""/>
      <w:lvlJc w:val="left"/>
      <w:pPr>
        <w:ind w:left="2368" w:hanging="360"/>
      </w:pPr>
      <w:rPr>
        <w:rFonts w:ascii="Wingdings" w:hAnsi="Wingdings" w:hint="default"/>
      </w:rPr>
    </w:lvl>
    <w:lvl w:ilvl="3" w:tplc="16787A02">
      <w:start w:val="1"/>
      <w:numFmt w:val="bullet"/>
      <w:lvlText w:val=""/>
      <w:lvlJc w:val="left"/>
      <w:pPr>
        <w:ind w:left="3088" w:hanging="360"/>
      </w:pPr>
      <w:rPr>
        <w:rFonts w:ascii="Symbol" w:hAnsi="Symbol" w:hint="default"/>
      </w:rPr>
    </w:lvl>
    <w:lvl w:ilvl="4" w:tplc="324ACAD2">
      <w:start w:val="1"/>
      <w:numFmt w:val="bullet"/>
      <w:lvlText w:val="o"/>
      <w:lvlJc w:val="left"/>
      <w:pPr>
        <w:ind w:left="3808" w:hanging="360"/>
      </w:pPr>
      <w:rPr>
        <w:rFonts w:ascii="Courier New" w:hAnsi="Courier New" w:hint="default"/>
      </w:rPr>
    </w:lvl>
    <w:lvl w:ilvl="5" w:tplc="84FC5400">
      <w:start w:val="1"/>
      <w:numFmt w:val="bullet"/>
      <w:lvlText w:val=""/>
      <w:lvlJc w:val="left"/>
      <w:pPr>
        <w:ind w:left="4528" w:hanging="360"/>
      </w:pPr>
      <w:rPr>
        <w:rFonts w:ascii="Wingdings" w:hAnsi="Wingdings" w:hint="default"/>
      </w:rPr>
    </w:lvl>
    <w:lvl w:ilvl="6" w:tplc="14B85E3C">
      <w:start w:val="1"/>
      <w:numFmt w:val="bullet"/>
      <w:lvlText w:val=""/>
      <w:lvlJc w:val="left"/>
      <w:pPr>
        <w:ind w:left="5248" w:hanging="360"/>
      </w:pPr>
      <w:rPr>
        <w:rFonts w:ascii="Symbol" w:hAnsi="Symbol" w:hint="default"/>
      </w:rPr>
    </w:lvl>
    <w:lvl w:ilvl="7" w:tplc="C0A86208">
      <w:start w:val="1"/>
      <w:numFmt w:val="bullet"/>
      <w:lvlText w:val="o"/>
      <w:lvlJc w:val="left"/>
      <w:pPr>
        <w:ind w:left="5968" w:hanging="360"/>
      </w:pPr>
      <w:rPr>
        <w:rFonts w:ascii="Courier New" w:hAnsi="Courier New" w:hint="default"/>
      </w:rPr>
    </w:lvl>
    <w:lvl w:ilvl="8" w:tplc="673CCE72">
      <w:start w:val="1"/>
      <w:numFmt w:val="bullet"/>
      <w:lvlText w:val=""/>
      <w:lvlJc w:val="left"/>
      <w:pPr>
        <w:ind w:left="6688" w:hanging="360"/>
      </w:pPr>
      <w:rPr>
        <w:rFonts w:ascii="Wingdings" w:hAnsi="Wingdings" w:hint="default"/>
      </w:rPr>
    </w:lvl>
  </w:abstractNum>
  <w:abstractNum w:abstractNumId="3" w15:restartNumberingAfterBreak="0">
    <w:nsid w:val="0A1328DE"/>
    <w:multiLevelType w:val="multilevel"/>
    <w:tmpl w:val="08A28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E6D11F"/>
    <w:multiLevelType w:val="hybridMultilevel"/>
    <w:tmpl w:val="CB3660F8"/>
    <w:lvl w:ilvl="0" w:tplc="7716F634">
      <w:start w:val="1"/>
      <w:numFmt w:val="bullet"/>
      <w:lvlText w:val=""/>
      <w:lvlJc w:val="left"/>
      <w:pPr>
        <w:ind w:left="720" w:hanging="360"/>
      </w:pPr>
      <w:rPr>
        <w:rFonts w:ascii="Symbol" w:hAnsi="Symbol" w:hint="default"/>
      </w:rPr>
    </w:lvl>
    <w:lvl w:ilvl="1" w:tplc="DA80E7D0">
      <w:start w:val="1"/>
      <w:numFmt w:val="bullet"/>
      <w:lvlText w:val="o"/>
      <w:lvlJc w:val="left"/>
      <w:pPr>
        <w:ind w:left="1440" w:hanging="360"/>
      </w:pPr>
      <w:rPr>
        <w:rFonts w:ascii="Courier New" w:hAnsi="Courier New" w:hint="default"/>
      </w:rPr>
    </w:lvl>
    <w:lvl w:ilvl="2" w:tplc="B822978C">
      <w:start w:val="1"/>
      <w:numFmt w:val="bullet"/>
      <w:lvlText w:val=""/>
      <w:lvlJc w:val="left"/>
      <w:pPr>
        <w:ind w:left="2160" w:hanging="360"/>
      </w:pPr>
      <w:rPr>
        <w:rFonts w:ascii="Wingdings" w:hAnsi="Wingdings" w:hint="default"/>
      </w:rPr>
    </w:lvl>
    <w:lvl w:ilvl="3" w:tplc="479A4F94">
      <w:start w:val="1"/>
      <w:numFmt w:val="bullet"/>
      <w:lvlText w:val=""/>
      <w:lvlJc w:val="left"/>
      <w:pPr>
        <w:ind w:left="2880" w:hanging="360"/>
      </w:pPr>
      <w:rPr>
        <w:rFonts w:ascii="Symbol" w:hAnsi="Symbol" w:hint="default"/>
      </w:rPr>
    </w:lvl>
    <w:lvl w:ilvl="4" w:tplc="4A7CFD4A">
      <w:start w:val="1"/>
      <w:numFmt w:val="bullet"/>
      <w:lvlText w:val="o"/>
      <w:lvlJc w:val="left"/>
      <w:pPr>
        <w:ind w:left="3600" w:hanging="360"/>
      </w:pPr>
      <w:rPr>
        <w:rFonts w:ascii="Courier New" w:hAnsi="Courier New" w:hint="default"/>
      </w:rPr>
    </w:lvl>
    <w:lvl w:ilvl="5" w:tplc="ABA8DEA0">
      <w:start w:val="1"/>
      <w:numFmt w:val="bullet"/>
      <w:lvlText w:val=""/>
      <w:lvlJc w:val="left"/>
      <w:pPr>
        <w:ind w:left="4320" w:hanging="360"/>
      </w:pPr>
      <w:rPr>
        <w:rFonts w:ascii="Wingdings" w:hAnsi="Wingdings" w:hint="default"/>
      </w:rPr>
    </w:lvl>
    <w:lvl w:ilvl="6" w:tplc="59E4E360">
      <w:start w:val="1"/>
      <w:numFmt w:val="bullet"/>
      <w:lvlText w:val=""/>
      <w:lvlJc w:val="left"/>
      <w:pPr>
        <w:ind w:left="5040" w:hanging="360"/>
      </w:pPr>
      <w:rPr>
        <w:rFonts w:ascii="Symbol" w:hAnsi="Symbol" w:hint="default"/>
      </w:rPr>
    </w:lvl>
    <w:lvl w:ilvl="7" w:tplc="5DFE6EBC">
      <w:start w:val="1"/>
      <w:numFmt w:val="bullet"/>
      <w:lvlText w:val="o"/>
      <w:lvlJc w:val="left"/>
      <w:pPr>
        <w:ind w:left="5760" w:hanging="360"/>
      </w:pPr>
      <w:rPr>
        <w:rFonts w:ascii="Courier New" w:hAnsi="Courier New" w:hint="default"/>
      </w:rPr>
    </w:lvl>
    <w:lvl w:ilvl="8" w:tplc="9614EB18">
      <w:start w:val="1"/>
      <w:numFmt w:val="bullet"/>
      <w:lvlText w:val=""/>
      <w:lvlJc w:val="left"/>
      <w:pPr>
        <w:ind w:left="6480" w:hanging="360"/>
      </w:pPr>
      <w:rPr>
        <w:rFonts w:ascii="Wingdings" w:hAnsi="Wingdings" w:hint="default"/>
      </w:rPr>
    </w:lvl>
  </w:abstractNum>
  <w:abstractNum w:abstractNumId="5" w15:restartNumberingAfterBreak="0">
    <w:nsid w:val="100F344B"/>
    <w:multiLevelType w:val="multilevel"/>
    <w:tmpl w:val="C02009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C34665"/>
    <w:multiLevelType w:val="multilevel"/>
    <w:tmpl w:val="9B2EB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305607"/>
    <w:multiLevelType w:val="hybridMultilevel"/>
    <w:tmpl w:val="09F0A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5547E4"/>
    <w:multiLevelType w:val="multilevel"/>
    <w:tmpl w:val="46AED576"/>
    <w:lvl w:ilvl="0">
      <w:start w:val="1"/>
      <w:numFmt w:val="decimal"/>
      <w:lvlText w:val="%1."/>
      <w:lvlJc w:val="left"/>
      <w:pPr>
        <w:ind w:left="420" w:hanging="360"/>
      </w:pPr>
      <w:rPr>
        <w:rFonts w:hint="default"/>
      </w:rPr>
    </w:lvl>
    <w:lvl w:ilvl="1">
      <w:start w:val="4"/>
      <w:numFmt w:val="decimal"/>
      <w:isLgl/>
      <w:lvlText w:val="%1.%2"/>
      <w:lvlJc w:val="left"/>
      <w:pPr>
        <w:ind w:left="780" w:hanging="7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1140" w:hanging="1080"/>
      </w:pPr>
      <w:rPr>
        <w:rFonts w:hint="default"/>
      </w:rPr>
    </w:lvl>
    <w:lvl w:ilvl="4">
      <w:start w:val="1"/>
      <w:numFmt w:val="decimal"/>
      <w:isLgl/>
      <w:lvlText w:val="%1.%2.%3.%4.%5"/>
      <w:lvlJc w:val="left"/>
      <w:pPr>
        <w:ind w:left="1500" w:hanging="1440"/>
      </w:pPr>
      <w:rPr>
        <w:rFonts w:hint="default"/>
      </w:rPr>
    </w:lvl>
    <w:lvl w:ilvl="5">
      <w:start w:val="1"/>
      <w:numFmt w:val="decimal"/>
      <w:isLgl/>
      <w:lvlText w:val="%1.%2.%3.%4.%5.%6"/>
      <w:lvlJc w:val="left"/>
      <w:pPr>
        <w:ind w:left="1860" w:hanging="1800"/>
      </w:pPr>
      <w:rPr>
        <w:rFonts w:hint="default"/>
      </w:rPr>
    </w:lvl>
    <w:lvl w:ilvl="6">
      <w:start w:val="1"/>
      <w:numFmt w:val="decimal"/>
      <w:isLgl/>
      <w:lvlText w:val="%1.%2.%3.%4.%5.%6.%7"/>
      <w:lvlJc w:val="left"/>
      <w:pPr>
        <w:ind w:left="1860" w:hanging="1800"/>
      </w:pPr>
      <w:rPr>
        <w:rFonts w:hint="default"/>
      </w:rPr>
    </w:lvl>
    <w:lvl w:ilvl="7">
      <w:start w:val="1"/>
      <w:numFmt w:val="decimal"/>
      <w:isLgl/>
      <w:lvlText w:val="%1.%2.%3.%4.%5.%6.%7.%8"/>
      <w:lvlJc w:val="left"/>
      <w:pPr>
        <w:ind w:left="2220" w:hanging="2160"/>
      </w:pPr>
      <w:rPr>
        <w:rFonts w:hint="default"/>
      </w:rPr>
    </w:lvl>
    <w:lvl w:ilvl="8">
      <w:start w:val="1"/>
      <w:numFmt w:val="decimal"/>
      <w:isLgl/>
      <w:lvlText w:val="%1.%2.%3.%4.%5.%6.%7.%8.%9"/>
      <w:lvlJc w:val="left"/>
      <w:pPr>
        <w:ind w:left="2580" w:hanging="2520"/>
      </w:pPr>
      <w:rPr>
        <w:rFonts w:hint="default"/>
      </w:rPr>
    </w:lvl>
  </w:abstractNum>
  <w:abstractNum w:abstractNumId="9" w15:restartNumberingAfterBreak="0">
    <w:nsid w:val="190E6299"/>
    <w:multiLevelType w:val="multilevel"/>
    <w:tmpl w:val="AA52BE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928"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4E750B"/>
    <w:multiLevelType w:val="multilevel"/>
    <w:tmpl w:val="DEE6C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B81F15"/>
    <w:multiLevelType w:val="hybridMultilevel"/>
    <w:tmpl w:val="39B09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A0E4A"/>
    <w:multiLevelType w:val="multilevel"/>
    <w:tmpl w:val="C50029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1F94D80"/>
    <w:multiLevelType w:val="multilevel"/>
    <w:tmpl w:val="B7001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5D5CFA"/>
    <w:multiLevelType w:val="multilevel"/>
    <w:tmpl w:val="A9A80F96"/>
    <w:lvl w:ilvl="0">
      <w:start w:val="1"/>
      <w:numFmt w:val="decimal"/>
      <w:lvlText w:val="%1."/>
      <w:lvlJc w:val="left"/>
      <w:pPr>
        <w:tabs>
          <w:tab w:val="num" w:pos="720"/>
        </w:tabs>
        <w:ind w:left="720" w:hanging="360"/>
      </w:pPr>
    </w:lvl>
    <w:lvl w:ilvl="1">
      <w:start w:val="10"/>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36B4AED"/>
    <w:multiLevelType w:val="multilevel"/>
    <w:tmpl w:val="9E2EF4E6"/>
    <w:lvl w:ilvl="0">
      <w:start w:val="1"/>
      <w:numFmt w:val="decimal"/>
      <w:lvlText w:val="%1."/>
      <w:lvlJc w:val="left"/>
      <w:pPr>
        <w:ind w:left="720" w:hanging="360"/>
      </w:pPr>
      <w:rPr>
        <w:rFonts w:hint="default"/>
      </w:rPr>
    </w:lvl>
    <w:lvl w:ilvl="1">
      <w:start w:val="1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33CB1EAE"/>
    <w:multiLevelType w:val="multilevel"/>
    <w:tmpl w:val="83AAB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D3717E"/>
    <w:multiLevelType w:val="hybridMultilevel"/>
    <w:tmpl w:val="4CE41E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94415F"/>
    <w:multiLevelType w:val="multilevel"/>
    <w:tmpl w:val="14FC6FDA"/>
    <w:lvl w:ilvl="0">
      <w:start w:val="1"/>
      <w:numFmt w:val="decimal"/>
      <w:lvlText w:val="%1."/>
      <w:lvlJc w:val="left"/>
      <w:pPr>
        <w:ind w:left="1080" w:hanging="360"/>
      </w:pPr>
      <w:rPr>
        <w:rFonts w:hint="default"/>
      </w:rPr>
    </w:lvl>
    <w:lvl w:ilvl="1">
      <w:start w:val="3"/>
      <w:numFmt w:val="decimal"/>
      <w:isLgl/>
      <w:lvlText w:val="%1.%2"/>
      <w:lvlJc w:val="left"/>
      <w:pPr>
        <w:ind w:left="1575" w:hanging="855"/>
      </w:pPr>
      <w:rPr>
        <w:rFonts w:hint="default"/>
      </w:rPr>
    </w:lvl>
    <w:lvl w:ilvl="2">
      <w:start w:val="6"/>
      <w:numFmt w:val="decimal"/>
      <w:isLgl/>
      <w:lvlText w:val="%1.%2.%3"/>
      <w:lvlJc w:val="left"/>
      <w:pPr>
        <w:ind w:left="1575" w:hanging="855"/>
      </w:pPr>
      <w:rPr>
        <w:rFonts w:hint="default"/>
      </w:rPr>
    </w:lvl>
    <w:lvl w:ilvl="3">
      <w:start w:val="1"/>
      <w:numFmt w:val="decimal"/>
      <w:isLgl/>
      <w:lvlText w:val="%1.%2.%3.%4"/>
      <w:lvlJc w:val="left"/>
      <w:pPr>
        <w:ind w:left="1575" w:hanging="855"/>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9" w15:restartNumberingAfterBreak="0">
    <w:nsid w:val="37ED3B71"/>
    <w:multiLevelType w:val="hybridMultilevel"/>
    <w:tmpl w:val="7C7043FA"/>
    <w:lvl w:ilvl="0" w:tplc="F926CFB8">
      <w:start w:val="4"/>
      <w:numFmt w:val="lowerLetter"/>
      <w:lvlText w:val="%1)"/>
      <w:lvlJc w:val="left"/>
      <w:pPr>
        <w:ind w:left="720" w:hanging="360"/>
      </w:pPr>
      <w:rPr>
        <w:rFonts w:asciiTheme="minorHAnsi" w:eastAsia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7C16B3"/>
    <w:multiLevelType w:val="hybridMultilevel"/>
    <w:tmpl w:val="02780912"/>
    <w:lvl w:ilvl="0" w:tplc="13D8A734">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1" w15:restartNumberingAfterBreak="0">
    <w:nsid w:val="4B570B29"/>
    <w:multiLevelType w:val="hybridMultilevel"/>
    <w:tmpl w:val="45868B8A"/>
    <w:lvl w:ilvl="0" w:tplc="13D8A734">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2" w15:restartNumberingAfterBreak="0">
    <w:nsid w:val="4E321B56"/>
    <w:multiLevelType w:val="hybridMultilevel"/>
    <w:tmpl w:val="D52EFC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02B4FF7"/>
    <w:multiLevelType w:val="multilevel"/>
    <w:tmpl w:val="A0DC8A7A"/>
    <w:lvl w:ilvl="0">
      <w:start w:val="1"/>
      <w:numFmt w:val="decimal"/>
      <w:lvlText w:val="%1."/>
      <w:lvlJc w:val="left"/>
      <w:pPr>
        <w:ind w:left="786" w:hanging="360"/>
      </w:pPr>
      <w:rPr>
        <w:rFonts w:hint="default"/>
      </w:rPr>
    </w:lvl>
    <w:lvl w:ilvl="1">
      <w:start w:val="4"/>
      <w:numFmt w:val="decimal"/>
      <w:isLgl/>
      <w:lvlText w:val="%1.%2"/>
      <w:lvlJc w:val="left"/>
      <w:pPr>
        <w:ind w:left="786" w:hanging="36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146" w:hanging="72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506" w:hanging="108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1866" w:hanging="1440"/>
      </w:pPr>
      <w:rPr>
        <w:rFonts w:hint="default"/>
      </w:rPr>
    </w:lvl>
    <w:lvl w:ilvl="8">
      <w:start w:val="1"/>
      <w:numFmt w:val="decimal"/>
      <w:isLgl/>
      <w:lvlText w:val="%1.%2.%3.%4.%5.%6.%7.%8.%9"/>
      <w:lvlJc w:val="left"/>
      <w:pPr>
        <w:ind w:left="2226" w:hanging="1800"/>
      </w:pPr>
      <w:rPr>
        <w:rFonts w:hint="default"/>
      </w:rPr>
    </w:lvl>
  </w:abstractNum>
  <w:abstractNum w:abstractNumId="24" w15:restartNumberingAfterBreak="0">
    <w:nsid w:val="51434D6C"/>
    <w:multiLevelType w:val="multilevel"/>
    <w:tmpl w:val="CCCC34FC"/>
    <w:lvl w:ilvl="0">
      <w:start w:val="1"/>
      <w:numFmt w:val="upperRoman"/>
      <w:lvlText w:val="%1."/>
      <w:lvlJc w:val="right"/>
      <w:pPr>
        <w:ind w:left="720" w:hanging="360"/>
      </w:pPr>
      <w:rPr>
        <w:rFonts w:hint="default"/>
      </w:rPr>
    </w:lvl>
    <w:lvl w:ilvl="1">
      <w:start w:val="1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22D4A8B"/>
    <w:multiLevelType w:val="multilevel"/>
    <w:tmpl w:val="329CDF8A"/>
    <w:lvl w:ilvl="0">
      <w:start w:val="2"/>
      <w:numFmt w:val="decimal"/>
      <w:lvlText w:val="%1"/>
      <w:lvlJc w:val="left"/>
      <w:pPr>
        <w:ind w:left="660" w:hanging="660"/>
      </w:pPr>
      <w:rPr>
        <w:rFonts w:hint="default"/>
      </w:rPr>
    </w:lvl>
    <w:lvl w:ilvl="1">
      <w:start w:val="4"/>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67FD160"/>
    <w:multiLevelType w:val="hybridMultilevel"/>
    <w:tmpl w:val="B53AE2F2"/>
    <w:lvl w:ilvl="0" w:tplc="FEFE15F8">
      <w:start w:val="1"/>
      <w:numFmt w:val="decimal"/>
      <w:lvlText w:val="%1."/>
      <w:lvlJc w:val="left"/>
      <w:pPr>
        <w:ind w:left="720" w:hanging="360"/>
      </w:pPr>
    </w:lvl>
    <w:lvl w:ilvl="1" w:tplc="1B2E271C">
      <w:start w:val="1"/>
      <w:numFmt w:val="lowerLetter"/>
      <w:lvlText w:val="%2."/>
      <w:lvlJc w:val="left"/>
      <w:pPr>
        <w:ind w:left="1440" w:hanging="360"/>
      </w:pPr>
    </w:lvl>
    <w:lvl w:ilvl="2" w:tplc="E59E98EC">
      <w:start w:val="1"/>
      <w:numFmt w:val="lowerRoman"/>
      <w:lvlText w:val="%3."/>
      <w:lvlJc w:val="right"/>
      <w:pPr>
        <w:ind w:left="2160" w:hanging="180"/>
      </w:pPr>
    </w:lvl>
    <w:lvl w:ilvl="3" w:tplc="105E353A">
      <w:start w:val="1"/>
      <w:numFmt w:val="decimal"/>
      <w:lvlText w:val="%4."/>
      <w:lvlJc w:val="left"/>
      <w:pPr>
        <w:ind w:left="2880" w:hanging="360"/>
      </w:pPr>
    </w:lvl>
    <w:lvl w:ilvl="4" w:tplc="57BC5674">
      <w:start w:val="1"/>
      <w:numFmt w:val="lowerLetter"/>
      <w:lvlText w:val="%5."/>
      <w:lvlJc w:val="left"/>
      <w:pPr>
        <w:ind w:left="3600" w:hanging="360"/>
      </w:pPr>
    </w:lvl>
    <w:lvl w:ilvl="5" w:tplc="FC98FCBA">
      <w:start w:val="1"/>
      <w:numFmt w:val="lowerRoman"/>
      <w:lvlText w:val="%6."/>
      <w:lvlJc w:val="right"/>
      <w:pPr>
        <w:ind w:left="4320" w:hanging="180"/>
      </w:pPr>
    </w:lvl>
    <w:lvl w:ilvl="6" w:tplc="1CDA389C">
      <w:start w:val="1"/>
      <w:numFmt w:val="decimal"/>
      <w:lvlText w:val="%7."/>
      <w:lvlJc w:val="left"/>
      <w:pPr>
        <w:ind w:left="5040" w:hanging="360"/>
      </w:pPr>
    </w:lvl>
    <w:lvl w:ilvl="7" w:tplc="3190CC86">
      <w:start w:val="1"/>
      <w:numFmt w:val="lowerLetter"/>
      <w:lvlText w:val="%8."/>
      <w:lvlJc w:val="left"/>
      <w:pPr>
        <w:ind w:left="5760" w:hanging="360"/>
      </w:pPr>
    </w:lvl>
    <w:lvl w:ilvl="8" w:tplc="B4325608">
      <w:start w:val="1"/>
      <w:numFmt w:val="lowerRoman"/>
      <w:lvlText w:val="%9."/>
      <w:lvlJc w:val="right"/>
      <w:pPr>
        <w:ind w:left="6480" w:hanging="180"/>
      </w:pPr>
    </w:lvl>
  </w:abstractNum>
  <w:abstractNum w:abstractNumId="27" w15:restartNumberingAfterBreak="0">
    <w:nsid w:val="58C65BCE"/>
    <w:multiLevelType w:val="hybridMultilevel"/>
    <w:tmpl w:val="5476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E666A"/>
    <w:multiLevelType w:val="multilevel"/>
    <w:tmpl w:val="20967630"/>
    <w:lvl w:ilvl="0">
      <w:start w:val="2"/>
      <w:numFmt w:val="decimal"/>
      <w:lvlText w:val="%1"/>
      <w:lvlJc w:val="left"/>
      <w:pPr>
        <w:ind w:left="660" w:hanging="660"/>
      </w:pPr>
      <w:rPr>
        <w:rFonts w:hint="default"/>
      </w:rPr>
    </w:lvl>
    <w:lvl w:ilvl="1">
      <w:start w:val="4"/>
      <w:numFmt w:val="decimal"/>
      <w:lvlText w:val="%1.%2"/>
      <w:lvlJc w:val="left"/>
      <w:pPr>
        <w:ind w:left="944" w:hanging="660"/>
      </w:pPr>
      <w:rPr>
        <w:rFonts w:hint="default"/>
      </w:rPr>
    </w:lvl>
    <w:lvl w:ilvl="2">
      <w:start w:val="2"/>
      <w:numFmt w:val="decimal"/>
      <w:lvlText w:val="%1.%2.%3"/>
      <w:lvlJc w:val="left"/>
      <w:pPr>
        <w:ind w:left="720" w:hanging="720"/>
      </w:pPr>
      <w:rPr>
        <w:rFonts w:hint="default"/>
      </w:rPr>
    </w:lvl>
    <w:lvl w:ilvl="3">
      <w:start w:val="4"/>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DFF43EC"/>
    <w:multiLevelType w:val="hybridMultilevel"/>
    <w:tmpl w:val="0FE88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3B0DAF"/>
    <w:multiLevelType w:val="hybridMultilevel"/>
    <w:tmpl w:val="11AAEC72"/>
    <w:lvl w:ilvl="0" w:tplc="6ECAA592">
      <w:start w:val="2"/>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C52E5F"/>
    <w:multiLevelType w:val="hybridMultilevel"/>
    <w:tmpl w:val="C85854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2975C9"/>
    <w:multiLevelType w:val="hybridMultilevel"/>
    <w:tmpl w:val="B1A20D06"/>
    <w:lvl w:ilvl="0" w:tplc="0B144FD2">
      <w:start w:val="3"/>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2B2BF4"/>
    <w:multiLevelType w:val="hybridMultilevel"/>
    <w:tmpl w:val="DF78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19197D"/>
    <w:multiLevelType w:val="multilevel"/>
    <w:tmpl w:val="1E62E418"/>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65A26DC"/>
    <w:multiLevelType w:val="hybridMultilevel"/>
    <w:tmpl w:val="EA649F04"/>
    <w:lvl w:ilvl="0" w:tplc="01906A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6373C0"/>
    <w:multiLevelType w:val="hybridMultilevel"/>
    <w:tmpl w:val="A948D204"/>
    <w:lvl w:ilvl="0" w:tplc="01906A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D0FDFD"/>
    <w:multiLevelType w:val="hybridMultilevel"/>
    <w:tmpl w:val="585403B2"/>
    <w:lvl w:ilvl="0" w:tplc="3872F180">
      <w:start w:val="1"/>
      <w:numFmt w:val="bullet"/>
      <w:lvlText w:val=""/>
      <w:lvlJc w:val="left"/>
      <w:pPr>
        <w:ind w:left="720" w:hanging="360"/>
      </w:pPr>
      <w:rPr>
        <w:rFonts w:ascii="Symbol" w:hAnsi="Symbol" w:hint="default"/>
      </w:rPr>
    </w:lvl>
    <w:lvl w:ilvl="1" w:tplc="571AF2B2">
      <w:start w:val="1"/>
      <w:numFmt w:val="bullet"/>
      <w:lvlText w:val="o"/>
      <w:lvlJc w:val="left"/>
      <w:pPr>
        <w:ind w:left="1440" w:hanging="360"/>
      </w:pPr>
      <w:rPr>
        <w:rFonts w:ascii="Courier New" w:hAnsi="Courier New" w:hint="default"/>
      </w:rPr>
    </w:lvl>
    <w:lvl w:ilvl="2" w:tplc="49BAB694">
      <w:start w:val="1"/>
      <w:numFmt w:val="bullet"/>
      <w:lvlText w:val=""/>
      <w:lvlJc w:val="left"/>
      <w:pPr>
        <w:ind w:left="2160" w:hanging="360"/>
      </w:pPr>
      <w:rPr>
        <w:rFonts w:ascii="Wingdings" w:hAnsi="Wingdings" w:hint="default"/>
      </w:rPr>
    </w:lvl>
    <w:lvl w:ilvl="3" w:tplc="E6C8368A">
      <w:start w:val="1"/>
      <w:numFmt w:val="bullet"/>
      <w:lvlText w:val=""/>
      <w:lvlJc w:val="left"/>
      <w:pPr>
        <w:ind w:left="2880" w:hanging="360"/>
      </w:pPr>
      <w:rPr>
        <w:rFonts w:ascii="Symbol" w:hAnsi="Symbol" w:hint="default"/>
      </w:rPr>
    </w:lvl>
    <w:lvl w:ilvl="4" w:tplc="9A88FCB0">
      <w:start w:val="1"/>
      <w:numFmt w:val="bullet"/>
      <w:lvlText w:val="o"/>
      <w:lvlJc w:val="left"/>
      <w:pPr>
        <w:ind w:left="3600" w:hanging="360"/>
      </w:pPr>
      <w:rPr>
        <w:rFonts w:ascii="Courier New" w:hAnsi="Courier New" w:hint="default"/>
      </w:rPr>
    </w:lvl>
    <w:lvl w:ilvl="5" w:tplc="B5D08784">
      <w:start w:val="1"/>
      <w:numFmt w:val="bullet"/>
      <w:lvlText w:val=""/>
      <w:lvlJc w:val="left"/>
      <w:pPr>
        <w:ind w:left="4320" w:hanging="360"/>
      </w:pPr>
      <w:rPr>
        <w:rFonts w:ascii="Wingdings" w:hAnsi="Wingdings" w:hint="default"/>
      </w:rPr>
    </w:lvl>
    <w:lvl w:ilvl="6" w:tplc="3A622802">
      <w:start w:val="1"/>
      <w:numFmt w:val="bullet"/>
      <w:lvlText w:val=""/>
      <w:lvlJc w:val="left"/>
      <w:pPr>
        <w:ind w:left="5040" w:hanging="360"/>
      </w:pPr>
      <w:rPr>
        <w:rFonts w:ascii="Symbol" w:hAnsi="Symbol" w:hint="default"/>
      </w:rPr>
    </w:lvl>
    <w:lvl w:ilvl="7" w:tplc="1B76C036">
      <w:start w:val="1"/>
      <w:numFmt w:val="bullet"/>
      <w:lvlText w:val="o"/>
      <w:lvlJc w:val="left"/>
      <w:pPr>
        <w:ind w:left="5760" w:hanging="360"/>
      </w:pPr>
      <w:rPr>
        <w:rFonts w:ascii="Courier New" w:hAnsi="Courier New" w:hint="default"/>
      </w:rPr>
    </w:lvl>
    <w:lvl w:ilvl="8" w:tplc="5FAEFCFA">
      <w:start w:val="1"/>
      <w:numFmt w:val="bullet"/>
      <w:lvlText w:val=""/>
      <w:lvlJc w:val="left"/>
      <w:pPr>
        <w:ind w:left="6480" w:hanging="360"/>
      </w:pPr>
      <w:rPr>
        <w:rFonts w:ascii="Wingdings" w:hAnsi="Wingdings" w:hint="default"/>
      </w:rPr>
    </w:lvl>
  </w:abstractNum>
  <w:abstractNum w:abstractNumId="38" w15:restartNumberingAfterBreak="0">
    <w:nsid w:val="7FE019A4"/>
    <w:multiLevelType w:val="multilevel"/>
    <w:tmpl w:val="E2CC4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6803926">
    <w:abstractNumId w:val="23"/>
  </w:num>
  <w:num w:numId="2" w16cid:durableId="367417095">
    <w:abstractNumId w:val="34"/>
  </w:num>
  <w:num w:numId="3" w16cid:durableId="1953201675">
    <w:abstractNumId w:val="24"/>
  </w:num>
  <w:num w:numId="4" w16cid:durableId="1182938667">
    <w:abstractNumId w:val="27"/>
  </w:num>
  <w:num w:numId="5" w16cid:durableId="1932081697">
    <w:abstractNumId w:val="25"/>
    <w:lvlOverride w:ilvl="0">
      <w:startOverride w:val="2"/>
    </w:lvlOverride>
    <w:lvlOverride w:ilvl="1">
      <w:startOverride w:val="4"/>
    </w:lvlOverride>
    <w:lvlOverride w:ilvl="2">
      <w:startOverride w:val="2"/>
    </w:lvlOverride>
    <w:lvlOverride w:ilvl="3">
      <w:startOverride w:val="2"/>
    </w:lvlOverride>
  </w:num>
  <w:num w:numId="6" w16cid:durableId="902716765">
    <w:abstractNumId w:val="28"/>
  </w:num>
  <w:num w:numId="7" w16cid:durableId="179903956">
    <w:abstractNumId w:val="8"/>
  </w:num>
  <w:num w:numId="8" w16cid:durableId="1243182939">
    <w:abstractNumId w:val="4"/>
  </w:num>
  <w:num w:numId="9" w16cid:durableId="1057706276">
    <w:abstractNumId w:val="5"/>
  </w:num>
  <w:num w:numId="10" w16cid:durableId="1796369498">
    <w:abstractNumId w:val="2"/>
  </w:num>
  <w:num w:numId="11" w16cid:durableId="1411779672">
    <w:abstractNumId w:val="37"/>
  </w:num>
  <w:num w:numId="12" w16cid:durableId="725954040">
    <w:abstractNumId w:val="26"/>
  </w:num>
  <w:num w:numId="13" w16cid:durableId="1093354373">
    <w:abstractNumId w:val="14"/>
  </w:num>
  <w:num w:numId="14" w16cid:durableId="481772333">
    <w:abstractNumId w:val="29"/>
  </w:num>
  <w:num w:numId="15" w16cid:durableId="489711343">
    <w:abstractNumId w:val="38"/>
  </w:num>
  <w:num w:numId="16" w16cid:durableId="1756631447">
    <w:abstractNumId w:val="9"/>
  </w:num>
  <w:num w:numId="17" w16cid:durableId="1101681551">
    <w:abstractNumId w:val="10"/>
  </w:num>
  <w:num w:numId="18" w16cid:durableId="757407684">
    <w:abstractNumId w:val="1"/>
  </w:num>
  <w:num w:numId="19" w16cid:durableId="1798521773">
    <w:abstractNumId w:val="35"/>
  </w:num>
  <w:num w:numId="20" w16cid:durableId="202013857">
    <w:abstractNumId w:val="36"/>
  </w:num>
  <w:num w:numId="21" w16cid:durableId="959413805">
    <w:abstractNumId w:val="21"/>
  </w:num>
  <w:num w:numId="22" w16cid:durableId="1715735673">
    <w:abstractNumId w:val="20"/>
  </w:num>
  <w:num w:numId="23" w16cid:durableId="1871600736">
    <w:abstractNumId w:val="7"/>
  </w:num>
  <w:num w:numId="24" w16cid:durableId="1521312501">
    <w:abstractNumId w:val="3"/>
  </w:num>
  <w:num w:numId="25" w16cid:durableId="1891381661">
    <w:abstractNumId w:val="6"/>
  </w:num>
  <w:num w:numId="26" w16cid:durableId="354042170">
    <w:abstractNumId w:val="12"/>
  </w:num>
  <w:num w:numId="27" w16cid:durableId="719482026">
    <w:abstractNumId w:val="13"/>
  </w:num>
  <w:num w:numId="28" w16cid:durableId="926425781">
    <w:abstractNumId w:val="11"/>
  </w:num>
  <w:num w:numId="29" w16cid:durableId="523786595">
    <w:abstractNumId w:val="31"/>
  </w:num>
  <w:num w:numId="30" w16cid:durableId="21176337">
    <w:abstractNumId w:val="30"/>
  </w:num>
  <w:num w:numId="31" w16cid:durableId="1824271063">
    <w:abstractNumId w:val="32"/>
  </w:num>
  <w:num w:numId="32" w16cid:durableId="586155751">
    <w:abstractNumId w:val="19"/>
  </w:num>
  <w:num w:numId="33" w16cid:durableId="363294012">
    <w:abstractNumId w:val="33"/>
  </w:num>
  <w:num w:numId="34" w16cid:durableId="1642464549">
    <w:abstractNumId w:val="0"/>
  </w:num>
  <w:num w:numId="35" w16cid:durableId="144284588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5134516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685063022">
    <w:abstractNumId w:val="17"/>
  </w:num>
  <w:num w:numId="38" w16cid:durableId="509636887">
    <w:abstractNumId w:val="15"/>
  </w:num>
  <w:num w:numId="39" w16cid:durableId="157138751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F61"/>
    <w:rsid w:val="00077506"/>
    <w:rsid w:val="001A2EBB"/>
    <w:rsid w:val="002856A2"/>
    <w:rsid w:val="003C08A4"/>
    <w:rsid w:val="00560E1A"/>
    <w:rsid w:val="006C0835"/>
    <w:rsid w:val="00736F61"/>
    <w:rsid w:val="00C02E28"/>
    <w:rsid w:val="00CD2D77"/>
    <w:rsid w:val="00CD756E"/>
    <w:rsid w:val="00F63057"/>
    <w:rsid w:val="00FC5A21"/>
    <w:rsid w:val="00FF3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1876F"/>
  <w15:chartTrackingRefBased/>
  <w15:docId w15:val="{1E2D8FA7-4EA5-4A01-A9FF-09C54A3A7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467886" w:themeColor="hyperlink"/>
        <w:sz w:val="22"/>
        <w:szCs w:val="22"/>
        <w:u w:val="single"/>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F61"/>
    <w:rPr>
      <w:color w:val="000000"/>
      <w:sz w:val="24"/>
      <w:szCs w:val="24"/>
      <w:u w:val="none"/>
    </w:rPr>
  </w:style>
  <w:style w:type="paragraph" w:styleId="Heading1">
    <w:name w:val="heading 1"/>
    <w:basedOn w:val="Normal"/>
    <w:next w:val="Normal"/>
    <w:link w:val="Heading1Char"/>
    <w:autoRedefine/>
    <w:uiPriority w:val="9"/>
    <w:qFormat/>
    <w:rsid w:val="00F63057"/>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736F61"/>
    <w:pPr>
      <w:keepNext/>
      <w:keepLines/>
      <w:spacing w:before="160" w:after="80" w:line="480" w:lineRule="auto"/>
      <w:outlineLvl w:val="1"/>
    </w:pPr>
    <w:rPr>
      <w:rFonts w:eastAsia="Times New Roman"/>
      <w:b/>
      <w:bCs/>
      <w:color w:val="000000" w:themeColor="text1"/>
      <w:sz w:val="32"/>
      <w:lang w:eastAsia="en-GB"/>
    </w:rPr>
  </w:style>
  <w:style w:type="paragraph" w:styleId="Heading3">
    <w:name w:val="heading 3"/>
    <w:basedOn w:val="Normal"/>
    <w:next w:val="Normal"/>
    <w:link w:val="Heading3Char"/>
    <w:autoRedefine/>
    <w:uiPriority w:val="9"/>
    <w:unhideWhenUsed/>
    <w:qFormat/>
    <w:rsid w:val="00FC5A21"/>
    <w:pPr>
      <w:keepNext/>
      <w:keepLines/>
      <w:spacing w:before="160" w:after="80" w:line="480" w:lineRule="auto"/>
      <w:outlineLvl w:val="2"/>
    </w:pPr>
    <w:rPr>
      <w:rFonts w:eastAsiaTheme="majorEastAsia"/>
      <w:b/>
      <w:sz w:val="26"/>
      <w:szCs w:val="20"/>
      <w:shd w:val="clear" w:color="auto" w:fill="FFFFFF"/>
    </w:rPr>
  </w:style>
  <w:style w:type="paragraph" w:styleId="Heading4">
    <w:name w:val="heading 4"/>
    <w:basedOn w:val="Normal"/>
    <w:next w:val="Normal"/>
    <w:link w:val="Heading4Char"/>
    <w:autoRedefine/>
    <w:uiPriority w:val="9"/>
    <w:unhideWhenUsed/>
    <w:qFormat/>
    <w:rsid w:val="00F63057"/>
    <w:pPr>
      <w:keepNext/>
      <w:keepLines/>
      <w:spacing w:before="80" w:after="40"/>
      <w:outlineLvl w:val="3"/>
    </w:pPr>
    <w:rPr>
      <w:rFonts w:eastAsiaTheme="majorEastAsia" w:cstheme="majorBidi"/>
      <w:b/>
      <w:i/>
      <w:iCs/>
      <w:color w:val="000000" w:themeColor="text1"/>
    </w:rPr>
  </w:style>
  <w:style w:type="paragraph" w:styleId="Heading5">
    <w:name w:val="heading 5"/>
    <w:basedOn w:val="Normal"/>
    <w:next w:val="Normal"/>
    <w:link w:val="Heading5Char"/>
    <w:autoRedefine/>
    <w:uiPriority w:val="9"/>
    <w:unhideWhenUsed/>
    <w:qFormat/>
    <w:rsid w:val="00736F61"/>
    <w:pPr>
      <w:keepNext/>
      <w:keepLines/>
      <w:spacing w:before="80" w:after="40"/>
      <w:outlineLvl w:val="4"/>
    </w:pPr>
    <w:rPr>
      <w:rFonts w:eastAsiaTheme="majorEastAsia" w:cstheme="majorBidi"/>
      <w:b/>
      <w:i/>
      <w:color w:val="000000" w:themeColor="text1"/>
      <w:sz w:val="26"/>
    </w:rPr>
  </w:style>
  <w:style w:type="paragraph" w:styleId="Heading6">
    <w:name w:val="heading 6"/>
    <w:basedOn w:val="Normal"/>
    <w:next w:val="Normal"/>
    <w:link w:val="Heading6Char"/>
    <w:uiPriority w:val="9"/>
    <w:unhideWhenUsed/>
    <w:qFormat/>
    <w:rsid w:val="00736F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736F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736F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736F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057"/>
    <w:rPr>
      <w:rFonts w:ascii="Times New Roman" w:eastAsiaTheme="majorEastAsia" w:hAnsi="Times New Roman" w:cstheme="majorBidi"/>
      <w:b/>
      <w:color w:val="000000" w:themeColor="text1"/>
      <w:sz w:val="40"/>
      <w:szCs w:val="40"/>
    </w:rPr>
  </w:style>
  <w:style w:type="character" w:customStyle="1" w:styleId="Heading3Char">
    <w:name w:val="Heading 3 Char"/>
    <w:basedOn w:val="DefaultParagraphFont"/>
    <w:link w:val="Heading3"/>
    <w:uiPriority w:val="9"/>
    <w:rsid w:val="00FC5A21"/>
    <w:rPr>
      <w:rFonts w:ascii="Times New Roman" w:eastAsiaTheme="majorEastAsia" w:hAnsi="Times New Roman" w:cs="Times New Roman"/>
      <w:b/>
      <w:sz w:val="26"/>
      <w:szCs w:val="20"/>
    </w:rPr>
  </w:style>
  <w:style w:type="character" w:customStyle="1" w:styleId="Heading4Char">
    <w:name w:val="Heading 4 Char"/>
    <w:basedOn w:val="DefaultParagraphFont"/>
    <w:link w:val="Heading4"/>
    <w:uiPriority w:val="9"/>
    <w:rsid w:val="00F63057"/>
    <w:rPr>
      <w:rFonts w:ascii="Times New Roman" w:eastAsiaTheme="majorEastAsia" w:hAnsi="Times New Roman" w:cstheme="majorBidi"/>
      <w:b/>
      <w:i/>
      <w:iCs/>
      <w:color w:val="000000" w:themeColor="text1"/>
    </w:rPr>
  </w:style>
  <w:style w:type="character" w:customStyle="1" w:styleId="Heading2Char">
    <w:name w:val="Heading 2 Char"/>
    <w:basedOn w:val="DefaultParagraphFont"/>
    <w:link w:val="Heading2"/>
    <w:uiPriority w:val="9"/>
    <w:rsid w:val="00736F61"/>
    <w:rPr>
      <w:rFonts w:eastAsia="Times New Roman"/>
      <w:b/>
      <w:bCs/>
      <w:color w:val="000000" w:themeColor="text1"/>
      <w:sz w:val="32"/>
      <w:szCs w:val="24"/>
      <w:u w:val="none"/>
      <w:lang w:eastAsia="en-GB"/>
    </w:rPr>
  </w:style>
  <w:style w:type="character" w:customStyle="1" w:styleId="Heading5Char">
    <w:name w:val="Heading 5 Char"/>
    <w:basedOn w:val="DefaultParagraphFont"/>
    <w:link w:val="Heading5"/>
    <w:uiPriority w:val="9"/>
    <w:rsid w:val="00736F61"/>
    <w:rPr>
      <w:rFonts w:eastAsiaTheme="majorEastAsia" w:cstheme="majorBidi"/>
      <w:b/>
      <w:i/>
      <w:color w:val="000000" w:themeColor="text1"/>
      <w:sz w:val="26"/>
      <w:szCs w:val="24"/>
      <w:u w:val="none"/>
    </w:rPr>
  </w:style>
  <w:style w:type="character" w:customStyle="1" w:styleId="Heading6Char">
    <w:name w:val="Heading 6 Char"/>
    <w:basedOn w:val="DefaultParagraphFont"/>
    <w:link w:val="Heading6"/>
    <w:uiPriority w:val="9"/>
    <w:rsid w:val="00736F61"/>
    <w:rPr>
      <w:rFonts w:eastAsiaTheme="majorEastAsia" w:cstheme="majorBidi"/>
      <w:i/>
      <w:iCs/>
      <w:color w:val="595959" w:themeColor="text1" w:themeTint="A6"/>
      <w:sz w:val="24"/>
      <w:szCs w:val="24"/>
      <w:u w:val="none"/>
    </w:rPr>
  </w:style>
  <w:style w:type="character" w:customStyle="1" w:styleId="Heading7Char">
    <w:name w:val="Heading 7 Char"/>
    <w:basedOn w:val="DefaultParagraphFont"/>
    <w:link w:val="Heading7"/>
    <w:uiPriority w:val="9"/>
    <w:rsid w:val="00736F61"/>
    <w:rPr>
      <w:rFonts w:eastAsiaTheme="majorEastAsia" w:cstheme="majorBidi"/>
      <w:color w:val="595959" w:themeColor="text1" w:themeTint="A6"/>
      <w:sz w:val="24"/>
      <w:szCs w:val="24"/>
      <w:u w:val="none"/>
    </w:rPr>
  </w:style>
  <w:style w:type="character" w:customStyle="1" w:styleId="Heading8Char">
    <w:name w:val="Heading 8 Char"/>
    <w:basedOn w:val="DefaultParagraphFont"/>
    <w:link w:val="Heading8"/>
    <w:uiPriority w:val="9"/>
    <w:rsid w:val="00736F61"/>
    <w:rPr>
      <w:rFonts w:eastAsiaTheme="majorEastAsia" w:cstheme="majorBidi"/>
      <w:i/>
      <w:iCs/>
      <w:color w:val="272727" w:themeColor="text1" w:themeTint="D8"/>
      <w:sz w:val="24"/>
      <w:szCs w:val="24"/>
      <w:u w:val="none"/>
    </w:rPr>
  </w:style>
  <w:style w:type="character" w:customStyle="1" w:styleId="Heading9Char">
    <w:name w:val="Heading 9 Char"/>
    <w:basedOn w:val="DefaultParagraphFont"/>
    <w:link w:val="Heading9"/>
    <w:uiPriority w:val="9"/>
    <w:rsid w:val="00736F61"/>
    <w:rPr>
      <w:rFonts w:eastAsiaTheme="majorEastAsia" w:cstheme="majorBidi"/>
      <w:color w:val="272727" w:themeColor="text1" w:themeTint="D8"/>
      <w:sz w:val="24"/>
      <w:szCs w:val="24"/>
      <w:u w:val="none"/>
    </w:rPr>
  </w:style>
  <w:style w:type="paragraph" w:styleId="Title">
    <w:name w:val="Title"/>
    <w:basedOn w:val="Normal"/>
    <w:next w:val="Normal"/>
    <w:link w:val="TitleChar"/>
    <w:uiPriority w:val="10"/>
    <w:qFormat/>
    <w:rsid w:val="00736F61"/>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36F61"/>
    <w:rPr>
      <w:rFonts w:eastAsiaTheme="majorEastAsia" w:cstheme="majorBidi"/>
      <w:b/>
      <w:color w:val="000000"/>
      <w:spacing w:val="-10"/>
      <w:kern w:val="28"/>
      <w:sz w:val="56"/>
      <w:szCs w:val="56"/>
      <w:u w:val="none"/>
    </w:rPr>
  </w:style>
  <w:style w:type="paragraph" w:styleId="Subtitle">
    <w:name w:val="Subtitle"/>
    <w:basedOn w:val="Normal"/>
    <w:next w:val="Normal"/>
    <w:link w:val="SubtitleChar"/>
    <w:uiPriority w:val="11"/>
    <w:qFormat/>
    <w:rsid w:val="00736F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F61"/>
    <w:rPr>
      <w:rFonts w:eastAsiaTheme="majorEastAsia" w:cstheme="majorBidi"/>
      <w:color w:val="595959" w:themeColor="text1" w:themeTint="A6"/>
      <w:spacing w:val="15"/>
      <w:sz w:val="28"/>
      <w:szCs w:val="28"/>
      <w:u w:val="none"/>
    </w:rPr>
  </w:style>
  <w:style w:type="paragraph" w:styleId="Quote">
    <w:name w:val="Quote"/>
    <w:basedOn w:val="Normal"/>
    <w:next w:val="Normal"/>
    <w:link w:val="QuoteChar"/>
    <w:uiPriority w:val="29"/>
    <w:qFormat/>
    <w:rsid w:val="00736F61"/>
    <w:pPr>
      <w:spacing w:before="160"/>
      <w:jc w:val="center"/>
    </w:pPr>
    <w:rPr>
      <w:i/>
      <w:iCs/>
      <w:color w:val="404040" w:themeColor="text1" w:themeTint="BF"/>
    </w:rPr>
  </w:style>
  <w:style w:type="character" w:customStyle="1" w:styleId="QuoteChar">
    <w:name w:val="Quote Char"/>
    <w:basedOn w:val="DefaultParagraphFont"/>
    <w:link w:val="Quote"/>
    <w:uiPriority w:val="29"/>
    <w:rsid w:val="00736F61"/>
    <w:rPr>
      <w:i/>
      <w:iCs/>
      <w:color w:val="404040" w:themeColor="text1" w:themeTint="BF"/>
      <w:sz w:val="24"/>
      <w:szCs w:val="24"/>
      <w:u w:val="none"/>
    </w:rPr>
  </w:style>
  <w:style w:type="paragraph" w:styleId="ListParagraph">
    <w:name w:val="List Paragraph"/>
    <w:basedOn w:val="Normal"/>
    <w:uiPriority w:val="34"/>
    <w:qFormat/>
    <w:rsid w:val="00736F61"/>
    <w:pPr>
      <w:ind w:left="720"/>
      <w:contextualSpacing/>
    </w:pPr>
  </w:style>
  <w:style w:type="character" w:styleId="IntenseEmphasis">
    <w:name w:val="Intense Emphasis"/>
    <w:basedOn w:val="DefaultParagraphFont"/>
    <w:uiPriority w:val="21"/>
    <w:qFormat/>
    <w:rsid w:val="00736F61"/>
    <w:rPr>
      <w:i/>
      <w:iCs/>
      <w:color w:val="0F4761" w:themeColor="accent1" w:themeShade="BF"/>
    </w:rPr>
  </w:style>
  <w:style w:type="paragraph" w:styleId="IntenseQuote">
    <w:name w:val="Intense Quote"/>
    <w:basedOn w:val="Normal"/>
    <w:next w:val="Normal"/>
    <w:link w:val="IntenseQuoteChar"/>
    <w:uiPriority w:val="30"/>
    <w:qFormat/>
    <w:rsid w:val="00736F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F61"/>
    <w:rPr>
      <w:i/>
      <w:iCs/>
      <w:color w:val="0F4761" w:themeColor="accent1" w:themeShade="BF"/>
      <w:sz w:val="24"/>
      <w:szCs w:val="24"/>
      <w:u w:val="none"/>
    </w:rPr>
  </w:style>
  <w:style w:type="character" w:styleId="IntenseReference">
    <w:name w:val="Intense Reference"/>
    <w:basedOn w:val="DefaultParagraphFont"/>
    <w:uiPriority w:val="32"/>
    <w:qFormat/>
    <w:rsid w:val="00736F61"/>
    <w:rPr>
      <w:b/>
      <w:bCs/>
      <w:smallCaps/>
      <w:color w:val="0F4761" w:themeColor="accent1" w:themeShade="BF"/>
      <w:spacing w:val="5"/>
    </w:rPr>
  </w:style>
  <w:style w:type="character" w:styleId="Strong">
    <w:name w:val="Strong"/>
    <w:basedOn w:val="DefaultParagraphFont"/>
    <w:uiPriority w:val="22"/>
    <w:qFormat/>
    <w:rsid w:val="00736F61"/>
    <w:rPr>
      <w:b/>
      <w:bCs/>
    </w:rPr>
  </w:style>
  <w:style w:type="paragraph" w:styleId="NormalWeb">
    <w:name w:val="Normal (Web)"/>
    <w:basedOn w:val="Normal"/>
    <w:uiPriority w:val="99"/>
    <w:unhideWhenUsed/>
    <w:rsid w:val="00736F61"/>
    <w:pPr>
      <w:spacing w:before="100" w:beforeAutospacing="1" w:after="100" w:afterAutospacing="1" w:line="240" w:lineRule="auto"/>
    </w:pPr>
    <w:rPr>
      <w:rFonts w:eastAsia="Times New Roman"/>
      <w:lang w:eastAsia="en-GB"/>
    </w:rPr>
  </w:style>
  <w:style w:type="character" w:styleId="Emphasis">
    <w:name w:val="Emphasis"/>
    <w:basedOn w:val="DefaultParagraphFont"/>
    <w:uiPriority w:val="20"/>
    <w:qFormat/>
    <w:rsid w:val="00736F61"/>
    <w:rPr>
      <w:i/>
      <w:iCs/>
    </w:rPr>
  </w:style>
  <w:style w:type="paragraph" w:styleId="Header">
    <w:name w:val="header"/>
    <w:basedOn w:val="Normal"/>
    <w:link w:val="HeaderChar"/>
    <w:uiPriority w:val="99"/>
    <w:unhideWhenUsed/>
    <w:rsid w:val="00736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F61"/>
    <w:rPr>
      <w:color w:val="000000"/>
      <w:sz w:val="24"/>
      <w:szCs w:val="24"/>
      <w:u w:val="none"/>
    </w:rPr>
  </w:style>
  <w:style w:type="paragraph" w:styleId="Footer">
    <w:name w:val="footer"/>
    <w:basedOn w:val="Normal"/>
    <w:link w:val="FooterChar"/>
    <w:uiPriority w:val="99"/>
    <w:unhideWhenUsed/>
    <w:rsid w:val="00736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F61"/>
    <w:rPr>
      <w:color w:val="000000"/>
      <w:sz w:val="24"/>
      <w:szCs w:val="24"/>
      <w:u w:val="none"/>
    </w:rPr>
  </w:style>
  <w:style w:type="character" w:styleId="PlaceholderText">
    <w:name w:val="Placeholder Text"/>
    <w:basedOn w:val="DefaultParagraphFont"/>
    <w:uiPriority w:val="99"/>
    <w:semiHidden/>
    <w:rsid w:val="00736F61"/>
    <w:rPr>
      <w:color w:val="666666"/>
    </w:rPr>
  </w:style>
  <w:style w:type="character" w:customStyle="1" w:styleId="normaltextrun">
    <w:name w:val="normaltextrun"/>
    <w:basedOn w:val="DefaultParagraphFont"/>
    <w:rsid w:val="00736F61"/>
  </w:style>
  <w:style w:type="character" w:customStyle="1" w:styleId="superscript">
    <w:name w:val="superscript"/>
    <w:basedOn w:val="DefaultParagraphFont"/>
    <w:rsid w:val="00736F61"/>
  </w:style>
  <w:style w:type="paragraph" w:styleId="FootnoteText">
    <w:name w:val="footnote text"/>
    <w:basedOn w:val="Normal"/>
    <w:link w:val="FootnoteTextChar"/>
    <w:uiPriority w:val="99"/>
    <w:unhideWhenUsed/>
    <w:rsid w:val="00736F61"/>
    <w:pPr>
      <w:spacing w:after="0" w:line="240" w:lineRule="auto"/>
    </w:pPr>
    <w:rPr>
      <w:sz w:val="20"/>
      <w:szCs w:val="20"/>
    </w:rPr>
  </w:style>
  <w:style w:type="character" w:customStyle="1" w:styleId="FootnoteTextChar">
    <w:name w:val="Footnote Text Char"/>
    <w:basedOn w:val="DefaultParagraphFont"/>
    <w:link w:val="FootnoteText"/>
    <w:uiPriority w:val="99"/>
    <w:rsid w:val="00736F61"/>
    <w:rPr>
      <w:color w:val="000000"/>
      <w:sz w:val="20"/>
      <w:szCs w:val="20"/>
      <w:u w:val="none"/>
    </w:rPr>
  </w:style>
  <w:style w:type="character" w:styleId="FootnoteReference">
    <w:name w:val="footnote reference"/>
    <w:basedOn w:val="DefaultParagraphFont"/>
    <w:uiPriority w:val="99"/>
    <w:semiHidden/>
    <w:unhideWhenUsed/>
    <w:rsid w:val="00736F61"/>
    <w:rPr>
      <w:vertAlign w:val="superscript"/>
    </w:rPr>
  </w:style>
  <w:style w:type="character" w:customStyle="1" w:styleId="contentcontrolboundarysink">
    <w:name w:val="contentcontrolboundarysink"/>
    <w:basedOn w:val="DefaultParagraphFont"/>
    <w:rsid w:val="00736F61"/>
  </w:style>
  <w:style w:type="character" w:styleId="CommentReference">
    <w:name w:val="annotation reference"/>
    <w:basedOn w:val="DefaultParagraphFont"/>
    <w:uiPriority w:val="99"/>
    <w:semiHidden/>
    <w:unhideWhenUsed/>
    <w:rsid w:val="00736F61"/>
    <w:rPr>
      <w:sz w:val="16"/>
      <w:szCs w:val="16"/>
    </w:rPr>
  </w:style>
  <w:style w:type="paragraph" w:styleId="CommentText">
    <w:name w:val="annotation text"/>
    <w:basedOn w:val="Normal"/>
    <w:link w:val="CommentTextChar"/>
    <w:uiPriority w:val="99"/>
    <w:unhideWhenUsed/>
    <w:rsid w:val="00736F61"/>
    <w:pPr>
      <w:spacing w:line="240" w:lineRule="auto"/>
    </w:pPr>
    <w:rPr>
      <w:sz w:val="20"/>
      <w:szCs w:val="20"/>
    </w:rPr>
  </w:style>
  <w:style w:type="character" w:customStyle="1" w:styleId="CommentTextChar">
    <w:name w:val="Comment Text Char"/>
    <w:basedOn w:val="DefaultParagraphFont"/>
    <w:link w:val="CommentText"/>
    <w:uiPriority w:val="99"/>
    <w:rsid w:val="00736F61"/>
    <w:rPr>
      <w:color w:val="000000"/>
      <w:sz w:val="20"/>
      <w:szCs w:val="20"/>
      <w:u w:val="none"/>
    </w:rPr>
  </w:style>
  <w:style w:type="paragraph" w:styleId="CommentSubject">
    <w:name w:val="annotation subject"/>
    <w:basedOn w:val="CommentText"/>
    <w:next w:val="CommentText"/>
    <w:link w:val="CommentSubjectChar"/>
    <w:uiPriority w:val="99"/>
    <w:semiHidden/>
    <w:unhideWhenUsed/>
    <w:rsid w:val="00736F61"/>
    <w:rPr>
      <w:b/>
      <w:bCs/>
    </w:rPr>
  </w:style>
  <w:style w:type="character" w:customStyle="1" w:styleId="CommentSubjectChar">
    <w:name w:val="Comment Subject Char"/>
    <w:basedOn w:val="CommentTextChar"/>
    <w:link w:val="CommentSubject"/>
    <w:uiPriority w:val="99"/>
    <w:semiHidden/>
    <w:rsid w:val="00736F61"/>
    <w:rPr>
      <w:b/>
      <w:bCs/>
      <w:color w:val="000000"/>
      <w:sz w:val="20"/>
      <w:szCs w:val="20"/>
      <w:u w:val="none"/>
    </w:rPr>
  </w:style>
  <w:style w:type="paragraph" w:styleId="TableofFigures">
    <w:name w:val="table of figures"/>
    <w:basedOn w:val="Normal"/>
    <w:next w:val="Normal"/>
    <w:uiPriority w:val="99"/>
    <w:unhideWhenUsed/>
    <w:rsid w:val="00736F61"/>
    <w:pPr>
      <w:spacing w:after="0"/>
    </w:pPr>
  </w:style>
  <w:style w:type="paragraph" w:styleId="Caption">
    <w:name w:val="caption"/>
    <w:basedOn w:val="Normal"/>
    <w:next w:val="Normal"/>
    <w:autoRedefine/>
    <w:uiPriority w:val="35"/>
    <w:unhideWhenUsed/>
    <w:qFormat/>
    <w:rsid w:val="00736F61"/>
    <w:pPr>
      <w:spacing w:after="200" w:line="480" w:lineRule="auto"/>
      <w:jc w:val="center"/>
    </w:pPr>
    <w:rPr>
      <w:iCs/>
      <w:color w:val="000000" w:themeColor="text1"/>
      <w:szCs w:val="18"/>
    </w:rPr>
  </w:style>
  <w:style w:type="character" w:styleId="Hyperlink">
    <w:name w:val="Hyperlink"/>
    <w:basedOn w:val="DefaultParagraphFont"/>
    <w:uiPriority w:val="99"/>
    <w:unhideWhenUsed/>
    <w:rsid w:val="00736F61"/>
    <w:rPr>
      <w:color w:val="467886" w:themeColor="hyperlink"/>
      <w:u w:val="single"/>
    </w:rPr>
  </w:style>
  <w:style w:type="paragraph" w:customStyle="1" w:styleId="paragraph">
    <w:name w:val="paragraph"/>
    <w:basedOn w:val="Normal"/>
    <w:rsid w:val="00736F61"/>
    <w:pPr>
      <w:spacing w:before="100" w:beforeAutospacing="1" w:after="100" w:afterAutospacing="1" w:line="240" w:lineRule="auto"/>
    </w:pPr>
    <w:rPr>
      <w:rFonts w:eastAsia="Times New Roman"/>
      <w:color w:val="auto"/>
      <w:lang w:eastAsia="en-GB"/>
    </w:rPr>
  </w:style>
  <w:style w:type="character" w:customStyle="1" w:styleId="eop">
    <w:name w:val="eop"/>
    <w:basedOn w:val="DefaultParagraphFont"/>
    <w:rsid w:val="00736F61"/>
  </w:style>
  <w:style w:type="paragraph" w:styleId="TOCHeading">
    <w:name w:val="TOC Heading"/>
    <w:basedOn w:val="Heading1"/>
    <w:next w:val="Normal"/>
    <w:uiPriority w:val="39"/>
    <w:unhideWhenUsed/>
    <w:qFormat/>
    <w:rsid w:val="00736F61"/>
    <w:pPr>
      <w:spacing w:before="240" w:after="0" w:line="259" w:lineRule="auto"/>
      <w:jc w:val="center"/>
      <w:outlineLvl w:val="9"/>
    </w:pPr>
    <w:rPr>
      <w:rFonts w:cs="Times New Roman"/>
      <w:color w:val="auto"/>
      <w:sz w:val="32"/>
      <w:szCs w:val="32"/>
      <w:lang w:val="en-US" w:eastAsia="en-GB"/>
    </w:rPr>
  </w:style>
  <w:style w:type="paragraph" w:styleId="TOC3">
    <w:name w:val="toc 3"/>
    <w:basedOn w:val="Normal"/>
    <w:next w:val="Normal"/>
    <w:autoRedefine/>
    <w:uiPriority w:val="39"/>
    <w:unhideWhenUsed/>
    <w:rsid w:val="00736F61"/>
    <w:pPr>
      <w:spacing w:after="100" w:line="279" w:lineRule="auto"/>
      <w:ind w:left="480"/>
    </w:pPr>
    <w:rPr>
      <w:rFonts w:eastAsiaTheme="minorEastAsia"/>
      <w:color w:val="000000" w:themeColor="text1"/>
      <w:lang w:eastAsia="ja-JP"/>
    </w:rPr>
  </w:style>
  <w:style w:type="paragraph" w:styleId="TOC2">
    <w:name w:val="toc 2"/>
    <w:basedOn w:val="Normal"/>
    <w:next w:val="Normal"/>
    <w:autoRedefine/>
    <w:uiPriority w:val="39"/>
    <w:unhideWhenUsed/>
    <w:rsid w:val="00736F61"/>
    <w:pPr>
      <w:spacing w:after="100" w:line="259" w:lineRule="auto"/>
      <w:ind w:left="220"/>
    </w:pPr>
    <w:rPr>
      <w:rFonts w:asciiTheme="minorHAnsi" w:eastAsiaTheme="minorEastAsia" w:hAnsiTheme="minorHAnsi"/>
      <w:color w:val="auto"/>
      <w:sz w:val="22"/>
      <w:szCs w:val="22"/>
      <w:lang w:val="en-US"/>
    </w:rPr>
  </w:style>
  <w:style w:type="paragraph" w:styleId="TOC1">
    <w:name w:val="toc 1"/>
    <w:basedOn w:val="Normal"/>
    <w:next w:val="Normal"/>
    <w:autoRedefine/>
    <w:uiPriority w:val="39"/>
    <w:unhideWhenUsed/>
    <w:rsid w:val="00736F61"/>
    <w:pPr>
      <w:spacing w:after="100" w:line="259" w:lineRule="auto"/>
    </w:pPr>
    <w:rPr>
      <w:rFonts w:asciiTheme="minorHAnsi" w:eastAsiaTheme="minorEastAsia" w:hAnsiTheme="minorHAnsi"/>
      <w:color w:val="auto"/>
      <w:sz w:val="22"/>
      <w:szCs w:val="22"/>
      <w:lang w:val="en-US"/>
    </w:rPr>
  </w:style>
  <w:style w:type="paragraph" w:customStyle="1" w:styleId="ds-markdown-paragraph">
    <w:name w:val="ds-markdown-paragraph"/>
    <w:basedOn w:val="Normal"/>
    <w:rsid w:val="00736F61"/>
    <w:pPr>
      <w:spacing w:before="100" w:beforeAutospacing="1" w:after="100" w:afterAutospacing="1" w:line="240" w:lineRule="auto"/>
    </w:pPr>
    <w:rPr>
      <w:rFonts w:eastAsia="Times New Roman"/>
      <w:color w:val="auto"/>
      <w:lang w:eastAsia="en-GB"/>
    </w:rPr>
  </w:style>
  <w:style w:type="paragraph" w:styleId="NoSpacing">
    <w:name w:val="No Spacing"/>
    <w:link w:val="NoSpacingChar"/>
    <w:uiPriority w:val="1"/>
    <w:qFormat/>
    <w:rsid w:val="00736F61"/>
    <w:pPr>
      <w:spacing w:after="0" w:line="240" w:lineRule="auto"/>
    </w:pPr>
    <w:rPr>
      <w:rFonts w:eastAsiaTheme="minorEastAsia"/>
      <w:color w:val="000000"/>
      <w:u w:val="none"/>
      <w:lang w:val="en-US"/>
    </w:rPr>
  </w:style>
  <w:style w:type="character" w:customStyle="1" w:styleId="NoSpacingChar">
    <w:name w:val="No Spacing Char"/>
    <w:basedOn w:val="DefaultParagraphFont"/>
    <w:link w:val="NoSpacing"/>
    <w:uiPriority w:val="1"/>
    <w:rsid w:val="00736F61"/>
    <w:rPr>
      <w:rFonts w:eastAsiaTheme="minorEastAsia"/>
      <w:color w:val="000000"/>
      <w:u w:val="none"/>
      <w:lang w:val="en-US"/>
    </w:rPr>
  </w:style>
  <w:style w:type="character" w:customStyle="1" w:styleId="wacimagecontainer">
    <w:name w:val="wacimagecontainer"/>
    <w:basedOn w:val="DefaultParagraphFont"/>
    <w:rsid w:val="00736F61"/>
  </w:style>
  <w:style w:type="character" w:customStyle="1" w:styleId="mord">
    <w:name w:val="mord"/>
    <w:basedOn w:val="DefaultParagraphFont"/>
    <w:rsid w:val="00736F61"/>
    <w:rPr>
      <w:rFonts w:ascii="Times New Roman" w:eastAsiaTheme="minorEastAsia" w:hAnsi="Times New Roman" w:cs="Times New Roman"/>
      <w:color w:val="000000" w:themeColor="text1"/>
      <w:sz w:val="24"/>
      <w:szCs w:val="24"/>
    </w:rPr>
  </w:style>
  <w:style w:type="character" w:customStyle="1" w:styleId="vlist-s">
    <w:name w:val="vlist-s"/>
    <w:basedOn w:val="DefaultParagraphFont"/>
    <w:rsid w:val="00736F61"/>
    <w:rPr>
      <w:rFonts w:ascii="Times New Roman" w:eastAsiaTheme="minorEastAsia" w:hAnsi="Times New Roman" w:cs="Times New Roman"/>
      <w:color w:val="000000" w:themeColor="text1"/>
      <w:sz w:val="24"/>
      <w:szCs w:val="24"/>
    </w:rPr>
  </w:style>
  <w:style w:type="character" w:customStyle="1" w:styleId="mrel">
    <w:name w:val="mrel"/>
    <w:basedOn w:val="DefaultParagraphFont"/>
    <w:rsid w:val="00736F61"/>
    <w:rPr>
      <w:rFonts w:ascii="Times New Roman" w:eastAsiaTheme="minorEastAsia" w:hAnsi="Times New Roman" w:cs="Times New Roman"/>
      <w:color w:val="000000" w:themeColor="text1"/>
      <w:sz w:val="24"/>
      <w:szCs w:val="24"/>
    </w:rPr>
  </w:style>
  <w:style w:type="character" w:customStyle="1" w:styleId="mbin">
    <w:name w:val="mbin"/>
    <w:basedOn w:val="DefaultParagraphFont"/>
    <w:rsid w:val="00736F61"/>
    <w:rPr>
      <w:rFonts w:ascii="Times New Roman" w:eastAsiaTheme="minorEastAsia" w:hAnsi="Times New Roman" w:cs="Times New Roman"/>
      <w:color w:val="000000" w:themeColor="text1"/>
      <w:sz w:val="24"/>
      <w:szCs w:val="24"/>
    </w:rPr>
  </w:style>
  <w:style w:type="character" w:customStyle="1" w:styleId="mop">
    <w:name w:val="mop"/>
    <w:basedOn w:val="DefaultParagraphFont"/>
    <w:rsid w:val="00736F61"/>
    <w:rPr>
      <w:rFonts w:ascii="Times New Roman" w:eastAsiaTheme="minorEastAsia" w:hAnsi="Times New Roman" w:cs="Times New Roman"/>
      <w:color w:val="000000" w:themeColor="text1"/>
      <w:sz w:val="24"/>
      <w:szCs w:val="24"/>
    </w:rPr>
  </w:style>
  <w:style w:type="table" w:styleId="TableGrid">
    <w:name w:val="Table Grid"/>
    <w:basedOn w:val="TableNormal"/>
    <w:uiPriority w:val="59"/>
    <w:rsid w:val="00736F61"/>
    <w:pPr>
      <w:spacing w:after="0" w:line="240" w:lineRule="auto"/>
    </w:pPr>
    <w:rPr>
      <w:color w:val="000000"/>
      <w:sz w:val="24"/>
      <w:szCs w:val="24"/>
      <w:u w:val="none"/>
    </w:rPr>
    <w:tblPr/>
  </w:style>
  <w:style w:type="paragraph" w:customStyle="1" w:styleId="MDPI13authornames">
    <w:name w:val="MDPI_1.3_authornames"/>
    <w:next w:val="Normal"/>
    <w:qFormat/>
    <w:rsid w:val="00736F61"/>
    <w:pPr>
      <w:adjustRightInd w:val="0"/>
      <w:snapToGrid w:val="0"/>
      <w:spacing w:after="360" w:line="260" w:lineRule="atLeast"/>
    </w:pPr>
    <w:rPr>
      <w:rFonts w:ascii="Palatino Linotype" w:eastAsia="Times New Roman" w:hAnsi="Palatino Linotype"/>
      <w:b/>
      <w:color w:val="000000"/>
      <w:sz w:val="20"/>
      <w:u w:val="none"/>
      <w:lang w:val="en-US" w:eastAsia="de-DE" w:bidi="en-US"/>
    </w:rPr>
  </w:style>
  <w:style w:type="character" w:customStyle="1" w:styleId="bcx0">
    <w:name w:val="bcx0"/>
    <w:basedOn w:val="DefaultParagraphFont"/>
    <w:rsid w:val="00736F61"/>
  </w:style>
  <w:style w:type="character" w:customStyle="1" w:styleId="tabchar">
    <w:name w:val="tabchar"/>
    <w:basedOn w:val="DefaultParagraphFont"/>
    <w:rsid w:val="00736F61"/>
  </w:style>
  <w:style w:type="character" w:customStyle="1" w:styleId="css-220">
    <w:name w:val="css-220"/>
    <w:basedOn w:val="DefaultParagraphFont"/>
    <w:rsid w:val="00736F61"/>
  </w:style>
  <w:style w:type="character" w:customStyle="1" w:styleId="css-221">
    <w:name w:val="css-221"/>
    <w:basedOn w:val="DefaultParagraphFont"/>
    <w:rsid w:val="00736F61"/>
  </w:style>
  <w:style w:type="character" w:customStyle="1" w:styleId="css-222">
    <w:name w:val="css-222"/>
    <w:basedOn w:val="DefaultParagraphFont"/>
    <w:rsid w:val="00736F61"/>
  </w:style>
  <w:style w:type="character" w:customStyle="1" w:styleId="ms-button-label">
    <w:name w:val="ms-button-label"/>
    <w:basedOn w:val="DefaultParagraphFont"/>
    <w:rsid w:val="00736F61"/>
  </w:style>
  <w:style w:type="character" w:customStyle="1" w:styleId="css-248">
    <w:name w:val="css-248"/>
    <w:basedOn w:val="DefaultParagraphFont"/>
    <w:rsid w:val="00736F61"/>
  </w:style>
  <w:style w:type="table" w:styleId="PlainTable5">
    <w:name w:val="Plain Table 5"/>
    <w:basedOn w:val="TableNormal"/>
    <w:uiPriority w:val="45"/>
    <w:rsid w:val="00736F61"/>
    <w:pPr>
      <w:spacing w:after="0" w:line="240" w:lineRule="auto"/>
    </w:pPr>
    <w:rPr>
      <w:color w:val="000000"/>
      <w:u w:val="none"/>
    </w:rPr>
    <w:tblPr>
      <w:tblStyleRowBandSize w:val="1"/>
      <w:tblStyleColBandSize w:val="1"/>
    </w:tblPr>
    <w:tcPr>
      <w:tcBorders>
        <w:top w:val="single" w:sz="4" w:space="0" w:color="7F7F7F" w:themeColor="text1" w:themeTint="80"/>
        <w:bottom w:val="single" w:sz="4" w:space="0" w:color="7F7F7F" w:themeColor="text1" w:themeTint="80"/>
        <w:right w:val="single" w:sz="4" w:space="0" w:color="7F7F7F" w:themeColor="text1" w:themeTint="80"/>
      </w:tcBorders>
      <w:shd w:val="clear" w:color="auto" w:fill="FFFFFF" w:themeFill="background1"/>
    </w:tcPr>
    <w:tblStylePr w:type="firstRow">
      <w:rPr>
        <w:rFonts w:asciiTheme="majorHAnsi" w:eastAsiaTheme="majorEastAsia" w:hAnsiTheme="majorHAnsi" w:cstheme="majorBidi"/>
        <w:i/>
        <w:iCs/>
        <w:sz w:val="26"/>
      </w:rPr>
    </w:tblStylePr>
    <w:tblStylePr w:type="lastRow">
      <w:rPr>
        <w:rFonts w:asciiTheme="majorHAnsi" w:eastAsiaTheme="majorEastAsia" w:hAnsiTheme="majorHAnsi" w:cstheme="majorBidi"/>
        <w:i/>
        <w:iCs/>
        <w:sz w:val="26"/>
      </w:rPr>
    </w:tblStylePr>
    <w:tblStylePr w:type="firstCol">
      <w:pPr>
        <w:jc w:val="right"/>
      </w:pPr>
      <w:rPr>
        <w:rFonts w:asciiTheme="majorHAnsi" w:eastAsiaTheme="majorEastAsia" w:hAnsiTheme="majorHAnsi" w:cstheme="majorBidi"/>
        <w:i/>
        <w:iCs/>
        <w:sz w:val="26"/>
      </w:rPr>
    </w:tblStylePr>
    <w:tblStylePr w:type="lastCol">
      <w:rPr>
        <w:rFonts w:asciiTheme="majorHAnsi" w:eastAsiaTheme="majorEastAsia" w:hAnsiTheme="majorHAnsi" w:cstheme="majorBidi"/>
        <w:i/>
        <w:iCs/>
        <w:sz w:val="26"/>
      </w:r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scxp2270459">
    <w:name w:val="scxp2270459"/>
    <w:basedOn w:val="DefaultParagraphFont"/>
    <w:rsid w:val="00736F61"/>
  </w:style>
  <w:style w:type="table" w:styleId="PlainTable2">
    <w:name w:val="Plain Table 2"/>
    <w:basedOn w:val="TableNormal"/>
    <w:uiPriority w:val="42"/>
    <w:rsid w:val="00736F61"/>
    <w:pPr>
      <w:spacing w:after="0" w:line="240" w:lineRule="auto"/>
    </w:pPr>
    <w:rPr>
      <w:color w:val="000000"/>
      <w:u w:val="none"/>
    </w:rPr>
    <w:tblPr>
      <w:tblStyleRowBandSize w:val="1"/>
      <w:tblStyleColBandSize w:val="1"/>
    </w:tblPr>
    <w:tcPr>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style>
  <w:style w:type="character" w:customStyle="1" w:styleId="katex-mathml">
    <w:name w:val="katex-mathml"/>
    <w:basedOn w:val="DefaultParagraphFont"/>
    <w:rsid w:val="00736F61"/>
  </w:style>
  <w:style w:type="character" w:customStyle="1" w:styleId="mpunct">
    <w:name w:val="mpunct"/>
    <w:basedOn w:val="DefaultParagraphFont"/>
    <w:rsid w:val="00736F61"/>
  </w:style>
  <w:style w:type="character" w:customStyle="1" w:styleId="overflow-hidden">
    <w:name w:val="overflow-hidden"/>
    <w:basedOn w:val="DefaultParagraphFont"/>
    <w:rsid w:val="00736F61"/>
  </w:style>
  <w:style w:type="paragraph" w:styleId="z-TopofForm">
    <w:name w:val="HTML Top of Form"/>
    <w:basedOn w:val="Normal"/>
    <w:next w:val="Normal"/>
    <w:link w:val="z-TopofFormChar"/>
    <w:hidden/>
    <w:uiPriority w:val="99"/>
    <w:semiHidden/>
    <w:unhideWhenUsed/>
    <w:rsid w:val="00736F61"/>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TopofFormChar">
    <w:name w:val="z-Top of Form Char"/>
    <w:basedOn w:val="DefaultParagraphFont"/>
    <w:link w:val="z-TopofForm"/>
    <w:uiPriority w:val="99"/>
    <w:semiHidden/>
    <w:rsid w:val="00736F61"/>
    <w:rPr>
      <w:rFonts w:ascii="Arial" w:eastAsia="Times New Roman" w:hAnsi="Arial" w:cs="Arial"/>
      <w:vanish/>
      <w:color w:val="auto"/>
      <w:sz w:val="16"/>
      <w:szCs w:val="16"/>
      <w:u w:val="none"/>
      <w:lang w:eastAsia="en-GB"/>
    </w:rPr>
  </w:style>
  <w:style w:type="paragraph" w:customStyle="1" w:styleId="placeholder">
    <w:name w:val="placeholder"/>
    <w:basedOn w:val="Normal"/>
    <w:rsid w:val="00736F61"/>
    <w:pPr>
      <w:spacing w:before="100" w:beforeAutospacing="1" w:after="100" w:afterAutospacing="1" w:line="240" w:lineRule="auto"/>
    </w:pPr>
    <w:rPr>
      <w:rFonts w:eastAsia="Times New Roman"/>
      <w:color w:val="auto"/>
      <w:lang w:eastAsia="en-GB"/>
    </w:rPr>
  </w:style>
  <w:style w:type="paragraph" w:styleId="z-BottomofForm">
    <w:name w:val="HTML Bottom of Form"/>
    <w:basedOn w:val="Normal"/>
    <w:next w:val="Normal"/>
    <w:link w:val="z-BottomofFormChar"/>
    <w:hidden/>
    <w:uiPriority w:val="99"/>
    <w:semiHidden/>
    <w:unhideWhenUsed/>
    <w:rsid w:val="00736F61"/>
    <w:pPr>
      <w:pBdr>
        <w:top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BottomofFormChar">
    <w:name w:val="z-Bottom of Form Char"/>
    <w:basedOn w:val="DefaultParagraphFont"/>
    <w:link w:val="z-BottomofForm"/>
    <w:uiPriority w:val="99"/>
    <w:semiHidden/>
    <w:rsid w:val="00736F61"/>
    <w:rPr>
      <w:rFonts w:ascii="Arial" w:eastAsia="Times New Roman" w:hAnsi="Arial" w:cs="Arial"/>
      <w:vanish/>
      <w:color w:val="auto"/>
      <w:sz w:val="16"/>
      <w:szCs w:val="16"/>
      <w:u w:val="none"/>
      <w:lang w:eastAsia="en-GB"/>
    </w:rPr>
  </w:style>
  <w:style w:type="character" w:styleId="HTMLCode">
    <w:name w:val="HTML Code"/>
    <w:basedOn w:val="DefaultParagraphFont"/>
    <w:uiPriority w:val="99"/>
    <w:semiHidden/>
    <w:unhideWhenUsed/>
    <w:rsid w:val="00736F61"/>
    <w:rPr>
      <w:rFonts w:ascii="Courier New" w:eastAsia="Times New Roman" w:hAnsi="Courier New" w:cs="Courier New"/>
      <w:sz w:val="20"/>
      <w:szCs w:val="20"/>
    </w:rPr>
  </w:style>
  <w:style w:type="character" w:customStyle="1" w:styleId="markdown-text-wrapline">
    <w:name w:val="markdown-text-wrap__line"/>
    <w:basedOn w:val="DefaultParagraphFont"/>
    <w:rsid w:val="00736F61"/>
  </w:style>
  <w:style w:type="character" w:customStyle="1" w:styleId="dod-span">
    <w:name w:val="dod-span"/>
    <w:basedOn w:val="DefaultParagraphFont"/>
    <w:rsid w:val="00736F61"/>
  </w:style>
  <w:style w:type="character" w:styleId="UnresolvedMention">
    <w:name w:val="Unresolved Mention"/>
    <w:basedOn w:val="DefaultParagraphFont"/>
    <w:uiPriority w:val="99"/>
    <w:semiHidden/>
    <w:unhideWhenUsed/>
    <w:rsid w:val="00736F61"/>
    <w:rPr>
      <w:color w:val="605E5C"/>
      <w:shd w:val="clear" w:color="auto" w:fill="E1DFDD"/>
    </w:rPr>
  </w:style>
  <w:style w:type="paragraph" w:styleId="Revision">
    <w:name w:val="Revision"/>
    <w:hidden/>
    <w:uiPriority w:val="99"/>
    <w:semiHidden/>
    <w:rsid w:val="00736F61"/>
    <w:pPr>
      <w:spacing w:after="0" w:line="240" w:lineRule="auto"/>
    </w:pPr>
    <w:rPr>
      <w:color w:val="000000"/>
      <w:sz w:val="24"/>
      <w:szCs w:val="24"/>
      <w:u w:val="none"/>
    </w:rPr>
  </w:style>
  <w:style w:type="character" w:styleId="FollowedHyperlink">
    <w:name w:val="FollowedHyperlink"/>
    <w:basedOn w:val="DefaultParagraphFont"/>
    <w:uiPriority w:val="99"/>
    <w:semiHidden/>
    <w:unhideWhenUsed/>
    <w:rsid w:val="00736F61"/>
    <w:rPr>
      <w:color w:val="96607D" w:themeColor="followedHyperlink"/>
      <w:u w:val="single"/>
    </w:rPr>
  </w:style>
  <w:style w:type="character" w:customStyle="1" w:styleId="truncate">
    <w:name w:val="truncate"/>
    <w:basedOn w:val="DefaultParagraphFont"/>
    <w:rsid w:val="00736F61"/>
  </w:style>
  <w:style w:type="character" w:customStyle="1" w:styleId="font01">
    <w:name w:val="font01"/>
    <w:basedOn w:val="DefaultParagraphFont"/>
    <w:rsid w:val="00736F61"/>
    <w:rPr>
      <w:rFonts w:ascii="Aptos Narrow" w:hAnsi="Aptos Narrow" w:hint="default"/>
      <w:b w:val="0"/>
      <w:bCs w:val="0"/>
      <w:i w:val="0"/>
      <w:iCs w:val="0"/>
      <w:strike w:val="0"/>
      <w:dstrike w:val="0"/>
      <w:color w:val="000000"/>
      <w:sz w:val="22"/>
      <w:szCs w:val="22"/>
      <w:u w:val="none"/>
      <w:effect w:val="none"/>
    </w:rPr>
  </w:style>
  <w:style w:type="table" w:styleId="TableGridLight">
    <w:name w:val="Grid Table Light"/>
    <w:basedOn w:val="TableNormal"/>
    <w:uiPriority w:val="40"/>
    <w:rsid w:val="00736F61"/>
    <w:pPr>
      <w:spacing w:after="0" w:line="240" w:lineRule="auto"/>
    </w:pPr>
    <w:rPr>
      <w:color w:val="000000"/>
      <w:sz w:val="24"/>
      <w:szCs w:val="24"/>
      <w:u w:val="none"/>
    </w:rPr>
    <w:tblPr/>
  </w:style>
  <w:style w:type="character" w:customStyle="1" w:styleId="font611">
    <w:name w:val="font611"/>
    <w:basedOn w:val="DefaultParagraphFont"/>
    <w:rsid w:val="00736F61"/>
    <w:rPr>
      <w:rFonts w:ascii="Times New Roman" w:hAnsi="Times New Roman" w:cs="Times New Roman" w:hint="default"/>
      <w:b w:val="0"/>
      <w:bCs w:val="0"/>
      <w:i w:val="0"/>
      <w:iCs w:val="0"/>
      <w:strike w:val="0"/>
      <w:dstrike w:val="0"/>
      <w:color w:val="000000"/>
      <w:sz w:val="24"/>
      <w:szCs w:val="24"/>
      <w:u w:val="none"/>
      <w:effect w:val="none"/>
    </w:rPr>
  </w:style>
  <w:style w:type="character" w:customStyle="1" w:styleId="font641">
    <w:name w:val="font641"/>
    <w:basedOn w:val="DefaultParagraphFont"/>
    <w:rsid w:val="00736F61"/>
    <w:rPr>
      <w:rFonts w:ascii="Times New Roman" w:hAnsi="Times New Roman" w:cs="Times New Roman" w:hint="default"/>
      <w:b w:val="0"/>
      <w:bCs w:val="0"/>
      <w:i w:val="0"/>
      <w:iCs w:val="0"/>
      <w:strike w:val="0"/>
      <w:dstrike w:val="0"/>
      <w:color w:val="000000"/>
      <w:sz w:val="16"/>
      <w:szCs w:val="16"/>
      <w:u w:val="none"/>
      <w:effect w:val="none"/>
    </w:rPr>
  </w:style>
  <w:style w:type="character" w:customStyle="1" w:styleId="font451">
    <w:name w:val="font451"/>
    <w:basedOn w:val="DefaultParagraphFont"/>
    <w:rsid w:val="00736F61"/>
    <w:rPr>
      <w:rFonts w:ascii="Times New Roman" w:hAnsi="Times New Roman" w:cs="Times New Roman" w:hint="default"/>
      <w:b w:val="0"/>
      <w:bCs w:val="0"/>
      <w:i w:val="0"/>
      <w:iCs w:val="0"/>
      <w:strike w:val="0"/>
      <w:dstrike w:val="0"/>
      <w:color w:val="000000"/>
      <w:sz w:val="20"/>
      <w:szCs w:val="20"/>
      <w:u w:val="none"/>
      <w:effect w:val="none"/>
    </w:rPr>
  </w:style>
  <w:style w:type="character" w:customStyle="1" w:styleId="font461">
    <w:name w:val="font461"/>
    <w:basedOn w:val="DefaultParagraphFont"/>
    <w:rsid w:val="00736F61"/>
    <w:rPr>
      <w:rFonts w:ascii="Times New Roman" w:hAnsi="Times New Roman" w:cs="Times New Roman" w:hint="default"/>
      <w:b w:val="0"/>
      <w:bCs w:val="0"/>
      <w:i w:val="0"/>
      <w:iCs w:val="0"/>
      <w:strike w:val="0"/>
      <w:dstrike w:val="0"/>
      <w:color w:val="000000"/>
      <w:sz w:val="20"/>
      <w:szCs w:val="20"/>
      <w:u w:val="none"/>
      <w:effect w:val="none"/>
    </w:rPr>
  </w:style>
  <w:style w:type="table" w:styleId="GridTable1Light">
    <w:name w:val="Grid Table 1 Light"/>
    <w:basedOn w:val="TableNormal"/>
    <w:uiPriority w:val="46"/>
    <w:rsid w:val="00736F61"/>
    <w:pPr>
      <w:spacing w:after="0" w:line="240" w:lineRule="auto"/>
    </w:pPr>
    <w:rPr>
      <w:color w:val="000000"/>
      <w:sz w:val="24"/>
      <w:szCs w:val="24"/>
      <w:u w:val="none"/>
    </w:r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paragraph" w:customStyle="1" w:styleId="msonormal0">
    <w:name w:val="msonormal"/>
    <w:basedOn w:val="Normal"/>
    <w:rsid w:val="00736F61"/>
    <w:pPr>
      <w:spacing w:before="100" w:beforeAutospacing="1" w:after="100" w:afterAutospacing="1" w:line="240" w:lineRule="auto"/>
    </w:pPr>
    <w:rPr>
      <w:rFonts w:eastAsiaTheme="minorEastAsia"/>
      <w:color w:val="auto"/>
      <w:lang w:eastAsia="en-GB"/>
    </w:rPr>
  </w:style>
  <w:style w:type="character" w:customStyle="1" w:styleId="fadeinm1hgl8">
    <w:name w:val="_fadein_m1hgl_8"/>
    <w:basedOn w:val="DefaultParagraphFont"/>
    <w:rsid w:val="00736F61"/>
  </w:style>
  <w:style w:type="character" w:customStyle="1" w:styleId="findhit">
    <w:name w:val="findhit"/>
    <w:basedOn w:val="DefaultParagraphFont"/>
    <w:rsid w:val="00736F61"/>
  </w:style>
  <w:style w:type="character" w:customStyle="1" w:styleId="highlight">
    <w:name w:val="highlight"/>
    <w:basedOn w:val="DefaultParagraphFont"/>
    <w:rsid w:val="00736F61"/>
  </w:style>
  <w:style w:type="paragraph" w:customStyle="1" w:styleId="xl65">
    <w:name w:val="xl65"/>
    <w:basedOn w:val="Normal"/>
    <w:uiPriority w:val="1"/>
    <w:rsid w:val="00736F61"/>
    <w:pPr>
      <w:spacing w:beforeAutospacing="1" w:afterAutospacing="1" w:line="259" w:lineRule="auto"/>
    </w:pPr>
    <w:rPr>
      <w:rFonts w:eastAsia="Times New Roman"/>
      <w:color w:val="auto"/>
      <w:lang w:eastAsia="en-GB"/>
    </w:rPr>
  </w:style>
  <w:style w:type="paragraph" w:customStyle="1" w:styleId="xl66">
    <w:name w:val="xl66"/>
    <w:basedOn w:val="Normal"/>
    <w:uiPriority w:val="1"/>
    <w:rsid w:val="00736F61"/>
    <w:pPr>
      <w:spacing w:beforeAutospacing="1" w:afterAutospacing="1" w:line="259" w:lineRule="auto"/>
      <w:ind w:firstLine="100"/>
    </w:pPr>
    <w:rPr>
      <w:rFonts w:eastAsia="Times New Roman"/>
      <w:color w:val="auto"/>
      <w:lang w:eastAsia="en-GB"/>
    </w:rPr>
  </w:style>
  <w:style w:type="table" w:styleId="PlainTable4">
    <w:name w:val="Plain Table 4"/>
    <w:basedOn w:val="TableNormal"/>
    <w:uiPriority w:val="44"/>
    <w:rsid w:val="00736F61"/>
    <w:pPr>
      <w:spacing w:after="0" w:line="240" w:lineRule="auto"/>
    </w:pPr>
    <w:rPr>
      <w:color w:val="000000"/>
      <w:u w:val="none"/>
    </w:rPr>
    <w:tblPr/>
    <w:tblStylePr w:type="firstRow">
      <w:rPr>
        <w:b/>
        <w:bCs/>
      </w:rPr>
    </w:tblStylePr>
    <w:tblStylePr w:type="lastRow">
      <w:rPr>
        <w:b/>
        <w:bCs/>
      </w:rPr>
    </w:tblStylePr>
    <w:tblStylePr w:type="firstCol">
      <w:rPr>
        <w:b/>
        <w:bCs/>
      </w:rPr>
    </w:tblStylePr>
    <w:tblStylePr w:type="lastCol">
      <w:rPr>
        <w:b/>
        <w:bCs/>
      </w:rPr>
    </w:tblStylePr>
  </w:style>
  <w:style w:type="paragraph" w:styleId="TOC4">
    <w:name w:val="toc 4"/>
    <w:basedOn w:val="Normal"/>
    <w:next w:val="Normal"/>
    <w:uiPriority w:val="39"/>
    <w:unhideWhenUsed/>
    <w:rsid w:val="00736F61"/>
    <w:pPr>
      <w:spacing w:after="100" w:line="259" w:lineRule="auto"/>
      <w:ind w:left="660"/>
    </w:pPr>
    <w:rPr>
      <w:rFonts w:asciiTheme="minorHAnsi" w:hAnsiTheme="minorHAnsi" w:cstheme="minorBidi"/>
      <w:color w:val="auto"/>
      <w:sz w:val="22"/>
      <w:szCs w:val="22"/>
    </w:rPr>
  </w:style>
  <w:style w:type="paragraph" w:styleId="TOC5">
    <w:name w:val="toc 5"/>
    <w:basedOn w:val="Normal"/>
    <w:next w:val="Normal"/>
    <w:uiPriority w:val="39"/>
    <w:unhideWhenUsed/>
    <w:rsid w:val="00736F61"/>
    <w:pPr>
      <w:spacing w:after="100" w:line="259" w:lineRule="auto"/>
      <w:ind w:left="880"/>
    </w:pPr>
    <w:rPr>
      <w:rFonts w:asciiTheme="minorHAnsi" w:hAnsiTheme="minorHAnsi" w:cstheme="minorBidi"/>
      <w:color w:val="auto"/>
      <w:sz w:val="22"/>
      <w:szCs w:val="22"/>
    </w:rPr>
  </w:style>
  <w:style w:type="paragraph" w:styleId="TOC6">
    <w:name w:val="toc 6"/>
    <w:basedOn w:val="Normal"/>
    <w:next w:val="Normal"/>
    <w:uiPriority w:val="39"/>
    <w:unhideWhenUsed/>
    <w:rsid w:val="00736F61"/>
    <w:pPr>
      <w:spacing w:after="100" w:line="259" w:lineRule="auto"/>
      <w:ind w:left="1100"/>
    </w:pPr>
    <w:rPr>
      <w:rFonts w:asciiTheme="minorHAnsi" w:hAnsiTheme="minorHAnsi" w:cstheme="minorBidi"/>
      <w:color w:val="auto"/>
      <w:sz w:val="22"/>
      <w:szCs w:val="22"/>
    </w:rPr>
  </w:style>
  <w:style w:type="paragraph" w:styleId="TOC7">
    <w:name w:val="toc 7"/>
    <w:basedOn w:val="Normal"/>
    <w:next w:val="Normal"/>
    <w:uiPriority w:val="39"/>
    <w:unhideWhenUsed/>
    <w:rsid w:val="00736F61"/>
    <w:pPr>
      <w:spacing w:after="100" w:line="259" w:lineRule="auto"/>
      <w:ind w:left="1320"/>
    </w:pPr>
    <w:rPr>
      <w:rFonts w:asciiTheme="minorHAnsi" w:hAnsiTheme="minorHAnsi" w:cstheme="minorBidi"/>
      <w:color w:val="auto"/>
      <w:sz w:val="22"/>
      <w:szCs w:val="22"/>
    </w:rPr>
  </w:style>
  <w:style w:type="paragraph" w:styleId="TOC8">
    <w:name w:val="toc 8"/>
    <w:basedOn w:val="Normal"/>
    <w:next w:val="Normal"/>
    <w:uiPriority w:val="39"/>
    <w:unhideWhenUsed/>
    <w:rsid w:val="00736F61"/>
    <w:pPr>
      <w:spacing w:after="100" w:line="259" w:lineRule="auto"/>
      <w:ind w:left="1540"/>
    </w:pPr>
    <w:rPr>
      <w:rFonts w:asciiTheme="minorHAnsi" w:hAnsiTheme="minorHAnsi" w:cstheme="minorBidi"/>
      <w:color w:val="auto"/>
      <w:sz w:val="22"/>
      <w:szCs w:val="22"/>
    </w:rPr>
  </w:style>
  <w:style w:type="paragraph" w:styleId="TOC9">
    <w:name w:val="toc 9"/>
    <w:basedOn w:val="Normal"/>
    <w:next w:val="Normal"/>
    <w:uiPriority w:val="39"/>
    <w:unhideWhenUsed/>
    <w:rsid w:val="00736F61"/>
    <w:pPr>
      <w:spacing w:after="100" w:line="259" w:lineRule="auto"/>
      <w:ind w:left="1760"/>
    </w:pPr>
    <w:rPr>
      <w:rFonts w:asciiTheme="minorHAnsi" w:hAnsiTheme="minorHAnsi" w:cstheme="minorBidi"/>
      <w:color w:val="auto"/>
      <w:sz w:val="22"/>
      <w:szCs w:val="22"/>
    </w:rPr>
  </w:style>
  <w:style w:type="paragraph" w:styleId="EndnoteText">
    <w:name w:val="endnote text"/>
    <w:basedOn w:val="Normal"/>
    <w:link w:val="EndnoteTextChar"/>
    <w:uiPriority w:val="99"/>
    <w:semiHidden/>
    <w:unhideWhenUsed/>
    <w:rsid w:val="00736F61"/>
    <w:pPr>
      <w:spacing w:after="0" w:line="259" w:lineRule="auto"/>
    </w:pPr>
    <w:rPr>
      <w:rFonts w:asciiTheme="minorHAnsi" w:hAnsiTheme="minorHAnsi" w:cstheme="minorBidi"/>
      <w:color w:val="auto"/>
      <w:sz w:val="20"/>
      <w:szCs w:val="20"/>
    </w:rPr>
  </w:style>
  <w:style w:type="character" w:customStyle="1" w:styleId="EndnoteTextChar">
    <w:name w:val="Endnote Text Char"/>
    <w:basedOn w:val="DefaultParagraphFont"/>
    <w:link w:val="EndnoteText"/>
    <w:uiPriority w:val="99"/>
    <w:semiHidden/>
    <w:rsid w:val="00736F61"/>
    <w:rPr>
      <w:rFonts w:asciiTheme="minorHAnsi" w:hAnsiTheme="minorHAnsi" w:cstheme="minorBidi"/>
      <w:color w:val="auto"/>
      <w:sz w:val="20"/>
      <w:szCs w:val="20"/>
      <w:u w:val="none"/>
    </w:rPr>
  </w:style>
  <w:style w:type="character" w:styleId="EndnoteReference">
    <w:name w:val="endnote reference"/>
    <w:basedOn w:val="DefaultParagraphFont"/>
    <w:uiPriority w:val="99"/>
    <w:semiHidden/>
    <w:unhideWhenUsed/>
    <w:rsid w:val="00736F61"/>
    <w:rPr>
      <w:vertAlign w:val="superscript"/>
    </w:rPr>
  </w:style>
  <w:style w:type="character" w:customStyle="1" w:styleId="ykmvie">
    <w:name w:val="ykmvie"/>
    <w:basedOn w:val="DefaultParagraphFont"/>
    <w:rsid w:val="00736F61"/>
  </w:style>
  <w:style w:type="character" w:customStyle="1" w:styleId="scxw121233429">
    <w:name w:val="scxw121233429"/>
    <w:basedOn w:val="DefaultParagraphFont"/>
    <w:rsid w:val="00736F61"/>
  </w:style>
  <w:style w:type="character" w:customStyle="1" w:styleId="anchor-text">
    <w:name w:val="anchor-text"/>
    <w:basedOn w:val="DefaultParagraphFont"/>
    <w:rsid w:val="00736F61"/>
  </w:style>
  <w:style w:type="character" w:customStyle="1" w:styleId="scxw178436205">
    <w:name w:val="scxw178436205"/>
    <w:basedOn w:val="DefaultParagraphFont"/>
    <w:rsid w:val="00736F61"/>
  </w:style>
  <w:style w:type="paragraph" w:customStyle="1" w:styleId="Style1">
    <w:name w:val="Style1"/>
    <w:basedOn w:val="Heading1"/>
    <w:qFormat/>
    <w:rsid w:val="00736F61"/>
    <w:pPr>
      <w:spacing w:before="240" w:after="0" w:line="360" w:lineRule="auto"/>
      <w:ind w:left="785" w:hanging="360"/>
      <w:jc w:val="center"/>
    </w:pPr>
    <w:rPr>
      <w:rFonts w:ascii="Palatino Linotype" w:hAnsi="Palatino Linotype" w:cs="Times New Roman"/>
      <w:color w:val="auto"/>
      <w:sz w:val="28"/>
      <w:szCs w:val="32"/>
      <w:lang w:eastAsia="en-GB"/>
    </w:rPr>
  </w:style>
  <w:style w:type="paragraph" w:customStyle="1" w:styleId="Style4">
    <w:name w:val="Style4"/>
    <w:basedOn w:val="Heading2"/>
    <w:qFormat/>
    <w:rsid w:val="00736F61"/>
    <w:pPr>
      <w:spacing w:before="40" w:after="0" w:line="360" w:lineRule="auto"/>
      <w:ind w:left="810" w:hanging="450"/>
    </w:pPr>
    <w:rPr>
      <w:rFonts w:ascii="Palatino Linotype" w:hAnsi="Palatino Linotype"/>
      <w:b w:val="0"/>
      <w:bCs w:val="0"/>
      <w:iCs/>
      <w:color w:val="auto"/>
      <w:sz w:val="24"/>
      <w:szCs w:val="20"/>
    </w:rPr>
  </w:style>
  <w:style w:type="character" w:customStyle="1" w:styleId="ref-lnk">
    <w:name w:val="ref-lnk"/>
    <w:basedOn w:val="DefaultParagraphFont"/>
    <w:rsid w:val="00736F61"/>
  </w:style>
  <w:style w:type="character" w:customStyle="1" w:styleId="off-screen">
    <w:name w:val="off-screen"/>
    <w:basedOn w:val="DefaultParagraphFont"/>
    <w:rsid w:val="00736F61"/>
  </w:style>
  <w:style w:type="character" w:customStyle="1" w:styleId="spellingerror">
    <w:name w:val="spellingerror"/>
    <w:basedOn w:val="DefaultParagraphFont"/>
    <w:rsid w:val="00736F61"/>
  </w:style>
  <w:style w:type="character" w:customStyle="1" w:styleId="ldquo">
    <w:name w:val="ldquo"/>
    <w:basedOn w:val="DefaultParagraphFont"/>
    <w:rsid w:val="00736F61"/>
  </w:style>
  <w:style w:type="character" w:styleId="HTMLCite">
    <w:name w:val="HTML Cite"/>
    <w:basedOn w:val="DefaultParagraphFont"/>
    <w:uiPriority w:val="99"/>
    <w:semiHidden/>
    <w:unhideWhenUsed/>
    <w:rsid w:val="00736F61"/>
    <w:rPr>
      <w:i/>
      <w:iCs/>
    </w:rPr>
  </w:style>
  <w:style w:type="paragraph" w:customStyle="1" w:styleId="ssrcss-1q0x1qg-paragraph">
    <w:name w:val="ssrcss-1q0x1qg-paragraph"/>
    <w:basedOn w:val="Normal"/>
    <w:rsid w:val="00736F61"/>
    <w:pPr>
      <w:spacing w:before="100" w:beforeAutospacing="1" w:after="100" w:afterAutospacing="1" w:line="240" w:lineRule="auto"/>
    </w:pPr>
    <w:rPr>
      <w:rFonts w:eastAsia="Times New Roman"/>
      <w:color w:val="auto"/>
      <w:lang w:eastAsia="en-GB"/>
    </w:rPr>
  </w:style>
  <w:style w:type="character" w:customStyle="1" w:styleId="cf01">
    <w:name w:val="cf01"/>
    <w:basedOn w:val="DefaultParagraphFont"/>
    <w:rsid w:val="00736F61"/>
    <w:rPr>
      <w:rFonts w:ascii="Segoe UI" w:hAnsi="Segoe UI" w:cs="Segoe UI" w:hint="default"/>
      <w:sz w:val="18"/>
      <w:szCs w:val="18"/>
    </w:rPr>
  </w:style>
  <w:style w:type="character" w:customStyle="1" w:styleId="cf11">
    <w:name w:val="cf11"/>
    <w:basedOn w:val="DefaultParagraphFont"/>
    <w:rsid w:val="00736F61"/>
    <w:rPr>
      <w:rFonts w:ascii="Segoe UI" w:hAnsi="Segoe UI" w:cs="Segoe UI" w:hint="default"/>
      <w:sz w:val="18"/>
      <w:szCs w:val="18"/>
      <w:shd w:val="clear" w:color="auto" w:fill="FFFF00"/>
    </w:rPr>
  </w:style>
  <w:style w:type="table" w:styleId="GridTable1Light-Accent4">
    <w:name w:val="Grid Table 1 Light Accent 4"/>
    <w:basedOn w:val="TableNormal"/>
    <w:uiPriority w:val="46"/>
    <w:rsid w:val="00736F61"/>
    <w:pPr>
      <w:spacing w:after="0" w:line="240" w:lineRule="auto"/>
    </w:pPr>
    <w:rPr>
      <w:color w:val="000000"/>
      <w:sz w:val="24"/>
      <w:szCs w:val="24"/>
      <w:u w:val="none"/>
    </w:r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character" w:styleId="BookTitle">
    <w:name w:val="Book Title"/>
    <w:basedOn w:val="DefaultParagraphFont"/>
    <w:uiPriority w:val="33"/>
    <w:qFormat/>
    <w:rsid w:val="00736F61"/>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image" Target="media/image3.emf"/><Relationship Id="rId3" Type="http://schemas.openxmlformats.org/officeDocument/2006/relationships/customXml" Target="../customXml/item3.xml"/><Relationship Id="rId21" Type="http://schemas.openxmlformats.org/officeDocument/2006/relationships/image" Target="media/image6.emf"/><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hyperlink" Target="https://www.walkfree.org/global-slavery-index/map/"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glossaryDocument" Target="glossary/document.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4.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image" Target="media/image7.emf"/></Relationships>
</file>

<file path=word/_rels/footnotes.xml.rels><?xml version="1.0" encoding="UTF-8" standalone="yes"?>
<Relationships xmlns="http://schemas.openxmlformats.org/package/2006/relationships"><Relationship Id="rId2" Type="http://schemas.openxmlformats.org/officeDocument/2006/relationships/hyperlink" Target="https://www.lseg.com/en/data-analytics/financial-data/indices/trbc-business-classification" TargetMode="External"/><Relationship Id="rId1" Type="http://schemas.openxmlformats.org/officeDocument/2006/relationships/hyperlink" Target="https://www.lseg.com/en/data-analytics/financial-data/reference-data/classifications/business-and-industry-classifications/global-industry-classification-standard-syste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F3AB78-9886-46EB-9E2E-F4E3E3A69FDD}" type="doc">
      <dgm:prSet loTypeId="urn:microsoft.com/office/officeart/2005/8/layout/hierarchy6" loCatId="hierarchy" qsTypeId="urn:microsoft.com/office/officeart/2005/8/quickstyle/3d1" qsCatId="3D" csTypeId="urn:microsoft.com/office/officeart/2005/8/colors/accent1_2" csCatId="accent1" phldr="1"/>
      <dgm:spPr/>
      <dgm:t>
        <a:bodyPr/>
        <a:lstStyle/>
        <a:p>
          <a:endParaRPr lang="en-GB"/>
        </a:p>
      </dgm:t>
    </dgm:pt>
    <dgm:pt modelId="{92F017B3-7D28-4724-AEA7-7EA6BD98DEF1}">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Qualitative Appoach</a:t>
          </a:r>
        </a:p>
      </dgm:t>
    </dgm:pt>
    <dgm:pt modelId="{226B47F6-C48A-4490-9403-356E86D63A62}" type="parTrans" cxnId="{DF7378EC-A4F2-4214-9119-24FC5F24DDB9}">
      <dgm:prSet/>
      <dgm:spPr/>
      <dgm:t>
        <a:bodyPr/>
        <a:lstStyle/>
        <a:p>
          <a:pPr algn="ctr"/>
          <a:endParaRPr lang="en-GB"/>
        </a:p>
      </dgm:t>
    </dgm:pt>
    <dgm:pt modelId="{84735F4B-15FC-45E8-BF69-7724C5ACE9B4}" type="sibTrans" cxnId="{DF7378EC-A4F2-4214-9119-24FC5F24DDB9}">
      <dgm:prSet/>
      <dgm:spPr/>
      <dgm:t>
        <a:bodyPr/>
        <a:lstStyle/>
        <a:p>
          <a:pPr algn="ctr"/>
          <a:endParaRPr lang="en-GB"/>
        </a:p>
      </dgm:t>
    </dgm:pt>
    <dgm:pt modelId="{35B2D661-6BA3-4344-A835-5F9F9192C17E}">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Semi-structured Interview</a:t>
          </a:r>
        </a:p>
      </dgm:t>
    </dgm:pt>
    <dgm:pt modelId="{3B367419-9BE2-4BAE-98DE-FFD7E9D879A1}" type="parTrans" cxnId="{2A7CEEB9-EB01-498B-9925-53B246F876E5}">
      <dgm:prSet>
        <dgm:style>
          <a:lnRef idx="2">
            <a:schemeClr val="dk1"/>
          </a:lnRef>
          <a:fillRef idx="1">
            <a:schemeClr val="lt1"/>
          </a:fillRef>
          <a:effectRef idx="0">
            <a:schemeClr val="dk1"/>
          </a:effectRef>
          <a:fontRef idx="minor">
            <a:schemeClr val="dk1"/>
          </a:fontRef>
        </dgm:style>
      </dgm:prSet>
      <dgm:spPr/>
      <dgm:t>
        <a:bodyPr/>
        <a:lstStyle/>
        <a:p>
          <a:pPr algn="l"/>
          <a:endParaRPr lang="en-GB"/>
        </a:p>
      </dgm:t>
    </dgm:pt>
    <dgm:pt modelId="{4F4BBAD8-F325-4BD8-A554-46E0AE3D800D}" type="sibTrans" cxnId="{2A7CEEB9-EB01-498B-9925-53B246F876E5}">
      <dgm:prSet/>
      <dgm:spPr/>
      <dgm:t>
        <a:bodyPr/>
        <a:lstStyle/>
        <a:p>
          <a:pPr algn="ctr"/>
          <a:endParaRPr lang="en-GB"/>
        </a:p>
      </dgm:t>
    </dgm:pt>
    <dgm:pt modelId="{6825D34A-D60D-4D02-9745-15E96229ECB5}">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Workers/  Ex-workers</a:t>
          </a:r>
        </a:p>
      </dgm:t>
    </dgm:pt>
    <dgm:pt modelId="{83ADBABB-8209-4F11-A91C-18F765FDABDD}" type="parTrans" cxnId="{D15F183F-AED7-4AE5-B6C0-FF2F952AB390}">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51F8BB87-D623-496D-B24D-1FB1CFE96561}" type="sibTrans" cxnId="{D15F183F-AED7-4AE5-B6C0-FF2F952AB390}">
      <dgm:prSet/>
      <dgm:spPr/>
      <dgm:t>
        <a:bodyPr/>
        <a:lstStyle/>
        <a:p>
          <a:pPr algn="ctr"/>
          <a:endParaRPr lang="en-GB"/>
        </a:p>
      </dgm:t>
    </dgm:pt>
    <dgm:pt modelId="{6AF8983B-897B-48BB-ACE4-95F958CBA776}">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Supervisors</a:t>
          </a:r>
        </a:p>
      </dgm:t>
    </dgm:pt>
    <dgm:pt modelId="{D2900479-F5DB-489B-9E82-641851E8704B}" type="parTrans" cxnId="{2380D83C-6EAF-4B37-980F-0FAB0DE658F2}">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09A3A09E-3D8F-4CFB-ABEE-596965DE1690}" type="sibTrans" cxnId="{2380D83C-6EAF-4B37-980F-0FAB0DE658F2}">
      <dgm:prSet/>
      <dgm:spPr/>
      <dgm:t>
        <a:bodyPr/>
        <a:lstStyle/>
        <a:p>
          <a:pPr algn="ctr"/>
          <a:endParaRPr lang="en-GB"/>
        </a:p>
      </dgm:t>
    </dgm:pt>
    <dgm:pt modelId="{76A2D248-367D-4C6D-A9B7-C8C37683D092}">
      <dgm:prSet phldrT="[Text]" custT="1">
        <dgm:style>
          <a:lnRef idx="2">
            <a:schemeClr val="dk1"/>
          </a:lnRef>
          <a:fillRef idx="1">
            <a:schemeClr val="lt1"/>
          </a:fillRef>
          <a:effectRef idx="0">
            <a:schemeClr val="dk1"/>
          </a:effectRef>
          <a:fontRef idx="minor">
            <a:schemeClr val="dk1"/>
          </a:fontRef>
        </dgm:style>
      </dgm:prSet>
      <dgm:spPr/>
      <dgm:t>
        <a:bodyPr/>
        <a:lstStyle/>
        <a:p>
          <a:pPr algn="just"/>
          <a:r>
            <a:rPr lang="en-GB" sz="1000">
              <a:latin typeface="Times New Roman" panose="02020603050405020304" pitchFamily="18" charset="0"/>
              <a:cs typeface="Times New Roman" panose="02020603050405020304" pitchFamily="18" charset="0"/>
            </a:rPr>
            <a:t>Questionnire</a:t>
          </a:r>
        </a:p>
      </dgm:t>
    </dgm:pt>
    <dgm:pt modelId="{6828A2CD-CD24-47B4-9A76-021F92B9CF08}" type="parTrans" cxnId="{85216469-8DC2-40A4-B50C-92794A870F44}">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E4DE2B84-9DAF-491A-81CF-E4AAE649C32A}" type="sibTrans" cxnId="{85216469-8DC2-40A4-B50C-92794A870F44}">
      <dgm:prSet/>
      <dgm:spPr/>
      <dgm:t>
        <a:bodyPr/>
        <a:lstStyle/>
        <a:p>
          <a:pPr algn="ctr"/>
          <a:endParaRPr lang="en-GB"/>
        </a:p>
      </dgm:t>
    </dgm:pt>
    <dgm:pt modelId="{EB0F92C9-CFA2-49A0-9930-31591065FBEE}">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Workers</a:t>
          </a:r>
        </a:p>
      </dgm:t>
    </dgm:pt>
    <dgm:pt modelId="{8ABE0308-FD42-44C0-922B-E29AA36F6B33}" type="parTrans" cxnId="{C814D5F2-FDC7-4555-AA45-A538EFA10669}">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82A2DE73-C266-4357-8F67-4440A9A97CE2}" type="sibTrans" cxnId="{C814D5F2-FDC7-4555-AA45-A538EFA10669}">
      <dgm:prSet/>
      <dgm:spPr/>
      <dgm:t>
        <a:bodyPr/>
        <a:lstStyle/>
        <a:p>
          <a:pPr algn="ctr"/>
          <a:endParaRPr lang="en-GB"/>
        </a:p>
      </dgm:t>
    </dgm:pt>
    <dgm:pt modelId="{0AA79554-12B5-45E8-806E-257F3800B1F4}">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Managers</a:t>
          </a:r>
        </a:p>
      </dgm:t>
    </dgm:pt>
    <dgm:pt modelId="{939A75A0-8D37-4997-B424-9EE1D0A43117}" type="parTrans" cxnId="{B6065118-28BB-4B7D-A2E9-D818BB5BC36B}">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9A919075-EF42-4948-878B-E8626593E921}" type="sibTrans" cxnId="{B6065118-28BB-4B7D-A2E9-D818BB5BC36B}">
      <dgm:prSet/>
      <dgm:spPr/>
      <dgm:t>
        <a:bodyPr/>
        <a:lstStyle/>
        <a:p>
          <a:pPr algn="ctr"/>
          <a:endParaRPr lang="en-GB"/>
        </a:p>
      </dgm:t>
    </dgm:pt>
    <dgm:pt modelId="{8EA6EBAC-3D5B-4872-8DB7-1EF3BBEF4F27}">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NGO</a:t>
          </a:r>
        </a:p>
      </dgm:t>
    </dgm:pt>
    <dgm:pt modelId="{1461A0E9-03E6-47B2-9AD6-B4A292090A35}" type="parTrans" cxnId="{D8E7757F-76F3-4081-8CA4-C4F4FF4BCD40}">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4EDC3BFB-09C1-4644-82A5-D3B492B0A253}" type="sibTrans" cxnId="{D8E7757F-76F3-4081-8CA4-C4F4FF4BCD40}">
      <dgm:prSet/>
      <dgm:spPr/>
      <dgm:t>
        <a:bodyPr/>
        <a:lstStyle/>
        <a:p>
          <a:pPr algn="ctr"/>
          <a:endParaRPr lang="en-GB"/>
        </a:p>
      </dgm:t>
    </dgm:pt>
    <dgm:pt modelId="{25FEADF7-DB09-4D95-8E0F-8387390EAFCB}">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Acadamia</a:t>
          </a:r>
        </a:p>
      </dgm:t>
    </dgm:pt>
    <dgm:pt modelId="{5FF7187B-46C4-4BD5-9DBA-DC31527DDF13}" type="parTrans" cxnId="{4ACBAFEC-10EF-4A00-9D68-8B3A13B6AAC3}">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E12EBAB3-437F-47B5-88CD-52AE70332099}" type="sibTrans" cxnId="{4ACBAFEC-10EF-4A00-9D68-8B3A13B6AAC3}">
      <dgm:prSet/>
      <dgm:spPr/>
      <dgm:t>
        <a:bodyPr/>
        <a:lstStyle/>
        <a:p>
          <a:pPr algn="ctr"/>
          <a:endParaRPr lang="en-GB"/>
        </a:p>
      </dgm:t>
    </dgm:pt>
    <dgm:pt modelId="{A4BD6BED-2B14-494F-A70E-AA295CF5B319}">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Trade Union</a:t>
          </a:r>
        </a:p>
      </dgm:t>
    </dgm:pt>
    <dgm:pt modelId="{39F8ABF9-12DA-41A5-B49A-89539062DD86}" type="parTrans" cxnId="{0584644E-E71E-41F9-A578-F21C4D4B8236}">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F92F7ADF-4ABB-4AF1-9CB9-24AB0D273CF7}" type="sibTrans" cxnId="{0584644E-E71E-41F9-A578-F21C4D4B8236}">
      <dgm:prSet/>
      <dgm:spPr/>
      <dgm:t>
        <a:bodyPr/>
        <a:lstStyle/>
        <a:p>
          <a:pPr algn="ctr"/>
          <a:endParaRPr lang="en-GB"/>
        </a:p>
      </dgm:t>
    </dgm:pt>
    <dgm:pt modelId="{2FC94C71-8B6D-45FB-BC1A-64217548434A}" type="pres">
      <dgm:prSet presAssocID="{14F3AB78-9886-46EB-9E2E-F4E3E3A69FDD}" presName="mainComposite" presStyleCnt="0">
        <dgm:presLayoutVars>
          <dgm:chPref val="1"/>
          <dgm:dir/>
          <dgm:animOne val="branch"/>
          <dgm:animLvl val="lvl"/>
          <dgm:resizeHandles val="exact"/>
        </dgm:presLayoutVars>
      </dgm:prSet>
      <dgm:spPr/>
    </dgm:pt>
    <dgm:pt modelId="{A99A09B6-395B-4E67-9216-0203A2D873A6}" type="pres">
      <dgm:prSet presAssocID="{14F3AB78-9886-46EB-9E2E-F4E3E3A69FDD}" presName="hierFlow" presStyleCnt="0"/>
      <dgm:spPr/>
    </dgm:pt>
    <dgm:pt modelId="{5027BE97-9AE1-48F3-B80B-7BD3DCF07D21}" type="pres">
      <dgm:prSet presAssocID="{14F3AB78-9886-46EB-9E2E-F4E3E3A69FDD}" presName="hierChild1" presStyleCnt="0">
        <dgm:presLayoutVars>
          <dgm:chPref val="1"/>
          <dgm:animOne val="branch"/>
          <dgm:animLvl val="lvl"/>
        </dgm:presLayoutVars>
      </dgm:prSet>
      <dgm:spPr/>
    </dgm:pt>
    <dgm:pt modelId="{2EE1EB55-49D6-4120-841F-80E586E9870F}" type="pres">
      <dgm:prSet presAssocID="{92F017B3-7D28-4724-AEA7-7EA6BD98DEF1}" presName="Name14" presStyleCnt="0"/>
      <dgm:spPr/>
    </dgm:pt>
    <dgm:pt modelId="{3D2DE32B-FA28-4D36-BB28-A74490FA3FB0}" type="pres">
      <dgm:prSet presAssocID="{92F017B3-7D28-4724-AEA7-7EA6BD98DEF1}" presName="level1Shape" presStyleLbl="node0" presStyleIdx="0" presStyleCnt="1" custScaleX="187555">
        <dgm:presLayoutVars>
          <dgm:chPref val="3"/>
        </dgm:presLayoutVars>
      </dgm:prSet>
      <dgm:spPr/>
    </dgm:pt>
    <dgm:pt modelId="{E8A8775E-CB2C-49CB-BE00-1AAB112789F1}" type="pres">
      <dgm:prSet presAssocID="{92F017B3-7D28-4724-AEA7-7EA6BD98DEF1}" presName="hierChild2" presStyleCnt="0"/>
      <dgm:spPr/>
    </dgm:pt>
    <dgm:pt modelId="{3F4D8A20-EB33-454B-A65B-DD8CA8DBA4A6}" type="pres">
      <dgm:prSet presAssocID="{3B367419-9BE2-4BAE-98DE-FFD7E9D879A1}" presName="Name19" presStyleLbl="parChTrans1D2" presStyleIdx="0" presStyleCnt="2"/>
      <dgm:spPr/>
    </dgm:pt>
    <dgm:pt modelId="{1BCA2E98-D088-458C-A928-983A5CF71D15}" type="pres">
      <dgm:prSet presAssocID="{35B2D661-6BA3-4344-A835-5F9F9192C17E}" presName="Name21" presStyleCnt="0"/>
      <dgm:spPr/>
    </dgm:pt>
    <dgm:pt modelId="{A6BF64BC-B43E-40B4-898A-5F9EBA75412B}" type="pres">
      <dgm:prSet presAssocID="{35B2D661-6BA3-4344-A835-5F9F9192C17E}" presName="level2Shape" presStyleLbl="node2" presStyleIdx="0" presStyleCnt="2" custScaleX="203211"/>
      <dgm:spPr/>
    </dgm:pt>
    <dgm:pt modelId="{23D2636F-3B8E-4B09-8A94-56A7E8362514}" type="pres">
      <dgm:prSet presAssocID="{35B2D661-6BA3-4344-A835-5F9F9192C17E}" presName="hierChild3" presStyleCnt="0"/>
      <dgm:spPr/>
    </dgm:pt>
    <dgm:pt modelId="{C3FF9DDB-7FA0-47BF-A8D8-EB551D0F2048}" type="pres">
      <dgm:prSet presAssocID="{83ADBABB-8209-4F11-A91C-18F765FDABDD}" presName="Name19" presStyleLbl="parChTrans1D3" presStyleIdx="0" presStyleCnt="7"/>
      <dgm:spPr/>
    </dgm:pt>
    <dgm:pt modelId="{C4D766E9-2674-4034-9C8E-64F366DFEBA9}" type="pres">
      <dgm:prSet presAssocID="{6825D34A-D60D-4D02-9745-15E96229ECB5}" presName="Name21" presStyleCnt="0"/>
      <dgm:spPr/>
    </dgm:pt>
    <dgm:pt modelId="{55ABF0BE-ECF0-4682-BC0D-98C566678905}" type="pres">
      <dgm:prSet presAssocID="{6825D34A-D60D-4D02-9745-15E96229ECB5}" presName="level2Shape" presStyleLbl="node3" presStyleIdx="0" presStyleCnt="7" custScaleX="126219"/>
      <dgm:spPr/>
    </dgm:pt>
    <dgm:pt modelId="{95DB1FD2-4BCE-407D-9CE7-4AE288078711}" type="pres">
      <dgm:prSet presAssocID="{6825D34A-D60D-4D02-9745-15E96229ECB5}" presName="hierChild3" presStyleCnt="0"/>
      <dgm:spPr/>
    </dgm:pt>
    <dgm:pt modelId="{F8B8B6E6-7C6F-4A6E-807D-ABB3DB65A60A}" type="pres">
      <dgm:prSet presAssocID="{939A75A0-8D37-4997-B424-9EE1D0A43117}" presName="Name19" presStyleLbl="parChTrans1D3" presStyleIdx="1" presStyleCnt="7"/>
      <dgm:spPr/>
    </dgm:pt>
    <dgm:pt modelId="{09210867-FA08-44BF-A008-960874254995}" type="pres">
      <dgm:prSet presAssocID="{0AA79554-12B5-45E8-806E-257F3800B1F4}" presName="Name21" presStyleCnt="0"/>
      <dgm:spPr/>
    </dgm:pt>
    <dgm:pt modelId="{499FDE3C-1F65-4F7E-B439-6D656087B229}" type="pres">
      <dgm:prSet presAssocID="{0AA79554-12B5-45E8-806E-257F3800B1F4}" presName="level2Shape" presStyleLbl="node3" presStyleIdx="1" presStyleCnt="7" custScaleX="117233"/>
      <dgm:spPr/>
    </dgm:pt>
    <dgm:pt modelId="{44670E05-879B-4011-9C2E-144482C51480}" type="pres">
      <dgm:prSet presAssocID="{0AA79554-12B5-45E8-806E-257F3800B1F4}" presName="hierChild3" presStyleCnt="0"/>
      <dgm:spPr/>
    </dgm:pt>
    <dgm:pt modelId="{E8CBF0F8-DFF9-48C3-88F7-7FF373305255}" type="pres">
      <dgm:prSet presAssocID="{1461A0E9-03E6-47B2-9AD6-B4A292090A35}" presName="Name19" presStyleLbl="parChTrans1D3" presStyleIdx="2" presStyleCnt="7"/>
      <dgm:spPr/>
    </dgm:pt>
    <dgm:pt modelId="{DAD69307-9205-44FA-838A-08F280243B3D}" type="pres">
      <dgm:prSet presAssocID="{8EA6EBAC-3D5B-4872-8DB7-1EF3BBEF4F27}" presName="Name21" presStyleCnt="0"/>
      <dgm:spPr/>
    </dgm:pt>
    <dgm:pt modelId="{86DDED65-07E5-4B24-B9F7-58BB7C23B139}" type="pres">
      <dgm:prSet presAssocID="{8EA6EBAC-3D5B-4872-8DB7-1EF3BBEF4F27}" presName="level2Shape" presStyleLbl="node3" presStyleIdx="2" presStyleCnt="7"/>
      <dgm:spPr/>
    </dgm:pt>
    <dgm:pt modelId="{5C5D6B3A-7926-4C5D-98D4-AF60D4392D04}" type="pres">
      <dgm:prSet presAssocID="{8EA6EBAC-3D5B-4872-8DB7-1EF3BBEF4F27}" presName="hierChild3" presStyleCnt="0"/>
      <dgm:spPr/>
    </dgm:pt>
    <dgm:pt modelId="{F197D123-B362-4023-8E51-8A6104048028}" type="pres">
      <dgm:prSet presAssocID="{5FF7187B-46C4-4BD5-9DBA-DC31527DDF13}" presName="Name19" presStyleLbl="parChTrans1D3" presStyleIdx="3" presStyleCnt="7"/>
      <dgm:spPr/>
    </dgm:pt>
    <dgm:pt modelId="{A8FBB2A2-60A1-45D1-86F1-AC81DCD2D2E5}" type="pres">
      <dgm:prSet presAssocID="{25FEADF7-DB09-4D95-8E0F-8387390EAFCB}" presName="Name21" presStyleCnt="0"/>
      <dgm:spPr/>
    </dgm:pt>
    <dgm:pt modelId="{85E5C84C-DBCA-403C-808F-EECD64AB5703}" type="pres">
      <dgm:prSet presAssocID="{25FEADF7-DB09-4D95-8E0F-8387390EAFCB}" presName="level2Shape" presStyleLbl="node3" presStyleIdx="3" presStyleCnt="7" custScaleX="118886"/>
      <dgm:spPr/>
    </dgm:pt>
    <dgm:pt modelId="{F8422EC4-AF82-4DCA-B83C-B83804C3C6D9}" type="pres">
      <dgm:prSet presAssocID="{25FEADF7-DB09-4D95-8E0F-8387390EAFCB}" presName="hierChild3" presStyleCnt="0"/>
      <dgm:spPr/>
    </dgm:pt>
    <dgm:pt modelId="{D79A8642-E898-4E55-B27E-EBE5B6D71E1A}" type="pres">
      <dgm:prSet presAssocID="{39F8ABF9-12DA-41A5-B49A-89539062DD86}" presName="Name19" presStyleLbl="parChTrans1D3" presStyleIdx="4" presStyleCnt="7"/>
      <dgm:spPr/>
    </dgm:pt>
    <dgm:pt modelId="{FBEE0F61-2AFD-4E4C-9610-E214582FEC17}" type="pres">
      <dgm:prSet presAssocID="{A4BD6BED-2B14-494F-A70E-AA295CF5B319}" presName="Name21" presStyleCnt="0"/>
      <dgm:spPr/>
    </dgm:pt>
    <dgm:pt modelId="{D26B40CE-E03F-4000-88C3-1BABFB116F4C}" type="pres">
      <dgm:prSet presAssocID="{A4BD6BED-2B14-494F-A70E-AA295CF5B319}" presName="level2Shape" presStyleLbl="node3" presStyleIdx="4" presStyleCnt="7"/>
      <dgm:spPr/>
    </dgm:pt>
    <dgm:pt modelId="{6AE76549-D77F-4C70-A8C1-1D39040EE9A5}" type="pres">
      <dgm:prSet presAssocID="{A4BD6BED-2B14-494F-A70E-AA295CF5B319}" presName="hierChild3" presStyleCnt="0"/>
      <dgm:spPr/>
    </dgm:pt>
    <dgm:pt modelId="{969D1AAD-84C1-4BA1-AA43-0F7486B880E5}" type="pres">
      <dgm:prSet presAssocID="{D2900479-F5DB-489B-9E82-641851E8704B}" presName="Name19" presStyleLbl="parChTrans1D3" presStyleIdx="5" presStyleCnt="7"/>
      <dgm:spPr/>
    </dgm:pt>
    <dgm:pt modelId="{63E42D30-E704-4AF4-B869-48A8080DD2B2}" type="pres">
      <dgm:prSet presAssocID="{6AF8983B-897B-48BB-ACE4-95F958CBA776}" presName="Name21" presStyleCnt="0"/>
      <dgm:spPr/>
    </dgm:pt>
    <dgm:pt modelId="{0C7C8274-9734-4B2A-85A8-944335596891}" type="pres">
      <dgm:prSet presAssocID="{6AF8983B-897B-48BB-ACE4-95F958CBA776}" presName="level2Shape" presStyleLbl="node3" presStyleIdx="5" presStyleCnt="7" custScaleX="126862"/>
      <dgm:spPr/>
    </dgm:pt>
    <dgm:pt modelId="{9839F39A-C61B-4FB5-AEEA-C8F9BB9EEAFA}" type="pres">
      <dgm:prSet presAssocID="{6AF8983B-897B-48BB-ACE4-95F958CBA776}" presName="hierChild3" presStyleCnt="0"/>
      <dgm:spPr/>
    </dgm:pt>
    <dgm:pt modelId="{9E1CDB06-0C24-4CA4-BDCC-B5C3AE9EEB44}" type="pres">
      <dgm:prSet presAssocID="{6828A2CD-CD24-47B4-9A76-021F92B9CF08}" presName="Name19" presStyleLbl="parChTrans1D2" presStyleIdx="1" presStyleCnt="2"/>
      <dgm:spPr/>
    </dgm:pt>
    <dgm:pt modelId="{57130DE7-5C8B-4951-89AB-2FE5F9086743}" type="pres">
      <dgm:prSet presAssocID="{76A2D248-367D-4C6D-A9B7-C8C37683D092}" presName="Name21" presStyleCnt="0"/>
      <dgm:spPr/>
    </dgm:pt>
    <dgm:pt modelId="{75D796A7-CDE7-4CA8-B771-20C82F31F753}" type="pres">
      <dgm:prSet presAssocID="{76A2D248-367D-4C6D-A9B7-C8C37683D092}" presName="level2Shape" presStyleLbl="node2" presStyleIdx="1" presStyleCnt="2" custScaleX="155762"/>
      <dgm:spPr/>
    </dgm:pt>
    <dgm:pt modelId="{B0EB65ED-593A-45B8-988C-8C2FC261CD9E}" type="pres">
      <dgm:prSet presAssocID="{76A2D248-367D-4C6D-A9B7-C8C37683D092}" presName="hierChild3" presStyleCnt="0"/>
      <dgm:spPr/>
    </dgm:pt>
    <dgm:pt modelId="{63D35E8B-F01A-42CE-B8A6-849E2490253A}" type="pres">
      <dgm:prSet presAssocID="{8ABE0308-FD42-44C0-922B-E29AA36F6B33}" presName="Name19" presStyleLbl="parChTrans1D3" presStyleIdx="6" presStyleCnt="7"/>
      <dgm:spPr/>
    </dgm:pt>
    <dgm:pt modelId="{9EAC0A4C-4C26-4FD2-A531-EC53568DE1AE}" type="pres">
      <dgm:prSet presAssocID="{EB0F92C9-CFA2-49A0-9930-31591065FBEE}" presName="Name21" presStyleCnt="0"/>
      <dgm:spPr/>
    </dgm:pt>
    <dgm:pt modelId="{894EC6FA-BB91-4980-95EB-E87482DC704F}" type="pres">
      <dgm:prSet presAssocID="{EB0F92C9-CFA2-49A0-9930-31591065FBEE}" presName="level2Shape" presStyleLbl="node3" presStyleIdx="6" presStyleCnt="7"/>
      <dgm:spPr/>
    </dgm:pt>
    <dgm:pt modelId="{6FBB4857-932B-4598-8FFA-1F77D6D256E8}" type="pres">
      <dgm:prSet presAssocID="{EB0F92C9-CFA2-49A0-9930-31591065FBEE}" presName="hierChild3" presStyleCnt="0"/>
      <dgm:spPr/>
    </dgm:pt>
    <dgm:pt modelId="{F854766D-3A2F-404B-A916-8D65BEC7B551}" type="pres">
      <dgm:prSet presAssocID="{14F3AB78-9886-46EB-9E2E-F4E3E3A69FDD}" presName="bgShapesFlow" presStyleCnt="0"/>
      <dgm:spPr/>
    </dgm:pt>
  </dgm:ptLst>
  <dgm:cxnLst>
    <dgm:cxn modelId="{210BBC15-F78F-40E6-828C-4FA4C1505E7B}" type="presOf" srcId="{76A2D248-367D-4C6D-A9B7-C8C37683D092}" destId="{75D796A7-CDE7-4CA8-B771-20C82F31F753}" srcOrd="0" destOrd="0" presId="urn:microsoft.com/office/officeart/2005/8/layout/hierarchy6"/>
    <dgm:cxn modelId="{B6065118-28BB-4B7D-A2E9-D818BB5BC36B}" srcId="{35B2D661-6BA3-4344-A835-5F9F9192C17E}" destId="{0AA79554-12B5-45E8-806E-257F3800B1F4}" srcOrd="1" destOrd="0" parTransId="{939A75A0-8D37-4997-B424-9EE1D0A43117}" sibTransId="{9A919075-EF42-4948-878B-E8626593E921}"/>
    <dgm:cxn modelId="{14552D19-DC4F-454D-AD4A-32581A8AB58F}" type="presOf" srcId="{8ABE0308-FD42-44C0-922B-E29AA36F6B33}" destId="{63D35E8B-F01A-42CE-B8A6-849E2490253A}" srcOrd="0" destOrd="0" presId="urn:microsoft.com/office/officeart/2005/8/layout/hierarchy6"/>
    <dgm:cxn modelId="{60CD481A-C23B-447E-A7CA-3170D6FCC6AD}" type="presOf" srcId="{8EA6EBAC-3D5B-4872-8DB7-1EF3BBEF4F27}" destId="{86DDED65-07E5-4B24-B9F7-58BB7C23B139}" srcOrd="0" destOrd="0" presId="urn:microsoft.com/office/officeart/2005/8/layout/hierarchy6"/>
    <dgm:cxn modelId="{203D6B30-DD4E-4C66-8929-A8D9D215BAC5}" type="presOf" srcId="{6828A2CD-CD24-47B4-9A76-021F92B9CF08}" destId="{9E1CDB06-0C24-4CA4-BDCC-B5C3AE9EEB44}" srcOrd="0" destOrd="0" presId="urn:microsoft.com/office/officeart/2005/8/layout/hierarchy6"/>
    <dgm:cxn modelId="{2380D83C-6EAF-4B37-980F-0FAB0DE658F2}" srcId="{35B2D661-6BA3-4344-A835-5F9F9192C17E}" destId="{6AF8983B-897B-48BB-ACE4-95F958CBA776}" srcOrd="5" destOrd="0" parTransId="{D2900479-F5DB-489B-9E82-641851E8704B}" sibTransId="{09A3A09E-3D8F-4CFB-ABEE-596965DE1690}"/>
    <dgm:cxn modelId="{D15F183F-AED7-4AE5-B6C0-FF2F952AB390}" srcId="{35B2D661-6BA3-4344-A835-5F9F9192C17E}" destId="{6825D34A-D60D-4D02-9745-15E96229ECB5}" srcOrd="0" destOrd="0" parTransId="{83ADBABB-8209-4F11-A91C-18F765FDABDD}" sibTransId="{51F8BB87-D623-496D-B24D-1FB1CFE96561}"/>
    <dgm:cxn modelId="{AB4BF861-1EEF-4A70-83E5-77E549B21144}" type="presOf" srcId="{25FEADF7-DB09-4D95-8E0F-8387390EAFCB}" destId="{85E5C84C-DBCA-403C-808F-EECD64AB5703}" srcOrd="0" destOrd="0" presId="urn:microsoft.com/office/officeart/2005/8/layout/hierarchy6"/>
    <dgm:cxn modelId="{E7B1D846-870C-40A3-9F60-95F71DA95E3A}" type="presOf" srcId="{92F017B3-7D28-4724-AEA7-7EA6BD98DEF1}" destId="{3D2DE32B-FA28-4D36-BB28-A74490FA3FB0}" srcOrd="0" destOrd="0" presId="urn:microsoft.com/office/officeart/2005/8/layout/hierarchy6"/>
    <dgm:cxn modelId="{85216469-8DC2-40A4-B50C-92794A870F44}" srcId="{92F017B3-7D28-4724-AEA7-7EA6BD98DEF1}" destId="{76A2D248-367D-4C6D-A9B7-C8C37683D092}" srcOrd="1" destOrd="0" parTransId="{6828A2CD-CD24-47B4-9A76-021F92B9CF08}" sibTransId="{E4DE2B84-9DAF-491A-81CF-E4AAE649C32A}"/>
    <dgm:cxn modelId="{45AF0B6D-65B1-4B46-9BB4-FA57E4138C92}" type="presOf" srcId="{D2900479-F5DB-489B-9E82-641851E8704B}" destId="{969D1AAD-84C1-4BA1-AA43-0F7486B880E5}" srcOrd="0" destOrd="0" presId="urn:microsoft.com/office/officeart/2005/8/layout/hierarchy6"/>
    <dgm:cxn modelId="{0584644E-E71E-41F9-A578-F21C4D4B8236}" srcId="{35B2D661-6BA3-4344-A835-5F9F9192C17E}" destId="{A4BD6BED-2B14-494F-A70E-AA295CF5B319}" srcOrd="4" destOrd="0" parTransId="{39F8ABF9-12DA-41A5-B49A-89539062DD86}" sibTransId="{F92F7ADF-4ABB-4AF1-9CB9-24AB0D273CF7}"/>
    <dgm:cxn modelId="{590B516E-0072-4EF4-BDD8-62EEF4B69F56}" type="presOf" srcId="{5FF7187B-46C4-4BD5-9DBA-DC31527DDF13}" destId="{F197D123-B362-4023-8E51-8A6104048028}" srcOrd="0" destOrd="0" presId="urn:microsoft.com/office/officeart/2005/8/layout/hierarchy6"/>
    <dgm:cxn modelId="{FB3A7054-D12B-478E-A758-A90C21BDB4BC}" type="presOf" srcId="{39F8ABF9-12DA-41A5-B49A-89539062DD86}" destId="{D79A8642-E898-4E55-B27E-EBE5B6D71E1A}" srcOrd="0" destOrd="0" presId="urn:microsoft.com/office/officeart/2005/8/layout/hierarchy6"/>
    <dgm:cxn modelId="{F08D9C78-AE10-4EB4-A365-2DBB203CF726}" type="presOf" srcId="{6825D34A-D60D-4D02-9745-15E96229ECB5}" destId="{55ABF0BE-ECF0-4682-BC0D-98C566678905}" srcOrd="0" destOrd="0" presId="urn:microsoft.com/office/officeart/2005/8/layout/hierarchy6"/>
    <dgm:cxn modelId="{D8E7757F-76F3-4081-8CA4-C4F4FF4BCD40}" srcId="{35B2D661-6BA3-4344-A835-5F9F9192C17E}" destId="{8EA6EBAC-3D5B-4872-8DB7-1EF3BBEF4F27}" srcOrd="2" destOrd="0" parTransId="{1461A0E9-03E6-47B2-9AD6-B4A292090A35}" sibTransId="{4EDC3BFB-09C1-4644-82A5-D3B492B0A253}"/>
    <dgm:cxn modelId="{1C387081-26E8-4EA8-B2E8-A86F4E567572}" type="presOf" srcId="{1461A0E9-03E6-47B2-9AD6-B4A292090A35}" destId="{E8CBF0F8-DFF9-48C3-88F7-7FF373305255}" srcOrd="0" destOrd="0" presId="urn:microsoft.com/office/officeart/2005/8/layout/hierarchy6"/>
    <dgm:cxn modelId="{7514AAAE-5B5A-484E-B11D-ED875F534525}" type="presOf" srcId="{6AF8983B-897B-48BB-ACE4-95F958CBA776}" destId="{0C7C8274-9734-4B2A-85A8-944335596891}" srcOrd="0" destOrd="0" presId="urn:microsoft.com/office/officeart/2005/8/layout/hierarchy6"/>
    <dgm:cxn modelId="{2A7CEEB9-EB01-498B-9925-53B246F876E5}" srcId="{92F017B3-7D28-4724-AEA7-7EA6BD98DEF1}" destId="{35B2D661-6BA3-4344-A835-5F9F9192C17E}" srcOrd="0" destOrd="0" parTransId="{3B367419-9BE2-4BAE-98DE-FFD7E9D879A1}" sibTransId="{4F4BBAD8-F325-4BD8-A554-46E0AE3D800D}"/>
    <dgm:cxn modelId="{2E93CCBA-F6AB-4764-B2F4-BE77CF78813D}" type="presOf" srcId="{3B367419-9BE2-4BAE-98DE-FFD7E9D879A1}" destId="{3F4D8A20-EB33-454B-A65B-DD8CA8DBA4A6}" srcOrd="0" destOrd="0" presId="urn:microsoft.com/office/officeart/2005/8/layout/hierarchy6"/>
    <dgm:cxn modelId="{7D7676C3-BC5B-4BD3-BAF2-1319218BA425}" type="presOf" srcId="{83ADBABB-8209-4F11-A91C-18F765FDABDD}" destId="{C3FF9DDB-7FA0-47BF-A8D8-EB551D0F2048}" srcOrd="0" destOrd="0" presId="urn:microsoft.com/office/officeart/2005/8/layout/hierarchy6"/>
    <dgm:cxn modelId="{C5DC20C8-8ECD-4B30-8AB4-CC7C986DABDA}" type="presOf" srcId="{A4BD6BED-2B14-494F-A70E-AA295CF5B319}" destId="{D26B40CE-E03F-4000-88C3-1BABFB116F4C}" srcOrd="0" destOrd="0" presId="urn:microsoft.com/office/officeart/2005/8/layout/hierarchy6"/>
    <dgm:cxn modelId="{A32157CE-1FC1-4DBF-B8A8-828BAEBAA30C}" type="presOf" srcId="{35B2D661-6BA3-4344-A835-5F9F9192C17E}" destId="{A6BF64BC-B43E-40B4-898A-5F9EBA75412B}" srcOrd="0" destOrd="0" presId="urn:microsoft.com/office/officeart/2005/8/layout/hierarchy6"/>
    <dgm:cxn modelId="{DD7064DC-057C-47EA-ABB1-AACC3021AA4C}" type="presOf" srcId="{0AA79554-12B5-45E8-806E-257F3800B1F4}" destId="{499FDE3C-1F65-4F7E-B439-6D656087B229}" srcOrd="0" destOrd="0" presId="urn:microsoft.com/office/officeart/2005/8/layout/hierarchy6"/>
    <dgm:cxn modelId="{2B4B81E2-DA36-47A4-998D-4A70FEF8E485}" type="presOf" srcId="{939A75A0-8D37-4997-B424-9EE1D0A43117}" destId="{F8B8B6E6-7C6F-4A6E-807D-ABB3DB65A60A}" srcOrd="0" destOrd="0" presId="urn:microsoft.com/office/officeart/2005/8/layout/hierarchy6"/>
    <dgm:cxn modelId="{889C93E9-34FA-4430-8A54-38801DC6FB8F}" type="presOf" srcId="{14F3AB78-9886-46EB-9E2E-F4E3E3A69FDD}" destId="{2FC94C71-8B6D-45FB-BC1A-64217548434A}" srcOrd="0" destOrd="0" presId="urn:microsoft.com/office/officeart/2005/8/layout/hierarchy6"/>
    <dgm:cxn modelId="{DF7378EC-A4F2-4214-9119-24FC5F24DDB9}" srcId="{14F3AB78-9886-46EB-9E2E-F4E3E3A69FDD}" destId="{92F017B3-7D28-4724-AEA7-7EA6BD98DEF1}" srcOrd="0" destOrd="0" parTransId="{226B47F6-C48A-4490-9403-356E86D63A62}" sibTransId="{84735F4B-15FC-45E8-BF69-7724C5ACE9B4}"/>
    <dgm:cxn modelId="{4ACBAFEC-10EF-4A00-9D68-8B3A13B6AAC3}" srcId="{35B2D661-6BA3-4344-A835-5F9F9192C17E}" destId="{25FEADF7-DB09-4D95-8E0F-8387390EAFCB}" srcOrd="3" destOrd="0" parTransId="{5FF7187B-46C4-4BD5-9DBA-DC31527DDF13}" sibTransId="{E12EBAB3-437F-47B5-88CD-52AE70332099}"/>
    <dgm:cxn modelId="{C814D5F2-FDC7-4555-AA45-A538EFA10669}" srcId="{76A2D248-367D-4C6D-A9B7-C8C37683D092}" destId="{EB0F92C9-CFA2-49A0-9930-31591065FBEE}" srcOrd="0" destOrd="0" parTransId="{8ABE0308-FD42-44C0-922B-E29AA36F6B33}" sibTransId="{82A2DE73-C266-4357-8F67-4440A9A97CE2}"/>
    <dgm:cxn modelId="{D22E1EF9-E5CC-4148-A6C2-DF87B94FCBE3}" type="presOf" srcId="{EB0F92C9-CFA2-49A0-9930-31591065FBEE}" destId="{894EC6FA-BB91-4980-95EB-E87482DC704F}" srcOrd="0" destOrd="0" presId="urn:microsoft.com/office/officeart/2005/8/layout/hierarchy6"/>
    <dgm:cxn modelId="{5F5E9C4A-DFF2-4265-89D2-DABB301E1A0E}" type="presParOf" srcId="{2FC94C71-8B6D-45FB-BC1A-64217548434A}" destId="{A99A09B6-395B-4E67-9216-0203A2D873A6}" srcOrd="0" destOrd="0" presId="urn:microsoft.com/office/officeart/2005/8/layout/hierarchy6"/>
    <dgm:cxn modelId="{E19BAA66-85C1-4749-9B90-513FF4EE0736}" type="presParOf" srcId="{A99A09B6-395B-4E67-9216-0203A2D873A6}" destId="{5027BE97-9AE1-48F3-B80B-7BD3DCF07D21}" srcOrd="0" destOrd="0" presId="urn:microsoft.com/office/officeart/2005/8/layout/hierarchy6"/>
    <dgm:cxn modelId="{293EB03A-3730-4A84-AC33-060922C61F1B}" type="presParOf" srcId="{5027BE97-9AE1-48F3-B80B-7BD3DCF07D21}" destId="{2EE1EB55-49D6-4120-841F-80E586E9870F}" srcOrd="0" destOrd="0" presId="urn:microsoft.com/office/officeart/2005/8/layout/hierarchy6"/>
    <dgm:cxn modelId="{EA77E230-4673-48DC-83AE-397C161993FD}" type="presParOf" srcId="{2EE1EB55-49D6-4120-841F-80E586E9870F}" destId="{3D2DE32B-FA28-4D36-BB28-A74490FA3FB0}" srcOrd="0" destOrd="0" presId="urn:microsoft.com/office/officeart/2005/8/layout/hierarchy6"/>
    <dgm:cxn modelId="{27EB8B77-0248-4E4F-96FA-89EC696E86E2}" type="presParOf" srcId="{2EE1EB55-49D6-4120-841F-80E586E9870F}" destId="{E8A8775E-CB2C-49CB-BE00-1AAB112789F1}" srcOrd="1" destOrd="0" presId="urn:microsoft.com/office/officeart/2005/8/layout/hierarchy6"/>
    <dgm:cxn modelId="{C5BA40BA-FCEF-4C7A-8986-C9453D775421}" type="presParOf" srcId="{E8A8775E-CB2C-49CB-BE00-1AAB112789F1}" destId="{3F4D8A20-EB33-454B-A65B-DD8CA8DBA4A6}" srcOrd="0" destOrd="0" presId="urn:microsoft.com/office/officeart/2005/8/layout/hierarchy6"/>
    <dgm:cxn modelId="{913CEE3B-2512-43A1-90AF-73546F00C062}" type="presParOf" srcId="{E8A8775E-CB2C-49CB-BE00-1AAB112789F1}" destId="{1BCA2E98-D088-458C-A928-983A5CF71D15}" srcOrd="1" destOrd="0" presId="urn:microsoft.com/office/officeart/2005/8/layout/hierarchy6"/>
    <dgm:cxn modelId="{D4C4DC59-6848-49F1-B15D-8DD0CA2B0249}" type="presParOf" srcId="{1BCA2E98-D088-458C-A928-983A5CF71D15}" destId="{A6BF64BC-B43E-40B4-898A-5F9EBA75412B}" srcOrd="0" destOrd="0" presId="urn:microsoft.com/office/officeart/2005/8/layout/hierarchy6"/>
    <dgm:cxn modelId="{6E707006-16FA-447D-A977-5D998D5E28BD}" type="presParOf" srcId="{1BCA2E98-D088-458C-A928-983A5CF71D15}" destId="{23D2636F-3B8E-4B09-8A94-56A7E8362514}" srcOrd="1" destOrd="0" presId="urn:microsoft.com/office/officeart/2005/8/layout/hierarchy6"/>
    <dgm:cxn modelId="{23561917-E676-440C-B590-4295201ED6CC}" type="presParOf" srcId="{23D2636F-3B8E-4B09-8A94-56A7E8362514}" destId="{C3FF9DDB-7FA0-47BF-A8D8-EB551D0F2048}" srcOrd="0" destOrd="0" presId="urn:microsoft.com/office/officeart/2005/8/layout/hierarchy6"/>
    <dgm:cxn modelId="{F010F165-D746-4CE6-8415-ED168FA0DE9C}" type="presParOf" srcId="{23D2636F-3B8E-4B09-8A94-56A7E8362514}" destId="{C4D766E9-2674-4034-9C8E-64F366DFEBA9}" srcOrd="1" destOrd="0" presId="urn:microsoft.com/office/officeart/2005/8/layout/hierarchy6"/>
    <dgm:cxn modelId="{4141055A-DBFD-4661-AD15-6FAA9970F131}" type="presParOf" srcId="{C4D766E9-2674-4034-9C8E-64F366DFEBA9}" destId="{55ABF0BE-ECF0-4682-BC0D-98C566678905}" srcOrd="0" destOrd="0" presId="urn:microsoft.com/office/officeart/2005/8/layout/hierarchy6"/>
    <dgm:cxn modelId="{A3AEA7D7-85F9-425F-B8E9-F4C69D86A43F}" type="presParOf" srcId="{C4D766E9-2674-4034-9C8E-64F366DFEBA9}" destId="{95DB1FD2-4BCE-407D-9CE7-4AE288078711}" srcOrd="1" destOrd="0" presId="urn:microsoft.com/office/officeart/2005/8/layout/hierarchy6"/>
    <dgm:cxn modelId="{89559D6A-C74E-4BF7-97B1-CBDEB4F857B0}" type="presParOf" srcId="{23D2636F-3B8E-4B09-8A94-56A7E8362514}" destId="{F8B8B6E6-7C6F-4A6E-807D-ABB3DB65A60A}" srcOrd="2" destOrd="0" presId="urn:microsoft.com/office/officeart/2005/8/layout/hierarchy6"/>
    <dgm:cxn modelId="{F255A68D-6B4E-4536-AD50-EA906E470058}" type="presParOf" srcId="{23D2636F-3B8E-4B09-8A94-56A7E8362514}" destId="{09210867-FA08-44BF-A008-960874254995}" srcOrd="3" destOrd="0" presId="urn:microsoft.com/office/officeart/2005/8/layout/hierarchy6"/>
    <dgm:cxn modelId="{230F012E-F98B-47E0-9D87-2D69751CA84C}" type="presParOf" srcId="{09210867-FA08-44BF-A008-960874254995}" destId="{499FDE3C-1F65-4F7E-B439-6D656087B229}" srcOrd="0" destOrd="0" presId="urn:microsoft.com/office/officeart/2005/8/layout/hierarchy6"/>
    <dgm:cxn modelId="{35CE5BBB-1EEF-42AD-B646-1D6F00B57065}" type="presParOf" srcId="{09210867-FA08-44BF-A008-960874254995}" destId="{44670E05-879B-4011-9C2E-144482C51480}" srcOrd="1" destOrd="0" presId="urn:microsoft.com/office/officeart/2005/8/layout/hierarchy6"/>
    <dgm:cxn modelId="{4DBB8090-B67C-4E8F-A3AE-9F783BB9A5B6}" type="presParOf" srcId="{23D2636F-3B8E-4B09-8A94-56A7E8362514}" destId="{E8CBF0F8-DFF9-48C3-88F7-7FF373305255}" srcOrd="4" destOrd="0" presId="urn:microsoft.com/office/officeart/2005/8/layout/hierarchy6"/>
    <dgm:cxn modelId="{03472532-B1F5-4624-A2E8-A0350B7815CE}" type="presParOf" srcId="{23D2636F-3B8E-4B09-8A94-56A7E8362514}" destId="{DAD69307-9205-44FA-838A-08F280243B3D}" srcOrd="5" destOrd="0" presId="urn:microsoft.com/office/officeart/2005/8/layout/hierarchy6"/>
    <dgm:cxn modelId="{3FC746F2-7517-4C16-870A-C4A2B84C7FC3}" type="presParOf" srcId="{DAD69307-9205-44FA-838A-08F280243B3D}" destId="{86DDED65-07E5-4B24-B9F7-58BB7C23B139}" srcOrd="0" destOrd="0" presId="urn:microsoft.com/office/officeart/2005/8/layout/hierarchy6"/>
    <dgm:cxn modelId="{203E8D60-CFA3-4F24-814D-674E265C6931}" type="presParOf" srcId="{DAD69307-9205-44FA-838A-08F280243B3D}" destId="{5C5D6B3A-7926-4C5D-98D4-AF60D4392D04}" srcOrd="1" destOrd="0" presId="urn:microsoft.com/office/officeart/2005/8/layout/hierarchy6"/>
    <dgm:cxn modelId="{76E4A03C-F5B5-47A7-8747-007CA350F968}" type="presParOf" srcId="{23D2636F-3B8E-4B09-8A94-56A7E8362514}" destId="{F197D123-B362-4023-8E51-8A6104048028}" srcOrd="6" destOrd="0" presId="urn:microsoft.com/office/officeart/2005/8/layout/hierarchy6"/>
    <dgm:cxn modelId="{53F01A7E-8062-4BCC-AA6B-3B373D8D7E40}" type="presParOf" srcId="{23D2636F-3B8E-4B09-8A94-56A7E8362514}" destId="{A8FBB2A2-60A1-45D1-86F1-AC81DCD2D2E5}" srcOrd="7" destOrd="0" presId="urn:microsoft.com/office/officeart/2005/8/layout/hierarchy6"/>
    <dgm:cxn modelId="{404C7E14-6411-4ED3-8CB8-0F27FB867EB9}" type="presParOf" srcId="{A8FBB2A2-60A1-45D1-86F1-AC81DCD2D2E5}" destId="{85E5C84C-DBCA-403C-808F-EECD64AB5703}" srcOrd="0" destOrd="0" presId="urn:microsoft.com/office/officeart/2005/8/layout/hierarchy6"/>
    <dgm:cxn modelId="{719550E6-444C-44C3-BBB5-20CC844BBFA5}" type="presParOf" srcId="{A8FBB2A2-60A1-45D1-86F1-AC81DCD2D2E5}" destId="{F8422EC4-AF82-4DCA-B83C-B83804C3C6D9}" srcOrd="1" destOrd="0" presId="urn:microsoft.com/office/officeart/2005/8/layout/hierarchy6"/>
    <dgm:cxn modelId="{901F11DC-0751-4970-89D3-C0444A6F32C5}" type="presParOf" srcId="{23D2636F-3B8E-4B09-8A94-56A7E8362514}" destId="{D79A8642-E898-4E55-B27E-EBE5B6D71E1A}" srcOrd="8" destOrd="0" presId="urn:microsoft.com/office/officeart/2005/8/layout/hierarchy6"/>
    <dgm:cxn modelId="{A842B757-930B-40F4-B61E-31F88A5DDA5C}" type="presParOf" srcId="{23D2636F-3B8E-4B09-8A94-56A7E8362514}" destId="{FBEE0F61-2AFD-4E4C-9610-E214582FEC17}" srcOrd="9" destOrd="0" presId="urn:microsoft.com/office/officeart/2005/8/layout/hierarchy6"/>
    <dgm:cxn modelId="{07C65281-7CBE-45F7-A6E1-7FECA3E7C3A6}" type="presParOf" srcId="{FBEE0F61-2AFD-4E4C-9610-E214582FEC17}" destId="{D26B40CE-E03F-4000-88C3-1BABFB116F4C}" srcOrd="0" destOrd="0" presId="urn:microsoft.com/office/officeart/2005/8/layout/hierarchy6"/>
    <dgm:cxn modelId="{729E75FD-8637-4FFF-96E2-51BFF6C0A06B}" type="presParOf" srcId="{FBEE0F61-2AFD-4E4C-9610-E214582FEC17}" destId="{6AE76549-D77F-4C70-A8C1-1D39040EE9A5}" srcOrd="1" destOrd="0" presId="urn:microsoft.com/office/officeart/2005/8/layout/hierarchy6"/>
    <dgm:cxn modelId="{3FCEF7DA-FA3A-4A34-AE2F-3DB07BB92844}" type="presParOf" srcId="{23D2636F-3B8E-4B09-8A94-56A7E8362514}" destId="{969D1AAD-84C1-4BA1-AA43-0F7486B880E5}" srcOrd="10" destOrd="0" presId="urn:microsoft.com/office/officeart/2005/8/layout/hierarchy6"/>
    <dgm:cxn modelId="{B6779DEC-1B96-403A-9458-1A3BD8680859}" type="presParOf" srcId="{23D2636F-3B8E-4B09-8A94-56A7E8362514}" destId="{63E42D30-E704-4AF4-B869-48A8080DD2B2}" srcOrd="11" destOrd="0" presId="urn:microsoft.com/office/officeart/2005/8/layout/hierarchy6"/>
    <dgm:cxn modelId="{884BD93E-7A7F-4FB2-BC2D-8D303E4B0EF7}" type="presParOf" srcId="{63E42D30-E704-4AF4-B869-48A8080DD2B2}" destId="{0C7C8274-9734-4B2A-85A8-944335596891}" srcOrd="0" destOrd="0" presId="urn:microsoft.com/office/officeart/2005/8/layout/hierarchy6"/>
    <dgm:cxn modelId="{5B976BC8-3815-4C60-A13B-221975C8756E}" type="presParOf" srcId="{63E42D30-E704-4AF4-B869-48A8080DD2B2}" destId="{9839F39A-C61B-4FB5-AEEA-C8F9BB9EEAFA}" srcOrd="1" destOrd="0" presId="urn:microsoft.com/office/officeart/2005/8/layout/hierarchy6"/>
    <dgm:cxn modelId="{B70E365B-4074-4EE2-9F67-C54170B57FB2}" type="presParOf" srcId="{E8A8775E-CB2C-49CB-BE00-1AAB112789F1}" destId="{9E1CDB06-0C24-4CA4-BDCC-B5C3AE9EEB44}" srcOrd="2" destOrd="0" presId="urn:microsoft.com/office/officeart/2005/8/layout/hierarchy6"/>
    <dgm:cxn modelId="{A51D16CC-6A5D-4538-9660-DF6E5539D96C}" type="presParOf" srcId="{E8A8775E-CB2C-49CB-BE00-1AAB112789F1}" destId="{57130DE7-5C8B-4951-89AB-2FE5F9086743}" srcOrd="3" destOrd="0" presId="urn:microsoft.com/office/officeart/2005/8/layout/hierarchy6"/>
    <dgm:cxn modelId="{03FB06EC-2D9D-45F2-B972-16539ED3D3F2}" type="presParOf" srcId="{57130DE7-5C8B-4951-89AB-2FE5F9086743}" destId="{75D796A7-CDE7-4CA8-B771-20C82F31F753}" srcOrd="0" destOrd="0" presId="urn:microsoft.com/office/officeart/2005/8/layout/hierarchy6"/>
    <dgm:cxn modelId="{F8C871A1-6514-42B3-9AB2-5EAE9358E653}" type="presParOf" srcId="{57130DE7-5C8B-4951-89AB-2FE5F9086743}" destId="{B0EB65ED-593A-45B8-988C-8C2FC261CD9E}" srcOrd="1" destOrd="0" presId="urn:microsoft.com/office/officeart/2005/8/layout/hierarchy6"/>
    <dgm:cxn modelId="{20822904-167F-44CC-A696-B264D9A5A5AE}" type="presParOf" srcId="{B0EB65ED-593A-45B8-988C-8C2FC261CD9E}" destId="{63D35E8B-F01A-42CE-B8A6-849E2490253A}" srcOrd="0" destOrd="0" presId="urn:microsoft.com/office/officeart/2005/8/layout/hierarchy6"/>
    <dgm:cxn modelId="{8929BC2F-B9B6-4E13-8840-4C36A9ECBD58}" type="presParOf" srcId="{B0EB65ED-593A-45B8-988C-8C2FC261CD9E}" destId="{9EAC0A4C-4C26-4FD2-A531-EC53568DE1AE}" srcOrd="1" destOrd="0" presId="urn:microsoft.com/office/officeart/2005/8/layout/hierarchy6"/>
    <dgm:cxn modelId="{B8C93687-40E0-453F-98AD-C5F9DF12B5C8}" type="presParOf" srcId="{9EAC0A4C-4C26-4FD2-A531-EC53568DE1AE}" destId="{894EC6FA-BB91-4980-95EB-E87482DC704F}" srcOrd="0" destOrd="0" presId="urn:microsoft.com/office/officeart/2005/8/layout/hierarchy6"/>
    <dgm:cxn modelId="{40CD6901-3C7F-4690-B52D-23A73467B5E6}" type="presParOf" srcId="{9EAC0A4C-4C26-4FD2-A531-EC53568DE1AE}" destId="{6FBB4857-932B-4598-8FFA-1F77D6D256E8}" srcOrd="1" destOrd="0" presId="urn:microsoft.com/office/officeart/2005/8/layout/hierarchy6"/>
    <dgm:cxn modelId="{B0959277-9AEB-426A-9895-0A384697BC81}" type="presParOf" srcId="{2FC94C71-8B6D-45FB-BC1A-64217548434A}" destId="{F854766D-3A2F-404B-A916-8D65BEC7B551}" srcOrd="1" destOrd="0" presId="urn:microsoft.com/office/officeart/2005/8/layout/hierarchy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2DE32B-FA28-4D36-BB28-A74490FA3FB0}">
      <dsp:nvSpPr>
        <dsp:cNvPr id="0" name=""/>
        <dsp:cNvSpPr/>
      </dsp:nvSpPr>
      <dsp:spPr>
        <a:xfrm>
          <a:off x="3344136" y="174312"/>
          <a:ext cx="1111830"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Qualitative Appoach</a:t>
          </a:r>
        </a:p>
      </dsp:txBody>
      <dsp:txXfrm>
        <a:off x="3355711" y="185887"/>
        <a:ext cx="1088680" cy="372051"/>
      </dsp:txXfrm>
    </dsp:sp>
    <dsp:sp modelId="{3F4D8A20-EB33-454B-A65B-DD8CA8DBA4A6}">
      <dsp:nvSpPr>
        <dsp:cNvPr id="0" name=""/>
        <dsp:cNvSpPr/>
      </dsp:nvSpPr>
      <dsp:spPr>
        <a:xfrm>
          <a:off x="2489551" y="569513"/>
          <a:ext cx="1410500" cy="158080"/>
        </a:xfrm>
        <a:custGeom>
          <a:avLst/>
          <a:gdLst/>
          <a:ahLst/>
          <a:cxnLst/>
          <a:rect l="0" t="0" r="0" b="0"/>
          <a:pathLst>
            <a:path>
              <a:moveTo>
                <a:pt x="1410500" y="0"/>
              </a:moveTo>
              <a:lnTo>
                <a:pt x="1410500" y="79040"/>
              </a:lnTo>
              <a:lnTo>
                <a:pt x="0" y="79040"/>
              </a:lnTo>
              <a:lnTo>
                <a:pt x="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A6BF64BC-B43E-40B4-898A-5F9EBA75412B}">
      <dsp:nvSpPr>
        <dsp:cNvPr id="0" name=""/>
        <dsp:cNvSpPr/>
      </dsp:nvSpPr>
      <dsp:spPr>
        <a:xfrm>
          <a:off x="1887231" y="727594"/>
          <a:ext cx="1204639"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Semi-structured Interview</a:t>
          </a:r>
        </a:p>
      </dsp:txBody>
      <dsp:txXfrm>
        <a:off x="1898806" y="739169"/>
        <a:ext cx="1181489" cy="372051"/>
      </dsp:txXfrm>
    </dsp:sp>
    <dsp:sp modelId="{C3FF9DDB-7FA0-47BF-A8D8-EB551D0F2048}">
      <dsp:nvSpPr>
        <dsp:cNvPr id="0" name=""/>
        <dsp:cNvSpPr/>
      </dsp:nvSpPr>
      <dsp:spPr>
        <a:xfrm>
          <a:off x="376268" y="1122795"/>
          <a:ext cx="2113283" cy="158080"/>
        </a:xfrm>
        <a:custGeom>
          <a:avLst/>
          <a:gdLst/>
          <a:ahLst/>
          <a:cxnLst/>
          <a:rect l="0" t="0" r="0" b="0"/>
          <a:pathLst>
            <a:path>
              <a:moveTo>
                <a:pt x="2113283" y="0"/>
              </a:moveTo>
              <a:lnTo>
                <a:pt x="2113283" y="79040"/>
              </a:lnTo>
              <a:lnTo>
                <a:pt x="0" y="79040"/>
              </a:lnTo>
              <a:lnTo>
                <a:pt x="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55ABF0BE-ECF0-4682-BC0D-98C566678905}">
      <dsp:nvSpPr>
        <dsp:cNvPr id="0" name=""/>
        <dsp:cNvSpPr/>
      </dsp:nvSpPr>
      <dsp:spPr>
        <a:xfrm>
          <a:off x="2153" y="1280876"/>
          <a:ext cx="748228"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Workers/  Ex-workers</a:t>
          </a:r>
        </a:p>
      </dsp:txBody>
      <dsp:txXfrm>
        <a:off x="13728" y="1292451"/>
        <a:ext cx="725078" cy="372051"/>
      </dsp:txXfrm>
    </dsp:sp>
    <dsp:sp modelId="{F8B8B6E6-7C6F-4A6E-807D-ABB3DB65A60A}">
      <dsp:nvSpPr>
        <dsp:cNvPr id="0" name=""/>
        <dsp:cNvSpPr/>
      </dsp:nvSpPr>
      <dsp:spPr>
        <a:xfrm>
          <a:off x="1275703" y="1122795"/>
          <a:ext cx="1213848" cy="158080"/>
        </a:xfrm>
        <a:custGeom>
          <a:avLst/>
          <a:gdLst/>
          <a:ahLst/>
          <a:cxnLst/>
          <a:rect l="0" t="0" r="0" b="0"/>
          <a:pathLst>
            <a:path>
              <a:moveTo>
                <a:pt x="1213848" y="0"/>
              </a:moveTo>
              <a:lnTo>
                <a:pt x="1213848" y="79040"/>
              </a:lnTo>
              <a:lnTo>
                <a:pt x="0" y="79040"/>
              </a:lnTo>
              <a:lnTo>
                <a:pt x="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499FDE3C-1F65-4F7E-B439-6D656087B229}">
      <dsp:nvSpPr>
        <dsp:cNvPr id="0" name=""/>
        <dsp:cNvSpPr/>
      </dsp:nvSpPr>
      <dsp:spPr>
        <a:xfrm>
          <a:off x="928223" y="1280876"/>
          <a:ext cx="694959"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Managers</a:t>
          </a:r>
        </a:p>
      </dsp:txBody>
      <dsp:txXfrm>
        <a:off x="939798" y="1292451"/>
        <a:ext cx="671809" cy="372051"/>
      </dsp:txXfrm>
    </dsp:sp>
    <dsp:sp modelId="{E8CBF0F8-DFF9-48C3-88F7-7FF373305255}">
      <dsp:nvSpPr>
        <dsp:cNvPr id="0" name=""/>
        <dsp:cNvSpPr/>
      </dsp:nvSpPr>
      <dsp:spPr>
        <a:xfrm>
          <a:off x="2097424" y="1122795"/>
          <a:ext cx="392126" cy="158080"/>
        </a:xfrm>
        <a:custGeom>
          <a:avLst/>
          <a:gdLst/>
          <a:ahLst/>
          <a:cxnLst/>
          <a:rect l="0" t="0" r="0" b="0"/>
          <a:pathLst>
            <a:path>
              <a:moveTo>
                <a:pt x="392126" y="0"/>
              </a:moveTo>
              <a:lnTo>
                <a:pt x="392126" y="79040"/>
              </a:lnTo>
              <a:lnTo>
                <a:pt x="0" y="79040"/>
              </a:lnTo>
              <a:lnTo>
                <a:pt x="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86DDED65-07E5-4B24-B9F7-58BB7C23B139}">
      <dsp:nvSpPr>
        <dsp:cNvPr id="0" name=""/>
        <dsp:cNvSpPr/>
      </dsp:nvSpPr>
      <dsp:spPr>
        <a:xfrm>
          <a:off x="1801023" y="1280876"/>
          <a:ext cx="592802"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NGO</a:t>
          </a:r>
        </a:p>
      </dsp:txBody>
      <dsp:txXfrm>
        <a:off x="1812598" y="1292451"/>
        <a:ext cx="569652" cy="372051"/>
      </dsp:txXfrm>
    </dsp:sp>
    <dsp:sp modelId="{F197D123-B362-4023-8E51-8A6104048028}">
      <dsp:nvSpPr>
        <dsp:cNvPr id="0" name=""/>
        <dsp:cNvSpPr/>
      </dsp:nvSpPr>
      <dsp:spPr>
        <a:xfrm>
          <a:off x="2489551" y="1122795"/>
          <a:ext cx="434494" cy="158080"/>
        </a:xfrm>
        <a:custGeom>
          <a:avLst/>
          <a:gdLst/>
          <a:ahLst/>
          <a:cxnLst/>
          <a:rect l="0" t="0" r="0" b="0"/>
          <a:pathLst>
            <a:path>
              <a:moveTo>
                <a:pt x="0" y="0"/>
              </a:moveTo>
              <a:lnTo>
                <a:pt x="0" y="79040"/>
              </a:lnTo>
              <a:lnTo>
                <a:pt x="434494" y="79040"/>
              </a:lnTo>
              <a:lnTo>
                <a:pt x="434494"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85E5C84C-DBCA-403C-808F-EECD64AB5703}">
      <dsp:nvSpPr>
        <dsp:cNvPr id="0" name=""/>
        <dsp:cNvSpPr/>
      </dsp:nvSpPr>
      <dsp:spPr>
        <a:xfrm>
          <a:off x="2571666" y="1280876"/>
          <a:ext cx="704758"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Acadamia</a:t>
          </a:r>
        </a:p>
      </dsp:txBody>
      <dsp:txXfrm>
        <a:off x="2583241" y="1292451"/>
        <a:ext cx="681608" cy="372051"/>
      </dsp:txXfrm>
    </dsp:sp>
    <dsp:sp modelId="{D79A8642-E898-4E55-B27E-EBE5B6D71E1A}">
      <dsp:nvSpPr>
        <dsp:cNvPr id="0" name=""/>
        <dsp:cNvSpPr/>
      </dsp:nvSpPr>
      <dsp:spPr>
        <a:xfrm>
          <a:off x="2489551" y="1122795"/>
          <a:ext cx="1261115" cy="158080"/>
        </a:xfrm>
        <a:custGeom>
          <a:avLst/>
          <a:gdLst/>
          <a:ahLst/>
          <a:cxnLst/>
          <a:rect l="0" t="0" r="0" b="0"/>
          <a:pathLst>
            <a:path>
              <a:moveTo>
                <a:pt x="0" y="0"/>
              </a:moveTo>
              <a:lnTo>
                <a:pt x="0" y="79040"/>
              </a:lnTo>
              <a:lnTo>
                <a:pt x="1261115" y="79040"/>
              </a:lnTo>
              <a:lnTo>
                <a:pt x="1261115"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D26B40CE-E03F-4000-88C3-1BABFB116F4C}">
      <dsp:nvSpPr>
        <dsp:cNvPr id="0" name=""/>
        <dsp:cNvSpPr/>
      </dsp:nvSpPr>
      <dsp:spPr>
        <a:xfrm>
          <a:off x="3454265" y="1280876"/>
          <a:ext cx="592802"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Trade Union</a:t>
          </a:r>
        </a:p>
      </dsp:txBody>
      <dsp:txXfrm>
        <a:off x="3465840" y="1292451"/>
        <a:ext cx="569652" cy="372051"/>
      </dsp:txXfrm>
    </dsp:sp>
    <dsp:sp modelId="{969D1AAD-84C1-4BA1-AA43-0F7486B880E5}">
      <dsp:nvSpPr>
        <dsp:cNvPr id="0" name=""/>
        <dsp:cNvSpPr/>
      </dsp:nvSpPr>
      <dsp:spPr>
        <a:xfrm>
          <a:off x="2489551" y="1122795"/>
          <a:ext cx="2111377" cy="158080"/>
        </a:xfrm>
        <a:custGeom>
          <a:avLst/>
          <a:gdLst/>
          <a:ahLst/>
          <a:cxnLst/>
          <a:rect l="0" t="0" r="0" b="0"/>
          <a:pathLst>
            <a:path>
              <a:moveTo>
                <a:pt x="0" y="0"/>
              </a:moveTo>
              <a:lnTo>
                <a:pt x="0" y="79040"/>
              </a:lnTo>
              <a:lnTo>
                <a:pt x="2111377" y="79040"/>
              </a:lnTo>
              <a:lnTo>
                <a:pt x="2111377"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0C7C8274-9734-4B2A-85A8-944335596891}">
      <dsp:nvSpPr>
        <dsp:cNvPr id="0" name=""/>
        <dsp:cNvSpPr/>
      </dsp:nvSpPr>
      <dsp:spPr>
        <a:xfrm>
          <a:off x="4224908" y="1280876"/>
          <a:ext cx="752040"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Supervisors</a:t>
          </a:r>
        </a:p>
      </dsp:txBody>
      <dsp:txXfrm>
        <a:off x="4236483" y="1292451"/>
        <a:ext cx="728890" cy="372051"/>
      </dsp:txXfrm>
    </dsp:sp>
    <dsp:sp modelId="{9E1CDB06-0C24-4CA4-BDCC-B5C3AE9EEB44}">
      <dsp:nvSpPr>
        <dsp:cNvPr id="0" name=""/>
        <dsp:cNvSpPr/>
      </dsp:nvSpPr>
      <dsp:spPr>
        <a:xfrm>
          <a:off x="3900051" y="569513"/>
          <a:ext cx="1551139" cy="158080"/>
        </a:xfrm>
        <a:custGeom>
          <a:avLst/>
          <a:gdLst/>
          <a:ahLst/>
          <a:cxnLst/>
          <a:rect l="0" t="0" r="0" b="0"/>
          <a:pathLst>
            <a:path>
              <a:moveTo>
                <a:pt x="0" y="0"/>
              </a:moveTo>
              <a:lnTo>
                <a:pt x="0" y="79040"/>
              </a:lnTo>
              <a:lnTo>
                <a:pt x="1551139" y="79040"/>
              </a:lnTo>
              <a:lnTo>
                <a:pt x="1551139"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75D796A7-CDE7-4CA8-B771-20C82F31F753}">
      <dsp:nvSpPr>
        <dsp:cNvPr id="0" name=""/>
        <dsp:cNvSpPr/>
      </dsp:nvSpPr>
      <dsp:spPr>
        <a:xfrm>
          <a:off x="4989510" y="727594"/>
          <a:ext cx="923360"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just"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Questionnire</a:t>
          </a:r>
        </a:p>
      </dsp:txBody>
      <dsp:txXfrm>
        <a:off x="5001085" y="739169"/>
        <a:ext cx="900210" cy="372051"/>
      </dsp:txXfrm>
    </dsp:sp>
    <dsp:sp modelId="{63D35E8B-F01A-42CE-B8A6-849E2490253A}">
      <dsp:nvSpPr>
        <dsp:cNvPr id="0" name=""/>
        <dsp:cNvSpPr/>
      </dsp:nvSpPr>
      <dsp:spPr>
        <a:xfrm>
          <a:off x="5405471" y="1122795"/>
          <a:ext cx="91440" cy="158080"/>
        </a:xfrm>
        <a:custGeom>
          <a:avLst/>
          <a:gdLst/>
          <a:ahLst/>
          <a:cxnLst/>
          <a:rect l="0" t="0" r="0" b="0"/>
          <a:pathLst>
            <a:path>
              <a:moveTo>
                <a:pt x="45720" y="0"/>
              </a:moveTo>
              <a:lnTo>
                <a:pt x="4572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894EC6FA-BB91-4980-95EB-E87482DC704F}">
      <dsp:nvSpPr>
        <dsp:cNvPr id="0" name=""/>
        <dsp:cNvSpPr/>
      </dsp:nvSpPr>
      <dsp:spPr>
        <a:xfrm>
          <a:off x="5154790" y="1280876"/>
          <a:ext cx="592802"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Workers</a:t>
          </a:r>
        </a:p>
      </dsp:txBody>
      <dsp:txXfrm>
        <a:off x="5166365" y="1292451"/>
        <a:ext cx="569652" cy="3720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44D993068574F418CB039F91B3252D4"/>
        <w:category>
          <w:name w:val="General"/>
          <w:gallery w:val="placeholder"/>
        </w:category>
        <w:types>
          <w:type w:val="bbPlcHdr"/>
        </w:types>
        <w:behaviors>
          <w:behavior w:val="content"/>
        </w:behaviors>
        <w:guid w:val="{FEF8B40D-5A64-45EB-B060-8CCC30A6BD73}"/>
      </w:docPartPr>
      <w:docPartBody>
        <w:p w:rsidR="00652E73" w:rsidRDefault="00A20F0A" w:rsidP="00A20F0A">
          <w:pPr>
            <w:pStyle w:val="444D993068574F418CB039F91B3252D4"/>
          </w:pPr>
          <w:r w:rsidRPr="003E49AE">
            <w:rPr>
              <w:rStyle w:val="PlaceholderText"/>
            </w:rPr>
            <w:t>Click or tap here to enter text.</w:t>
          </w:r>
        </w:p>
      </w:docPartBody>
    </w:docPart>
    <w:docPart>
      <w:docPartPr>
        <w:name w:val="123833B610D940B29DDD98FB32E6763D"/>
        <w:category>
          <w:name w:val="General"/>
          <w:gallery w:val="placeholder"/>
        </w:category>
        <w:types>
          <w:type w:val="bbPlcHdr"/>
        </w:types>
        <w:behaviors>
          <w:behavior w:val="content"/>
        </w:behaviors>
        <w:guid w:val="{0813AFDD-996B-401F-83FA-FFE1DAB668F9}"/>
      </w:docPartPr>
      <w:docPartBody>
        <w:p w:rsidR="00652E73" w:rsidRDefault="00A20F0A" w:rsidP="00A20F0A">
          <w:pPr>
            <w:pStyle w:val="123833B610D940B29DDD98FB32E6763D"/>
          </w:pPr>
          <w:r w:rsidRPr="003E49AE">
            <w:rPr>
              <w:rStyle w:val="PlaceholderText"/>
            </w:rPr>
            <w:t>Click or tap here to enter text.</w:t>
          </w:r>
        </w:p>
      </w:docPartBody>
    </w:docPart>
    <w:docPart>
      <w:docPartPr>
        <w:name w:val="600DCFA2437449BF9079B29CF845ADFE"/>
        <w:category>
          <w:name w:val="General"/>
          <w:gallery w:val="placeholder"/>
        </w:category>
        <w:types>
          <w:type w:val="bbPlcHdr"/>
        </w:types>
        <w:behaviors>
          <w:behavior w:val="content"/>
        </w:behaviors>
        <w:guid w:val="{2E59EFD2-162E-4576-9263-C1D06F515E7C}"/>
      </w:docPartPr>
      <w:docPartBody>
        <w:p w:rsidR="00652E73" w:rsidRDefault="00A20F0A" w:rsidP="00A20F0A">
          <w:pPr>
            <w:pStyle w:val="600DCFA2437449BF9079B29CF845ADFE"/>
          </w:pPr>
          <w:r w:rsidRPr="003E49AE">
            <w:rPr>
              <w:rStyle w:val="PlaceholderText"/>
            </w:rPr>
            <w:t>Click or tap here to enter text.</w:t>
          </w:r>
        </w:p>
      </w:docPartBody>
    </w:docPart>
    <w:docPart>
      <w:docPartPr>
        <w:name w:val="3174AF8D2C9E4205BDBB0FBB228B680C"/>
        <w:category>
          <w:name w:val="General"/>
          <w:gallery w:val="placeholder"/>
        </w:category>
        <w:types>
          <w:type w:val="bbPlcHdr"/>
        </w:types>
        <w:behaviors>
          <w:behavior w:val="content"/>
        </w:behaviors>
        <w:guid w:val="{8B076D73-213F-4C92-8463-9AA515B7751E}"/>
      </w:docPartPr>
      <w:docPartBody>
        <w:p w:rsidR="00652E73" w:rsidRDefault="00A20F0A" w:rsidP="00A20F0A">
          <w:pPr>
            <w:pStyle w:val="3174AF8D2C9E4205BDBB0FBB228B680C"/>
          </w:pPr>
          <w:r w:rsidRPr="003E49AE">
            <w:rPr>
              <w:rStyle w:val="PlaceholderText"/>
            </w:rPr>
            <w:t>Click or tap here to enter text.</w:t>
          </w:r>
        </w:p>
      </w:docPartBody>
    </w:docPart>
    <w:docPart>
      <w:docPartPr>
        <w:name w:val="70F852CA498F4570ABEC4355D2FBF0B0"/>
        <w:category>
          <w:name w:val="General"/>
          <w:gallery w:val="placeholder"/>
        </w:category>
        <w:types>
          <w:type w:val="bbPlcHdr"/>
        </w:types>
        <w:behaviors>
          <w:behavior w:val="content"/>
        </w:behaviors>
        <w:guid w:val="{6F6B206A-4622-4298-A271-24BC2CBAF5B4}"/>
      </w:docPartPr>
      <w:docPartBody>
        <w:p w:rsidR="00652E73" w:rsidRDefault="00A20F0A" w:rsidP="00A20F0A">
          <w:pPr>
            <w:pStyle w:val="70F852CA498F4570ABEC4355D2FBF0B0"/>
          </w:pPr>
          <w:r w:rsidRPr="003E49AE">
            <w:rPr>
              <w:rStyle w:val="PlaceholderText"/>
            </w:rPr>
            <w:t>Click or tap here to enter text.</w:t>
          </w:r>
        </w:p>
      </w:docPartBody>
    </w:docPart>
    <w:docPart>
      <w:docPartPr>
        <w:name w:val="415E34C428C24D7DB0DAE1A0CEB7F5F4"/>
        <w:category>
          <w:name w:val="General"/>
          <w:gallery w:val="placeholder"/>
        </w:category>
        <w:types>
          <w:type w:val="bbPlcHdr"/>
        </w:types>
        <w:behaviors>
          <w:behavior w:val="content"/>
        </w:behaviors>
        <w:guid w:val="{DD887667-8985-429E-9858-88AF0762CD5B}"/>
      </w:docPartPr>
      <w:docPartBody>
        <w:p w:rsidR="00652E73" w:rsidRDefault="00A20F0A" w:rsidP="00A20F0A">
          <w:pPr>
            <w:pStyle w:val="415E34C428C24D7DB0DAE1A0CEB7F5F4"/>
          </w:pPr>
          <w:r w:rsidRPr="003E49AE">
            <w:rPr>
              <w:rStyle w:val="PlaceholderText"/>
            </w:rPr>
            <w:t>Click or tap here to enter text.</w:t>
          </w:r>
        </w:p>
      </w:docPartBody>
    </w:docPart>
    <w:docPart>
      <w:docPartPr>
        <w:name w:val="6ED938D7B94E486ABC04340B45767034"/>
        <w:category>
          <w:name w:val="General"/>
          <w:gallery w:val="placeholder"/>
        </w:category>
        <w:types>
          <w:type w:val="bbPlcHdr"/>
        </w:types>
        <w:behaviors>
          <w:behavior w:val="content"/>
        </w:behaviors>
        <w:guid w:val="{51BF22C4-9A01-49D5-9FE7-1B052B1A75AA}"/>
      </w:docPartPr>
      <w:docPartBody>
        <w:p w:rsidR="00652E73" w:rsidRDefault="00A20F0A" w:rsidP="00A20F0A">
          <w:pPr>
            <w:pStyle w:val="6ED938D7B94E486ABC04340B45767034"/>
          </w:pPr>
          <w:r w:rsidRPr="003E49AE">
            <w:rPr>
              <w:rStyle w:val="PlaceholderText"/>
            </w:rPr>
            <w:t>Click or tap here to enter text.</w:t>
          </w:r>
        </w:p>
      </w:docPartBody>
    </w:docPart>
    <w:docPart>
      <w:docPartPr>
        <w:name w:val="5AB48C1D0E4444F5B05D937790667B8E"/>
        <w:category>
          <w:name w:val="General"/>
          <w:gallery w:val="placeholder"/>
        </w:category>
        <w:types>
          <w:type w:val="bbPlcHdr"/>
        </w:types>
        <w:behaviors>
          <w:behavior w:val="content"/>
        </w:behaviors>
        <w:guid w:val="{6585142A-CDBF-4FC5-AFD6-0B4CBE5CBDAB}"/>
      </w:docPartPr>
      <w:docPartBody>
        <w:p w:rsidR="00652E73" w:rsidRDefault="00A20F0A" w:rsidP="00A20F0A">
          <w:pPr>
            <w:pStyle w:val="5AB48C1D0E4444F5B05D937790667B8E"/>
          </w:pPr>
          <w:r w:rsidRPr="003E49AE">
            <w:rPr>
              <w:rStyle w:val="PlaceholderText"/>
            </w:rPr>
            <w:t>Click or tap here to enter text.</w:t>
          </w:r>
        </w:p>
      </w:docPartBody>
    </w:docPart>
    <w:docPart>
      <w:docPartPr>
        <w:name w:val="6060DA12AA2F42C7B364C17508CF1BBA"/>
        <w:category>
          <w:name w:val="General"/>
          <w:gallery w:val="placeholder"/>
        </w:category>
        <w:types>
          <w:type w:val="bbPlcHdr"/>
        </w:types>
        <w:behaviors>
          <w:behavior w:val="content"/>
        </w:behaviors>
        <w:guid w:val="{C66BD8D6-4E5C-483D-B82F-4868193A3EE1}"/>
      </w:docPartPr>
      <w:docPartBody>
        <w:p w:rsidR="00652E73" w:rsidRDefault="00A20F0A" w:rsidP="00A20F0A">
          <w:pPr>
            <w:pStyle w:val="6060DA12AA2F42C7B364C17508CF1BBA"/>
          </w:pPr>
          <w:r w:rsidRPr="00DD419A">
            <w:rPr>
              <w:rStyle w:val="PlaceholderText"/>
            </w:rPr>
            <w:t>Click or tap here to enter text.</w:t>
          </w:r>
        </w:p>
      </w:docPartBody>
    </w:docPart>
    <w:docPart>
      <w:docPartPr>
        <w:name w:val="54CF03F42CD84790B547A639506201B1"/>
        <w:category>
          <w:name w:val="General"/>
          <w:gallery w:val="placeholder"/>
        </w:category>
        <w:types>
          <w:type w:val="bbPlcHdr"/>
        </w:types>
        <w:behaviors>
          <w:behavior w:val="content"/>
        </w:behaviors>
        <w:guid w:val="{16EE6A0C-D1D8-4DB4-96B5-C0378A6BFD20}"/>
      </w:docPartPr>
      <w:docPartBody>
        <w:p w:rsidR="00652E73" w:rsidRDefault="00A20F0A" w:rsidP="00A20F0A">
          <w:pPr>
            <w:pStyle w:val="54CF03F42CD84790B547A639506201B1"/>
          </w:pPr>
          <w:r w:rsidRPr="00D31CA5">
            <w:rPr>
              <w:rStyle w:val="PlaceholderText"/>
            </w:rPr>
            <w:t>Click or tap here to enter text.</w:t>
          </w:r>
        </w:p>
      </w:docPartBody>
    </w:docPart>
    <w:docPart>
      <w:docPartPr>
        <w:name w:val="88525ECB610B48588D52C7A929740257"/>
        <w:category>
          <w:name w:val="General"/>
          <w:gallery w:val="placeholder"/>
        </w:category>
        <w:types>
          <w:type w:val="bbPlcHdr"/>
        </w:types>
        <w:behaviors>
          <w:behavior w:val="content"/>
        </w:behaviors>
        <w:guid w:val="{F4FBCE13-D925-4C6A-9662-6CF8B36F343C}"/>
      </w:docPartPr>
      <w:docPartBody>
        <w:p w:rsidR="00652E73" w:rsidRDefault="00A20F0A" w:rsidP="00A20F0A">
          <w:pPr>
            <w:pStyle w:val="88525ECB610B48588D52C7A929740257"/>
          </w:pPr>
          <w:r w:rsidRPr="00D31CA5">
            <w:rPr>
              <w:rStyle w:val="PlaceholderText"/>
            </w:rPr>
            <w:t>Click or tap here to enter text.</w:t>
          </w:r>
        </w:p>
      </w:docPartBody>
    </w:docPart>
    <w:docPart>
      <w:docPartPr>
        <w:name w:val="6AD535774C414426B2C55ACAB006EC45"/>
        <w:category>
          <w:name w:val="General"/>
          <w:gallery w:val="placeholder"/>
        </w:category>
        <w:types>
          <w:type w:val="bbPlcHdr"/>
        </w:types>
        <w:behaviors>
          <w:behavior w:val="content"/>
        </w:behaviors>
        <w:guid w:val="{E2153BF2-2FFC-48C7-977F-51181DB7388E}"/>
      </w:docPartPr>
      <w:docPartBody>
        <w:p w:rsidR="00652E73" w:rsidRDefault="00A20F0A" w:rsidP="00A20F0A">
          <w:pPr>
            <w:pStyle w:val="6AD535774C414426B2C55ACAB006EC45"/>
          </w:pPr>
          <w:r w:rsidRPr="00AC4494">
            <w:rPr>
              <w:rStyle w:val="PlaceholderText"/>
            </w:rPr>
            <w:t>Click or tap here to enter text.</w:t>
          </w:r>
        </w:p>
      </w:docPartBody>
    </w:docPart>
    <w:docPart>
      <w:docPartPr>
        <w:name w:val="D29EC69D6E2841B584C28A1146B97F6D"/>
        <w:category>
          <w:name w:val="General"/>
          <w:gallery w:val="placeholder"/>
        </w:category>
        <w:types>
          <w:type w:val="bbPlcHdr"/>
        </w:types>
        <w:behaviors>
          <w:behavior w:val="content"/>
        </w:behaviors>
        <w:guid w:val="{6067431D-BE2C-4DA6-9D4A-A8EA8759A41E}"/>
      </w:docPartPr>
      <w:docPartBody>
        <w:p w:rsidR="00652E73" w:rsidRDefault="00A20F0A" w:rsidP="00A20F0A">
          <w:pPr>
            <w:pStyle w:val="D29EC69D6E2841B584C28A1146B97F6D"/>
          </w:pPr>
          <w:r w:rsidRPr="00AC4494">
            <w:rPr>
              <w:rStyle w:val="PlaceholderText"/>
            </w:rPr>
            <w:t>Click or tap here to enter text.</w:t>
          </w:r>
        </w:p>
      </w:docPartBody>
    </w:docPart>
    <w:docPart>
      <w:docPartPr>
        <w:name w:val="F85B9DEE010840C0A42D6E1B637A77B1"/>
        <w:category>
          <w:name w:val="General"/>
          <w:gallery w:val="placeholder"/>
        </w:category>
        <w:types>
          <w:type w:val="bbPlcHdr"/>
        </w:types>
        <w:behaviors>
          <w:behavior w:val="content"/>
        </w:behaviors>
        <w:guid w:val="{BAE277E9-0C30-4307-9D4C-308E0A0BDCFC}"/>
      </w:docPartPr>
      <w:docPartBody>
        <w:p w:rsidR="00652E73" w:rsidRDefault="00A20F0A" w:rsidP="00A20F0A">
          <w:pPr>
            <w:pStyle w:val="F85B9DEE010840C0A42D6E1B637A77B1"/>
          </w:pPr>
          <w:r w:rsidRPr="00DD419A">
            <w:rPr>
              <w:rStyle w:val="PlaceholderText"/>
            </w:rPr>
            <w:t>Click or tap here to enter text.</w:t>
          </w:r>
        </w:p>
      </w:docPartBody>
    </w:docPart>
    <w:docPart>
      <w:docPartPr>
        <w:name w:val="81561795693D468EBAF85E9B5B6EC8ED"/>
        <w:category>
          <w:name w:val="General"/>
          <w:gallery w:val="placeholder"/>
        </w:category>
        <w:types>
          <w:type w:val="bbPlcHdr"/>
        </w:types>
        <w:behaviors>
          <w:behavior w:val="content"/>
        </w:behaviors>
        <w:guid w:val="{AE808CA8-F8B0-4FCF-BEB5-FA8F8CF33ED9}"/>
      </w:docPartPr>
      <w:docPartBody>
        <w:p w:rsidR="00652E73" w:rsidRDefault="00A20F0A" w:rsidP="00A20F0A">
          <w:pPr>
            <w:pStyle w:val="81561795693D468EBAF85E9B5B6EC8ED"/>
          </w:pPr>
          <w:r w:rsidRPr="00AC4494">
            <w:rPr>
              <w:rStyle w:val="PlaceholderText"/>
            </w:rPr>
            <w:t>Click or tap here to enter text.</w:t>
          </w:r>
        </w:p>
      </w:docPartBody>
    </w:docPart>
    <w:docPart>
      <w:docPartPr>
        <w:name w:val="305054E4B9014CA6863EFCCD42545525"/>
        <w:category>
          <w:name w:val="General"/>
          <w:gallery w:val="placeholder"/>
        </w:category>
        <w:types>
          <w:type w:val="bbPlcHdr"/>
        </w:types>
        <w:behaviors>
          <w:behavior w:val="content"/>
        </w:behaviors>
        <w:guid w:val="{31A3402F-5780-4C26-92B6-F5D2F3595361}"/>
      </w:docPartPr>
      <w:docPartBody>
        <w:p w:rsidR="00652E73" w:rsidRDefault="00A20F0A" w:rsidP="00A20F0A">
          <w:pPr>
            <w:pStyle w:val="305054E4B9014CA6863EFCCD42545525"/>
          </w:pPr>
          <w:r w:rsidRPr="00B817B6">
            <w:rPr>
              <w:rStyle w:val="PlaceholderText"/>
            </w:rPr>
            <w:t>Click or tap here to enter text.</w:t>
          </w:r>
        </w:p>
      </w:docPartBody>
    </w:docPart>
    <w:docPart>
      <w:docPartPr>
        <w:name w:val="722233FF84DF4569A90875075038C073"/>
        <w:category>
          <w:name w:val="General"/>
          <w:gallery w:val="placeholder"/>
        </w:category>
        <w:types>
          <w:type w:val="bbPlcHdr"/>
        </w:types>
        <w:behaviors>
          <w:behavior w:val="content"/>
        </w:behaviors>
        <w:guid w:val="{DDA07C73-4992-4806-9F1D-2067DC1EA58A}"/>
      </w:docPartPr>
      <w:docPartBody>
        <w:p w:rsidR="00652E73" w:rsidRDefault="00A20F0A" w:rsidP="00A20F0A">
          <w:pPr>
            <w:pStyle w:val="722233FF84DF4569A90875075038C073"/>
          </w:pPr>
          <w:r w:rsidRPr="00AC4494">
            <w:rPr>
              <w:rStyle w:val="PlaceholderText"/>
            </w:rPr>
            <w:t>Click or tap here to enter text.</w:t>
          </w:r>
        </w:p>
      </w:docPartBody>
    </w:docPart>
    <w:docPart>
      <w:docPartPr>
        <w:name w:val="4CC8A0D142F4471699B51591E7D0DE62"/>
        <w:category>
          <w:name w:val="General"/>
          <w:gallery w:val="placeholder"/>
        </w:category>
        <w:types>
          <w:type w:val="bbPlcHdr"/>
        </w:types>
        <w:behaviors>
          <w:behavior w:val="content"/>
        </w:behaviors>
        <w:guid w:val="{62B68CE2-82CA-4B4B-8A9F-311530F1F9A3}"/>
      </w:docPartPr>
      <w:docPartBody>
        <w:p w:rsidR="00652E73" w:rsidRDefault="00A20F0A" w:rsidP="00A20F0A">
          <w:pPr>
            <w:pStyle w:val="4CC8A0D142F4471699B51591E7D0DE62"/>
          </w:pPr>
          <w:r w:rsidRPr="00AC4494">
            <w:rPr>
              <w:rStyle w:val="PlaceholderText"/>
            </w:rPr>
            <w:t>Click or tap here to enter text.</w:t>
          </w:r>
        </w:p>
      </w:docPartBody>
    </w:docPart>
    <w:docPart>
      <w:docPartPr>
        <w:name w:val="977163E220574B4C995F743D10A399A4"/>
        <w:category>
          <w:name w:val="General"/>
          <w:gallery w:val="placeholder"/>
        </w:category>
        <w:types>
          <w:type w:val="bbPlcHdr"/>
        </w:types>
        <w:behaviors>
          <w:behavior w:val="content"/>
        </w:behaviors>
        <w:guid w:val="{DCC1B69C-88AC-43AF-97D2-7EDD5E1728C2}"/>
      </w:docPartPr>
      <w:docPartBody>
        <w:p w:rsidR="00652E73" w:rsidRDefault="00A20F0A" w:rsidP="00A20F0A">
          <w:pPr>
            <w:pStyle w:val="977163E220574B4C995F743D10A399A4"/>
          </w:pPr>
          <w:r w:rsidRPr="00AC4494">
            <w:rPr>
              <w:rStyle w:val="PlaceholderText"/>
            </w:rPr>
            <w:t>Click or tap here to enter text.</w:t>
          </w:r>
        </w:p>
      </w:docPartBody>
    </w:docPart>
    <w:docPart>
      <w:docPartPr>
        <w:name w:val="BF40405F41324D828099B654764A35E8"/>
        <w:category>
          <w:name w:val="General"/>
          <w:gallery w:val="placeholder"/>
        </w:category>
        <w:types>
          <w:type w:val="bbPlcHdr"/>
        </w:types>
        <w:behaviors>
          <w:behavior w:val="content"/>
        </w:behaviors>
        <w:guid w:val="{1E0E3A93-A306-4E93-AA31-8B49495973BC}"/>
      </w:docPartPr>
      <w:docPartBody>
        <w:p w:rsidR="00652E73" w:rsidRDefault="00A20F0A" w:rsidP="00A20F0A">
          <w:pPr>
            <w:pStyle w:val="BF40405F41324D828099B654764A35E8"/>
          </w:pPr>
          <w:r w:rsidRPr="003E49AE">
            <w:rPr>
              <w:rStyle w:val="PlaceholderText"/>
            </w:rPr>
            <w:t>Click or tap here to enter text.</w:t>
          </w:r>
        </w:p>
      </w:docPartBody>
    </w:docPart>
    <w:docPart>
      <w:docPartPr>
        <w:name w:val="1748487FCD3B495C87BBB7A672E65028"/>
        <w:category>
          <w:name w:val="General"/>
          <w:gallery w:val="placeholder"/>
        </w:category>
        <w:types>
          <w:type w:val="bbPlcHdr"/>
        </w:types>
        <w:behaviors>
          <w:behavior w:val="content"/>
        </w:behaviors>
        <w:guid w:val="{D682E8D1-EBE7-41D4-858C-89A70FCE1942}"/>
      </w:docPartPr>
      <w:docPartBody>
        <w:p w:rsidR="00652E73" w:rsidRDefault="00A20F0A" w:rsidP="00A20F0A">
          <w:pPr>
            <w:pStyle w:val="1748487FCD3B495C87BBB7A672E65028"/>
          </w:pPr>
          <w:r w:rsidRPr="00D31CA5">
            <w:rPr>
              <w:rStyle w:val="PlaceholderText"/>
            </w:rPr>
            <w:t>Click or tap here to enter text.</w:t>
          </w:r>
        </w:p>
      </w:docPartBody>
    </w:docPart>
    <w:docPart>
      <w:docPartPr>
        <w:name w:val="41AAC903FDDE466EA7AC37A8E34C3558"/>
        <w:category>
          <w:name w:val="General"/>
          <w:gallery w:val="placeholder"/>
        </w:category>
        <w:types>
          <w:type w:val="bbPlcHdr"/>
        </w:types>
        <w:behaviors>
          <w:behavior w:val="content"/>
        </w:behaviors>
        <w:guid w:val="{A72F0032-6A29-4A39-83B5-43D3BF69FBB4}"/>
      </w:docPartPr>
      <w:docPartBody>
        <w:p w:rsidR="00652E73" w:rsidRDefault="00A20F0A" w:rsidP="00A20F0A">
          <w:pPr>
            <w:pStyle w:val="41AAC903FDDE466EA7AC37A8E34C3558"/>
          </w:pPr>
          <w:r w:rsidRPr="00AC4494">
            <w:rPr>
              <w:rStyle w:val="PlaceholderText"/>
            </w:rPr>
            <w:t>Click or tap here to enter text.</w:t>
          </w:r>
        </w:p>
      </w:docPartBody>
    </w:docPart>
    <w:docPart>
      <w:docPartPr>
        <w:name w:val="BAC34E67F82F416E8A74E38224C5FA45"/>
        <w:category>
          <w:name w:val="General"/>
          <w:gallery w:val="placeholder"/>
        </w:category>
        <w:types>
          <w:type w:val="bbPlcHdr"/>
        </w:types>
        <w:behaviors>
          <w:behavior w:val="content"/>
        </w:behaviors>
        <w:guid w:val="{CAA6D746-6249-4FFC-A00A-FAE74825A003}"/>
      </w:docPartPr>
      <w:docPartBody>
        <w:p w:rsidR="00652E73" w:rsidRDefault="00A20F0A" w:rsidP="00A20F0A">
          <w:pPr>
            <w:pStyle w:val="BAC34E67F82F416E8A74E38224C5FA45"/>
          </w:pPr>
          <w:r w:rsidRPr="003E49AE">
            <w:rPr>
              <w:rStyle w:val="PlaceholderText"/>
            </w:rPr>
            <w:t>Click or tap here to enter text.</w:t>
          </w:r>
        </w:p>
      </w:docPartBody>
    </w:docPart>
    <w:docPart>
      <w:docPartPr>
        <w:name w:val="4EC028278930489E856F4DB75DF94358"/>
        <w:category>
          <w:name w:val="General"/>
          <w:gallery w:val="placeholder"/>
        </w:category>
        <w:types>
          <w:type w:val="bbPlcHdr"/>
        </w:types>
        <w:behaviors>
          <w:behavior w:val="content"/>
        </w:behaviors>
        <w:guid w:val="{D7295FEC-5DEE-4769-B649-07A4FC09EAFB}"/>
      </w:docPartPr>
      <w:docPartBody>
        <w:p w:rsidR="00652E73" w:rsidRDefault="00A20F0A" w:rsidP="00A20F0A">
          <w:pPr>
            <w:pStyle w:val="4EC028278930489E856F4DB75DF94358"/>
          </w:pPr>
          <w:r w:rsidRPr="00C66281">
            <w:rPr>
              <w:rStyle w:val="PlaceholderText"/>
            </w:rPr>
            <w:t>Click or tap here to enter text.</w:t>
          </w:r>
        </w:p>
      </w:docPartBody>
    </w:docPart>
    <w:docPart>
      <w:docPartPr>
        <w:name w:val="B86279CCD59A40CABF3683DDAD4ED88D"/>
        <w:category>
          <w:name w:val="General"/>
          <w:gallery w:val="placeholder"/>
        </w:category>
        <w:types>
          <w:type w:val="bbPlcHdr"/>
        </w:types>
        <w:behaviors>
          <w:behavior w:val="content"/>
        </w:behaviors>
        <w:guid w:val="{A57CA18B-FE13-45F8-846F-6A1E2100A159}"/>
      </w:docPartPr>
      <w:docPartBody>
        <w:p w:rsidR="00652E73" w:rsidRDefault="00A20F0A" w:rsidP="00A20F0A">
          <w:pPr>
            <w:pStyle w:val="B86279CCD59A40CABF3683DDAD4ED88D"/>
          </w:pPr>
          <w:r w:rsidRPr="00C66281">
            <w:rPr>
              <w:rStyle w:val="PlaceholderText"/>
            </w:rPr>
            <w:t>Click or tap here to enter text.</w:t>
          </w:r>
        </w:p>
      </w:docPartBody>
    </w:docPart>
    <w:docPart>
      <w:docPartPr>
        <w:name w:val="72E1DB3670DC4F65878967A814C47F3A"/>
        <w:category>
          <w:name w:val="General"/>
          <w:gallery w:val="placeholder"/>
        </w:category>
        <w:types>
          <w:type w:val="bbPlcHdr"/>
        </w:types>
        <w:behaviors>
          <w:behavior w:val="content"/>
        </w:behaviors>
        <w:guid w:val="{6217943C-868B-42A9-BFFE-052FDE428EC2}"/>
      </w:docPartPr>
      <w:docPartBody>
        <w:p w:rsidR="00652E73" w:rsidRDefault="00A20F0A" w:rsidP="00A20F0A">
          <w:pPr>
            <w:pStyle w:val="72E1DB3670DC4F65878967A814C47F3A"/>
          </w:pPr>
          <w:r w:rsidRPr="00C66281">
            <w:rPr>
              <w:rStyle w:val="PlaceholderText"/>
            </w:rPr>
            <w:t>Click or tap here to enter text.</w:t>
          </w:r>
        </w:p>
      </w:docPartBody>
    </w:docPart>
    <w:docPart>
      <w:docPartPr>
        <w:name w:val="DB74AD992BB54645B69E0356DD125BD4"/>
        <w:category>
          <w:name w:val="General"/>
          <w:gallery w:val="placeholder"/>
        </w:category>
        <w:types>
          <w:type w:val="bbPlcHdr"/>
        </w:types>
        <w:behaviors>
          <w:behavior w:val="content"/>
        </w:behaviors>
        <w:guid w:val="{3AD790A6-627F-445A-821C-003A245C8964}"/>
      </w:docPartPr>
      <w:docPartBody>
        <w:p w:rsidR="00652E73" w:rsidRDefault="00A20F0A" w:rsidP="00A20F0A">
          <w:pPr>
            <w:pStyle w:val="DB74AD992BB54645B69E0356DD125BD4"/>
          </w:pPr>
          <w:r w:rsidRPr="00C66281">
            <w:rPr>
              <w:rStyle w:val="PlaceholderText"/>
            </w:rPr>
            <w:t>Click or tap here to enter text.</w:t>
          </w:r>
        </w:p>
      </w:docPartBody>
    </w:docPart>
    <w:docPart>
      <w:docPartPr>
        <w:name w:val="564E8B78608145CC9E8FA4AC988DB07D"/>
        <w:category>
          <w:name w:val="General"/>
          <w:gallery w:val="placeholder"/>
        </w:category>
        <w:types>
          <w:type w:val="bbPlcHdr"/>
        </w:types>
        <w:behaviors>
          <w:behavior w:val="content"/>
        </w:behaviors>
        <w:guid w:val="{12F898B1-EACD-4B86-9B60-08DC09054B00}"/>
      </w:docPartPr>
      <w:docPartBody>
        <w:p w:rsidR="00652E73" w:rsidRDefault="00A20F0A" w:rsidP="00A20F0A">
          <w:pPr>
            <w:pStyle w:val="564E8B78608145CC9E8FA4AC988DB07D"/>
          </w:pPr>
          <w:r w:rsidRPr="00DD419A">
            <w:rPr>
              <w:rStyle w:val="PlaceholderText"/>
            </w:rPr>
            <w:t>Click or tap here to enter text.</w:t>
          </w:r>
        </w:p>
      </w:docPartBody>
    </w:docPart>
    <w:docPart>
      <w:docPartPr>
        <w:name w:val="D57847D860CD4AD4AC214098A9F8F251"/>
        <w:category>
          <w:name w:val="General"/>
          <w:gallery w:val="placeholder"/>
        </w:category>
        <w:types>
          <w:type w:val="bbPlcHdr"/>
        </w:types>
        <w:behaviors>
          <w:behavior w:val="content"/>
        </w:behaviors>
        <w:guid w:val="{2443C8C3-ADE7-45A0-B135-C044E7861E94}"/>
      </w:docPartPr>
      <w:docPartBody>
        <w:p w:rsidR="00652E73" w:rsidRDefault="00A20F0A" w:rsidP="00A20F0A">
          <w:pPr>
            <w:pStyle w:val="D57847D860CD4AD4AC214098A9F8F251"/>
          </w:pPr>
          <w:r w:rsidRPr="003F6C22">
            <w:rPr>
              <w:rStyle w:val="PlaceholderText"/>
            </w:rPr>
            <w:t>Click or tap here to enter text.</w:t>
          </w:r>
        </w:p>
      </w:docPartBody>
    </w:docPart>
    <w:docPart>
      <w:docPartPr>
        <w:name w:val="E6ACD602BDA547D09E2EDBC6FFF7DEC0"/>
        <w:category>
          <w:name w:val="General"/>
          <w:gallery w:val="placeholder"/>
        </w:category>
        <w:types>
          <w:type w:val="bbPlcHdr"/>
        </w:types>
        <w:behaviors>
          <w:behavior w:val="content"/>
        </w:behaviors>
        <w:guid w:val="{07BFCFEE-E88C-4C3A-852E-44E40D4FC2E6}"/>
      </w:docPartPr>
      <w:docPartBody>
        <w:p w:rsidR="00652E73" w:rsidRDefault="00A20F0A" w:rsidP="00A20F0A">
          <w:pPr>
            <w:pStyle w:val="E6ACD602BDA547D09E2EDBC6FFF7DEC0"/>
          </w:pPr>
          <w:r w:rsidRPr="003F6C22">
            <w:rPr>
              <w:rStyle w:val="PlaceholderText"/>
            </w:rPr>
            <w:t>Click or tap here to enter text.</w:t>
          </w:r>
        </w:p>
      </w:docPartBody>
    </w:docPart>
    <w:docPart>
      <w:docPartPr>
        <w:name w:val="71DC9F3B43A040DCAC18F07D68AD007B"/>
        <w:category>
          <w:name w:val="General"/>
          <w:gallery w:val="placeholder"/>
        </w:category>
        <w:types>
          <w:type w:val="bbPlcHdr"/>
        </w:types>
        <w:behaviors>
          <w:behavior w:val="content"/>
        </w:behaviors>
        <w:guid w:val="{906F6E23-95C8-4274-9739-14406B4B0B3E}"/>
      </w:docPartPr>
      <w:docPartBody>
        <w:p w:rsidR="00652E73" w:rsidRDefault="00A20F0A" w:rsidP="00A20F0A">
          <w:pPr>
            <w:pStyle w:val="71DC9F3B43A040DCAC18F07D68AD007B"/>
          </w:pPr>
          <w:r w:rsidRPr="00C66281">
            <w:rPr>
              <w:rStyle w:val="PlaceholderText"/>
            </w:rPr>
            <w:t>Click or tap here to enter text.</w:t>
          </w:r>
        </w:p>
      </w:docPartBody>
    </w:docPart>
    <w:docPart>
      <w:docPartPr>
        <w:name w:val="C9E43D16C4B840089997E08D91CAEA46"/>
        <w:category>
          <w:name w:val="General"/>
          <w:gallery w:val="placeholder"/>
        </w:category>
        <w:types>
          <w:type w:val="bbPlcHdr"/>
        </w:types>
        <w:behaviors>
          <w:behavior w:val="content"/>
        </w:behaviors>
        <w:guid w:val="{CC82F6ED-F17C-472B-B482-C3BB5BA5286E}"/>
      </w:docPartPr>
      <w:docPartBody>
        <w:p w:rsidR="00652E73" w:rsidRDefault="00A20F0A" w:rsidP="00A20F0A">
          <w:pPr>
            <w:pStyle w:val="C9E43D16C4B840089997E08D91CAEA46"/>
          </w:pPr>
          <w:r w:rsidRPr="00DD419A">
            <w:rPr>
              <w:rStyle w:val="PlaceholderText"/>
            </w:rPr>
            <w:t>Click or tap here to enter text.</w:t>
          </w:r>
        </w:p>
      </w:docPartBody>
    </w:docPart>
    <w:docPart>
      <w:docPartPr>
        <w:name w:val="0EF52017AF0B4D21842A31CABCAE471B"/>
        <w:category>
          <w:name w:val="General"/>
          <w:gallery w:val="placeholder"/>
        </w:category>
        <w:types>
          <w:type w:val="bbPlcHdr"/>
        </w:types>
        <w:behaviors>
          <w:behavior w:val="content"/>
        </w:behaviors>
        <w:guid w:val="{32D1E439-F742-4DDB-83FA-BF10948BAC9F}"/>
      </w:docPartPr>
      <w:docPartBody>
        <w:p w:rsidR="00652E73" w:rsidRDefault="00A20F0A" w:rsidP="00A20F0A">
          <w:pPr>
            <w:pStyle w:val="0EF52017AF0B4D21842A31CABCAE471B"/>
          </w:pPr>
          <w:r w:rsidRPr="00DD419A">
            <w:rPr>
              <w:rStyle w:val="PlaceholderText"/>
            </w:rPr>
            <w:t>Click or tap here to enter text.</w:t>
          </w:r>
        </w:p>
      </w:docPartBody>
    </w:docPart>
    <w:docPart>
      <w:docPartPr>
        <w:name w:val="F967EBB8666F43BDB76CB993F3497184"/>
        <w:category>
          <w:name w:val="General"/>
          <w:gallery w:val="placeholder"/>
        </w:category>
        <w:types>
          <w:type w:val="bbPlcHdr"/>
        </w:types>
        <w:behaviors>
          <w:behavior w:val="content"/>
        </w:behaviors>
        <w:guid w:val="{15D6E99A-A086-45B5-9B04-3D93E71F8674}"/>
      </w:docPartPr>
      <w:docPartBody>
        <w:p w:rsidR="00652E73" w:rsidRDefault="00A20F0A" w:rsidP="00A20F0A">
          <w:pPr>
            <w:pStyle w:val="F967EBB8666F43BDB76CB993F3497184"/>
          </w:pPr>
          <w:r w:rsidRPr="00B817B6">
            <w:rPr>
              <w:rStyle w:val="PlaceholderText"/>
            </w:rPr>
            <w:t>Click or tap here to enter text.</w:t>
          </w:r>
        </w:p>
      </w:docPartBody>
    </w:docPart>
    <w:docPart>
      <w:docPartPr>
        <w:name w:val="C7840E883D8B4292AB84FCE4321E5346"/>
        <w:category>
          <w:name w:val="General"/>
          <w:gallery w:val="placeholder"/>
        </w:category>
        <w:types>
          <w:type w:val="bbPlcHdr"/>
        </w:types>
        <w:behaviors>
          <w:behavior w:val="content"/>
        </w:behaviors>
        <w:guid w:val="{2D5FB396-FE26-4609-9ABC-E39E962D9FF6}"/>
      </w:docPartPr>
      <w:docPartBody>
        <w:p w:rsidR="00652E73" w:rsidRDefault="00A20F0A" w:rsidP="00A20F0A">
          <w:pPr>
            <w:pStyle w:val="C7840E883D8B4292AB84FCE4321E5346"/>
          </w:pPr>
          <w:r w:rsidRPr="00B817B6">
            <w:rPr>
              <w:rStyle w:val="PlaceholderText"/>
            </w:rPr>
            <w:t>Click or tap here to enter text.</w:t>
          </w:r>
        </w:p>
      </w:docPartBody>
    </w:docPart>
    <w:docPart>
      <w:docPartPr>
        <w:name w:val="77BA1B61F7644BD3B1AB90520EFD32ED"/>
        <w:category>
          <w:name w:val="General"/>
          <w:gallery w:val="placeholder"/>
        </w:category>
        <w:types>
          <w:type w:val="bbPlcHdr"/>
        </w:types>
        <w:behaviors>
          <w:behavior w:val="content"/>
        </w:behaviors>
        <w:guid w:val="{7E70F002-ACD7-40AE-A8A2-837926DA9621}"/>
      </w:docPartPr>
      <w:docPartBody>
        <w:p w:rsidR="00652E73" w:rsidRDefault="00A20F0A" w:rsidP="00A20F0A">
          <w:pPr>
            <w:pStyle w:val="77BA1B61F7644BD3B1AB90520EFD32ED"/>
          </w:pPr>
          <w:r w:rsidRPr="00DD419A">
            <w:rPr>
              <w:rStyle w:val="PlaceholderText"/>
            </w:rPr>
            <w:t>Click or tap here to enter text.</w:t>
          </w:r>
        </w:p>
      </w:docPartBody>
    </w:docPart>
    <w:docPart>
      <w:docPartPr>
        <w:name w:val="333E43EE14614DEC974C86273DA841B2"/>
        <w:category>
          <w:name w:val="General"/>
          <w:gallery w:val="placeholder"/>
        </w:category>
        <w:types>
          <w:type w:val="bbPlcHdr"/>
        </w:types>
        <w:behaviors>
          <w:behavior w:val="content"/>
        </w:behaviors>
        <w:guid w:val="{0711DAC6-1B33-4269-883C-6F20269DA592}"/>
      </w:docPartPr>
      <w:docPartBody>
        <w:p w:rsidR="00652E73" w:rsidRDefault="00A20F0A" w:rsidP="00A20F0A">
          <w:pPr>
            <w:pStyle w:val="333E43EE14614DEC974C86273DA841B2"/>
          </w:pPr>
          <w:r w:rsidRPr="00C66281">
            <w:rPr>
              <w:rStyle w:val="PlaceholderText"/>
            </w:rPr>
            <w:t>Click or tap here to enter text.</w:t>
          </w:r>
        </w:p>
      </w:docPartBody>
    </w:docPart>
    <w:docPart>
      <w:docPartPr>
        <w:name w:val="A336AFE04A5945AEB79DC54A32035C76"/>
        <w:category>
          <w:name w:val="General"/>
          <w:gallery w:val="placeholder"/>
        </w:category>
        <w:types>
          <w:type w:val="bbPlcHdr"/>
        </w:types>
        <w:behaviors>
          <w:behavior w:val="content"/>
        </w:behaviors>
        <w:guid w:val="{51A960D3-21A7-43D3-84D1-8F8235912F1B}"/>
      </w:docPartPr>
      <w:docPartBody>
        <w:p w:rsidR="00652E73" w:rsidRDefault="00A20F0A" w:rsidP="00A20F0A">
          <w:pPr>
            <w:pStyle w:val="A336AFE04A5945AEB79DC54A32035C76"/>
          </w:pPr>
          <w:r w:rsidRPr="00C66281">
            <w:rPr>
              <w:rStyle w:val="PlaceholderText"/>
            </w:rPr>
            <w:t>Click or tap here to enter text.</w:t>
          </w:r>
        </w:p>
      </w:docPartBody>
    </w:docPart>
    <w:docPart>
      <w:docPartPr>
        <w:name w:val="4FE6A3A6511C4F30B295ECBCAFCE1677"/>
        <w:category>
          <w:name w:val="General"/>
          <w:gallery w:val="placeholder"/>
        </w:category>
        <w:types>
          <w:type w:val="bbPlcHdr"/>
        </w:types>
        <w:behaviors>
          <w:behavior w:val="content"/>
        </w:behaviors>
        <w:guid w:val="{2C186569-1001-4C45-B745-070D25C4F970}"/>
      </w:docPartPr>
      <w:docPartBody>
        <w:p w:rsidR="00652E73" w:rsidRDefault="00A20F0A" w:rsidP="00A20F0A">
          <w:pPr>
            <w:pStyle w:val="4FE6A3A6511C4F30B295ECBCAFCE1677"/>
          </w:pPr>
          <w:r w:rsidRPr="00C66281">
            <w:rPr>
              <w:rStyle w:val="PlaceholderText"/>
            </w:rPr>
            <w:t>Click or tap here to enter text.</w:t>
          </w:r>
        </w:p>
      </w:docPartBody>
    </w:docPart>
    <w:docPart>
      <w:docPartPr>
        <w:name w:val="22717DB63BE7473DBC7531F0AE7E7E41"/>
        <w:category>
          <w:name w:val="General"/>
          <w:gallery w:val="placeholder"/>
        </w:category>
        <w:types>
          <w:type w:val="bbPlcHdr"/>
        </w:types>
        <w:behaviors>
          <w:behavior w:val="content"/>
        </w:behaviors>
        <w:guid w:val="{FCD35A7D-1202-4A98-98F7-C0E581951DB9}"/>
      </w:docPartPr>
      <w:docPartBody>
        <w:p w:rsidR="00652E73" w:rsidRDefault="00A20F0A" w:rsidP="00A20F0A">
          <w:pPr>
            <w:pStyle w:val="22717DB63BE7473DBC7531F0AE7E7E41"/>
          </w:pPr>
          <w:r w:rsidRPr="00E15974">
            <w:rPr>
              <w:rStyle w:val="PlaceholderText"/>
            </w:rPr>
            <w:t>Click or tap here to enter text.</w:t>
          </w:r>
        </w:p>
      </w:docPartBody>
    </w:docPart>
    <w:docPart>
      <w:docPartPr>
        <w:name w:val="E056A2DEDA1D4FAE9EE199271C3CC9B1"/>
        <w:category>
          <w:name w:val="General"/>
          <w:gallery w:val="placeholder"/>
        </w:category>
        <w:types>
          <w:type w:val="bbPlcHdr"/>
        </w:types>
        <w:behaviors>
          <w:behavior w:val="content"/>
        </w:behaviors>
        <w:guid w:val="{90DF4778-6FB5-4E32-A610-284ADC81C778}"/>
      </w:docPartPr>
      <w:docPartBody>
        <w:p w:rsidR="00652E73" w:rsidRDefault="00A20F0A" w:rsidP="00A20F0A">
          <w:pPr>
            <w:pStyle w:val="E056A2DEDA1D4FAE9EE199271C3CC9B1"/>
          </w:pPr>
          <w:r w:rsidRPr="00B817B6">
            <w:rPr>
              <w:rStyle w:val="PlaceholderText"/>
            </w:rPr>
            <w:t>Click or tap here to enter text.</w:t>
          </w:r>
        </w:p>
      </w:docPartBody>
    </w:docPart>
    <w:docPart>
      <w:docPartPr>
        <w:name w:val="72BBC8A37CB74BD6A30F7CF8279FE0CB"/>
        <w:category>
          <w:name w:val="General"/>
          <w:gallery w:val="placeholder"/>
        </w:category>
        <w:types>
          <w:type w:val="bbPlcHdr"/>
        </w:types>
        <w:behaviors>
          <w:behavior w:val="content"/>
        </w:behaviors>
        <w:guid w:val="{99999FFD-E3C1-4AF4-BAB3-AFBE20F7F90C}"/>
      </w:docPartPr>
      <w:docPartBody>
        <w:p w:rsidR="00652E73" w:rsidRDefault="00A20F0A" w:rsidP="00A20F0A">
          <w:pPr>
            <w:pStyle w:val="72BBC8A37CB74BD6A30F7CF8279FE0CB"/>
          </w:pPr>
          <w:r>
            <w:rPr>
              <w:rStyle w:val="PlaceholderText"/>
            </w:rPr>
            <w:t>Click or tap here to enter text.</w:t>
          </w:r>
        </w:p>
      </w:docPartBody>
    </w:docPart>
    <w:docPart>
      <w:docPartPr>
        <w:name w:val="1582353C5E3643379D331278FA81DFD8"/>
        <w:category>
          <w:name w:val="General"/>
          <w:gallery w:val="placeholder"/>
        </w:category>
        <w:types>
          <w:type w:val="bbPlcHdr"/>
        </w:types>
        <w:behaviors>
          <w:behavior w:val="content"/>
        </w:behaviors>
        <w:guid w:val="{5D994F42-9B6F-4CC3-893F-071B1F62577C}"/>
      </w:docPartPr>
      <w:docPartBody>
        <w:p w:rsidR="00652E73" w:rsidRDefault="00A20F0A" w:rsidP="00A20F0A">
          <w:pPr>
            <w:pStyle w:val="1582353C5E3643379D331278FA81DFD8"/>
          </w:pPr>
          <w:r>
            <w:rPr>
              <w:rStyle w:val="PlaceholderText"/>
            </w:rPr>
            <w:t>Click or tap here to enter text.</w:t>
          </w:r>
        </w:p>
      </w:docPartBody>
    </w:docPart>
    <w:docPart>
      <w:docPartPr>
        <w:name w:val="0A34880A911B4B57B936A539FBA48F0B"/>
        <w:category>
          <w:name w:val="General"/>
          <w:gallery w:val="placeholder"/>
        </w:category>
        <w:types>
          <w:type w:val="bbPlcHdr"/>
        </w:types>
        <w:behaviors>
          <w:behavior w:val="content"/>
        </w:behaviors>
        <w:guid w:val="{BF9BB974-31E3-436C-8B3C-3D49CCA20242}"/>
      </w:docPartPr>
      <w:docPartBody>
        <w:p w:rsidR="00652E73" w:rsidRDefault="00A20F0A" w:rsidP="00A20F0A">
          <w:pPr>
            <w:pStyle w:val="0A34880A911B4B57B936A539FBA48F0B"/>
          </w:pPr>
          <w:r w:rsidRPr="00B817B6">
            <w:rPr>
              <w:rStyle w:val="PlaceholderText"/>
            </w:rPr>
            <w:t>Click or tap here to enter text.</w:t>
          </w:r>
        </w:p>
      </w:docPartBody>
    </w:docPart>
    <w:docPart>
      <w:docPartPr>
        <w:name w:val="BBF29F01BBE94F778FF75F9D167B0F17"/>
        <w:category>
          <w:name w:val="General"/>
          <w:gallery w:val="placeholder"/>
        </w:category>
        <w:types>
          <w:type w:val="bbPlcHdr"/>
        </w:types>
        <w:behaviors>
          <w:behavior w:val="content"/>
        </w:behaviors>
        <w:guid w:val="{E5EFDA4B-7DE1-480D-8A1C-326D496E5637}"/>
      </w:docPartPr>
      <w:docPartBody>
        <w:p w:rsidR="00652E73" w:rsidRDefault="00A20F0A" w:rsidP="00A20F0A">
          <w:pPr>
            <w:pStyle w:val="BBF29F01BBE94F778FF75F9D167B0F17"/>
          </w:pPr>
          <w:r w:rsidRPr="00F761FF">
            <w:rPr>
              <w:rStyle w:val="PlaceholderText"/>
            </w:rPr>
            <w:t>Click or tap here to enter text.</w:t>
          </w:r>
        </w:p>
      </w:docPartBody>
    </w:docPart>
    <w:docPart>
      <w:docPartPr>
        <w:name w:val="7E7EAC7C049E4BE7A18BDA75FCF9585A"/>
        <w:category>
          <w:name w:val="General"/>
          <w:gallery w:val="placeholder"/>
        </w:category>
        <w:types>
          <w:type w:val="bbPlcHdr"/>
        </w:types>
        <w:behaviors>
          <w:behavior w:val="content"/>
        </w:behaviors>
        <w:guid w:val="{58FCE893-7FE9-4B83-8211-08FDB64B0087}"/>
      </w:docPartPr>
      <w:docPartBody>
        <w:p w:rsidR="00652E73" w:rsidRDefault="00A20F0A" w:rsidP="00A20F0A">
          <w:pPr>
            <w:pStyle w:val="7E7EAC7C049E4BE7A18BDA75FCF9585A"/>
          </w:pPr>
          <w:r w:rsidRPr="0023011B">
            <w:rPr>
              <w:rStyle w:val="PlaceholderText"/>
            </w:rPr>
            <w:t>Click or tap here to enter text.</w:t>
          </w:r>
        </w:p>
      </w:docPartBody>
    </w:docPart>
    <w:docPart>
      <w:docPartPr>
        <w:name w:val="73B7607847AA49BABCE8FEFEEC908E01"/>
        <w:category>
          <w:name w:val="General"/>
          <w:gallery w:val="placeholder"/>
        </w:category>
        <w:types>
          <w:type w:val="bbPlcHdr"/>
        </w:types>
        <w:behaviors>
          <w:behavior w:val="content"/>
        </w:behaviors>
        <w:guid w:val="{F32A604B-FBAA-4E36-A433-1B8B75AC44EE}"/>
      </w:docPartPr>
      <w:docPartBody>
        <w:p w:rsidR="00652E73" w:rsidRDefault="00A20F0A" w:rsidP="00A20F0A">
          <w:pPr>
            <w:pStyle w:val="73B7607847AA49BABCE8FEFEEC908E01"/>
          </w:pPr>
          <w:r>
            <w:rPr>
              <w:rStyle w:val="PlaceholderText"/>
            </w:rPr>
            <w:t>Click or tap here to enter text.</w:t>
          </w:r>
        </w:p>
      </w:docPartBody>
    </w:docPart>
    <w:docPart>
      <w:docPartPr>
        <w:name w:val="BAB2841F77CC4190A4A452E3964DDC86"/>
        <w:category>
          <w:name w:val="General"/>
          <w:gallery w:val="placeholder"/>
        </w:category>
        <w:types>
          <w:type w:val="bbPlcHdr"/>
        </w:types>
        <w:behaviors>
          <w:behavior w:val="content"/>
        </w:behaviors>
        <w:guid w:val="{09CD65A8-16A7-4A34-9624-A959F4A010CB}"/>
      </w:docPartPr>
      <w:docPartBody>
        <w:p w:rsidR="00652E73" w:rsidRDefault="00A20F0A" w:rsidP="00A20F0A">
          <w:pPr>
            <w:pStyle w:val="BAB2841F77CC4190A4A452E3964DDC86"/>
          </w:pPr>
          <w:r>
            <w:rPr>
              <w:rStyle w:val="PlaceholderText"/>
            </w:rPr>
            <w:t>Click or tap here to enter text.</w:t>
          </w:r>
        </w:p>
      </w:docPartBody>
    </w:docPart>
    <w:docPart>
      <w:docPartPr>
        <w:name w:val="47F9D2C3C9CD4E6ABFEBA83508EA51E3"/>
        <w:category>
          <w:name w:val="General"/>
          <w:gallery w:val="placeholder"/>
        </w:category>
        <w:types>
          <w:type w:val="bbPlcHdr"/>
        </w:types>
        <w:behaviors>
          <w:behavior w:val="content"/>
        </w:behaviors>
        <w:guid w:val="{24B58EB9-2060-4F63-AD2D-7D0876E7624E}"/>
      </w:docPartPr>
      <w:docPartBody>
        <w:p w:rsidR="00652E73" w:rsidRDefault="00A20F0A" w:rsidP="00A20F0A">
          <w:pPr>
            <w:pStyle w:val="47F9D2C3C9CD4E6ABFEBA83508EA51E3"/>
          </w:pPr>
          <w:r>
            <w:rPr>
              <w:rStyle w:val="PlaceholderText"/>
            </w:rPr>
            <w:t>Click or tap here to enter text.</w:t>
          </w:r>
        </w:p>
      </w:docPartBody>
    </w:docPart>
    <w:docPart>
      <w:docPartPr>
        <w:name w:val="BD27B95D05F54D13A637A8D4312982F0"/>
        <w:category>
          <w:name w:val="General"/>
          <w:gallery w:val="placeholder"/>
        </w:category>
        <w:types>
          <w:type w:val="bbPlcHdr"/>
        </w:types>
        <w:behaviors>
          <w:behavior w:val="content"/>
        </w:behaviors>
        <w:guid w:val="{FE17EBFF-5B6A-4581-B8C2-53ABDEB42913}"/>
      </w:docPartPr>
      <w:docPartBody>
        <w:p w:rsidR="00652E73" w:rsidRDefault="00A20F0A" w:rsidP="00A20F0A">
          <w:pPr>
            <w:pStyle w:val="BD27B95D05F54D13A637A8D4312982F0"/>
          </w:pPr>
          <w:r>
            <w:rPr>
              <w:rStyle w:val="PlaceholderText"/>
            </w:rPr>
            <w:t>Click or tap here to enter text.</w:t>
          </w:r>
        </w:p>
      </w:docPartBody>
    </w:docPart>
    <w:docPart>
      <w:docPartPr>
        <w:name w:val="E79B3AB3FB1648F580457386EAECEAEE"/>
        <w:category>
          <w:name w:val="General"/>
          <w:gallery w:val="placeholder"/>
        </w:category>
        <w:types>
          <w:type w:val="bbPlcHdr"/>
        </w:types>
        <w:behaviors>
          <w:behavior w:val="content"/>
        </w:behaviors>
        <w:guid w:val="{57D6A358-3F14-465A-A43E-5157F18F6739}"/>
      </w:docPartPr>
      <w:docPartBody>
        <w:p w:rsidR="00652E73" w:rsidRDefault="00A20F0A" w:rsidP="00A20F0A">
          <w:pPr>
            <w:pStyle w:val="E79B3AB3FB1648F580457386EAECEAEE"/>
          </w:pPr>
          <w:r>
            <w:rPr>
              <w:rStyle w:val="PlaceholderText"/>
            </w:rPr>
            <w:t>Click or tap here to enter text.</w:t>
          </w:r>
        </w:p>
      </w:docPartBody>
    </w:docPart>
    <w:docPart>
      <w:docPartPr>
        <w:name w:val="6396F431CD5345B78B5D804299EA0B4E"/>
        <w:category>
          <w:name w:val="General"/>
          <w:gallery w:val="placeholder"/>
        </w:category>
        <w:types>
          <w:type w:val="bbPlcHdr"/>
        </w:types>
        <w:behaviors>
          <w:behavior w:val="content"/>
        </w:behaviors>
        <w:guid w:val="{91FDD1A6-319A-4158-8660-3BFE5E98FEB6}"/>
      </w:docPartPr>
      <w:docPartBody>
        <w:p w:rsidR="00652E73" w:rsidRDefault="00A20F0A" w:rsidP="00A20F0A">
          <w:pPr>
            <w:pStyle w:val="6396F431CD5345B78B5D804299EA0B4E"/>
          </w:pPr>
          <w:r>
            <w:rPr>
              <w:rStyle w:val="PlaceholderText"/>
            </w:rPr>
            <w:t>Click or tap here to enter text.</w:t>
          </w:r>
        </w:p>
      </w:docPartBody>
    </w:docPart>
    <w:docPart>
      <w:docPartPr>
        <w:name w:val="8AE97D7CF95D4D7CABA40DF980467AE7"/>
        <w:category>
          <w:name w:val="General"/>
          <w:gallery w:val="placeholder"/>
        </w:category>
        <w:types>
          <w:type w:val="bbPlcHdr"/>
        </w:types>
        <w:behaviors>
          <w:behavior w:val="content"/>
        </w:behaviors>
        <w:guid w:val="{ED1ACC12-AE6E-4BA9-BE2E-338A9507D982}"/>
      </w:docPartPr>
      <w:docPartBody>
        <w:p w:rsidR="00652E73" w:rsidRDefault="00A20F0A" w:rsidP="00A20F0A">
          <w:pPr>
            <w:pStyle w:val="8AE97D7CF95D4D7CABA40DF980467AE7"/>
          </w:pPr>
          <w:r>
            <w:rPr>
              <w:rStyle w:val="PlaceholderText"/>
            </w:rPr>
            <w:t>Click or tap here to enter text.</w:t>
          </w:r>
        </w:p>
      </w:docPartBody>
    </w:docPart>
    <w:docPart>
      <w:docPartPr>
        <w:name w:val="67A9F424CBB84333981FD327BCE63ACA"/>
        <w:category>
          <w:name w:val="General"/>
          <w:gallery w:val="placeholder"/>
        </w:category>
        <w:types>
          <w:type w:val="bbPlcHdr"/>
        </w:types>
        <w:behaviors>
          <w:behavior w:val="content"/>
        </w:behaviors>
        <w:guid w:val="{E7591ABB-47DA-4A97-8215-3C98B457AF83}"/>
      </w:docPartPr>
      <w:docPartBody>
        <w:p w:rsidR="00652E73" w:rsidRDefault="00A20F0A" w:rsidP="00A20F0A">
          <w:pPr>
            <w:pStyle w:val="67A9F424CBB84333981FD327BCE63ACA"/>
          </w:pPr>
          <w:r>
            <w:rPr>
              <w:rStyle w:val="PlaceholderText"/>
            </w:rPr>
            <w:t>Click or tap here to enter text.</w:t>
          </w:r>
        </w:p>
      </w:docPartBody>
    </w:docPart>
    <w:docPart>
      <w:docPartPr>
        <w:name w:val="36D47CC79E1F49F58EA553B5FE67F9C6"/>
        <w:category>
          <w:name w:val="General"/>
          <w:gallery w:val="placeholder"/>
        </w:category>
        <w:types>
          <w:type w:val="bbPlcHdr"/>
        </w:types>
        <w:behaviors>
          <w:behavior w:val="content"/>
        </w:behaviors>
        <w:guid w:val="{940F5434-414D-4A89-81FC-24E716645991}"/>
      </w:docPartPr>
      <w:docPartBody>
        <w:p w:rsidR="00652E73" w:rsidRDefault="00A20F0A" w:rsidP="00A20F0A">
          <w:pPr>
            <w:pStyle w:val="36D47CC79E1F49F58EA553B5FE67F9C6"/>
          </w:pPr>
          <w:r>
            <w:rPr>
              <w:rStyle w:val="PlaceholderText"/>
            </w:rPr>
            <w:t>Click or tap here to enter text.</w:t>
          </w:r>
        </w:p>
      </w:docPartBody>
    </w:docPart>
    <w:docPart>
      <w:docPartPr>
        <w:name w:val="B6C0D463AD104E0BAB50BE9A9DA71564"/>
        <w:category>
          <w:name w:val="General"/>
          <w:gallery w:val="placeholder"/>
        </w:category>
        <w:types>
          <w:type w:val="bbPlcHdr"/>
        </w:types>
        <w:behaviors>
          <w:behavior w:val="content"/>
        </w:behaviors>
        <w:guid w:val="{419DFFC0-C5D6-4E78-8E71-7262652FA0ED}"/>
      </w:docPartPr>
      <w:docPartBody>
        <w:p w:rsidR="00652E73" w:rsidRDefault="00A20F0A" w:rsidP="00A20F0A">
          <w:pPr>
            <w:pStyle w:val="B6C0D463AD104E0BAB50BE9A9DA71564"/>
          </w:pPr>
          <w:r>
            <w:rPr>
              <w:rStyle w:val="PlaceholderText"/>
            </w:rPr>
            <w:t>Click or tap here to enter text.</w:t>
          </w:r>
        </w:p>
      </w:docPartBody>
    </w:docPart>
    <w:docPart>
      <w:docPartPr>
        <w:name w:val="BD74E4EE5FE64E1EBA91951056D1158F"/>
        <w:category>
          <w:name w:val="General"/>
          <w:gallery w:val="placeholder"/>
        </w:category>
        <w:types>
          <w:type w:val="bbPlcHdr"/>
        </w:types>
        <w:behaviors>
          <w:behavior w:val="content"/>
        </w:behaviors>
        <w:guid w:val="{ADBE6D69-872B-4918-8D46-61CCE6828C74}"/>
      </w:docPartPr>
      <w:docPartBody>
        <w:p w:rsidR="00652E73" w:rsidRDefault="00A20F0A" w:rsidP="00A20F0A">
          <w:pPr>
            <w:pStyle w:val="BD74E4EE5FE64E1EBA91951056D1158F"/>
          </w:pPr>
          <w:r>
            <w:rPr>
              <w:rStyle w:val="PlaceholderText"/>
            </w:rPr>
            <w:t>Click or tap here to enter text.</w:t>
          </w:r>
        </w:p>
      </w:docPartBody>
    </w:docPart>
    <w:docPart>
      <w:docPartPr>
        <w:name w:val="D6E2D6A76C654BE998420AD15999A072"/>
        <w:category>
          <w:name w:val="General"/>
          <w:gallery w:val="placeholder"/>
        </w:category>
        <w:types>
          <w:type w:val="bbPlcHdr"/>
        </w:types>
        <w:behaviors>
          <w:behavior w:val="content"/>
        </w:behaviors>
        <w:guid w:val="{3BDCEC60-6272-427D-BAC7-3113F770F274}"/>
      </w:docPartPr>
      <w:docPartBody>
        <w:p w:rsidR="00652E73" w:rsidRDefault="00A20F0A" w:rsidP="00A20F0A">
          <w:pPr>
            <w:pStyle w:val="D6E2D6A76C654BE998420AD15999A072"/>
          </w:pPr>
          <w:r>
            <w:rPr>
              <w:rStyle w:val="PlaceholderText"/>
            </w:rPr>
            <w:t>Click or tap here to enter text.</w:t>
          </w:r>
        </w:p>
      </w:docPartBody>
    </w:docPart>
    <w:docPart>
      <w:docPartPr>
        <w:name w:val="6AA58E1B1C3D459CB8B1DF62AC214CDF"/>
        <w:category>
          <w:name w:val="General"/>
          <w:gallery w:val="placeholder"/>
        </w:category>
        <w:types>
          <w:type w:val="bbPlcHdr"/>
        </w:types>
        <w:behaviors>
          <w:behavior w:val="content"/>
        </w:behaviors>
        <w:guid w:val="{00544B9F-C416-4400-BFED-69F2FEB110BB}"/>
      </w:docPartPr>
      <w:docPartBody>
        <w:p w:rsidR="00652E73" w:rsidRDefault="00A20F0A" w:rsidP="00A20F0A">
          <w:pPr>
            <w:pStyle w:val="6AA58E1B1C3D459CB8B1DF62AC214CDF"/>
          </w:pPr>
          <w:r>
            <w:rPr>
              <w:rStyle w:val="PlaceholderText"/>
            </w:rPr>
            <w:t>Click or tap here to enter text.</w:t>
          </w:r>
        </w:p>
      </w:docPartBody>
    </w:docPart>
    <w:docPart>
      <w:docPartPr>
        <w:name w:val="BEEC975C0AE842D095A1E21584802DC5"/>
        <w:category>
          <w:name w:val="General"/>
          <w:gallery w:val="placeholder"/>
        </w:category>
        <w:types>
          <w:type w:val="bbPlcHdr"/>
        </w:types>
        <w:behaviors>
          <w:behavior w:val="content"/>
        </w:behaviors>
        <w:guid w:val="{80ED236B-D6B8-4516-AE07-4B91082C89EE}"/>
      </w:docPartPr>
      <w:docPartBody>
        <w:p w:rsidR="00652E73" w:rsidRDefault="00A20F0A" w:rsidP="00A20F0A">
          <w:pPr>
            <w:pStyle w:val="BEEC975C0AE842D095A1E21584802DC5"/>
          </w:pPr>
          <w:r>
            <w:rPr>
              <w:rStyle w:val="PlaceholderText"/>
            </w:rPr>
            <w:t>Click or tap here to enter text.</w:t>
          </w:r>
        </w:p>
      </w:docPartBody>
    </w:docPart>
    <w:docPart>
      <w:docPartPr>
        <w:name w:val="EACB9EC650CF4D918D47BB4B6AC164D0"/>
        <w:category>
          <w:name w:val="General"/>
          <w:gallery w:val="placeholder"/>
        </w:category>
        <w:types>
          <w:type w:val="bbPlcHdr"/>
        </w:types>
        <w:behaviors>
          <w:behavior w:val="content"/>
        </w:behaviors>
        <w:guid w:val="{CACDD928-B402-480B-8F9F-7B8E9E27B960}"/>
      </w:docPartPr>
      <w:docPartBody>
        <w:p w:rsidR="00652E73" w:rsidRDefault="00A20F0A" w:rsidP="00A20F0A">
          <w:pPr>
            <w:pStyle w:val="EACB9EC650CF4D918D47BB4B6AC164D0"/>
          </w:pPr>
          <w:r>
            <w:rPr>
              <w:rStyle w:val="PlaceholderText"/>
            </w:rPr>
            <w:t>Click or tap here to enter text.</w:t>
          </w:r>
        </w:p>
      </w:docPartBody>
    </w:docPart>
    <w:docPart>
      <w:docPartPr>
        <w:name w:val="11E40D8827634EB38FDB3DA287FFC2BB"/>
        <w:category>
          <w:name w:val="General"/>
          <w:gallery w:val="placeholder"/>
        </w:category>
        <w:types>
          <w:type w:val="bbPlcHdr"/>
        </w:types>
        <w:behaviors>
          <w:behavior w:val="content"/>
        </w:behaviors>
        <w:guid w:val="{1C704C43-BBA9-4D75-A545-1097328109A5}"/>
      </w:docPartPr>
      <w:docPartBody>
        <w:p w:rsidR="00652E73" w:rsidRDefault="00A20F0A" w:rsidP="00A20F0A">
          <w:pPr>
            <w:pStyle w:val="11E40D8827634EB38FDB3DA287FFC2BB"/>
          </w:pPr>
          <w:r>
            <w:rPr>
              <w:rStyle w:val="PlaceholderText"/>
            </w:rPr>
            <w:t>Click or tap here to enter text.</w:t>
          </w:r>
        </w:p>
      </w:docPartBody>
    </w:docPart>
    <w:docPart>
      <w:docPartPr>
        <w:name w:val="0964BAA91E4C4C4F8AAA07B3AA59EAE4"/>
        <w:category>
          <w:name w:val="General"/>
          <w:gallery w:val="placeholder"/>
        </w:category>
        <w:types>
          <w:type w:val="bbPlcHdr"/>
        </w:types>
        <w:behaviors>
          <w:behavior w:val="content"/>
        </w:behaviors>
        <w:guid w:val="{8E626A5F-DB31-48BE-AA77-83D2FD086455}"/>
      </w:docPartPr>
      <w:docPartBody>
        <w:p w:rsidR="00652E73" w:rsidRDefault="00A20F0A" w:rsidP="00A20F0A">
          <w:pPr>
            <w:pStyle w:val="0964BAA91E4C4C4F8AAA07B3AA59EAE4"/>
          </w:pPr>
          <w:r>
            <w:rPr>
              <w:rStyle w:val="PlaceholderText"/>
            </w:rPr>
            <w:t>Click or tap here to enter text.</w:t>
          </w:r>
        </w:p>
      </w:docPartBody>
    </w:docPart>
    <w:docPart>
      <w:docPartPr>
        <w:name w:val="2FC8DEDC343A4003A7D717496E90A7A9"/>
        <w:category>
          <w:name w:val="General"/>
          <w:gallery w:val="placeholder"/>
        </w:category>
        <w:types>
          <w:type w:val="bbPlcHdr"/>
        </w:types>
        <w:behaviors>
          <w:behavior w:val="content"/>
        </w:behaviors>
        <w:guid w:val="{E78B7028-6EDC-496F-AD7A-2ADE0F8DB0A4}"/>
      </w:docPartPr>
      <w:docPartBody>
        <w:p w:rsidR="00652E73" w:rsidRDefault="00A20F0A" w:rsidP="00A20F0A">
          <w:pPr>
            <w:pStyle w:val="2FC8DEDC343A4003A7D717496E90A7A9"/>
          </w:pPr>
          <w:r>
            <w:rPr>
              <w:rStyle w:val="PlaceholderText"/>
            </w:rPr>
            <w:t>Click or tap here to enter text.</w:t>
          </w:r>
        </w:p>
      </w:docPartBody>
    </w:docPart>
    <w:docPart>
      <w:docPartPr>
        <w:name w:val="734F86834091457E9E800523D6C3514A"/>
        <w:category>
          <w:name w:val="General"/>
          <w:gallery w:val="placeholder"/>
        </w:category>
        <w:types>
          <w:type w:val="bbPlcHdr"/>
        </w:types>
        <w:behaviors>
          <w:behavior w:val="content"/>
        </w:behaviors>
        <w:guid w:val="{20E9F72C-823F-46B5-B3EA-DD0002FAE9D1}"/>
      </w:docPartPr>
      <w:docPartBody>
        <w:p w:rsidR="00652E73" w:rsidRDefault="00A20F0A" w:rsidP="00A20F0A">
          <w:pPr>
            <w:pStyle w:val="734F86834091457E9E800523D6C3514A"/>
          </w:pPr>
          <w:r>
            <w:rPr>
              <w:rStyle w:val="PlaceholderText"/>
            </w:rPr>
            <w:t>Click or tap here to enter text.</w:t>
          </w:r>
        </w:p>
      </w:docPartBody>
    </w:docPart>
    <w:docPart>
      <w:docPartPr>
        <w:name w:val="38F77402399447659EDA9318A80EA1E3"/>
        <w:category>
          <w:name w:val="General"/>
          <w:gallery w:val="placeholder"/>
        </w:category>
        <w:types>
          <w:type w:val="bbPlcHdr"/>
        </w:types>
        <w:behaviors>
          <w:behavior w:val="content"/>
        </w:behaviors>
        <w:guid w:val="{69EADE8A-6572-4CB0-B9AB-33F3CB62F337}"/>
      </w:docPartPr>
      <w:docPartBody>
        <w:p w:rsidR="00652E73" w:rsidRDefault="00A20F0A" w:rsidP="00A20F0A">
          <w:pPr>
            <w:pStyle w:val="38F77402399447659EDA9318A80EA1E3"/>
          </w:pPr>
          <w:r>
            <w:rPr>
              <w:rStyle w:val="PlaceholderText"/>
            </w:rPr>
            <w:t>Click or tap here to enter text.</w:t>
          </w:r>
        </w:p>
      </w:docPartBody>
    </w:docPart>
    <w:docPart>
      <w:docPartPr>
        <w:name w:val="69A3023C18A44E1E91E52A6702942E6D"/>
        <w:category>
          <w:name w:val="General"/>
          <w:gallery w:val="placeholder"/>
        </w:category>
        <w:types>
          <w:type w:val="bbPlcHdr"/>
        </w:types>
        <w:behaviors>
          <w:behavior w:val="content"/>
        </w:behaviors>
        <w:guid w:val="{AA102688-ECAD-4D02-8BB1-75B3E28ED220}"/>
      </w:docPartPr>
      <w:docPartBody>
        <w:p w:rsidR="00652E73" w:rsidRDefault="00A20F0A" w:rsidP="00A20F0A">
          <w:pPr>
            <w:pStyle w:val="69A3023C18A44E1E91E52A6702942E6D"/>
          </w:pPr>
          <w:r>
            <w:rPr>
              <w:rStyle w:val="PlaceholderText"/>
            </w:rPr>
            <w:t>Click or tap here to enter text.</w:t>
          </w:r>
        </w:p>
      </w:docPartBody>
    </w:docPart>
    <w:docPart>
      <w:docPartPr>
        <w:name w:val="E09F2B8F948E430FBA4B350554EEEB9F"/>
        <w:category>
          <w:name w:val="General"/>
          <w:gallery w:val="placeholder"/>
        </w:category>
        <w:types>
          <w:type w:val="bbPlcHdr"/>
        </w:types>
        <w:behaviors>
          <w:behavior w:val="content"/>
        </w:behaviors>
        <w:guid w:val="{F516FE5A-3716-4D66-A0AA-2AB346114E92}"/>
      </w:docPartPr>
      <w:docPartBody>
        <w:p w:rsidR="00652E73" w:rsidRDefault="00A20F0A" w:rsidP="00A20F0A">
          <w:pPr>
            <w:pStyle w:val="E09F2B8F948E430FBA4B350554EEEB9F"/>
          </w:pPr>
          <w:r>
            <w:rPr>
              <w:rStyle w:val="PlaceholderText"/>
            </w:rPr>
            <w:t>Click or tap here to enter text.</w:t>
          </w:r>
        </w:p>
      </w:docPartBody>
    </w:docPart>
    <w:docPart>
      <w:docPartPr>
        <w:name w:val="353A24EDD4E0463B89DC06A326DCDCCE"/>
        <w:category>
          <w:name w:val="General"/>
          <w:gallery w:val="placeholder"/>
        </w:category>
        <w:types>
          <w:type w:val="bbPlcHdr"/>
        </w:types>
        <w:behaviors>
          <w:behavior w:val="content"/>
        </w:behaviors>
        <w:guid w:val="{BA33F4CB-1266-4712-B66A-F241A449E61E}"/>
      </w:docPartPr>
      <w:docPartBody>
        <w:p w:rsidR="00652E73" w:rsidRDefault="00A20F0A" w:rsidP="00A20F0A">
          <w:pPr>
            <w:pStyle w:val="353A24EDD4E0463B89DC06A326DCDCCE"/>
          </w:pPr>
          <w:r>
            <w:rPr>
              <w:rStyle w:val="PlaceholderText"/>
            </w:rPr>
            <w:t>Click or tap here to enter text.</w:t>
          </w:r>
        </w:p>
      </w:docPartBody>
    </w:docPart>
    <w:docPart>
      <w:docPartPr>
        <w:name w:val="3BAB1D3452C84F739D3CF1844FBAED0D"/>
        <w:category>
          <w:name w:val="General"/>
          <w:gallery w:val="placeholder"/>
        </w:category>
        <w:types>
          <w:type w:val="bbPlcHdr"/>
        </w:types>
        <w:behaviors>
          <w:behavior w:val="content"/>
        </w:behaviors>
        <w:guid w:val="{FF90A89F-CD2A-42FA-8FC4-4AA7926150FD}"/>
      </w:docPartPr>
      <w:docPartBody>
        <w:p w:rsidR="00652E73" w:rsidRDefault="00A20F0A" w:rsidP="00A20F0A">
          <w:pPr>
            <w:pStyle w:val="3BAB1D3452C84F739D3CF1844FBAED0D"/>
          </w:pPr>
          <w:r>
            <w:rPr>
              <w:rStyle w:val="PlaceholderText"/>
            </w:rPr>
            <w:t>Click or tap here to enter text.</w:t>
          </w:r>
        </w:p>
      </w:docPartBody>
    </w:docPart>
    <w:docPart>
      <w:docPartPr>
        <w:name w:val="EEC3A975F50C4DA891D52DAFFF342BFE"/>
        <w:category>
          <w:name w:val="General"/>
          <w:gallery w:val="placeholder"/>
        </w:category>
        <w:types>
          <w:type w:val="bbPlcHdr"/>
        </w:types>
        <w:behaviors>
          <w:behavior w:val="content"/>
        </w:behaviors>
        <w:guid w:val="{D8E11D4C-3931-4304-8604-E5E2D2BFFBA1}"/>
      </w:docPartPr>
      <w:docPartBody>
        <w:p w:rsidR="00652E73" w:rsidRDefault="00A20F0A" w:rsidP="00A20F0A">
          <w:pPr>
            <w:pStyle w:val="EEC3A975F50C4DA891D52DAFFF342BFE"/>
          </w:pPr>
          <w:r>
            <w:rPr>
              <w:rStyle w:val="PlaceholderText"/>
            </w:rPr>
            <w:t>Click or tap here to enter text.</w:t>
          </w:r>
        </w:p>
      </w:docPartBody>
    </w:docPart>
    <w:docPart>
      <w:docPartPr>
        <w:name w:val="9C8829310A064AF28788EBA3930EB696"/>
        <w:category>
          <w:name w:val="General"/>
          <w:gallery w:val="placeholder"/>
        </w:category>
        <w:types>
          <w:type w:val="bbPlcHdr"/>
        </w:types>
        <w:behaviors>
          <w:behavior w:val="content"/>
        </w:behaviors>
        <w:guid w:val="{7B47EA41-881D-434A-9ACD-C32A99DF4BCF}"/>
      </w:docPartPr>
      <w:docPartBody>
        <w:p w:rsidR="00652E73" w:rsidRDefault="00A20F0A" w:rsidP="00A20F0A">
          <w:pPr>
            <w:pStyle w:val="9C8829310A064AF28788EBA3930EB696"/>
          </w:pPr>
          <w:r w:rsidRPr="00AA106C">
            <w:rPr>
              <w:rStyle w:val="PlaceholderText"/>
            </w:rPr>
            <w:t>Click or tap here to enter text.</w:t>
          </w:r>
        </w:p>
      </w:docPartBody>
    </w:docPart>
    <w:docPart>
      <w:docPartPr>
        <w:name w:val="74CA121AD9C3402ABDBE8632B75CB115"/>
        <w:category>
          <w:name w:val="General"/>
          <w:gallery w:val="placeholder"/>
        </w:category>
        <w:types>
          <w:type w:val="bbPlcHdr"/>
        </w:types>
        <w:behaviors>
          <w:behavior w:val="content"/>
        </w:behaviors>
        <w:guid w:val="{F948269D-6AA2-459E-8FA1-3611E3FFD34A}"/>
      </w:docPartPr>
      <w:docPartBody>
        <w:p w:rsidR="00652E73" w:rsidRDefault="00A20F0A" w:rsidP="00A20F0A">
          <w:pPr>
            <w:pStyle w:val="74CA121AD9C3402ABDBE8632B75CB115"/>
          </w:pPr>
          <w:r>
            <w:rPr>
              <w:rStyle w:val="PlaceholderText"/>
            </w:rPr>
            <w:t>Click or tap here to enter text.</w:t>
          </w:r>
        </w:p>
      </w:docPartBody>
    </w:docPart>
    <w:docPart>
      <w:docPartPr>
        <w:name w:val="7A43A71FE45F4E7391BF57D4300A57C1"/>
        <w:category>
          <w:name w:val="General"/>
          <w:gallery w:val="placeholder"/>
        </w:category>
        <w:types>
          <w:type w:val="bbPlcHdr"/>
        </w:types>
        <w:behaviors>
          <w:behavior w:val="content"/>
        </w:behaviors>
        <w:guid w:val="{BF8D39BC-14DF-4808-AC61-34C02E0A45E4}"/>
      </w:docPartPr>
      <w:docPartBody>
        <w:p w:rsidR="00652E73" w:rsidRDefault="00A20F0A" w:rsidP="00A20F0A">
          <w:pPr>
            <w:pStyle w:val="7A43A71FE45F4E7391BF57D4300A57C1"/>
          </w:pPr>
          <w:r>
            <w:rPr>
              <w:rStyle w:val="PlaceholderText"/>
            </w:rPr>
            <w:t>Click or tap here to enter text.</w:t>
          </w:r>
        </w:p>
      </w:docPartBody>
    </w:docPart>
    <w:docPart>
      <w:docPartPr>
        <w:name w:val="CF53DAC87A4A49719C3DF893810542FD"/>
        <w:category>
          <w:name w:val="General"/>
          <w:gallery w:val="placeholder"/>
        </w:category>
        <w:types>
          <w:type w:val="bbPlcHdr"/>
        </w:types>
        <w:behaviors>
          <w:behavior w:val="content"/>
        </w:behaviors>
        <w:guid w:val="{A4F29A96-103C-4B64-A435-4B97A65A3C47}"/>
      </w:docPartPr>
      <w:docPartBody>
        <w:p w:rsidR="00652E73" w:rsidRDefault="00A20F0A" w:rsidP="00A20F0A">
          <w:pPr>
            <w:pStyle w:val="CF53DAC87A4A49719C3DF893810542FD"/>
          </w:pPr>
          <w:r>
            <w:rPr>
              <w:rStyle w:val="PlaceholderText"/>
            </w:rPr>
            <w:t>Click or tap here to enter text.</w:t>
          </w:r>
        </w:p>
      </w:docPartBody>
    </w:docPart>
    <w:docPart>
      <w:docPartPr>
        <w:name w:val="F4BBD4BA3AEC4F1A88837F1972859DA7"/>
        <w:category>
          <w:name w:val="General"/>
          <w:gallery w:val="placeholder"/>
        </w:category>
        <w:types>
          <w:type w:val="bbPlcHdr"/>
        </w:types>
        <w:behaviors>
          <w:behavior w:val="content"/>
        </w:behaviors>
        <w:guid w:val="{F7A470A3-4AAE-4109-B4AB-D702AEC11762}"/>
      </w:docPartPr>
      <w:docPartBody>
        <w:p w:rsidR="00652E73" w:rsidRDefault="00A20F0A" w:rsidP="00A20F0A">
          <w:pPr>
            <w:pStyle w:val="F4BBD4BA3AEC4F1A88837F1972859DA7"/>
          </w:pPr>
          <w:r w:rsidRPr="00AC4494">
            <w:rPr>
              <w:rStyle w:val="PlaceholderText"/>
            </w:rPr>
            <w:t>Click or tap here to enter text.</w:t>
          </w:r>
        </w:p>
      </w:docPartBody>
    </w:docPart>
    <w:docPart>
      <w:docPartPr>
        <w:name w:val="4D351994D6DF4976A43C3D934E8F5BDD"/>
        <w:category>
          <w:name w:val="General"/>
          <w:gallery w:val="placeholder"/>
        </w:category>
        <w:types>
          <w:type w:val="bbPlcHdr"/>
        </w:types>
        <w:behaviors>
          <w:behavior w:val="content"/>
        </w:behaviors>
        <w:guid w:val="{CA3365C0-04AE-45A1-9FC1-87A346BF9647}"/>
      </w:docPartPr>
      <w:docPartBody>
        <w:p w:rsidR="00652E73" w:rsidRDefault="00A20F0A" w:rsidP="00A20F0A">
          <w:pPr>
            <w:pStyle w:val="4D351994D6DF4976A43C3D934E8F5BDD"/>
          </w:pPr>
          <w:r w:rsidRPr="00B817B6">
            <w:rPr>
              <w:rStyle w:val="PlaceholderText"/>
            </w:rPr>
            <w:t>Click or tap here to enter text.</w:t>
          </w:r>
        </w:p>
      </w:docPartBody>
    </w:docPart>
    <w:docPart>
      <w:docPartPr>
        <w:name w:val="222982BF7E4B43F8B0E97CB7F9849894"/>
        <w:category>
          <w:name w:val="General"/>
          <w:gallery w:val="placeholder"/>
        </w:category>
        <w:types>
          <w:type w:val="bbPlcHdr"/>
        </w:types>
        <w:behaviors>
          <w:behavior w:val="content"/>
        </w:behaviors>
        <w:guid w:val="{177C362A-FD5E-4B92-97BE-403028C20827}"/>
      </w:docPartPr>
      <w:docPartBody>
        <w:p w:rsidR="00652E73" w:rsidRDefault="00A20F0A" w:rsidP="00A20F0A">
          <w:pPr>
            <w:pStyle w:val="222982BF7E4B43F8B0E97CB7F9849894"/>
          </w:pPr>
          <w:r w:rsidRPr="00B817B6">
            <w:rPr>
              <w:rStyle w:val="PlaceholderText"/>
            </w:rPr>
            <w:t>Click or tap here to enter text.</w:t>
          </w:r>
        </w:p>
      </w:docPartBody>
    </w:docPart>
    <w:docPart>
      <w:docPartPr>
        <w:name w:val="86A8489335BC469695E5F68D29964DCB"/>
        <w:category>
          <w:name w:val="General"/>
          <w:gallery w:val="placeholder"/>
        </w:category>
        <w:types>
          <w:type w:val="bbPlcHdr"/>
        </w:types>
        <w:behaviors>
          <w:behavior w:val="content"/>
        </w:behaviors>
        <w:guid w:val="{DF5CC64F-3C30-4531-9BB4-3DA8A762F5C5}"/>
      </w:docPartPr>
      <w:docPartBody>
        <w:p w:rsidR="00652E73" w:rsidRDefault="00A20F0A" w:rsidP="00A20F0A">
          <w:pPr>
            <w:pStyle w:val="86A8489335BC469695E5F68D29964DCB"/>
          </w:pPr>
          <w:r>
            <w:rPr>
              <w:rStyle w:val="PlaceholderText"/>
            </w:rPr>
            <w:t>Click or tap here to enter text.</w:t>
          </w:r>
        </w:p>
      </w:docPartBody>
    </w:docPart>
    <w:docPart>
      <w:docPartPr>
        <w:name w:val="C2A86BC11BD94D23BBCA3BB23E260134"/>
        <w:category>
          <w:name w:val="General"/>
          <w:gallery w:val="placeholder"/>
        </w:category>
        <w:types>
          <w:type w:val="bbPlcHdr"/>
        </w:types>
        <w:behaviors>
          <w:behavior w:val="content"/>
        </w:behaviors>
        <w:guid w:val="{81242176-0329-4926-8C5F-CF46B89702CD}"/>
      </w:docPartPr>
      <w:docPartBody>
        <w:p w:rsidR="00652E73" w:rsidRDefault="00A20F0A" w:rsidP="00A20F0A">
          <w:pPr>
            <w:pStyle w:val="C2A86BC11BD94D23BBCA3BB23E260134"/>
          </w:pPr>
          <w:r>
            <w:rPr>
              <w:rStyle w:val="PlaceholderText"/>
            </w:rPr>
            <w:t>Click or tap here to enter text.</w:t>
          </w:r>
        </w:p>
      </w:docPartBody>
    </w:docPart>
    <w:docPart>
      <w:docPartPr>
        <w:name w:val="7134ECF1081A4F419EFA76D3441A138E"/>
        <w:category>
          <w:name w:val="General"/>
          <w:gallery w:val="placeholder"/>
        </w:category>
        <w:types>
          <w:type w:val="bbPlcHdr"/>
        </w:types>
        <w:behaviors>
          <w:behavior w:val="content"/>
        </w:behaviors>
        <w:guid w:val="{71740CDA-0F99-435C-9380-1CB913C1D095}"/>
      </w:docPartPr>
      <w:docPartBody>
        <w:p w:rsidR="00652E73" w:rsidRDefault="00A20F0A" w:rsidP="00A20F0A">
          <w:pPr>
            <w:pStyle w:val="7134ECF1081A4F419EFA76D3441A138E"/>
          </w:pPr>
          <w:r>
            <w:rPr>
              <w:rStyle w:val="PlaceholderText"/>
            </w:rPr>
            <w:t>Click or tap here to enter text.</w:t>
          </w:r>
        </w:p>
      </w:docPartBody>
    </w:docPart>
    <w:docPart>
      <w:docPartPr>
        <w:name w:val="ABB5E08369E641FFB6A14D7F5810441F"/>
        <w:category>
          <w:name w:val="General"/>
          <w:gallery w:val="placeholder"/>
        </w:category>
        <w:types>
          <w:type w:val="bbPlcHdr"/>
        </w:types>
        <w:behaviors>
          <w:behavior w:val="content"/>
        </w:behaviors>
        <w:guid w:val="{DAC9FEAD-3AA5-4232-8617-6B6E95BAC694}"/>
      </w:docPartPr>
      <w:docPartBody>
        <w:p w:rsidR="00652E73" w:rsidRDefault="00A20F0A" w:rsidP="00A20F0A">
          <w:pPr>
            <w:pStyle w:val="ABB5E08369E641FFB6A14D7F5810441F"/>
          </w:pPr>
          <w:r>
            <w:rPr>
              <w:rStyle w:val="PlaceholderText"/>
            </w:rPr>
            <w:t>Click or tap here to enter text.</w:t>
          </w:r>
        </w:p>
      </w:docPartBody>
    </w:docPart>
    <w:docPart>
      <w:docPartPr>
        <w:name w:val="6A2862198BF14F31BFCE1CAB55A0BBD1"/>
        <w:category>
          <w:name w:val="General"/>
          <w:gallery w:val="placeholder"/>
        </w:category>
        <w:types>
          <w:type w:val="bbPlcHdr"/>
        </w:types>
        <w:behaviors>
          <w:behavior w:val="content"/>
        </w:behaviors>
        <w:guid w:val="{8A1790EA-ABDE-4D53-B3D9-FA1E984AB5B7}"/>
      </w:docPartPr>
      <w:docPartBody>
        <w:p w:rsidR="00652E73" w:rsidRDefault="00A20F0A" w:rsidP="00A20F0A">
          <w:pPr>
            <w:pStyle w:val="6A2862198BF14F31BFCE1CAB55A0BBD1"/>
          </w:pPr>
          <w:r w:rsidRPr="00AA106C">
            <w:rPr>
              <w:rStyle w:val="PlaceholderText"/>
            </w:rPr>
            <w:t>Click or tap here to enter text.</w:t>
          </w:r>
        </w:p>
      </w:docPartBody>
    </w:docPart>
    <w:docPart>
      <w:docPartPr>
        <w:name w:val="4BC34DEC0AD64D9F98AE7208E8AFFCF6"/>
        <w:category>
          <w:name w:val="General"/>
          <w:gallery w:val="placeholder"/>
        </w:category>
        <w:types>
          <w:type w:val="bbPlcHdr"/>
        </w:types>
        <w:behaviors>
          <w:behavior w:val="content"/>
        </w:behaviors>
        <w:guid w:val="{B8016AFC-64B9-40EC-858A-A65EA73917E7}"/>
      </w:docPartPr>
      <w:docPartBody>
        <w:p w:rsidR="00652E73" w:rsidRDefault="00A20F0A" w:rsidP="00A20F0A">
          <w:pPr>
            <w:pStyle w:val="4BC34DEC0AD64D9F98AE7208E8AFFCF6"/>
          </w:pPr>
          <w:r>
            <w:rPr>
              <w:rStyle w:val="PlaceholderText"/>
            </w:rPr>
            <w:t>Click or tap here to enter text.</w:t>
          </w:r>
        </w:p>
      </w:docPartBody>
    </w:docPart>
    <w:docPart>
      <w:docPartPr>
        <w:name w:val="D4540EC29EEF40AA8CDA1B891F70DA52"/>
        <w:category>
          <w:name w:val="General"/>
          <w:gallery w:val="placeholder"/>
        </w:category>
        <w:types>
          <w:type w:val="bbPlcHdr"/>
        </w:types>
        <w:behaviors>
          <w:behavior w:val="content"/>
        </w:behaviors>
        <w:guid w:val="{555FB1CB-5082-487E-8E90-785AE03CBD59}"/>
      </w:docPartPr>
      <w:docPartBody>
        <w:p w:rsidR="00652E73" w:rsidRDefault="00A20F0A" w:rsidP="00A20F0A">
          <w:pPr>
            <w:pStyle w:val="D4540EC29EEF40AA8CDA1B891F70DA52"/>
          </w:pPr>
          <w:r>
            <w:rPr>
              <w:rStyle w:val="PlaceholderText"/>
            </w:rPr>
            <w:t>Click or tap here to enter text.</w:t>
          </w:r>
        </w:p>
      </w:docPartBody>
    </w:docPart>
    <w:docPart>
      <w:docPartPr>
        <w:name w:val="5D51104BC1EA49128B9D19F21A1F6FF5"/>
        <w:category>
          <w:name w:val="General"/>
          <w:gallery w:val="placeholder"/>
        </w:category>
        <w:types>
          <w:type w:val="bbPlcHdr"/>
        </w:types>
        <w:behaviors>
          <w:behavior w:val="content"/>
        </w:behaviors>
        <w:guid w:val="{6A477597-61EE-4485-A80B-9D874C8F3AEF}"/>
      </w:docPartPr>
      <w:docPartBody>
        <w:p w:rsidR="00652E73" w:rsidRDefault="00A20F0A" w:rsidP="00A20F0A">
          <w:pPr>
            <w:pStyle w:val="5D51104BC1EA49128B9D19F21A1F6FF5"/>
          </w:pPr>
          <w:r>
            <w:rPr>
              <w:rStyle w:val="PlaceholderText"/>
            </w:rPr>
            <w:t>Click or tap here to enter text.</w:t>
          </w:r>
        </w:p>
      </w:docPartBody>
    </w:docPart>
    <w:docPart>
      <w:docPartPr>
        <w:name w:val="CEAE3D35140241A39680F6EF79DBD152"/>
        <w:category>
          <w:name w:val="General"/>
          <w:gallery w:val="placeholder"/>
        </w:category>
        <w:types>
          <w:type w:val="bbPlcHdr"/>
        </w:types>
        <w:behaviors>
          <w:behavior w:val="content"/>
        </w:behaviors>
        <w:guid w:val="{28CD0284-E1F0-473D-90C4-BD019C5EF7F5}"/>
      </w:docPartPr>
      <w:docPartBody>
        <w:p w:rsidR="00652E73" w:rsidRDefault="00A20F0A" w:rsidP="00A20F0A">
          <w:pPr>
            <w:pStyle w:val="CEAE3D35140241A39680F6EF79DBD152"/>
          </w:pPr>
          <w:r w:rsidRPr="00B817B6">
            <w:rPr>
              <w:rStyle w:val="PlaceholderText"/>
            </w:rPr>
            <w:t>Click or tap here to enter text.</w:t>
          </w:r>
        </w:p>
      </w:docPartBody>
    </w:docPart>
    <w:docPart>
      <w:docPartPr>
        <w:name w:val="45B43145487847F896B5BB07D777AEFD"/>
        <w:category>
          <w:name w:val="General"/>
          <w:gallery w:val="placeholder"/>
        </w:category>
        <w:types>
          <w:type w:val="bbPlcHdr"/>
        </w:types>
        <w:behaviors>
          <w:behavior w:val="content"/>
        </w:behaviors>
        <w:guid w:val="{825FD663-0CA6-4F7D-A729-F9DB5EFAD195}"/>
      </w:docPartPr>
      <w:docPartBody>
        <w:p w:rsidR="00652E73" w:rsidRDefault="00A20F0A" w:rsidP="00A20F0A">
          <w:pPr>
            <w:pStyle w:val="45B43145487847F896B5BB07D777AEFD"/>
          </w:pPr>
          <w:r>
            <w:rPr>
              <w:rStyle w:val="PlaceholderText"/>
            </w:rPr>
            <w:t>Click or tap here to enter text.</w:t>
          </w:r>
        </w:p>
      </w:docPartBody>
    </w:docPart>
    <w:docPart>
      <w:docPartPr>
        <w:name w:val="7F196E57CE5049B18C3BE09A1978FD82"/>
        <w:category>
          <w:name w:val="General"/>
          <w:gallery w:val="placeholder"/>
        </w:category>
        <w:types>
          <w:type w:val="bbPlcHdr"/>
        </w:types>
        <w:behaviors>
          <w:behavior w:val="content"/>
        </w:behaviors>
        <w:guid w:val="{346BFD11-C831-47F3-B343-ABD90A8B3347}"/>
      </w:docPartPr>
      <w:docPartBody>
        <w:p w:rsidR="00652E73" w:rsidRDefault="00A20F0A" w:rsidP="00A20F0A">
          <w:pPr>
            <w:pStyle w:val="7F196E57CE5049B18C3BE09A1978FD82"/>
          </w:pPr>
          <w:r>
            <w:rPr>
              <w:rStyle w:val="PlaceholderText"/>
            </w:rPr>
            <w:t>Click or tap here to enter text.</w:t>
          </w:r>
        </w:p>
      </w:docPartBody>
    </w:docPart>
    <w:docPart>
      <w:docPartPr>
        <w:name w:val="92E18D59728547E3924ADB2A4CB1B9AC"/>
        <w:category>
          <w:name w:val="General"/>
          <w:gallery w:val="placeholder"/>
        </w:category>
        <w:types>
          <w:type w:val="bbPlcHdr"/>
        </w:types>
        <w:behaviors>
          <w:behavior w:val="content"/>
        </w:behaviors>
        <w:guid w:val="{10114FB3-CBBF-41C5-814E-FA7407684640}"/>
      </w:docPartPr>
      <w:docPartBody>
        <w:p w:rsidR="00652E73" w:rsidRDefault="00A20F0A" w:rsidP="00A20F0A">
          <w:pPr>
            <w:pStyle w:val="92E18D59728547E3924ADB2A4CB1B9AC"/>
          </w:pPr>
          <w:r>
            <w:rPr>
              <w:rStyle w:val="PlaceholderText"/>
            </w:rPr>
            <w:t>Click or tap here to enter text.</w:t>
          </w:r>
        </w:p>
      </w:docPartBody>
    </w:docPart>
    <w:docPart>
      <w:docPartPr>
        <w:name w:val="A1B9069BBBD544FDA1EF06E1720E5BC5"/>
        <w:category>
          <w:name w:val="General"/>
          <w:gallery w:val="placeholder"/>
        </w:category>
        <w:types>
          <w:type w:val="bbPlcHdr"/>
        </w:types>
        <w:behaviors>
          <w:behavior w:val="content"/>
        </w:behaviors>
        <w:guid w:val="{E0EC176D-1EA1-42D8-BCF9-455C804AF649}"/>
      </w:docPartPr>
      <w:docPartBody>
        <w:p w:rsidR="00652E73" w:rsidRDefault="00A20F0A" w:rsidP="00A20F0A">
          <w:pPr>
            <w:pStyle w:val="A1B9069BBBD544FDA1EF06E1720E5BC5"/>
          </w:pPr>
          <w:r>
            <w:rPr>
              <w:rStyle w:val="PlaceholderText"/>
            </w:rPr>
            <w:t>Click or tap here to enter text.</w:t>
          </w:r>
        </w:p>
      </w:docPartBody>
    </w:docPart>
    <w:docPart>
      <w:docPartPr>
        <w:name w:val="3E8D407D012344038A2F247EC03CFC03"/>
        <w:category>
          <w:name w:val="General"/>
          <w:gallery w:val="placeholder"/>
        </w:category>
        <w:types>
          <w:type w:val="bbPlcHdr"/>
        </w:types>
        <w:behaviors>
          <w:behavior w:val="content"/>
        </w:behaviors>
        <w:guid w:val="{2ED5732D-2B7B-4F24-AA05-310874C15BEC}"/>
      </w:docPartPr>
      <w:docPartBody>
        <w:p w:rsidR="00652E73" w:rsidRDefault="00A20F0A" w:rsidP="00A20F0A">
          <w:pPr>
            <w:pStyle w:val="3E8D407D012344038A2F247EC03CFC03"/>
          </w:pPr>
          <w:r w:rsidRPr="008F6C55">
            <w:rPr>
              <w:rStyle w:val="PlaceholderText"/>
            </w:rPr>
            <w:t>Click or tap here to enter text.</w:t>
          </w:r>
        </w:p>
      </w:docPartBody>
    </w:docPart>
    <w:docPart>
      <w:docPartPr>
        <w:name w:val="A04408BC18F64EDE8A3DCCBA4A581C7E"/>
        <w:category>
          <w:name w:val="General"/>
          <w:gallery w:val="placeholder"/>
        </w:category>
        <w:types>
          <w:type w:val="bbPlcHdr"/>
        </w:types>
        <w:behaviors>
          <w:behavior w:val="content"/>
        </w:behaviors>
        <w:guid w:val="{DF04208C-8A00-4AF4-99C7-889088DA2FA6}"/>
      </w:docPartPr>
      <w:docPartBody>
        <w:p w:rsidR="00652E73" w:rsidRDefault="00A20F0A" w:rsidP="00A20F0A">
          <w:pPr>
            <w:pStyle w:val="A04408BC18F64EDE8A3DCCBA4A581C7E"/>
          </w:pPr>
          <w:r>
            <w:rPr>
              <w:rStyle w:val="PlaceholderText"/>
            </w:rPr>
            <w:t>Click or tap here to enter text.</w:t>
          </w:r>
        </w:p>
      </w:docPartBody>
    </w:docPart>
    <w:docPart>
      <w:docPartPr>
        <w:name w:val="AD0BF1AF95C944E4B510884B4030137C"/>
        <w:category>
          <w:name w:val="General"/>
          <w:gallery w:val="placeholder"/>
        </w:category>
        <w:types>
          <w:type w:val="bbPlcHdr"/>
        </w:types>
        <w:behaviors>
          <w:behavior w:val="content"/>
        </w:behaviors>
        <w:guid w:val="{4B399B32-281A-4AE1-A17D-4ABB24EC43EA}"/>
      </w:docPartPr>
      <w:docPartBody>
        <w:p w:rsidR="00652E73" w:rsidRDefault="00A20F0A" w:rsidP="00A20F0A">
          <w:pPr>
            <w:pStyle w:val="AD0BF1AF95C944E4B510884B4030137C"/>
          </w:pPr>
          <w:r>
            <w:rPr>
              <w:rStyle w:val="PlaceholderText"/>
            </w:rPr>
            <w:t>Click or tap here to enter text.</w:t>
          </w:r>
        </w:p>
      </w:docPartBody>
    </w:docPart>
    <w:docPart>
      <w:docPartPr>
        <w:name w:val="9315F8CFFF864EF4895A0BC29DCA97B4"/>
        <w:category>
          <w:name w:val="General"/>
          <w:gallery w:val="placeholder"/>
        </w:category>
        <w:types>
          <w:type w:val="bbPlcHdr"/>
        </w:types>
        <w:behaviors>
          <w:behavior w:val="content"/>
        </w:behaviors>
        <w:guid w:val="{CF200834-2676-45E1-8F18-3987CE5C8322}"/>
      </w:docPartPr>
      <w:docPartBody>
        <w:p w:rsidR="00652E73" w:rsidRDefault="00A20F0A" w:rsidP="00A20F0A">
          <w:pPr>
            <w:pStyle w:val="9315F8CFFF864EF4895A0BC29DCA97B4"/>
          </w:pPr>
          <w:r>
            <w:rPr>
              <w:rStyle w:val="PlaceholderText"/>
            </w:rPr>
            <w:t>Click or tap here to enter text.</w:t>
          </w:r>
        </w:p>
      </w:docPartBody>
    </w:docPart>
    <w:docPart>
      <w:docPartPr>
        <w:name w:val="596A31D387954522A48FAAA3B8AE4E68"/>
        <w:category>
          <w:name w:val="General"/>
          <w:gallery w:val="placeholder"/>
        </w:category>
        <w:types>
          <w:type w:val="bbPlcHdr"/>
        </w:types>
        <w:behaviors>
          <w:behavior w:val="content"/>
        </w:behaviors>
        <w:guid w:val="{E2F24480-EBE7-41F7-BBF7-D6CA5EBE2E47}"/>
      </w:docPartPr>
      <w:docPartBody>
        <w:p w:rsidR="00652E73" w:rsidRDefault="00A20F0A" w:rsidP="00A20F0A">
          <w:pPr>
            <w:pStyle w:val="596A31D387954522A48FAAA3B8AE4E68"/>
          </w:pPr>
          <w:r>
            <w:rPr>
              <w:rStyle w:val="PlaceholderText"/>
            </w:rPr>
            <w:t>Click or tap here to enter text.</w:t>
          </w:r>
        </w:p>
      </w:docPartBody>
    </w:docPart>
    <w:docPart>
      <w:docPartPr>
        <w:name w:val="86FC7D758AAE4B37B78B6C82C94C6D6D"/>
        <w:category>
          <w:name w:val="General"/>
          <w:gallery w:val="placeholder"/>
        </w:category>
        <w:types>
          <w:type w:val="bbPlcHdr"/>
        </w:types>
        <w:behaviors>
          <w:behavior w:val="content"/>
        </w:behaviors>
        <w:guid w:val="{50C17691-257B-49C5-833F-6E18B2B05B3D}"/>
      </w:docPartPr>
      <w:docPartBody>
        <w:p w:rsidR="00652E73" w:rsidRDefault="00A20F0A" w:rsidP="00A20F0A">
          <w:pPr>
            <w:pStyle w:val="86FC7D758AAE4B37B78B6C82C94C6D6D"/>
          </w:pPr>
          <w:r w:rsidRPr="00AC4494">
            <w:rPr>
              <w:rStyle w:val="PlaceholderText"/>
            </w:rPr>
            <w:t>Click or tap here to enter text.</w:t>
          </w:r>
        </w:p>
      </w:docPartBody>
    </w:docPart>
    <w:docPart>
      <w:docPartPr>
        <w:name w:val="E078718D63164D2A84391ECF809FDCA1"/>
        <w:category>
          <w:name w:val="General"/>
          <w:gallery w:val="placeholder"/>
        </w:category>
        <w:types>
          <w:type w:val="bbPlcHdr"/>
        </w:types>
        <w:behaviors>
          <w:behavior w:val="content"/>
        </w:behaviors>
        <w:guid w:val="{76CACB27-41D2-4AE7-B11E-07E47C12DDE0}"/>
      </w:docPartPr>
      <w:docPartBody>
        <w:p w:rsidR="00652E73" w:rsidRDefault="00A20F0A" w:rsidP="00A20F0A">
          <w:pPr>
            <w:pStyle w:val="E078718D63164D2A84391ECF809FDCA1"/>
          </w:pPr>
          <w:r w:rsidRPr="00B817B6">
            <w:rPr>
              <w:rStyle w:val="PlaceholderText"/>
            </w:rPr>
            <w:t>Click or tap here to enter text.</w:t>
          </w:r>
        </w:p>
      </w:docPartBody>
    </w:docPart>
    <w:docPart>
      <w:docPartPr>
        <w:name w:val="B59E1D2DCD3940A995652A6B321C0C95"/>
        <w:category>
          <w:name w:val="General"/>
          <w:gallery w:val="placeholder"/>
        </w:category>
        <w:types>
          <w:type w:val="bbPlcHdr"/>
        </w:types>
        <w:behaviors>
          <w:behavior w:val="content"/>
        </w:behaviors>
        <w:guid w:val="{B732F282-7B36-41F7-9D6A-C1F5A39B82BD}"/>
      </w:docPartPr>
      <w:docPartBody>
        <w:p w:rsidR="00652E73" w:rsidRDefault="00A20F0A" w:rsidP="00A20F0A">
          <w:pPr>
            <w:pStyle w:val="B59E1D2DCD3940A995652A6B321C0C95"/>
          </w:pPr>
          <w:r w:rsidRPr="00F50C86">
            <w:rPr>
              <w:rStyle w:val="PlaceholderText"/>
            </w:rPr>
            <w:t>Click or tap here to enter text.</w:t>
          </w:r>
        </w:p>
      </w:docPartBody>
    </w:docPart>
    <w:docPart>
      <w:docPartPr>
        <w:name w:val="7CF44815C9EE4E1CB258F598537DBBE4"/>
        <w:category>
          <w:name w:val="General"/>
          <w:gallery w:val="placeholder"/>
        </w:category>
        <w:types>
          <w:type w:val="bbPlcHdr"/>
        </w:types>
        <w:behaviors>
          <w:behavior w:val="content"/>
        </w:behaviors>
        <w:guid w:val="{DDA1FA49-B2E0-459B-93A9-2F734888BEAC}"/>
      </w:docPartPr>
      <w:docPartBody>
        <w:p w:rsidR="00652E73" w:rsidRDefault="00A20F0A" w:rsidP="00A20F0A">
          <w:pPr>
            <w:pStyle w:val="7CF44815C9EE4E1CB258F598537DBBE4"/>
          </w:pPr>
          <w:r w:rsidRPr="008C7FC3">
            <w:rPr>
              <w:rStyle w:val="PlaceholderText"/>
            </w:rPr>
            <w:t>Click or tap here to enter text.</w:t>
          </w:r>
        </w:p>
      </w:docPartBody>
    </w:docPart>
    <w:docPart>
      <w:docPartPr>
        <w:name w:val="46ED275544B14D26BFDC88F6B6ABDF8C"/>
        <w:category>
          <w:name w:val="General"/>
          <w:gallery w:val="placeholder"/>
        </w:category>
        <w:types>
          <w:type w:val="bbPlcHdr"/>
        </w:types>
        <w:behaviors>
          <w:behavior w:val="content"/>
        </w:behaviors>
        <w:guid w:val="{107DE569-5753-4A09-8485-277240B6BC86}"/>
      </w:docPartPr>
      <w:docPartBody>
        <w:p w:rsidR="00652E73" w:rsidRDefault="00A20F0A" w:rsidP="00A20F0A">
          <w:pPr>
            <w:pStyle w:val="46ED275544B14D26BFDC88F6B6ABDF8C"/>
          </w:pPr>
          <w:r w:rsidRPr="008C7FC3">
            <w:rPr>
              <w:rStyle w:val="PlaceholderText"/>
            </w:rPr>
            <w:t>Click or tap here to enter text.</w:t>
          </w:r>
        </w:p>
      </w:docPartBody>
    </w:docPart>
    <w:docPart>
      <w:docPartPr>
        <w:name w:val="2FD5AAF8397E441596535BE9BFFD3348"/>
        <w:category>
          <w:name w:val="General"/>
          <w:gallery w:val="placeholder"/>
        </w:category>
        <w:types>
          <w:type w:val="bbPlcHdr"/>
        </w:types>
        <w:behaviors>
          <w:behavior w:val="content"/>
        </w:behaviors>
        <w:guid w:val="{52695C91-31BF-45A1-BD45-3438841B5863}"/>
      </w:docPartPr>
      <w:docPartBody>
        <w:p w:rsidR="00652E73" w:rsidRDefault="00A20F0A" w:rsidP="00A20F0A">
          <w:pPr>
            <w:pStyle w:val="2FD5AAF8397E441596535BE9BFFD3348"/>
          </w:pPr>
          <w:r w:rsidRPr="008C7FC3">
            <w:rPr>
              <w:rStyle w:val="PlaceholderText"/>
            </w:rPr>
            <w:t>Click or tap here to enter text.</w:t>
          </w:r>
        </w:p>
      </w:docPartBody>
    </w:docPart>
    <w:docPart>
      <w:docPartPr>
        <w:name w:val="08B02F284FAB43A788B5C11C3BB61D65"/>
        <w:category>
          <w:name w:val="General"/>
          <w:gallery w:val="placeholder"/>
        </w:category>
        <w:types>
          <w:type w:val="bbPlcHdr"/>
        </w:types>
        <w:behaviors>
          <w:behavior w:val="content"/>
        </w:behaviors>
        <w:guid w:val="{C95A043E-9653-4766-B3AD-7C33903430FE}"/>
      </w:docPartPr>
      <w:docPartBody>
        <w:p w:rsidR="00652E73" w:rsidRDefault="00A20F0A" w:rsidP="00A20F0A">
          <w:pPr>
            <w:pStyle w:val="08B02F284FAB43A788B5C11C3BB61D65"/>
          </w:pPr>
          <w:r>
            <w:rPr>
              <w:rStyle w:val="PlaceholderText"/>
            </w:rPr>
            <w:t>Click or tap here to enter text.</w:t>
          </w:r>
        </w:p>
      </w:docPartBody>
    </w:docPart>
    <w:docPart>
      <w:docPartPr>
        <w:name w:val="1B14B0CE7F9A46768F0A3CFDC3B16EA7"/>
        <w:category>
          <w:name w:val="General"/>
          <w:gallery w:val="placeholder"/>
        </w:category>
        <w:types>
          <w:type w:val="bbPlcHdr"/>
        </w:types>
        <w:behaviors>
          <w:behavior w:val="content"/>
        </w:behaviors>
        <w:guid w:val="{C0291693-A7CE-45C5-8F2C-9332DD5415CB}"/>
      </w:docPartPr>
      <w:docPartBody>
        <w:p w:rsidR="00652E73" w:rsidRDefault="00A20F0A" w:rsidP="00A20F0A">
          <w:pPr>
            <w:pStyle w:val="1B14B0CE7F9A46768F0A3CFDC3B16EA7"/>
          </w:pPr>
          <w:r w:rsidRPr="003E49AE">
            <w:rPr>
              <w:rStyle w:val="PlaceholderText"/>
            </w:rPr>
            <w:t>Click or tap here to enter text.</w:t>
          </w:r>
        </w:p>
      </w:docPartBody>
    </w:docPart>
    <w:docPart>
      <w:docPartPr>
        <w:name w:val="5AD5D67B08F34AC89B03C13459C1B85B"/>
        <w:category>
          <w:name w:val="General"/>
          <w:gallery w:val="placeholder"/>
        </w:category>
        <w:types>
          <w:type w:val="bbPlcHdr"/>
        </w:types>
        <w:behaviors>
          <w:behavior w:val="content"/>
        </w:behaviors>
        <w:guid w:val="{E5DCCDD5-EA87-4498-9927-911E75C99FAE}"/>
      </w:docPartPr>
      <w:docPartBody>
        <w:p w:rsidR="00652E73" w:rsidRDefault="00A20F0A" w:rsidP="00A20F0A">
          <w:pPr>
            <w:pStyle w:val="5AD5D67B08F34AC89B03C13459C1B85B"/>
          </w:pPr>
          <w:r w:rsidRPr="003659A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F0A"/>
    <w:rsid w:val="00077506"/>
    <w:rsid w:val="00652E73"/>
    <w:rsid w:val="008D379B"/>
    <w:rsid w:val="00A20F0A"/>
    <w:rsid w:val="00C41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20F0A"/>
    <w:rPr>
      <w:color w:val="666666"/>
    </w:rPr>
  </w:style>
  <w:style w:type="paragraph" w:customStyle="1" w:styleId="444D993068574F418CB039F91B3252D4">
    <w:name w:val="444D993068574F418CB039F91B3252D4"/>
    <w:rsid w:val="00A20F0A"/>
  </w:style>
  <w:style w:type="paragraph" w:customStyle="1" w:styleId="123833B610D940B29DDD98FB32E6763D">
    <w:name w:val="123833B610D940B29DDD98FB32E6763D"/>
    <w:rsid w:val="00A20F0A"/>
  </w:style>
  <w:style w:type="paragraph" w:customStyle="1" w:styleId="600DCFA2437449BF9079B29CF845ADFE">
    <w:name w:val="600DCFA2437449BF9079B29CF845ADFE"/>
    <w:rsid w:val="00A20F0A"/>
  </w:style>
  <w:style w:type="paragraph" w:customStyle="1" w:styleId="3174AF8D2C9E4205BDBB0FBB228B680C">
    <w:name w:val="3174AF8D2C9E4205BDBB0FBB228B680C"/>
    <w:rsid w:val="00A20F0A"/>
  </w:style>
  <w:style w:type="paragraph" w:customStyle="1" w:styleId="70F852CA498F4570ABEC4355D2FBF0B0">
    <w:name w:val="70F852CA498F4570ABEC4355D2FBF0B0"/>
    <w:rsid w:val="00A20F0A"/>
  </w:style>
  <w:style w:type="paragraph" w:customStyle="1" w:styleId="415E34C428C24D7DB0DAE1A0CEB7F5F4">
    <w:name w:val="415E34C428C24D7DB0DAE1A0CEB7F5F4"/>
    <w:rsid w:val="00A20F0A"/>
  </w:style>
  <w:style w:type="paragraph" w:customStyle="1" w:styleId="6ED938D7B94E486ABC04340B45767034">
    <w:name w:val="6ED938D7B94E486ABC04340B45767034"/>
    <w:rsid w:val="00A20F0A"/>
  </w:style>
  <w:style w:type="paragraph" w:customStyle="1" w:styleId="5AB48C1D0E4444F5B05D937790667B8E">
    <w:name w:val="5AB48C1D0E4444F5B05D937790667B8E"/>
    <w:rsid w:val="00A20F0A"/>
  </w:style>
  <w:style w:type="paragraph" w:customStyle="1" w:styleId="6060DA12AA2F42C7B364C17508CF1BBA">
    <w:name w:val="6060DA12AA2F42C7B364C17508CF1BBA"/>
    <w:rsid w:val="00A20F0A"/>
  </w:style>
  <w:style w:type="paragraph" w:customStyle="1" w:styleId="54CF03F42CD84790B547A639506201B1">
    <w:name w:val="54CF03F42CD84790B547A639506201B1"/>
    <w:rsid w:val="00A20F0A"/>
  </w:style>
  <w:style w:type="paragraph" w:customStyle="1" w:styleId="88525ECB610B48588D52C7A929740257">
    <w:name w:val="88525ECB610B48588D52C7A929740257"/>
    <w:rsid w:val="00A20F0A"/>
  </w:style>
  <w:style w:type="paragraph" w:customStyle="1" w:styleId="6AD535774C414426B2C55ACAB006EC45">
    <w:name w:val="6AD535774C414426B2C55ACAB006EC45"/>
    <w:rsid w:val="00A20F0A"/>
  </w:style>
  <w:style w:type="paragraph" w:customStyle="1" w:styleId="D29EC69D6E2841B584C28A1146B97F6D">
    <w:name w:val="D29EC69D6E2841B584C28A1146B97F6D"/>
    <w:rsid w:val="00A20F0A"/>
  </w:style>
  <w:style w:type="paragraph" w:customStyle="1" w:styleId="F85B9DEE010840C0A42D6E1B637A77B1">
    <w:name w:val="F85B9DEE010840C0A42D6E1B637A77B1"/>
    <w:rsid w:val="00A20F0A"/>
  </w:style>
  <w:style w:type="paragraph" w:customStyle="1" w:styleId="81561795693D468EBAF85E9B5B6EC8ED">
    <w:name w:val="81561795693D468EBAF85E9B5B6EC8ED"/>
    <w:rsid w:val="00A20F0A"/>
  </w:style>
  <w:style w:type="paragraph" w:customStyle="1" w:styleId="305054E4B9014CA6863EFCCD42545525">
    <w:name w:val="305054E4B9014CA6863EFCCD42545525"/>
    <w:rsid w:val="00A20F0A"/>
  </w:style>
  <w:style w:type="paragraph" w:customStyle="1" w:styleId="722233FF84DF4569A90875075038C073">
    <w:name w:val="722233FF84DF4569A90875075038C073"/>
    <w:rsid w:val="00A20F0A"/>
  </w:style>
  <w:style w:type="paragraph" w:customStyle="1" w:styleId="4CC8A0D142F4471699B51591E7D0DE62">
    <w:name w:val="4CC8A0D142F4471699B51591E7D0DE62"/>
    <w:rsid w:val="00A20F0A"/>
  </w:style>
  <w:style w:type="paragraph" w:customStyle="1" w:styleId="977163E220574B4C995F743D10A399A4">
    <w:name w:val="977163E220574B4C995F743D10A399A4"/>
    <w:rsid w:val="00A20F0A"/>
  </w:style>
  <w:style w:type="paragraph" w:customStyle="1" w:styleId="BF40405F41324D828099B654764A35E8">
    <w:name w:val="BF40405F41324D828099B654764A35E8"/>
    <w:rsid w:val="00A20F0A"/>
  </w:style>
  <w:style w:type="paragraph" w:customStyle="1" w:styleId="1748487FCD3B495C87BBB7A672E65028">
    <w:name w:val="1748487FCD3B495C87BBB7A672E65028"/>
    <w:rsid w:val="00A20F0A"/>
  </w:style>
  <w:style w:type="paragraph" w:customStyle="1" w:styleId="41AAC903FDDE466EA7AC37A8E34C3558">
    <w:name w:val="41AAC903FDDE466EA7AC37A8E34C3558"/>
    <w:rsid w:val="00A20F0A"/>
  </w:style>
  <w:style w:type="paragraph" w:customStyle="1" w:styleId="BAC34E67F82F416E8A74E38224C5FA45">
    <w:name w:val="BAC34E67F82F416E8A74E38224C5FA45"/>
    <w:rsid w:val="00A20F0A"/>
  </w:style>
  <w:style w:type="paragraph" w:customStyle="1" w:styleId="4EC028278930489E856F4DB75DF94358">
    <w:name w:val="4EC028278930489E856F4DB75DF94358"/>
    <w:rsid w:val="00A20F0A"/>
  </w:style>
  <w:style w:type="paragraph" w:customStyle="1" w:styleId="B86279CCD59A40CABF3683DDAD4ED88D">
    <w:name w:val="B86279CCD59A40CABF3683DDAD4ED88D"/>
    <w:rsid w:val="00A20F0A"/>
  </w:style>
  <w:style w:type="paragraph" w:customStyle="1" w:styleId="72E1DB3670DC4F65878967A814C47F3A">
    <w:name w:val="72E1DB3670DC4F65878967A814C47F3A"/>
    <w:rsid w:val="00A20F0A"/>
  </w:style>
  <w:style w:type="paragraph" w:customStyle="1" w:styleId="DB74AD992BB54645B69E0356DD125BD4">
    <w:name w:val="DB74AD992BB54645B69E0356DD125BD4"/>
    <w:rsid w:val="00A20F0A"/>
  </w:style>
  <w:style w:type="paragraph" w:customStyle="1" w:styleId="564E8B78608145CC9E8FA4AC988DB07D">
    <w:name w:val="564E8B78608145CC9E8FA4AC988DB07D"/>
    <w:rsid w:val="00A20F0A"/>
  </w:style>
  <w:style w:type="paragraph" w:customStyle="1" w:styleId="61E9B35E4F0247E78E68FEC66A5F0ED1">
    <w:name w:val="61E9B35E4F0247E78E68FEC66A5F0ED1"/>
    <w:rsid w:val="00A20F0A"/>
  </w:style>
  <w:style w:type="paragraph" w:customStyle="1" w:styleId="D57847D860CD4AD4AC214098A9F8F251">
    <w:name w:val="D57847D860CD4AD4AC214098A9F8F251"/>
    <w:rsid w:val="00A20F0A"/>
  </w:style>
  <w:style w:type="paragraph" w:customStyle="1" w:styleId="E6ACD602BDA547D09E2EDBC6FFF7DEC0">
    <w:name w:val="E6ACD602BDA547D09E2EDBC6FFF7DEC0"/>
    <w:rsid w:val="00A20F0A"/>
  </w:style>
  <w:style w:type="paragraph" w:customStyle="1" w:styleId="71DC9F3B43A040DCAC18F07D68AD007B">
    <w:name w:val="71DC9F3B43A040DCAC18F07D68AD007B"/>
    <w:rsid w:val="00A20F0A"/>
  </w:style>
  <w:style w:type="paragraph" w:customStyle="1" w:styleId="C9E43D16C4B840089997E08D91CAEA46">
    <w:name w:val="C9E43D16C4B840089997E08D91CAEA46"/>
    <w:rsid w:val="00A20F0A"/>
  </w:style>
  <w:style w:type="paragraph" w:customStyle="1" w:styleId="0EF52017AF0B4D21842A31CABCAE471B">
    <w:name w:val="0EF52017AF0B4D21842A31CABCAE471B"/>
    <w:rsid w:val="00A20F0A"/>
  </w:style>
  <w:style w:type="paragraph" w:customStyle="1" w:styleId="F967EBB8666F43BDB76CB993F3497184">
    <w:name w:val="F967EBB8666F43BDB76CB993F3497184"/>
    <w:rsid w:val="00A20F0A"/>
  </w:style>
  <w:style w:type="paragraph" w:customStyle="1" w:styleId="C7840E883D8B4292AB84FCE4321E5346">
    <w:name w:val="C7840E883D8B4292AB84FCE4321E5346"/>
    <w:rsid w:val="00A20F0A"/>
  </w:style>
  <w:style w:type="paragraph" w:customStyle="1" w:styleId="77BA1B61F7644BD3B1AB90520EFD32ED">
    <w:name w:val="77BA1B61F7644BD3B1AB90520EFD32ED"/>
    <w:rsid w:val="00A20F0A"/>
  </w:style>
  <w:style w:type="paragraph" w:customStyle="1" w:styleId="333E43EE14614DEC974C86273DA841B2">
    <w:name w:val="333E43EE14614DEC974C86273DA841B2"/>
    <w:rsid w:val="00A20F0A"/>
  </w:style>
  <w:style w:type="paragraph" w:customStyle="1" w:styleId="A336AFE04A5945AEB79DC54A32035C76">
    <w:name w:val="A336AFE04A5945AEB79DC54A32035C76"/>
    <w:rsid w:val="00A20F0A"/>
  </w:style>
  <w:style w:type="paragraph" w:customStyle="1" w:styleId="4FE6A3A6511C4F30B295ECBCAFCE1677">
    <w:name w:val="4FE6A3A6511C4F30B295ECBCAFCE1677"/>
    <w:rsid w:val="00A20F0A"/>
  </w:style>
  <w:style w:type="paragraph" w:customStyle="1" w:styleId="22717DB63BE7473DBC7531F0AE7E7E41">
    <w:name w:val="22717DB63BE7473DBC7531F0AE7E7E41"/>
    <w:rsid w:val="00A20F0A"/>
  </w:style>
  <w:style w:type="paragraph" w:customStyle="1" w:styleId="E056A2DEDA1D4FAE9EE199271C3CC9B1">
    <w:name w:val="E056A2DEDA1D4FAE9EE199271C3CC9B1"/>
    <w:rsid w:val="00A20F0A"/>
  </w:style>
  <w:style w:type="paragraph" w:customStyle="1" w:styleId="72BBC8A37CB74BD6A30F7CF8279FE0CB">
    <w:name w:val="72BBC8A37CB74BD6A30F7CF8279FE0CB"/>
    <w:rsid w:val="00A20F0A"/>
  </w:style>
  <w:style w:type="paragraph" w:customStyle="1" w:styleId="1582353C5E3643379D331278FA81DFD8">
    <w:name w:val="1582353C5E3643379D331278FA81DFD8"/>
    <w:rsid w:val="00A20F0A"/>
  </w:style>
  <w:style w:type="paragraph" w:customStyle="1" w:styleId="0A34880A911B4B57B936A539FBA48F0B">
    <w:name w:val="0A34880A911B4B57B936A539FBA48F0B"/>
    <w:rsid w:val="00A20F0A"/>
  </w:style>
  <w:style w:type="paragraph" w:customStyle="1" w:styleId="BBF29F01BBE94F778FF75F9D167B0F17">
    <w:name w:val="BBF29F01BBE94F778FF75F9D167B0F17"/>
    <w:rsid w:val="00A20F0A"/>
  </w:style>
  <w:style w:type="paragraph" w:customStyle="1" w:styleId="7E7EAC7C049E4BE7A18BDA75FCF9585A">
    <w:name w:val="7E7EAC7C049E4BE7A18BDA75FCF9585A"/>
    <w:rsid w:val="00A20F0A"/>
  </w:style>
  <w:style w:type="paragraph" w:customStyle="1" w:styleId="73B7607847AA49BABCE8FEFEEC908E01">
    <w:name w:val="73B7607847AA49BABCE8FEFEEC908E01"/>
    <w:rsid w:val="00A20F0A"/>
  </w:style>
  <w:style w:type="paragraph" w:customStyle="1" w:styleId="BAB2841F77CC4190A4A452E3964DDC86">
    <w:name w:val="BAB2841F77CC4190A4A452E3964DDC86"/>
    <w:rsid w:val="00A20F0A"/>
  </w:style>
  <w:style w:type="paragraph" w:customStyle="1" w:styleId="47F9D2C3C9CD4E6ABFEBA83508EA51E3">
    <w:name w:val="47F9D2C3C9CD4E6ABFEBA83508EA51E3"/>
    <w:rsid w:val="00A20F0A"/>
  </w:style>
  <w:style w:type="paragraph" w:customStyle="1" w:styleId="BD27B95D05F54D13A637A8D4312982F0">
    <w:name w:val="BD27B95D05F54D13A637A8D4312982F0"/>
    <w:rsid w:val="00A20F0A"/>
  </w:style>
  <w:style w:type="paragraph" w:customStyle="1" w:styleId="E79B3AB3FB1648F580457386EAECEAEE">
    <w:name w:val="E79B3AB3FB1648F580457386EAECEAEE"/>
    <w:rsid w:val="00A20F0A"/>
  </w:style>
  <w:style w:type="paragraph" w:customStyle="1" w:styleId="6396F431CD5345B78B5D804299EA0B4E">
    <w:name w:val="6396F431CD5345B78B5D804299EA0B4E"/>
    <w:rsid w:val="00A20F0A"/>
  </w:style>
  <w:style w:type="paragraph" w:customStyle="1" w:styleId="8AE97D7CF95D4D7CABA40DF980467AE7">
    <w:name w:val="8AE97D7CF95D4D7CABA40DF980467AE7"/>
    <w:rsid w:val="00A20F0A"/>
  </w:style>
  <w:style w:type="paragraph" w:customStyle="1" w:styleId="67A9F424CBB84333981FD327BCE63ACA">
    <w:name w:val="67A9F424CBB84333981FD327BCE63ACA"/>
    <w:rsid w:val="00A20F0A"/>
  </w:style>
  <w:style w:type="paragraph" w:customStyle="1" w:styleId="36D47CC79E1F49F58EA553B5FE67F9C6">
    <w:name w:val="36D47CC79E1F49F58EA553B5FE67F9C6"/>
    <w:rsid w:val="00A20F0A"/>
  </w:style>
  <w:style w:type="paragraph" w:customStyle="1" w:styleId="B6C0D463AD104E0BAB50BE9A9DA71564">
    <w:name w:val="B6C0D463AD104E0BAB50BE9A9DA71564"/>
    <w:rsid w:val="00A20F0A"/>
  </w:style>
  <w:style w:type="paragraph" w:customStyle="1" w:styleId="BD74E4EE5FE64E1EBA91951056D1158F">
    <w:name w:val="BD74E4EE5FE64E1EBA91951056D1158F"/>
    <w:rsid w:val="00A20F0A"/>
  </w:style>
  <w:style w:type="paragraph" w:customStyle="1" w:styleId="D6E2D6A76C654BE998420AD15999A072">
    <w:name w:val="D6E2D6A76C654BE998420AD15999A072"/>
    <w:rsid w:val="00A20F0A"/>
  </w:style>
  <w:style w:type="paragraph" w:customStyle="1" w:styleId="6AA58E1B1C3D459CB8B1DF62AC214CDF">
    <w:name w:val="6AA58E1B1C3D459CB8B1DF62AC214CDF"/>
    <w:rsid w:val="00A20F0A"/>
  </w:style>
  <w:style w:type="paragraph" w:customStyle="1" w:styleId="BEEC975C0AE842D095A1E21584802DC5">
    <w:name w:val="BEEC975C0AE842D095A1E21584802DC5"/>
    <w:rsid w:val="00A20F0A"/>
  </w:style>
  <w:style w:type="paragraph" w:customStyle="1" w:styleId="EACB9EC650CF4D918D47BB4B6AC164D0">
    <w:name w:val="EACB9EC650CF4D918D47BB4B6AC164D0"/>
    <w:rsid w:val="00A20F0A"/>
  </w:style>
  <w:style w:type="paragraph" w:customStyle="1" w:styleId="11E40D8827634EB38FDB3DA287FFC2BB">
    <w:name w:val="11E40D8827634EB38FDB3DA287FFC2BB"/>
    <w:rsid w:val="00A20F0A"/>
  </w:style>
  <w:style w:type="paragraph" w:customStyle="1" w:styleId="0964BAA91E4C4C4F8AAA07B3AA59EAE4">
    <w:name w:val="0964BAA91E4C4C4F8AAA07B3AA59EAE4"/>
    <w:rsid w:val="00A20F0A"/>
  </w:style>
  <w:style w:type="paragraph" w:customStyle="1" w:styleId="2FC8DEDC343A4003A7D717496E90A7A9">
    <w:name w:val="2FC8DEDC343A4003A7D717496E90A7A9"/>
    <w:rsid w:val="00A20F0A"/>
  </w:style>
  <w:style w:type="paragraph" w:customStyle="1" w:styleId="734F86834091457E9E800523D6C3514A">
    <w:name w:val="734F86834091457E9E800523D6C3514A"/>
    <w:rsid w:val="00A20F0A"/>
  </w:style>
  <w:style w:type="paragraph" w:customStyle="1" w:styleId="38F77402399447659EDA9318A80EA1E3">
    <w:name w:val="38F77402399447659EDA9318A80EA1E3"/>
    <w:rsid w:val="00A20F0A"/>
  </w:style>
  <w:style w:type="paragraph" w:customStyle="1" w:styleId="69A3023C18A44E1E91E52A6702942E6D">
    <w:name w:val="69A3023C18A44E1E91E52A6702942E6D"/>
    <w:rsid w:val="00A20F0A"/>
  </w:style>
  <w:style w:type="paragraph" w:customStyle="1" w:styleId="E09F2B8F948E430FBA4B350554EEEB9F">
    <w:name w:val="E09F2B8F948E430FBA4B350554EEEB9F"/>
    <w:rsid w:val="00A20F0A"/>
  </w:style>
  <w:style w:type="paragraph" w:customStyle="1" w:styleId="353A24EDD4E0463B89DC06A326DCDCCE">
    <w:name w:val="353A24EDD4E0463B89DC06A326DCDCCE"/>
    <w:rsid w:val="00A20F0A"/>
  </w:style>
  <w:style w:type="paragraph" w:customStyle="1" w:styleId="3BAB1D3452C84F739D3CF1844FBAED0D">
    <w:name w:val="3BAB1D3452C84F739D3CF1844FBAED0D"/>
    <w:rsid w:val="00A20F0A"/>
  </w:style>
  <w:style w:type="paragraph" w:customStyle="1" w:styleId="EEC3A975F50C4DA891D52DAFFF342BFE">
    <w:name w:val="EEC3A975F50C4DA891D52DAFFF342BFE"/>
    <w:rsid w:val="00A20F0A"/>
  </w:style>
  <w:style w:type="paragraph" w:customStyle="1" w:styleId="9C8829310A064AF28788EBA3930EB696">
    <w:name w:val="9C8829310A064AF28788EBA3930EB696"/>
    <w:rsid w:val="00A20F0A"/>
  </w:style>
  <w:style w:type="paragraph" w:customStyle="1" w:styleId="74CA121AD9C3402ABDBE8632B75CB115">
    <w:name w:val="74CA121AD9C3402ABDBE8632B75CB115"/>
    <w:rsid w:val="00A20F0A"/>
  </w:style>
  <w:style w:type="paragraph" w:customStyle="1" w:styleId="7A43A71FE45F4E7391BF57D4300A57C1">
    <w:name w:val="7A43A71FE45F4E7391BF57D4300A57C1"/>
    <w:rsid w:val="00A20F0A"/>
  </w:style>
  <w:style w:type="paragraph" w:customStyle="1" w:styleId="CF53DAC87A4A49719C3DF893810542FD">
    <w:name w:val="CF53DAC87A4A49719C3DF893810542FD"/>
    <w:rsid w:val="00A20F0A"/>
  </w:style>
  <w:style w:type="paragraph" w:customStyle="1" w:styleId="F4BBD4BA3AEC4F1A88837F1972859DA7">
    <w:name w:val="F4BBD4BA3AEC4F1A88837F1972859DA7"/>
    <w:rsid w:val="00A20F0A"/>
  </w:style>
  <w:style w:type="paragraph" w:customStyle="1" w:styleId="4D351994D6DF4976A43C3D934E8F5BDD">
    <w:name w:val="4D351994D6DF4976A43C3D934E8F5BDD"/>
    <w:rsid w:val="00A20F0A"/>
  </w:style>
  <w:style w:type="paragraph" w:customStyle="1" w:styleId="222982BF7E4B43F8B0E97CB7F9849894">
    <w:name w:val="222982BF7E4B43F8B0E97CB7F9849894"/>
    <w:rsid w:val="00A20F0A"/>
  </w:style>
  <w:style w:type="paragraph" w:customStyle="1" w:styleId="86A8489335BC469695E5F68D29964DCB">
    <w:name w:val="86A8489335BC469695E5F68D29964DCB"/>
    <w:rsid w:val="00A20F0A"/>
  </w:style>
  <w:style w:type="paragraph" w:customStyle="1" w:styleId="C2A86BC11BD94D23BBCA3BB23E260134">
    <w:name w:val="C2A86BC11BD94D23BBCA3BB23E260134"/>
    <w:rsid w:val="00A20F0A"/>
  </w:style>
  <w:style w:type="paragraph" w:customStyle="1" w:styleId="7134ECF1081A4F419EFA76D3441A138E">
    <w:name w:val="7134ECF1081A4F419EFA76D3441A138E"/>
    <w:rsid w:val="00A20F0A"/>
  </w:style>
  <w:style w:type="paragraph" w:customStyle="1" w:styleId="ABB5E08369E641FFB6A14D7F5810441F">
    <w:name w:val="ABB5E08369E641FFB6A14D7F5810441F"/>
    <w:rsid w:val="00A20F0A"/>
  </w:style>
  <w:style w:type="paragraph" w:customStyle="1" w:styleId="6A2862198BF14F31BFCE1CAB55A0BBD1">
    <w:name w:val="6A2862198BF14F31BFCE1CAB55A0BBD1"/>
    <w:rsid w:val="00A20F0A"/>
  </w:style>
  <w:style w:type="paragraph" w:customStyle="1" w:styleId="4BC34DEC0AD64D9F98AE7208E8AFFCF6">
    <w:name w:val="4BC34DEC0AD64D9F98AE7208E8AFFCF6"/>
    <w:rsid w:val="00A20F0A"/>
  </w:style>
  <w:style w:type="paragraph" w:customStyle="1" w:styleId="D4540EC29EEF40AA8CDA1B891F70DA52">
    <w:name w:val="D4540EC29EEF40AA8CDA1B891F70DA52"/>
    <w:rsid w:val="00A20F0A"/>
  </w:style>
  <w:style w:type="paragraph" w:customStyle="1" w:styleId="5D51104BC1EA49128B9D19F21A1F6FF5">
    <w:name w:val="5D51104BC1EA49128B9D19F21A1F6FF5"/>
    <w:rsid w:val="00A20F0A"/>
  </w:style>
  <w:style w:type="paragraph" w:customStyle="1" w:styleId="CEAE3D35140241A39680F6EF79DBD152">
    <w:name w:val="CEAE3D35140241A39680F6EF79DBD152"/>
    <w:rsid w:val="00A20F0A"/>
  </w:style>
  <w:style w:type="paragraph" w:customStyle="1" w:styleId="45B43145487847F896B5BB07D777AEFD">
    <w:name w:val="45B43145487847F896B5BB07D777AEFD"/>
    <w:rsid w:val="00A20F0A"/>
  </w:style>
  <w:style w:type="paragraph" w:customStyle="1" w:styleId="7F196E57CE5049B18C3BE09A1978FD82">
    <w:name w:val="7F196E57CE5049B18C3BE09A1978FD82"/>
    <w:rsid w:val="00A20F0A"/>
  </w:style>
  <w:style w:type="paragraph" w:customStyle="1" w:styleId="92E18D59728547E3924ADB2A4CB1B9AC">
    <w:name w:val="92E18D59728547E3924ADB2A4CB1B9AC"/>
    <w:rsid w:val="00A20F0A"/>
  </w:style>
  <w:style w:type="paragraph" w:customStyle="1" w:styleId="A1B9069BBBD544FDA1EF06E1720E5BC5">
    <w:name w:val="A1B9069BBBD544FDA1EF06E1720E5BC5"/>
    <w:rsid w:val="00A20F0A"/>
  </w:style>
  <w:style w:type="paragraph" w:customStyle="1" w:styleId="3E8D407D012344038A2F247EC03CFC03">
    <w:name w:val="3E8D407D012344038A2F247EC03CFC03"/>
    <w:rsid w:val="00A20F0A"/>
  </w:style>
  <w:style w:type="paragraph" w:customStyle="1" w:styleId="A04408BC18F64EDE8A3DCCBA4A581C7E">
    <w:name w:val="A04408BC18F64EDE8A3DCCBA4A581C7E"/>
    <w:rsid w:val="00A20F0A"/>
  </w:style>
  <w:style w:type="paragraph" w:customStyle="1" w:styleId="AD0BF1AF95C944E4B510884B4030137C">
    <w:name w:val="AD0BF1AF95C944E4B510884B4030137C"/>
    <w:rsid w:val="00A20F0A"/>
  </w:style>
  <w:style w:type="paragraph" w:customStyle="1" w:styleId="9315F8CFFF864EF4895A0BC29DCA97B4">
    <w:name w:val="9315F8CFFF864EF4895A0BC29DCA97B4"/>
    <w:rsid w:val="00A20F0A"/>
  </w:style>
  <w:style w:type="paragraph" w:customStyle="1" w:styleId="596A31D387954522A48FAAA3B8AE4E68">
    <w:name w:val="596A31D387954522A48FAAA3B8AE4E68"/>
    <w:rsid w:val="00A20F0A"/>
  </w:style>
  <w:style w:type="paragraph" w:customStyle="1" w:styleId="86FC7D758AAE4B37B78B6C82C94C6D6D">
    <w:name w:val="86FC7D758AAE4B37B78B6C82C94C6D6D"/>
    <w:rsid w:val="00A20F0A"/>
  </w:style>
  <w:style w:type="paragraph" w:customStyle="1" w:styleId="E078718D63164D2A84391ECF809FDCA1">
    <w:name w:val="E078718D63164D2A84391ECF809FDCA1"/>
    <w:rsid w:val="00A20F0A"/>
  </w:style>
  <w:style w:type="paragraph" w:customStyle="1" w:styleId="B59E1D2DCD3940A995652A6B321C0C95">
    <w:name w:val="B59E1D2DCD3940A995652A6B321C0C95"/>
    <w:rsid w:val="00A20F0A"/>
  </w:style>
  <w:style w:type="paragraph" w:customStyle="1" w:styleId="7CF44815C9EE4E1CB258F598537DBBE4">
    <w:name w:val="7CF44815C9EE4E1CB258F598537DBBE4"/>
    <w:rsid w:val="00A20F0A"/>
  </w:style>
  <w:style w:type="paragraph" w:customStyle="1" w:styleId="46ED275544B14D26BFDC88F6B6ABDF8C">
    <w:name w:val="46ED275544B14D26BFDC88F6B6ABDF8C"/>
    <w:rsid w:val="00A20F0A"/>
  </w:style>
  <w:style w:type="paragraph" w:customStyle="1" w:styleId="2FD5AAF8397E441596535BE9BFFD3348">
    <w:name w:val="2FD5AAF8397E441596535BE9BFFD3348"/>
    <w:rsid w:val="00A20F0A"/>
  </w:style>
  <w:style w:type="paragraph" w:customStyle="1" w:styleId="08B02F284FAB43A788B5C11C3BB61D65">
    <w:name w:val="08B02F284FAB43A788B5C11C3BB61D65"/>
    <w:rsid w:val="00A20F0A"/>
  </w:style>
  <w:style w:type="paragraph" w:customStyle="1" w:styleId="1B14B0CE7F9A46768F0A3CFDC3B16EA7">
    <w:name w:val="1B14B0CE7F9A46768F0A3CFDC3B16EA7"/>
    <w:rsid w:val="00A20F0A"/>
  </w:style>
  <w:style w:type="paragraph" w:customStyle="1" w:styleId="5AD5D67B08F34AC89B03C13459C1B85B">
    <w:name w:val="5AD5D67B08F34AC89B03C13459C1B85B"/>
    <w:rsid w:val="00A20F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39d2f8-b4df-403a-9060-77581e31f3f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9F71226010E64D86BEF30A3F00C9DE" ma:contentTypeVersion="17" ma:contentTypeDescription="Create a new document." ma:contentTypeScope="" ma:versionID="c264aee1fcb8943fd1b8b897fc8aeffb">
  <xsd:schema xmlns:xsd="http://www.w3.org/2001/XMLSchema" xmlns:xs="http://www.w3.org/2001/XMLSchema" xmlns:p="http://schemas.microsoft.com/office/2006/metadata/properties" xmlns:ns3="af39d2f8-b4df-403a-9060-77581e31f3f8" xmlns:ns4="65423663-b6b7-4b71-84fa-348198b177d9" targetNamespace="http://schemas.microsoft.com/office/2006/metadata/properties" ma:root="true" ma:fieldsID="bae50d7c7ab2195d953f970ab74fe7a9" ns3:_="" ns4:_="">
    <xsd:import namespace="af39d2f8-b4df-403a-9060-77581e31f3f8"/>
    <xsd:import namespace="65423663-b6b7-4b71-84fa-348198b177d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_activity"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9d2f8-b4df-403a-9060-77581e31f3f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description=""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5423663-b6b7-4b71-84fa-348198b177d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09C7EA-CCCB-4D58-9325-33C48B99C811}">
  <ds:schemaRefs>
    <ds:schemaRef ds:uri="http://schemas.microsoft.com/office/2006/metadata/properties"/>
    <ds:schemaRef ds:uri="http://schemas.microsoft.com/office/infopath/2007/PartnerControls"/>
    <ds:schemaRef ds:uri="af39d2f8-b4df-403a-9060-77581e31f3f8"/>
  </ds:schemaRefs>
</ds:datastoreItem>
</file>

<file path=customXml/itemProps2.xml><?xml version="1.0" encoding="utf-8"?>
<ds:datastoreItem xmlns:ds="http://schemas.openxmlformats.org/officeDocument/2006/customXml" ds:itemID="{6E0EDDF9-ED96-4A12-95B4-8008DA5F460E}">
  <ds:schemaRefs>
    <ds:schemaRef ds:uri="http://schemas.microsoft.com/sharepoint/v3/contenttype/forms"/>
  </ds:schemaRefs>
</ds:datastoreItem>
</file>

<file path=customXml/itemProps3.xml><?xml version="1.0" encoding="utf-8"?>
<ds:datastoreItem xmlns:ds="http://schemas.openxmlformats.org/officeDocument/2006/customXml" ds:itemID="{17FB44CB-51F6-4A3D-BBAB-CF544F9CA6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39d2f8-b4df-403a-9060-77581e31f3f8"/>
    <ds:schemaRef ds:uri="65423663-b6b7-4b71-84fa-348198b177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95</Pages>
  <Words>25176</Words>
  <Characters>154837</Characters>
  <Application>Microsoft Office Word</Application>
  <DocSecurity>0</DocSecurity>
  <Lines>3686</Lines>
  <Paragraphs>1565</Paragraphs>
  <ScaleCrop>false</ScaleCrop>
  <Company/>
  <LinksUpToDate>false</LinksUpToDate>
  <CharactersWithSpaces>178448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Nadeesha Muthuthantrige Alias Polwaththage</dc:creator>
  <cp:keywords/>
  <dc:description/>
  <cp:lastModifiedBy>Nadeesha Muthuthantrige Alias Polwaththage</cp:lastModifiedBy>
  <cp:revision>2</cp:revision>
  <dcterms:created xsi:type="dcterms:W3CDTF">2026-02-12T14:03:00Z</dcterms:created>
  <dcterms:modified xsi:type="dcterms:W3CDTF">2026-02-12T14:03:00Z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0x010100649F71226010E64D86BEF30A3F00C9DE</vt:lpwstr>
  </property>
</Properties>
</file>