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9787D" w14:textId="26960CC0" w:rsidR="00200786" w:rsidRDefault="00200786" w:rsidP="00200786">
      <w:pPr>
        <w:pStyle w:val="NoSpacing"/>
        <w:spacing w:before="1540" w:after="240"/>
        <w:jc w:val="center"/>
        <w:rPr>
          <w:color w:val="156082" w:themeColor="accent1"/>
        </w:rPr>
      </w:pPr>
      <w:r>
        <w:rPr>
          <w:noProof/>
          <w:color w:val="156082" w:themeColor="accent1"/>
          <w:lang w:val="en-GB" w:eastAsia="en-GB"/>
        </w:rPr>
        <w:drawing>
          <wp:inline distT="0" distB="0" distL="0" distR="0" wp14:anchorId="42E587E7" wp14:editId="729D89B2">
            <wp:extent cx="1417320" cy="754380"/>
            <wp:effectExtent l="0" t="0" r="0" b="0"/>
            <wp:docPr id="143" name="Picture 143"/>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36"/>
          <w:szCs w:val="36"/>
        </w:rPr>
        <w:alias w:val="Title"/>
        <w:id w:val="1735040861"/>
        <w:placeholder>
          <w:docPart w:val="96EA15262812458AB73861CB350F7F22"/>
        </w:placeholder>
        <w:dataBinding w:prefixMappings="xmlns:ns0='http://purl.org/dc/elements/1.1/' xmlns:ns1='http://schemas.openxmlformats.org/package/2006/metadata/core-properties' " w:xpath="/ns1:coreProperties[1]/ns0:title[1]" w:storeItemID="{6C3C8BC8-F283-45AE-878A-BAB7291924A1}"/>
        <w:text/>
      </w:sdtPr>
      <w:sdtContent>
        <w:p w14:paraId="57A005B0" w14:textId="6C45C894" w:rsidR="00200786" w:rsidRDefault="00200786" w:rsidP="00200786">
          <w:pPr>
            <w:pStyle w:val="NoSpacing"/>
            <w:pBdr>
              <w:top w:val="single" w:sz="6" w:space="6" w:color="156082" w:themeColor="accent1"/>
              <w:bottom w:val="single" w:sz="6" w:space="6" w:color="156082" w:themeColor="accent1"/>
            </w:pBdr>
            <w:spacing w:after="240"/>
            <w:jc w:val="both"/>
            <w:rPr>
              <w:rFonts w:asciiTheme="majorHAnsi" w:eastAsiaTheme="majorEastAsia" w:hAnsiTheme="majorHAnsi" w:cstheme="majorBidi"/>
              <w:caps/>
              <w:color w:val="156082" w:themeColor="accent1"/>
              <w:sz w:val="80"/>
              <w:szCs w:val="80"/>
            </w:rPr>
          </w:pPr>
          <w:r w:rsidRPr="00200786">
            <w:rPr>
              <w:rFonts w:ascii="Times New Roman" w:eastAsiaTheme="majorEastAsia" w:hAnsi="Times New Roman" w:cs="Times New Roman"/>
              <w:caps/>
              <w:color w:val="156082" w:themeColor="accent1"/>
              <w:sz w:val="36"/>
              <w:szCs w:val="36"/>
            </w:rPr>
            <w:t>A Project Research on Integrated Financial Analysis and Investment Decision-Making: Ratio Analysis of HSBC UK Bank plc and NPV-Based Capital Allocation for Westward PLC</w:t>
          </w:r>
        </w:p>
      </w:sdtContent>
    </w:sdt>
    <w:sdt>
      <w:sdtPr>
        <w:rPr>
          <w:rFonts w:ascii="Times New Roman" w:hAnsi="Times New Roman" w:cs="Times New Roman"/>
          <w:color w:val="156082" w:themeColor="accent1"/>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Content>
        <w:p w14:paraId="31070636" w14:textId="5494FC3D" w:rsidR="00200786" w:rsidRPr="00200786" w:rsidRDefault="00200786" w:rsidP="00200786">
          <w:pPr>
            <w:pStyle w:val="NoSpacing"/>
            <w:jc w:val="center"/>
            <w:rPr>
              <w:rFonts w:asciiTheme="minorHAnsi" w:hAnsiTheme="minorHAnsi"/>
              <w:b/>
              <w:bCs/>
              <w:color w:val="156082" w:themeColor="accent1"/>
              <w:sz w:val="28"/>
              <w:szCs w:val="28"/>
            </w:rPr>
          </w:pPr>
          <w:r w:rsidRPr="00200786">
            <w:rPr>
              <w:rFonts w:ascii="Times New Roman" w:hAnsi="Times New Roman" w:cs="Times New Roman"/>
              <w:color w:val="156082" w:themeColor="accent1"/>
              <w:sz w:val="28"/>
              <w:szCs w:val="28"/>
            </w:rPr>
            <w:t>Finance for Business Managers (BMMB7005)</w:t>
          </w:r>
        </w:p>
      </w:sdtContent>
    </w:sdt>
    <w:p w14:paraId="758604DB" w14:textId="6CC2C366" w:rsidR="00200786" w:rsidRDefault="00200786" w:rsidP="00200786">
      <w:pPr>
        <w:pStyle w:val="NoSpacing"/>
        <w:jc w:val="center"/>
        <w:rPr>
          <w:color w:val="156082" w:themeColor="accent1"/>
          <w:sz w:val="22"/>
          <w:szCs w:val="22"/>
        </w:rPr>
      </w:pPr>
    </w:p>
    <w:p w14:paraId="2995BBBC" w14:textId="78FD2439" w:rsidR="00940099" w:rsidRPr="00940099" w:rsidRDefault="00940099" w:rsidP="00940099">
      <w:pPr>
        <w:pStyle w:val="NoSpacing"/>
        <w:jc w:val="center"/>
        <w:rPr>
          <w:b/>
          <w:bCs/>
        </w:rPr>
      </w:pPr>
      <w:r w:rsidRPr="00940099">
        <w:rPr>
          <w:b/>
          <w:bCs/>
        </w:rPr>
        <w:t xml:space="preserve"> </w:t>
      </w:r>
      <w:r>
        <w:rPr>
          <w:noProof/>
          <w:color w:val="156082" w:themeColor="accent1"/>
          <w:lang w:val="en-GB" w:eastAsia="en-GB"/>
        </w:rPr>
        <w:drawing>
          <wp:inline distT="0" distB="0" distL="0" distR="0" wp14:anchorId="2263A8E0" wp14:editId="6452711D">
            <wp:extent cx="762000" cy="480060"/>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813EB15" w14:textId="7613ED6C" w:rsidR="003753CB" w:rsidRDefault="003753CB" w:rsidP="00200786"/>
    <w:p w14:paraId="794C34E8" w14:textId="77777777" w:rsidR="00940099" w:rsidRDefault="00940099" w:rsidP="00200786"/>
    <w:p w14:paraId="5EC4839E" w14:textId="77777777" w:rsidR="00940099" w:rsidRDefault="00940099" w:rsidP="00200786"/>
    <w:p w14:paraId="1D725B51" w14:textId="77777777" w:rsidR="00940099" w:rsidRDefault="00940099" w:rsidP="00200786"/>
    <w:p w14:paraId="1727BB9B" w14:textId="77777777" w:rsidR="00940099" w:rsidRDefault="00940099" w:rsidP="00200786"/>
    <w:p w14:paraId="562DCB1A" w14:textId="77777777" w:rsidR="00940099" w:rsidRDefault="00940099" w:rsidP="00200786"/>
    <w:p w14:paraId="5C882F1A" w14:textId="77777777" w:rsidR="00940099" w:rsidRDefault="00940099" w:rsidP="00200786"/>
    <w:p w14:paraId="793D0A9D" w14:textId="77777777" w:rsidR="008F195A" w:rsidRDefault="008F195A" w:rsidP="008F195A"/>
    <w:p w14:paraId="63118283" w14:textId="77777777"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p>
    <w:p w14:paraId="01379156" w14:textId="0BCBF3C1"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p>
    <w:p w14:paraId="69CD36DC" w14:textId="77777777"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p>
    <w:p w14:paraId="273C61B5" w14:textId="1690168B"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p>
    <w:p w14:paraId="28062982" w14:textId="30BD963C"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r>
        <w:rPr>
          <w:noProof/>
          <w:color w:val="156082" w:themeColor="accent1"/>
          <w:lang w:eastAsia="en-GB"/>
        </w:rPr>
        <mc:AlternateContent>
          <mc:Choice Requires="wps">
            <w:drawing>
              <wp:anchor distT="0" distB="0" distL="114300" distR="114300" simplePos="0" relativeHeight="251659264" behindDoc="0" locked="0" layoutInCell="1" allowOverlap="1" wp14:anchorId="13950A88" wp14:editId="70BCE3F0">
                <wp:simplePos x="0" y="0"/>
                <wp:positionH relativeFrom="margin">
                  <wp:align>right</wp:align>
                </wp:positionH>
                <wp:positionV relativeFrom="page">
                  <wp:posOffset>8564880</wp:posOffset>
                </wp:positionV>
                <wp:extent cx="5731510" cy="403860"/>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5731510"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1-11T00:00:00Z">
                                <w:dateFormat w:val="MMMM d, yyyy"/>
                                <w:lid w:val="en-US"/>
                                <w:storeMappedDataAs w:val="dateTime"/>
                                <w:calendar w:val="gregorian"/>
                              </w:date>
                            </w:sdtPr>
                            <w:sdtContent>
                              <w:p w14:paraId="5C75AC91" w14:textId="1B8561DF" w:rsidR="008F195A" w:rsidRPr="008F195A" w:rsidRDefault="002D3279" w:rsidP="008F195A">
                                <w:pPr>
                                  <w:pStyle w:val="NoSpacing"/>
                                  <w:spacing w:after="40"/>
                                  <w:jc w:val="center"/>
                                  <w:rPr>
                                    <w:rFonts w:ascii="Times New Roman" w:hAnsi="Times New Roman" w:cs="Times New Roman"/>
                                    <w:caps/>
                                    <w:color w:val="156082" w:themeColor="accent1"/>
                                    <w:sz w:val="28"/>
                                    <w:szCs w:val="28"/>
                                  </w:rPr>
                                </w:pPr>
                                <w:r>
                                  <w:rPr>
                                    <w:rFonts w:ascii="Times New Roman" w:hAnsi="Times New Roman" w:cs="Times New Roman"/>
                                    <w:caps/>
                                    <w:color w:val="156082" w:themeColor="accent1"/>
                                  </w:rPr>
                                  <w:t>January 11, 2026</w:t>
                                </w:r>
                              </w:p>
                            </w:sdtContent>
                          </w:sdt>
                          <w:p w14:paraId="296A0F2B" w14:textId="722BEC47" w:rsidR="008F195A" w:rsidRPr="008F195A" w:rsidRDefault="00000000" w:rsidP="008F195A">
                            <w:pPr>
                              <w:pStyle w:val="NoSpacing"/>
                              <w:jc w:val="center"/>
                              <w:rPr>
                                <w:rFonts w:ascii="Times New Roman" w:hAnsi="Times New Roman" w:cs="Times New Roman"/>
                                <w:color w:val="156082" w:themeColor="accent1"/>
                              </w:rPr>
                            </w:pPr>
                            <w:sdt>
                              <w:sdtPr>
                                <w:rPr>
                                  <w:rFonts w:ascii="Times New Roman" w:hAnsi="Times New Roman" w:cs="Times New Roma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D3279">
                                  <w:rPr>
                                    <w:rFonts w:ascii="Times New Roman" w:hAnsi="Times New Roman" w:cs="Times New Roman"/>
                                    <w:caps/>
                                    <w:color w:val="156082" w:themeColor="accent1"/>
                                  </w:rPr>
                                  <w:t>UNIVERSITY OF WALES TRINITY SAINT DAVID</w:t>
                                </w:r>
                              </w:sdtContent>
                            </w:sdt>
                          </w:p>
                          <w:p w14:paraId="64D4ABF3" w14:textId="77777777" w:rsidR="008F195A" w:rsidRDefault="00000000" w:rsidP="008F195A">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F195A">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3950A88" id="_x0000_t202" coordsize="21600,21600" o:spt="202" path="m,l,21600r21600,l21600,xe">
                <v:stroke joinstyle="miter"/>
                <v:path gradientshapeok="t" o:connecttype="rect"/>
              </v:shapetype>
              <v:shape id="Text Box 142" o:spid="_x0000_s1026" type="#_x0000_t202" style="position:absolute;left:0;text-align:left;margin-left:400.1pt;margin-top:674.4pt;width:451.3pt;height:31.8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" filled="f" stroked="f" strokeweight=".5pt">
                <v:textbox inset="0,0,0,0">
                  <w:txbxContent>
                    <w:sdt>
                      <w:sdtPr>
                        <w:rPr>
                          <w:rFonts w:ascii="Times New Roman" w:hAnsi="Times New Roman" w:cs="Times New Roman"/>
                          <w:caps/>
                          <w:color w:val="156082" w:themeColor="accent1"/>
                        </w:rPr>
                        <w:alias w:val="Date"/>
                        <w:tag w:val=""/>
                        <w:id w:val="197127006"/>
                        <w:dataBinding w:prefixMappings="xmlns:ns0='http://schemas.microsoft.com/office/2006/coverPageProps' " w:xpath="/ns0:CoverPageProperties[1]/ns0:PublishDate[1]" w:storeItemID="{55AF091B-3C7A-41E3-B477-F2FDAA23CFDA}"/>
                        <w:date w:fullDate="2026-01-11T00:00:00Z">
                          <w:dateFormat w:val="MMMM d, yyyy"/>
                          <w:lid w:val="en-US"/>
                          <w:storeMappedDataAs w:val="dateTime"/>
                          <w:calendar w:val="gregorian"/>
                        </w:date>
                      </w:sdtPr>
                      <w:sdtContent>
                        <w:p w14:paraId="5C75AC91" w14:textId="1B8561DF" w:rsidR="008F195A" w:rsidRPr="008F195A" w:rsidRDefault="002D3279" w:rsidP="008F195A">
                          <w:pPr>
                            <w:pStyle w:val="NoSpacing"/>
                            <w:spacing w:after="40"/>
                            <w:jc w:val="center"/>
                            <w:rPr>
                              <w:rFonts w:ascii="Times New Roman" w:hAnsi="Times New Roman" w:cs="Times New Roman"/>
                              <w:caps/>
                              <w:color w:val="156082" w:themeColor="accent1"/>
                              <w:sz w:val="28"/>
                              <w:szCs w:val="28"/>
                            </w:rPr>
                          </w:pPr>
                          <w:r>
                            <w:rPr>
                              <w:rFonts w:ascii="Times New Roman" w:hAnsi="Times New Roman" w:cs="Times New Roman"/>
                              <w:caps/>
                              <w:color w:val="156082" w:themeColor="accent1"/>
                            </w:rPr>
                            <w:t>January 11, 2026</w:t>
                          </w:r>
                        </w:p>
                      </w:sdtContent>
                    </w:sdt>
                    <w:p w14:paraId="296A0F2B" w14:textId="722BEC47" w:rsidR="008F195A" w:rsidRPr="008F195A" w:rsidRDefault="00000000" w:rsidP="008F195A">
                      <w:pPr>
                        <w:pStyle w:val="NoSpacing"/>
                        <w:jc w:val="center"/>
                        <w:rPr>
                          <w:rFonts w:ascii="Times New Roman" w:hAnsi="Times New Roman" w:cs="Times New Roman"/>
                          <w:color w:val="156082" w:themeColor="accent1"/>
                        </w:rPr>
                      </w:pPr>
                      <w:sdt>
                        <w:sdtPr>
                          <w:rPr>
                            <w:rFonts w:ascii="Times New Roman" w:hAnsi="Times New Roman" w:cs="Times New Roma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D3279">
                            <w:rPr>
                              <w:rFonts w:ascii="Times New Roman" w:hAnsi="Times New Roman" w:cs="Times New Roman"/>
                              <w:caps/>
                              <w:color w:val="156082" w:themeColor="accent1"/>
                            </w:rPr>
                            <w:t>UNIVERSITY OF WALES TRINITY SAINT DAVID</w:t>
                          </w:r>
                        </w:sdtContent>
                      </w:sdt>
                    </w:p>
                    <w:p w14:paraId="64D4ABF3" w14:textId="77777777" w:rsidR="008F195A" w:rsidRDefault="00000000" w:rsidP="008F195A">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F195A">
                            <w:rPr>
                              <w:color w:val="156082" w:themeColor="accent1"/>
                            </w:rPr>
                            <w:t xml:space="preserve">     </w:t>
                          </w:r>
                        </w:sdtContent>
                      </w:sdt>
                    </w:p>
                  </w:txbxContent>
                </v:textbox>
                <w10:wrap anchorx="margin" anchory="page"/>
              </v:shape>
            </w:pict>
          </mc:Fallback>
        </mc:AlternateContent>
      </w:r>
    </w:p>
    <w:p w14:paraId="4E62BF91" w14:textId="77777777" w:rsidR="008F195A"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p>
    <w:p w14:paraId="35CD2EA2" w14:textId="7D9DD1E5" w:rsidR="008F195A" w:rsidRPr="00940099"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r w:rsidRPr="00940099">
        <w:rPr>
          <w:rFonts w:ascii="Times New Roman" w:eastAsiaTheme="minorEastAsia" w:hAnsi="Times New Roman" w:cs="Times New Roman"/>
          <w:color w:val="156082" w:themeColor="accent1"/>
          <w:kern w:val="2"/>
          <w:sz w:val="24"/>
          <w:szCs w:val="24"/>
          <w:lang w:val="en-US"/>
          <w14:ligatures w14:val="standardContextual"/>
        </w:rPr>
        <w:t>Student Name: Aditya Mohod</w:t>
      </w:r>
    </w:p>
    <w:p w14:paraId="1B82D199" w14:textId="77777777" w:rsidR="008F195A" w:rsidRPr="00940099" w:rsidRDefault="008F195A" w:rsidP="008F195A">
      <w:pPr>
        <w:jc w:val="center"/>
        <w:rPr>
          <w:rFonts w:ascii="Times New Roman" w:eastAsiaTheme="minorEastAsia" w:hAnsi="Times New Roman" w:cs="Times New Roman"/>
          <w:color w:val="156082" w:themeColor="accent1"/>
          <w:kern w:val="2"/>
          <w:sz w:val="24"/>
          <w:szCs w:val="24"/>
          <w:lang w:val="en-US"/>
          <w14:ligatures w14:val="standardContextual"/>
        </w:rPr>
      </w:pPr>
      <w:r w:rsidRPr="00940099">
        <w:rPr>
          <w:rFonts w:ascii="Times New Roman" w:eastAsiaTheme="minorEastAsia" w:hAnsi="Times New Roman" w:cs="Times New Roman"/>
          <w:color w:val="156082" w:themeColor="accent1"/>
          <w:kern w:val="2"/>
          <w:sz w:val="24"/>
          <w:szCs w:val="24"/>
          <w:lang w:val="en-US"/>
          <w14:ligatures w14:val="standardContextual"/>
        </w:rPr>
        <w:t>Student ID: 2503557</w:t>
      </w:r>
    </w:p>
    <w:sdt>
      <w:sdtPr>
        <w:rPr>
          <w:rFonts w:ascii="Times New Roman" w:eastAsia="Times New Roman" w:hAnsi="Times New Roman" w:cs="Times New Roman"/>
          <w:b w:val="0"/>
          <w:bCs w:val="0"/>
          <w:color w:val="000000" w:themeColor="text1"/>
          <w:sz w:val="24"/>
          <w:szCs w:val="24"/>
          <w:lang w:val="en-GB" w:eastAsia="en-GB"/>
        </w:rPr>
        <w:id w:val="-1705164931"/>
        <w:docPartObj>
          <w:docPartGallery w:val="Table of Contents"/>
          <w:docPartUnique/>
        </w:docPartObj>
      </w:sdtPr>
      <w:sdtEndPr>
        <w:rPr>
          <w:rFonts w:asciiTheme="minorHAnsi" w:eastAsiaTheme="minorHAnsi" w:hAnsiTheme="minorHAnsi" w:cstheme="minorBidi"/>
          <w:noProof/>
          <w:sz w:val="22"/>
          <w:szCs w:val="22"/>
          <w:lang w:eastAsia="en-US"/>
        </w:rPr>
      </w:sdtEndPr>
      <w:sdtContent>
        <w:p w14:paraId="05340DB7" w14:textId="77777777" w:rsidR="002D3279" w:rsidRPr="00AB71DE" w:rsidRDefault="002D3279" w:rsidP="002D3279">
          <w:pPr>
            <w:pStyle w:val="TOCHeading"/>
            <w:jc w:val="center"/>
            <w:rPr>
              <w:rFonts w:ascii="Times New Roman" w:hAnsi="Times New Roman" w:cs="Times New Roman"/>
              <w:color w:val="000000" w:themeColor="text1"/>
            </w:rPr>
          </w:pPr>
          <w:r w:rsidRPr="00AB71DE">
            <w:rPr>
              <w:rFonts w:ascii="Times New Roman" w:hAnsi="Times New Roman" w:cs="Times New Roman"/>
              <w:color w:val="000000" w:themeColor="text1"/>
            </w:rPr>
            <w:t>Table of Contents</w:t>
          </w:r>
        </w:p>
        <w:p w14:paraId="40B28CBB" w14:textId="4F1BBF10" w:rsidR="00AB074E" w:rsidRDefault="002D3279">
          <w:pPr>
            <w:pStyle w:val="TOC1"/>
            <w:tabs>
              <w:tab w:val="right" w:leader="dot" w:pos="9016"/>
            </w:tabs>
            <w:rPr>
              <w:rFonts w:eastAsiaTheme="minorEastAsia" w:cstheme="minorBidi"/>
              <w:b w:val="0"/>
              <w:bCs w:val="0"/>
              <w:i w:val="0"/>
              <w:iCs w:val="0"/>
              <w:noProof/>
              <w:kern w:val="2"/>
              <w:lang w:val="en-IN" w:eastAsia="en-IN"/>
              <w14:ligatures w14:val="standardContextual"/>
            </w:rPr>
          </w:pPr>
          <w:r w:rsidRPr="00AB71DE">
            <w:rPr>
              <w:rFonts w:ascii="Times New Roman" w:hAnsi="Times New Roman"/>
              <w:b w:val="0"/>
              <w:bCs w:val="0"/>
              <w:color w:val="000000" w:themeColor="text1"/>
            </w:rPr>
            <w:fldChar w:fldCharType="begin"/>
          </w:r>
          <w:r w:rsidRPr="00AB71DE">
            <w:rPr>
              <w:rFonts w:ascii="Times New Roman" w:hAnsi="Times New Roman"/>
              <w:color w:val="000000" w:themeColor="text1"/>
            </w:rPr>
            <w:instrText xml:space="preserve"> TOC \o "1-3" \h \z \u </w:instrText>
          </w:r>
          <w:r w:rsidRPr="00AB71DE">
            <w:rPr>
              <w:rFonts w:ascii="Times New Roman" w:hAnsi="Times New Roman"/>
              <w:b w:val="0"/>
              <w:bCs w:val="0"/>
              <w:color w:val="000000" w:themeColor="text1"/>
            </w:rPr>
            <w:fldChar w:fldCharType="separate"/>
          </w:r>
          <w:hyperlink w:anchor="_Toc218979632" w:history="1">
            <w:r w:rsidR="00AB074E" w:rsidRPr="00253E86">
              <w:rPr>
                <w:rStyle w:val="Hyperlink"/>
                <w:rFonts w:ascii="Times New Roman" w:hAnsi="Times New Roman"/>
                <w:noProof/>
              </w:rPr>
              <w:t>Executive Summary</w:t>
            </w:r>
            <w:r w:rsidR="00AB074E">
              <w:rPr>
                <w:noProof/>
                <w:webHidden/>
              </w:rPr>
              <w:tab/>
            </w:r>
            <w:r w:rsidR="00AB074E">
              <w:rPr>
                <w:noProof/>
                <w:webHidden/>
              </w:rPr>
              <w:fldChar w:fldCharType="begin"/>
            </w:r>
            <w:r w:rsidR="00AB074E">
              <w:rPr>
                <w:noProof/>
                <w:webHidden/>
              </w:rPr>
              <w:instrText xml:space="preserve"> PAGEREF _Toc218979632 \h </w:instrText>
            </w:r>
            <w:r w:rsidR="00AB074E">
              <w:rPr>
                <w:noProof/>
                <w:webHidden/>
              </w:rPr>
            </w:r>
            <w:r w:rsidR="00AB074E">
              <w:rPr>
                <w:noProof/>
                <w:webHidden/>
              </w:rPr>
              <w:fldChar w:fldCharType="separate"/>
            </w:r>
            <w:r w:rsidR="00AB074E">
              <w:rPr>
                <w:noProof/>
                <w:webHidden/>
              </w:rPr>
              <w:t>4</w:t>
            </w:r>
            <w:r w:rsidR="00AB074E">
              <w:rPr>
                <w:noProof/>
                <w:webHidden/>
              </w:rPr>
              <w:fldChar w:fldCharType="end"/>
            </w:r>
          </w:hyperlink>
        </w:p>
        <w:p w14:paraId="1CCDC6DD" w14:textId="1BBA6206"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33" w:history="1">
            <w:r w:rsidR="00AB074E" w:rsidRPr="00253E86">
              <w:rPr>
                <w:rStyle w:val="Hyperlink"/>
                <w:rFonts w:ascii="Times New Roman" w:hAnsi="Times New Roman"/>
                <w:noProof/>
                <w:lang w:val="en-US"/>
              </w:rPr>
              <w:t>PART: A</w:t>
            </w:r>
            <w:r w:rsidR="00AB074E">
              <w:rPr>
                <w:noProof/>
                <w:webHidden/>
              </w:rPr>
              <w:tab/>
            </w:r>
            <w:r w:rsidR="00AB074E">
              <w:rPr>
                <w:noProof/>
                <w:webHidden/>
              </w:rPr>
              <w:fldChar w:fldCharType="begin"/>
            </w:r>
            <w:r w:rsidR="00AB074E">
              <w:rPr>
                <w:noProof/>
                <w:webHidden/>
              </w:rPr>
              <w:instrText xml:space="preserve"> PAGEREF _Toc218979633 \h </w:instrText>
            </w:r>
            <w:r w:rsidR="00AB074E">
              <w:rPr>
                <w:noProof/>
                <w:webHidden/>
              </w:rPr>
            </w:r>
            <w:r w:rsidR="00AB074E">
              <w:rPr>
                <w:noProof/>
                <w:webHidden/>
              </w:rPr>
              <w:fldChar w:fldCharType="separate"/>
            </w:r>
            <w:r w:rsidR="00AB074E">
              <w:rPr>
                <w:noProof/>
                <w:webHidden/>
              </w:rPr>
              <w:t>5</w:t>
            </w:r>
            <w:r w:rsidR="00AB074E">
              <w:rPr>
                <w:noProof/>
                <w:webHidden/>
              </w:rPr>
              <w:fldChar w:fldCharType="end"/>
            </w:r>
          </w:hyperlink>
        </w:p>
        <w:p w14:paraId="1D52D977" w14:textId="28236F57" w:rsidR="00AB074E" w:rsidRDefault="00000000">
          <w:pPr>
            <w:pStyle w:val="TOC1"/>
            <w:tabs>
              <w:tab w:val="left" w:pos="480"/>
              <w:tab w:val="right" w:leader="dot" w:pos="9016"/>
            </w:tabs>
            <w:rPr>
              <w:rFonts w:eastAsiaTheme="minorEastAsia" w:cstheme="minorBidi"/>
              <w:b w:val="0"/>
              <w:bCs w:val="0"/>
              <w:i w:val="0"/>
              <w:iCs w:val="0"/>
              <w:noProof/>
              <w:kern w:val="2"/>
              <w:lang w:val="en-IN" w:eastAsia="en-IN"/>
              <w14:ligatures w14:val="standardContextual"/>
            </w:rPr>
          </w:pPr>
          <w:hyperlink w:anchor="_Toc218979634" w:history="1">
            <w:r w:rsidR="00AB074E" w:rsidRPr="00253E86">
              <w:rPr>
                <w:rStyle w:val="Hyperlink"/>
                <w:rFonts w:ascii="Times New Roman" w:hAnsi="Times New Roman"/>
                <w:noProof/>
                <w:lang w:val="en-US"/>
              </w:rPr>
              <w:t>1.</w:t>
            </w:r>
            <w:r w:rsidR="00AB074E">
              <w:rPr>
                <w:rFonts w:eastAsiaTheme="minorEastAsia" w:cstheme="minorBidi"/>
                <w:b w:val="0"/>
                <w:bCs w:val="0"/>
                <w:i w:val="0"/>
                <w:iCs w:val="0"/>
                <w:noProof/>
                <w:kern w:val="2"/>
                <w:lang w:val="en-IN" w:eastAsia="en-IN"/>
                <w14:ligatures w14:val="standardContextual"/>
              </w:rPr>
              <w:tab/>
            </w:r>
            <w:r w:rsidR="00AB074E" w:rsidRPr="00253E86">
              <w:rPr>
                <w:rStyle w:val="Hyperlink"/>
                <w:rFonts w:ascii="Times New Roman" w:hAnsi="Times New Roman"/>
                <w:noProof/>
                <w:lang w:val="en-US"/>
              </w:rPr>
              <w:t>Introduction</w:t>
            </w:r>
            <w:r w:rsidR="00AB074E">
              <w:rPr>
                <w:noProof/>
                <w:webHidden/>
              </w:rPr>
              <w:tab/>
            </w:r>
            <w:r w:rsidR="00AB074E">
              <w:rPr>
                <w:noProof/>
                <w:webHidden/>
              </w:rPr>
              <w:fldChar w:fldCharType="begin"/>
            </w:r>
            <w:r w:rsidR="00AB074E">
              <w:rPr>
                <w:noProof/>
                <w:webHidden/>
              </w:rPr>
              <w:instrText xml:space="preserve"> PAGEREF _Toc218979634 \h </w:instrText>
            </w:r>
            <w:r w:rsidR="00AB074E">
              <w:rPr>
                <w:noProof/>
                <w:webHidden/>
              </w:rPr>
            </w:r>
            <w:r w:rsidR="00AB074E">
              <w:rPr>
                <w:noProof/>
                <w:webHidden/>
              </w:rPr>
              <w:fldChar w:fldCharType="separate"/>
            </w:r>
            <w:r w:rsidR="00AB074E">
              <w:rPr>
                <w:noProof/>
                <w:webHidden/>
              </w:rPr>
              <w:t>5</w:t>
            </w:r>
            <w:r w:rsidR="00AB074E">
              <w:rPr>
                <w:noProof/>
                <w:webHidden/>
              </w:rPr>
              <w:fldChar w:fldCharType="end"/>
            </w:r>
          </w:hyperlink>
        </w:p>
        <w:p w14:paraId="0E6D6128" w14:textId="22A27B37" w:rsidR="00AB074E" w:rsidRDefault="00000000">
          <w:pPr>
            <w:pStyle w:val="TOC1"/>
            <w:tabs>
              <w:tab w:val="left" w:pos="480"/>
              <w:tab w:val="right" w:leader="dot" w:pos="9016"/>
            </w:tabs>
            <w:rPr>
              <w:rFonts w:eastAsiaTheme="minorEastAsia" w:cstheme="minorBidi"/>
              <w:b w:val="0"/>
              <w:bCs w:val="0"/>
              <w:i w:val="0"/>
              <w:iCs w:val="0"/>
              <w:noProof/>
              <w:kern w:val="2"/>
              <w:lang w:val="en-IN" w:eastAsia="en-IN"/>
              <w14:ligatures w14:val="standardContextual"/>
            </w:rPr>
          </w:pPr>
          <w:hyperlink w:anchor="_Toc218979635" w:history="1">
            <w:r w:rsidR="00AB074E" w:rsidRPr="00253E86">
              <w:rPr>
                <w:rStyle w:val="Hyperlink"/>
                <w:rFonts w:ascii="Times New Roman" w:hAnsi="Times New Roman"/>
                <w:noProof/>
              </w:rPr>
              <w:t>2.</w:t>
            </w:r>
            <w:r w:rsidR="00AB074E">
              <w:rPr>
                <w:rFonts w:eastAsiaTheme="minorEastAsia" w:cstheme="minorBidi"/>
                <w:b w:val="0"/>
                <w:bCs w:val="0"/>
                <w:i w:val="0"/>
                <w:iCs w:val="0"/>
                <w:noProof/>
                <w:kern w:val="2"/>
                <w:lang w:val="en-IN" w:eastAsia="en-IN"/>
                <w14:ligatures w14:val="standardContextual"/>
              </w:rPr>
              <w:tab/>
            </w:r>
            <w:r w:rsidR="00AB074E" w:rsidRPr="00253E86">
              <w:rPr>
                <w:rStyle w:val="Hyperlink"/>
                <w:rFonts w:ascii="Times New Roman" w:hAnsi="Times New Roman"/>
                <w:noProof/>
              </w:rPr>
              <w:t>Company Background &amp; Industry Context</w:t>
            </w:r>
            <w:r w:rsidR="00AB074E">
              <w:rPr>
                <w:noProof/>
                <w:webHidden/>
              </w:rPr>
              <w:tab/>
            </w:r>
            <w:r w:rsidR="00AB074E">
              <w:rPr>
                <w:noProof/>
                <w:webHidden/>
              </w:rPr>
              <w:fldChar w:fldCharType="begin"/>
            </w:r>
            <w:r w:rsidR="00AB074E">
              <w:rPr>
                <w:noProof/>
                <w:webHidden/>
              </w:rPr>
              <w:instrText xml:space="preserve"> PAGEREF _Toc218979635 \h </w:instrText>
            </w:r>
            <w:r w:rsidR="00AB074E">
              <w:rPr>
                <w:noProof/>
                <w:webHidden/>
              </w:rPr>
            </w:r>
            <w:r w:rsidR="00AB074E">
              <w:rPr>
                <w:noProof/>
                <w:webHidden/>
              </w:rPr>
              <w:fldChar w:fldCharType="separate"/>
            </w:r>
            <w:r w:rsidR="00AB074E">
              <w:rPr>
                <w:noProof/>
                <w:webHidden/>
              </w:rPr>
              <w:t>6</w:t>
            </w:r>
            <w:r w:rsidR="00AB074E">
              <w:rPr>
                <w:noProof/>
                <w:webHidden/>
              </w:rPr>
              <w:fldChar w:fldCharType="end"/>
            </w:r>
          </w:hyperlink>
        </w:p>
        <w:p w14:paraId="1534F47B" w14:textId="19BF63CE"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36" w:history="1">
            <w:r w:rsidR="00AB074E" w:rsidRPr="00253E86">
              <w:rPr>
                <w:rStyle w:val="Hyperlink"/>
                <w:rFonts w:ascii="Times New Roman" w:hAnsi="Times New Roman"/>
                <w:noProof/>
              </w:rPr>
              <w:t>3. FINANCIAL PERFORMANCE ANALYSIS USING RATIOS</w:t>
            </w:r>
            <w:r w:rsidR="00AB074E">
              <w:rPr>
                <w:noProof/>
                <w:webHidden/>
              </w:rPr>
              <w:tab/>
            </w:r>
            <w:r w:rsidR="00AB074E">
              <w:rPr>
                <w:noProof/>
                <w:webHidden/>
              </w:rPr>
              <w:fldChar w:fldCharType="begin"/>
            </w:r>
            <w:r w:rsidR="00AB074E">
              <w:rPr>
                <w:noProof/>
                <w:webHidden/>
              </w:rPr>
              <w:instrText xml:space="preserve"> PAGEREF _Toc218979636 \h </w:instrText>
            </w:r>
            <w:r w:rsidR="00AB074E">
              <w:rPr>
                <w:noProof/>
                <w:webHidden/>
              </w:rPr>
            </w:r>
            <w:r w:rsidR="00AB074E">
              <w:rPr>
                <w:noProof/>
                <w:webHidden/>
              </w:rPr>
              <w:fldChar w:fldCharType="separate"/>
            </w:r>
            <w:r w:rsidR="00AB074E">
              <w:rPr>
                <w:noProof/>
                <w:webHidden/>
              </w:rPr>
              <w:t>7</w:t>
            </w:r>
            <w:r w:rsidR="00AB074E">
              <w:rPr>
                <w:noProof/>
                <w:webHidden/>
              </w:rPr>
              <w:fldChar w:fldCharType="end"/>
            </w:r>
          </w:hyperlink>
        </w:p>
        <w:p w14:paraId="2B93C7F6" w14:textId="462391E1"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37" w:history="1">
            <w:r w:rsidR="00AB074E" w:rsidRPr="00253E86">
              <w:rPr>
                <w:rStyle w:val="Hyperlink"/>
                <w:rFonts w:ascii="Times New Roman" w:hAnsi="Times New Roman"/>
                <w:noProof/>
              </w:rPr>
              <w:t>3.1 Profitability Ratios of HSBC UK Bank Plc [F.Y. 2023 &amp; 2024]</w:t>
            </w:r>
            <w:r w:rsidR="00AB074E">
              <w:rPr>
                <w:noProof/>
                <w:webHidden/>
              </w:rPr>
              <w:tab/>
            </w:r>
            <w:r w:rsidR="00AB074E">
              <w:rPr>
                <w:noProof/>
                <w:webHidden/>
              </w:rPr>
              <w:fldChar w:fldCharType="begin"/>
            </w:r>
            <w:r w:rsidR="00AB074E">
              <w:rPr>
                <w:noProof/>
                <w:webHidden/>
              </w:rPr>
              <w:instrText xml:space="preserve"> PAGEREF _Toc218979637 \h </w:instrText>
            </w:r>
            <w:r w:rsidR="00AB074E">
              <w:rPr>
                <w:noProof/>
                <w:webHidden/>
              </w:rPr>
            </w:r>
            <w:r w:rsidR="00AB074E">
              <w:rPr>
                <w:noProof/>
                <w:webHidden/>
              </w:rPr>
              <w:fldChar w:fldCharType="separate"/>
            </w:r>
            <w:r w:rsidR="00AB074E">
              <w:rPr>
                <w:noProof/>
                <w:webHidden/>
              </w:rPr>
              <w:t>7</w:t>
            </w:r>
            <w:r w:rsidR="00AB074E">
              <w:rPr>
                <w:noProof/>
                <w:webHidden/>
              </w:rPr>
              <w:fldChar w:fldCharType="end"/>
            </w:r>
          </w:hyperlink>
        </w:p>
        <w:p w14:paraId="5F6AE176" w14:textId="5E5AC7F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38" w:history="1">
            <w:r w:rsidR="00AB074E" w:rsidRPr="00253E86">
              <w:rPr>
                <w:rStyle w:val="Hyperlink"/>
                <w:rFonts w:ascii="Times New Roman" w:hAnsi="Times New Roman"/>
                <w:noProof/>
              </w:rPr>
              <w:t>3.2 Liquidity Ratio Analysis [F.Y. 2023 &amp; 2024]</w:t>
            </w:r>
            <w:r w:rsidR="00AB074E">
              <w:rPr>
                <w:noProof/>
                <w:webHidden/>
              </w:rPr>
              <w:tab/>
            </w:r>
            <w:r w:rsidR="00AB074E">
              <w:rPr>
                <w:noProof/>
                <w:webHidden/>
              </w:rPr>
              <w:fldChar w:fldCharType="begin"/>
            </w:r>
            <w:r w:rsidR="00AB074E">
              <w:rPr>
                <w:noProof/>
                <w:webHidden/>
              </w:rPr>
              <w:instrText xml:space="preserve"> PAGEREF _Toc218979638 \h </w:instrText>
            </w:r>
            <w:r w:rsidR="00AB074E">
              <w:rPr>
                <w:noProof/>
                <w:webHidden/>
              </w:rPr>
            </w:r>
            <w:r w:rsidR="00AB074E">
              <w:rPr>
                <w:noProof/>
                <w:webHidden/>
              </w:rPr>
              <w:fldChar w:fldCharType="separate"/>
            </w:r>
            <w:r w:rsidR="00AB074E">
              <w:rPr>
                <w:noProof/>
                <w:webHidden/>
              </w:rPr>
              <w:t>8</w:t>
            </w:r>
            <w:r w:rsidR="00AB074E">
              <w:rPr>
                <w:noProof/>
                <w:webHidden/>
              </w:rPr>
              <w:fldChar w:fldCharType="end"/>
            </w:r>
          </w:hyperlink>
        </w:p>
        <w:p w14:paraId="22585571" w14:textId="6A5B04F6"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39" w:history="1">
            <w:r w:rsidR="00AB074E" w:rsidRPr="00253E86">
              <w:rPr>
                <w:rStyle w:val="Hyperlink"/>
                <w:rFonts w:ascii="Times New Roman" w:hAnsi="Times New Roman"/>
                <w:noProof/>
              </w:rPr>
              <w:t>3.3 Efficiency and Asset Quality Ratios [F.Y. 2023 &amp; 2024]</w:t>
            </w:r>
            <w:r w:rsidR="00AB074E">
              <w:rPr>
                <w:noProof/>
                <w:webHidden/>
              </w:rPr>
              <w:tab/>
            </w:r>
            <w:r w:rsidR="00AB074E">
              <w:rPr>
                <w:noProof/>
                <w:webHidden/>
              </w:rPr>
              <w:fldChar w:fldCharType="begin"/>
            </w:r>
            <w:r w:rsidR="00AB074E">
              <w:rPr>
                <w:noProof/>
                <w:webHidden/>
              </w:rPr>
              <w:instrText xml:space="preserve"> PAGEREF _Toc218979639 \h </w:instrText>
            </w:r>
            <w:r w:rsidR="00AB074E">
              <w:rPr>
                <w:noProof/>
                <w:webHidden/>
              </w:rPr>
            </w:r>
            <w:r w:rsidR="00AB074E">
              <w:rPr>
                <w:noProof/>
                <w:webHidden/>
              </w:rPr>
              <w:fldChar w:fldCharType="separate"/>
            </w:r>
            <w:r w:rsidR="00AB074E">
              <w:rPr>
                <w:noProof/>
                <w:webHidden/>
              </w:rPr>
              <w:t>8</w:t>
            </w:r>
            <w:r w:rsidR="00AB074E">
              <w:rPr>
                <w:noProof/>
                <w:webHidden/>
              </w:rPr>
              <w:fldChar w:fldCharType="end"/>
            </w:r>
          </w:hyperlink>
        </w:p>
        <w:p w14:paraId="31D2A745" w14:textId="101C3E7D"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0" w:history="1">
            <w:r w:rsidR="00AB074E" w:rsidRPr="00253E86">
              <w:rPr>
                <w:rStyle w:val="Hyperlink"/>
                <w:rFonts w:ascii="Times New Roman" w:hAnsi="Times New Roman"/>
                <w:noProof/>
              </w:rPr>
              <w:t>3.4 Gearing &amp; Capital Adequacy Ratios [F.Y. 2023 &amp; 2024]</w:t>
            </w:r>
            <w:r w:rsidR="00AB074E">
              <w:rPr>
                <w:noProof/>
                <w:webHidden/>
              </w:rPr>
              <w:tab/>
            </w:r>
            <w:r w:rsidR="00AB074E">
              <w:rPr>
                <w:noProof/>
                <w:webHidden/>
              </w:rPr>
              <w:fldChar w:fldCharType="begin"/>
            </w:r>
            <w:r w:rsidR="00AB074E">
              <w:rPr>
                <w:noProof/>
                <w:webHidden/>
              </w:rPr>
              <w:instrText xml:space="preserve"> PAGEREF _Toc218979640 \h </w:instrText>
            </w:r>
            <w:r w:rsidR="00AB074E">
              <w:rPr>
                <w:noProof/>
                <w:webHidden/>
              </w:rPr>
            </w:r>
            <w:r w:rsidR="00AB074E">
              <w:rPr>
                <w:noProof/>
                <w:webHidden/>
              </w:rPr>
              <w:fldChar w:fldCharType="separate"/>
            </w:r>
            <w:r w:rsidR="00AB074E">
              <w:rPr>
                <w:noProof/>
                <w:webHidden/>
              </w:rPr>
              <w:t>9</w:t>
            </w:r>
            <w:r w:rsidR="00AB074E">
              <w:rPr>
                <w:noProof/>
                <w:webHidden/>
              </w:rPr>
              <w:fldChar w:fldCharType="end"/>
            </w:r>
          </w:hyperlink>
        </w:p>
        <w:p w14:paraId="7967C606" w14:textId="665228F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1" w:history="1">
            <w:r w:rsidR="00AB074E" w:rsidRPr="00253E86">
              <w:rPr>
                <w:rStyle w:val="Hyperlink"/>
                <w:rFonts w:ascii="Times New Roman" w:hAnsi="Times New Roman"/>
                <w:noProof/>
              </w:rPr>
              <w:t>3.5 Investor/Market Ratios [F.Y. 2023 &amp; 2024]</w:t>
            </w:r>
            <w:r w:rsidR="00AB074E">
              <w:rPr>
                <w:noProof/>
                <w:webHidden/>
              </w:rPr>
              <w:tab/>
            </w:r>
            <w:r w:rsidR="00AB074E">
              <w:rPr>
                <w:noProof/>
                <w:webHidden/>
              </w:rPr>
              <w:fldChar w:fldCharType="begin"/>
            </w:r>
            <w:r w:rsidR="00AB074E">
              <w:rPr>
                <w:noProof/>
                <w:webHidden/>
              </w:rPr>
              <w:instrText xml:space="preserve"> PAGEREF _Toc218979641 \h </w:instrText>
            </w:r>
            <w:r w:rsidR="00AB074E">
              <w:rPr>
                <w:noProof/>
                <w:webHidden/>
              </w:rPr>
            </w:r>
            <w:r w:rsidR="00AB074E">
              <w:rPr>
                <w:noProof/>
                <w:webHidden/>
              </w:rPr>
              <w:fldChar w:fldCharType="separate"/>
            </w:r>
            <w:r w:rsidR="00AB074E">
              <w:rPr>
                <w:noProof/>
                <w:webHidden/>
              </w:rPr>
              <w:t>10</w:t>
            </w:r>
            <w:r w:rsidR="00AB074E">
              <w:rPr>
                <w:noProof/>
                <w:webHidden/>
              </w:rPr>
              <w:fldChar w:fldCharType="end"/>
            </w:r>
          </w:hyperlink>
        </w:p>
        <w:p w14:paraId="1D24CAB8" w14:textId="54FCD3F4"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42" w:history="1">
            <w:r w:rsidR="00AB074E" w:rsidRPr="00253E86">
              <w:rPr>
                <w:rStyle w:val="Hyperlink"/>
                <w:rFonts w:ascii="Times New Roman" w:hAnsi="Times New Roman"/>
                <w:noProof/>
              </w:rPr>
              <w:t>4. Reasons for Ratio Changes Over the Period</w:t>
            </w:r>
            <w:r w:rsidR="00AB074E">
              <w:rPr>
                <w:noProof/>
                <w:webHidden/>
              </w:rPr>
              <w:tab/>
            </w:r>
            <w:r w:rsidR="00AB074E">
              <w:rPr>
                <w:noProof/>
                <w:webHidden/>
              </w:rPr>
              <w:fldChar w:fldCharType="begin"/>
            </w:r>
            <w:r w:rsidR="00AB074E">
              <w:rPr>
                <w:noProof/>
                <w:webHidden/>
              </w:rPr>
              <w:instrText xml:space="preserve"> PAGEREF _Toc218979642 \h </w:instrText>
            </w:r>
            <w:r w:rsidR="00AB074E">
              <w:rPr>
                <w:noProof/>
                <w:webHidden/>
              </w:rPr>
            </w:r>
            <w:r w:rsidR="00AB074E">
              <w:rPr>
                <w:noProof/>
                <w:webHidden/>
              </w:rPr>
              <w:fldChar w:fldCharType="separate"/>
            </w:r>
            <w:r w:rsidR="00AB074E">
              <w:rPr>
                <w:noProof/>
                <w:webHidden/>
              </w:rPr>
              <w:t>10</w:t>
            </w:r>
            <w:r w:rsidR="00AB074E">
              <w:rPr>
                <w:noProof/>
                <w:webHidden/>
              </w:rPr>
              <w:fldChar w:fldCharType="end"/>
            </w:r>
          </w:hyperlink>
        </w:p>
        <w:p w14:paraId="2781B61C" w14:textId="6AD68AE2"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3" w:history="1">
            <w:r w:rsidR="00AB074E" w:rsidRPr="00253E86">
              <w:rPr>
                <w:rStyle w:val="Hyperlink"/>
                <w:rFonts w:ascii="Times New Roman" w:hAnsi="Times New Roman"/>
                <w:noProof/>
              </w:rPr>
              <w:t>4.1 Macroeconomic and Interest Rate Environment:</w:t>
            </w:r>
            <w:r w:rsidR="00AB074E">
              <w:rPr>
                <w:noProof/>
                <w:webHidden/>
              </w:rPr>
              <w:tab/>
            </w:r>
            <w:r w:rsidR="00AB074E">
              <w:rPr>
                <w:noProof/>
                <w:webHidden/>
              </w:rPr>
              <w:fldChar w:fldCharType="begin"/>
            </w:r>
            <w:r w:rsidR="00AB074E">
              <w:rPr>
                <w:noProof/>
                <w:webHidden/>
              </w:rPr>
              <w:instrText xml:space="preserve"> PAGEREF _Toc218979643 \h </w:instrText>
            </w:r>
            <w:r w:rsidR="00AB074E">
              <w:rPr>
                <w:noProof/>
                <w:webHidden/>
              </w:rPr>
            </w:r>
            <w:r w:rsidR="00AB074E">
              <w:rPr>
                <w:noProof/>
                <w:webHidden/>
              </w:rPr>
              <w:fldChar w:fldCharType="separate"/>
            </w:r>
            <w:r w:rsidR="00AB074E">
              <w:rPr>
                <w:noProof/>
                <w:webHidden/>
              </w:rPr>
              <w:t>10</w:t>
            </w:r>
            <w:r w:rsidR="00AB074E">
              <w:rPr>
                <w:noProof/>
                <w:webHidden/>
              </w:rPr>
              <w:fldChar w:fldCharType="end"/>
            </w:r>
          </w:hyperlink>
        </w:p>
        <w:p w14:paraId="36340BAA" w14:textId="70B22A56"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4" w:history="1">
            <w:r w:rsidR="00AB074E" w:rsidRPr="00253E86">
              <w:rPr>
                <w:rStyle w:val="Hyperlink"/>
                <w:rFonts w:ascii="Times New Roman" w:hAnsi="Times New Roman"/>
                <w:noProof/>
              </w:rPr>
              <w:t>4.2 One-Time Acquisition Impact:</w:t>
            </w:r>
            <w:r w:rsidR="00AB074E">
              <w:rPr>
                <w:noProof/>
                <w:webHidden/>
              </w:rPr>
              <w:tab/>
            </w:r>
            <w:r w:rsidR="00AB074E">
              <w:rPr>
                <w:noProof/>
                <w:webHidden/>
              </w:rPr>
              <w:fldChar w:fldCharType="begin"/>
            </w:r>
            <w:r w:rsidR="00AB074E">
              <w:rPr>
                <w:noProof/>
                <w:webHidden/>
              </w:rPr>
              <w:instrText xml:space="preserve"> PAGEREF _Toc218979644 \h </w:instrText>
            </w:r>
            <w:r w:rsidR="00AB074E">
              <w:rPr>
                <w:noProof/>
                <w:webHidden/>
              </w:rPr>
            </w:r>
            <w:r w:rsidR="00AB074E">
              <w:rPr>
                <w:noProof/>
                <w:webHidden/>
              </w:rPr>
              <w:fldChar w:fldCharType="separate"/>
            </w:r>
            <w:r w:rsidR="00AB074E">
              <w:rPr>
                <w:noProof/>
                <w:webHidden/>
              </w:rPr>
              <w:t>11</w:t>
            </w:r>
            <w:r w:rsidR="00AB074E">
              <w:rPr>
                <w:noProof/>
                <w:webHidden/>
              </w:rPr>
              <w:fldChar w:fldCharType="end"/>
            </w:r>
          </w:hyperlink>
        </w:p>
        <w:p w14:paraId="05B05B24" w14:textId="3FFC5CBC"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5" w:history="1">
            <w:r w:rsidR="00AB074E" w:rsidRPr="00253E86">
              <w:rPr>
                <w:rStyle w:val="Hyperlink"/>
                <w:rFonts w:ascii="Times New Roman" w:hAnsi="Times New Roman"/>
                <w:noProof/>
              </w:rPr>
              <w:t>4.3 Strategic and Operational Factors:</w:t>
            </w:r>
            <w:r w:rsidR="00AB074E">
              <w:rPr>
                <w:noProof/>
                <w:webHidden/>
              </w:rPr>
              <w:tab/>
            </w:r>
            <w:r w:rsidR="00AB074E">
              <w:rPr>
                <w:noProof/>
                <w:webHidden/>
              </w:rPr>
              <w:fldChar w:fldCharType="begin"/>
            </w:r>
            <w:r w:rsidR="00AB074E">
              <w:rPr>
                <w:noProof/>
                <w:webHidden/>
              </w:rPr>
              <w:instrText xml:space="preserve"> PAGEREF _Toc218979645 \h </w:instrText>
            </w:r>
            <w:r w:rsidR="00AB074E">
              <w:rPr>
                <w:noProof/>
                <w:webHidden/>
              </w:rPr>
            </w:r>
            <w:r w:rsidR="00AB074E">
              <w:rPr>
                <w:noProof/>
                <w:webHidden/>
              </w:rPr>
              <w:fldChar w:fldCharType="separate"/>
            </w:r>
            <w:r w:rsidR="00AB074E">
              <w:rPr>
                <w:noProof/>
                <w:webHidden/>
              </w:rPr>
              <w:t>11</w:t>
            </w:r>
            <w:r w:rsidR="00AB074E">
              <w:rPr>
                <w:noProof/>
                <w:webHidden/>
              </w:rPr>
              <w:fldChar w:fldCharType="end"/>
            </w:r>
          </w:hyperlink>
        </w:p>
        <w:p w14:paraId="59A53A82" w14:textId="01117931"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6" w:history="1">
            <w:r w:rsidR="00AB074E" w:rsidRPr="00253E86">
              <w:rPr>
                <w:rStyle w:val="Hyperlink"/>
                <w:rFonts w:ascii="Times New Roman" w:hAnsi="Times New Roman"/>
                <w:noProof/>
              </w:rPr>
              <w:t>4.4 Competitive and Regulatory Dynamics:</w:t>
            </w:r>
            <w:r w:rsidR="00AB074E">
              <w:rPr>
                <w:noProof/>
                <w:webHidden/>
              </w:rPr>
              <w:tab/>
            </w:r>
            <w:r w:rsidR="00AB074E">
              <w:rPr>
                <w:noProof/>
                <w:webHidden/>
              </w:rPr>
              <w:fldChar w:fldCharType="begin"/>
            </w:r>
            <w:r w:rsidR="00AB074E">
              <w:rPr>
                <w:noProof/>
                <w:webHidden/>
              </w:rPr>
              <w:instrText xml:space="preserve"> PAGEREF _Toc218979646 \h </w:instrText>
            </w:r>
            <w:r w:rsidR="00AB074E">
              <w:rPr>
                <w:noProof/>
                <w:webHidden/>
              </w:rPr>
            </w:r>
            <w:r w:rsidR="00AB074E">
              <w:rPr>
                <w:noProof/>
                <w:webHidden/>
              </w:rPr>
              <w:fldChar w:fldCharType="separate"/>
            </w:r>
            <w:r w:rsidR="00AB074E">
              <w:rPr>
                <w:noProof/>
                <w:webHidden/>
              </w:rPr>
              <w:t>11</w:t>
            </w:r>
            <w:r w:rsidR="00AB074E">
              <w:rPr>
                <w:noProof/>
                <w:webHidden/>
              </w:rPr>
              <w:fldChar w:fldCharType="end"/>
            </w:r>
          </w:hyperlink>
        </w:p>
        <w:p w14:paraId="32C2838A" w14:textId="152DAD36"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47" w:history="1">
            <w:r w:rsidR="00AB074E" w:rsidRPr="00253E86">
              <w:rPr>
                <w:rStyle w:val="Hyperlink"/>
                <w:rFonts w:ascii="Times New Roman" w:hAnsi="Times New Roman"/>
                <w:noProof/>
              </w:rPr>
              <w:t>5. Limitations of Ratio Analysis in Banking Evaluation</w:t>
            </w:r>
            <w:r w:rsidR="00AB074E">
              <w:rPr>
                <w:noProof/>
                <w:webHidden/>
              </w:rPr>
              <w:tab/>
            </w:r>
            <w:r w:rsidR="00AB074E">
              <w:rPr>
                <w:noProof/>
                <w:webHidden/>
              </w:rPr>
              <w:fldChar w:fldCharType="begin"/>
            </w:r>
            <w:r w:rsidR="00AB074E">
              <w:rPr>
                <w:noProof/>
                <w:webHidden/>
              </w:rPr>
              <w:instrText xml:space="preserve"> PAGEREF _Toc218979647 \h </w:instrText>
            </w:r>
            <w:r w:rsidR="00AB074E">
              <w:rPr>
                <w:noProof/>
                <w:webHidden/>
              </w:rPr>
            </w:r>
            <w:r w:rsidR="00AB074E">
              <w:rPr>
                <w:noProof/>
                <w:webHidden/>
              </w:rPr>
              <w:fldChar w:fldCharType="separate"/>
            </w:r>
            <w:r w:rsidR="00AB074E">
              <w:rPr>
                <w:noProof/>
                <w:webHidden/>
              </w:rPr>
              <w:t>11</w:t>
            </w:r>
            <w:r w:rsidR="00AB074E">
              <w:rPr>
                <w:noProof/>
                <w:webHidden/>
              </w:rPr>
              <w:fldChar w:fldCharType="end"/>
            </w:r>
          </w:hyperlink>
        </w:p>
        <w:p w14:paraId="6B3D17B4" w14:textId="41744598"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48" w:history="1">
            <w:r w:rsidR="00AB074E" w:rsidRPr="00253E86">
              <w:rPr>
                <w:rStyle w:val="Hyperlink"/>
                <w:rFonts w:ascii="Times New Roman" w:hAnsi="Times New Roman"/>
                <w:noProof/>
              </w:rPr>
              <w:t>6. Financial Management Recommendations for HSBC UK</w:t>
            </w:r>
            <w:r w:rsidR="00AB074E">
              <w:rPr>
                <w:noProof/>
                <w:webHidden/>
              </w:rPr>
              <w:tab/>
            </w:r>
            <w:r w:rsidR="00AB074E">
              <w:rPr>
                <w:noProof/>
                <w:webHidden/>
              </w:rPr>
              <w:fldChar w:fldCharType="begin"/>
            </w:r>
            <w:r w:rsidR="00AB074E">
              <w:rPr>
                <w:noProof/>
                <w:webHidden/>
              </w:rPr>
              <w:instrText xml:space="preserve"> PAGEREF _Toc218979648 \h </w:instrText>
            </w:r>
            <w:r w:rsidR="00AB074E">
              <w:rPr>
                <w:noProof/>
                <w:webHidden/>
              </w:rPr>
            </w:r>
            <w:r w:rsidR="00AB074E">
              <w:rPr>
                <w:noProof/>
                <w:webHidden/>
              </w:rPr>
              <w:fldChar w:fldCharType="separate"/>
            </w:r>
            <w:r w:rsidR="00AB074E">
              <w:rPr>
                <w:noProof/>
                <w:webHidden/>
              </w:rPr>
              <w:t>12</w:t>
            </w:r>
            <w:r w:rsidR="00AB074E">
              <w:rPr>
                <w:noProof/>
                <w:webHidden/>
              </w:rPr>
              <w:fldChar w:fldCharType="end"/>
            </w:r>
          </w:hyperlink>
        </w:p>
        <w:p w14:paraId="21C334AD" w14:textId="2ABC8BE0"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49" w:history="1">
            <w:r w:rsidR="00AB074E" w:rsidRPr="00253E86">
              <w:rPr>
                <w:rStyle w:val="Hyperlink"/>
                <w:rFonts w:ascii="Times New Roman" w:hAnsi="Times New Roman"/>
                <w:noProof/>
              </w:rPr>
              <w:t>6.1 Operational Efficiency Enhancement</w:t>
            </w:r>
            <w:r w:rsidR="00AB074E">
              <w:rPr>
                <w:noProof/>
                <w:webHidden/>
              </w:rPr>
              <w:tab/>
            </w:r>
            <w:r w:rsidR="00AB074E">
              <w:rPr>
                <w:noProof/>
                <w:webHidden/>
              </w:rPr>
              <w:fldChar w:fldCharType="begin"/>
            </w:r>
            <w:r w:rsidR="00AB074E">
              <w:rPr>
                <w:noProof/>
                <w:webHidden/>
              </w:rPr>
              <w:instrText xml:space="preserve"> PAGEREF _Toc218979649 \h </w:instrText>
            </w:r>
            <w:r w:rsidR="00AB074E">
              <w:rPr>
                <w:noProof/>
                <w:webHidden/>
              </w:rPr>
            </w:r>
            <w:r w:rsidR="00AB074E">
              <w:rPr>
                <w:noProof/>
                <w:webHidden/>
              </w:rPr>
              <w:fldChar w:fldCharType="separate"/>
            </w:r>
            <w:r w:rsidR="00AB074E">
              <w:rPr>
                <w:noProof/>
                <w:webHidden/>
              </w:rPr>
              <w:t>13</w:t>
            </w:r>
            <w:r w:rsidR="00AB074E">
              <w:rPr>
                <w:noProof/>
                <w:webHidden/>
              </w:rPr>
              <w:fldChar w:fldCharType="end"/>
            </w:r>
          </w:hyperlink>
        </w:p>
        <w:p w14:paraId="58C8940F" w14:textId="34D728FF"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0" w:history="1">
            <w:r w:rsidR="00AB074E" w:rsidRPr="00253E86">
              <w:rPr>
                <w:rStyle w:val="Hyperlink"/>
                <w:rFonts w:ascii="Times New Roman" w:hAnsi="Times New Roman"/>
                <w:noProof/>
              </w:rPr>
              <w:t>6.2 Net Interest Margin Protection</w:t>
            </w:r>
            <w:r w:rsidR="00AB074E">
              <w:rPr>
                <w:noProof/>
                <w:webHidden/>
              </w:rPr>
              <w:tab/>
            </w:r>
            <w:r w:rsidR="00AB074E">
              <w:rPr>
                <w:noProof/>
                <w:webHidden/>
              </w:rPr>
              <w:fldChar w:fldCharType="begin"/>
            </w:r>
            <w:r w:rsidR="00AB074E">
              <w:rPr>
                <w:noProof/>
                <w:webHidden/>
              </w:rPr>
              <w:instrText xml:space="preserve"> PAGEREF _Toc218979650 \h </w:instrText>
            </w:r>
            <w:r w:rsidR="00AB074E">
              <w:rPr>
                <w:noProof/>
                <w:webHidden/>
              </w:rPr>
            </w:r>
            <w:r w:rsidR="00AB074E">
              <w:rPr>
                <w:noProof/>
                <w:webHidden/>
              </w:rPr>
              <w:fldChar w:fldCharType="separate"/>
            </w:r>
            <w:r w:rsidR="00AB074E">
              <w:rPr>
                <w:noProof/>
                <w:webHidden/>
              </w:rPr>
              <w:t>13</w:t>
            </w:r>
            <w:r w:rsidR="00AB074E">
              <w:rPr>
                <w:noProof/>
                <w:webHidden/>
              </w:rPr>
              <w:fldChar w:fldCharType="end"/>
            </w:r>
          </w:hyperlink>
        </w:p>
        <w:p w14:paraId="21E4DAAB" w14:textId="5A6BC54A"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1" w:history="1">
            <w:r w:rsidR="00AB074E" w:rsidRPr="00253E86">
              <w:rPr>
                <w:rStyle w:val="Hyperlink"/>
                <w:rFonts w:ascii="Times New Roman" w:hAnsi="Times New Roman"/>
                <w:noProof/>
              </w:rPr>
              <w:t>6.3 Balance Sheet Growth Optimisation:</w:t>
            </w:r>
            <w:r w:rsidR="00AB074E">
              <w:rPr>
                <w:noProof/>
                <w:webHidden/>
              </w:rPr>
              <w:tab/>
            </w:r>
            <w:r w:rsidR="00AB074E">
              <w:rPr>
                <w:noProof/>
                <w:webHidden/>
              </w:rPr>
              <w:fldChar w:fldCharType="begin"/>
            </w:r>
            <w:r w:rsidR="00AB074E">
              <w:rPr>
                <w:noProof/>
                <w:webHidden/>
              </w:rPr>
              <w:instrText xml:space="preserve"> PAGEREF _Toc218979651 \h </w:instrText>
            </w:r>
            <w:r w:rsidR="00AB074E">
              <w:rPr>
                <w:noProof/>
                <w:webHidden/>
              </w:rPr>
            </w:r>
            <w:r w:rsidR="00AB074E">
              <w:rPr>
                <w:noProof/>
                <w:webHidden/>
              </w:rPr>
              <w:fldChar w:fldCharType="separate"/>
            </w:r>
            <w:r w:rsidR="00AB074E">
              <w:rPr>
                <w:noProof/>
                <w:webHidden/>
              </w:rPr>
              <w:t>13</w:t>
            </w:r>
            <w:r w:rsidR="00AB074E">
              <w:rPr>
                <w:noProof/>
                <w:webHidden/>
              </w:rPr>
              <w:fldChar w:fldCharType="end"/>
            </w:r>
          </w:hyperlink>
        </w:p>
        <w:p w14:paraId="63A59614" w14:textId="3C59284B"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2" w:history="1">
            <w:r w:rsidR="00AB074E" w:rsidRPr="00253E86">
              <w:rPr>
                <w:rStyle w:val="Hyperlink"/>
                <w:rFonts w:ascii="Times New Roman" w:hAnsi="Times New Roman"/>
                <w:noProof/>
              </w:rPr>
              <w:t>6.4 Capital Optimisation:</w:t>
            </w:r>
            <w:r w:rsidR="00AB074E">
              <w:rPr>
                <w:noProof/>
                <w:webHidden/>
              </w:rPr>
              <w:tab/>
            </w:r>
            <w:r w:rsidR="00AB074E">
              <w:rPr>
                <w:noProof/>
                <w:webHidden/>
              </w:rPr>
              <w:fldChar w:fldCharType="begin"/>
            </w:r>
            <w:r w:rsidR="00AB074E">
              <w:rPr>
                <w:noProof/>
                <w:webHidden/>
              </w:rPr>
              <w:instrText xml:space="preserve"> PAGEREF _Toc218979652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627B73CD" w14:textId="02B6E2E2"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53" w:history="1">
            <w:r w:rsidR="00AB074E" w:rsidRPr="00253E86">
              <w:rPr>
                <w:rStyle w:val="Hyperlink"/>
                <w:rFonts w:ascii="Times New Roman" w:hAnsi="Times New Roman"/>
                <w:noProof/>
              </w:rPr>
              <w:t>PART: 2</w:t>
            </w:r>
            <w:r w:rsidR="00AB074E">
              <w:rPr>
                <w:noProof/>
                <w:webHidden/>
              </w:rPr>
              <w:tab/>
            </w:r>
            <w:r w:rsidR="00AB074E">
              <w:rPr>
                <w:noProof/>
                <w:webHidden/>
              </w:rPr>
              <w:fldChar w:fldCharType="begin"/>
            </w:r>
            <w:r w:rsidR="00AB074E">
              <w:rPr>
                <w:noProof/>
                <w:webHidden/>
              </w:rPr>
              <w:instrText xml:space="preserve"> PAGEREF _Toc218979653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351666F3" w14:textId="5C3938B3" w:rsidR="00AB074E" w:rsidRDefault="00000000">
          <w:pPr>
            <w:pStyle w:val="TOC2"/>
            <w:tabs>
              <w:tab w:val="left" w:pos="720"/>
              <w:tab w:val="right" w:leader="dot" w:pos="9016"/>
            </w:tabs>
            <w:rPr>
              <w:rFonts w:eastAsiaTheme="minorEastAsia" w:cstheme="minorBidi"/>
              <w:b w:val="0"/>
              <w:bCs w:val="0"/>
              <w:noProof/>
              <w:kern w:val="2"/>
              <w:sz w:val="24"/>
              <w:szCs w:val="24"/>
              <w:lang w:val="en-IN" w:eastAsia="en-IN"/>
              <w14:ligatures w14:val="standardContextual"/>
            </w:rPr>
          </w:pPr>
          <w:hyperlink w:anchor="_Toc218979654" w:history="1">
            <w:r w:rsidR="00AB074E" w:rsidRPr="00253E86">
              <w:rPr>
                <w:rStyle w:val="Hyperlink"/>
                <w:rFonts w:ascii="Times New Roman" w:hAnsi="Times New Roman"/>
                <w:noProof/>
              </w:rPr>
              <w:t>1.</w:t>
            </w:r>
            <w:r w:rsidR="00AB074E">
              <w:rPr>
                <w:rFonts w:eastAsiaTheme="minorEastAsia" w:cstheme="minorBidi"/>
                <w:b w:val="0"/>
                <w:bCs w:val="0"/>
                <w:noProof/>
                <w:kern w:val="2"/>
                <w:sz w:val="24"/>
                <w:szCs w:val="24"/>
                <w:lang w:val="en-IN" w:eastAsia="en-IN"/>
                <w14:ligatures w14:val="standardContextual"/>
              </w:rPr>
              <w:tab/>
            </w:r>
            <w:r w:rsidR="00AB074E" w:rsidRPr="00253E86">
              <w:rPr>
                <w:rStyle w:val="Hyperlink"/>
                <w:rFonts w:ascii="Times New Roman" w:hAnsi="Times New Roman"/>
                <w:noProof/>
                <w:shd w:val="clear" w:color="auto" w:fill="FFFFFF"/>
              </w:rPr>
              <w:t>Introduction</w:t>
            </w:r>
            <w:r w:rsidR="00AB074E" w:rsidRPr="00253E86">
              <w:rPr>
                <w:rStyle w:val="Hyperlink"/>
                <w:rFonts w:ascii="Times New Roman" w:hAnsi="Times New Roman"/>
                <w:noProof/>
              </w:rPr>
              <w:t>:</w:t>
            </w:r>
            <w:r w:rsidR="00AB074E">
              <w:rPr>
                <w:noProof/>
                <w:webHidden/>
              </w:rPr>
              <w:tab/>
            </w:r>
            <w:r w:rsidR="00AB074E">
              <w:rPr>
                <w:noProof/>
                <w:webHidden/>
              </w:rPr>
              <w:fldChar w:fldCharType="begin"/>
            </w:r>
            <w:r w:rsidR="00AB074E">
              <w:rPr>
                <w:noProof/>
                <w:webHidden/>
              </w:rPr>
              <w:instrText xml:space="preserve"> PAGEREF _Toc218979654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37784C33" w14:textId="17D2AB81"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55" w:history="1">
            <w:r w:rsidR="00AB074E" w:rsidRPr="00253E86">
              <w:rPr>
                <w:rStyle w:val="Hyperlink"/>
                <w:rFonts w:ascii="Times New Roman" w:hAnsi="Times New Roman"/>
                <w:noProof/>
              </w:rPr>
              <w:t>2. Net Present Value Analysis of Investment Choices</w:t>
            </w:r>
            <w:r w:rsidR="00AB074E">
              <w:rPr>
                <w:noProof/>
                <w:webHidden/>
              </w:rPr>
              <w:tab/>
            </w:r>
            <w:r w:rsidR="00AB074E">
              <w:rPr>
                <w:noProof/>
                <w:webHidden/>
              </w:rPr>
              <w:fldChar w:fldCharType="begin"/>
            </w:r>
            <w:r w:rsidR="00AB074E">
              <w:rPr>
                <w:noProof/>
                <w:webHidden/>
              </w:rPr>
              <w:instrText xml:space="preserve"> PAGEREF _Toc218979655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1D1004CA" w14:textId="330CFDB7"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6" w:history="1">
            <w:r w:rsidR="00AB074E" w:rsidRPr="00253E86">
              <w:rPr>
                <w:rStyle w:val="Hyperlink"/>
                <w:rFonts w:ascii="Times New Roman" w:hAnsi="Times New Roman"/>
                <w:noProof/>
              </w:rPr>
              <w:t>2.1 Theoretical Framework</w:t>
            </w:r>
            <w:r w:rsidR="00AB074E">
              <w:rPr>
                <w:noProof/>
                <w:webHidden/>
              </w:rPr>
              <w:tab/>
            </w:r>
            <w:r w:rsidR="00AB074E">
              <w:rPr>
                <w:noProof/>
                <w:webHidden/>
              </w:rPr>
              <w:fldChar w:fldCharType="begin"/>
            </w:r>
            <w:r w:rsidR="00AB074E">
              <w:rPr>
                <w:noProof/>
                <w:webHidden/>
              </w:rPr>
              <w:instrText xml:space="preserve"> PAGEREF _Toc218979656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0A947F12" w14:textId="2FFC9DC6"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7" w:history="1">
            <w:r w:rsidR="00AB074E" w:rsidRPr="00253E86">
              <w:rPr>
                <w:rStyle w:val="Hyperlink"/>
                <w:rFonts w:ascii="Times New Roman" w:hAnsi="Times New Roman"/>
                <w:noProof/>
              </w:rPr>
              <w:t>2.2 How to figure out the answer</w:t>
            </w:r>
            <w:r w:rsidR="00AB074E">
              <w:rPr>
                <w:noProof/>
                <w:webHidden/>
              </w:rPr>
              <w:tab/>
            </w:r>
            <w:r w:rsidR="00AB074E">
              <w:rPr>
                <w:noProof/>
                <w:webHidden/>
              </w:rPr>
              <w:fldChar w:fldCharType="begin"/>
            </w:r>
            <w:r w:rsidR="00AB074E">
              <w:rPr>
                <w:noProof/>
                <w:webHidden/>
              </w:rPr>
              <w:instrText xml:space="preserve"> PAGEREF _Toc218979657 \h </w:instrText>
            </w:r>
            <w:r w:rsidR="00AB074E">
              <w:rPr>
                <w:noProof/>
                <w:webHidden/>
              </w:rPr>
            </w:r>
            <w:r w:rsidR="00AB074E">
              <w:rPr>
                <w:noProof/>
                <w:webHidden/>
              </w:rPr>
              <w:fldChar w:fldCharType="separate"/>
            </w:r>
            <w:r w:rsidR="00AB074E">
              <w:rPr>
                <w:noProof/>
                <w:webHidden/>
              </w:rPr>
              <w:t>14</w:t>
            </w:r>
            <w:r w:rsidR="00AB074E">
              <w:rPr>
                <w:noProof/>
                <w:webHidden/>
              </w:rPr>
              <w:fldChar w:fldCharType="end"/>
            </w:r>
          </w:hyperlink>
        </w:p>
        <w:p w14:paraId="7DDB862A" w14:textId="1EDDF728"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8" w:history="1">
            <w:r w:rsidR="00AB074E" w:rsidRPr="00253E86">
              <w:rPr>
                <w:rStyle w:val="Hyperlink"/>
                <w:rFonts w:ascii="Times New Roman" w:hAnsi="Times New Roman"/>
                <w:noProof/>
              </w:rPr>
              <w:t>2.3 Option A: Retail Outlet Expansion</w:t>
            </w:r>
            <w:r w:rsidR="00AB074E">
              <w:rPr>
                <w:noProof/>
                <w:webHidden/>
              </w:rPr>
              <w:tab/>
            </w:r>
            <w:r w:rsidR="00AB074E">
              <w:rPr>
                <w:noProof/>
                <w:webHidden/>
              </w:rPr>
              <w:fldChar w:fldCharType="begin"/>
            </w:r>
            <w:r w:rsidR="00AB074E">
              <w:rPr>
                <w:noProof/>
                <w:webHidden/>
              </w:rPr>
              <w:instrText xml:space="preserve"> PAGEREF _Toc218979658 \h </w:instrText>
            </w:r>
            <w:r w:rsidR="00AB074E">
              <w:rPr>
                <w:noProof/>
                <w:webHidden/>
              </w:rPr>
            </w:r>
            <w:r w:rsidR="00AB074E">
              <w:rPr>
                <w:noProof/>
                <w:webHidden/>
              </w:rPr>
              <w:fldChar w:fldCharType="separate"/>
            </w:r>
            <w:r w:rsidR="00AB074E">
              <w:rPr>
                <w:noProof/>
                <w:webHidden/>
              </w:rPr>
              <w:t>15</w:t>
            </w:r>
            <w:r w:rsidR="00AB074E">
              <w:rPr>
                <w:noProof/>
                <w:webHidden/>
              </w:rPr>
              <w:fldChar w:fldCharType="end"/>
            </w:r>
          </w:hyperlink>
        </w:p>
        <w:p w14:paraId="69B6F50A" w14:textId="40587376"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59" w:history="1">
            <w:r w:rsidR="00AB074E" w:rsidRPr="00253E86">
              <w:rPr>
                <w:rStyle w:val="Hyperlink"/>
                <w:rFonts w:ascii="Times New Roman" w:hAnsi="Times New Roman"/>
                <w:noProof/>
              </w:rPr>
              <w:t>2.4 Option B: Internet Sales Development</w:t>
            </w:r>
            <w:r w:rsidR="00AB074E">
              <w:rPr>
                <w:noProof/>
                <w:webHidden/>
              </w:rPr>
              <w:tab/>
            </w:r>
            <w:r w:rsidR="00AB074E">
              <w:rPr>
                <w:noProof/>
                <w:webHidden/>
              </w:rPr>
              <w:fldChar w:fldCharType="begin"/>
            </w:r>
            <w:r w:rsidR="00AB074E">
              <w:rPr>
                <w:noProof/>
                <w:webHidden/>
              </w:rPr>
              <w:instrText xml:space="preserve"> PAGEREF _Toc218979659 \h </w:instrText>
            </w:r>
            <w:r w:rsidR="00AB074E">
              <w:rPr>
                <w:noProof/>
                <w:webHidden/>
              </w:rPr>
            </w:r>
            <w:r w:rsidR="00AB074E">
              <w:rPr>
                <w:noProof/>
                <w:webHidden/>
              </w:rPr>
              <w:fldChar w:fldCharType="separate"/>
            </w:r>
            <w:r w:rsidR="00AB074E">
              <w:rPr>
                <w:noProof/>
                <w:webHidden/>
              </w:rPr>
              <w:t>15</w:t>
            </w:r>
            <w:r w:rsidR="00AB074E">
              <w:rPr>
                <w:noProof/>
                <w:webHidden/>
              </w:rPr>
              <w:fldChar w:fldCharType="end"/>
            </w:r>
          </w:hyperlink>
        </w:p>
        <w:p w14:paraId="2AE35D2C" w14:textId="7081B3ED"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0" w:history="1">
            <w:r w:rsidR="00AB074E" w:rsidRPr="00253E86">
              <w:rPr>
                <w:rStyle w:val="Hyperlink"/>
                <w:rFonts w:ascii="Times New Roman" w:hAnsi="Times New Roman"/>
                <w:noProof/>
              </w:rPr>
              <w:t>2.5 Option C: Wooden Blinds and Roman Blinds Production</w:t>
            </w:r>
            <w:r w:rsidR="00AB074E">
              <w:rPr>
                <w:noProof/>
                <w:webHidden/>
              </w:rPr>
              <w:tab/>
            </w:r>
            <w:r w:rsidR="00AB074E">
              <w:rPr>
                <w:noProof/>
                <w:webHidden/>
              </w:rPr>
              <w:fldChar w:fldCharType="begin"/>
            </w:r>
            <w:r w:rsidR="00AB074E">
              <w:rPr>
                <w:noProof/>
                <w:webHidden/>
              </w:rPr>
              <w:instrText xml:space="preserve"> PAGEREF _Toc218979660 \h </w:instrText>
            </w:r>
            <w:r w:rsidR="00AB074E">
              <w:rPr>
                <w:noProof/>
                <w:webHidden/>
              </w:rPr>
            </w:r>
            <w:r w:rsidR="00AB074E">
              <w:rPr>
                <w:noProof/>
                <w:webHidden/>
              </w:rPr>
              <w:fldChar w:fldCharType="separate"/>
            </w:r>
            <w:r w:rsidR="00AB074E">
              <w:rPr>
                <w:noProof/>
                <w:webHidden/>
              </w:rPr>
              <w:t>16</w:t>
            </w:r>
            <w:r w:rsidR="00AB074E">
              <w:rPr>
                <w:noProof/>
                <w:webHidden/>
              </w:rPr>
              <w:fldChar w:fldCharType="end"/>
            </w:r>
          </w:hyperlink>
        </w:p>
        <w:p w14:paraId="6F7A20F8" w14:textId="211594EC" w:rsidR="00AB074E" w:rsidRDefault="00000000">
          <w:pPr>
            <w:pStyle w:val="TOC2"/>
            <w:tabs>
              <w:tab w:val="left" w:pos="960"/>
              <w:tab w:val="right" w:leader="dot" w:pos="9016"/>
            </w:tabs>
            <w:rPr>
              <w:rFonts w:eastAsiaTheme="minorEastAsia" w:cstheme="minorBidi"/>
              <w:b w:val="0"/>
              <w:bCs w:val="0"/>
              <w:noProof/>
              <w:kern w:val="2"/>
              <w:sz w:val="24"/>
              <w:szCs w:val="24"/>
              <w:lang w:val="en-IN" w:eastAsia="en-IN"/>
              <w14:ligatures w14:val="standardContextual"/>
            </w:rPr>
          </w:pPr>
          <w:hyperlink w:anchor="_Toc218979661" w:history="1">
            <w:r w:rsidR="00AB074E" w:rsidRPr="00253E86">
              <w:rPr>
                <w:rStyle w:val="Hyperlink"/>
                <w:rFonts w:ascii="Times New Roman" w:hAnsi="Times New Roman"/>
                <w:noProof/>
              </w:rPr>
              <w:t>2.6</w:t>
            </w:r>
            <w:r w:rsidR="00AB074E">
              <w:rPr>
                <w:rFonts w:eastAsiaTheme="minorEastAsia" w:cstheme="minorBidi"/>
                <w:b w:val="0"/>
                <w:bCs w:val="0"/>
                <w:noProof/>
                <w:kern w:val="2"/>
                <w:sz w:val="24"/>
                <w:szCs w:val="24"/>
                <w:lang w:val="en-IN" w:eastAsia="en-IN"/>
                <w14:ligatures w14:val="standardContextual"/>
              </w:rPr>
              <w:tab/>
            </w:r>
            <w:r w:rsidR="00AB074E" w:rsidRPr="00253E86">
              <w:rPr>
                <w:rStyle w:val="Hyperlink"/>
                <w:rFonts w:ascii="Times New Roman" w:hAnsi="Times New Roman"/>
                <w:noProof/>
              </w:rPr>
              <w:t>Recommendation based on Net Present Value Analysis</w:t>
            </w:r>
            <w:r w:rsidR="00AB074E">
              <w:rPr>
                <w:noProof/>
                <w:webHidden/>
              </w:rPr>
              <w:tab/>
            </w:r>
            <w:r w:rsidR="00AB074E">
              <w:rPr>
                <w:noProof/>
                <w:webHidden/>
              </w:rPr>
              <w:fldChar w:fldCharType="begin"/>
            </w:r>
            <w:r w:rsidR="00AB074E">
              <w:rPr>
                <w:noProof/>
                <w:webHidden/>
              </w:rPr>
              <w:instrText xml:space="preserve"> PAGEREF _Toc218979661 \h </w:instrText>
            </w:r>
            <w:r w:rsidR="00AB074E">
              <w:rPr>
                <w:noProof/>
                <w:webHidden/>
              </w:rPr>
            </w:r>
            <w:r w:rsidR="00AB074E">
              <w:rPr>
                <w:noProof/>
                <w:webHidden/>
              </w:rPr>
              <w:fldChar w:fldCharType="separate"/>
            </w:r>
            <w:r w:rsidR="00AB074E">
              <w:rPr>
                <w:noProof/>
                <w:webHidden/>
              </w:rPr>
              <w:t>16</w:t>
            </w:r>
            <w:r w:rsidR="00AB074E">
              <w:rPr>
                <w:noProof/>
                <w:webHidden/>
              </w:rPr>
              <w:fldChar w:fldCharType="end"/>
            </w:r>
          </w:hyperlink>
        </w:p>
        <w:p w14:paraId="3B4FCEF1" w14:textId="69EB6BD6" w:rsidR="00AB074E" w:rsidRDefault="00000000">
          <w:pPr>
            <w:pStyle w:val="TOC1"/>
            <w:tabs>
              <w:tab w:val="left" w:pos="480"/>
              <w:tab w:val="right" w:leader="dot" w:pos="9016"/>
            </w:tabs>
            <w:rPr>
              <w:rFonts w:eastAsiaTheme="minorEastAsia" w:cstheme="minorBidi"/>
              <w:b w:val="0"/>
              <w:bCs w:val="0"/>
              <w:i w:val="0"/>
              <w:iCs w:val="0"/>
              <w:noProof/>
              <w:kern w:val="2"/>
              <w:lang w:val="en-IN" w:eastAsia="en-IN"/>
              <w14:ligatures w14:val="standardContextual"/>
            </w:rPr>
          </w:pPr>
          <w:hyperlink w:anchor="_Toc218979662" w:history="1">
            <w:r w:rsidR="00AB074E" w:rsidRPr="00253E86">
              <w:rPr>
                <w:rStyle w:val="Hyperlink"/>
                <w:rFonts w:ascii="Times New Roman" w:hAnsi="Times New Roman"/>
                <w:noProof/>
              </w:rPr>
              <w:t>3.</w:t>
            </w:r>
            <w:r w:rsidR="00AB074E">
              <w:rPr>
                <w:rFonts w:eastAsiaTheme="minorEastAsia" w:cstheme="minorBidi"/>
                <w:b w:val="0"/>
                <w:bCs w:val="0"/>
                <w:i w:val="0"/>
                <w:iCs w:val="0"/>
                <w:noProof/>
                <w:kern w:val="2"/>
                <w:lang w:val="en-IN" w:eastAsia="en-IN"/>
                <w14:ligatures w14:val="standardContextual"/>
              </w:rPr>
              <w:tab/>
            </w:r>
            <w:r w:rsidR="00AB074E" w:rsidRPr="00253E86">
              <w:rPr>
                <w:rStyle w:val="Hyperlink"/>
                <w:rFonts w:ascii="Times New Roman" w:hAnsi="Times New Roman"/>
                <w:noProof/>
              </w:rPr>
              <w:t>Internal Rate of Return Analysis</w:t>
            </w:r>
            <w:r w:rsidR="00AB074E">
              <w:rPr>
                <w:noProof/>
                <w:webHidden/>
              </w:rPr>
              <w:tab/>
            </w:r>
            <w:r w:rsidR="00AB074E">
              <w:rPr>
                <w:noProof/>
                <w:webHidden/>
              </w:rPr>
              <w:fldChar w:fldCharType="begin"/>
            </w:r>
            <w:r w:rsidR="00AB074E">
              <w:rPr>
                <w:noProof/>
                <w:webHidden/>
              </w:rPr>
              <w:instrText xml:space="preserve"> PAGEREF _Toc218979662 \h </w:instrText>
            </w:r>
            <w:r w:rsidR="00AB074E">
              <w:rPr>
                <w:noProof/>
                <w:webHidden/>
              </w:rPr>
            </w:r>
            <w:r w:rsidR="00AB074E">
              <w:rPr>
                <w:noProof/>
                <w:webHidden/>
              </w:rPr>
              <w:fldChar w:fldCharType="separate"/>
            </w:r>
            <w:r w:rsidR="00AB074E">
              <w:rPr>
                <w:noProof/>
                <w:webHidden/>
              </w:rPr>
              <w:t>16</w:t>
            </w:r>
            <w:r w:rsidR="00AB074E">
              <w:rPr>
                <w:noProof/>
                <w:webHidden/>
              </w:rPr>
              <w:fldChar w:fldCharType="end"/>
            </w:r>
          </w:hyperlink>
        </w:p>
        <w:p w14:paraId="7FC2CF56" w14:textId="288FE98A"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3" w:history="1">
            <w:r w:rsidR="00AB074E" w:rsidRPr="00253E86">
              <w:rPr>
                <w:rStyle w:val="Hyperlink"/>
                <w:rFonts w:ascii="Times New Roman" w:hAnsi="Times New Roman"/>
                <w:noProof/>
              </w:rPr>
              <w:t>3.1 IRR Calculation for Option B</w:t>
            </w:r>
            <w:r w:rsidR="00AB074E">
              <w:rPr>
                <w:noProof/>
                <w:webHidden/>
              </w:rPr>
              <w:tab/>
            </w:r>
            <w:r w:rsidR="00AB074E">
              <w:rPr>
                <w:noProof/>
                <w:webHidden/>
              </w:rPr>
              <w:fldChar w:fldCharType="begin"/>
            </w:r>
            <w:r w:rsidR="00AB074E">
              <w:rPr>
                <w:noProof/>
                <w:webHidden/>
              </w:rPr>
              <w:instrText xml:space="preserve"> PAGEREF _Toc218979663 \h </w:instrText>
            </w:r>
            <w:r w:rsidR="00AB074E">
              <w:rPr>
                <w:noProof/>
                <w:webHidden/>
              </w:rPr>
            </w:r>
            <w:r w:rsidR="00AB074E">
              <w:rPr>
                <w:noProof/>
                <w:webHidden/>
              </w:rPr>
              <w:fldChar w:fldCharType="separate"/>
            </w:r>
            <w:r w:rsidR="00AB074E">
              <w:rPr>
                <w:noProof/>
                <w:webHidden/>
              </w:rPr>
              <w:t>16</w:t>
            </w:r>
            <w:r w:rsidR="00AB074E">
              <w:rPr>
                <w:noProof/>
                <w:webHidden/>
              </w:rPr>
              <w:fldChar w:fldCharType="end"/>
            </w:r>
          </w:hyperlink>
        </w:p>
        <w:p w14:paraId="6F9903A3" w14:textId="358D957F"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64" w:history="1">
            <w:r w:rsidR="00AB074E" w:rsidRPr="00253E86">
              <w:rPr>
                <w:rStyle w:val="Hyperlink"/>
                <w:rFonts w:ascii="Times New Roman" w:hAnsi="Times New Roman"/>
                <w:noProof/>
              </w:rPr>
              <w:t>4. Strategic and Interpretive Considerations</w:t>
            </w:r>
            <w:r w:rsidR="00AB074E">
              <w:rPr>
                <w:noProof/>
                <w:webHidden/>
              </w:rPr>
              <w:tab/>
            </w:r>
            <w:r w:rsidR="00AB074E">
              <w:rPr>
                <w:noProof/>
                <w:webHidden/>
              </w:rPr>
              <w:fldChar w:fldCharType="begin"/>
            </w:r>
            <w:r w:rsidR="00AB074E">
              <w:rPr>
                <w:noProof/>
                <w:webHidden/>
              </w:rPr>
              <w:instrText xml:space="preserve"> PAGEREF _Toc218979664 \h </w:instrText>
            </w:r>
            <w:r w:rsidR="00AB074E">
              <w:rPr>
                <w:noProof/>
                <w:webHidden/>
              </w:rPr>
            </w:r>
            <w:r w:rsidR="00AB074E">
              <w:rPr>
                <w:noProof/>
                <w:webHidden/>
              </w:rPr>
              <w:fldChar w:fldCharType="separate"/>
            </w:r>
            <w:r w:rsidR="00AB074E">
              <w:rPr>
                <w:noProof/>
                <w:webHidden/>
              </w:rPr>
              <w:t>18</w:t>
            </w:r>
            <w:r w:rsidR="00AB074E">
              <w:rPr>
                <w:noProof/>
                <w:webHidden/>
              </w:rPr>
              <w:fldChar w:fldCharType="end"/>
            </w:r>
          </w:hyperlink>
        </w:p>
        <w:p w14:paraId="5C2D658C" w14:textId="265D5CBE"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5" w:history="1">
            <w:r w:rsidR="00AB074E" w:rsidRPr="00253E86">
              <w:rPr>
                <w:rStyle w:val="Hyperlink"/>
                <w:rFonts w:ascii="Times New Roman" w:hAnsi="Times New Roman"/>
                <w:noProof/>
              </w:rPr>
              <w:t>4.1 NPV's Theoretical Superiority:</w:t>
            </w:r>
            <w:r w:rsidR="00AB074E">
              <w:rPr>
                <w:noProof/>
                <w:webHidden/>
              </w:rPr>
              <w:tab/>
            </w:r>
            <w:r w:rsidR="00AB074E">
              <w:rPr>
                <w:noProof/>
                <w:webHidden/>
              </w:rPr>
              <w:fldChar w:fldCharType="begin"/>
            </w:r>
            <w:r w:rsidR="00AB074E">
              <w:rPr>
                <w:noProof/>
                <w:webHidden/>
              </w:rPr>
              <w:instrText xml:space="preserve"> PAGEREF _Toc218979665 \h </w:instrText>
            </w:r>
            <w:r w:rsidR="00AB074E">
              <w:rPr>
                <w:noProof/>
                <w:webHidden/>
              </w:rPr>
            </w:r>
            <w:r w:rsidR="00AB074E">
              <w:rPr>
                <w:noProof/>
                <w:webHidden/>
              </w:rPr>
              <w:fldChar w:fldCharType="separate"/>
            </w:r>
            <w:r w:rsidR="00AB074E">
              <w:rPr>
                <w:noProof/>
                <w:webHidden/>
              </w:rPr>
              <w:t>18</w:t>
            </w:r>
            <w:r w:rsidR="00AB074E">
              <w:rPr>
                <w:noProof/>
                <w:webHidden/>
              </w:rPr>
              <w:fldChar w:fldCharType="end"/>
            </w:r>
          </w:hyperlink>
        </w:p>
        <w:p w14:paraId="549D83E6" w14:textId="12D0CE02"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6" w:history="1">
            <w:r w:rsidR="00AB074E" w:rsidRPr="00253E86">
              <w:rPr>
                <w:rStyle w:val="Hyperlink"/>
                <w:rFonts w:ascii="Times New Roman" w:hAnsi="Times New Roman"/>
                <w:noProof/>
              </w:rPr>
              <w:t>4.2 Non-Discounting Methods:</w:t>
            </w:r>
            <w:r w:rsidR="00AB074E">
              <w:rPr>
                <w:noProof/>
                <w:webHidden/>
              </w:rPr>
              <w:tab/>
            </w:r>
            <w:r w:rsidR="00AB074E">
              <w:rPr>
                <w:noProof/>
                <w:webHidden/>
              </w:rPr>
              <w:fldChar w:fldCharType="begin"/>
            </w:r>
            <w:r w:rsidR="00AB074E">
              <w:rPr>
                <w:noProof/>
                <w:webHidden/>
              </w:rPr>
              <w:instrText xml:space="preserve"> PAGEREF _Toc218979666 \h </w:instrText>
            </w:r>
            <w:r w:rsidR="00AB074E">
              <w:rPr>
                <w:noProof/>
                <w:webHidden/>
              </w:rPr>
            </w:r>
            <w:r w:rsidR="00AB074E">
              <w:rPr>
                <w:noProof/>
                <w:webHidden/>
              </w:rPr>
              <w:fldChar w:fldCharType="separate"/>
            </w:r>
            <w:r w:rsidR="00AB074E">
              <w:rPr>
                <w:noProof/>
                <w:webHidden/>
              </w:rPr>
              <w:t>19</w:t>
            </w:r>
            <w:r w:rsidR="00AB074E">
              <w:rPr>
                <w:noProof/>
                <w:webHidden/>
              </w:rPr>
              <w:fldChar w:fldCharType="end"/>
            </w:r>
          </w:hyperlink>
        </w:p>
        <w:p w14:paraId="39D9F8CE" w14:textId="4D9151D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7" w:history="1">
            <w:r w:rsidR="00AB074E" w:rsidRPr="00253E86">
              <w:rPr>
                <w:rStyle w:val="Hyperlink"/>
                <w:rFonts w:ascii="Times New Roman" w:hAnsi="Times New Roman"/>
                <w:noProof/>
              </w:rPr>
              <w:t>4.3 Other Strategic Considerations:</w:t>
            </w:r>
            <w:r w:rsidR="00AB074E">
              <w:rPr>
                <w:noProof/>
                <w:webHidden/>
              </w:rPr>
              <w:tab/>
            </w:r>
            <w:r w:rsidR="00AB074E">
              <w:rPr>
                <w:noProof/>
                <w:webHidden/>
              </w:rPr>
              <w:fldChar w:fldCharType="begin"/>
            </w:r>
            <w:r w:rsidR="00AB074E">
              <w:rPr>
                <w:noProof/>
                <w:webHidden/>
              </w:rPr>
              <w:instrText xml:space="preserve"> PAGEREF _Toc218979667 \h </w:instrText>
            </w:r>
            <w:r w:rsidR="00AB074E">
              <w:rPr>
                <w:noProof/>
                <w:webHidden/>
              </w:rPr>
            </w:r>
            <w:r w:rsidR="00AB074E">
              <w:rPr>
                <w:noProof/>
                <w:webHidden/>
              </w:rPr>
              <w:fldChar w:fldCharType="separate"/>
            </w:r>
            <w:r w:rsidR="00AB074E">
              <w:rPr>
                <w:noProof/>
                <w:webHidden/>
              </w:rPr>
              <w:t>19</w:t>
            </w:r>
            <w:r w:rsidR="00AB074E">
              <w:rPr>
                <w:noProof/>
                <w:webHidden/>
              </w:rPr>
              <w:fldChar w:fldCharType="end"/>
            </w:r>
          </w:hyperlink>
        </w:p>
        <w:p w14:paraId="7A2AC00A" w14:textId="2E81C1FE"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68" w:history="1">
            <w:r w:rsidR="00AB074E" w:rsidRPr="00253E86">
              <w:rPr>
                <w:rStyle w:val="Hyperlink"/>
                <w:rFonts w:ascii="Times New Roman" w:hAnsi="Times New Roman"/>
                <w:noProof/>
              </w:rPr>
              <w:t>5. Plan for financing</w:t>
            </w:r>
            <w:r w:rsidR="00AB074E">
              <w:rPr>
                <w:noProof/>
                <w:webHidden/>
              </w:rPr>
              <w:tab/>
            </w:r>
            <w:r w:rsidR="00AB074E">
              <w:rPr>
                <w:noProof/>
                <w:webHidden/>
              </w:rPr>
              <w:fldChar w:fldCharType="begin"/>
            </w:r>
            <w:r w:rsidR="00AB074E">
              <w:rPr>
                <w:noProof/>
                <w:webHidden/>
              </w:rPr>
              <w:instrText xml:space="preserve"> PAGEREF _Toc218979668 \h </w:instrText>
            </w:r>
            <w:r w:rsidR="00AB074E">
              <w:rPr>
                <w:noProof/>
                <w:webHidden/>
              </w:rPr>
            </w:r>
            <w:r w:rsidR="00AB074E">
              <w:rPr>
                <w:noProof/>
                <w:webHidden/>
              </w:rPr>
              <w:fldChar w:fldCharType="separate"/>
            </w:r>
            <w:r w:rsidR="00AB074E">
              <w:rPr>
                <w:noProof/>
                <w:webHidden/>
              </w:rPr>
              <w:t>20</w:t>
            </w:r>
            <w:r w:rsidR="00AB074E">
              <w:rPr>
                <w:noProof/>
                <w:webHidden/>
              </w:rPr>
              <w:fldChar w:fldCharType="end"/>
            </w:r>
          </w:hyperlink>
        </w:p>
        <w:p w14:paraId="55162B3B" w14:textId="11DF69E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69" w:history="1">
            <w:r w:rsidR="00AB074E" w:rsidRPr="00253E86">
              <w:rPr>
                <w:rStyle w:val="Hyperlink"/>
                <w:rFonts w:ascii="Times New Roman" w:hAnsi="Times New Roman"/>
                <w:noProof/>
              </w:rPr>
              <w:t>5.1 Financing with Equity</w:t>
            </w:r>
            <w:r w:rsidR="00AB074E">
              <w:rPr>
                <w:noProof/>
                <w:webHidden/>
              </w:rPr>
              <w:tab/>
            </w:r>
            <w:r w:rsidR="00AB074E">
              <w:rPr>
                <w:noProof/>
                <w:webHidden/>
              </w:rPr>
              <w:fldChar w:fldCharType="begin"/>
            </w:r>
            <w:r w:rsidR="00AB074E">
              <w:rPr>
                <w:noProof/>
                <w:webHidden/>
              </w:rPr>
              <w:instrText xml:space="preserve"> PAGEREF _Toc218979669 \h </w:instrText>
            </w:r>
            <w:r w:rsidR="00AB074E">
              <w:rPr>
                <w:noProof/>
                <w:webHidden/>
              </w:rPr>
            </w:r>
            <w:r w:rsidR="00AB074E">
              <w:rPr>
                <w:noProof/>
                <w:webHidden/>
              </w:rPr>
              <w:fldChar w:fldCharType="separate"/>
            </w:r>
            <w:r w:rsidR="00AB074E">
              <w:rPr>
                <w:noProof/>
                <w:webHidden/>
              </w:rPr>
              <w:t>20</w:t>
            </w:r>
            <w:r w:rsidR="00AB074E">
              <w:rPr>
                <w:noProof/>
                <w:webHidden/>
              </w:rPr>
              <w:fldChar w:fldCharType="end"/>
            </w:r>
          </w:hyperlink>
        </w:p>
        <w:p w14:paraId="4E8549FA" w14:textId="2109A581"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0" w:history="1">
            <w:r w:rsidR="00AB074E" w:rsidRPr="00253E86">
              <w:rPr>
                <w:rStyle w:val="Hyperlink"/>
                <w:rFonts w:ascii="Times New Roman" w:hAnsi="Times New Roman"/>
                <w:noProof/>
              </w:rPr>
              <w:t>5.2 Accessing capital through debt</w:t>
            </w:r>
            <w:r w:rsidR="00AB074E">
              <w:rPr>
                <w:noProof/>
                <w:webHidden/>
              </w:rPr>
              <w:tab/>
            </w:r>
            <w:r w:rsidR="00AB074E">
              <w:rPr>
                <w:noProof/>
                <w:webHidden/>
              </w:rPr>
              <w:fldChar w:fldCharType="begin"/>
            </w:r>
            <w:r w:rsidR="00AB074E">
              <w:rPr>
                <w:noProof/>
                <w:webHidden/>
              </w:rPr>
              <w:instrText xml:space="preserve"> PAGEREF _Toc218979670 \h </w:instrText>
            </w:r>
            <w:r w:rsidR="00AB074E">
              <w:rPr>
                <w:noProof/>
                <w:webHidden/>
              </w:rPr>
            </w:r>
            <w:r w:rsidR="00AB074E">
              <w:rPr>
                <w:noProof/>
                <w:webHidden/>
              </w:rPr>
              <w:fldChar w:fldCharType="separate"/>
            </w:r>
            <w:r w:rsidR="00AB074E">
              <w:rPr>
                <w:noProof/>
                <w:webHidden/>
              </w:rPr>
              <w:t>20</w:t>
            </w:r>
            <w:r w:rsidR="00AB074E">
              <w:rPr>
                <w:noProof/>
                <w:webHidden/>
              </w:rPr>
              <w:fldChar w:fldCharType="end"/>
            </w:r>
          </w:hyperlink>
        </w:p>
        <w:p w14:paraId="6A73E9F6" w14:textId="7A79B38B"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1" w:history="1">
            <w:r w:rsidR="00AB074E" w:rsidRPr="00253E86">
              <w:rPr>
                <w:rStyle w:val="Hyperlink"/>
                <w:rFonts w:ascii="Times New Roman" w:hAnsi="Times New Roman"/>
                <w:noProof/>
              </w:rPr>
              <w:t>5.3 Retained Earnings:</w:t>
            </w:r>
            <w:r w:rsidR="00AB074E">
              <w:rPr>
                <w:noProof/>
                <w:webHidden/>
              </w:rPr>
              <w:tab/>
            </w:r>
            <w:r w:rsidR="00AB074E">
              <w:rPr>
                <w:noProof/>
                <w:webHidden/>
              </w:rPr>
              <w:fldChar w:fldCharType="begin"/>
            </w:r>
            <w:r w:rsidR="00AB074E">
              <w:rPr>
                <w:noProof/>
                <w:webHidden/>
              </w:rPr>
              <w:instrText xml:space="preserve"> PAGEREF _Toc218979671 \h </w:instrText>
            </w:r>
            <w:r w:rsidR="00AB074E">
              <w:rPr>
                <w:noProof/>
                <w:webHidden/>
              </w:rPr>
            </w:r>
            <w:r w:rsidR="00AB074E">
              <w:rPr>
                <w:noProof/>
                <w:webHidden/>
              </w:rPr>
              <w:fldChar w:fldCharType="separate"/>
            </w:r>
            <w:r w:rsidR="00AB074E">
              <w:rPr>
                <w:noProof/>
                <w:webHidden/>
              </w:rPr>
              <w:t>20</w:t>
            </w:r>
            <w:r w:rsidR="00AB074E">
              <w:rPr>
                <w:noProof/>
                <w:webHidden/>
              </w:rPr>
              <w:fldChar w:fldCharType="end"/>
            </w:r>
          </w:hyperlink>
        </w:p>
        <w:p w14:paraId="7BE38304" w14:textId="7C68EE0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2" w:history="1">
            <w:r w:rsidR="00AB074E" w:rsidRPr="00253E86">
              <w:rPr>
                <w:rStyle w:val="Hyperlink"/>
                <w:rFonts w:ascii="Times New Roman" w:hAnsi="Times New Roman"/>
                <w:noProof/>
              </w:rPr>
              <w:t>5.4 Proposed Financing Structure:</w:t>
            </w:r>
            <w:r w:rsidR="00AB074E">
              <w:rPr>
                <w:noProof/>
                <w:webHidden/>
              </w:rPr>
              <w:tab/>
            </w:r>
            <w:r w:rsidR="00AB074E">
              <w:rPr>
                <w:noProof/>
                <w:webHidden/>
              </w:rPr>
              <w:fldChar w:fldCharType="begin"/>
            </w:r>
            <w:r w:rsidR="00AB074E">
              <w:rPr>
                <w:noProof/>
                <w:webHidden/>
              </w:rPr>
              <w:instrText xml:space="preserve"> PAGEREF _Toc218979672 \h </w:instrText>
            </w:r>
            <w:r w:rsidR="00AB074E">
              <w:rPr>
                <w:noProof/>
                <w:webHidden/>
              </w:rPr>
            </w:r>
            <w:r w:rsidR="00AB074E">
              <w:rPr>
                <w:noProof/>
                <w:webHidden/>
              </w:rPr>
              <w:fldChar w:fldCharType="separate"/>
            </w:r>
            <w:r w:rsidR="00AB074E">
              <w:rPr>
                <w:noProof/>
                <w:webHidden/>
              </w:rPr>
              <w:t>20</w:t>
            </w:r>
            <w:r w:rsidR="00AB074E">
              <w:rPr>
                <w:noProof/>
                <w:webHidden/>
              </w:rPr>
              <w:fldChar w:fldCharType="end"/>
            </w:r>
          </w:hyperlink>
        </w:p>
        <w:p w14:paraId="62262BEF" w14:textId="48AE1078"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73" w:history="1">
            <w:r w:rsidR="00AB074E" w:rsidRPr="00253E86">
              <w:rPr>
                <w:rStyle w:val="Hyperlink"/>
                <w:rFonts w:ascii="Times New Roman" w:hAnsi="Times New Roman"/>
                <w:noProof/>
              </w:rPr>
              <w:t>6. Conclusion:</w:t>
            </w:r>
            <w:r w:rsidR="00AB074E">
              <w:rPr>
                <w:noProof/>
                <w:webHidden/>
              </w:rPr>
              <w:tab/>
            </w:r>
            <w:r w:rsidR="00AB074E">
              <w:rPr>
                <w:noProof/>
                <w:webHidden/>
              </w:rPr>
              <w:fldChar w:fldCharType="begin"/>
            </w:r>
            <w:r w:rsidR="00AB074E">
              <w:rPr>
                <w:noProof/>
                <w:webHidden/>
              </w:rPr>
              <w:instrText xml:space="preserve"> PAGEREF _Toc218979673 \h </w:instrText>
            </w:r>
            <w:r w:rsidR="00AB074E">
              <w:rPr>
                <w:noProof/>
                <w:webHidden/>
              </w:rPr>
            </w:r>
            <w:r w:rsidR="00AB074E">
              <w:rPr>
                <w:noProof/>
                <w:webHidden/>
              </w:rPr>
              <w:fldChar w:fldCharType="separate"/>
            </w:r>
            <w:r w:rsidR="00AB074E">
              <w:rPr>
                <w:noProof/>
                <w:webHidden/>
              </w:rPr>
              <w:t>21</w:t>
            </w:r>
            <w:r w:rsidR="00AB074E">
              <w:rPr>
                <w:noProof/>
                <w:webHidden/>
              </w:rPr>
              <w:fldChar w:fldCharType="end"/>
            </w:r>
          </w:hyperlink>
        </w:p>
        <w:p w14:paraId="6D7056D9" w14:textId="0CD39297" w:rsidR="00AB074E" w:rsidRDefault="00000000">
          <w:pPr>
            <w:pStyle w:val="TOC1"/>
            <w:tabs>
              <w:tab w:val="right" w:leader="dot" w:pos="9016"/>
            </w:tabs>
            <w:rPr>
              <w:rFonts w:eastAsiaTheme="minorEastAsia" w:cstheme="minorBidi"/>
              <w:b w:val="0"/>
              <w:bCs w:val="0"/>
              <w:i w:val="0"/>
              <w:iCs w:val="0"/>
              <w:noProof/>
              <w:kern w:val="2"/>
              <w:lang w:val="en-IN" w:eastAsia="en-IN"/>
              <w14:ligatures w14:val="standardContextual"/>
            </w:rPr>
          </w:pPr>
          <w:hyperlink w:anchor="_Toc218979674" w:history="1">
            <w:r w:rsidR="00AB074E" w:rsidRPr="00253E86">
              <w:rPr>
                <w:rStyle w:val="Hyperlink"/>
                <w:noProof/>
              </w:rPr>
              <w:t>REFERENCES:</w:t>
            </w:r>
            <w:r w:rsidR="00AB074E">
              <w:rPr>
                <w:noProof/>
                <w:webHidden/>
              </w:rPr>
              <w:tab/>
            </w:r>
            <w:r w:rsidR="00AB074E">
              <w:rPr>
                <w:noProof/>
                <w:webHidden/>
              </w:rPr>
              <w:fldChar w:fldCharType="begin"/>
            </w:r>
            <w:r w:rsidR="00AB074E">
              <w:rPr>
                <w:noProof/>
                <w:webHidden/>
              </w:rPr>
              <w:instrText xml:space="preserve"> PAGEREF _Toc218979674 \h </w:instrText>
            </w:r>
            <w:r w:rsidR="00AB074E">
              <w:rPr>
                <w:noProof/>
                <w:webHidden/>
              </w:rPr>
            </w:r>
            <w:r w:rsidR="00AB074E">
              <w:rPr>
                <w:noProof/>
                <w:webHidden/>
              </w:rPr>
              <w:fldChar w:fldCharType="separate"/>
            </w:r>
            <w:r w:rsidR="00AB074E">
              <w:rPr>
                <w:noProof/>
                <w:webHidden/>
              </w:rPr>
              <w:t>22</w:t>
            </w:r>
            <w:r w:rsidR="00AB074E">
              <w:rPr>
                <w:noProof/>
                <w:webHidden/>
              </w:rPr>
              <w:fldChar w:fldCharType="end"/>
            </w:r>
          </w:hyperlink>
        </w:p>
        <w:p w14:paraId="09C0B9AC" w14:textId="3C1EF261"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5" w:history="1">
            <w:r w:rsidR="00AB074E" w:rsidRPr="00253E86">
              <w:rPr>
                <w:rStyle w:val="Hyperlink"/>
                <w:rFonts w:ascii="Times New Roman" w:hAnsi="Times New Roman"/>
                <w:noProof/>
              </w:rPr>
              <w:t>APPENDICIES</w:t>
            </w:r>
            <w:r w:rsidR="00AB074E">
              <w:rPr>
                <w:noProof/>
                <w:webHidden/>
              </w:rPr>
              <w:tab/>
            </w:r>
            <w:r w:rsidR="00AB074E">
              <w:rPr>
                <w:noProof/>
                <w:webHidden/>
              </w:rPr>
              <w:fldChar w:fldCharType="begin"/>
            </w:r>
            <w:r w:rsidR="00AB074E">
              <w:rPr>
                <w:noProof/>
                <w:webHidden/>
              </w:rPr>
              <w:instrText xml:space="preserve"> PAGEREF _Toc218979675 \h </w:instrText>
            </w:r>
            <w:r w:rsidR="00AB074E">
              <w:rPr>
                <w:noProof/>
                <w:webHidden/>
              </w:rPr>
            </w:r>
            <w:r w:rsidR="00AB074E">
              <w:rPr>
                <w:noProof/>
                <w:webHidden/>
              </w:rPr>
              <w:fldChar w:fldCharType="separate"/>
            </w:r>
            <w:r w:rsidR="00AB074E">
              <w:rPr>
                <w:noProof/>
                <w:webHidden/>
              </w:rPr>
              <w:t>23</w:t>
            </w:r>
            <w:r w:rsidR="00AB074E">
              <w:rPr>
                <w:noProof/>
                <w:webHidden/>
              </w:rPr>
              <w:fldChar w:fldCharType="end"/>
            </w:r>
          </w:hyperlink>
        </w:p>
        <w:p w14:paraId="419FB242" w14:textId="75D39B5C"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6" w:history="1">
            <w:r w:rsidR="00AB074E" w:rsidRPr="00253E86">
              <w:rPr>
                <w:rStyle w:val="Hyperlink"/>
                <w:rFonts w:ascii="Times New Roman" w:hAnsi="Times New Roman"/>
                <w:noProof/>
              </w:rPr>
              <w:t>Appendix A: Financial Statement Extracts (2023)</w:t>
            </w:r>
            <w:r w:rsidR="00AB074E">
              <w:rPr>
                <w:noProof/>
                <w:webHidden/>
              </w:rPr>
              <w:tab/>
            </w:r>
            <w:r w:rsidR="00AB074E">
              <w:rPr>
                <w:noProof/>
                <w:webHidden/>
              </w:rPr>
              <w:fldChar w:fldCharType="begin"/>
            </w:r>
            <w:r w:rsidR="00AB074E">
              <w:rPr>
                <w:noProof/>
                <w:webHidden/>
              </w:rPr>
              <w:instrText xml:space="preserve"> PAGEREF _Toc218979676 \h </w:instrText>
            </w:r>
            <w:r w:rsidR="00AB074E">
              <w:rPr>
                <w:noProof/>
                <w:webHidden/>
              </w:rPr>
            </w:r>
            <w:r w:rsidR="00AB074E">
              <w:rPr>
                <w:noProof/>
                <w:webHidden/>
              </w:rPr>
              <w:fldChar w:fldCharType="separate"/>
            </w:r>
            <w:r w:rsidR="00AB074E">
              <w:rPr>
                <w:noProof/>
                <w:webHidden/>
              </w:rPr>
              <w:t>23</w:t>
            </w:r>
            <w:r w:rsidR="00AB074E">
              <w:rPr>
                <w:noProof/>
                <w:webHidden/>
              </w:rPr>
              <w:fldChar w:fldCharType="end"/>
            </w:r>
          </w:hyperlink>
        </w:p>
        <w:p w14:paraId="26865F5A" w14:textId="7FAABA18"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7" w:history="1">
            <w:r w:rsidR="00AB074E" w:rsidRPr="00253E86">
              <w:rPr>
                <w:rStyle w:val="Hyperlink"/>
                <w:rFonts w:ascii="Times New Roman" w:hAnsi="Times New Roman"/>
                <w:noProof/>
              </w:rPr>
              <w:t>Appendix B: Financial Statement Extracts (2024)</w:t>
            </w:r>
            <w:r w:rsidR="00AB074E">
              <w:rPr>
                <w:noProof/>
                <w:webHidden/>
              </w:rPr>
              <w:tab/>
            </w:r>
            <w:r w:rsidR="00AB074E">
              <w:rPr>
                <w:noProof/>
                <w:webHidden/>
              </w:rPr>
              <w:fldChar w:fldCharType="begin"/>
            </w:r>
            <w:r w:rsidR="00AB074E">
              <w:rPr>
                <w:noProof/>
                <w:webHidden/>
              </w:rPr>
              <w:instrText xml:space="preserve"> PAGEREF _Toc218979677 \h </w:instrText>
            </w:r>
            <w:r w:rsidR="00AB074E">
              <w:rPr>
                <w:noProof/>
                <w:webHidden/>
              </w:rPr>
            </w:r>
            <w:r w:rsidR="00AB074E">
              <w:rPr>
                <w:noProof/>
                <w:webHidden/>
              </w:rPr>
              <w:fldChar w:fldCharType="separate"/>
            </w:r>
            <w:r w:rsidR="00AB074E">
              <w:rPr>
                <w:noProof/>
                <w:webHidden/>
              </w:rPr>
              <w:t>24</w:t>
            </w:r>
            <w:r w:rsidR="00AB074E">
              <w:rPr>
                <w:noProof/>
                <w:webHidden/>
              </w:rPr>
              <w:fldChar w:fldCharType="end"/>
            </w:r>
          </w:hyperlink>
        </w:p>
        <w:p w14:paraId="0C04BD37" w14:textId="010E5E55"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8" w:history="1">
            <w:r w:rsidR="00AB074E" w:rsidRPr="00253E86">
              <w:rPr>
                <w:rStyle w:val="Hyperlink"/>
                <w:rFonts w:ascii="Times New Roman" w:hAnsi="Times New Roman"/>
                <w:noProof/>
              </w:rPr>
              <w:t>Appendix C: Profitability Ratio Calculation Workings (FY 2023)</w:t>
            </w:r>
            <w:r w:rsidR="00AB074E">
              <w:rPr>
                <w:noProof/>
                <w:webHidden/>
              </w:rPr>
              <w:tab/>
            </w:r>
            <w:r w:rsidR="00AB074E">
              <w:rPr>
                <w:noProof/>
                <w:webHidden/>
              </w:rPr>
              <w:fldChar w:fldCharType="begin"/>
            </w:r>
            <w:r w:rsidR="00AB074E">
              <w:rPr>
                <w:noProof/>
                <w:webHidden/>
              </w:rPr>
              <w:instrText xml:space="preserve"> PAGEREF _Toc218979678 \h </w:instrText>
            </w:r>
            <w:r w:rsidR="00AB074E">
              <w:rPr>
                <w:noProof/>
                <w:webHidden/>
              </w:rPr>
            </w:r>
            <w:r w:rsidR="00AB074E">
              <w:rPr>
                <w:noProof/>
                <w:webHidden/>
              </w:rPr>
              <w:fldChar w:fldCharType="separate"/>
            </w:r>
            <w:r w:rsidR="00AB074E">
              <w:rPr>
                <w:noProof/>
                <w:webHidden/>
              </w:rPr>
              <w:t>25</w:t>
            </w:r>
            <w:r w:rsidR="00AB074E">
              <w:rPr>
                <w:noProof/>
                <w:webHidden/>
              </w:rPr>
              <w:fldChar w:fldCharType="end"/>
            </w:r>
          </w:hyperlink>
        </w:p>
        <w:p w14:paraId="2CDB9F54" w14:textId="20923B35"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79" w:history="1">
            <w:r w:rsidR="00AB074E" w:rsidRPr="00253E86">
              <w:rPr>
                <w:rStyle w:val="Hyperlink"/>
                <w:rFonts w:ascii="Times New Roman" w:hAnsi="Times New Roman"/>
                <w:noProof/>
              </w:rPr>
              <w:t>Appendix D: Profitability Ratio Calculation Workings (FY 2024)</w:t>
            </w:r>
            <w:r w:rsidR="00AB074E">
              <w:rPr>
                <w:noProof/>
                <w:webHidden/>
              </w:rPr>
              <w:tab/>
            </w:r>
            <w:r w:rsidR="00AB074E">
              <w:rPr>
                <w:noProof/>
                <w:webHidden/>
              </w:rPr>
              <w:fldChar w:fldCharType="begin"/>
            </w:r>
            <w:r w:rsidR="00AB074E">
              <w:rPr>
                <w:noProof/>
                <w:webHidden/>
              </w:rPr>
              <w:instrText xml:space="preserve"> PAGEREF _Toc218979679 \h </w:instrText>
            </w:r>
            <w:r w:rsidR="00AB074E">
              <w:rPr>
                <w:noProof/>
                <w:webHidden/>
              </w:rPr>
            </w:r>
            <w:r w:rsidR="00AB074E">
              <w:rPr>
                <w:noProof/>
                <w:webHidden/>
              </w:rPr>
              <w:fldChar w:fldCharType="separate"/>
            </w:r>
            <w:r w:rsidR="00AB074E">
              <w:rPr>
                <w:noProof/>
                <w:webHidden/>
              </w:rPr>
              <w:t>27</w:t>
            </w:r>
            <w:r w:rsidR="00AB074E">
              <w:rPr>
                <w:noProof/>
                <w:webHidden/>
              </w:rPr>
              <w:fldChar w:fldCharType="end"/>
            </w:r>
          </w:hyperlink>
        </w:p>
        <w:p w14:paraId="007C23C6" w14:textId="0C994717"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0" w:history="1">
            <w:r w:rsidR="00AB074E" w:rsidRPr="00253E86">
              <w:rPr>
                <w:rStyle w:val="Hyperlink"/>
                <w:rFonts w:ascii="Times New Roman" w:hAnsi="Times New Roman"/>
                <w:noProof/>
              </w:rPr>
              <w:t>Appendix E Source of Financial Data – FY 2023</w:t>
            </w:r>
            <w:r w:rsidR="00AB074E">
              <w:rPr>
                <w:noProof/>
                <w:webHidden/>
              </w:rPr>
              <w:tab/>
            </w:r>
            <w:r w:rsidR="00AB074E">
              <w:rPr>
                <w:noProof/>
                <w:webHidden/>
              </w:rPr>
              <w:fldChar w:fldCharType="begin"/>
            </w:r>
            <w:r w:rsidR="00AB074E">
              <w:rPr>
                <w:noProof/>
                <w:webHidden/>
              </w:rPr>
              <w:instrText xml:space="preserve"> PAGEREF _Toc218979680 \h </w:instrText>
            </w:r>
            <w:r w:rsidR="00AB074E">
              <w:rPr>
                <w:noProof/>
                <w:webHidden/>
              </w:rPr>
            </w:r>
            <w:r w:rsidR="00AB074E">
              <w:rPr>
                <w:noProof/>
                <w:webHidden/>
              </w:rPr>
              <w:fldChar w:fldCharType="separate"/>
            </w:r>
            <w:r w:rsidR="00AB074E">
              <w:rPr>
                <w:noProof/>
                <w:webHidden/>
              </w:rPr>
              <w:t>29</w:t>
            </w:r>
            <w:r w:rsidR="00AB074E">
              <w:rPr>
                <w:noProof/>
                <w:webHidden/>
              </w:rPr>
              <w:fldChar w:fldCharType="end"/>
            </w:r>
          </w:hyperlink>
        </w:p>
        <w:p w14:paraId="357516A2" w14:textId="6B617306"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1" w:history="1">
            <w:r w:rsidR="00AB074E" w:rsidRPr="00253E86">
              <w:rPr>
                <w:rStyle w:val="Hyperlink"/>
                <w:rFonts w:ascii="Times New Roman" w:hAnsi="Times New Roman"/>
                <w:noProof/>
              </w:rPr>
              <w:t>Appendix F: Source of Data Used for Liquidity Ratios (FY 2024)</w:t>
            </w:r>
            <w:r w:rsidR="00AB074E">
              <w:rPr>
                <w:noProof/>
                <w:webHidden/>
              </w:rPr>
              <w:tab/>
            </w:r>
            <w:r w:rsidR="00AB074E">
              <w:rPr>
                <w:noProof/>
                <w:webHidden/>
              </w:rPr>
              <w:fldChar w:fldCharType="begin"/>
            </w:r>
            <w:r w:rsidR="00AB074E">
              <w:rPr>
                <w:noProof/>
                <w:webHidden/>
              </w:rPr>
              <w:instrText xml:space="preserve"> PAGEREF _Toc218979681 \h </w:instrText>
            </w:r>
            <w:r w:rsidR="00AB074E">
              <w:rPr>
                <w:noProof/>
                <w:webHidden/>
              </w:rPr>
            </w:r>
            <w:r w:rsidR="00AB074E">
              <w:rPr>
                <w:noProof/>
                <w:webHidden/>
              </w:rPr>
              <w:fldChar w:fldCharType="separate"/>
            </w:r>
            <w:r w:rsidR="00AB074E">
              <w:rPr>
                <w:noProof/>
                <w:webHidden/>
              </w:rPr>
              <w:t>30</w:t>
            </w:r>
            <w:r w:rsidR="00AB074E">
              <w:rPr>
                <w:noProof/>
                <w:webHidden/>
              </w:rPr>
              <w:fldChar w:fldCharType="end"/>
            </w:r>
          </w:hyperlink>
        </w:p>
        <w:p w14:paraId="67F20510" w14:textId="5B3BE10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2" w:history="1">
            <w:r w:rsidR="00AB074E" w:rsidRPr="00253E86">
              <w:rPr>
                <w:rStyle w:val="Hyperlink"/>
                <w:rFonts w:ascii="Times New Roman" w:hAnsi="Times New Roman"/>
                <w:noProof/>
              </w:rPr>
              <w:t>Appendix G: Detailed Liquidity Ratio Calculations (FY 2023)</w:t>
            </w:r>
            <w:r w:rsidR="00AB074E">
              <w:rPr>
                <w:noProof/>
                <w:webHidden/>
              </w:rPr>
              <w:tab/>
            </w:r>
            <w:r w:rsidR="00AB074E">
              <w:rPr>
                <w:noProof/>
                <w:webHidden/>
              </w:rPr>
              <w:fldChar w:fldCharType="begin"/>
            </w:r>
            <w:r w:rsidR="00AB074E">
              <w:rPr>
                <w:noProof/>
                <w:webHidden/>
              </w:rPr>
              <w:instrText xml:space="preserve"> PAGEREF _Toc218979682 \h </w:instrText>
            </w:r>
            <w:r w:rsidR="00AB074E">
              <w:rPr>
                <w:noProof/>
                <w:webHidden/>
              </w:rPr>
            </w:r>
            <w:r w:rsidR="00AB074E">
              <w:rPr>
                <w:noProof/>
                <w:webHidden/>
              </w:rPr>
              <w:fldChar w:fldCharType="separate"/>
            </w:r>
            <w:r w:rsidR="00AB074E">
              <w:rPr>
                <w:noProof/>
                <w:webHidden/>
              </w:rPr>
              <w:t>31</w:t>
            </w:r>
            <w:r w:rsidR="00AB074E">
              <w:rPr>
                <w:noProof/>
                <w:webHidden/>
              </w:rPr>
              <w:fldChar w:fldCharType="end"/>
            </w:r>
          </w:hyperlink>
        </w:p>
        <w:p w14:paraId="4AB935AA" w14:textId="41B9F448"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3" w:history="1">
            <w:r w:rsidR="00AB074E" w:rsidRPr="00253E86">
              <w:rPr>
                <w:rStyle w:val="Hyperlink"/>
                <w:rFonts w:ascii="Times New Roman" w:hAnsi="Times New Roman"/>
                <w:noProof/>
              </w:rPr>
              <w:t>Appendix H: Liquidity Ratio Calculation Workings (FY 2024)</w:t>
            </w:r>
            <w:r w:rsidR="00AB074E">
              <w:rPr>
                <w:noProof/>
                <w:webHidden/>
              </w:rPr>
              <w:tab/>
            </w:r>
            <w:r w:rsidR="00AB074E">
              <w:rPr>
                <w:noProof/>
                <w:webHidden/>
              </w:rPr>
              <w:fldChar w:fldCharType="begin"/>
            </w:r>
            <w:r w:rsidR="00AB074E">
              <w:rPr>
                <w:noProof/>
                <w:webHidden/>
              </w:rPr>
              <w:instrText xml:space="preserve"> PAGEREF _Toc218979683 \h </w:instrText>
            </w:r>
            <w:r w:rsidR="00AB074E">
              <w:rPr>
                <w:noProof/>
                <w:webHidden/>
              </w:rPr>
            </w:r>
            <w:r w:rsidR="00AB074E">
              <w:rPr>
                <w:noProof/>
                <w:webHidden/>
              </w:rPr>
              <w:fldChar w:fldCharType="separate"/>
            </w:r>
            <w:r w:rsidR="00AB074E">
              <w:rPr>
                <w:noProof/>
                <w:webHidden/>
              </w:rPr>
              <w:t>34</w:t>
            </w:r>
            <w:r w:rsidR="00AB074E">
              <w:rPr>
                <w:noProof/>
                <w:webHidden/>
              </w:rPr>
              <w:fldChar w:fldCharType="end"/>
            </w:r>
          </w:hyperlink>
        </w:p>
        <w:p w14:paraId="3E4CA874" w14:textId="1EE62513"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4" w:history="1">
            <w:r w:rsidR="00AB074E" w:rsidRPr="00253E86">
              <w:rPr>
                <w:rStyle w:val="Hyperlink"/>
                <w:rFonts w:ascii="Times New Roman" w:hAnsi="Times New Roman"/>
                <w:noProof/>
              </w:rPr>
              <w:t>Appendix I: Source of Financial Data Used for Efficiency &amp; Asset Quality Ratios (FY 2023)</w:t>
            </w:r>
            <w:r w:rsidR="00AB074E">
              <w:rPr>
                <w:noProof/>
                <w:webHidden/>
              </w:rPr>
              <w:tab/>
            </w:r>
            <w:r w:rsidR="00AB074E">
              <w:rPr>
                <w:noProof/>
                <w:webHidden/>
              </w:rPr>
              <w:fldChar w:fldCharType="begin"/>
            </w:r>
            <w:r w:rsidR="00AB074E">
              <w:rPr>
                <w:noProof/>
                <w:webHidden/>
              </w:rPr>
              <w:instrText xml:space="preserve"> PAGEREF _Toc218979684 \h </w:instrText>
            </w:r>
            <w:r w:rsidR="00AB074E">
              <w:rPr>
                <w:noProof/>
                <w:webHidden/>
              </w:rPr>
            </w:r>
            <w:r w:rsidR="00AB074E">
              <w:rPr>
                <w:noProof/>
                <w:webHidden/>
              </w:rPr>
              <w:fldChar w:fldCharType="separate"/>
            </w:r>
            <w:r w:rsidR="00AB074E">
              <w:rPr>
                <w:noProof/>
                <w:webHidden/>
              </w:rPr>
              <w:t>35</w:t>
            </w:r>
            <w:r w:rsidR="00AB074E">
              <w:rPr>
                <w:noProof/>
                <w:webHidden/>
              </w:rPr>
              <w:fldChar w:fldCharType="end"/>
            </w:r>
          </w:hyperlink>
        </w:p>
        <w:p w14:paraId="1DE740FC" w14:textId="253FCC0F"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5" w:history="1">
            <w:r w:rsidR="00AB074E" w:rsidRPr="00253E86">
              <w:rPr>
                <w:rStyle w:val="Hyperlink"/>
                <w:rFonts w:ascii="Times New Roman" w:hAnsi="Times New Roman"/>
                <w:noProof/>
              </w:rPr>
              <w:t>Appendix J: Efficiency &amp; Asset Quality Ratio Calculations – Financial Year 2023</w:t>
            </w:r>
            <w:r w:rsidR="00AB074E">
              <w:rPr>
                <w:noProof/>
                <w:webHidden/>
              </w:rPr>
              <w:tab/>
            </w:r>
            <w:r w:rsidR="00AB074E">
              <w:rPr>
                <w:noProof/>
                <w:webHidden/>
              </w:rPr>
              <w:fldChar w:fldCharType="begin"/>
            </w:r>
            <w:r w:rsidR="00AB074E">
              <w:rPr>
                <w:noProof/>
                <w:webHidden/>
              </w:rPr>
              <w:instrText xml:space="preserve"> PAGEREF _Toc218979685 \h </w:instrText>
            </w:r>
            <w:r w:rsidR="00AB074E">
              <w:rPr>
                <w:noProof/>
                <w:webHidden/>
              </w:rPr>
            </w:r>
            <w:r w:rsidR="00AB074E">
              <w:rPr>
                <w:noProof/>
                <w:webHidden/>
              </w:rPr>
              <w:fldChar w:fldCharType="separate"/>
            </w:r>
            <w:r w:rsidR="00AB074E">
              <w:rPr>
                <w:noProof/>
                <w:webHidden/>
              </w:rPr>
              <w:t>36</w:t>
            </w:r>
            <w:r w:rsidR="00AB074E">
              <w:rPr>
                <w:noProof/>
                <w:webHidden/>
              </w:rPr>
              <w:fldChar w:fldCharType="end"/>
            </w:r>
          </w:hyperlink>
        </w:p>
        <w:p w14:paraId="4BB4CB07" w14:textId="5FB64CF5"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6" w:history="1">
            <w:r w:rsidR="00AB074E" w:rsidRPr="00253E86">
              <w:rPr>
                <w:rStyle w:val="Hyperlink"/>
                <w:rFonts w:ascii="Times New Roman" w:hAnsi="Times New Roman"/>
                <w:noProof/>
              </w:rPr>
              <w:t>Appendix K: Source of Financial Data Used (FY 2024)</w:t>
            </w:r>
            <w:r w:rsidR="00AB074E">
              <w:rPr>
                <w:noProof/>
                <w:webHidden/>
              </w:rPr>
              <w:tab/>
            </w:r>
            <w:r w:rsidR="00AB074E">
              <w:rPr>
                <w:noProof/>
                <w:webHidden/>
              </w:rPr>
              <w:fldChar w:fldCharType="begin"/>
            </w:r>
            <w:r w:rsidR="00AB074E">
              <w:rPr>
                <w:noProof/>
                <w:webHidden/>
              </w:rPr>
              <w:instrText xml:space="preserve"> PAGEREF _Toc218979686 \h </w:instrText>
            </w:r>
            <w:r w:rsidR="00AB074E">
              <w:rPr>
                <w:noProof/>
                <w:webHidden/>
              </w:rPr>
            </w:r>
            <w:r w:rsidR="00AB074E">
              <w:rPr>
                <w:noProof/>
                <w:webHidden/>
              </w:rPr>
              <w:fldChar w:fldCharType="separate"/>
            </w:r>
            <w:r w:rsidR="00AB074E">
              <w:rPr>
                <w:noProof/>
                <w:webHidden/>
              </w:rPr>
              <w:t>37</w:t>
            </w:r>
            <w:r w:rsidR="00AB074E">
              <w:rPr>
                <w:noProof/>
                <w:webHidden/>
              </w:rPr>
              <w:fldChar w:fldCharType="end"/>
            </w:r>
          </w:hyperlink>
        </w:p>
        <w:p w14:paraId="71DDB052" w14:textId="64974881"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7" w:history="1">
            <w:r w:rsidR="00AB074E" w:rsidRPr="00253E86">
              <w:rPr>
                <w:rStyle w:val="Hyperlink"/>
                <w:rFonts w:ascii="Times New Roman" w:hAnsi="Times New Roman"/>
                <w:noProof/>
              </w:rPr>
              <w:t>Appendix L: Efficiency &amp; Asset Quality Ratio Calculations (FY 2024)</w:t>
            </w:r>
            <w:r w:rsidR="00AB074E">
              <w:rPr>
                <w:noProof/>
                <w:webHidden/>
              </w:rPr>
              <w:tab/>
            </w:r>
            <w:r w:rsidR="00AB074E">
              <w:rPr>
                <w:noProof/>
                <w:webHidden/>
              </w:rPr>
              <w:fldChar w:fldCharType="begin"/>
            </w:r>
            <w:r w:rsidR="00AB074E">
              <w:rPr>
                <w:noProof/>
                <w:webHidden/>
              </w:rPr>
              <w:instrText xml:space="preserve"> PAGEREF _Toc218979687 \h </w:instrText>
            </w:r>
            <w:r w:rsidR="00AB074E">
              <w:rPr>
                <w:noProof/>
                <w:webHidden/>
              </w:rPr>
            </w:r>
            <w:r w:rsidR="00AB074E">
              <w:rPr>
                <w:noProof/>
                <w:webHidden/>
              </w:rPr>
              <w:fldChar w:fldCharType="separate"/>
            </w:r>
            <w:r w:rsidR="00AB074E">
              <w:rPr>
                <w:noProof/>
                <w:webHidden/>
              </w:rPr>
              <w:t>37</w:t>
            </w:r>
            <w:r w:rsidR="00AB074E">
              <w:rPr>
                <w:noProof/>
                <w:webHidden/>
              </w:rPr>
              <w:fldChar w:fldCharType="end"/>
            </w:r>
          </w:hyperlink>
        </w:p>
        <w:p w14:paraId="60C21F64" w14:textId="71354430"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8" w:history="1">
            <w:r w:rsidR="00AB074E" w:rsidRPr="00253E86">
              <w:rPr>
                <w:rStyle w:val="Hyperlink"/>
                <w:rFonts w:ascii="Times New Roman" w:hAnsi="Times New Roman"/>
                <w:noProof/>
              </w:rPr>
              <w:t>Appendix M: Source of Gearing &amp; Capital Adequacy Ratios Data (FY 2023)</w:t>
            </w:r>
            <w:r w:rsidR="00AB074E">
              <w:rPr>
                <w:noProof/>
                <w:webHidden/>
              </w:rPr>
              <w:tab/>
            </w:r>
            <w:r w:rsidR="00AB074E">
              <w:rPr>
                <w:noProof/>
                <w:webHidden/>
              </w:rPr>
              <w:fldChar w:fldCharType="begin"/>
            </w:r>
            <w:r w:rsidR="00AB074E">
              <w:rPr>
                <w:noProof/>
                <w:webHidden/>
              </w:rPr>
              <w:instrText xml:space="preserve"> PAGEREF _Toc218979688 \h </w:instrText>
            </w:r>
            <w:r w:rsidR="00AB074E">
              <w:rPr>
                <w:noProof/>
                <w:webHidden/>
              </w:rPr>
            </w:r>
            <w:r w:rsidR="00AB074E">
              <w:rPr>
                <w:noProof/>
                <w:webHidden/>
              </w:rPr>
              <w:fldChar w:fldCharType="separate"/>
            </w:r>
            <w:r w:rsidR="00AB074E">
              <w:rPr>
                <w:noProof/>
                <w:webHidden/>
              </w:rPr>
              <w:t>38</w:t>
            </w:r>
            <w:r w:rsidR="00AB074E">
              <w:rPr>
                <w:noProof/>
                <w:webHidden/>
              </w:rPr>
              <w:fldChar w:fldCharType="end"/>
            </w:r>
          </w:hyperlink>
        </w:p>
        <w:p w14:paraId="123B24DC" w14:textId="420CA95F"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89" w:history="1">
            <w:r w:rsidR="00AB074E" w:rsidRPr="00253E86">
              <w:rPr>
                <w:rStyle w:val="Hyperlink"/>
                <w:rFonts w:ascii="Times New Roman" w:hAnsi="Times New Roman"/>
                <w:noProof/>
              </w:rPr>
              <w:t>Appendix N: Detailed Gearing &amp; Capital Adequacy Ratio Calculations (FY 2023)</w:t>
            </w:r>
            <w:r w:rsidR="00AB074E">
              <w:rPr>
                <w:noProof/>
                <w:webHidden/>
              </w:rPr>
              <w:tab/>
            </w:r>
            <w:r w:rsidR="00AB074E">
              <w:rPr>
                <w:noProof/>
                <w:webHidden/>
              </w:rPr>
              <w:fldChar w:fldCharType="begin"/>
            </w:r>
            <w:r w:rsidR="00AB074E">
              <w:rPr>
                <w:noProof/>
                <w:webHidden/>
              </w:rPr>
              <w:instrText xml:space="preserve"> PAGEREF _Toc218979689 \h </w:instrText>
            </w:r>
            <w:r w:rsidR="00AB074E">
              <w:rPr>
                <w:noProof/>
                <w:webHidden/>
              </w:rPr>
            </w:r>
            <w:r w:rsidR="00AB074E">
              <w:rPr>
                <w:noProof/>
                <w:webHidden/>
              </w:rPr>
              <w:fldChar w:fldCharType="separate"/>
            </w:r>
            <w:r w:rsidR="00AB074E">
              <w:rPr>
                <w:noProof/>
                <w:webHidden/>
              </w:rPr>
              <w:t>39</w:t>
            </w:r>
            <w:r w:rsidR="00AB074E">
              <w:rPr>
                <w:noProof/>
                <w:webHidden/>
              </w:rPr>
              <w:fldChar w:fldCharType="end"/>
            </w:r>
          </w:hyperlink>
        </w:p>
        <w:p w14:paraId="0201C41F" w14:textId="787861E0"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0" w:history="1">
            <w:r w:rsidR="00AB074E" w:rsidRPr="00253E86">
              <w:rPr>
                <w:rStyle w:val="Hyperlink"/>
                <w:rFonts w:ascii="Times New Roman" w:hAnsi="Times New Roman"/>
                <w:noProof/>
              </w:rPr>
              <w:t>Appendix: O Source Data Table: Gearing &amp; Capital Adequacy Ratios (FY 2024)</w:t>
            </w:r>
            <w:r w:rsidR="00AB074E">
              <w:rPr>
                <w:noProof/>
                <w:webHidden/>
              </w:rPr>
              <w:tab/>
            </w:r>
            <w:r w:rsidR="00AB074E">
              <w:rPr>
                <w:noProof/>
                <w:webHidden/>
              </w:rPr>
              <w:fldChar w:fldCharType="begin"/>
            </w:r>
            <w:r w:rsidR="00AB074E">
              <w:rPr>
                <w:noProof/>
                <w:webHidden/>
              </w:rPr>
              <w:instrText xml:space="preserve"> PAGEREF _Toc218979690 \h </w:instrText>
            </w:r>
            <w:r w:rsidR="00AB074E">
              <w:rPr>
                <w:noProof/>
                <w:webHidden/>
              </w:rPr>
            </w:r>
            <w:r w:rsidR="00AB074E">
              <w:rPr>
                <w:noProof/>
                <w:webHidden/>
              </w:rPr>
              <w:fldChar w:fldCharType="separate"/>
            </w:r>
            <w:r w:rsidR="00AB074E">
              <w:rPr>
                <w:noProof/>
                <w:webHidden/>
              </w:rPr>
              <w:t>40</w:t>
            </w:r>
            <w:r w:rsidR="00AB074E">
              <w:rPr>
                <w:noProof/>
                <w:webHidden/>
              </w:rPr>
              <w:fldChar w:fldCharType="end"/>
            </w:r>
          </w:hyperlink>
        </w:p>
        <w:p w14:paraId="18CD9595" w14:textId="6DDC1C7A"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1" w:history="1">
            <w:r w:rsidR="00AB074E" w:rsidRPr="00253E86">
              <w:rPr>
                <w:rStyle w:val="Hyperlink"/>
                <w:rFonts w:ascii="Times New Roman" w:hAnsi="Times New Roman"/>
                <w:noProof/>
              </w:rPr>
              <w:t>Appendix: P Gearing &amp; Capital Adequacy Ratio Calculations (FY 2024)</w:t>
            </w:r>
            <w:r w:rsidR="00AB074E">
              <w:rPr>
                <w:noProof/>
                <w:webHidden/>
              </w:rPr>
              <w:tab/>
            </w:r>
            <w:r w:rsidR="00AB074E">
              <w:rPr>
                <w:noProof/>
                <w:webHidden/>
              </w:rPr>
              <w:fldChar w:fldCharType="begin"/>
            </w:r>
            <w:r w:rsidR="00AB074E">
              <w:rPr>
                <w:noProof/>
                <w:webHidden/>
              </w:rPr>
              <w:instrText xml:space="preserve"> PAGEREF _Toc218979691 \h </w:instrText>
            </w:r>
            <w:r w:rsidR="00AB074E">
              <w:rPr>
                <w:noProof/>
                <w:webHidden/>
              </w:rPr>
            </w:r>
            <w:r w:rsidR="00AB074E">
              <w:rPr>
                <w:noProof/>
                <w:webHidden/>
              </w:rPr>
              <w:fldChar w:fldCharType="separate"/>
            </w:r>
            <w:r w:rsidR="00AB074E">
              <w:rPr>
                <w:noProof/>
                <w:webHidden/>
              </w:rPr>
              <w:t>41</w:t>
            </w:r>
            <w:r w:rsidR="00AB074E">
              <w:rPr>
                <w:noProof/>
                <w:webHidden/>
              </w:rPr>
              <w:fldChar w:fldCharType="end"/>
            </w:r>
          </w:hyperlink>
        </w:p>
        <w:p w14:paraId="21F03113" w14:textId="38BF534D"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2" w:history="1">
            <w:r w:rsidR="00AB074E" w:rsidRPr="00253E86">
              <w:rPr>
                <w:rStyle w:val="Hyperlink"/>
                <w:rFonts w:ascii="Times New Roman" w:hAnsi="Times New Roman"/>
                <w:noProof/>
              </w:rPr>
              <w:t>Appendix: Q Investor / Market Ratios – Financial Year 2023</w:t>
            </w:r>
            <w:r w:rsidR="00AB074E">
              <w:rPr>
                <w:noProof/>
                <w:webHidden/>
              </w:rPr>
              <w:tab/>
            </w:r>
            <w:r w:rsidR="00AB074E">
              <w:rPr>
                <w:noProof/>
                <w:webHidden/>
              </w:rPr>
              <w:fldChar w:fldCharType="begin"/>
            </w:r>
            <w:r w:rsidR="00AB074E">
              <w:rPr>
                <w:noProof/>
                <w:webHidden/>
              </w:rPr>
              <w:instrText xml:space="preserve"> PAGEREF _Toc218979692 \h </w:instrText>
            </w:r>
            <w:r w:rsidR="00AB074E">
              <w:rPr>
                <w:noProof/>
                <w:webHidden/>
              </w:rPr>
            </w:r>
            <w:r w:rsidR="00AB074E">
              <w:rPr>
                <w:noProof/>
                <w:webHidden/>
              </w:rPr>
              <w:fldChar w:fldCharType="separate"/>
            </w:r>
            <w:r w:rsidR="00AB074E">
              <w:rPr>
                <w:noProof/>
                <w:webHidden/>
              </w:rPr>
              <w:t>43</w:t>
            </w:r>
            <w:r w:rsidR="00AB074E">
              <w:rPr>
                <w:noProof/>
                <w:webHidden/>
              </w:rPr>
              <w:fldChar w:fldCharType="end"/>
            </w:r>
          </w:hyperlink>
        </w:p>
        <w:p w14:paraId="16977C5F" w14:textId="19EDA5DF"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3" w:history="1">
            <w:r w:rsidR="00AB074E" w:rsidRPr="00253E86">
              <w:rPr>
                <w:rStyle w:val="Hyperlink"/>
                <w:rFonts w:ascii="Times New Roman" w:hAnsi="Times New Roman"/>
                <w:noProof/>
              </w:rPr>
              <w:t>Appendix R: Investor / Market Ratio Calculations – FY 2023</w:t>
            </w:r>
            <w:r w:rsidR="00AB074E">
              <w:rPr>
                <w:noProof/>
                <w:webHidden/>
              </w:rPr>
              <w:tab/>
            </w:r>
            <w:r w:rsidR="00AB074E">
              <w:rPr>
                <w:noProof/>
                <w:webHidden/>
              </w:rPr>
              <w:fldChar w:fldCharType="begin"/>
            </w:r>
            <w:r w:rsidR="00AB074E">
              <w:rPr>
                <w:noProof/>
                <w:webHidden/>
              </w:rPr>
              <w:instrText xml:space="preserve"> PAGEREF _Toc218979693 \h </w:instrText>
            </w:r>
            <w:r w:rsidR="00AB074E">
              <w:rPr>
                <w:noProof/>
                <w:webHidden/>
              </w:rPr>
            </w:r>
            <w:r w:rsidR="00AB074E">
              <w:rPr>
                <w:noProof/>
                <w:webHidden/>
              </w:rPr>
              <w:fldChar w:fldCharType="separate"/>
            </w:r>
            <w:r w:rsidR="00AB074E">
              <w:rPr>
                <w:noProof/>
                <w:webHidden/>
              </w:rPr>
              <w:t>43</w:t>
            </w:r>
            <w:r w:rsidR="00AB074E">
              <w:rPr>
                <w:noProof/>
                <w:webHidden/>
              </w:rPr>
              <w:fldChar w:fldCharType="end"/>
            </w:r>
          </w:hyperlink>
        </w:p>
        <w:p w14:paraId="4C8B1384" w14:textId="38D52C69"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4" w:history="1">
            <w:r w:rsidR="00AB074E" w:rsidRPr="00253E86">
              <w:rPr>
                <w:rStyle w:val="Hyperlink"/>
                <w:rFonts w:ascii="Times New Roman" w:hAnsi="Times New Roman"/>
                <w:noProof/>
              </w:rPr>
              <w:t>Appendix: S Source Table: Investor / Market Ratios – FY 2024</w:t>
            </w:r>
            <w:r w:rsidR="00AB074E">
              <w:rPr>
                <w:noProof/>
                <w:webHidden/>
              </w:rPr>
              <w:tab/>
            </w:r>
            <w:r w:rsidR="00AB074E">
              <w:rPr>
                <w:noProof/>
                <w:webHidden/>
              </w:rPr>
              <w:fldChar w:fldCharType="begin"/>
            </w:r>
            <w:r w:rsidR="00AB074E">
              <w:rPr>
                <w:noProof/>
                <w:webHidden/>
              </w:rPr>
              <w:instrText xml:space="preserve"> PAGEREF _Toc218979694 \h </w:instrText>
            </w:r>
            <w:r w:rsidR="00AB074E">
              <w:rPr>
                <w:noProof/>
                <w:webHidden/>
              </w:rPr>
            </w:r>
            <w:r w:rsidR="00AB074E">
              <w:rPr>
                <w:noProof/>
                <w:webHidden/>
              </w:rPr>
              <w:fldChar w:fldCharType="separate"/>
            </w:r>
            <w:r w:rsidR="00AB074E">
              <w:rPr>
                <w:noProof/>
                <w:webHidden/>
              </w:rPr>
              <w:t>44</w:t>
            </w:r>
            <w:r w:rsidR="00AB074E">
              <w:rPr>
                <w:noProof/>
                <w:webHidden/>
              </w:rPr>
              <w:fldChar w:fldCharType="end"/>
            </w:r>
          </w:hyperlink>
        </w:p>
        <w:p w14:paraId="0E7881FA" w14:textId="6E4AFDA0" w:rsidR="00AB074E" w:rsidRDefault="00000000">
          <w:pPr>
            <w:pStyle w:val="TOC2"/>
            <w:tabs>
              <w:tab w:val="right" w:leader="dot" w:pos="9016"/>
            </w:tabs>
            <w:rPr>
              <w:rFonts w:eastAsiaTheme="minorEastAsia" w:cstheme="minorBidi"/>
              <w:b w:val="0"/>
              <w:bCs w:val="0"/>
              <w:noProof/>
              <w:kern w:val="2"/>
              <w:sz w:val="24"/>
              <w:szCs w:val="24"/>
              <w:lang w:val="en-IN" w:eastAsia="en-IN"/>
              <w14:ligatures w14:val="standardContextual"/>
            </w:rPr>
          </w:pPr>
          <w:hyperlink w:anchor="_Toc218979695" w:history="1">
            <w:r w:rsidR="00AB074E" w:rsidRPr="00253E86">
              <w:rPr>
                <w:rStyle w:val="Hyperlink"/>
                <w:rFonts w:ascii="Times New Roman" w:hAnsi="Times New Roman"/>
                <w:noProof/>
              </w:rPr>
              <w:t>Appendix T: Investor / Market Ratio Calculations (FY 2024)</w:t>
            </w:r>
            <w:r w:rsidR="00AB074E">
              <w:rPr>
                <w:noProof/>
                <w:webHidden/>
              </w:rPr>
              <w:tab/>
            </w:r>
            <w:r w:rsidR="00AB074E">
              <w:rPr>
                <w:noProof/>
                <w:webHidden/>
              </w:rPr>
              <w:fldChar w:fldCharType="begin"/>
            </w:r>
            <w:r w:rsidR="00AB074E">
              <w:rPr>
                <w:noProof/>
                <w:webHidden/>
              </w:rPr>
              <w:instrText xml:space="preserve"> PAGEREF _Toc218979695 \h </w:instrText>
            </w:r>
            <w:r w:rsidR="00AB074E">
              <w:rPr>
                <w:noProof/>
                <w:webHidden/>
              </w:rPr>
            </w:r>
            <w:r w:rsidR="00AB074E">
              <w:rPr>
                <w:noProof/>
                <w:webHidden/>
              </w:rPr>
              <w:fldChar w:fldCharType="separate"/>
            </w:r>
            <w:r w:rsidR="00AB074E">
              <w:rPr>
                <w:noProof/>
                <w:webHidden/>
              </w:rPr>
              <w:t>45</w:t>
            </w:r>
            <w:r w:rsidR="00AB074E">
              <w:rPr>
                <w:noProof/>
                <w:webHidden/>
              </w:rPr>
              <w:fldChar w:fldCharType="end"/>
            </w:r>
          </w:hyperlink>
        </w:p>
        <w:p w14:paraId="429B2980" w14:textId="401F1130" w:rsidR="002D3279" w:rsidRPr="009252D7" w:rsidRDefault="002D3279" w:rsidP="002D3279">
          <w:pPr>
            <w:rPr>
              <w:color w:val="000000" w:themeColor="text1"/>
            </w:rPr>
          </w:pPr>
          <w:r w:rsidRPr="00AB71DE">
            <w:rPr>
              <w:b/>
              <w:bCs/>
              <w:noProof/>
              <w:color w:val="000000" w:themeColor="text1"/>
            </w:rPr>
            <w:fldChar w:fldCharType="end"/>
          </w:r>
        </w:p>
      </w:sdtContent>
    </w:sdt>
    <w:p w14:paraId="5593EC4A" w14:textId="77777777" w:rsidR="002D3279" w:rsidRPr="009252D7" w:rsidRDefault="002D3279" w:rsidP="002D3279">
      <w:pPr>
        <w:spacing w:line="360" w:lineRule="auto"/>
        <w:jc w:val="both"/>
        <w:rPr>
          <w:b/>
          <w:bCs/>
          <w:color w:val="000000" w:themeColor="text1"/>
          <w:lang w:val="en-US"/>
        </w:rPr>
      </w:pPr>
    </w:p>
    <w:p w14:paraId="26DCB617" w14:textId="77777777" w:rsidR="002D3279" w:rsidRPr="009252D7" w:rsidRDefault="002D3279" w:rsidP="002D3279">
      <w:pPr>
        <w:spacing w:line="278" w:lineRule="auto"/>
        <w:rPr>
          <w:b/>
          <w:bCs/>
          <w:color w:val="000000" w:themeColor="text1"/>
          <w:lang w:val="en-US"/>
        </w:rPr>
      </w:pPr>
      <w:r w:rsidRPr="009252D7">
        <w:rPr>
          <w:b/>
          <w:bCs/>
          <w:color w:val="000000" w:themeColor="text1"/>
          <w:lang w:val="en-US"/>
        </w:rPr>
        <w:br w:type="page"/>
      </w:r>
    </w:p>
    <w:p w14:paraId="7C4256B6" w14:textId="77777777" w:rsidR="002D3279" w:rsidRPr="00F118DA" w:rsidRDefault="002D3279" w:rsidP="002D3279">
      <w:pPr>
        <w:pStyle w:val="Heading1"/>
        <w:rPr>
          <w:rFonts w:ascii="Times New Roman" w:hAnsi="Times New Roman" w:cs="Times New Roman"/>
          <w:b/>
          <w:bCs/>
          <w:color w:val="000000" w:themeColor="text1"/>
          <w:sz w:val="24"/>
          <w:szCs w:val="24"/>
        </w:rPr>
      </w:pPr>
      <w:bookmarkStart w:id="0" w:name="_Toc218979632"/>
      <w:r w:rsidRPr="00F118DA">
        <w:rPr>
          <w:rFonts w:ascii="Times New Roman" w:hAnsi="Times New Roman" w:cs="Times New Roman"/>
          <w:b/>
          <w:bCs/>
          <w:color w:val="000000" w:themeColor="text1"/>
          <w:sz w:val="24"/>
          <w:szCs w:val="24"/>
        </w:rPr>
        <w:lastRenderedPageBreak/>
        <w:t>Executive Summary</w:t>
      </w:r>
      <w:bookmarkEnd w:id="0"/>
    </w:p>
    <w:p w14:paraId="18057377" w14:textId="77777777" w:rsidR="002D3279" w:rsidRPr="00BA44C7" w:rsidRDefault="002D3279" w:rsidP="002D3279">
      <w:pPr>
        <w:spacing w:line="360" w:lineRule="auto"/>
        <w:jc w:val="both"/>
        <w:rPr>
          <w:lang w:val="en-US"/>
        </w:rPr>
      </w:pPr>
    </w:p>
    <w:p w14:paraId="242B4CB6" w14:textId="77777777" w:rsidR="002D3279" w:rsidRPr="00BA44C7" w:rsidRDefault="002D3279" w:rsidP="002D3279">
      <w:pPr>
        <w:spacing w:line="360" w:lineRule="auto"/>
        <w:jc w:val="both"/>
        <w:rPr>
          <w:lang w:val="en-US"/>
        </w:rPr>
      </w:pPr>
      <w:r w:rsidRPr="00BA44C7">
        <w:rPr>
          <w:lang w:val="en-US"/>
        </w:rPr>
        <w:t>This financial analysis considers the comprehensive performance of HSBC UK Bank plc for fiscal year 2023 and fiscal year 2024, while also conducting an investment appraisal for the expansion strategies of Westward Plc. The study is divided into two segments that utilize stringent quantitative methodologies and theoretical frameworks to present evidence-based findings.</w:t>
      </w:r>
    </w:p>
    <w:p w14:paraId="2C2AA99A" w14:textId="77777777" w:rsidR="002D3279" w:rsidRPr="00BA44C7" w:rsidRDefault="002D3279" w:rsidP="002D3279">
      <w:pPr>
        <w:spacing w:line="360" w:lineRule="auto"/>
        <w:jc w:val="both"/>
        <w:rPr>
          <w:lang w:val="en-US"/>
        </w:rPr>
      </w:pPr>
      <w:r w:rsidRPr="00BA44C7">
        <w:rPr>
          <w:lang w:val="en-US"/>
        </w:rPr>
        <w:t>Part A presents a fundamental analysis of HSBC UK Bank plc, the ring-fenced retail and commercial banking subsidiary of HSBC Holdings plc, through five key dimensions: profitability, liquidity, efficiency, capital adequacy, and investor metrics. The mixed landscape is indicated by the decline in Return on Equity from 21.8% in 2023 to 16.5% in 2024, primarily because one-time gains from the acquisition of Silicon Valley Bank UK did not recur. However, capital positions remain strong, with a Common Equity Tier 1 ratio of 13.6% and a Liquidity Coverage Ratio of 190%, both well above the regulatory requirements. The Cost-to-Income ratio worsened from 34.3% to 40.3%, reflecting strategic investments in technology and regulatory compliance. Macroeconomic factors, such as high interest rates, have supported the expansion of the Net Interest Margin to 2.56%, while competitive pressures and imperatives for digital transformation feature among the key drivers shaping the performance outcomes. Strategic recommendations are focused on enhancing operational efficiency and optimizing the balance sheet within an increasingly robust regulatory framework.</w:t>
      </w:r>
    </w:p>
    <w:p w14:paraId="7BB9375B" w14:textId="77777777" w:rsidR="002D3279" w:rsidRDefault="002D3279" w:rsidP="002D3279">
      <w:pPr>
        <w:spacing w:line="360" w:lineRule="auto"/>
        <w:jc w:val="both"/>
        <w:rPr>
          <w:lang w:val="en-US"/>
        </w:rPr>
      </w:pPr>
      <w:r w:rsidRPr="00BA44C7">
        <w:rPr>
          <w:lang w:val="en-US"/>
        </w:rPr>
        <w:t>Part B applies investment appraisal techniques in evaluating three Westward Plc capital allocation options, namely retail expansion, development of internet sales, and diversification into production. Through an analysis with NPV and IRR at a 6% discount rate, the financial activity superior option should be Option B (Internet Sales Development), returning an NPV of £792,245 and yielding an approximate IRR of 32.45%. Recommendation in balanced financing structure combines retained earnings with debt and equity for optimal efficiency of available capital besides retaining financial flexibility to facilitate sustainable growth.</w:t>
      </w:r>
    </w:p>
    <w:p w14:paraId="55D40714" w14:textId="77777777" w:rsidR="00BA60EC" w:rsidRDefault="00BA60EC" w:rsidP="002D3279">
      <w:pPr>
        <w:spacing w:line="360" w:lineRule="auto"/>
        <w:jc w:val="both"/>
        <w:rPr>
          <w:lang w:val="en-US"/>
        </w:rPr>
      </w:pPr>
    </w:p>
    <w:p w14:paraId="6EC73BD3" w14:textId="77777777" w:rsidR="00BA60EC" w:rsidRDefault="00BA60EC" w:rsidP="002D3279">
      <w:pPr>
        <w:spacing w:line="360" w:lineRule="auto"/>
        <w:jc w:val="both"/>
        <w:rPr>
          <w:lang w:val="en-US"/>
        </w:rPr>
      </w:pPr>
    </w:p>
    <w:p w14:paraId="0B8DAA07" w14:textId="77777777" w:rsidR="002D3279" w:rsidRPr="007406B8" w:rsidRDefault="002D3279" w:rsidP="002D3279">
      <w:pPr>
        <w:pStyle w:val="Heading1"/>
        <w:rPr>
          <w:rFonts w:ascii="Times New Roman" w:hAnsi="Times New Roman" w:cs="Times New Roman"/>
          <w:b/>
          <w:bCs/>
          <w:sz w:val="24"/>
          <w:szCs w:val="24"/>
          <w:lang w:val="en-US"/>
        </w:rPr>
      </w:pPr>
      <w:bookmarkStart w:id="1" w:name="_Toc218979633"/>
      <w:r w:rsidRPr="007406B8">
        <w:rPr>
          <w:rFonts w:ascii="Times New Roman" w:hAnsi="Times New Roman" w:cs="Times New Roman"/>
          <w:b/>
          <w:bCs/>
          <w:sz w:val="24"/>
          <w:szCs w:val="24"/>
          <w:lang w:val="en-US"/>
        </w:rPr>
        <w:lastRenderedPageBreak/>
        <w:t>PART: A</w:t>
      </w:r>
      <w:bookmarkEnd w:id="1"/>
      <w:r>
        <w:rPr>
          <w:rFonts w:ascii="Times New Roman" w:hAnsi="Times New Roman" w:cs="Times New Roman"/>
          <w:b/>
          <w:bCs/>
          <w:sz w:val="24"/>
          <w:szCs w:val="24"/>
          <w:lang w:val="en-US"/>
        </w:rPr>
        <w:t xml:space="preserve"> </w:t>
      </w:r>
    </w:p>
    <w:p w14:paraId="54C08DB5" w14:textId="77777777" w:rsidR="002D3279" w:rsidRPr="004D0D06" w:rsidRDefault="002D3279" w:rsidP="002D3279">
      <w:pPr>
        <w:pStyle w:val="Heading1"/>
        <w:numPr>
          <w:ilvl w:val="0"/>
          <w:numId w:val="41"/>
        </w:numPr>
        <w:rPr>
          <w:rFonts w:ascii="Times New Roman" w:hAnsi="Times New Roman" w:cs="Times New Roman"/>
          <w:b/>
          <w:bCs/>
          <w:color w:val="000000" w:themeColor="text1"/>
          <w:sz w:val="24"/>
          <w:szCs w:val="24"/>
          <w:lang w:val="en-US"/>
        </w:rPr>
      </w:pPr>
      <w:bookmarkStart w:id="2" w:name="_Toc218979634"/>
      <w:r w:rsidRPr="004D0D06">
        <w:rPr>
          <w:rFonts w:ascii="Times New Roman" w:hAnsi="Times New Roman" w:cs="Times New Roman"/>
          <w:b/>
          <w:bCs/>
          <w:color w:val="000000" w:themeColor="text1"/>
          <w:sz w:val="24"/>
          <w:szCs w:val="24"/>
          <w:lang w:val="en-US"/>
        </w:rPr>
        <w:t>Introduction</w:t>
      </w:r>
      <w:bookmarkEnd w:id="2"/>
    </w:p>
    <w:p w14:paraId="7A09374F" w14:textId="77777777" w:rsidR="002D3279" w:rsidRPr="009252D7" w:rsidRDefault="002D3279" w:rsidP="002D3279">
      <w:pPr>
        <w:spacing w:line="360" w:lineRule="auto"/>
        <w:jc w:val="both"/>
        <w:rPr>
          <w:color w:val="000000" w:themeColor="text1"/>
        </w:rPr>
      </w:pPr>
      <w:r w:rsidRPr="009252D7">
        <w:rPr>
          <w:color w:val="000000" w:themeColor="text1"/>
        </w:rPr>
        <w:t>This study constitutes Part 1 of a broader analysis examining the financial performance and position of HSBC UK Bank plc. The primary objective is to evaluate the bank’s recent financial outcomes, financial stability, and operational resilience within the UK banking sector. Part 1 focuses exclusively on the examination of published financial statements and key financial metrics, providing a quantitative foundation for assessing profitability, liquidity, operational efficiency, and capital adequacy. This evidence-based analysis establishes a factual platform for subsequent strategic discussion and evaluative insights (HSBC UK Bank plc, 2024).</w:t>
      </w:r>
    </w:p>
    <w:p w14:paraId="4E9BDABE" w14:textId="77777777" w:rsidR="002D3279" w:rsidRPr="009252D7" w:rsidRDefault="002D3279" w:rsidP="002D3279">
      <w:pPr>
        <w:spacing w:line="360" w:lineRule="auto"/>
        <w:jc w:val="both"/>
        <w:rPr>
          <w:color w:val="000000" w:themeColor="text1"/>
        </w:rPr>
      </w:pPr>
      <w:r w:rsidRPr="009252D7">
        <w:rPr>
          <w:color w:val="000000" w:themeColor="text1"/>
        </w:rPr>
        <w:t>HSBC UK Bank plc operates as a ring-fenced retail and commercial banking entity and is wholly owned by HSBC Holdings plc, a company listed on the FTSE 100 Index. The bank functions within a highly regulated environment overseen by UK prudential and conduct authorities and serves a broad customer base across retail banking, wealth management, and commercial banking services. As part of the wider HSBC Group, HSBC UK Bank plc benefits from global connectivity, diversified income streams, and extensive international trade finance capabilities, while remaining compliant with domestic ring-fencing requirements and capital regulation standards (HSBC UK Bank plc, 2023).</w:t>
      </w:r>
    </w:p>
    <w:p w14:paraId="4C238D67" w14:textId="77777777" w:rsidR="002D3279" w:rsidRPr="009252D7" w:rsidRDefault="002D3279" w:rsidP="002D3279">
      <w:pPr>
        <w:spacing w:line="360" w:lineRule="auto"/>
        <w:jc w:val="both"/>
        <w:rPr>
          <w:color w:val="000000" w:themeColor="text1"/>
        </w:rPr>
      </w:pPr>
      <w:r w:rsidRPr="009252D7">
        <w:rPr>
          <w:color w:val="000000" w:themeColor="text1"/>
        </w:rPr>
        <w:t>The selection of HSBC UK Bank plc for this analysis is justified by its substantial size, systemic importance, and influential role within the UK financial system. Its large balance sheet, international exposure, and involvement in facilitating cross-border financial activities make it a relevant case study for evaluating the performance and risk management of large, complex banking institutions. In addition, recent strategic developments, notably the acquisition of Silicon Valley Bank UK, further enhance the bank’s suitability for examining issues related to risk governance, earnings sustainability, and capital strength in a volatile macroeconomic environment (HSBC UK Bank plc, 2024).</w:t>
      </w:r>
    </w:p>
    <w:p w14:paraId="0AF49538" w14:textId="77777777" w:rsidR="002D3279" w:rsidRPr="009252D7" w:rsidRDefault="002D3279" w:rsidP="002D3279">
      <w:pPr>
        <w:spacing w:line="360" w:lineRule="auto"/>
        <w:jc w:val="both"/>
        <w:rPr>
          <w:color w:val="000000" w:themeColor="text1"/>
        </w:rPr>
      </w:pPr>
      <w:r w:rsidRPr="009252D7">
        <w:rPr>
          <w:color w:val="000000" w:themeColor="text1"/>
        </w:rPr>
        <w:t>The financial years 2023 and 2024 have been selected to capture the bank’s performance during a period marked by elevated interest rates, persistent inflationary pressures, and post-acquisition integration challenges. Accordingly, Part 1 provides an overview of the bank’s financial statements, followed by ratio analysis and interpretative commentary, ensuring analytical clarity, consistency, and adherence to academic standards.</w:t>
      </w:r>
    </w:p>
    <w:p w14:paraId="640D2EED" w14:textId="77777777" w:rsidR="002D3279" w:rsidRPr="009252D7" w:rsidRDefault="002D3279" w:rsidP="002D3279">
      <w:pPr>
        <w:spacing w:line="360" w:lineRule="auto"/>
        <w:jc w:val="both"/>
        <w:rPr>
          <w:b/>
          <w:bCs/>
          <w:color w:val="000000" w:themeColor="text1"/>
        </w:rPr>
      </w:pPr>
    </w:p>
    <w:p w14:paraId="68CE3308" w14:textId="77777777" w:rsidR="002D3279" w:rsidRPr="009252D7" w:rsidRDefault="002D3279" w:rsidP="002D3279">
      <w:pPr>
        <w:pStyle w:val="Heading1"/>
        <w:numPr>
          <w:ilvl w:val="0"/>
          <w:numId w:val="41"/>
        </w:numPr>
        <w:rPr>
          <w:rFonts w:ascii="Times New Roman" w:hAnsi="Times New Roman" w:cs="Times New Roman"/>
          <w:b/>
          <w:bCs/>
          <w:color w:val="000000" w:themeColor="text1"/>
          <w:sz w:val="24"/>
          <w:szCs w:val="24"/>
        </w:rPr>
      </w:pPr>
      <w:bookmarkStart w:id="3" w:name="_Toc218979635"/>
      <w:r w:rsidRPr="009252D7">
        <w:rPr>
          <w:rFonts w:ascii="Times New Roman" w:hAnsi="Times New Roman" w:cs="Times New Roman"/>
          <w:b/>
          <w:bCs/>
          <w:color w:val="000000" w:themeColor="text1"/>
          <w:sz w:val="24"/>
          <w:szCs w:val="24"/>
        </w:rPr>
        <w:lastRenderedPageBreak/>
        <w:t>Company Background &amp; Industry Context</w:t>
      </w:r>
      <w:bookmarkEnd w:id="3"/>
    </w:p>
    <w:p w14:paraId="49889A30" w14:textId="77777777" w:rsidR="002D3279" w:rsidRPr="009252D7" w:rsidRDefault="002D3279" w:rsidP="002D3279">
      <w:pPr>
        <w:spacing w:line="360" w:lineRule="auto"/>
        <w:jc w:val="both"/>
        <w:rPr>
          <w:color w:val="000000" w:themeColor="text1"/>
        </w:rPr>
      </w:pPr>
      <w:r w:rsidRPr="009252D7">
        <w:rPr>
          <w:color w:val="000000" w:themeColor="text1"/>
        </w:rPr>
        <w:t xml:space="preserve">HSBC UK Bank plc is a ring-fenced retail and commercial bank and a wholly owned subsidiary of HSBC Holdings plc. Its business model is built around a universal banking proposition delivered through three core operating segments: Wealth and Personal Banking (WPB), Commercial Banking (CMB), and Global Banking and Markets (GBM). WPB focuses on retail banking, savings, mortgages, payments, and wealth management for mass, affluent, and private banking customers, while CMB provides lending, trade finance, cash management, and international banking solutions to SMEs and large corporates. GBM activity within the UK is more limited due to ring-fencing regulations and is primarily focused on transaction banking, foreign exchange, and risk-management solutions, with broader capital markets access enabled through the wider HSBC Group network </w:t>
      </w:r>
    </w:p>
    <w:p w14:paraId="18900CF0" w14:textId="77777777" w:rsidR="002D3279" w:rsidRPr="009252D7" w:rsidRDefault="002D3279" w:rsidP="002D3279">
      <w:pPr>
        <w:spacing w:line="360" w:lineRule="auto"/>
        <w:jc w:val="both"/>
        <w:rPr>
          <w:color w:val="000000" w:themeColor="text1"/>
        </w:rPr>
      </w:pPr>
      <w:r w:rsidRPr="009252D7">
        <w:rPr>
          <w:color w:val="000000" w:themeColor="text1"/>
        </w:rPr>
        <w:t>HSBC UK operates within the UK banking and financial services industry, a mature and highly regulated sector characterised by high capital requirements, intense competition, and strong oversight from the Prudential Regulation Authority (PRA) and the Financial Conduct Authority (FCA). The industry plays a central role in credit creation, payments infrastructure, and financial intermediation, while also acting as a key transmission channel for monetary policy set by the Bank of England (BoE). In recent years, the sector has faced heightened regulatory scrutiny following the Global Financial Crisis, with ring-fencing, stress testing, and conduct regulation shaping banks’ operating models (Bank of England, 2024).</w:t>
      </w:r>
    </w:p>
    <w:p w14:paraId="694D236F" w14:textId="77777777" w:rsidR="002D3279" w:rsidRPr="009252D7" w:rsidRDefault="002D3279" w:rsidP="002D3279">
      <w:pPr>
        <w:spacing w:line="360" w:lineRule="auto"/>
        <w:jc w:val="both"/>
        <w:rPr>
          <w:color w:val="000000" w:themeColor="text1"/>
        </w:rPr>
      </w:pPr>
      <w:r w:rsidRPr="009252D7">
        <w:rPr>
          <w:color w:val="000000" w:themeColor="text1"/>
        </w:rPr>
        <w:t>Several structural and cyclical trends are influencing HSBC UK’s performance. First, the interest rate environment has materially affected profitability. Higher policy rates during 2023–2024 supported net interest margins, although increasing competition for deposits and mortgage repricing pressures have partially offset these benefits (HSBC UK Bank plc, 2024). Second, digital transformation remains a critical driver, with customers increasingly demanding seamless mobile-first services, while banks face rising technology and operational resilience costs (Deloitte, 2023). Third, sustainability and ESG considerations are reshaping lending and investment decisions, with growing emphasis on green finance, climate risk management, and transition financing (PwC, 2023).</w:t>
      </w:r>
    </w:p>
    <w:p w14:paraId="15AF205E" w14:textId="3B619141" w:rsidR="002D3279" w:rsidRPr="009252D7" w:rsidRDefault="002D3279" w:rsidP="002D3279">
      <w:pPr>
        <w:spacing w:line="360" w:lineRule="auto"/>
        <w:jc w:val="both"/>
        <w:rPr>
          <w:color w:val="000000" w:themeColor="text1"/>
        </w:rPr>
      </w:pPr>
      <w:r w:rsidRPr="009252D7">
        <w:rPr>
          <w:color w:val="000000" w:themeColor="text1"/>
        </w:rPr>
        <w:t xml:space="preserve">The competitive environment is intense. HSBC UK competes with large domestic incumbents such as Lloyds Banking Group, Barclays, NatWest Group, and Santander UK, as well as with challenger banks and fintech firms that offer agile, low-cost digital propositions. While fintechs exert pressure on fees and customer experience, HSBC UK’s scale, diversified revenue base, strong capital position, and access to the HSBC Group’s global network provide important </w:t>
      </w:r>
      <w:r w:rsidRPr="009252D7">
        <w:rPr>
          <w:color w:val="000000" w:themeColor="text1"/>
        </w:rPr>
        <w:lastRenderedPageBreak/>
        <w:t>competitive advantages, particularly for internationally active corporates and affluent customers (Financial Times, 2024).</w:t>
      </w:r>
    </w:p>
    <w:p w14:paraId="7A797AC8"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4" w:name="_Toc218979636"/>
      <w:r w:rsidRPr="009252D7">
        <w:rPr>
          <w:rFonts w:ascii="Times New Roman" w:hAnsi="Times New Roman" w:cs="Times New Roman"/>
          <w:b/>
          <w:bCs/>
          <w:color w:val="000000" w:themeColor="text1"/>
          <w:sz w:val="24"/>
          <w:szCs w:val="24"/>
        </w:rPr>
        <w:t>3. FINANCIAL PERFORMANCE ANALYSIS USING RATIOS</w:t>
      </w:r>
      <w:bookmarkEnd w:id="4"/>
    </w:p>
    <w:p w14:paraId="35805489" w14:textId="290E2DAD" w:rsidR="002D3279" w:rsidRPr="009252D7" w:rsidRDefault="002D3279" w:rsidP="002D3279">
      <w:pPr>
        <w:spacing w:line="360" w:lineRule="auto"/>
        <w:jc w:val="both"/>
        <w:rPr>
          <w:color w:val="000000" w:themeColor="text1"/>
        </w:rPr>
      </w:pPr>
      <w:r w:rsidRPr="009252D7">
        <w:rPr>
          <w:color w:val="000000" w:themeColor="text1"/>
        </w:rPr>
        <w:t>The examination of financial performance through ratios is a key technique employed to assess an organization’s financial health, efficiency, and profitability based on its published financial statements. Ratio analysis allows stakeholders to decipher intricate accounting data by transforming it into significant indications that facilitate comparisons across time, within organisations, and against industry benchmarks. In the banking business, profitability ratios are crucial since they evaluate the efficiency with which a bank employs its assets, equity, and primary lending operations to produce sustainable profits. Thus, ratio analysis offers a systematic and impartial framework for evaluating managerial success, financial stability, and overall business efficacy.</w:t>
      </w:r>
    </w:p>
    <w:p w14:paraId="1737EA08" w14:textId="77777777" w:rsidR="002D3279" w:rsidRPr="009252D7" w:rsidRDefault="002D3279" w:rsidP="002D3279">
      <w:pPr>
        <w:pStyle w:val="Heading2"/>
        <w:rPr>
          <w:rFonts w:ascii="Times New Roman" w:hAnsi="Times New Roman" w:cs="Times New Roman"/>
          <w:color w:val="000000" w:themeColor="text1"/>
          <w:sz w:val="24"/>
          <w:szCs w:val="24"/>
        </w:rPr>
      </w:pPr>
      <w:bookmarkStart w:id="5" w:name="_Toc218979637"/>
      <w:r w:rsidRPr="009252D7">
        <w:rPr>
          <w:rFonts w:ascii="Times New Roman" w:hAnsi="Times New Roman" w:cs="Times New Roman"/>
          <w:color w:val="000000" w:themeColor="text1"/>
          <w:sz w:val="24"/>
          <w:szCs w:val="24"/>
        </w:rPr>
        <w:t>3.1 Profitability Ratios of HSBC UK Bank Plc [F.Y. 2023 &amp; 2024]</w:t>
      </w:r>
      <w:bookmarkEnd w:id="5"/>
    </w:p>
    <w:p w14:paraId="5719FBB6" w14:textId="77777777" w:rsidR="002D3279" w:rsidRPr="009252D7" w:rsidRDefault="002D3279" w:rsidP="002D3279">
      <w:pPr>
        <w:rPr>
          <w:b/>
          <w:bCs/>
          <w:color w:val="000000" w:themeColor="text1"/>
        </w:rPr>
      </w:pPr>
    </w:p>
    <w:tbl>
      <w:tblPr>
        <w:tblStyle w:val="TableGrid"/>
        <w:tblW w:w="5434" w:type="pct"/>
        <w:tblLayout w:type="fixed"/>
        <w:tblLook w:val="04A0" w:firstRow="1" w:lastRow="0" w:firstColumn="1" w:lastColumn="0" w:noHBand="0" w:noVBand="1"/>
      </w:tblPr>
      <w:tblGrid>
        <w:gridCol w:w="2478"/>
        <w:gridCol w:w="2426"/>
        <w:gridCol w:w="2428"/>
        <w:gridCol w:w="2467"/>
      </w:tblGrid>
      <w:tr w:rsidR="002D3279" w:rsidRPr="009252D7" w14:paraId="17FE01AB" w14:textId="77777777" w:rsidTr="00A42257">
        <w:tc>
          <w:tcPr>
            <w:tcW w:w="1264" w:type="pct"/>
          </w:tcPr>
          <w:p w14:paraId="1ADA67E9"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RATIO</w:t>
            </w:r>
          </w:p>
        </w:tc>
        <w:tc>
          <w:tcPr>
            <w:tcW w:w="1238" w:type="pct"/>
          </w:tcPr>
          <w:p w14:paraId="47D1139C"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 [F.Y. 2023]</w:t>
            </w:r>
          </w:p>
        </w:tc>
        <w:tc>
          <w:tcPr>
            <w:tcW w:w="1239" w:type="pct"/>
          </w:tcPr>
          <w:p w14:paraId="3AEA29D4" w14:textId="77777777" w:rsidR="002D3279" w:rsidRPr="009252D7" w:rsidRDefault="002D3279" w:rsidP="00A42257">
            <w:pPr>
              <w:jc w:val="center"/>
              <w:rPr>
                <w:b/>
                <w:bCs/>
                <w:color w:val="000000" w:themeColor="text1"/>
              </w:rPr>
            </w:pPr>
            <w:r w:rsidRPr="009252D7">
              <w:rPr>
                <w:b/>
                <w:bCs/>
                <w:color w:val="000000" w:themeColor="text1"/>
              </w:rPr>
              <w:t>RESULT [F.Y. 2024]</w:t>
            </w:r>
          </w:p>
        </w:tc>
        <w:tc>
          <w:tcPr>
            <w:tcW w:w="1259" w:type="pct"/>
          </w:tcPr>
          <w:p w14:paraId="445381E8" w14:textId="77777777" w:rsidR="002D3279" w:rsidRPr="009252D7" w:rsidRDefault="002D3279" w:rsidP="00A42257">
            <w:pPr>
              <w:jc w:val="center"/>
              <w:rPr>
                <w:b/>
                <w:bCs/>
                <w:color w:val="000000" w:themeColor="text1"/>
              </w:rPr>
            </w:pPr>
            <w:r w:rsidRPr="009252D7">
              <w:rPr>
                <w:b/>
                <w:bCs/>
                <w:color w:val="000000" w:themeColor="text1"/>
              </w:rPr>
              <w:t>Change</w:t>
            </w:r>
          </w:p>
          <w:p w14:paraId="52AB7D98" w14:textId="77777777" w:rsidR="002D3279" w:rsidRPr="009252D7" w:rsidRDefault="002D3279" w:rsidP="00A42257">
            <w:pPr>
              <w:jc w:val="center"/>
              <w:rPr>
                <w:b/>
                <w:bCs/>
                <w:color w:val="000000" w:themeColor="text1"/>
              </w:rPr>
            </w:pPr>
            <w:r w:rsidRPr="009252D7">
              <w:rPr>
                <w:b/>
                <w:bCs/>
                <w:color w:val="000000" w:themeColor="text1"/>
              </w:rPr>
              <w:t>[Percentage Points]</w:t>
            </w:r>
          </w:p>
        </w:tc>
      </w:tr>
      <w:tr w:rsidR="002D3279" w:rsidRPr="009252D7" w14:paraId="1B63035F" w14:textId="77777777" w:rsidTr="00A42257">
        <w:tc>
          <w:tcPr>
            <w:tcW w:w="1264" w:type="pct"/>
            <w:vAlign w:val="center"/>
          </w:tcPr>
          <w:p w14:paraId="0692C19C" w14:textId="77777777" w:rsidR="002D3279" w:rsidRPr="009252D7" w:rsidRDefault="002D3279" w:rsidP="00A42257">
            <w:pPr>
              <w:spacing w:after="160" w:line="278" w:lineRule="auto"/>
              <w:jc w:val="center"/>
              <w:rPr>
                <w:color w:val="000000" w:themeColor="text1"/>
              </w:rPr>
            </w:pPr>
            <w:r w:rsidRPr="009252D7">
              <w:rPr>
                <w:color w:val="000000" w:themeColor="text1"/>
              </w:rPr>
              <w:t>Return on Equity</w:t>
            </w:r>
          </w:p>
        </w:tc>
        <w:tc>
          <w:tcPr>
            <w:tcW w:w="1238" w:type="pct"/>
            <w:vAlign w:val="center"/>
          </w:tcPr>
          <w:p w14:paraId="471A31E6" w14:textId="77777777" w:rsidR="002D3279" w:rsidRPr="009252D7" w:rsidRDefault="002D3279" w:rsidP="00A42257">
            <w:pPr>
              <w:spacing w:after="160" w:line="278" w:lineRule="auto"/>
              <w:jc w:val="center"/>
              <w:rPr>
                <w:color w:val="000000" w:themeColor="text1"/>
              </w:rPr>
            </w:pPr>
            <w:r w:rsidRPr="009252D7">
              <w:rPr>
                <w:color w:val="000000" w:themeColor="text1"/>
              </w:rPr>
              <w:t>21.8%</w:t>
            </w:r>
          </w:p>
        </w:tc>
        <w:tc>
          <w:tcPr>
            <w:tcW w:w="1239" w:type="pct"/>
            <w:vAlign w:val="center"/>
          </w:tcPr>
          <w:p w14:paraId="52F90F2F" w14:textId="77777777" w:rsidR="002D3279" w:rsidRPr="009252D7" w:rsidRDefault="002D3279" w:rsidP="00A42257">
            <w:pPr>
              <w:jc w:val="center"/>
              <w:rPr>
                <w:color w:val="000000" w:themeColor="text1"/>
              </w:rPr>
            </w:pPr>
            <w:r w:rsidRPr="009252D7">
              <w:rPr>
                <w:color w:val="000000" w:themeColor="text1"/>
              </w:rPr>
              <w:t>16.5%</w:t>
            </w:r>
          </w:p>
        </w:tc>
        <w:tc>
          <w:tcPr>
            <w:tcW w:w="1259" w:type="pct"/>
          </w:tcPr>
          <w:p w14:paraId="37C8549E" w14:textId="77777777" w:rsidR="002D3279" w:rsidRPr="009252D7" w:rsidRDefault="002D3279" w:rsidP="00A42257">
            <w:pPr>
              <w:jc w:val="center"/>
              <w:rPr>
                <w:color w:val="000000" w:themeColor="text1"/>
              </w:rPr>
            </w:pPr>
            <w:r w:rsidRPr="009252D7">
              <w:rPr>
                <w:color w:val="000000" w:themeColor="text1"/>
              </w:rPr>
              <w:t>-5.3</w:t>
            </w:r>
          </w:p>
        </w:tc>
      </w:tr>
      <w:tr w:rsidR="002D3279" w:rsidRPr="009252D7" w14:paraId="62D2B74D" w14:textId="77777777" w:rsidTr="00A42257">
        <w:tc>
          <w:tcPr>
            <w:tcW w:w="1264" w:type="pct"/>
            <w:vAlign w:val="center"/>
          </w:tcPr>
          <w:p w14:paraId="40852269" w14:textId="77777777" w:rsidR="002D3279" w:rsidRPr="009252D7" w:rsidRDefault="002D3279" w:rsidP="00A42257">
            <w:pPr>
              <w:spacing w:after="160" w:line="278" w:lineRule="auto"/>
              <w:jc w:val="center"/>
              <w:rPr>
                <w:color w:val="000000" w:themeColor="text1"/>
              </w:rPr>
            </w:pPr>
            <w:r w:rsidRPr="009252D7">
              <w:rPr>
                <w:color w:val="000000" w:themeColor="text1"/>
              </w:rPr>
              <w:t>Return on Assets</w:t>
            </w:r>
          </w:p>
        </w:tc>
        <w:tc>
          <w:tcPr>
            <w:tcW w:w="1238" w:type="pct"/>
            <w:vAlign w:val="center"/>
          </w:tcPr>
          <w:p w14:paraId="4E85FA40" w14:textId="77777777" w:rsidR="002D3279" w:rsidRPr="009252D7" w:rsidRDefault="002D3279" w:rsidP="00A42257">
            <w:pPr>
              <w:spacing w:after="160" w:line="278" w:lineRule="auto"/>
              <w:jc w:val="center"/>
              <w:rPr>
                <w:color w:val="000000" w:themeColor="text1"/>
              </w:rPr>
            </w:pPr>
            <w:r w:rsidRPr="009252D7">
              <w:rPr>
                <w:color w:val="000000" w:themeColor="text1"/>
              </w:rPr>
              <w:t>1.56%</w:t>
            </w:r>
          </w:p>
        </w:tc>
        <w:tc>
          <w:tcPr>
            <w:tcW w:w="1239" w:type="pct"/>
            <w:vAlign w:val="center"/>
          </w:tcPr>
          <w:p w14:paraId="04DE3681" w14:textId="77777777" w:rsidR="002D3279" w:rsidRPr="009252D7" w:rsidRDefault="002D3279" w:rsidP="00A42257">
            <w:pPr>
              <w:jc w:val="center"/>
              <w:rPr>
                <w:color w:val="000000" w:themeColor="text1"/>
              </w:rPr>
            </w:pPr>
            <w:r w:rsidRPr="009252D7">
              <w:rPr>
                <w:color w:val="000000" w:themeColor="text1"/>
              </w:rPr>
              <w:t>1.23%</w:t>
            </w:r>
          </w:p>
        </w:tc>
        <w:tc>
          <w:tcPr>
            <w:tcW w:w="1259" w:type="pct"/>
          </w:tcPr>
          <w:p w14:paraId="5BDDB0C1" w14:textId="77777777" w:rsidR="002D3279" w:rsidRPr="009252D7" w:rsidRDefault="002D3279" w:rsidP="00A42257">
            <w:pPr>
              <w:jc w:val="center"/>
              <w:rPr>
                <w:color w:val="000000" w:themeColor="text1"/>
              </w:rPr>
            </w:pPr>
            <w:r w:rsidRPr="009252D7">
              <w:rPr>
                <w:color w:val="000000" w:themeColor="text1"/>
              </w:rPr>
              <w:t>-0.33</w:t>
            </w:r>
          </w:p>
        </w:tc>
      </w:tr>
      <w:tr w:rsidR="002D3279" w:rsidRPr="009252D7" w14:paraId="4F164C36" w14:textId="77777777" w:rsidTr="00A42257">
        <w:tc>
          <w:tcPr>
            <w:tcW w:w="1264" w:type="pct"/>
            <w:vAlign w:val="center"/>
          </w:tcPr>
          <w:p w14:paraId="48CEE0FC" w14:textId="77777777" w:rsidR="002D3279" w:rsidRPr="009252D7" w:rsidRDefault="002D3279" w:rsidP="00A42257">
            <w:pPr>
              <w:spacing w:after="160" w:line="278" w:lineRule="auto"/>
              <w:jc w:val="center"/>
              <w:rPr>
                <w:color w:val="000000" w:themeColor="text1"/>
              </w:rPr>
            </w:pPr>
            <w:r w:rsidRPr="009252D7">
              <w:rPr>
                <w:color w:val="000000" w:themeColor="text1"/>
              </w:rPr>
              <w:t>Net Interest Margin</w:t>
            </w:r>
          </w:p>
        </w:tc>
        <w:tc>
          <w:tcPr>
            <w:tcW w:w="1238" w:type="pct"/>
            <w:vAlign w:val="center"/>
          </w:tcPr>
          <w:p w14:paraId="4399FF7C" w14:textId="77777777" w:rsidR="002D3279" w:rsidRPr="009252D7" w:rsidRDefault="002D3279" w:rsidP="00A42257">
            <w:pPr>
              <w:spacing w:after="160" w:line="278" w:lineRule="auto"/>
              <w:jc w:val="center"/>
              <w:rPr>
                <w:color w:val="000000" w:themeColor="text1"/>
              </w:rPr>
            </w:pPr>
            <w:r w:rsidRPr="009252D7">
              <w:rPr>
                <w:color w:val="000000" w:themeColor="text1"/>
              </w:rPr>
              <w:t>2.43%</w:t>
            </w:r>
          </w:p>
        </w:tc>
        <w:tc>
          <w:tcPr>
            <w:tcW w:w="1239" w:type="pct"/>
            <w:vAlign w:val="center"/>
          </w:tcPr>
          <w:p w14:paraId="05EB0D05" w14:textId="77777777" w:rsidR="002D3279" w:rsidRPr="009252D7" w:rsidRDefault="002D3279" w:rsidP="00A42257">
            <w:pPr>
              <w:jc w:val="center"/>
              <w:rPr>
                <w:color w:val="000000" w:themeColor="text1"/>
              </w:rPr>
            </w:pPr>
            <w:r w:rsidRPr="009252D7">
              <w:rPr>
                <w:color w:val="000000" w:themeColor="text1"/>
              </w:rPr>
              <w:t>2.56%</w:t>
            </w:r>
          </w:p>
        </w:tc>
        <w:tc>
          <w:tcPr>
            <w:tcW w:w="1259" w:type="pct"/>
          </w:tcPr>
          <w:p w14:paraId="255F2B8B" w14:textId="77777777" w:rsidR="002D3279" w:rsidRPr="009252D7" w:rsidRDefault="002D3279" w:rsidP="00A42257">
            <w:pPr>
              <w:jc w:val="center"/>
              <w:rPr>
                <w:color w:val="000000" w:themeColor="text1"/>
              </w:rPr>
            </w:pPr>
            <w:r w:rsidRPr="009252D7">
              <w:rPr>
                <w:color w:val="000000" w:themeColor="text1"/>
              </w:rPr>
              <w:t>+0.13%</w:t>
            </w:r>
          </w:p>
        </w:tc>
      </w:tr>
      <w:tr w:rsidR="002D3279" w:rsidRPr="009252D7" w14:paraId="1E42CA07" w14:textId="77777777" w:rsidTr="00A42257">
        <w:tc>
          <w:tcPr>
            <w:tcW w:w="1264" w:type="pct"/>
            <w:vAlign w:val="center"/>
          </w:tcPr>
          <w:p w14:paraId="25768FDB" w14:textId="77777777" w:rsidR="002D3279" w:rsidRPr="009252D7" w:rsidRDefault="002D3279" w:rsidP="00A42257">
            <w:pPr>
              <w:spacing w:after="160" w:line="278" w:lineRule="auto"/>
              <w:jc w:val="center"/>
              <w:rPr>
                <w:color w:val="000000" w:themeColor="text1"/>
              </w:rPr>
            </w:pPr>
            <w:r w:rsidRPr="009252D7">
              <w:rPr>
                <w:color w:val="000000" w:themeColor="text1"/>
              </w:rPr>
              <w:t>Cost to Income Ratios</w:t>
            </w:r>
          </w:p>
        </w:tc>
        <w:tc>
          <w:tcPr>
            <w:tcW w:w="1238" w:type="pct"/>
            <w:vAlign w:val="center"/>
          </w:tcPr>
          <w:p w14:paraId="50798F09" w14:textId="77777777" w:rsidR="002D3279" w:rsidRPr="009252D7" w:rsidRDefault="002D3279" w:rsidP="00A42257">
            <w:pPr>
              <w:spacing w:after="160" w:line="278" w:lineRule="auto"/>
              <w:jc w:val="center"/>
              <w:rPr>
                <w:color w:val="000000" w:themeColor="text1"/>
              </w:rPr>
            </w:pPr>
            <w:r w:rsidRPr="009252D7">
              <w:rPr>
                <w:color w:val="000000" w:themeColor="text1"/>
              </w:rPr>
              <w:t>34.3%</w:t>
            </w:r>
          </w:p>
        </w:tc>
        <w:tc>
          <w:tcPr>
            <w:tcW w:w="1239" w:type="pct"/>
            <w:vAlign w:val="center"/>
          </w:tcPr>
          <w:p w14:paraId="62713B3D" w14:textId="77777777" w:rsidR="002D3279" w:rsidRPr="009252D7" w:rsidRDefault="002D3279" w:rsidP="00A42257">
            <w:pPr>
              <w:jc w:val="center"/>
              <w:rPr>
                <w:color w:val="000000" w:themeColor="text1"/>
              </w:rPr>
            </w:pPr>
            <w:r w:rsidRPr="009252D7">
              <w:rPr>
                <w:color w:val="000000" w:themeColor="text1"/>
              </w:rPr>
              <w:t>40.3%</w:t>
            </w:r>
          </w:p>
        </w:tc>
        <w:tc>
          <w:tcPr>
            <w:tcW w:w="1259" w:type="pct"/>
          </w:tcPr>
          <w:p w14:paraId="2CFA6D60" w14:textId="77777777" w:rsidR="002D3279" w:rsidRPr="009252D7" w:rsidRDefault="002D3279" w:rsidP="00A42257">
            <w:pPr>
              <w:jc w:val="center"/>
              <w:rPr>
                <w:color w:val="000000" w:themeColor="text1"/>
              </w:rPr>
            </w:pPr>
            <w:r w:rsidRPr="009252D7">
              <w:rPr>
                <w:color w:val="000000" w:themeColor="text1"/>
              </w:rPr>
              <w:t>+6.0</w:t>
            </w:r>
          </w:p>
        </w:tc>
      </w:tr>
    </w:tbl>
    <w:p w14:paraId="034D3355" w14:textId="77777777" w:rsidR="002D3279" w:rsidRPr="009252D7" w:rsidRDefault="002D3279" w:rsidP="002D3279">
      <w:pPr>
        <w:rPr>
          <w:color w:val="000000" w:themeColor="text1"/>
        </w:rPr>
      </w:pPr>
    </w:p>
    <w:p w14:paraId="43B6ED9D" w14:textId="77777777" w:rsidR="002D3279" w:rsidRPr="009252D7" w:rsidRDefault="002D3279" w:rsidP="002D3279">
      <w:pPr>
        <w:spacing w:line="360" w:lineRule="auto"/>
        <w:jc w:val="both"/>
        <w:rPr>
          <w:b/>
          <w:bCs/>
          <w:color w:val="000000" w:themeColor="text1"/>
        </w:rPr>
      </w:pPr>
    </w:p>
    <w:p w14:paraId="5BC6808B" w14:textId="77777777" w:rsidR="002D3279" w:rsidRPr="009252D7" w:rsidRDefault="002D3279" w:rsidP="002D3279">
      <w:pPr>
        <w:spacing w:line="360" w:lineRule="auto"/>
        <w:jc w:val="both"/>
        <w:rPr>
          <w:b/>
          <w:bCs/>
          <w:color w:val="000000" w:themeColor="text1"/>
        </w:rPr>
      </w:pPr>
      <w:r w:rsidRPr="009252D7">
        <w:rPr>
          <w:b/>
          <w:bCs/>
          <w:color w:val="000000" w:themeColor="text1"/>
        </w:rPr>
        <w:t>Critical Evaluation:</w:t>
      </w:r>
    </w:p>
    <w:p w14:paraId="14B1E651" w14:textId="1FFB0F21" w:rsidR="002D3279" w:rsidRPr="009252D7" w:rsidRDefault="002D3279" w:rsidP="002D3279">
      <w:pPr>
        <w:spacing w:line="360" w:lineRule="auto"/>
        <w:jc w:val="both"/>
        <w:rPr>
          <w:color w:val="000000" w:themeColor="text1"/>
        </w:rPr>
      </w:pPr>
      <w:r w:rsidRPr="009252D7">
        <w:rPr>
          <w:color w:val="000000" w:themeColor="text1"/>
        </w:rPr>
        <w:t>HSBC UK presents a mixed profitability picture. ROE decreased from 21.8% in 2023 to 16.5% in 2024, mainly as a result of the non-reoccurrence of the one-off acquisition benefit related to Silicon Valley Bank UK; still ROE remains well above the average range of 10–15% for the UK sector.ROA decreased from 1.56% to 1.23%; operationally ROA is at its efficient level of 1.0%. NIM increased from 2.43% to 2.56% due to active structural hedge repricing. The cost-to-income ratio worsened from 34.3% to 40.3% due to spends on technology investments and regulatory compliance. These measures are vulnerable to changes in recurring/one-time items, distortions resulting from regulatory asset mixes, and their inability to discern between strategic and wasted spending, or to assess risk-adjusted profits.</w:t>
      </w:r>
    </w:p>
    <w:p w14:paraId="07DD7B75" w14:textId="77777777" w:rsidR="002D3279" w:rsidRPr="009252D7" w:rsidRDefault="002D3279" w:rsidP="002D3279">
      <w:pPr>
        <w:pStyle w:val="Heading2"/>
        <w:rPr>
          <w:rFonts w:ascii="Times New Roman" w:hAnsi="Times New Roman" w:cs="Times New Roman"/>
          <w:color w:val="000000" w:themeColor="text1"/>
          <w:sz w:val="24"/>
          <w:szCs w:val="24"/>
        </w:rPr>
      </w:pPr>
      <w:bookmarkStart w:id="6" w:name="_Toc218979638"/>
      <w:r w:rsidRPr="009252D7">
        <w:rPr>
          <w:rFonts w:ascii="Times New Roman" w:hAnsi="Times New Roman" w:cs="Times New Roman"/>
          <w:color w:val="000000" w:themeColor="text1"/>
          <w:sz w:val="24"/>
          <w:szCs w:val="24"/>
        </w:rPr>
        <w:lastRenderedPageBreak/>
        <w:t>3.2 Liquidity Ratio Analysis [F.Y. 2023 &amp; 2024]</w:t>
      </w:r>
      <w:bookmarkEnd w:id="6"/>
    </w:p>
    <w:p w14:paraId="56D5FCA9" w14:textId="77777777" w:rsidR="002D3279" w:rsidRPr="009252D7" w:rsidRDefault="002D3279" w:rsidP="002D3279">
      <w:pPr>
        <w:spacing w:line="360" w:lineRule="auto"/>
        <w:jc w:val="both"/>
        <w:rPr>
          <w:b/>
          <w:bCs/>
          <w:color w:val="000000" w:themeColor="text1"/>
        </w:rPr>
      </w:pPr>
    </w:p>
    <w:tbl>
      <w:tblPr>
        <w:tblStyle w:val="TableGrid"/>
        <w:tblW w:w="5349" w:type="pct"/>
        <w:tblLayout w:type="fixed"/>
        <w:tblLook w:val="04A0" w:firstRow="1" w:lastRow="0" w:firstColumn="1" w:lastColumn="0" w:noHBand="0" w:noVBand="1"/>
      </w:tblPr>
      <w:tblGrid>
        <w:gridCol w:w="2501"/>
        <w:gridCol w:w="2409"/>
        <w:gridCol w:w="2407"/>
        <w:gridCol w:w="2328"/>
      </w:tblGrid>
      <w:tr w:rsidR="002D3279" w:rsidRPr="009252D7" w14:paraId="052B0F37" w14:textId="77777777" w:rsidTr="00A42257">
        <w:tc>
          <w:tcPr>
            <w:tcW w:w="1296" w:type="pct"/>
          </w:tcPr>
          <w:p w14:paraId="6A4AD255"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RATIO</w:t>
            </w:r>
          </w:p>
        </w:tc>
        <w:tc>
          <w:tcPr>
            <w:tcW w:w="1249" w:type="pct"/>
          </w:tcPr>
          <w:p w14:paraId="5373F925"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 [F.Y. 2023]</w:t>
            </w:r>
          </w:p>
        </w:tc>
        <w:tc>
          <w:tcPr>
            <w:tcW w:w="1248" w:type="pct"/>
          </w:tcPr>
          <w:p w14:paraId="2329DA5C"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 [F.Y. 2024]</w:t>
            </w:r>
          </w:p>
        </w:tc>
        <w:tc>
          <w:tcPr>
            <w:tcW w:w="1207" w:type="pct"/>
          </w:tcPr>
          <w:p w14:paraId="17AAADB4" w14:textId="77777777" w:rsidR="002D3279" w:rsidRPr="009252D7" w:rsidRDefault="002D3279" w:rsidP="00A42257">
            <w:pPr>
              <w:spacing w:after="160"/>
              <w:jc w:val="center"/>
              <w:rPr>
                <w:b/>
                <w:bCs/>
                <w:color w:val="000000" w:themeColor="text1"/>
              </w:rPr>
            </w:pPr>
            <w:r w:rsidRPr="009252D7">
              <w:rPr>
                <w:b/>
                <w:bCs/>
                <w:color w:val="000000" w:themeColor="text1"/>
              </w:rPr>
              <w:t>Change</w:t>
            </w:r>
          </w:p>
          <w:p w14:paraId="09D6814D" w14:textId="77777777" w:rsidR="002D3279" w:rsidRPr="009252D7" w:rsidRDefault="002D3279" w:rsidP="00A42257">
            <w:pPr>
              <w:spacing w:after="160"/>
              <w:jc w:val="center"/>
              <w:rPr>
                <w:b/>
                <w:bCs/>
                <w:color w:val="000000" w:themeColor="text1"/>
              </w:rPr>
            </w:pPr>
            <w:r w:rsidRPr="009252D7">
              <w:rPr>
                <w:b/>
                <w:bCs/>
                <w:color w:val="000000" w:themeColor="text1"/>
              </w:rPr>
              <w:t>[Percentage Points]</w:t>
            </w:r>
          </w:p>
        </w:tc>
      </w:tr>
      <w:tr w:rsidR="002D3279" w:rsidRPr="009252D7" w14:paraId="0EEEB182" w14:textId="77777777" w:rsidTr="00A42257">
        <w:tc>
          <w:tcPr>
            <w:tcW w:w="1296" w:type="pct"/>
            <w:vAlign w:val="center"/>
          </w:tcPr>
          <w:p w14:paraId="5FF352D9" w14:textId="77777777" w:rsidR="002D3279" w:rsidRPr="009252D7" w:rsidRDefault="002D3279" w:rsidP="00A42257">
            <w:pPr>
              <w:spacing w:after="160" w:line="278" w:lineRule="auto"/>
              <w:jc w:val="center"/>
              <w:rPr>
                <w:color w:val="000000" w:themeColor="text1"/>
              </w:rPr>
            </w:pPr>
            <w:r w:rsidRPr="009252D7">
              <w:rPr>
                <w:color w:val="000000" w:themeColor="text1"/>
              </w:rPr>
              <w:t>Liquidity Coverage Ratio</w:t>
            </w:r>
          </w:p>
        </w:tc>
        <w:tc>
          <w:tcPr>
            <w:tcW w:w="1249" w:type="pct"/>
            <w:vAlign w:val="center"/>
          </w:tcPr>
          <w:p w14:paraId="14BE2C92" w14:textId="77777777" w:rsidR="002D3279" w:rsidRPr="009252D7" w:rsidRDefault="002D3279" w:rsidP="00A42257">
            <w:pPr>
              <w:spacing w:after="160" w:line="278" w:lineRule="auto"/>
              <w:jc w:val="center"/>
              <w:rPr>
                <w:color w:val="000000" w:themeColor="text1"/>
              </w:rPr>
            </w:pPr>
            <w:r w:rsidRPr="009252D7">
              <w:rPr>
                <w:color w:val="000000" w:themeColor="text1"/>
              </w:rPr>
              <w:t>201%</w:t>
            </w:r>
          </w:p>
        </w:tc>
        <w:tc>
          <w:tcPr>
            <w:tcW w:w="1248" w:type="pct"/>
            <w:vAlign w:val="center"/>
          </w:tcPr>
          <w:p w14:paraId="5EC0996E" w14:textId="77777777" w:rsidR="002D3279" w:rsidRPr="009252D7" w:rsidRDefault="002D3279" w:rsidP="00A42257">
            <w:pPr>
              <w:spacing w:after="160" w:line="278" w:lineRule="auto"/>
              <w:jc w:val="center"/>
              <w:rPr>
                <w:color w:val="000000" w:themeColor="text1"/>
              </w:rPr>
            </w:pPr>
            <w:r w:rsidRPr="009252D7">
              <w:rPr>
                <w:color w:val="000000" w:themeColor="text1"/>
              </w:rPr>
              <w:t>190%</w:t>
            </w:r>
          </w:p>
        </w:tc>
        <w:tc>
          <w:tcPr>
            <w:tcW w:w="1207" w:type="pct"/>
          </w:tcPr>
          <w:p w14:paraId="1DCAFA3D" w14:textId="77777777" w:rsidR="002D3279" w:rsidRPr="009252D7" w:rsidRDefault="002D3279" w:rsidP="00A42257">
            <w:pPr>
              <w:spacing w:after="160" w:line="278" w:lineRule="auto"/>
              <w:jc w:val="center"/>
              <w:rPr>
                <w:color w:val="000000" w:themeColor="text1"/>
              </w:rPr>
            </w:pPr>
            <w:r w:rsidRPr="009252D7">
              <w:rPr>
                <w:color w:val="000000" w:themeColor="text1"/>
              </w:rPr>
              <w:t>-11 pp</w:t>
            </w:r>
          </w:p>
        </w:tc>
      </w:tr>
      <w:tr w:rsidR="002D3279" w:rsidRPr="009252D7" w14:paraId="332AF9DE" w14:textId="77777777" w:rsidTr="00A42257">
        <w:tc>
          <w:tcPr>
            <w:tcW w:w="1296" w:type="pct"/>
            <w:vAlign w:val="center"/>
          </w:tcPr>
          <w:p w14:paraId="761C764E" w14:textId="77777777" w:rsidR="002D3279" w:rsidRPr="009252D7" w:rsidRDefault="002D3279" w:rsidP="00A42257">
            <w:pPr>
              <w:spacing w:after="160" w:line="278" w:lineRule="auto"/>
              <w:jc w:val="center"/>
              <w:rPr>
                <w:color w:val="000000" w:themeColor="text1"/>
              </w:rPr>
            </w:pPr>
            <w:r w:rsidRPr="009252D7">
              <w:rPr>
                <w:color w:val="000000" w:themeColor="text1"/>
              </w:rPr>
              <w:t>Loan to Deposit Ratios</w:t>
            </w:r>
          </w:p>
        </w:tc>
        <w:tc>
          <w:tcPr>
            <w:tcW w:w="1249" w:type="pct"/>
            <w:vAlign w:val="center"/>
          </w:tcPr>
          <w:p w14:paraId="3CF38360" w14:textId="77777777" w:rsidR="002D3279" w:rsidRPr="009252D7" w:rsidRDefault="002D3279" w:rsidP="00A42257">
            <w:pPr>
              <w:spacing w:after="160" w:line="278" w:lineRule="auto"/>
              <w:jc w:val="center"/>
              <w:rPr>
                <w:color w:val="000000" w:themeColor="text1"/>
              </w:rPr>
            </w:pPr>
            <w:r w:rsidRPr="009252D7">
              <w:rPr>
                <w:color w:val="000000" w:themeColor="text1"/>
              </w:rPr>
              <w:t>79.0%</w:t>
            </w:r>
          </w:p>
        </w:tc>
        <w:tc>
          <w:tcPr>
            <w:tcW w:w="1248" w:type="pct"/>
            <w:vAlign w:val="center"/>
          </w:tcPr>
          <w:p w14:paraId="6503C939" w14:textId="77777777" w:rsidR="002D3279" w:rsidRPr="009252D7" w:rsidRDefault="002D3279" w:rsidP="00A42257">
            <w:pPr>
              <w:spacing w:after="160" w:line="278" w:lineRule="auto"/>
              <w:jc w:val="center"/>
              <w:rPr>
                <w:color w:val="000000" w:themeColor="text1"/>
              </w:rPr>
            </w:pPr>
            <w:r w:rsidRPr="009252D7">
              <w:rPr>
                <w:color w:val="000000" w:themeColor="text1"/>
              </w:rPr>
              <w:t>77.6%</w:t>
            </w:r>
          </w:p>
        </w:tc>
        <w:tc>
          <w:tcPr>
            <w:tcW w:w="1207" w:type="pct"/>
          </w:tcPr>
          <w:p w14:paraId="5D4B7742" w14:textId="77777777" w:rsidR="002D3279" w:rsidRPr="009252D7" w:rsidRDefault="002D3279" w:rsidP="00A42257">
            <w:pPr>
              <w:spacing w:after="160" w:line="278" w:lineRule="auto"/>
              <w:jc w:val="center"/>
              <w:rPr>
                <w:color w:val="000000" w:themeColor="text1"/>
              </w:rPr>
            </w:pPr>
            <w:r w:rsidRPr="009252D7">
              <w:rPr>
                <w:color w:val="000000" w:themeColor="text1"/>
              </w:rPr>
              <w:t>-1.4 pp</w:t>
            </w:r>
          </w:p>
        </w:tc>
      </w:tr>
    </w:tbl>
    <w:p w14:paraId="12C079CA" w14:textId="77777777" w:rsidR="002D3279" w:rsidRPr="009252D7" w:rsidRDefault="002D3279" w:rsidP="002D3279">
      <w:pPr>
        <w:rPr>
          <w:color w:val="000000" w:themeColor="text1"/>
        </w:rPr>
      </w:pPr>
    </w:p>
    <w:p w14:paraId="7D0D0070" w14:textId="77777777" w:rsidR="002D3279" w:rsidRPr="009252D7" w:rsidRDefault="002D3279" w:rsidP="002D3279">
      <w:pPr>
        <w:spacing w:line="360" w:lineRule="auto"/>
        <w:rPr>
          <w:b/>
          <w:bCs/>
          <w:color w:val="000000" w:themeColor="text1"/>
        </w:rPr>
      </w:pPr>
      <w:r w:rsidRPr="009252D7">
        <w:rPr>
          <w:b/>
          <w:bCs/>
          <w:color w:val="000000" w:themeColor="text1"/>
        </w:rPr>
        <w:t>Critical Evaluation:</w:t>
      </w:r>
    </w:p>
    <w:p w14:paraId="76D6C285" w14:textId="77777777" w:rsidR="002D3279" w:rsidRPr="009252D7" w:rsidRDefault="002D3279" w:rsidP="002D3279">
      <w:pPr>
        <w:spacing w:line="360" w:lineRule="auto"/>
        <w:jc w:val="both"/>
        <w:rPr>
          <w:color w:val="000000" w:themeColor="text1"/>
        </w:rPr>
      </w:pPr>
      <w:r w:rsidRPr="009252D7">
        <w:rPr>
          <w:color w:val="000000" w:themeColor="text1"/>
        </w:rPr>
        <w:t>HSBC UK reveals strong liquidity management with a Liquidity Coverage Ratio of 201% in 2023 and 190% in 2024, significantly above the minimum Basel III requirement of 100%. The slight decrease is viewed as optimization rather than impairment, implying a balance between regulatory requirements and profitability, since high-quality liquid assets yield lower returns than lending. The Loan-to-Deposit Ratios of 79.0% in 2023 and 77.6% in 2024 suggest conservative funding structures, where lending is predominantly funded through stable retail deposits rather than through volatile wholesale markets. Deposit growth higher than loan growth implies improved funding stability and a low vulnerability to liquidity shocks. All these indicators are proof of prudent balance sheet management that favors stability over aggressive credit growth.</w:t>
      </w:r>
    </w:p>
    <w:p w14:paraId="27F14FA5" w14:textId="77777777" w:rsidR="002D3279" w:rsidRPr="009252D7" w:rsidRDefault="002D3279" w:rsidP="002D3279">
      <w:pPr>
        <w:spacing w:line="360" w:lineRule="auto"/>
        <w:jc w:val="both"/>
        <w:rPr>
          <w:color w:val="000000" w:themeColor="text1"/>
        </w:rPr>
      </w:pPr>
    </w:p>
    <w:p w14:paraId="6F8932FF" w14:textId="77777777" w:rsidR="002D3279" w:rsidRPr="009252D7" w:rsidRDefault="002D3279" w:rsidP="002D3279">
      <w:pPr>
        <w:pStyle w:val="Heading2"/>
        <w:rPr>
          <w:rFonts w:ascii="Times New Roman" w:hAnsi="Times New Roman" w:cs="Times New Roman"/>
          <w:color w:val="000000" w:themeColor="text1"/>
          <w:sz w:val="24"/>
          <w:szCs w:val="24"/>
        </w:rPr>
      </w:pPr>
      <w:bookmarkStart w:id="7" w:name="_Toc218979639"/>
      <w:r w:rsidRPr="009252D7">
        <w:rPr>
          <w:rFonts w:ascii="Times New Roman" w:hAnsi="Times New Roman" w:cs="Times New Roman"/>
          <w:color w:val="000000" w:themeColor="text1"/>
          <w:sz w:val="24"/>
          <w:szCs w:val="24"/>
        </w:rPr>
        <w:t>3.3 Efficiency and Asset Quality Ratios [F.Y. 2023 &amp; 2024]</w:t>
      </w:r>
      <w:bookmarkEnd w:id="7"/>
    </w:p>
    <w:p w14:paraId="7D765A77" w14:textId="77777777" w:rsidR="002D3279" w:rsidRPr="009252D7" w:rsidRDefault="002D3279" w:rsidP="002D3279">
      <w:pPr>
        <w:rPr>
          <w:color w:val="000000" w:themeColor="text1"/>
        </w:rPr>
      </w:pPr>
    </w:p>
    <w:tbl>
      <w:tblPr>
        <w:tblStyle w:val="TableGrid"/>
        <w:tblW w:w="5088" w:type="pct"/>
        <w:tblLayout w:type="fixed"/>
        <w:tblLook w:val="04A0" w:firstRow="1" w:lastRow="0" w:firstColumn="1" w:lastColumn="0" w:noHBand="0" w:noVBand="1"/>
      </w:tblPr>
      <w:tblGrid>
        <w:gridCol w:w="2500"/>
        <w:gridCol w:w="2173"/>
        <w:gridCol w:w="2173"/>
        <w:gridCol w:w="2329"/>
      </w:tblGrid>
      <w:tr w:rsidR="002D3279" w:rsidRPr="009252D7" w14:paraId="689A311A" w14:textId="77777777" w:rsidTr="00A42257">
        <w:tc>
          <w:tcPr>
            <w:tcW w:w="1362" w:type="pct"/>
          </w:tcPr>
          <w:p w14:paraId="407994EC"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RATIO</w:t>
            </w:r>
          </w:p>
        </w:tc>
        <w:tc>
          <w:tcPr>
            <w:tcW w:w="1184" w:type="pct"/>
          </w:tcPr>
          <w:p w14:paraId="1352E7CC"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 xml:space="preserve">RESULT </w:t>
            </w:r>
          </w:p>
          <w:p w14:paraId="6E932A37"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[F.Y. 2023]</w:t>
            </w:r>
          </w:p>
        </w:tc>
        <w:tc>
          <w:tcPr>
            <w:tcW w:w="1184" w:type="pct"/>
          </w:tcPr>
          <w:p w14:paraId="1EC76729"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 xml:space="preserve">RESULT </w:t>
            </w:r>
          </w:p>
          <w:p w14:paraId="62CD4804"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[F.Y. 2024]</w:t>
            </w:r>
          </w:p>
        </w:tc>
        <w:tc>
          <w:tcPr>
            <w:tcW w:w="1269" w:type="pct"/>
          </w:tcPr>
          <w:p w14:paraId="78509D2A" w14:textId="77777777" w:rsidR="002D3279" w:rsidRPr="009252D7" w:rsidRDefault="002D3279" w:rsidP="00A42257">
            <w:pPr>
              <w:spacing w:after="160"/>
              <w:jc w:val="center"/>
              <w:rPr>
                <w:b/>
                <w:bCs/>
                <w:color w:val="000000" w:themeColor="text1"/>
              </w:rPr>
            </w:pPr>
            <w:r w:rsidRPr="009252D7">
              <w:rPr>
                <w:b/>
                <w:bCs/>
                <w:color w:val="000000" w:themeColor="text1"/>
              </w:rPr>
              <w:t>Change</w:t>
            </w:r>
          </w:p>
          <w:p w14:paraId="47AA3AAF"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[Percentage Points]</w:t>
            </w:r>
          </w:p>
        </w:tc>
      </w:tr>
      <w:tr w:rsidR="002D3279" w:rsidRPr="009252D7" w14:paraId="4C307F4E" w14:textId="77777777" w:rsidTr="00A42257">
        <w:tc>
          <w:tcPr>
            <w:tcW w:w="1362" w:type="pct"/>
            <w:vAlign w:val="center"/>
          </w:tcPr>
          <w:p w14:paraId="7E5A9100" w14:textId="77777777" w:rsidR="002D3279" w:rsidRPr="009252D7" w:rsidRDefault="002D3279" w:rsidP="00A42257">
            <w:pPr>
              <w:spacing w:after="160" w:line="278" w:lineRule="auto"/>
              <w:jc w:val="center"/>
              <w:rPr>
                <w:color w:val="000000" w:themeColor="text1"/>
              </w:rPr>
            </w:pPr>
            <w:r w:rsidRPr="009252D7">
              <w:rPr>
                <w:color w:val="000000" w:themeColor="text1"/>
              </w:rPr>
              <w:t>Asset Utilisation Ratio</w:t>
            </w:r>
          </w:p>
        </w:tc>
        <w:tc>
          <w:tcPr>
            <w:tcW w:w="1184" w:type="pct"/>
            <w:vAlign w:val="center"/>
          </w:tcPr>
          <w:p w14:paraId="7379B60B" w14:textId="77777777" w:rsidR="002D3279" w:rsidRPr="009252D7" w:rsidRDefault="002D3279" w:rsidP="00A42257">
            <w:pPr>
              <w:spacing w:after="160" w:line="278" w:lineRule="auto"/>
              <w:jc w:val="center"/>
              <w:rPr>
                <w:color w:val="000000" w:themeColor="text1"/>
              </w:rPr>
            </w:pPr>
            <w:r w:rsidRPr="009252D7">
              <w:rPr>
                <w:color w:val="000000" w:themeColor="text1"/>
              </w:rPr>
              <w:t>3.25%</w:t>
            </w:r>
          </w:p>
        </w:tc>
        <w:tc>
          <w:tcPr>
            <w:tcW w:w="1184" w:type="pct"/>
            <w:vAlign w:val="center"/>
          </w:tcPr>
          <w:p w14:paraId="1F49A661" w14:textId="77777777" w:rsidR="002D3279" w:rsidRPr="009252D7" w:rsidRDefault="002D3279" w:rsidP="00A42257">
            <w:pPr>
              <w:spacing w:after="160" w:line="278" w:lineRule="auto"/>
              <w:jc w:val="center"/>
              <w:rPr>
                <w:color w:val="000000" w:themeColor="text1"/>
              </w:rPr>
            </w:pPr>
            <w:r w:rsidRPr="009252D7">
              <w:rPr>
                <w:color w:val="000000" w:themeColor="text1"/>
              </w:rPr>
              <w:t>2.93%</w:t>
            </w:r>
          </w:p>
        </w:tc>
        <w:tc>
          <w:tcPr>
            <w:tcW w:w="1269" w:type="pct"/>
          </w:tcPr>
          <w:p w14:paraId="67809DBE" w14:textId="77777777" w:rsidR="002D3279" w:rsidRPr="009252D7" w:rsidRDefault="002D3279" w:rsidP="00A42257">
            <w:pPr>
              <w:spacing w:after="160" w:line="278" w:lineRule="auto"/>
              <w:jc w:val="center"/>
              <w:rPr>
                <w:color w:val="000000" w:themeColor="text1"/>
              </w:rPr>
            </w:pPr>
            <w:r w:rsidRPr="009252D7">
              <w:rPr>
                <w:color w:val="000000" w:themeColor="text1"/>
              </w:rPr>
              <w:t>-0.32 pp</w:t>
            </w:r>
          </w:p>
        </w:tc>
      </w:tr>
      <w:tr w:rsidR="002D3279" w:rsidRPr="009252D7" w14:paraId="184E9F01" w14:textId="77777777" w:rsidTr="00A42257">
        <w:tc>
          <w:tcPr>
            <w:tcW w:w="1362" w:type="pct"/>
            <w:vAlign w:val="center"/>
          </w:tcPr>
          <w:p w14:paraId="7B90A1C8" w14:textId="77777777" w:rsidR="002D3279" w:rsidRPr="009252D7" w:rsidRDefault="002D3279" w:rsidP="00A42257">
            <w:pPr>
              <w:spacing w:after="160" w:line="278" w:lineRule="auto"/>
              <w:jc w:val="center"/>
              <w:rPr>
                <w:color w:val="000000" w:themeColor="text1"/>
              </w:rPr>
            </w:pPr>
            <w:r w:rsidRPr="009252D7">
              <w:rPr>
                <w:color w:val="000000" w:themeColor="text1"/>
              </w:rPr>
              <w:t>Credit Loss Ratio</w:t>
            </w:r>
          </w:p>
        </w:tc>
        <w:tc>
          <w:tcPr>
            <w:tcW w:w="1184" w:type="pct"/>
            <w:vAlign w:val="center"/>
          </w:tcPr>
          <w:p w14:paraId="769B7CAD" w14:textId="77777777" w:rsidR="002D3279" w:rsidRPr="009252D7" w:rsidRDefault="002D3279" w:rsidP="00A42257">
            <w:pPr>
              <w:spacing w:after="160" w:line="278" w:lineRule="auto"/>
              <w:jc w:val="center"/>
              <w:rPr>
                <w:color w:val="000000" w:themeColor="text1"/>
              </w:rPr>
            </w:pPr>
            <w:r w:rsidRPr="009252D7">
              <w:rPr>
                <w:color w:val="000000" w:themeColor="text1"/>
              </w:rPr>
              <w:t>0.20%</w:t>
            </w:r>
          </w:p>
        </w:tc>
        <w:tc>
          <w:tcPr>
            <w:tcW w:w="1184" w:type="pct"/>
            <w:vAlign w:val="center"/>
          </w:tcPr>
          <w:p w14:paraId="460ADEFA" w14:textId="77777777" w:rsidR="002D3279" w:rsidRPr="009252D7" w:rsidRDefault="002D3279" w:rsidP="00A42257">
            <w:pPr>
              <w:spacing w:after="160" w:line="278" w:lineRule="auto"/>
              <w:jc w:val="center"/>
              <w:rPr>
                <w:color w:val="000000" w:themeColor="text1"/>
              </w:rPr>
            </w:pPr>
            <w:r w:rsidRPr="009252D7">
              <w:rPr>
                <w:color w:val="000000" w:themeColor="text1"/>
              </w:rPr>
              <w:t>0.15%</w:t>
            </w:r>
          </w:p>
        </w:tc>
        <w:tc>
          <w:tcPr>
            <w:tcW w:w="1269" w:type="pct"/>
          </w:tcPr>
          <w:p w14:paraId="2A18E67A" w14:textId="77777777" w:rsidR="002D3279" w:rsidRPr="009252D7" w:rsidRDefault="002D3279" w:rsidP="00A42257">
            <w:pPr>
              <w:spacing w:after="160" w:line="278" w:lineRule="auto"/>
              <w:jc w:val="center"/>
              <w:rPr>
                <w:color w:val="000000" w:themeColor="text1"/>
              </w:rPr>
            </w:pPr>
            <w:r w:rsidRPr="009252D7">
              <w:rPr>
                <w:color w:val="000000" w:themeColor="text1"/>
              </w:rPr>
              <w:t>-0.05 pp</w:t>
            </w:r>
          </w:p>
        </w:tc>
      </w:tr>
    </w:tbl>
    <w:p w14:paraId="1B36A42F" w14:textId="77777777" w:rsidR="002D3279" w:rsidRPr="009252D7" w:rsidRDefault="002D3279" w:rsidP="002D3279">
      <w:pPr>
        <w:rPr>
          <w:color w:val="000000" w:themeColor="text1"/>
        </w:rPr>
      </w:pPr>
    </w:p>
    <w:p w14:paraId="73706C9E" w14:textId="77777777" w:rsidR="00BA60EC" w:rsidRDefault="00BA60EC" w:rsidP="002D3279">
      <w:pPr>
        <w:spacing w:line="360" w:lineRule="auto"/>
        <w:jc w:val="both"/>
        <w:rPr>
          <w:b/>
          <w:bCs/>
          <w:color w:val="000000" w:themeColor="text1"/>
        </w:rPr>
      </w:pPr>
    </w:p>
    <w:p w14:paraId="1A45691B" w14:textId="128AD740" w:rsidR="002D3279" w:rsidRPr="009252D7" w:rsidRDefault="002D3279" w:rsidP="002D3279">
      <w:pPr>
        <w:spacing w:line="360" w:lineRule="auto"/>
        <w:jc w:val="both"/>
        <w:rPr>
          <w:b/>
          <w:bCs/>
          <w:color w:val="000000" w:themeColor="text1"/>
        </w:rPr>
      </w:pPr>
      <w:r w:rsidRPr="009252D7">
        <w:rPr>
          <w:b/>
          <w:bCs/>
          <w:color w:val="000000" w:themeColor="text1"/>
        </w:rPr>
        <w:t>Critical Evaluation:</w:t>
      </w:r>
    </w:p>
    <w:p w14:paraId="73DDF5F7" w14:textId="77777777" w:rsidR="002D3279" w:rsidRPr="009252D7" w:rsidRDefault="002D3279" w:rsidP="002D3279">
      <w:pPr>
        <w:spacing w:line="360" w:lineRule="auto"/>
        <w:jc w:val="both"/>
        <w:rPr>
          <w:color w:val="000000" w:themeColor="text1"/>
        </w:rPr>
      </w:pPr>
      <w:r w:rsidRPr="009252D7">
        <w:rPr>
          <w:color w:val="000000" w:themeColor="text1"/>
        </w:rPr>
        <w:t xml:space="preserve">The Asset Utilisation Ratio decreased from 3.25% to 2.93%, underlining that balance sheet growth exceeded income growth. This movement partly related to increased low-yielding liquid assets post-SVB UK acquisition and also to regulatory liquidity demands. While this is </w:t>
      </w:r>
      <w:r w:rsidRPr="009252D7">
        <w:rPr>
          <w:color w:val="000000" w:themeColor="text1"/>
        </w:rPr>
        <w:lastRenderedPageBreak/>
        <w:t>concerning, it largely relates to prudent risk management rather than operational inefficiency. The Credit Loss Ratio improved significantly to 0.15%, significantly above sector averages of 0.30-0.60%, reflecting strong credit risk management and benign economic conditions. However, being a backward-looking measure, it might not capture emerging credit stress. Cumulatively, these measures indicate that stability and asset quality are more key at HSBC UK than aggressive income generation. However, the continued decline in asset utilisation deserves management attention to optimize the earning asset mix within the regulatory framework.</w:t>
      </w:r>
    </w:p>
    <w:p w14:paraId="2531F7AC" w14:textId="77777777" w:rsidR="002D3279" w:rsidRPr="009252D7" w:rsidRDefault="002D3279" w:rsidP="002D3279">
      <w:pPr>
        <w:spacing w:line="360" w:lineRule="auto"/>
        <w:jc w:val="both"/>
        <w:rPr>
          <w:color w:val="000000" w:themeColor="text1"/>
        </w:rPr>
      </w:pPr>
    </w:p>
    <w:p w14:paraId="08F74D8A" w14:textId="77777777" w:rsidR="002D3279" w:rsidRPr="009252D7" w:rsidRDefault="002D3279" w:rsidP="002D3279">
      <w:pPr>
        <w:pStyle w:val="Heading2"/>
        <w:rPr>
          <w:rFonts w:ascii="Times New Roman" w:hAnsi="Times New Roman" w:cs="Times New Roman"/>
          <w:color w:val="000000" w:themeColor="text1"/>
          <w:sz w:val="24"/>
          <w:szCs w:val="24"/>
        </w:rPr>
      </w:pPr>
      <w:bookmarkStart w:id="8" w:name="_Toc218979640"/>
      <w:r w:rsidRPr="009252D7">
        <w:rPr>
          <w:rFonts w:ascii="Times New Roman" w:hAnsi="Times New Roman" w:cs="Times New Roman"/>
          <w:color w:val="000000" w:themeColor="text1"/>
          <w:sz w:val="24"/>
          <w:szCs w:val="24"/>
        </w:rPr>
        <w:t>3.4 Gearing &amp; Capital Adequacy Ratios [F.Y. 2023 &amp; 2024]</w:t>
      </w:r>
      <w:bookmarkEnd w:id="8"/>
    </w:p>
    <w:p w14:paraId="126668A0" w14:textId="77777777" w:rsidR="002D3279" w:rsidRPr="009252D7" w:rsidRDefault="002D3279" w:rsidP="002D3279">
      <w:pPr>
        <w:rPr>
          <w:b/>
          <w:bCs/>
          <w:color w:val="000000" w:themeColor="text1"/>
        </w:rPr>
      </w:pPr>
    </w:p>
    <w:tbl>
      <w:tblPr>
        <w:tblStyle w:val="TableGrid"/>
        <w:tblW w:w="4856" w:type="pct"/>
        <w:tblLayout w:type="fixed"/>
        <w:tblLook w:val="04A0" w:firstRow="1" w:lastRow="0" w:firstColumn="1" w:lastColumn="0" w:noHBand="0" w:noVBand="1"/>
      </w:tblPr>
      <w:tblGrid>
        <w:gridCol w:w="3103"/>
        <w:gridCol w:w="1970"/>
        <w:gridCol w:w="1476"/>
        <w:gridCol w:w="2207"/>
      </w:tblGrid>
      <w:tr w:rsidR="002D3279" w:rsidRPr="009252D7" w14:paraId="7B3BA69D" w14:textId="77777777" w:rsidTr="00A42257">
        <w:tc>
          <w:tcPr>
            <w:tcW w:w="1772" w:type="pct"/>
            <w:vAlign w:val="center"/>
          </w:tcPr>
          <w:p w14:paraId="7DC86C28"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RATIO</w:t>
            </w:r>
          </w:p>
        </w:tc>
        <w:tc>
          <w:tcPr>
            <w:tcW w:w="1125" w:type="pct"/>
            <w:vAlign w:val="center"/>
          </w:tcPr>
          <w:p w14:paraId="0CEA36EA"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w:t>
            </w:r>
          </w:p>
          <w:p w14:paraId="10497691"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[F.Y. 2023]</w:t>
            </w:r>
          </w:p>
        </w:tc>
        <w:tc>
          <w:tcPr>
            <w:tcW w:w="843" w:type="pct"/>
            <w:vAlign w:val="center"/>
          </w:tcPr>
          <w:p w14:paraId="6D565E0F" w14:textId="77777777" w:rsidR="002D3279" w:rsidRPr="009252D7" w:rsidRDefault="002D3279" w:rsidP="00A42257">
            <w:pPr>
              <w:jc w:val="center"/>
              <w:rPr>
                <w:b/>
                <w:bCs/>
                <w:color w:val="000000" w:themeColor="text1"/>
              </w:rPr>
            </w:pPr>
            <w:r w:rsidRPr="009252D7">
              <w:rPr>
                <w:b/>
                <w:bCs/>
                <w:color w:val="000000" w:themeColor="text1"/>
              </w:rPr>
              <w:t>RESULT</w:t>
            </w:r>
          </w:p>
          <w:p w14:paraId="256346EF" w14:textId="77777777" w:rsidR="002D3279" w:rsidRPr="009252D7" w:rsidRDefault="002D3279" w:rsidP="00A42257">
            <w:pPr>
              <w:jc w:val="center"/>
              <w:rPr>
                <w:b/>
                <w:bCs/>
                <w:color w:val="000000" w:themeColor="text1"/>
              </w:rPr>
            </w:pPr>
            <w:r w:rsidRPr="009252D7">
              <w:rPr>
                <w:b/>
                <w:bCs/>
                <w:color w:val="000000" w:themeColor="text1"/>
              </w:rPr>
              <w:t>[F.Y. 2024]</w:t>
            </w:r>
          </w:p>
        </w:tc>
        <w:tc>
          <w:tcPr>
            <w:tcW w:w="1260" w:type="pct"/>
            <w:vAlign w:val="center"/>
          </w:tcPr>
          <w:p w14:paraId="6CA4FE70" w14:textId="77777777" w:rsidR="002D3279" w:rsidRPr="009252D7" w:rsidRDefault="002D3279" w:rsidP="00A42257">
            <w:pPr>
              <w:spacing w:after="160"/>
              <w:jc w:val="center"/>
              <w:rPr>
                <w:b/>
                <w:bCs/>
                <w:color w:val="000000" w:themeColor="text1"/>
              </w:rPr>
            </w:pPr>
            <w:r w:rsidRPr="009252D7">
              <w:rPr>
                <w:b/>
                <w:bCs/>
                <w:color w:val="000000" w:themeColor="text1"/>
              </w:rPr>
              <w:t>Change</w:t>
            </w:r>
          </w:p>
          <w:p w14:paraId="10C1F0B2" w14:textId="77777777" w:rsidR="002D3279" w:rsidRPr="009252D7" w:rsidRDefault="002D3279" w:rsidP="00A42257">
            <w:pPr>
              <w:jc w:val="center"/>
              <w:rPr>
                <w:b/>
                <w:bCs/>
                <w:color w:val="000000" w:themeColor="text1"/>
              </w:rPr>
            </w:pPr>
            <w:r w:rsidRPr="009252D7">
              <w:rPr>
                <w:b/>
                <w:bCs/>
                <w:color w:val="000000" w:themeColor="text1"/>
              </w:rPr>
              <w:t>[Percentage Points]</w:t>
            </w:r>
          </w:p>
        </w:tc>
      </w:tr>
      <w:tr w:rsidR="002D3279" w:rsidRPr="009252D7" w14:paraId="2C41DEAC" w14:textId="77777777" w:rsidTr="00A42257">
        <w:tc>
          <w:tcPr>
            <w:tcW w:w="1772" w:type="pct"/>
            <w:vAlign w:val="center"/>
          </w:tcPr>
          <w:p w14:paraId="3A73DFF4" w14:textId="77777777" w:rsidR="002D3279" w:rsidRPr="009252D7" w:rsidRDefault="002D3279" w:rsidP="00A42257">
            <w:pPr>
              <w:spacing w:after="160" w:line="278" w:lineRule="auto"/>
              <w:jc w:val="center"/>
              <w:rPr>
                <w:color w:val="000000" w:themeColor="text1"/>
              </w:rPr>
            </w:pPr>
            <w:r w:rsidRPr="009252D7">
              <w:rPr>
                <w:color w:val="000000" w:themeColor="text1"/>
              </w:rPr>
              <w:t>Common Equity Tier 1 (CET1) Ratio</w:t>
            </w:r>
          </w:p>
        </w:tc>
        <w:tc>
          <w:tcPr>
            <w:tcW w:w="1125" w:type="pct"/>
            <w:vAlign w:val="center"/>
          </w:tcPr>
          <w:p w14:paraId="0A63647E" w14:textId="77777777" w:rsidR="002D3279" w:rsidRPr="009252D7" w:rsidRDefault="002D3279" w:rsidP="00A42257">
            <w:pPr>
              <w:spacing w:after="160" w:line="278" w:lineRule="auto"/>
              <w:jc w:val="center"/>
              <w:rPr>
                <w:color w:val="000000" w:themeColor="text1"/>
              </w:rPr>
            </w:pPr>
            <w:r w:rsidRPr="009252D7">
              <w:rPr>
                <w:color w:val="000000" w:themeColor="text1"/>
              </w:rPr>
              <w:t>14.0%</w:t>
            </w:r>
          </w:p>
        </w:tc>
        <w:tc>
          <w:tcPr>
            <w:tcW w:w="843" w:type="pct"/>
            <w:vAlign w:val="center"/>
          </w:tcPr>
          <w:p w14:paraId="2212E8E0" w14:textId="77777777" w:rsidR="002D3279" w:rsidRPr="009252D7" w:rsidRDefault="002D3279" w:rsidP="00A42257">
            <w:pPr>
              <w:jc w:val="center"/>
              <w:rPr>
                <w:color w:val="000000" w:themeColor="text1"/>
              </w:rPr>
            </w:pPr>
            <w:r w:rsidRPr="009252D7">
              <w:rPr>
                <w:color w:val="000000" w:themeColor="text1"/>
              </w:rPr>
              <w:t>13.6%</w:t>
            </w:r>
          </w:p>
        </w:tc>
        <w:tc>
          <w:tcPr>
            <w:tcW w:w="1260" w:type="pct"/>
            <w:vAlign w:val="center"/>
          </w:tcPr>
          <w:p w14:paraId="4A7CAE91" w14:textId="77777777" w:rsidR="002D3279" w:rsidRPr="009252D7" w:rsidRDefault="002D3279" w:rsidP="00A42257">
            <w:pPr>
              <w:jc w:val="center"/>
              <w:rPr>
                <w:color w:val="000000" w:themeColor="text1"/>
              </w:rPr>
            </w:pPr>
            <w:r w:rsidRPr="009252D7">
              <w:rPr>
                <w:color w:val="000000" w:themeColor="text1"/>
              </w:rPr>
              <w:t>-0.4 pp</w:t>
            </w:r>
          </w:p>
        </w:tc>
      </w:tr>
      <w:tr w:rsidR="002D3279" w:rsidRPr="009252D7" w14:paraId="40B682D2" w14:textId="77777777" w:rsidTr="00A42257">
        <w:tc>
          <w:tcPr>
            <w:tcW w:w="1772" w:type="pct"/>
            <w:vAlign w:val="center"/>
          </w:tcPr>
          <w:p w14:paraId="760838D5" w14:textId="77777777" w:rsidR="002D3279" w:rsidRPr="009252D7" w:rsidRDefault="002D3279" w:rsidP="00A42257">
            <w:pPr>
              <w:spacing w:after="160" w:line="278" w:lineRule="auto"/>
              <w:jc w:val="center"/>
              <w:rPr>
                <w:color w:val="000000" w:themeColor="text1"/>
              </w:rPr>
            </w:pPr>
            <w:r w:rsidRPr="009252D7">
              <w:rPr>
                <w:color w:val="000000" w:themeColor="text1"/>
              </w:rPr>
              <w:t>Total Capital Adequacy Ratio (CAR)</w:t>
            </w:r>
          </w:p>
        </w:tc>
        <w:tc>
          <w:tcPr>
            <w:tcW w:w="1125" w:type="pct"/>
            <w:vAlign w:val="center"/>
          </w:tcPr>
          <w:p w14:paraId="3479471B" w14:textId="77777777" w:rsidR="002D3279" w:rsidRPr="009252D7" w:rsidRDefault="002D3279" w:rsidP="00A42257">
            <w:pPr>
              <w:spacing w:after="160" w:line="278" w:lineRule="auto"/>
              <w:jc w:val="center"/>
              <w:rPr>
                <w:color w:val="000000" w:themeColor="text1"/>
              </w:rPr>
            </w:pPr>
            <w:r w:rsidRPr="009252D7">
              <w:rPr>
                <w:color w:val="000000" w:themeColor="text1"/>
              </w:rPr>
              <w:t>19.5%</w:t>
            </w:r>
          </w:p>
        </w:tc>
        <w:tc>
          <w:tcPr>
            <w:tcW w:w="843" w:type="pct"/>
            <w:vAlign w:val="center"/>
          </w:tcPr>
          <w:p w14:paraId="2BA996E0" w14:textId="77777777" w:rsidR="002D3279" w:rsidRPr="009252D7" w:rsidRDefault="002D3279" w:rsidP="00A42257">
            <w:pPr>
              <w:jc w:val="center"/>
              <w:rPr>
                <w:color w:val="000000" w:themeColor="text1"/>
              </w:rPr>
            </w:pPr>
            <w:r w:rsidRPr="009252D7">
              <w:rPr>
                <w:color w:val="000000" w:themeColor="text1"/>
              </w:rPr>
              <w:t>18.6%</w:t>
            </w:r>
          </w:p>
        </w:tc>
        <w:tc>
          <w:tcPr>
            <w:tcW w:w="1260" w:type="pct"/>
            <w:vAlign w:val="center"/>
          </w:tcPr>
          <w:p w14:paraId="240DCE77" w14:textId="77777777" w:rsidR="002D3279" w:rsidRPr="009252D7" w:rsidRDefault="002D3279" w:rsidP="00A42257">
            <w:pPr>
              <w:jc w:val="center"/>
              <w:rPr>
                <w:color w:val="000000" w:themeColor="text1"/>
              </w:rPr>
            </w:pPr>
            <w:r w:rsidRPr="009252D7">
              <w:rPr>
                <w:color w:val="000000" w:themeColor="text1"/>
              </w:rPr>
              <w:t>-0.9 pp</w:t>
            </w:r>
          </w:p>
        </w:tc>
      </w:tr>
      <w:tr w:rsidR="002D3279" w:rsidRPr="009252D7" w14:paraId="584E8779" w14:textId="77777777" w:rsidTr="00A42257">
        <w:tc>
          <w:tcPr>
            <w:tcW w:w="1772" w:type="pct"/>
            <w:vAlign w:val="center"/>
          </w:tcPr>
          <w:p w14:paraId="34C59917" w14:textId="77777777" w:rsidR="002D3279" w:rsidRPr="009252D7" w:rsidRDefault="002D3279" w:rsidP="00A42257">
            <w:pPr>
              <w:spacing w:after="160" w:line="278" w:lineRule="auto"/>
              <w:jc w:val="center"/>
              <w:rPr>
                <w:color w:val="000000" w:themeColor="text1"/>
              </w:rPr>
            </w:pPr>
            <w:r w:rsidRPr="009252D7">
              <w:rPr>
                <w:color w:val="000000" w:themeColor="text1"/>
              </w:rPr>
              <w:t>Leverage Ratio</w:t>
            </w:r>
          </w:p>
        </w:tc>
        <w:tc>
          <w:tcPr>
            <w:tcW w:w="1125" w:type="pct"/>
            <w:vAlign w:val="center"/>
          </w:tcPr>
          <w:p w14:paraId="1B8EE94A" w14:textId="77777777" w:rsidR="002D3279" w:rsidRPr="009252D7" w:rsidRDefault="002D3279" w:rsidP="00A42257">
            <w:pPr>
              <w:spacing w:after="160" w:line="278" w:lineRule="auto"/>
              <w:jc w:val="center"/>
              <w:rPr>
                <w:color w:val="000000" w:themeColor="text1"/>
              </w:rPr>
            </w:pPr>
            <w:r w:rsidRPr="009252D7">
              <w:rPr>
                <w:color w:val="000000" w:themeColor="text1"/>
              </w:rPr>
              <w:t>6.1%</w:t>
            </w:r>
          </w:p>
        </w:tc>
        <w:tc>
          <w:tcPr>
            <w:tcW w:w="843" w:type="pct"/>
            <w:vAlign w:val="center"/>
          </w:tcPr>
          <w:p w14:paraId="54987EDE" w14:textId="77777777" w:rsidR="002D3279" w:rsidRPr="009252D7" w:rsidRDefault="002D3279" w:rsidP="00A42257">
            <w:pPr>
              <w:jc w:val="center"/>
              <w:rPr>
                <w:color w:val="000000" w:themeColor="text1"/>
              </w:rPr>
            </w:pPr>
            <w:r w:rsidRPr="009252D7">
              <w:rPr>
                <w:color w:val="000000" w:themeColor="text1"/>
              </w:rPr>
              <w:t>5.8%</w:t>
            </w:r>
          </w:p>
        </w:tc>
        <w:tc>
          <w:tcPr>
            <w:tcW w:w="1260" w:type="pct"/>
            <w:vAlign w:val="center"/>
          </w:tcPr>
          <w:p w14:paraId="7947F352" w14:textId="77777777" w:rsidR="002D3279" w:rsidRPr="009252D7" w:rsidRDefault="002D3279" w:rsidP="00A42257">
            <w:pPr>
              <w:jc w:val="center"/>
              <w:rPr>
                <w:color w:val="000000" w:themeColor="text1"/>
              </w:rPr>
            </w:pPr>
            <w:r w:rsidRPr="009252D7">
              <w:rPr>
                <w:color w:val="000000" w:themeColor="text1"/>
              </w:rPr>
              <w:t>-0.3 pp</w:t>
            </w:r>
          </w:p>
        </w:tc>
      </w:tr>
    </w:tbl>
    <w:p w14:paraId="57B0225E" w14:textId="77777777" w:rsidR="002D3279" w:rsidRPr="009252D7" w:rsidRDefault="002D3279" w:rsidP="002D3279">
      <w:pPr>
        <w:rPr>
          <w:color w:val="000000" w:themeColor="text1"/>
        </w:rPr>
      </w:pPr>
    </w:p>
    <w:p w14:paraId="1B236231" w14:textId="77777777" w:rsidR="002D3279" w:rsidRPr="009252D7" w:rsidRDefault="002D3279" w:rsidP="002D3279">
      <w:pPr>
        <w:spacing w:line="360" w:lineRule="auto"/>
        <w:jc w:val="both"/>
        <w:rPr>
          <w:b/>
          <w:bCs/>
          <w:color w:val="000000" w:themeColor="text1"/>
        </w:rPr>
      </w:pPr>
      <w:r w:rsidRPr="009252D7">
        <w:rPr>
          <w:b/>
          <w:bCs/>
          <w:color w:val="000000" w:themeColor="text1"/>
        </w:rPr>
        <w:t>Critical Evaluation:</w:t>
      </w:r>
    </w:p>
    <w:p w14:paraId="377AB6D0" w14:textId="77777777" w:rsidR="002D3279" w:rsidRPr="009252D7" w:rsidRDefault="002D3279" w:rsidP="002D3279">
      <w:pPr>
        <w:spacing w:line="360" w:lineRule="auto"/>
        <w:jc w:val="both"/>
        <w:rPr>
          <w:color w:val="000000" w:themeColor="text1"/>
        </w:rPr>
      </w:pPr>
      <w:r w:rsidRPr="009252D7">
        <w:rPr>
          <w:color w:val="000000" w:themeColor="text1"/>
        </w:rPr>
        <w:t>HSBC UK reflects strong capital adequacy as evidenced by the CET1 ratios of 14.0% in 2023 and 13.6% in 2024, well above regulatory minima of 11-12%. The decrease of 40 bps is thus seen as a function of strategic capital management rather than any manifestation of financial duress; influences include a balance sheet expansion, substantial dividend distributions-an 80.7% payout in 2024-and controlled optimization of capital. Strong loss-absorption capacity across all major capital tiers is reflected in total CARs of 19.5% and 18.6%. Significantly, the 6.1% and 5.8% leverage ratios in 2023 and 2024, respectively, are twice the minimum under Basel III of 3%, and hence indicative of capital strength irrespective of calculations on risk-weighted assets, mitigating model risk concerns. The uniform decline across metrics reflects a deliberate management strategy that balances regulatory compliance, business expansion, and shareholder returns, situating HSBC UK well above regulatory thresholds with substantial buffers for adverse scenarios.</w:t>
      </w:r>
    </w:p>
    <w:p w14:paraId="79C40833" w14:textId="77777777" w:rsidR="002D3279" w:rsidRPr="009252D7" w:rsidRDefault="002D3279" w:rsidP="002D3279">
      <w:pPr>
        <w:spacing w:line="360" w:lineRule="auto"/>
        <w:jc w:val="both"/>
        <w:rPr>
          <w:color w:val="000000" w:themeColor="text1"/>
        </w:rPr>
      </w:pPr>
    </w:p>
    <w:p w14:paraId="707B8708" w14:textId="77777777" w:rsidR="002D3279" w:rsidRPr="009252D7" w:rsidRDefault="002D3279" w:rsidP="002D3279">
      <w:pPr>
        <w:pStyle w:val="Heading2"/>
        <w:rPr>
          <w:rFonts w:ascii="Times New Roman" w:hAnsi="Times New Roman" w:cs="Times New Roman"/>
          <w:color w:val="000000" w:themeColor="text1"/>
          <w:sz w:val="24"/>
          <w:szCs w:val="24"/>
        </w:rPr>
      </w:pPr>
      <w:bookmarkStart w:id="9" w:name="_Toc218979641"/>
      <w:r w:rsidRPr="009252D7">
        <w:rPr>
          <w:rFonts w:ascii="Times New Roman" w:hAnsi="Times New Roman" w:cs="Times New Roman"/>
          <w:color w:val="000000" w:themeColor="text1"/>
          <w:sz w:val="24"/>
          <w:szCs w:val="24"/>
        </w:rPr>
        <w:lastRenderedPageBreak/>
        <w:t>3.5 Investor/Market Ratios [F.Y. 2023 &amp; 2024]</w:t>
      </w:r>
      <w:bookmarkEnd w:id="9"/>
    </w:p>
    <w:p w14:paraId="4DF83D82" w14:textId="77777777" w:rsidR="002D3279" w:rsidRPr="009252D7" w:rsidRDefault="002D3279" w:rsidP="002D3279">
      <w:pPr>
        <w:rPr>
          <w:color w:val="000000" w:themeColor="text1"/>
        </w:rPr>
      </w:pPr>
    </w:p>
    <w:tbl>
      <w:tblPr>
        <w:tblStyle w:val="TableGrid"/>
        <w:tblW w:w="4097" w:type="pct"/>
        <w:tblLayout w:type="fixed"/>
        <w:tblLook w:val="04A0" w:firstRow="1" w:lastRow="0" w:firstColumn="1" w:lastColumn="0" w:noHBand="0" w:noVBand="1"/>
      </w:tblPr>
      <w:tblGrid>
        <w:gridCol w:w="2536"/>
        <w:gridCol w:w="2426"/>
        <w:gridCol w:w="2426"/>
      </w:tblGrid>
      <w:tr w:rsidR="002D3279" w:rsidRPr="009252D7" w14:paraId="68C1DCCE" w14:textId="77777777" w:rsidTr="00A42257">
        <w:tc>
          <w:tcPr>
            <w:tcW w:w="1716" w:type="pct"/>
            <w:vAlign w:val="center"/>
          </w:tcPr>
          <w:p w14:paraId="475C8AF4"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RATIO</w:t>
            </w:r>
          </w:p>
        </w:tc>
        <w:tc>
          <w:tcPr>
            <w:tcW w:w="1642" w:type="pct"/>
            <w:vAlign w:val="center"/>
          </w:tcPr>
          <w:p w14:paraId="444B8D9B"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 [F.Y. 2023]</w:t>
            </w:r>
          </w:p>
        </w:tc>
        <w:tc>
          <w:tcPr>
            <w:tcW w:w="1642" w:type="pct"/>
            <w:vAlign w:val="center"/>
          </w:tcPr>
          <w:p w14:paraId="21843A6B" w14:textId="77777777" w:rsidR="002D3279" w:rsidRPr="009252D7" w:rsidRDefault="002D3279" w:rsidP="00A42257">
            <w:pPr>
              <w:spacing w:after="160" w:line="278" w:lineRule="auto"/>
              <w:jc w:val="center"/>
              <w:rPr>
                <w:b/>
                <w:bCs/>
                <w:color w:val="000000" w:themeColor="text1"/>
              </w:rPr>
            </w:pPr>
            <w:r w:rsidRPr="009252D7">
              <w:rPr>
                <w:b/>
                <w:bCs/>
                <w:color w:val="000000" w:themeColor="text1"/>
              </w:rPr>
              <w:t>RESULT [F.Y. 2024]</w:t>
            </w:r>
          </w:p>
        </w:tc>
      </w:tr>
      <w:tr w:rsidR="002D3279" w:rsidRPr="009252D7" w14:paraId="6F7BB263" w14:textId="77777777" w:rsidTr="00A42257">
        <w:tc>
          <w:tcPr>
            <w:tcW w:w="1716" w:type="pct"/>
            <w:vAlign w:val="center"/>
          </w:tcPr>
          <w:p w14:paraId="7040C50B" w14:textId="77777777" w:rsidR="002D3279" w:rsidRPr="009252D7" w:rsidRDefault="002D3279" w:rsidP="00A42257">
            <w:pPr>
              <w:spacing w:after="160" w:line="278" w:lineRule="auto"/>
              <w:jc w:val="center"/>
              <w:rPr>
                <w:color w:val="000000" w:themeColor="text1"/>
              </w:rPr>
            </w:pPr>
            <w:r w:rsidRPr="009252D7">
              <w:rPr>
                <w:color w:val="000000" w:themeColor="text1"/>
              </w:rPr>
              <w:t>Earnings Per Share</w:t>
            </w:r>
          </w:p>
        </w:tc>
        <w:tc>
          <w:tcPr>
            <w:tcW w:w="1642" w:type="pct"/>
            <w:vAlign w:val="center"/>
          </w:tcPr>
          <w:p w14:paraId="7FD41AA6" w14:textId="77777777" w:rsidR="002D3279" w:rsidRPr="009252D7" w:rsidRDefault="002D3279" w:rsidP="00A42257">
            <w:pPr>
              <w:spacing w:after="160" w:line="278" w:lineRule="auto"/>
              <w:jc w:val="center"/>
              <w:rPr>
                <w:color w:val="000000" w:themeColor="text1"/>
              </w:rPr>
            </w:pPr>
            <w:r w:rsidRPr="009252D7">
              <w:rPr>
                <w:color w:val="000000" w:themeColor="text1"/>
              </w:rPr>
              <w:t>Not Calculable</w:t>
            </w:r>
          </w:p>
        </w:tc>
        <w:tc>
          <w:tcPr>
            <w:tcW w:w="1642" w:type="pct"/>
            <w:vAlign w:val="center"/>
          </w:tcPr>
          <w:p w14:paraId="070F42A0" w14:textId="77777777" w:rsidR="002D3279" w:rsidRPr="009252D7" w:rsidRDefault="002D3279" w:rsidP="00A42257">
            <w:pPr>
              <w:spacing w:after="160" w:line="278" w:lineRule="auto"/>
              <w:jc w:val="center"/>
              <w:rPr>
                <w:color w:val="000000" w:themeColor="text1"/>
              </w:rPr>
            </w:pPr>
            <w:r w:rsidRPr="009252D7">
              <w:rPr>
                <w:color w:val="000000" w:themeColor="text1"/>
              </w:rPr>
              <w:t>Not Calculable</w:t>
            </w:r>
          </w:p>
        </w:tc>
      </w:tr>
      <w:tr w:rsidR="002D3279" w:rsidRPr="009252D7" w14:paraId="2BFFF237" w14:textId="77777777" w:rsidTr="00A42257">
        <w:tc>
          <w:tcPr>
            <w:tcW w:w="1716" w:type="pct"/>
            <w:vAlign w:val="center"/>
          </w:tcPr>
          <w:p w14:paraId="77777DFE" w14:textId="77777777" w:rsidR="002D3279" w:rsidRPr="009252D7" w:rsidRDefault="002D3279" w:rsidP="00A42257">
            <w:pPr>
              <w:spacing w:after="160" w:line="278" w:lineRule="auto"/>
              <w:jc w:val="center"/>
              <w:rPr>
                <w:color w:val="000000" w:themeColor="text1"/>
              </w:rPr>
            </w:pPr>
            <w:r w:rsidRPr="009252D7">
              <w:rPr>
                <w:color w:val="000000" w:themeColor="text1"/>
              </w:rPr>
              <w:t>Dividend Payout Ratio</w:t>
            </w:r>
          </w:p>
        </w:tc>
        <w:tc>
          <w:tcPr>
            <w:tcW w:w="1642" w:type="pct"/>
            <w:vAlign w:val="center"/>
          </w:tcPr>
          <w:p w14:paraId="3E296732" w14:textId="77777777" w:rsidR="002D3279" w:rsidRPr="009252D7" w:rsidRDefault="002D3279" w:rsidP="00A42257">
            <w:pPr>
              <w:spacing w:after="160" w:line="278" w:lineRule="auto"/>
              <w:jc w:val="center"/>
              <w:rPr>
                <w:color w:val="000000" w:themeColor="text1"/>
              </w:rPr>
            </w:pPr>
            <w:r w:rsidRPr="009252D7">
              <w:rPr>
                <w:color w:val="000000" w:themeColor="text1"/>
              </w:rPr>
              <w:t>41.9%</w:t>
            </w:r>
          </w:p>
        </w:tc>
        <w:tc>
          <w:tcPr>
            <w:tcW w:w="1642" w:type="pct"/>
            <w:vAlign w:val="center"/>
          </w:tcPr>
          <w:p w14:paraId="5568AE9F" w14:textId="77777777" w:rsidR="002D3279" w:rsidRPr="009252D7" w:rsidRDefault="002D3279" w:rsidP="00A42257">
            <w:pPr>
              <w:spacing w:after="160" w:line="278" w:lineRule="auto"/>
              <w:jc w:val="center"/>
              <w:rPr>
                <w:color w:val="000000" w:themeColor="text1"/>
              </w:rPr>
            </w:pPr>
            <w:r w:rsidRPr="009252D7">
              <w:rPr>
                <w:color w:val="000000" w:themeColor="text1"/>
              </w:rPr>
              <w:t>80.7%</w:t>
            </w:r>
          </w:p>
        </w:tc>
      </w:tr>
      <w:tr w:rsidR="002D3279" w:rsidRPr="009252D7" w14:paraId="3D942261" w14:textId="77777777" w:rsidTr="00A42257">
        <w:tc>
          <w:tcPr>
            <w:tcW w:w="1716" w:type="pct"/>
            <w:vAlign w:val="center"/>
          </w:tcPr>
          <w:p w14:paraId="14FBE367" w14:textId="77777777" w:rsidR="002D3279" w:rsidRPr="009252D7" w:rsidRDefault="002D3279" w:rsidP="00A42257">
            <w:pPr>
              <w:spacing w:after="160" w:line="278" w:lineRule="auto"/>
              <w:jc w:val="center"/>
              <w:rPr>
                <w:color w:val="000000" w:themeColor="text1"/>
              </w:rPr>
            </w:pPr>
            <w:r w:rsidRPr="009252D7">
              <w:rPr>
                <w:color w:val="000000" w:themeColor="text1"/>
              </w:rPr>
              <w:t>Dividend Yield</w:t>
            </w:r>
          </w:p>
        </w:tc>
        <w:tc>
          <w:tcPr>
            <w:tcW w:w="1642" w:type="pct"/>
            <w:vAlign w:val="center"/>
          </w:tcPr>
          <w:p w14:paraId="1E4F9B78" w14:textId="77777777" w:rsidR="002D3279" w:rsidRPr="009252D7" w:rsidRDefault="002D3279" w:rsidP="00A42257">
            <w:pPr>
              <w:spacing w:after="160" w:line="278" w:lineRule="auto"/>
              <w:jc w:val="center"/>
              <w:rPr>
                <w:color w:val="000000" w:themeColor="text1"/>
              </w:rPr>
            </w:pPr>
            <w:r w:rsidRPr="009252D7">
              <w:rPr>
                <w:color w:val="000000" w:themeColor="text1"/>
              </w:rPr>
              <w:t>Not Calculable</w:t>
            </w:r>
          </w:p>
        </w:tc>
        <w:tc>
          <w:tcPr>
            <w:tcW w:w="1642" w:type="pct"/>
            <w:vAlign w:val="center"/>
          </w:tcPr>
          <w:p w14:paraId="6F0C1525" w14:textId="77777777" w:rsidR="002D3279" w:rsidRPr="009252D7" w:rsidRDefault="002D3279" w:rsidP="00A42257">
            <w:pPr>
              <w:spacing w:after="160" w:line="278" w:lineRule="auto"/>
              <w:jc w:val="center"/>
              <w:rPr>
                <w:color w:val="000000" w:themeColor="text1"/>
              </w:rPr>
            </w:pPr>
            <w:r w:rsidRPr="009252D7">
              <w:rPr>
                <w:color w:val="000000" w:themeColor="text1"/>
              </w:rPr>
              <w:t>Not Calculable</w:t>
            </w:r>
          </w:p>
        </w:tc>
      </w:tr>
    </w:tbl>
    <w:p w14:paraId="76F7B97A" w14:textId="77777777" w:rsidR="002D3279" w:rsidRPr="009252D7" w:rsidRDefault="002D3279" w:rsidP="002D3279">
      <w:pPr>
        <w:jc w:val="center"/>
        <w:rPr>
          <w:color w:val="000000" w:themeColor="text1"/>
        </w:rPr>
      </w:pPr>
    </w:p>
    <w:p w14:paraId="18938026" w14:textId="77777777" w:rsidR="002D3279" w:rsidRPr="009252D7" w:rsidRDefault="002D3279" w:rsidP="002D3279">
      <w:pPr>
        <w:spacing w:line="360" w:lineRule="auto"/>
        <w:rPr>
          <w:b/>
          <w:bCs/>
          <w:color w:val="000000" w:themeColor="text1"/>
        </w:rPr>
      </w:pPr>
      <w:r w:rsidRPr="009252D7">
        <w:rPr>
          <w:b/>
          <w:bCs/>
          <w:color w:val="000000" w:themeColor="text1"/>
        </w:rPr>
        <w:t>Critical Evaluation:</w:t>
      </w:r>
    </w:p>
    <w:p w14:paraId="5DEE42FF" w14:textId="3B03D658" w:rsidR="002D3279" w:rsidRPr="009252D7" w:rsidRDefault="002D3279" w:rsidP="002D3279">
      <w:pPr>
        <w:spacing w:line="360" w:lineRule="auto"/>
        <w:jc w:val="both"/>
        <w:rPr>
          <w:color w:val="000000" w:themeColor="text1"/>
        </w:rPr>
      </w:pPr>
      <w:r w:rsidRPr="009252D7">
        <w:rPr>
          <w:color w:val="000000" w:themeColor="text1"/>
        </w:rPr>
        <w:t>Traditional investor metrics for earnings per share and dividend yield are structurally not applicable to HSBC UK Bank plc because it is a wholly owned, unlisted subsidiary with no publicly traded equity. This is a limitation of corporate structure rather than data insufficiency and thus necessitates investor analysis at the group level of HSBC Holdings plc. However, the Dividend Payout Ratio remains relevant as an indicator of capital allocation. The significant increase from 41.9% in 2023 to 80.7% in 2024 indicates a strategic shift toward capital extraction, illustrating management's confidence in the strength of capital, stability of earnings, and reduced growth needs since the integration of SVB UK. Appropriate for a mature ring-fenced subsidiary, such a high payout does reduce flexibility in retained earnings and heightens susceptibility to adverse economic, credit, or regulatory shocks.</w:t>
      </w:r>
    </w:p>
    <w:p w14:paraId="188D2A40" w14:textId="77777777" w:rsidR="002D3279" w:rsidRPr="004D0D06" w:rsidRDefault="002D3279" w:rsidP="002D3279">
      <w:pPr>
        <w:pStyle w:val="Heading1"/>
        <w:rPr>
          <w:rFonts w:ascii="Times New Roman" w:hAnsi="Times New Roman" w:cs="Times New Roman"/>
          <w:b/>
          <w:bCs/>
          <w:color w:val="000000" w:themeColor="text1"/>
          <w:sz w:val="24"/>
          <w:szCs w:val="24"/>
        </w:rPr>
      </w:pPr>
      <w:bookmarkStart w:id="10" w:name="_Toc218979642"/>
      <w:r w:rsidRPr="004D0D06">
        <w:rPr>
          <w:rFonts w:ascii="Times New Roman" w:hAnsi="Times New Roman" w:cs="Times New Roman"/>
          <w:b/>
          <w:bCs/>
          <w:color w:val="000000" w:themeColor="text1"/>
          <w:sz w:val="24"/>
          <w:szCs w:val="24"/>
        </w:rPr>
        <w:t>4. Reasons for Ratio Changes Over the Period</w:t>
      </w:r>
      <w:bookmarkEnd w:id="10"/>
    </w:p>
    <w:p w14:paraId="7A9A8528" w14:textId="77777777" w:rsidR="002D3279" w:rsidRPr="009252D7" w:rsidRDefault="002D3279" w:rsidP="002D3279">
      <w:pPr>
        <w:spacing w:line="360" w:lineRule="auto"/>
        <w:jc w:val="both"/>
        <w:rPr>
          <w:b/>
          <w:bCs/>
          <w:color w:val="000000" w:themeColor="text1"/>
        </w:rPr>
      </w:pPr>
    </w:p>
    <w:p w14:paraId="14F33A4F" w14:textId="77777777" w:rsidR="002D3279" w:rsidRPr="009252D7" w:rsidRDefault="002D3279" w:rsidP="002D3279">
      <w:pPr>
        <w:pStyle w:val="Heading2"/>
        <w:rPr>
          <w:rFonts w:ascii="Times New Roman" w:hAnsi="Times New Roman" w:cs="Times New Roman"/>
          <w:color w:val="000000" w:themeColor="text1"/>
          <w:sz w:val="24"/>
          <w:szCs w:val="24"/>
        </w:rPr>
      </w:pPr>
      <w:bookmarkStart w:id="11" w:name="_Toc218979643"/>
      <w:r w:rsidRPr="009252D7">
        <w:rPr>
          <w:rFonts w:ascii="Times New Roman" w:hAnsi="Times New Roman" w:cs="Times New Roman"/>
          <w:color w:val="000000" w:themeColor="text1"/>
          <w:sz w:val="24"/>
          <w:szCs w:val="24"/>
        </w:rPr>
        <w:t>4.1 Macroeconomic and Interest Rate Environment:</w:t>
      </w:r>
      <w:bookmarkEnd w:id="11"/>
    </w:p>
    <w:p w14:paraId="52109608" w14:textId="77777777" w:rsidR="002D3279" w:rsidRPr="009252D7" w:rsidRDefault="002D3279" w:rsidP="002D3279">
      <w:pPr>
        <w:spacing w:line="360" w:lineRule="auto"/>
        <w:jc w:val="both"/>
        <w:rPr>
          <w:color w:val="000000" w:themeColor="text1"/>
        </w:rPr>
      </w:pPr>
      <w:r w:rsidRPr="009252D7">
        <w:rPr>
          <w:color w:val="000000" w:themeColor="text1"/>
        </w:rPr>
        <w:t>During 2023-2024, the HSBC UK financial ratio dynamics will be driven by several interrelated factors. The macro-economic environment-with Bank of England policy rates reaching 5.25%-has enabled a widening of Net Interest Margin from 2.43% to 2.56% as lending yields reprice more rapidly than deposit costs. However, an increasingly intense deposit competition and heightened customer rate sensitivity restrained margin expansion to 13 basis points. Economic uncertainty subdued lending activity, translating into lower Asset Utilisation Ratios, while a resilient labor market sustained exceptionally low Credit Loss Ratios of 0.20% and 0.15%, respectively.</w:t>
      </w:r>
    </w:p>
    <w:p w14:paraId="6158869F" w14:textId="77777777" w:rsidR="002D3279" w:rsidRPr="009252D7" w:rsidRDefault="002D3279" w:rsidP="002D3279">
      <w:pPr>
        <w:spacing w:line="360" w:lineRule="auto"/>
        <w:jc w:val="both"/>
        <w:rPr>
          <w:color w:val="000000" w:themeColor="text1"/>
        </w:rPr>
      </w:pPr>
    </w:p>
    <w:p w14:paraId="1C317A2D" w14:textId="77777777" w:rsidR="002D3279" w:rsidRPr="009252D7" w:rsidRDefault="002D3279" w:rsidP="002D3279">
      <w:pPr>
        <w:pStyle w:val="Heading2"/>
        <w:rPr>
          <w:rFonts w:ascii="Times New Roman" w:hAnsi="Times New Roman" w:cs="Times New Roman"/>
          <w:color w:val="000000" w:themeColor="text1"/>
          <w:sz w:val="24"/>
          <w:szCs w:val="24"/>
        </w:rPr>
      </w:pPr>
      <w:bookmarkStart w:id="12" w:name="_Toc218979644"/>
      <w:r w:rsidRPr="009252D7">
        <w:rPr>
          <w:rFonts w:ascii="Times New Roman" w:hAnsi="Times New Roman" w:cs="Times New Roman"/>
          <w:color w:val="000000" w:themeColor="text1"/>
          <w:sz w:val="24"/>
          <w:szCs w:val="24"/>
        </w:rPr>
        <w:lastRenderedPageBreak/>
        <w:t>4.2 One-Time Acquisition Impact:</w:t>
      </w:r>
      <w:bookmarkEnd w:id="12"/>
    </w:p>
    <w:p w14:paraId="3128BFDA" w14:textId="77777777" w:rsidR="002D3279" w:rsidRPr="009252D7" w:rsidRDefault="002D3279" w:rsidP="002D3279">
      <w:pPr>
        <w:spacing w:line="360" w:lineRule="auto"/>
        <w:jc w:val="both"/>
        <w:rPr>
          <w:color w:val="000000" w:themeColor="text1"/>
        </w:rPr>
      </w:pPr>
      <w:r w:rsidRPr="009252D7">
        <w:rPr>
          <w:color w:val="000000" w:themeColor="text1"/>
        </w:rPr>
        <w:t>The March 2023 acquisition of Silicon Valley Bank UK, which was well below book value, created significant nonrecurring gains and, therefore, distorted profitability measures for 2023 artificially: ROE reached 21.8% while ROA was 1.56%. The results of 2024 are more representative of the normalized operating performance: ROE of 16.5% and ROA of 1.23%. The acquisition also increased liquidity needs and, therefore, explains LCR levels above 190%.</w:t>
      </w:r>
    </w:p>
    <w:p w14:paraId="0354EE2F" w14:textId="77777777" w:rsidR="002D3279" w:rsidRPr="009252D7" w:rsidRDefault="002D3279" w:rsidP="002D3279">
      <w:pPr>
        <w:spacing w:line="360" w:lineRule="auto"/>
        <w:jc w:val="both"/>
        <w:rPr>
          <w:color w:val="000000" w:themeColor="text1"/>
        </w:rPr>
      </w:pPr>
    </w:p>
    <w:p w14:paraId="6C422856" w14:textId="77777777" w:rsidR="002D3279" w:rsidRPr="009252D7" w:rsidRDefault="002D3279" w:rsidP="002D3279">
      <w:pPr>
        <w:pStyle w:val="Heading2"/>
        <w:rPr>
          <w:rFonts w:ascii="Times New Roman" w:hAnsi="Times New Roman" w:cs="Times New Roman"/>
          <w:color w:val="000000" w:themeColor="text1"/>
          <w:sz w:val="24"/>
          <w:szCs w:val="24"/>
        </w:rPr>
      </w:pPr>
      <w:bookmarkStart w:id="13" w:name="_Toc218979645"/>
      <w:r w:rsidRPr="009252D7">
        <w:rPr>
          <w:rFonts w:ascii="Times New Roman" w:hAnsi="Times New Roman" w:cs="Times New Roman"/>
          <w:color w:val="000000" w:themeColor="text1"/>
          <w:sz w:val="24"/>
          <w:szCs w:val="24"/>
        </w:rPr>
        <w:t>4.3 Strategic and Operational Factors:</w:t>
      </w:r>
      <w:bookmarkEnd w:id="13"/>
      <w:r w:rsidRPr="009252D7">
        <w:rPr>
          <w:rFonts w:ascii="Times New Roman" w:hAnsi="Times New Roman" w:cs="Times New Roman"/>
          <w:color w:val="000000" w:themeColor="text1"/>
          <w:sz w:val="24"/>
          <w:szCs w:val="24"/>
        </w:rPr>
        <w:t xml:space="preserve"> </w:t>
      </w:r>
    </w:p>
    <w:p w14:paraId="41124BFA" w14:textId="77777777" w:rsidR="002D3279" w:rsidRPr="009252D7" w:rsidRDefault="002D3279" w:rsidP="002D3279">
      <w:pPr>
        <w:spacing w:line="360" w:lineRule="auto"/>
        <w:jc w:val="both"/>
        <w:rPr>
          <w:color w:val="000000" w:themeColor="text1"/>
        </w:rPr>
      </w:pPr>
      <w:r w:rsidRPr="009252D7">
        <w:rPr>
          <w:color w:val="000000" w:themeColor="text1"/>
        </w:rPr>
        <w:t xml:space="preserve">There was a significant effect of strategic management choices on the movements of the ratios: The dividend payout ratio increased significantly from 41.9% to 80.7%, suggesting active capital management and the removal of surplus capital. Technology investments and costs of regulatory compliance led to a cost-to-income deterioration from 34.3% to 40.3%, but these should be considered as long-term investments in competitiveness. </w:t>
      </w:r>
    </w:p>
    <w:p w14:paraId="75F99367" w14:textId="77777777" w:rsidR="002D3279" w:rsidRPr="009252D7" w:rsidRDefault="002D3279" w:rsidP="002D3279">
      <w:pPr>
        <w:spacing w:line="360" w:lineRule="auto"/>
        <w:jc w:val="both"/>
        <w:rPr>
          <w:color w:val="000000" w:themeColor="text1"/>
        </w:rPr>
      </w:pPr>
    </w:p>
    <w:p w14:paraId="0298D19B" w14:textId="77777777" w:rsidR="002D3279" w:rsidRPr="009252D7" w:rsidRDefault="002D3279" w:rsidP="002D3279">
      <w:pPr>
        <w:pStyle w:val="Heading2"/>
        <w:rPr>
          <w:rFonts w:ascii="Times New Roman" w:hAnsi="Times New Roman" w:cs="Times New Roman"/>
          <w:color w:val="000000" w:themeColor="text1"/>
          <w:sz w:val="24"/>
          <w:szCs w:val="24"/>
        </w:rPr>
      </w:pPr>
      <w:bookmarkStart w:id="14" w:name="_Toc218979646"/>
      <w:r w:rsidRPr="009252D7">
        <w:rPr>
          <w:rFonts w:ascii="Times New Roman" w:hAnsi="Times New Roman" w:cs="Times New Roman"/>
          <w:color w:val="000000" w:themeColor="text1"/>
          <w:sz w:val="24"/>
          <w:szCs w:val="24"/>
        </w:rPr>
        <w:t>4.4 Competitive and Regulatory Dynamics:</w:t>
      </w:r>
      <w:bookmarkEnd w:id="14"/>
      <w:r w:rsidRPr="009252D7">
        <w:rPr>
          <w:rFonts w:ascii="Times New Roman" w:hAnsi="Times New Roman" w:cs="Times New Roman"/>
          <w:color w:val="000000" w:themeColor="text1"/>
          <w:sz w:val="24"/>
          <w:szCs w:val="24"/>
        </w:rPr>
        <w:t xml:space="preserve"> </w:t>
      </w:r>
    </w:p>
    <w:p w14:paraId="3BADCC19" w14:textId="77777777" w:rsidR="002D3279" w:rsidRPr="009252D7" w:rsidRDefault="002D3279" w:rsidP="002D3279">
      <w:pPr>
        <w:spacing w:line="360" w:lineRule="auto"/>
        <w:jc w:val="both"/>
        <w:rPr>
          <w:color w:val="000000" w:themeColor="text1"/>
        </w:rPr>
      </w:pPr>
      <w:r w:rsidRPr="009252D7">
        <w:rPr>
          <w:color w:val="000000" w:themeColor="text1"/>
        </w:rPr>
        <w:t>Competitive pressures from challenger banks and fintechs constrained pricing power and fee income, while changing regulatory demands-such as ring-fencing regulations and improved liquidity requirements-restricted business model flexibility and steered operations toward lower-risk, lower-return activities.</w:t>
      </w:r>
    </w:p>
    <w:p w14:paraId="157BBC0B" w14:textId="77777777" w:rsidR="002D3279" w:rsidRPr="009252D7" w:rsidRDefault="002D3279" w:rsidP="002D3279">
      <w:pPr>
        <w:spacing w:line="360" w:lineRule="auto"/>
        <w:jc w:val="both"/>
        <w:rPr>
          <w:color w:val="000000" w:themeColor="text1"/>
        </w:rPr>
      </w:pPr>
    </w:p>
    <w:p w14:paraId="46E9BE20"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15" w:name="_Toc218979647"/>
      <w:r w:rsidRPr="009252D7">
        <w:rPr>
          <w:rFonts w:ascii="Times New Roman" w:hAnsi="Times New Roman" w:cs="Times New Roman"/>
          <w:b/>
          <w:bCs/>
          <w:color w:val="000000" w:themeColor="text1"/>
          <w:sz w:val="24"/>
          <w:szCs w:val="24"/>
        </w:rPr>
        <w:t>5. Limitations of Ratio Analysis in Banking Evaluation</w:t>
      </w:r>
      <w:bookmarkEnd w:id="15"/>
    </w:p>
    <w:p w14:paraId="102F9A15" w14:textId="77777777" w:rsidR="002D3279" w:rsidRPr="009252D7" w:rsidRDefault="002D3279" w:rsidP="002D3279">
      <w:pPr>
        <w:spacing w:line="360" w:lineRule="auto"/>
        <w:jc w:val="both"/>
        <w:rPr>
          <w:color w:val="000000" w:themeColor="text1"/>
        </w:rPr>
      </w:pPr>
      <w:r w:rsidRPr="009252D7">
        <w:rPr>
          <w:color w:val="000000" w:themeColor="text1"/>
        </w:rPr>
        <w:t>Financial ratio analysis, while widely used in assessing the performance of HSBC, has methodological drawbacks that reduce its interpretive value. The major ones are as follows:</w:t>
      </w:r>
    </w:p>
    <w:p w14:paraId="0D36E3E9" w14:textId="77777777" w:rsidR="002D3279" w:rsidRDefault="002D3279" w:rsidP="002D3279">
      <w:pPr>
        <w:spacing w:line="360" w:lineRule="auto"/>
        <w:jc w:val="both"/>
        <w:rPr>
          <w:color w:val="000000" w:themeColor="text1"/>
        </w:rPr>
      </w:pPr>
      <w:r w:rsidRPr="009252D7">
        <w:rPr>
          <w:i/>
          <w:iCs/>
          <w:color w:val="000000" w:themeColor="text1"/>
        </w:rPr>
        <w:t>Backward-Looking Orientation</w:t>
      </w:r>
      <w:r w:rsidRPr="009252D7">
        <w:rPr>
          <w:color w:val="000000" w:themeColor="text1"/>
        </w:rPr>
        <w:t xml:space="preserve">: </w:t>
      </w:r>
    </w:p>
    <w:p w14:paraId="0DD211AD" w14:textId="77777777" w:rsidR="002D3279" w:rsidRPr="009252D7" w:rsidRDefault="002D3279" w:rsidP="002D3279">
      <w:pPr>
        <w:spacing w:line="360" w:lineRule="auto"/>
        <w:jc w:val="both"/>
        <w:rPr>
          <w:color w:val="000000" w:themeColor="text1"/>
        </w:rPr>
      </w:pPr>
      <w:r w:rsidRPr="009252D7">
        <w:rPr>
          <w:color w:val="000000" w:themeColor="text1"/>
        </w:rPr>
        <w:t>Ratios are based on historical financial statements and do not provide any anticipatory insight into future performance or emerging risks. Indicators of HSBC's prior profitability or liquidity may not be a reliable forecast of forthcoming technological disruptions or regulatory changes influencing banking operations.</w:t>
      </w:r>
    </w:p>
    <w:p w14:paraId="77C5BCBA" w14:textId="77777777" w:rsidR="004D0D06" w:rsidRDefault="004D0D06" w:rsidP="002D3279">
      <w:pPr>
        <w:spacing w:line="360" w:lineRule="auto"/>
        <w:jc w:val="both"/>
        <w:rPr>
          <w:i/>
          <w:iCs/>
          <w:color w:val="000000" w:themeColor="text1"/>
        </w:rPr>
      </w:pPr>
    </w:p>
    <w:p w14:paraId="50222B07" w14:textId="77777777" w:rsidR="004D0D06" w:rsidRDefault="004D0D06" w:rsidP="002D3279">
      <w:pPr>
        <w:spacing w:line="360" w:lineRule="auto"/>
        <w:jc w:val="both"/>
        <w:rPr>
          <w:i/>
          <w:iCs/>
          <w:color w:val="000000" w:themeColor="text1"/>
        </w:rPr>
      </w:pPr>
    </w:p>
    <w:p w14:paraId="4EFCDDE2" w14:textId="77E610DF" w:rsidR="002D3279" w:rsidRDefault="002D3279" w:rsidP="002D3279">
      <w:pPr>
        <w:spacing w:line="360" w:lineRule="auto"/>
        <w:jc w:val="both"/>
        <w:rPr>
          <w:color w:val="000000" w:themeColor="text1"/>
        </w:rPr>
      </w:pPr>
      <w:r w:rsidRPr="009252D7">
        <w:rPr>
          <w:i/>
          <w:iCs/>
          <w:color w:val="000000" w:themeColor="text1"/>
        </w:rPr>
        <w:lastRenderedPageBreak/>
        <w:t>Dependence on Accounting Conventions</w:t>
      </w:r>
      <w:r w:rsidRPr="009252D7">
        <w:rPr>
          <w:color w:val="000000" w:themeColor="text1"/>
        </w:rPr>
        <w:t xml:space="preserve">: </w:t>
      </w:r>
    </w:p>
    <w:p w14:paraId="55D8FE3E" w14:textId="77777777" w:rsidR="002D3279" w:rsidRPr="009252D7" w:rsidRDefault="002D3279" w:rsidP="002D3279">
      <w:pPr>
        <w:spacing w:line="360" w:lineRule="auto"/>
        <w:jc w:val="both"/>
        <w:rPr>
          <w:color w:val="000000" w:themeColor="text1"/>
        </w:rPr>
      </w:pPr>
      <w:r w:rsidRPr="009252D7">
        <w:rPr>
          <w:color w:val="000000" w:themeColor="text1"/>
        </w:rPr>
        <w:t>Variations in accounting policies substantially influence ratio outcomes. HSBC’s IFRS 9 provisions for expected credit losses involve management estimates and economic forecasts, introducing subjectivity that directly affects credit loss ratios and reported profitability.</w:t>
      </w:r>
    </w:p>
    <w:p w14:paraId="009E73E2" w14:textId="77777777" w:rsidR="002D3279" w:rsidRDefault="002D3279" w:rsidP="002D3279">
      <w:pPr>
        <w:spacing w:line="360" w:lineRule="auto"/>
        <w:jc w:val="both"/>
        <w:rPr>
          <w:color w:val="000000" w:themeColor="text1"/>
        </w:rPr>
      </w:pPr>
      <w:r w:rsidRPr="009252D7">
        <w:rPr>
          <w:i/>
          <w:iCs/>
          <w:color w:val="000000" w:themeColor="text1"/>
        </w:rPr>
        <w:t>Static Snapshot Limitations</w:t>
      </w:r>
      <w:r w:rsidRPr="009252D7">
        <w:rPr>
          <w:color w:val="000000" w:themeColor="text1"/>
        </w:rPr>
        <w:t xml:space="preserve">: </w:t>
      </w:r>
    </w:p>
    <w:p w14:paraId="59D05308" w14:textId="77777777" w:rsidR="002D3279" w:rsidRPr="009252D7" w:rsidRDefault="002D3279" w:rsidP="002D3279">
      <w:pPr>
        <w:spacing w:line="360" w:lineRule="auto"/>
        <w:jc w:val="both"/>
        <w:rPr>
          <w:color w:val="000000" w:themeColor="text1"/>
        </w:rPr>
      </w:pPr>
      <w:r w:rsidRPr="009252D7">
        <w:rPr>
          <w:color w:val="000000" w:themeColor="text1"/>
        </w:rPr>
        <w:t>Ratios capture the point-in-time measurements; hence, they fail to reflect period dynamics. HSBC may experience mid-quarter liquidity pressures that are later resolved before reporting dates. This means the year-end ratios could be misleading due to balance sheet window-dressing practices.</w:t>
      </w:r>
    </w:p>
    <w:p w14:paraId="280E4103" w14:textId="77777777" w:rsidR="002D3279" w:rsidRDefault="002D3279" w:rsidP="002D3279">
      <w:pPr>
        <w:spacing w:line="360" w:lineRule="auto"/>
        <w:jc w:val="both"/>
        <w:rPr>
          <w:color w:val="000000" w:themeColor="text1"/>
        </w:rPr>
      </w:pPr>
      <w:r w:rsidRPr="009252D7">
        <w:rPr>
          <w:i/>
          <w:iCs/>
          <w:color w:val="000000" w:themeColor="text1"/>
        </w:rPr>
        <w:t>Lack of Qualitative Context</w:t>
      </w:r>
      <w:r w:rsidRPr="009252D7">
        <w:rPr>
          <w:color w:val="000000" w:themeColor="text1"/>
        </w:rPr>
        <w:t xml:space="preserve">: </w:t>
      </w:r>
    </w:p>
    <w:p w14:paraId="45E0CCA2" w14:textId="77777777" w:rsidR="002D3279" w:rsidRPr="009252D7" w:rsidRDefault="002D3279" w:rsidP="002D3279">
      <w:pPr>
        <w:spacing w:line="360" w:lineRule="auto"/>
        <w:jc w:val="both"/>
        <w:rPr>
          <w:color w:val="000000" w:themeColor="text1"/>
        </w:rPr>
      </w:pPr>
      <w:r w:rsidRPr="009252D7">
        <w:rPr>
          <w:color w:val="000000" w:themeColor="text1"/>
        </w:rPr>
        <w:t>Ratios only present quantitative information and exclude crucial indicators for long-term success, such as management quality, corporate governance, strategic positioning, capabilities for innovation, and customer satisfaction. HSBC's competitive advantages and operational resilience cannot be measured by numerical ratios alone.</w:t>
      </w:r>
    </w:p>
    <w:p w14:paraId="5C1733B3" w14:textId="77777777" w:rsidR="002D3279" w:rsidRDefault="002D3279" w:rsidP="002D3279">
      <w:pPr>
        <w:spacing w:line="360" w:lineRule="auto"/>
        <w:jc w:val="both"/>
        <w:rPr>
          <w:color w:val="000000" w:themeColor="text1"/>
        </w:rPr>
      </w:pPr>
      <w:r w:rsidRPr="009252D7">
        <w:rPr>
          <w:i/>
          <w:iCs/>
          <w:color w:val="000000" w:themeColor="text1"/>
        </w:rPr>
        <w:t>Challenges in Benchmarking</w:t>
      </w:r>
      <w:r w:rsidRPr="009252D7">
        <w:rPr>
          <w:color w:val="000000" w:themeColor="text1"/>
        </w:rPr>
        <w:t xml:space="preserve">: </w:t>
      </w:r>
    </w:p>
    <w:p w14:paraId="0127337F" w14:textId="77777777" w:rsidR="002D3279" w:rsidRPr="009252D7" w:rsidRDefault="002D3279" w:rsidP="002D3279">
      <w:pPr>
        <w:spacing w:line="360" w:lineRule="auto"/>
        <w:jc w:val="both"/>
        <w:rPr>
          <w:color w:val="000000" w:themeColor="text1"/>
        </w:rPr>
      </w:pPr>
      <w:r w:rsidRPr="009252D7">
        <w:rPr>
          <w:color w:val="000000" w:themeColor="text1"/>
        </w:rPr>
        <w:t>Meaningful comparisons require appropriate peer groups; however, there is great heterogeneity among banks in business mix, geographic exposure, and risk appetite. Comparing the ratios of HSBC against industry averages may be misleading, considering its emphasis on global wholesale banking compared to primarily retail-focused competitors.</w:t>
      </w:r>
    </w:p>
    <w:p w14:paraId="57EF3DF7" w14:textId="77777777" w:rsidR="002D3279" w:rsidRDefault="002D3279" w:rsidP="002D3279">
      <w:pPr>
        <w:spacing w:line="360" w:lineRule="auto"/>
        <w:jc w:val="both"/>
        <w:rPr>
          <w:color w:val="000000" w:themeColor="text1"/>
        </w:rPr>
      </w:pPr>
      <w:r w:rsidRPr="009252D7">
        <w:rPr>
          <w:i/>
          <w:iCs/>
          <w:color w:val="000000" w:themeColor="text1"/>
        </w:rPr>
        <w:t>Susceptibility to manipulation</w:t>
      </w:r>
      <w:r w:rsidRPr="009252D7">
        <w:rPr>
          <w:color w:val="000000" w:themeColor="text1"/>
        </w:rPr>
        <w:t xml:space="preserve">: </w:t>
      </w:r>
    </w:p>
    <w:p w14:paraId="10291ABB" w14:textId="77777777" w:rsidR="002D3279" w:rsidRPr="009252D7" w:rsidRDefault="002D3279" w:rsidP="002D3279">
      <w:pPr>
        <w:spacing w:line="360" w:lineRule="auto"/>
        <w:jc w:val="both"/>
        <w:rPr>
          <w:color w:val="000000" w:themeColor="text1"/>
        </w:rPr>
      </w:pPr>
      <w:r w:rsidRPr="009252D7">
        <w:rPr>
          <w:color w:val="000000" w:themeColor="text1"/>
        </w:rPr>
        <w:t>Management can impact ratios through earnings management, provisioning discretion, or risk-weighted asset adjustments without necessarily improving economic fundamentals, which could distort the true financial position.</w:t>
      </w:r>
    </w:p>
    <w:p w14:paraId="13F32964" w14:textId="77777777" w:rsidR="002D3279" w:rsidRPr="009252D7" w:rsidRDefault="002D3279" w:rsidP="002D3279">
      <w:pPr>
        <w:spacing w:line="360" w:lineRule="auto"/>
        <w:jc w:val="both"/>
        <w:rPr>
          <w:color w:val="000000" w:themeColor="text1"/>
        </w:rPr>
      </w:pPr>
      <w:r w:rsidRPr="009252D7">
        <w:rPr>
          <w:color w:val="000000" w:themeColor="text1"/>
        </w:rPr>
        <w:t>Therefore, ratio analysis of HSBC should be supplemented with qualitative assessment and contextual understanding to reach valid conclusions.</w:t>
      </w:r>
    </w:p>
    <w:p w14:paraId="7287904E" w14:textId="77777777" w:rsidR="002D3279" w:rsidRPr="009252D7" w:rsidRDefault="002D3279" w:rsidP="002D3279">
      <w:pPr>
        <w:spacing w:line="360" w:lineRule="auto"/>
        <w:jc w:val="both"/>
        <w:rPr>
          <w:color w:val="000000" w:themeColor="text1"/>
        </w:rPr>
      </w:pPr>
    </w:p>
    <w:p w14:paraId="55B7FC44"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16" w:name="_Toc218979648"/>
      <w:r w:rsidRPr="009252D7">
        <w:rPr>
          <w:rFonts w:ascii="Times New Roman" w:hAnsi="Times New Roman" w:cs="Times New Roman"/>
          <w:b/>
          <w:bCs/>
          <w:color w:val="000000" w:themeColor="text1"/>
          <w:sz w:val="24"/>
          <w:szCs w:val="24"/>
        </w:rPr>
        <w:t>6. Financial Management Recommendations for HSBC UK</w:t>
      </w:r>
      <w:bookmarkEnd w:id="16"/>
    </w:p>
    <w:p w14:paraId="0E55A754" w14:textId="77777777" w:rsidR="002D3279" w:rsidRPr="009252D7" w:rsidRDefault="002D3279" w:rsidP="002D3279">
      <w:pPr>
        <w:spacing w:line="360" w:lineRule="auto"/>
        <w:jc w:val="both"/>
        <w:rPr>
          <w:color w:val="000000" w:themeColor="text1"/>
        </w:rPr>
      </w:pPr>
      <w:r w:rsidRPr="009252D7">
        <w:rPr>
          <w:color w:val="000000" w:themeColor="text1"/>
        </w:rPr>
        <w:t>Based on a thorough financial analysis, the following four main recommendations are suggested for improving the performance of HSBC UK:</w:t>
      </w:r>
    </w:p>
    <w:p w14:paraId="07010734" w14:textId="77777777" w:rsidR="002D3279" w:rsidRPr="009252D7" w:rsidRDefault="002D3279" w:rsidP="002D3279">
      <w:pPr>
        <w:spacing w:line="360" w:lineRule="auto"/>
        <w:jc w:val="both"/>
        <w:rPr>
          <w:color w:val="000000" w:themeColor="text1"/>
        </w:rPr>
      </w:pPr>
    </w:p>
    <w:p w14:paraId="4D7E0685" w14:textId="77777777" w:rsidR="002D3279" w:rsidRPr="009252D7" w:rsidRDefault="002D3279" w:rsidP="002D3279">
      <w:pPr>
        <w:pStyle w:val="Heading2"/>
        <w:rPr>
          <w:rFonts w:ascii="Times New Roman" w:hAnsi="Times New Roman" w:cs="Times New Roman"/>
          <w:color w:val="000000" w:themeColor="text1"/>
          <w:sz w:val="24"/>
          <w:szCs w:val="24"/>
        </w:rPr>
      </w:pPr>
      <w:bookmarkStart w:id="17" w:name="_Toc218979649"/>
      <w:r w:rsidRPr="009252D7">
        <w:rPr>
          <w:rFonts w:ascii="Times New Roman" w:hAnsi="Times New Roman" w:cs="Times New Roman"/>
          <w:color w:val="000000" w:themeColor="text1"/>
          <w:sz w:val="24"/>
          <w:szCs w:val="24"/>
        </w:rPr>
        <w:t>6.1 Operational Efficiency Enhancement</w:t>
      </w:r>
      <w:bookmarkEnd w:id="17"/>
    </w:p>
    <w:p w14:paraId="76CCF1BB" w14:textId="77777777" w:rsidR="002D3279" w:rsidRPr="009252D7" w:rsidRDefault="002D3279" w:rsidP="002D3279">
      <w:pPr>
        <w:spacing w:line="360" w:lineRule="auto"/>
        <w:jc w:val="both"/>
        <w:rPr>
          <w:color w:val="000000" w:themeColor="text1"/>
        </w:rPr>
      </w:pPr>
      <w:r w:rsidRPr="009252D7">
        <w:rPr>
          <w:color w:val="000000" w:themeColor="text1"/>
        </w:rPr>
        <w:t>Cost-to-Income ratio has markedly deteriorated from 34.3% to 40.3$, threatening long-term competitiveness. A holistic efficiency program needs to focus on bringing this metric down to 36–38% within 24 months through:</w:t>
      </w:r>
    </w:p>
    <w:p w14:paraId="2F6295D6" w14:textId="77777777" w:rsidR="002D3279" w:rsidRPr="009252D7" w:rsidRDefault="002D3279" w:rsidP="002D3279">
      <w:pPr>
        <w:spacing w:line="360" w:lineRule="auto"/>
        <w:jc w:val="both"/>
        <w:rPr>
          <w:color w:val="000000" w:themeColor="text1"/>
        </w:rPr>
      </w:pPr>
      <w:r w:rsidRPr="009252D7">
        <w:rPr>
          <w:color w:val="000000" w:themeColor="text1"/>
        </w:rPr>
        <w:t>Zero-based budgeting reviews across all heads of cost</w:t>
      </w:r>
    </w:p>
    <w:p w14:paraId="741AF2CE" w14:textId="77777777" w:rsidR="002D3279" w:rsidRPr="009252D7" w:rsidRDefault="002D3279" w:rsidP="002D3279">
      <w:pPr>
        <w:pStyle w:val="ListParagraph"/>
        <w:numPr>
          <w:ilvl w:val="0"/>
          <w:numId w:val="10"/>
        </w:numPr>
        <w:spacing w:after="0" w:line="360" w:lineRule="auto"/>
        <w:jc w:val="both"/>
        <w:rPr>
          <w:color w:val="000000" w:themeColor="text1"/>
        </w:rPr>
      </w:pPr>
      <w:r w:rsidRPr="009252D7">
        <w:rPr>
          <w:color w:val="000000" w:themeColor="text1"/>
        </w:rPr>
        <w:t>Branch network rationalization by closing 15–20% of the lowest-transaction branches</w:t>
      </w:r>
    </w:p>
    <w:p w14:paraId="48E1AE4A" w14:textId="77777777" w:rsidR="002D3279" w:rsidRPr="009252D7" w:rsidRDefault="002D3279" w:rsidP="002D3279">
      <w:pPr>
        <w:pStyle w:val="ListParagraph"/>
        <w:numPr>
          <w:ilvl w:val="0"/>
          <w:numId w:val="10"/>
        </w:numPr>
        <w:spacing w:after="0" w:line="360" w:lineRule="auto"/>
        <w:jc w:val="both"/>
        <w:rPr>
          <w:color w:val="000000" w:themeColor="text1"/>
        </w:rPr>
      </w:pPr>
      <w:r w:rsidRPr="009252D7">
        <w:rPr>
          <w:color w:val="000000" w:themeColor="text1"/>
        </w:rPr>
        <w:t>Implementation of robotic process automation for high-volume back-office processes to achieve 20–30% productivity gains</w:t>
      </w:r>
    </w:p>
    <w:p w14:paraId="14E824A0" w14:textId="77777777" w:rsidR="002D3279" w:rsidRPr="009252D7" w:rsidRDefault="002D3279" w:rsidP="002D3279">
      <w:pPr>
        <w:pStyle w:val="ListParagraph"/>
        <w:numPr>
          <w:ilvl w:val="0"/>
          <w:numId w:val="10"/>
        </w:numPr>
        <w:spacing w:after="0" w:line="360" w:lineRule="auto"/>
        <w:jc w:val="both"/>
        <w:rPr>
          <w:color w:val="000000" w:themeColor="text1"/>
        </w:rPr>
      </w:pPr>
      <w:r w:rsidRPr="009252D7">
        <w:rPr>
          <w:color w:val="000000" w:themeColor="text1"/>
        </w:rPr>
        <w:t>Major renegotiation of supplier contracts and consolidation of the vendor base.</w:t>
      </w:r>
    </w:p>
    <w:p w14:paraId="28D1DC80" w14:textId="77777777" w:rsidR="002D3279" w:rsidRPr="009252D7" w:rsidRDefault="002D3279" w:rsidP="002D3279">
      <w:pPr>
        <w:pStyle w:val="ListParagraph"/>
        <w:numPr>
          <w:ilvl w:val="0"/>
          <w:numId w:val="10"/>
        </w:numPr>
        <w:spacing w:after="0" w:line="360" w:lineRule="auto"/>
        <w:jc w:val="both"/>
        <w:rPr>
          <w:color w:val="000000" w:themeColor="text1"/>
        </w:rPr>
      </w:pPr>
      <w:r w:rsidRPr="009252D7">
        <w:rPr>
          <w:color w:val="000000" w:themeColor="text1"/>
        </w:rPr>
        <w:t>Adopting activity-based costing for understanding the real profitability of each product and segment</w:t>
      </w:r>
    </w:p>
    <w:p w14:paraId="1604F431" w14:textId="77777777" w:rsidR="002D3279" w:rsidRPr="009252D7" w:rsidRDefault="002D3279" w:rsidP="002D3279">
      <w:pPr>
        <w:pStyle w:val="ListParagraph"/>
        <w:numPr>
          <w:ilvl w:val="0"/>
          <w:numId w:val="10"/>
        </w:numPr>
        <w:spacing w:after="0" w:line="360" w:lineRule="auto"/>
        <w:jc w:val="both"/>
        <w:rPr>
          <w:color w:val="000000" w:themeColor="text1"/>
        </w:rPr>
      </w:pPr>
      <w:r w:rsidRPr="009252D7">
        <w:rPr>
          <w:color w:val="000000" w:themeColor="text1"/>
        </w:rPr>
        <w:t>Establishment of an executive-level efficiency council with quarterly targets</w:t>
      </w:r>
    </w:p>
    <w:p w14:paraId="5718BF89" w14:textId="77777777" w:rsidR="002D3279" w:rsidRPr="009252D7" w:rsidRDefault="002D3279" w:rsidP="002D3279">
      <w:pPr>
        <w:spacing w:line="360" w:lineRule="auto"/>
        <w:jc w:val="both"/>
        <w:rPr>
          <w:color w:val="000000" w:themeColor="text1"/>
        </w:rPr>
      </w:pPr>
      <w:r w:rsidRPr="009252D7">
        <w:rPr>
          <w:color w:val="000000" w:themeColor="text1"/>
        </w:rPr>
        <w:t>Expected Impact: Annual cost reduction by £150–£200 million, with strategic investment sustained at current levels; 3–4 percentage point improvement in cost-to-income ratio.</w:t>
      </w:r>
    </w:p>
    <w:p w14:paraId="6B78CC66" w14:textId="77777777" w:rsidR="002D3279" w:rsidRPr="009252D7" w:rsidRDefault="002D3279" w:rsidP="002D3279">
      <w:pPr>
        <w:spacing w:line="360" w:lineRule="auto"/>
        <w:jc w:val="both"/>
        <w:rPr>
          <w:color w:val="000000" w:themeColor="text1"/>
        </w:rPr>
      </w:pPr>
    </w:p>
    <w:p w14:paraId="144658E6" w14:textId="77777777" w:rsidR="002D3279" w:rsidRPr="009252D7" w:rsidRDefault="002D3279" w:rsidP="002D3279">
      <w:pPr>
        <w:pStyle w:val="Heading2"/>
        <w:rPr>
          <w:rFonts w:ascii="Times New Roman" w:hAnsi="Times New Roman" w:cs="Times New Roman"/>
          <w:color w:val="000000" w:themeColor="text1"/>
          <w:sz w:val="24"/>
          <w:szCs w:val="24"/>
        </w:rPr>
      </w:pPr>
      <w:bookmarkStart w:id="18" w:name="_Toc218979650"/>
      <w:r w:rsidRPr="009252D7">
        <w:rPr>
          <w:rFonts w:ascii="Times New Roman" w:hAnsi="Times New Roman" w:cs="Times New Roman"/>
          <w:color w:val="000000" w:themeColor="text1"/>
          <w:sz w:val="24"/>
          <w:szCs w:val="24"/>
        </w:rPr>
        <w:t>6.2 Net Interest Margin Protection</w:t>
      </w:r>
      <w:bookmarkEnd w:id="18"/>
    </w:p>
    <w:p w14:paraId="69CD1C23" w14:textId="77777777" w:rsidR="002D3279" w:rsidRPr="009252D7" w:rsidRDefault="002D3279" w:rsidP="002D3279">
      <w:pPr>
        <w:spacing w:line="360" w:lineRule="auto"/>
        <w:jc w:val="both"/>
        <w:rPr>
          <w:color w:val="000000" w:themeColor="text1"/>
        </w:rPr>
      </w:pPr>
      <w:r w:rsidRPr="009252D7">
        <w:rPr>
          <w:color w:val="000000" w:themeColor="text1"/>
        </w:rPr>
        <w:t>Protection strategies in view of the expected declines in interest rates threatening the current NIM of 2.56% include:</w:t>
      </w:r>
    </w:p>
    <w:p w14:paraId="7CBD4779" w14:textId="77777777" w:rsidR="002D3279" w:rsidRPr="009252D7" w:rsidRDefault="002D3279" w:rsidP="002D3279">
      <w:pPr>
        <w:pStyle w:val="ListParagraph"/>
        <w:numPr>
          <w:ilvl w:val="0"/>
          <w:numId w:val="11"/>
        </w:numPr>
        <w:spacing w:after="0" w:line="360" w:lineRule="auto"/>
        <w:jc w:val="both"/>
        <w:rPr>
          <w:color w:val="000000" w:themeColor="text1"/>
        </w:rPr>
      </w:pPr>
      <w:r w:rsidRPr="009252D7">
        <w:rPr>
          <w:color w:val="000000" w:themeColor="text1"/>
        </w:rPr>
        <w:t>Improved deposit pricing through customer segmentation and behavioral analytics</w:t>
      </w:r>
    </w:p>
    <w:p w14:paraId="046BE838" w14:textId="77777777" w:rsidR="002D3279" w:rsidRPr="009252D7" w:rsidRDefault="002D3279" w:rsidP="002D3279">
      <w:pPr>
        <w:pStyle w:val="ListParagraph"/>
        <w:numPr>
          <w:ilvl w:val="0"/>
          <w:numId w:val="11"/>
        </w:numPr>
        <w:spacing w:after="0" w:line="360" w:lineRule="auto"/>
        <w:jc w:val="both"/>
        <w:rPr>
          <w:color w:val="000000" w:themeColor="text1"/>
        </w:rPr>
      </w:pPr>
      <w:r w:rsidRPr="009252D7">
        <w:rPr>
          <w:color w:val="000000" w:themeColor="text1"/>
        </w:rPr>
        <w:t>Interest rate derivatives used for dynamic hedging strategies</w:t>
      </w:r>
    </w:p>
    <w:p w14:paraId="3AB8582D" w14:textId="77777777" w:rsidR="002D3279" w:rsidRPr="009252D7" w:rsidRDefault="002D3279" w:rsidP="002D3279">
      <w:pPr>
        <w:pStyle w:val="ListParagraph"/>
        <w:numPr>
          <w:ilvl w:val="0"/>
          <w:numId w:val="11"/>
        </w:numPr>
        <w:spacing w:after="0" w:line="360" w:lineRule="auto"/>
        <w:jc w:val="both"/>
        <w:rPr>
          <w:color w:val="000000" w:themeColor="text1"/>
        </w:rPr>
      </w:pPr>
      <w:r w:rsidRPr="009252D7">
        <w:rPr>
          <w:color w:val="000000" w:themeColor="text1"/>
        </w:rPr>
        <w:t>Accelerated relationship banking through offering products in packages</w:t>
      </w:r>
    </w:p>
    <w:p w14:paraId="4D1B9A27" w14:textId="77777777" w:rsidR="002D3279" w:rsidRPr="009252D7" w:rsidRDefault="002D3279" w:rsidP="002D3279">
      <w:pPr>
        <w:pStyle w:val="ListParagraph"/>
        <w:numPr>
          <w:ilvl w:val="0"/>
          <w:numId w:val="11"/>
        </w:numPr>
        <w:spacing w:after="0" w:line="360" w:lineRule="auto"/>
        <w:jc w:val="both"/>
        <w:rPr>
          <w:color w:val="000000" w:themeColor="text1"/>
        </w:rPr>
      </w:pPr>
      <w:r w:rsidRPr="009252D7">
        <w:rPr>
          <w:color w:val="000000" w:themeColor="text1"/>
        </w:rPr>
        <w:t>Optimizing asset allocation in higher-yielding segments of lending</w:t>
      </w:r>
    </w:p>
    <w:p w14:paraId="36F5A1E9" w14:textId="77777777" w:rsidR="002D3279" w:rsidRPr="009252D7" w:rsidRDefault="002D3279" w:rsidP="002D3279">
      <w:pPr>
        <w:pStyle w:val="ListParagraph"/>
        <w:numPr>
          <w:ilvl w:val="0"/>
          <w:numId w:val="11"/>
        </w:numPr>
        <w:spacing w:after="0" w:line="360" w:lineRule="auto"/>
        <w:jc w:val="both"/>
        <w:rPr>
          <w:color w:val="000000" w:themeColor="text1"/>
        </w:rPr>
      </w:pPr>
      <w:r w:rsidRPr="009252D7">
        <w:rPr>
          <w:color w:val="000000" w:themeColor="text1"/>
        </w:rPr>
        <w:t>Main development points: alternative revenue streams (wealth management, transaction fees)</w:t>
      </w:r>
    </w:p>
    <w:p w14:paraId="08513606" w14:textId="77777777" w:rsidR="002D3279" w:rsidRPr="009252D7" w:rsidRDefault="002D3279" w:rsidP="002D3279">
      <w:pPr>
        <w:spacing w:line="360" w:lineRule="auto"/>
        <w:jc w:val="both"/>
        <w:rPr>
          <w:color w:val="000000" w:themeColor="text1"/>
        </w:rPr>
      </w:pPr>
      <w:r w:rsidRPr="009252D7">
        <w:rPr>
          <w:color w:val="000000" w:themeColor="text1"/>
        </w:rPr>
        <w:t xml:space="preserve">Expected Impact: Maintain NIM above 2.35–2.40% to protect £200–£250 million of net interest income every year. </w:t>
      </w:r>
    </w:p>
    <w:p w14:paraId="2E923782" w14:textId="77777777" w:rsidR="002D3279" w:rsidRPr="009252D7" w:rsidRDefault="002D3279" w:rsidP="002D3279">
      <w:pPr>
        <w:spacing w:line="360" w:lineRule="auto"/>
        <w:jc w:val="both"/>
        <w:rPr>
          <w:color w:val="000000" w:themeColor="text1"/>
        </w:rPr>
      </w:pPr>
    </w:p>
    <w:p w14:paraId="3A6839F6" w14:textId="77777777" w:rsidR="002D3279" w:rsidRPr="009252D7" w:rsidRDefault="002D3279" w:rsidP="002D3279">
      <w:pPr>
        <w:pStyle w:val="Heading2"/>
        <w:rPr>
          <w:rFonts w:ascii="Times New Roman" w:hAnsi="Times New Roman" w:cs="Times New Roman"/>
          <w:color w:val="000000" w:themeColor="text1"/>
          <w:sz w:val="24"/>
          <w:szCs w:val="24"/>
        </w:rPr>
      </w:pPr>
      <w:bookmarkStart w:id="19" w:name="_Toc218979651"/>
      <w:r w:rsidRPr="009252D7">
        <w:rPr>
          <w:rFonts w:ascii="Times New Roman" w:hAnsi="Times New Roman" w:cs="Times New Roman"/>
          <w:color w:val="000000" w:themeColor="text1"/>
          <w:sz w:val="24"/>
          <w:szCs w:val="24"/>
        </w:rPr>
        <w:t>6.3 Balance Sheet Growth Optimisation:</w:t>
      </w:r>
      <w:bookmarkEnd w:id="19"/>
    </w:p>
    <w:p w14:paraId="3362F17A" w14:textId="49D99AA9" w:rsidR="002D3279" w:rsidRPr="009252D7" w:rsidRDefault="002D3279" w:rsidP="002D3279">
      <w:pPr>
        <w:spacing w:line="360" w:lineRule="auto"/>
        <w:jc w:val="both"/>
        <w:rPr>
          <w:color w:val="000000" w:themeColor="text1"/>
        </w:rPr>
      </w:pPr>
      <w:r w:rsidRPr="009252D7">
        <w:rPr>
          <w:color w:val="000000" w:themeColor="text1"/>
        </w:rPr>
        <w:t>Improve the Asset Utilisation Ratio from 2.93% to 3.10-3.15% through targeted growth in higher-return segments while preserving credit standards and regulatory compliance.</w:t>
      </w:r>
    </w:p>
    <w:p w14:paraId="75D6A81D" w14:textId="77777777" w:rsidR="002D3279" w:rsidRPr="009252D7" w:rsidRDefault="002D3279" w:rsidP="002D3279">
      <w:pPr>
        <w:pStyle w:val="Heading2"/>
        <w:rPr>
          <w:rFonts w:ascii="Times New Roman" w:hAnsi="Times New Roman" w:cs="Times New Roman"/>
          <w:color w:val="000000" w:themeColor="text1"/>
          <w:sz w:val="24"/>
          <w:szCs w:val="24"/>
        </w:rPr>
      </w:pPr>
      <w:bookmarkStart w:id="20" w:name="_Toc218979652"/>
      <w:r w:rsidRPr="009252D7">
        <w:rPr>
          <w:rFonts w:ascii="Times New Roman" w:hAnsi="Times New Roman" w:cs="Times New Roman"/>
          <w:color w:val="000000" w:themeColor="text1"/>
          <w:sz w:val="24"/>
          <w:szCs w:val="24"/>
        </w:rPr>
        <w:lastRenderedPageBreak/>
        <w:t>6.4 Capital Optimisation:</w:t>
      </w:r>
      <w:bookmarkEnd w:id="20"/>
    </w:p>
    <w:p w14:paraId="46FC55B9" w14:textId="77777777" w:rsidR="002D3279" w:rsidRPr="009252D7" w:rsidRDefault="002D3279" w:rsidP="002D3279">
      <w:pPr>
        <w:spacing w:line="360" w:lineRule="auto"/>
        <w:jc w:val="both"/>
        <w:rPr>
          <w:color w:val="000000" w:themeColor="text1"/>
        </w:rPr>
      </w:pPr>
      <w:r w:rsidRPr="009252D7">
        <w:rPr>
          <w:color w:val="000000" w:themeColor="text1"/>
        </w:rPr>
        <w:t>Put in place a formal capital planning framework targeting a CET1 ratio of 13.0-13.5%, associated with the release of around</w:t>
      </w:r>
      <w:r>
        <w:rPr>
          <w:color w:val="000000" w:themeColor="text1"/>
        </w:rPr>
        <w:t>.</w:t>
      </w:r>
    </w:p>
    <w:p w14:paraId="70FC3C57"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21" w:name="_Toc218979653"/>
      <w:r w:rsidRPr="009252D7">
        <w:rPr>
          <w:rFonts w:ascii="Times New Roman" w:hAnsi="Times New Roman" w:cs="Times New Roman"/>
          <w:b/>
          <w:bCs/>
          <w:color w:val="000000" w:themeColor="text1"/>
          <w:sz w:val="24"/>
          <w:szCs w:val="24"/>
        </w:rPr>
        <w:t>PART: 2</w:t>
      </w:r>
      <w:bookmarkEnd w:id="21"/>
      <w:r w:rsidRPr="009252D7">
        <w:rPr>
          <w:rFonts w:ascii="Times New Roman" w:hAnsi="Times New Roman" w:cs="Times New Roman"/>
          <w:b/>
          <w:bCs/>
          <w:color w:val="000000" w:themeColor="text1"/>
          <w:sz w:val="24"/>
          <w:szCs w:val="24"/>
        </w:rPr>
        <w:t xml:space="preserve"> </w:t>
      </w:r>
    </w:p>
    <w:p w14:paraId="17A3B97D" w14:textId="77777777" w:rsidR="002D3279" w:rsidRPr="009252D7" w:rsidRDefault="002D3279" w:rsidP="002D3279">
      <w:pPr>
        <w:pStyle w:val="Heading2"/>
        <w:numPr>
          <w:ilvl w:val="0"/>
          <w:numId w:val="44"/>
        </w:numPr>
        <w:rPr>
          <w:rFonts w:ascii="Times New Roman" w:hAnsi="Times New Roman" w:cs="Times New Roman"/>
          <w:b/>
          <w:bCs/>
          <w:color w:val="000000" w:themeColor="text1"/>
          <w:sz w:val="24"/>
          <w:szCs w:val="24"/>
        </w:rPr>
      </w:pPr>
      <w:bookmarkStart w:id="22" w:name="_Toc218979654"/>
      <w:r w:rsidRPr="009252D7">
        <w:rPr>
          <w:rFonts w:ascii="Times New Roman" w:hAnsi="Times New Roman" w:cs="Times New Roman"/>
          <w:b/>
          <w:bCs/>
          <w:color w:val="000000" w:themeColor="text1"/>
          <w:sz w:val="24"/>
          <w:szCs w:val="24"/>
          <w:shd w:val="clear" w:color="auto" w:fill="FFFFFF"/>
        </w:rPr>
        <w:t>Introduction</w:t>
      </w:r>
      <w:r w:rsidRPr="009252D7">
        <w:rPr>
          <w:rFonts w:ascii="Times New Roman" w:hAnsi="Times New Roman" w:cs="Times New Roman"/>
          <w:b/>
          <w:bCs/>
          <w:color w:val="000000" w:themeColor="text1"/>
          <w:sz w:val="24"/>
          <w:szCs w:val="24"/>
        </w:rPr>
        <w:t>:</w:t>
      </w:r>
      <w:bookmarkEnd w:id="22"/>
    </w:p>
    <w:p w14:paraId="7F0FA8D4" w14:textId="77777777" w:rsidR="002D3279" w:rsidRPr="009252D7" w:rsidRDefault="002D3279" w:rsidP="002D3279">
      <w:pPr>
        <w:spacing w:line="360" w:lineRule="auto"/>
        <w:jc w:val="both"/>
        <w:rPr>
          <w:color w:val="000000" w:themeColor="text1"/>
          <w:shd w:val="clear" w:color="auto" w:fill="FFFFFF"/>
        </w:rPr>
      </w:pPr>
      <w:r w:rsidRPr="009252D7">
        <w:rPr>
          <w:color w:val="000000" w:themeColor="text1"/>
          <w:shd w:val="clear" w:color="auto" w:fill="FFFFFF"/>
        </w:rPr>
        <w:t>Westward Plc faces a critical strategic decision regarding business expansion. The three options under consideration are: (A) expanding the retail outlet to include all products requiring £600,000 initial investment; (B) developing internet sales capabilities requiring £1,000,000; and (C) producing wooden blinds and Roman blinds requiring £1,600,000. This report applies rigorous investment appraisal methodologies to determine which option, if any, should be pursued, considering the company's cost of capital of 6%, corporation tax at 25%, and capital allowances at 20% on a straight-line basis.</w:t>
      </w:r>
    </w:p>
    <w:p w14:paraId="16CCC49B" w14:textId="77777777" w:rsidR="002D3279" w:rsidRPr="009252D7" w:rsidRDefault="002D3279" w:rsidP="002D3279">
      <w:pPr>
        <w:spacing w:line="360" w:lineRule="auto"/>
        <w:jc w:val="both"/>
        <w:rPr>
          <w:color w:val="000000" w:themeColor="text1"/>
          <w:shd w:val="clear" w:color="auto" w:fill="FFFFFF"/>
        </w:rPr>
      </w:pPr>
    </w:p>
    <w:p w14:paraId="489F1DE3"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23" w:name="_Toc218979655"/>
      <w:r w:rsidRPr="009252D7">
        <w:rPr>
          <w:rFonts w:ascii="Times New Roman" w:hAnsi="Times New Roman" w:cs="Times New Roman"/>
          <w:b/>
          <w:bCs/>
          <w:color w:val="000000" w:themeColor="text1"/>
          <w:sz w:val="24"/>
          <w:szCs w:val="24"/>
        </w:rPr>
        <w:t>2. Net Present Value Analysis of Investment Choices</w:t>
      </w:r>
      <w:bookmarkEnd w:id="23"/>
    </w:p>
    <w:p w14:paraId="1B4A746B" w14:textId="77777777" w:rsidR="002D3279" w:rsidRPr="009252D7" w:rsidRDefault="002D3279" w:rsidP="002D3279">
      <w:pPr>
        <w:spacing w:line="360" w:lineRule="auto"/>
        <w:jc w:val="both"/>
        <w:rPr>
          <w:b/>
          <w:bCs/>
          <w:color w:val="000000" w:themeColor="text1"/>
        </w:rPr>
      </w:pPr>
    </w:p>
    <w:p w14:paraId="1260F661" w14:textId="77777777" w:rsidR="002D3279" w:rsidRPr="009252D7" w:rsidRDefault="002D3279" w:rsidP="002D3279">
      <w:pPr>
        <w:pStyle w:val="Heading2"/>
        <w:rPr>
          <w:rFonts w:ascii="Times New Roman" w:hAnsi="Times New Roman" w:cs="Times New Roman"/>
          <w:color w:val="000000" w:themeColor="text1"/>
          <w:sz w:val="24"/>
          <w:szCs w:val="24"/>
        </w:rPr>
      </w:pPr>
      <w:bookmarkStart w:id="24" w:name="_Toc218979656"/>
      <w:r w:rsidRPr="009252D7">
        <w:rPr>
          <w:rFonts w:ascii="Times New Roman" w:hAnsi="Times New Roman" w:cs="Times New Roman"/>
          <w:color w:val="000000" w:themeColor="text1"/>
          <w:sz w:val="24"/>
          <w:szCs w:val="24"/>
        </w:rPr>
        <w:t>2.1 Theoretical Framework</w:t>
      </w:r>
      <w:bookmarkEnd w:id="24"/>
    </w:p>
    <w:p w14:paraId="2CD8A1FC" w14:textId="77777777" w:rsidR="002D3279" w:rsidRPr="009252D7" w:rsidRDefault="002D3279" w:rsidP="002D3279">
      <w:pPr>
        <w:spacing w:line="360" w:lineRule="auto"/>
        <w:jc w:val="both"/>
        <w:rPr>
          <w:color w:val="000000" w:themeColor="text1"/>
        </w:rPr>
      </w:pPr>
      <w:r w:rsidRPr="009252D7">
        <w:rPr>
          <w:color w:val="000000" w:themeColor="text1"/>
        </w:rPr>
        <w:t>The basic idea behind Net Present Value is that money you have now is worth more than the same amount in the future because it can earn interest (Atrill, 2019). The NPV technique uses the company's cost of capital to bring all future cash flows down to their present value. This takes into consideration the time value of money and risk (Bekaert, 2017). A positive NPV means that the project is likely to provide value that is higher than the needed rate of return, which makes it a good investment.</w:t>
      </w:r>
    </w:p>
    <w:p w14:paraId="0DCB039C" w14:textId="77777777" w:rsidR="002D3279" w:rsidRPr="009252D7" w:rsidRDefault="002D3279" w:rsidP="002D3279">
      <w:pPr>
        <w:spacing w:line="360" w:lineRule="auto"/>
        <w:jc w:val="both"/>
        <w:rPr>
          <w:color w:val="000000" w:themeColor="text1"/>
        </w:rPr>
      </w:pPr>
    </w:p>
    <w:p w14:paraId="405640F4" w14:textId="77777777" w:rsidR="002D3279" w:rsidRPr="009252D7" w:rsidRDefault="002D3279" w:rsidP="002D3279">
      <w:pPr>
        <w:pStyle w:val="Heading2"/>
        <w:rPr>
          <w:rFonts w:ascii="Times New Roman" w:hAnsi="Times New Roman" w:cs="Times New Roman"/>
          <w:color w:val="000000" w:themeColor="text1"/>
          <w:sz w:val="24"/>
          <w:szCs w:val="24"/>
        </w:rPr>
      </w:pPr>
      <w:bookmarkStart w:id="25" w:name="_Toc218979657"/>
      <w:r w:rsidRPr="009252D7">
        <w:rPr>
          <w:rFonts w:ascii="Times New Roman" w:hAnsi="Times New Roman" w:cs="Times New Roman"/>
          <w:color w:val="000000" w:themeColor="text1"/>
          <w:sz w:val="24"/>
          <w:szCs w:val="24"/>
        </w:rPr>
        <w:t>2.2 How to figure out the answer</w:t>
      </w:r>
      <w:bookmarkEnd w:id="25"/>
    </w:p>
    <w:p w14:paraId="40BBD9E5" w14:textId="3C0F2D8C" w:rsidR="002D3279" w:rsidRPr="009252D7" w:rsidRDefault="002D3279" w:rsidP="002D3279">
      <w:pPr>
        <w:spacing w:line="360" w:lineRule="auto"/>
        <w:jc w:val="both"/>
        <w:rPr>
          <w:color w:val="000000" w:themeColor="text1"/>
        </w:rPr>
      </w:pPr>
      <w:r w:rsidRPr="009252D7">
        <w:rPr>
          <w:color w:val="000000" w:themeColor="text1"/>
        </w:rPr>
        <w:t>There are a number of important changes to the raw cash flow forecasts that go into the NPV calculation. First, the 25% company tax lowers the amount of cash that comes in. Second, capital allowances at 20% straight-line basis give you tax relief based on your initial investment, which you can claim every year. The tax shield from capital allowances is the amount of the allowance times the tax rate (25%). After that, the adjusted cash flows are discounted using the formula: PV = CF / (1 + r)^n, where CF is cash flow, r is the discount rate (6%), and n is the year number.</w:t>
      </w:r>
    </w:p>
    <w:p w14:paraId="01A2EE5A" w14:textId="77777777" w:rsidR="002D3279" w:rsidRPr="009252D7" w:rsidRDefault="002D3279" w:rsidP="002D3279">
      <w:pPr>
        <w:pStyle w:val="Heading2"/>
        <w:rPr>
          <w:rFonts w:ascii="Times New Roman" w:hAnsi="Times New Roman" w:cs="Times New Roman"/>
          <w:color w:val="000000" w:themeColor="text1"/>
          <w:sz w:val="24"/>
          <w:szCs w:val="24"/>
        </w:rPr>
      </w:pPr>
      <w:bookmarkStart w:id="26" w:name="_Toc218979658"/>
      <w:r w:rsidRPr="009252D7">
        <w:rPr>
          <w:rFonts w:ascii="Times New Roman" w:hAnsi="Times New Roman" w:cs="Times New Roman"/>
          <w:color w:val="000000" w:themeColor="text1"/>
          <w:sz w:val="24"/>
          <w:szCs w:val="24"/>
        </w:rPr>
        <w:lastRenderedPageBreak/>
        <w:t>2.3 Option A: Retail Outlet Expansion</w:t>
      </w:r>
      <w:bookmarkEnd w:id="26"/>
    </w:p>
    <w:p w14:paraId="629EA319" w14:textId="77777777" w:rsidR="002D3279" w:rsidRPr="009252D7" w:rsidRDefault="002D3279" w:rsidP="002D3279">
      <w:pPr>
        <w:spacing w:line="360" w:lineRule="auto"/>
        <w:jc w:val="both"/>
        <w:rPr>
          <w:color w:val="000000" w:themeColor="text1"/>
        </w:rPr>
      </w:pPr>
      <w:r w:rsidRPr="009252D7">
        <w:rPr>
          <w:color w:val="000000" w:themeColor="text1"/>
        </w:rPr>
        <w:t>Initial Investment</w:t>
      </w:r>
      <w:r w:rsidRPr="009252D7">
        <w:rPr>
          <w:i/>
          <w:iCs/>
          <w:color w:val="000000" w:themeColor="text1"/>
        </w:rPr>
        <w:t>:</w:t>
      </w:r>
      <w:r w:rsidRPr="009252D7">
        <w:rPr>
          <w:color w:val="000000" w:themeColor="text1"/>
        </w:rPr>
        <w:t xml:space="preserve"> £600,000</w:t>
      </w:r>
    </w:p>
    <w:p w14:paraId="7AE3DCF5" w14:textId="77777777" w:rsidR="002D3279" w:rsidRPr="009252D7" w:rsidRDefault="002D3279" w:rsidP="002D3279">
      <w:pPr>
        <w:spacing w:line="360" w:lineRule="auto"/>
        <w:jc w:val="both"/>
        <w:rPr>
          <w:color w:val="000000" w:themeColor="text1"/>
        </w:rPr>
      </w:pPr>
      <w:r w:rsidRPr="009252D7">
        <w:rPr>
          <w:color w:val="000000" w:themeColor="text1"/>
        </w:rPr>
        <w:t>Annual Capital Allowance</w:t>
      </w:r>
      <w:r w:rsidRPr="009252D7">
        <w:rPr>
          <w:b/>
          <w:bCs/>
          <w:color w:val="000000" w:themeColor="text1"/>
        </w:rPr>
        <w:t>:</w:t>
      </w:r>
      <w:r w:rsidRPr="009252D7">
        <w:rPr>
          <w:color w:val="000000" w:themeColor="text1"/>
        </w:rPr>
        <w:t xml:space="preserve"> £600,000 × 20% = £120,000</w:t>
      </w:r>
    </w:p>
    <w:p w14:paraId="12A0975F" w14:textId="77777777" w:rsidR="002D3279" w:rsidRPr="009252D7" w:rsidRDefault="002D3279" w:rsidP="002D3279">
      <w:pPr>
        <w:spacing w:line="360" w:lineRule="auto"/>
        <w:jc w:val="both"/>
        <w:rPr>
          <w:color w:val="000000" w:themeColor="text1"/>
        </w:rPr>
      </w:pPr>
      <w:r w:rsidRPr="009252D7">
        <w:rPr>
          <w:color w:val="000000" w:themeColor="text1"/>
        </w:rPr>
        <w:t>Annual Tax Shield</w:t>
      </w:r>
      <w:r w:rsidRPr="009252D7">
        <w:rPr>
          <w:b/>
          <w:bCs/>
          <w:color w:val="000000" w:themeColor="text1"/>
        </w:rPr>
        <w:t>:</w:t>
      </w:r>
      <w:r w:rsidRPr="009252D7">
        <w:rPr>
          <w:color w:val="000000" w:themeColor="text1"/>
        </w:rPr>
        <w:t xml:space="preserve"> £120,000 × 25% = £30,000</w:t>
      </w:r>
    </w:p>
    <w:tbl>
      <w:tblPr>
        <w:tblStyle w:val="TableGrid"/>
        <w:tblW w:w="5265" w:type="pct"/>
        <w:tblLook w:val="04A0" w:firstRow="1" w:lastRow="0" w:firstColumn="1" w:lastColumn="0" w:noHBand="0" w:noVBand="1"/>
      </w:tblPr>
      <w:tblGrid>
        <w:gridCol w:w="774"/>
        <w:gridCol w:w="1885"/>
        <w:gridCol w:w="1417"/>
        <w:gridCol w:w="1361"/>
        <w:gridCol w:w="1510"/>
        <w:gridCol w:w="1510"/>
        <w:gridCol w:w="1037"/>
      </w:tblGrid>
      <w:tr w:rsidR="002D3279" w:rsidRPr="009252D7" w14:paraId="18ECF9A0" w14:textId="77777777" w:rsidTr="00A42257">
        <w:tc>
          <w:tcPr>
            <w:tcW w:w="408" w:type="pct"/>
          </w:tcPr>
          <w:p w14:paraId="35DBCE6F" w14:textId="77777777" w:rsidR="002D3279" w:rsidRPr="009252D7" w:rsidRDefault="002D3279" w:rsidP="00A42257">
            <w:pPr>
              <w:spacing w:line="360" w:lineRule="auto"/>
              <w:jc w:val="center"/>
              <w:rPr>
                <w:b/>
                <w:bCs/>
                <w:color w:val="000000" w:themeColor="text1"/>
              </w:rPr>
            </w:pPr>
            <w:r w:rsidRPr="009252D7">
              <w:rPr>
                <w:b/>
                <w:bCs/>
                <w:color w:val="000000" w:themeColor="text1"/>
              </w:rPr>
              <w:t>Year</w:t>
            </w:r>
          </w:p>
        </w:tc>
        <w:tc>
          <w:tcPr>
            <w:tcW w:w="993" w:type="pct"/>
          </w:tcPr>
          <w:p w14:paraId="4C8B57A2" w14:textId="77777777" w:rsidR="002D3279" w:rsidRPr="009252D7" w:rsidRDefault="002D3279" w:rsidP="00A42257">
            <w:pPr>
              <w:spacing w:line="360" w:lineRule="auto"/>
              <w:jc w:val="center"/>
              <w:rPr>
                <w:b/>
                <w:bCs/>
                <w:color w:val="000000" w:themeColor="text1"/>
              </w:rPr>
            </w:pPr>
            <w:r w:rsidRPr="009252D7">
              <w:rPr>
                <w:b/>
                <w:bCs/>
                <w:color w:val="000000" w:themeColor="text1"/>
              </w:rPr>
              <w:t>Gross Cash Flow (£'000)</w:t>
            </w:r>
          </w:p>
        </w:tc>
        <w:tc>
          <w:tcPr>
            <w:tcW w:w="746" w:type="pct"/>
          </w:tcPr>
          <w:p w14:paraId="18ADBD7E" w14:textId="77777777" w:rsidR="002D3279" w:rsidRPr="009252D7" w:rsidRDefault="002D3279" w:rsidP="00A42257">
            <w:pPr>
              <w:spacing w:line="360" w:lineRule="auto"/>
              <w:jc w:val="center"/>
              <w:rPr>
                <w:b/>
                <w:bCs/>
                <w:color w:val="000000" w:themeColor="text1"/>
              </w:rPr>
            </w:pPr>
            <w:r w:rsidRPr="009252D7">
              <w:rPr>
                <w:b/>
                <w:bCs/>
                <w:color w:val="000000" w:themeColor="text1"/>
              </w:rPr>
              <w:t>Tax [25%]</w:t>
            </w:r>
          </w:p>
        </w:tc>
        <w:tc>
          <w:tcPr>
            <w:tcW w:w="717" w:type="pct"/>
          </w:tcPr>
          <w:p w14:paraId="5C4B43DE" w14:textId="77777777" w:rsidR="002D3279" w:rsidRPr="009252D7" w:rsidRDefault="002D3279" w:rsidP="00A42257">
            <w:pPr>
              <w:spacing w:line="360" w:lineRule="auto"/>
              <w:jc w:val="center"/>
              <w:rPr>
                <w:b/>
                <w:bCs/>
                <w:color w:val="000000" w:themeColor="text1"/>
              </w:rPr>
            </w:pPr>
            <w:r w:rsidRPr="009252D7">
              <w:rPr>
                <w:b/>
                <w:bCs/>
                <w:color w:val="000000" w:themeColor="text1"/>
              </w:rPr>
              <w:t>Tax Shield</w:t>
            </w:r>
          </w:p>
        </w:tc>
        <w:tc>
          <w:tcPr>
            <w:tcW w:w="795" w:type="pct"/>
          </w:tcPr>
          <w:p w14:paraId="4E778539" w14:textId="77777777" w:rsidR="002D3279" w:rsidRPr="009252D7" w:rsidRDefault="002D3279" w:rsidP="00A42257">
            <w:pPr>
              <w:spacing w:line="360" w:lineRule="auto"/>
              <w:jc w:val="center"/>
              <w:rPr>
                <w:b/>
                <w:bCs/>
                <w:color w:val="000000" w:themeColor="text1"/>
              </w:rPr>
            </w:pPr>
            <w:r w:rsidRPr="009252D7">
              <w:rPr>
                <w:b/>
                <w:bCs/>
                <w:color w:val="000000" w:themeColor="text1"/>
              </w:rPr>
              <w:t>Net Cash Flow</w:t>
            </w:r>
          </w:p>
        </w:tc>
        <w:tc>
          <w:tcPr>
            <w:tcW w:w="795" w:type="pct"/>
          </w:tcPr>
          <w:p w14:paraId="5A3EB2EC" w14:textId="77777777" w:rsidR="002D3279" w:rsidRPr="009252D7" w:rsidRDefault="002D3279" w:rsidP="00A42257">
            <w:pPr>
              <w:spacing w:line="360" w:lineRule="auto"/>
              <w:jc w:val="center"/>
              <w:rPr>
                <w:b/>
                <w:bCs/>
                <w:color w:val="000000" w:themeColor="text1"/>
              </w:rPr>
            </w:pPr>
            <w:r w:rsidRPr="009252D7">
              <w:rPr>
                <w:b/>
                <w:bCs/>
                <w:color w:val="000000" w:themeColor="text1"/>
              </w:rPr>
              <w:t>Discount Factor [6%]</w:t>
            </w:r>
          </w:p>
        </w:tc>
        <w:tc>
          <w:tcPr>
            <w:tcW w:w="546" w:type="pct"/>
          </w:tcPr>
          <w:p w14:paraId="3262F20F" w14:textId="77777777" w:rsidR="002D3279" w:rsidRPr="009252D7" w:rsidRDefault="002D3279" w:rsidP="00A42257">
            <w:pPr>
              <w:spacing w:line="360" w:lineRule="auto"/>
              <w:jc w:val="center"/>
              <w:rPr>
                <w:b/>
                <w:bCs/>
                <w:color w:val="000000" w:themeColor="text1"/>
              </w:rPr>
            </w:pPr>
            <w:r w:rsidRPr="009252D7">
              <w:rPr>
                <w:b/>
                <w:bCs/>
                <w:color w:val="000000" w:themeColor="text1"/>
              </w:rPr>
              <w:t>Present Value</w:t>
            </w:r>
          </w:p>
        </w:tc>
      </w:tr>
      <w:tr w:rsidR="002D3279" w:rsidRPr="009252D7" w14:paraId="283B767B" w14:textId="77777777" w:rsidTr="00A42257">
        <w:tc>
          <w:tcPr>
            <w:tcW w:w="408" w:type="pct"/>
          </w:tcPr>
          <w:p w14:paraId="5631303D" w14:textId="77777777" w:rsidR="002D3279" w:rsidRPr="009252D7" w:rsidRDefault="002D3279" w:rsidP="00A42257">
            <w:pPr>
              <w:spacing w:line="360" w:lineRule="auto"/>
              <w:jc w:val="center"/>
              <w:rPr>
                <w:color w:val="000000" w:themeColor="text1"/>
              </w:rPr>
            </w:pPr>
            <w:r w:rsidRPr="009252D7">
              <w:rPr>
                <w:color w:val="000000" w:themeColor="text1"/>
              </w:rPr>
              <w:t>0</w:t>
            </w:r>
          </w:p>
        </w:tc>
        <w:tc>
          <w:tcPr>
            <w:tcW w:w="993" w:type="pct"/>
          </w:tcPr>
          <w:p w14:paraId="38146815" w14:textId="77777777" w:rsidR="002D3279" w:rsidRPr="009252D7" w:rsidRDefault="002D3279" w:rsidP="00A42257">
            <w:pPr>
              <w:spacing w:line="360" w:lineRule="auto"/>
              <w:jc w:val="center"/>
              <w:rPr>
                <w:color w:val="000000" w:themeColor="text1"/>
              </w:rPr>
            </w:pPr>
            <w:r w:rsidRPr="009252D7">
              <w:rPr>
                <w:color w:val="000000" w:themeColor="text1"/>
              </w:rPr>
              <w:t>(600)</w:t>
            </w:r>
          </w:p>
        </w:tc>
        <w:tc>
          <w:tcPr>
            <w:tcW w:w="746" w:type="pct"/>
          </w:tcPr>
          <w:p w14:paraId="01E9B1E5" w14:textId="77777777" w:rsidR="002D3279" w:rsidRPr="009252D7" w:rsidRDefault="002D3279" w:rsidP="00A42257">
            <w:pPr>
              <w:spacing w:line="360" w:lineRule="auto"/>
              <w:jc w:val="center"/>
              <w:rPr>
                <w:color w:val="000000" w:themeColor="text1"/>
              </w:rPr>
            </w:pPr>
            <w:r w:rsidRPr="009252D7">
              <w:rPr>
                <w:color w:val="000000" w:themeColor="text1"/>
              </w:rPr>
              <w:t>0</w:t>
            </w:r>
          </w:p>
        </w:tc>
        <w:tc>
          <w:tcPr>
            <w:tcW w:w="717" w:type="pct"/>
          </w:tcPr>
          <w:p w14:paraId="7D5A3D82" w14:textId="77777777" w:rsidR="002D3279" w:rsidRPr="009252D7" w:rsidRDefault="002D3279" w:rsidP="00A42257">
            <w:pPr>
              <w:spacing w:line="360" w:lineRule="auto"/>
              <w:jc w:val="center"/>
              <w:rPr>
                <w:color w:val="000000" w:themeColor="text1"/>
              </w:rPr>
            </w:pPr>
            <w:r w:rsidRPr="009252D7">
              <w:rPr>
                <w:color w:val="000000" w:themeColor="text1"/>
              </w:rPr>
              <w:t>0</w:t>
            </w:r>
          </w:p>
        </w:tc>
        <w:tc>
          <w:tcPr>
            <w:tcW w:w="795" w:type="pct"/>
          </w:tcPr>
          <w:p w14:paraId="09F6A196" w14:textId="77777777" w:rsidR="002D3279" w:rsidRPr="009252D7" w:rsidRDefault="002D3279" w:rsidP="00A42257">
            <w:pPr>
              <w:spacing w:line="360" w:lineRule="auto"/>
              <w:jc w:val="center"/>
              <w:rPr>
                <w:color w:val="000000" w:themeColor="text1"/>
              </w:rPr>
            </w:pPr>
            <w:r w:rsidRPr="009252D7">
              <w:rPr>
                <w:color w:val="000000" w:themeColor="text1"/>
              </w:rPr>
              <w:t>(600.00)</w:t>
            </w:r>
          </w:p>
        </w:tc>
        <w:tc>
          <w:tcPr>
            <w:tcW w:w="795" w:type="pct"/>
          </w:tcPr>
          <w:p w14:paraId="55A1BD8D" w14:textId="77777777" w:rsidR="002D3279" w:rsidRPr="009252D7" w:rsidRDefault="002D3279" w:rsidP="00A42257">
            <w:pPr>
              <w:spacing w:line="360" w:lineRule="auto"/>
              <w:jc w:val="center"/>
              <w:rPr>
                <w:color w:val="000000" w:themeColor="text1"/>
              </w:rPr>
            </w:pPr>
            <w:r w:rsidRPr="009252D7">
              <w:rPr>
                <w:color w:val="000000" w:themeColor="text1"/>
              </w:rPr>
              <w:t>1.000</w:t>
            </w:r>
          </w:p>
        </w:tc>
        <w:tc>
          <w:tcPr>
            <w:tcW w:w="546" w:type="pct"/>
          </w:tcPr>
          <w:p w14:paraId="38F19DB2" w14:textId="77777777" w:rsidR="002D3279" w:rsidRPr="009252D7" w:rsidRDefault="002D3279" w:rsidP="00A42257">
            <w:pPr>
              <w:spacing w:line="360" w:lineRule="auto"/>
              <w:jc w:val="center"/>
              <w:rPr>
                <w:color w:val="000000" w:themeColor="text1"/>
              </w:rPr>
            </w:pPr>
            <w:r w:rsidRPr="009252D7">
              <w:rPr>
                <w:color w:val="000000" w:themeColor="text1"/>
              </w:rPr>
              <w:t>(600.00)</w:t>
            </w:r>
          </w:p>
        </w:tc>
      </w:tr>
      <w:tr w:rsidR="002D3279" w:rsidRPr="009252D7" w14:paraId="363A0C14" w14:textId="77777777" w:rsidTr="00A42257">
        <w:tc>
          <w:tcPr>
            <w:tcW w:w="408" w:type="pct"/>
          </w:tcPr>
          <w:p w14:paraId="0C3D04BC" w14:textId="77777777" w:rsidR="002D3279" w:rsidRPr="009252D7" w:rsidRDefault="002D3279" w:rsidP="00A42257">
            <w:pPr>
              <w:spacing w:line="360" w:lineRule="auto"/>
              <w:jc w:val="center"/>
              <w:rPr>
                <w:color w:val="000000" w:themeColor="text1"/>
              </w:rPr>
            </w:pPr>
            <w:r w:rsidRPr="009252D7">
              <w:rPr>
                <w:color w:val="000000" w:themeColor="text1"/>
              </w:rPr>
              <w:t>1</w:t>
            </w:r>
          </w:p>
        </w:tc>
        <w:tc>
          <w:tcPr>
            <w:tcW w:w="993" w:type="pct"/>
          </w:tcPr>
          <w:p w14:paraId="1BEB4EAE" w14:textId="77777777" w:rsidR="002D3279" w:rsidRPr="009252D7" w:rsidRDefault="002D3279" w:rsidP="00A42257">
            <w:pPr>
              <w:spacing w:line="360" w:lineRule="auto"/>
              <w:jc w:val="center"/>
              <w:rPr>
                <w:color w:val="000000" w:themeColor="text1"/>
              </w:rPr>
            </w:pPr>
            <w:r w:rsidRPr="009252D7">
              <w:rPr>
                <w:color w:val="000000" w:themeColor="text1"/>
              </w:rPr>
              <w:t>200</w:t>
            </w:r>
          </w:p>
        </w:tc>
        <w:tc>
          <w:tcPr>
            <w:tcW w:w="746" w:type="pct"/>
          </w:tcPr>
          <w:p w14:paraId="2D362D66" w14:textId="77777777" w:rsidR="002D3279" w:rsidRPr="009252D7" w:rsidRDefault="002D3279" w:rsidP="00A42257">
            <w:pPr>
              <w:spacing w:line="360" w:lineRule="auto"/>
              <w:jc w:val="center"/>
              <w:rPr>
                <w:color w:val="000000" w:themeColor="text1"/>
              </w:rPr>
            </w:pPr>
            <w:r w:rsidRPr="009252D7">
              <w:rPr>
                <w:color w:val="000000" w:themeColor="text1"/>
              </w:rPr>
              <w:t>(50)</w:t>
            </w:r>
          </w:p>
        </w:tc>
        <w:tc>
          <w:tcPr>
            <w:tcW w:w="717" w:type="pct"/>
          </w:tcPr>
          <w:p w14:paraId="127860C6" w14:textId="77777777" w:rsidR="002D3279" w:rsidRPr="009252D7" w:rsidRDefault="002D3279" w:rsidP="00A42257">
            <w:pPr>
              <w:spacing w:line="360" w:lineRule="auto"/>
              <w:jc w:val="center"/>
              <w:rPr>
                <w:color w:val="000000" w:themeColor="text1"/>
              </w:rPr>
            </w:pPr>
            <w:r w:rsidRPr="009252D7">
              <w:rPr>
                <w:color w:val="000000" w:themeColor="text1"/>
              </w:rPr>
              <w:t>30</w:t>
            </w:r>
          </w:p>
        </w:tc>
        <w:tc>
          <w:tcPr>
            <w:tcW w:w="795" w:type="pct"/>
          </w:tcPr>
          <w:p w14:paraId="2F2540AE" w14:textId="77777777" w:rsidR="002D3279" w:rsidRPr="009252D7" w:rsidRDefault="002D3279" w:rsidP="00A42257">
            <w:pPr>
              <w:spacing w:line="360" w:lineRule="auto"/>
              <w:jc w:val="center"/>
              <w:rPr>
                <w:color w:val="000000" w:themeColor="text1"/>
              </w:rPr>
            </w:pPr>
            <w:r w:rsidRPr="009252D7">
              <w:rPr>
                <w:color w:val="000000" w:themeColor="text1"/>
              </w:rPr>
              <w:t>180.00</w:t>
            </w:r>
          </w:p>
        </w:tc>
        <w:tc>
          <w:tcPr>
            <w:tcW w:w="795" w:type="pct"/>
          </w:tcPr>
          <w:p w14:paraId="432F2841" w14:textId="77777777" w:rsidR="002D3279" w:rsidRPr="009252D7" w:rsidRDefault="002D3279" w:rsidP="00A42257">
            <w:pPr>
              <w:spacing w:line="360" w:lineRule="auto"/>
              <w:jc w:val="center"/>
              <w:rPr>
                <w:color w:val="000000" w:themeColor="text1"/>
              </w:rPr>
            </w:pPr>
            <w:r w:rsidRPr="009252D7">
              <w:rPr>
                <w:color w:val="000000" w:themeColor="text1"/>
              </w:rPr>
              <w:t>0.943</w:t>
            </w:r>
          </w:p>
        </w:tc>
        <w:tc>
          <w:tcPr>
            <w:tcW w:w="546" w:type="pct"/>
          </w:tcPr>
          <w:p w14:paraId="032825AD" w14:textId="77777777" w:rsidR="002D3279" w:rsidRPr="009252D7" w:rsidRDefault="002D3279" w:rsidP="00A42257">
            <w:pPr>
              <w:spacing w:line="360" w:lineRule="auto"/>
              <w:jc w:val="center"/>
              <w:rPr>
                <w:color w:val="000000" w:themeColor="text1"/>
              </w:rPr>
            </w:pPr>
            <w:r w:rsidRPr="009252D7">
              <w:rPr>
                <w:color w:val="000000" w:themeColor="text1"/>
              </w:rPr>
              <w:t>169.74</w:t>
            </w:r>
          </w:p>
        </w:tc>
      </w:tr>
      <w:tr w:rsidR="002D3279" w:rsidRPr="009252D7" w14:paraId="1B50D102" w14:textId="77777777" w:rsidTr="00A42257">
        <w:tc>
          <w:tcPr>
            <w:tcW w:w="408" w:type="pct"/>
          </w:tcPr>
          <w:p w14:paraId="6BEE37E1" w14:textId="77777777" w:rsidR="002D3279" w:rsidRPr="009252D7" w:rsidRDefault="002D3279" w:rsidP="00A42257">
            <w:pPr>
              <w:spacing w:line="360" w:lineRule="auto"/>
              <w:jc w:val="center"/>
              <w:rPr>
                <w:color w:val="000000" w:themeColor="text1"/>
              </w:rPr>
            </w:pPr>
            <w:r w:rsidRPr="009252D7">
              <w:rPr>
                <w:color w:val="000000" w:themeColor="text1"/>
              </w:rPr>
              <w:t>2</w:t>
            </w:r>
          </w:p>
        </w:tc>
        <w:tc>
          <w:tcPr>
            <w:tcW w:w="993" w:type="pct"/>
          </w:tcPr>
          <w:p w14:paraId="2CE290B3" w14:textId="77777777" w:rsidR="002D3279" w:rsidRPr="009252D7" w:rsidRDefault="002D3279" w:rsidP="00A42257">
            <w:pPr>
              <w:spacing w:line="360" w:lineRule="auto"/>
              <w:jc w:val="center"/>
              <w:rPr>
                <w:color w:val="000000" w:themeColor="text1"/>
              </w:rPr>
            </w:pPr>
            <w:r w:rsidRPr="009252D7">
              <w:rPr>
                <w:color w:val="000000" w:themeColor="text1"/>
              </w:rPr>
              <w:t>400</w:t>
            </w:r>
          </w:p>
        </w:tc>
        <w:tc>
          <w:tcPr>
            <w:tcW w:w="746" w:type="pct"/>
          </w:tcPr>
          <w:p w14:paraId="0AD5F47A" w14:textId="77777777" w:rsidR="002D3279" w:rsidRPr="009252D7" w:rsidRDefault="002D3279" w:rsidP="00A42257">
            <w:pPr>
              <w:spacing w:line="360" w:lineRule="auto"/>
              <w:jc w:val="center"/>
              <w:rPr>
                <w:color w:val="000000" w:themeColor="text1"/>
              </w:rPr>
            </w:pPr>
            <w:r w:rsidRPr="009252D7">
              <w:rPr>
                <w:color w:val="000000" w:themeColor="text1"/>
              </w:rPr>
              <w:t>(100)</w:t>
            </w:r>
          </w:p>
        </w:tc>
        <w:tc>
          <w:tcPr>
            <w:tcW w:w="717" w:type="pct"/>
          </w:tcPr>
          <w:p w14:paraId="4D10B0CE" w14:textId="77777777" w:rsidR="002D3279" w:rsidRPr="009252D7" w:rsidRDefault="002D3279" w:rsidP="00A42257">
            <w:pPr>
              <w:spacing w:line="360" w:lineRule="auto"/>
              <w:jc w:val="center"/>
              <w:rPr>
                <w:color w:val="000000" w:themeColor="text1"/>
              </w:rPr>
            </w:pPr>
            <w:r w:rsidRPr="009252D7">
              <w:rPr>
                <w:color w:val="000000" w:themeColor="text1"/>
              </w:rPr>
              <w:t>30</w:t>
            </w:r>
          </w:p>
        </w:tc>
        <w:tc>
          <w:tcPr>
            <w:tcW w:w="795" w:type="pct"/>
          </w:tcPr>
          <w:p w14:paraId="145BA96D" w14:textId="77777777" w:rsidR="002D3279" w:rsidRPr="009252D7" w:rsidRDefault="002D3279" w:rsidP="00A42257">
            <w:pPr>
              <w:spacing w:line="360" w:lineRule="auto"/>
              <w:jc w:val="center"/>
              <w:rPr>
                <w:color w:val="000000" w:themeColor="text1"/>
              </w:rPr>
            </w:pPr>
            <w:r w:rsidRPr="009252D7">
              <w:rPr>
                <w:color w:val="000000" w:themeColor="text1"/>
              </w:rPr>
              <w:t>330.00</w:t>
            </w:r>
          </w:p>
        </w:tc>
        <w:tc>
          <w:tcPr>
            <w:tcW w:w="795" w:type="pct"/>
          </w:tcPr>
          <w:p w14:paraId="1B7F853B" w14:textId="77777777" w:rsidR="002D3279" w:rsidRPr="009252D7" w:rsidRDefault="002D3279" w:rsidP="00A42257">
            <w:pPr>
              <w:spacing w:line="360" w:lineRule="auto"/>
              <w:jc w:val="center"/>
              <w:rPr>
                <w:color w:val="000000" w:themeColor="text1"/>
              </w:rPr>
            </w:pPr>
            <w:r w:rsidRPr="009252D7">
              <w:rPr>
                <w:color w:val="000000" w:themeColor="text1"/>
              </w:rPr>
              <w:t>0.890</w:t>
            </w:r>
          </w:p>
        </w:tc>
        <w:tc>
          <w:tcPr>
            <w:tcW w:w="546" w:type="pct"/>
          </w:tcPr>
          <w:p w14:paraId="0626D89E" w14:textId="77777777" w:rsidR="002D3279" w:rsidRPr="009252D7" w:rsidRDefault="002D3279" w:rsidP="00A42257">
            <w:pPr>
              <w:spacing w:line="360" w:lineRule="auto"/>
              <w:jc w:val="center"/>
              <w:rPr>
                <w:color w:val="000000" w:themeColor="text1"/>
              </w:rPr>
            </w:pPr>
            <w:r w:rsidRPr="009252D7">
              <w:rPr>
                <w:color w:val="000000" w:themeColor="text1"/>
              </w:rPr>
              <w:t>293.70</w:t>
            </w:r>
          </w:p>
        </w:tc>
      </w:tr>
      <w:tr w:rsidR="002D3279" w:rsidRPr="009252D7" w14:paraId="64931019" w14:textId="77777777" w:rsidTr="00A42257">
        <w:tc>
          <w:tcPr>
            <w:tcW w:w="408" w:type="pct"/>
          </w:tcPr>
          <w:p w14:paraId="066F08A1" w14:textId="77777777" w:rsidR="002D3279" w:rsidRPr="009252D7" w:rsidRDefault="002D3279" w:rsidP="00A42257">
            <w:pPr>
              <w:spacing w:line="360" w:lineRule="auto"/>
              <w:jc w:val="center"/>
              <w:rPr>
                <w:color w:val="000000" w:themeColor="text1"/>
              </w:rPr>
            </w:pPr>
            <w:r w:rsidRPr="009252D7">
              <w:rPr>
                <w:color w:val="000000" w:themeColor="text1"/>
              </w:rPr>
              <w:t>3</w:t>
            </w:r>
          </w:p>
        </w:tc>
        <w:tc>
          <w:tcPr>
            <w:tcW w:w="993" w:type="pct"/>
          </w:tcPr>
          <w:p w14:paraId="6CAAC63A" w14:textId="77777777" w:rsidR="002D3279" w:rsidRPr="009252D7" w:rsidRDefault="002D3279" w:rsidP="00A42257">
            <w:pPr>
              <w:spacing w:line="360" w:lineRule="auto"/>
              <w:jc w:val="center"/>
              <w:rPr>
                <w:color w:val="000000" w:themeColor="text1"/>
              </w:rPr>
            </w:pPr>
            <w:r w:rsidRPr="009252D7">
              <w:rPr>
                <w:color w:val="000000" w:themeColor="text1"/>
              </w:rPr>
              <w:t>500</w:t>
            </w:r>
          </w:p>
        </w:tc>
        <w:tc>
          <w:tcPr>
            <w:tcW w:w="746" w:type="pct"/>
          </w:tcPr>
          <w:p w14:paraId="6E8392AF" w14:textId="77777777" w:rsidR="002D3279" w:rsidRPr="009252D7" w:rsidRDefault="002D3279" w:rsidP="00A42257">
            <w:pPr>
              <w:spacing w:line="360" w:lineRule="auto"/>
              <w:jc w:val="center"/>
              <w:rPr>
                <w:color w:val="000000" w:themeColor="text1"/>
              </w:rPr>
            </w:pPr>
            <w:r w:rsidRPr="009252D7">
              <w:rPr>
                <w:color w:val="000000" w:themeColor="text1"/>
              </w:rPr>
              <w:t>(125)</w:t>
            </w:r>
          </w:p>
        </w:tc>
        <w:tc>
          <w:tcPr>
            <w:tcW w:w="717" w:type="pct"/>
          </w:tcPr>
          <w:p w14:paraId="489F27E7" w14:textId="77777777" w:rsidR="002D3279" w:rsidRPr="009252D7" w:rsidRDefault="002D3279" w:rsidP="00A42257">
            <w:pPr>
              <w:spacing w:line="360" w:lineRule="auto"/>
              <w:jc w:val="center"/>
              <w:rPr>
                <w:color w:val="000000" w:themeColor="text1"/>
              </w:rPr>
            </w:pPr>
            <w:r w:rsidRPr="009252D7">
              <w:rPr>
                <w:color w:val="000000" w:themeColor="text1"/>
              </w:rPr>
              <w:t>30</w:t>
            </w:r>
          </w:p>
        </w:tc>
        <w:tc>
          <w:tcPr>
            <w:tcW w:w="795" w:type="pct"/>
          </w:tcPr>
          <w:p w14:paraId="1CCAAB27" w14:textId="77777777" w:rsidR="002D3279" w:rsidRPr="009252D7" w:rsidRDefault="002D3279" w:rsidP="00A42257">
            <w:pPr>
              <w:spacing w:line="360" w:lineRule="auto"/>
              <w:jc w:val="center"/>
              <w:rPr>
                <w:color w:val="000000" w:themeColor="text1"/>
              </w:rPr>
            </w:pPr>
            <w:r w:rsidRPr="009252D7">
              <w:rPr>
                <w:color w:val="000000" w:themeColor="text1"/>
              </w:rPr>
              <w:t>405.00</w:t>
            </w:r>
          </w:p>
        </w:tc>
        <w:tc>
          <w:tcPr>
            <w:tcW w:w="795" w:type="pct"/>
          </w:tcPr>
          <w:p w14:paraId="2614AFAA" w14:textId="77777777" w:rsidR="002D3279" w:rsidRPr="009252D7" w:rsidRDefault="002D3279" w:rsidP="00A42257">
            <w:pPr>
              <w:spacing w:line="360" w:lineRule="auto"/>
              <w:jc w:val="center"/>
              <w:rPr>
                <w:color w:val="000000" w:themeColor="text1"/>
              </w:rPr>
            </w:pPr>
            <w:r w:rsidRPr="009252D7">
              <w:rPr>
                <w:color w:val="000000" w:themeColor="text1"/>
              </w:rPr>
              <w:t>0.840</w:t>
            </w:r>
          </w:p>
        </w:tc>
        <w:tc>
          <w:tcPr>
            <w:tcW w:w="546" w:type="pct"/>
          </w:tcPr>
          <w:p w14:paraId="02A3E4F4" w14:textId="77777777" w:rsidR="002D3279" w:rsidRPr="009252D7" w:rsidRDefault="002D3279" w:rsidP="00A42257">
            <w:pPr>
              <w:spacing w:line="360" w:lineRule="auto"/>
              <w:jc w:val="center"/>
              <w:rPr>
                <w:color w:val="000000" w:themeColor="text1"/>
              </w:rPr>
            </w:pPr>
            <w:r w:rsidRPr="009252D7">
              <w:rPr>
                <w:color w:val="000000" w:themeColor="text1"/>
              </w:rPr>
              <w:t>340.20</w:t>
            </w:r>
          </w:p>
        </w:tc>
      </w:tr>
      <w:tr w:rsidR="002D3279" w:rsidRPr="009252D7" w14:paraId="02C8E554" w14:textId="77777777" w:rsidTr="00A42257">
        <w:tc>
          <w:tcPr>
            <w:tcW w:w="408" w:type="pct"/>
          </w:tcPr>
          <w:p w14:paraId="78DD7668" w14:textId="77777777" w:rsidR="002D3279" w:rsidRPr="009252D7" w:rsidRDefault="002D3279" w:rsidP="00A42257">
            <w:pPr>
              <w:spacing w:line="360" w:lineRule="auto"/>
              <w:jc w:val="center"/>
              <w:rPr>
                <w:color w:val="000000" w:themeColor="text1"/>
              </w:rPr>
            </w:pPr>
            <w:r w:rsidRPr="009252D7">
              <w:rPr>
                <w:color w:val="000000" w:themeColor="text1"/>
              </w:rPr>
              <w:t>4</w:t>
            </w:r>
          </w:p>
        </w:tc>
        <w:tc>
          <w:tcPr>
            <w:tcW w:w="993" w:type="pct"/>
          </w:tcPr>
          <w:p w14:paraId="63147721" w14:textId="77777777" w:rsidR="002D3279" w:rsidRPr="009252D7" w:rsidRDefault="002D3279" w:rsidP="00A42257">
            <w:pPr>
              <w:spacing w:line="360" w:lineRule="auto"/>
              <w:jc w:val="center"/>
              <w:rPr>
                <w:color w:val="000000" w:themeColor="text1"/>
              </w:rPr>
            </w:pPr>
            <w:r w:rsidRPr="009252D7">
              <w:rPr>
                <w:color w:val="000000" w:themeColor="text1"/>
              </w:rPr>
              <w:t>700</w:t>
            </w:r>
          </w:p>
        </w:tc>
        <w:tc>
          <w:tcPr>
            <w:tcW w:w="746" w:type="pct"/>
          </w:tcPr>
          <w:p w14:paraId="232B16DD" w14:textId="77777777" w:rsidR="002D3279" w:rsidRPr="009252D7" w:rsidRDefault="002D3279" w:rsidP="00A42257">
            <w:pPr>
              <w:spacing w:line="360" w:lineRule="auto"/>
              <w:jc w:val="center"/>
              <w:rPr>
                <w:color w:val="000000" w:themeColor="text1"/>
              </w:rPr>
            </w:pPr>
            <w:r w:rsidRPr="009252D7">
              <w:rPr>
                <w:color w:val="000000" w:themeColor="text1"/>
              </w:rPr>
              <w:t>(175)</w:t>
            </w:r>
          </w:p>
        </w:tc>
        <w:tc>
          <w:tcPr>
            <w:tcW w:w="717" w:type="pct"/>
          </w:tcPr>
          <w:p w14:paraId="4718E903" w14:textId="77777777" w:rsidR="002D3279" w:rsidRPr="009252D7" w:rsidRDefault="002D3279" w:rsidP="00A42257">
            <w:pPr>
              <w:spacing w:line="360" w:lineRule="auto"/>
              <w:jc w:val="center"/>
              <w:rPr>
                <w:color w:val="000000" w:themeColor="text1"/>
              </w:rPr>
            </w:pPr>
            <w:r w:rsidRPr="009252D7">
              <w:rPr>
                <w:color w:val="000000" w:themeColor="text1"/>
              </w:rPr>
              <w:t>30</w:t>
            </w:r>
          </w:p>
        </w:tc>
        <w:tc>
          <w:tcPr>
            <w:tcW w:w="795" w:type="pct"/>
          </w:tcPr>
          <w:p w14:paraId="21AFF1EE" w14:textId="77777777" w:rsidR="002D3279" w:rsidRPr="009252D7" w:rsidRDefault="002D3279" w:rsidP="00A42257">
            <w:pPr>
              <w:spacing w:line="360" w:lineRule="auto"/>
              <w:jc w:val="center"/>
              <w:rPr>
                <w:color w:val="000000" w:themeColor="text1"/>
              </w:rPr>
            </w:pPr>
            <w:r w:rsidRPr="009252D7">
              <w:rPr>
                <w:color w:val="000000" w:themeColor="text1"/>
              </w:rPr>
              <w:t>555.00</w:t>
            </w:r>
          </w:p>
        </w:tc>
        <w:tc>
          <w:tcPr>
            <w:tcW w:w="795" w:type="pct"/>
          </w:tcPr>
          <w:p w14:paraId="75E10921" w14:textId="77777777" w:rsidR="002D3279" w:rsidRPr="009252D7" w:rsidRDefault="002D3279" w:rsidP="00A42257">
            <w:pPr>
              <w:spacing w:line="360" w:lineRule="auto"/>
              <w:jc w:val="center"/>
              <w:rPr>
                <w:color w:val="000000" w:themeColor="text1"/>
              </w:rPr>
            </w:pPr>
            <w:r w:rsidRPr="009252D7">
              <w:rPr>
                <w:color w:val="000000" w:themeColor="text1"/>
              </w:rPr>
              <w:t>0.792</w:t>
            </w:r>
          </w:p>
        </w:tc>
        <w:tc>
          <w:tcPr>
            <w:tcW w:w="546" w:type="pct"/>
          </w:tcPr>
          <w:p w14:paraId="552836BD" w14:textId="77777777" w:rsidR="002D3279" w:rsidRPr="009252D7" w:rsidRDefault="002D3279" w:rsidP="00A42257">
            <w:pPr>
              <w:spacing w:line="360" w:lineRule="auto"/>
              <w:jc w:val="center"/>
              <w:rPr>
                <w:color w:val="000000" w:themeColor="text1"/>
              </w:rPr>
            </w:pPr>
            <w:r w:rsidRPr="009252D7">
              <w:rPr>
                <w:color w:val="000000" w:themeColor="text1"/>
              </w:rPr>
              <w:t>439.56</w:t>
            </w:r>
          </w:p>
        </w:tc>
      </w:tr>
    </w:tbl>
    <w:p w14:paraId="701273DF" w14:textId="77777777" w:rsidR="002D3279" w:rsidRPr="009252D7" w:rsidRDefault="002D3279" w:rsidP="002D3279">
      <w:pPr>
        <w:spacing w:line="360" w:lineRule="auto"/>
        <w:jc w:val="both"/>
        <w:rPr>
          <w:color w:val="000000" w:themeColor="text1"/>
        </w:rPr>
      </w:pPr>
    </w:p>
    <w:p w14:paraId="0EF4203D" w14:textId="77777777" w:rsidR="002D3279" w:rsidRPr="009252D7" w:rsidRDefault="002D3279" w:rsidP="002D3279">
      <w:pPr>
        <w:spacing w:line="360" w:lineRule="auto"/>
        <w:jc w:val="both"/>
        <w:rPr>
          <w:color w:val="000000" w:themeColor="text1"/>
        </w:rPr>
      </w:pPr>
      <w:r w:rsidRPr="009252D7">
        <w:rPr>
          <w:color w:val="000000" w:themeColor="text1"/>
        </w:rPr>
        <w:t>NPV [Option A]: £643.200</w:t>
      </w:r>
    </w:p>
    <w:p w14:paraId="46856FB2" w14:textId="77777777" w:rsidR="002D3279" w:rsidRPr="009252D7" w:rsidRDefault="002D3279" w:rsidP="002D3279">
      <w:pPr>
        <w:spacing w:line="360" w:lineRule="auto"/>
        <w:jc w:val="both"/>
        <w:rPr>
          <w:color w:val="000000" w:themeColor="text1"/>
        </w:rPr>
      </w:pPr>
    </w:p>
    <w:p w14:paraId="081AC799" w14:textId="77777777" w:rsidR="002D3279" w:rsidRPr="009252D7" w:rsidRDefault="002D3279" w:rsidP="002D3279">
      <w:pPr>
        <w:pStyle w:val="Heading2"/>
        <w:rPr>
          <w:rFonts w:ascii="Times New Roman" w:hAnsi="Times New Roman" w:cs="Times New Roman"/>
          <w:color w:val="000000" w:themeColor="text1"/>
          <w:sz w:val="24"/>
          <w:szCs w:val="24"/>
        </w:rPr>
      </w:pPr>
      <w:bookmarkStart w:id="27" w:name="_Toc218979659"/>
      <w:r w:rsidRPr="009252D7">
        <w:rPr>
          <w:rFonts w:ascii="Times New Roman" w:hAnsi="Times New Roman" w:cs="Times New Roman"/>
          <w:color w:val="000000" w:themeColor="text1"/>
          <w:sz w:val="24"/>
          <w:szCs w:val="24"/>
        </w:rPr>
        <w:t>2.4 Option B: Internet Sales Development</w:t>
      </w:r>
      <w:bookmarkEnd w:id="27"/>
    </w:p>
    <w:p w14:paraId="0667FA73" w14:textId="77777777" w:rsidR="002D3279" w:rsidRPr="009252D7" w:rsidRDefault="002D3279" w:rsidP="002D3279">
      <w:pPr>
        <w:spacing w:line="360" w:lineRule="auto"/>
        <w:jc w:val="both"/>
        <w:rPr>
          <w:color w:val="000000" w:themeColor="text1"/>
        </w:rPr>
      </w:pPr>
      <w:r w:rsidRPr="009252D7">
        <w:rPr>
          <w:color w:val="000000" w:themeColor="text1"/>
        </w:rPr>
        <w:t>Initial Investment</w:t>
      </w:r>
      <w:r w:rsidRPr="009252D7">
        <w:rPr>
          <w:b/>
          <w:bCs/>
          <w:color w:val="000000" w:themeColor="text1"/>
        </w:rPr>
        <w:t>:</w:t>
      </w:r>
      <w:r w:rsidRPr="009252D7">
        <w:rPr>
          <w:color w:val="000000" w:themeColor="text1"/>
        </w:rPr>
        <w:t xml:space="preserve"> £1,000,000</w:t>
      </w:r>
    </w:p>
    <w:p w14:paraId="5DFFB44A" w14:textId="77777777" w:rsidR="002D3279" w:rsidRPr="009252D7" w:rsidRDefault="002D3279" w:rsidP="002D3279">
      <w:pPr>
        <w:spacing w:line="360" w:lineRule="auto"/>
        <w:jc w:val="both"/>
        <w:rPr>
          <w:color w:val="000000" w:themeColor="text1"/>
        </w:rPr>
      </w:pPr>
      <w:r w:rsidRPr="009252D7">
        <w:rPr>
          <w:color w:val="000000" w:themeColor="text1"/>
        </w:rPr>
        <w:t>Annual Capital Allowance</w:t>
      </w:r>
      <w:r w:rsidRPr="009252D7">
        <w:rPr>
          <w:b/>
          <w:bCs/>
          <w:color w:val="000000" w:themeColor="text1"/>
        </w:rPr>
        <w:t>:</w:t>
      </w:r>
      <w:r w:rsidRPr="009252D7">
        <w:rPr>
          <w:color w:val="000000" w:themeColor="text1"/>
        </w:rPr>
        <w:t xml:space="preserve"> £1,000,000 × 20% = £200,000</w:t>
      </w:r>
    </w:p>
    <w:p w14:paraId="35B462A9" w14:textId="77777777" w:rsidR="002D3279" w:rsidRDefault="002D3279" w:rsidP="002D3279">
      <w:pPr>
        <w:spacing w:line="360" w:lineRule="auto"/>
        <w:jc w:val="both"/>
        <w:rPr>
          <w:color w:val="000000" w:themeColor="text1"/>
        </w:rPr>
      </w:pPr>
      <w:r w:rsidRPr="009252D7">
        <w:rPr>
          <w:color w:val="000000" w:themeColor="text1"/>
        </w:rPr>
        <w:t>Annual Tax Shield</w:t>
      </w:r>
      <w:r w:rsidRPr="009252D7">
        <w:rPr>
          <w:b/>
          <w:bCs/>
          <w:color w:val="000000" w:themeColor="text1"/>
        </w:rPr>
        <w:t>:</w:t>
      </w:r>
      <w:r w:rsidRPr="009252D7">
        <w:rPr>
          <w:color w:val="000000" w:themeColor="text1"/>
        </w:rPr>
        <w:t xml:space="preserve"> £200,000 × 25% = £50,000</w:t>
      </w:r>
    </w:p>
    <w:p w14:paraId="26991AA1" w14:textId="77777777" w:rsidR="00BA60EC" w:rsidRPr="009252D7" w:rsidRDefault="00BA60EC" w:rsidP="002D3279">
      <w:pPr>
        <w:spacing w:line="360" w:lineRule="auto"/>
        <w:jc w:val="both"/>
        <w:rPr>
          <w:color w:val="000000" w:themeColor="text1"/>
        </w:rPr>
      </w:pPr>
    </w:p>
    <w:tbl>
      <w:tblPr>
        <w:tblStyle w:val="TableGrid"/>
        <w:tblW w:w="5523" w:type="pct"/>
        <w:tblLook w:val="04A0" w:firstRow="1" w:lastRow="0" w:firstColumn="1" w:lastColumn="0" w:noHBand="0" w:noVBand="1"/>
      </w:tblPr>
      <w:tblGrid>
        <w:gridCol w:w="775"/>
        <w:gridCol w:w="1886"/>
        <w:gridCol w:w="1416"/>
        <w:gridCol w:w="1362"/>
        <w:gridCol w:w="1508"/>
        <w:gridCol w:w="1508"/>
        <w:gridCol w:w="1504"/>
      </w:tblGrid>
      <w:tr w:rsidR="002D3279" w:rsidRPr="009252D7" w14:paraId="6AC01B2A" w14:textId="77777777" w:rsidTr="00A42257">
        <w:tc>
          <w:tcPr>
            <w:tcW w:w="389" w:type="pct"/>
          </w:tcPr>
          <w:p w14:paraId="6439B6D3"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Year</w:t>
            </w:r>
          </w:p>
        </w:tc>
        <w:tc>
          <w:tcPr>
            <w:tcW w:w="947" w:type="pct"/>
          </w:tcPr>
          <w:p w14:paraId="152796CB"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Gross Cash Flow (£'000)</w:t>
            </w:r>
          </w:p>
        </w:tc>
        <w:tc>
          <w:tcPr>
            <w:tcW w:w="711" w:type="pct"/>
          </w:tcPr>
          <w:p w14:paraId="2AD0B0EE"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Tax [25%]</w:t>
            </w:r>
          </w:p>
        </w:tc>
        <w:tc>
          <w:tcPr>
            <w:tcW w:w="684" w:type="pct"/>
          </w:tcPr>
          <w:p w14:paraId="2320635E"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Tax Shield</w:t>
            </w:r>
          </w:p>
        </w:tc>
        <w:tc>
          <w:tcPr>
            <w:tcW w:w="757" w:type="pct"/>
          </w:tcPr>
          <w:p w14:paraId="2C90DCE0"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Net Cash Flow</w:t>
            </w:r>
          </w:p>
        </w:tc>
        <w:tc>
          <w:tcPr>
            <w:tcW w:w="757" w:type="pct"/>
          </w:tcPr>
          <w:p w14:paraId="4C763B0A"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Discount Factor [6%]</w:t>
            </w:r>
          </w:p>
        </w:tc>
        <w:tc>
          <w:tcPr>
            <w:tcW w:w="756" w:type="pct"/>
          </w:tcPr>
          <w:p w14:paraId="6EC3DB47"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Present Value</w:t>
            </w:r>
          </w:p>
        </w:tc>
      </w:tr>
      <w:tr w:rsidR="002D3279" w:rsidRPr="009252D7" w14:paraId="5F433802" w14:textId="77777777" w:rsidTr="00A42257">
        <w:tc>
          <w:tcPr>
            <w:tcW w:w="389" w:type="pct"/>
          </w:tcPr>
          <w:p w14:paraId="66DF1B82"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947" w:type="pct"/>
          </w:tcPr>
          <w:p w14:paraId="182F30BB" w14:textId="77777777" w:rsidR="002D3279" w:rsidRPr="009252D7" w:rsidRDefault="002D3279" w:rsidP="00A42257">
            <w:pPr>
              <w:spacing w:after="160" w:line="360" w:lineRule="auto"/>
              <w:jc w:val="center"/>
              <w:rPr>
                <w:color w:val="000000" w:themeColor="text1"/>
              </w:rPr>
            </w:pPr>
            <w:r w:rsidRPr="009252D7">
              <w:rPr>
                <w:color w:val="000000" w:themeColor="text1"/>
              </w:rPr>
              <w:t>(1000)</w:t>
            </w:r>
          </w:p>
        </w:tc>
        <w:tc>
          <w:tcPr>
            <w:tcW w:w="711" w:type="pct"/>
          </w:tcPr>
          <w:p w14:paraId="656D3BFD"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684" w:type="pct"/>
          </w:tcPr>
          <w:p w14:paraId="2AA352BF"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757" w:type="pct"/>
          </w:tcPr>
          <w:p w14:paraId="56AA2A33" w14:textId="77777777" w:rsidR="002D3279" w:rsidRPr="009252D7" w:rsidRDefault="002D3279" w:rsidP="00A42257">
            <w:pPr>
              <w:spacing w:after="160" w:line="360" w:lineRule="auto"/>
              <w:jc w:val="center"/>
              <w:rPr>
                <w:color w:val="000000" w:themeColor="text1"/>
              </w:rPr>
            </w:pPr>
            <w:r w:rsidRPr="009252D7">
              <w:rPr>
                <w:color w:val="000000" w:themeColor="text1"/>
              </w:rPr>
              <w:t>(1000.00)</w:t>
            </w:r>
          </w:p>
        </w:tc>
        <w:tc>
          <w:tcPr>
            <w:tcW w:w="757" w:type="pct"/>
          </w:tcPr>
          <w:p w14:paraId="5921C4F0" w14:textId="77777777" w:rsidR="002D3279" w:rsidRPr="009252D7" w:rsidRDefault="002D3279" w:rsidP="00A42257">
            <w:pPr>
              <w:spacing w:after="160" w:line="360" w:lineRule="auto"/>
              <w:jc w:val="center"/>
              <w:rPr>
                <w:color w:val="000000" w:themeColor="text1"/>
              </w:rPr>
            </w:pPr>
            <w:r w:rsidRPr="009252D7">
              <w:rPr>
                <w:color w:val="000000" w:themeColor="text1"/>
              </w:rPr>
              <w:t>1.000</w:t>
            </w:r>
          </w:p>
        </w:tc>
        <w:tc>
          <w:tcPr>
            <w:tcW w:w="756" w:type="pct"/>
          </w:tcPr>
          <w:p w14:paraId="7F8CFFEE" w14:textId="77777777" w:rsidR="002D3279" w:rsidRPr="009252D7" w:rsidRDefault="002D3279" w:rsidP="00A42257">
            <w:pPr>
              <w:spacing w:after="160" w:line="360" w:lineRule="auto"/>
              <w:jc w:val="center"/>
              <w:rPr>
                <w:color w:val="000000" w:themeColor="text1"/>
              </w:rPr>
            </w:pPr>
            <w:r w:rsidRPr="009252D7">
              <w:rPr>
                <w:color w:val="000000" w:themeColor="text1"/>
              </w:rPr>
              <w:t>(1000.00)</w:t>
            </w:r>
          </w:p>
        </w:tc>
      </w:tr>
      <w:tr w:rsidR="002D3279" w:rsidRPr="009252D7" w14:paraId="3A866481" w14:textId="77777777" w:rsidTr="00A42257">
        <w:tc>
          <w:tcPr>
            <w:tcW w:w="389" w:type="pct"/>
          </w:tcPr>
          <w:p w14:paraId="30C889F5" w14:textId="77777777" w:rsidR="002D3279" w:rsidRPr="009252D7" w:rsidRDefault="002D3279" w:rsidP="00A42257">
            <w:pPr>
              <w:spacing w:after="160" w:line="360" w:lineRule="auto"/>
              <w:jc w:val="center"/>
              <w:rPr>
                <w:color w:val="000000" w:themeColor="text1"/>
              </w:rPr>
            </w:pPr>
            <w:r w:rsidRPr="009252D7">
              <w:rPr>
                <w:color w:val="000000" w:themeColor="text1"/>
              </w:rPr>
              <w:t>1</w:t>
            </w:r>
          </w:p>
        </w:tc>
        <w:tc>
          <w:tcPr>
            <w:tcW w:w="947" w:type="pct"/>
          </w:tcPr>
          <w:p w14:paraId="18613EB1" w14:textId="77777777" w:rsidR="002D3279" w:rsidRPr="009252D7" w:rsidRDefault="002D3279" w:rsidP="00A42257">
            <w:pPr>
              <w:spacing w:after="160" w:line="360" w:lineRule="auto"/>
              <w:jc w:val="center"/>
              <w:rPr>
                <w:color w:val="000000" w:themeColor="text1"/>
              </w:rPr>
            </w:pPr>
            <w:r w:rsidRPr="009252D7">
              <w:rPr>
                <w:color w:val="000000" w:themeColor="text1"/>
              </w:rPr>
              <w:t>400</w:t>
            </w:r>
          </w:p>
        </w:tc>
        <w:tc>
          <w:tcPr>
            <w:tcW w:w="711" w:type="pct"/>
          </w:tcPr>
          <w:p w14:paraId="65AED91A" w14:textId="77777777" w:rsidR="002D3279" w:rsidRPr="009252D7" w:rsidRDefault="002D3279" w:rsidP="00A42257">
            <w:pPr>
              <w:spacing w:after="160" w:line="360" w:lineRule="auto"/>
              <w:jc w:val="center"/>
              <w:rPr>
                <w:color w:val="000000" w:themeColor="text1"/>
              </w:rPr>
            </w:pPr>
            <w:r w:rsidRPr="009252D7">
              <w:rPr>
                <w:color w:val="000000" w:themeColor="text1"/>
              </w:rPr>
              <w:t>(100)</w:t>
            </w:r>
          </w:p>
        </w:tc>
        <w:tc>
          <w:tcPr>
            <w:tcW w:w="684" w:type="pct"/>
          </w:tcPr>
          <w:p w14:paraId="7FCB9B40" w14:textId="77777777" w:rsidR="002D3279" w:rsidRPr="009252D7" w:rsidRDefault="002D3279" w:rsidP="00A42257">
            <w:pPr>
              <w:spacing w:after="160" w:line="360" w:lineRule="auto"/>
              <w:jc w:val="center"/>
              <w:rPr>
                <w:color w:val="000000" w:themeColor="text1"/>
              </w:rPr>
            </w:pPr>
            <w:r w:rsidRPr="009252D7">
              <w:rPr>
                <w:color w:val="000000" w:themeColor="text1"/>
              </w:rPr>
              <w:t>50</w:t>
            </w:r>
          </w:p>
        </w:tc>
        <w:tc>
          <w:tcPr>
            <w:tcW w:w="757" w:type="pct"/>
          </w:tcPr>
          <w:p w14:paraId="410FDA2A" w14:textId="77777777" w:rsidR="002D3279" w:rsidRPr="009252D7" w:rsidRDefault="002D3279" w:rsidP="00A42257">
            <w:pPr>
              <w:spacing w:after="160" w:line="360" w:lineRule="auto"/>
              <w:jc w:val="center"/>
              <w:rPr>
                <w:color w:val="000000" w:themeColor="text1"/>
              </w:rPr>
            </w:pPr>
            <w:r w:rsidRPr="009252D7">
              <w:rPr>
                <w:color w:val="000000" w:themeColor="text1"/>
              </w:rPr>
              <w:t>350.00</w:t>
            </w:r>
          </w:p>
        </w:tc>
        <w:tc>
          <w:tcPr>
            <w:tcW w:w="757" w:type="pct"/>
          </w:tcPr>
          <w:p w14:paraId="18315719" w14:textId="77777777" w:rsidR="002D3279" w:rsidRPr="009252D7" w:rsidRDefault="002D3279" w:rsidP="00A42257">
            <w:pPr>
              <w:spacing w:after="160" w:line="360" w:lineRule="auto"/>
              <w:jc w:val="center"/>
              <w:rPr>
                <w:color w:val="000000" w:themeColor="text1"/>
              </w:rPr>
            </w:pPr>
            <w:r w:rsidRPr="009252D7">
              <w:rPr>
                <w:color w:val="000000" w:themeColor="text1"/>
              </w:rPr>
              <w:t>0.943</w:t>
            </w:r>
          </w:p>
        </w:tc>
        <w:tc>
          <w:tcPr>
            <w:tcW w:w="756" w:type="pct"/>
          </w:tcPr>
          <w:p w14:paraId="37E72BC1" w14:textId="77777777" w:rsidR="002D3279" w:rsidRPr="009252D7" w:rsidRDefault="002D3279" w:rsidP="00A42257">
            <w:pPr>
              <w:spacing w:after="160" w:line="360" w:lineRule="auto"/>
              <w:jc w:val="center"/>
              <w:rPr>
                <w:color w:val="000000" w:themeColor="text1"/>
              </w:rPr>
            </w:pPr>
            <w:r w:rsidRPr="009252D7">
              <w:rPr>
                <w:color w:val="000000" w:themeColor="text1"/>
              </w:rPr>
              <w:t>330.050</w:t>
            </w:r>
          </w:p>
        </w:tc>
      </w:tr>
      <w:tr w:rsidR="002D3279" w:rsidRPr="009252D7" w14:paraId="2F24FB9B" w14:textId="77777777" w:rsidTr="00A42257">
        <w:tc>
          <w:tcPr>
            <w:tcW w:w="389" w:type="pct"/>
          </w:tcPr>
          <w:p w14:paraId="50CA7716" w14:textId="77777777" w:rsidR="002D3279" w:rsidRPr="009252D7" w:rsidRDefault="002D3279" w:rsidP="00A42257">
            <w:pPr>
              <w:spacing w:after="160" w:line="360" w:lineRule="auto"/>
              <w:jc w:val="center"/>
              <w:rPr>
                <w:color w:val="000000" w:themeColor="text1"/>
              </w:rPr>
            </w:pPr>
            <w:r w:rsidRPr="009252D7">
              <w:rPr>
                <w:color w:val="000000" w:themeColor="text1"/>
              </w:rPr>
              <w:t>2</w:t>
            </w:r>
          </w:p>
        </w:tc>
        <w:tc>
          <w:tcPr>
            <w:tcW w:w="947" w:type="pct"/>
          </w:tcPr>
          <w:p w14:paraId="0247791D" w14:textId="77777777" w:rsidR="002D3279" w:rsidRPr="009252D7" w:rsidRDefault="002D3279" w:rsidP="00A42257">
            <w:pPr>
              <w:spacing w:after="160" w:line="360" w:lineRule="auto"/>
              <w:jc w:val="center"/>
              <w:rPr>
                <w:color w:val="000000" w:themeColor="text1"/>
              </w:rPr>
            </w:pPr>
            <w:r w:rsidRPr="009252D7">
              <w:rPr>
                <w:color w:val="000000" w:themeColor="text1"/>
              </w:rPr>
              <w:t>450</w:t>
            </w:r>
          </w:p>
        </w:tc>
        <w:tc>
          <w:tcPr>
            <w:tcW w:w="711" w:type="pct"/>
          </w:tcPr>
          <w:p w14:paraId="0AFDF327" w14:textId="77777777" w:rsidR="002D3279" w:rsidRPr="009252D7" w:rsidRDefault="002D3279" w:rsidP="00A42257">
            <w:pPr>
              <w:spacing w:after="160" w:line="360" w:lineRule="auto"/>
              <w:jc w:val="center"/>
              <w:rPr>
                <w:color w:val="000000" w:themeColor="text1"/>
              </w:rPr>
            </w:pPr>
            <w:r w:rsidRPr="009252D7">
              <w:rPr>
                <w:color w:val="000000" w:themeColor="text1"/>
              </w:rPr>
              <w:t>(112.5)</w:t>
            </w:r>
          </w:p>
        </w:tc>
        <w:tc>
          <w:tcPr>
            <w:tcW w:w="684" w:type="pct"/>
          </w:tcPr>
          <w:p w14:paraId="4B65D9B0" w14:textId="77777777" w:rsidR="002D3279" w:rsidRPr="009252D7" w:rsidRDefault="002D3279" w:rsidP="00A42257">
            <w:pPr>
              <w:spacing w:after="160" w:line="360" w:lineRule="auto"/>
              <w:jc w:val="center"/>
              <w:rPr>
                <w:color w:val="000000" w:themeColor="text1"/>
              </w:rPr>
            </w:pPr>
            <w:r w:rsidRPr="009252D7">
              <w:rPr>
                <w:color w:val="000000" w:themeColor="text1"/>
              </w:rPr>
              <w:t>50</w:t>
            </w:r>
          </w:p>
        </w:tc>
        <w:tc>
          <w:tcPr>
            <w:tcW w:w="757" w:type="pct"/>
          </w:tcPr>
          <w:p w14:paraId="1D5D2074" w14:textId="77777777" w:rsidR="002D3279" w:rsidRPr="009252D7" w:rsidRDefault="002D3279" w:rsidP="00A42257">
            <w:pPr>
              <w:spacing w:after="160" w:line="360" w:lineRule="auto"/>
              <w:jc w:val="center"/>
              <w:rPr>
                <w:color w:val="000000" w:themeColor="text1"/>
              </w:rPr>
            </w:pPr>
            <w:r w:rsidRPr="009252D7">
              <w:rPr>
                <w:color w:val="000000" w:themeColor="text1"/>
              </w:rPr>
              <w:t>387.50</w:t>
            </w:r>
          </w:p>
        </w:tc>
        <w:tc>
          <w:tcPr>
            <w:tcW w:w="757" w:type="pct"/>
          </w:tcPr>
          <w:p w14:paraId="18B2BF6F" w14:textId="77777777" w:rsidR="002D3279" w:rsidRPr="009252D7" w:rsidRDefault="002D3279" w:rsidP="00A42257">
            <w:pPr>
              <w:spacing w:after="160" w:line="360" w:lineRule="auto"/>
              <w:jc w:val="center"/>
              <w:rPr>
                <w:color w:val="000000" w:themeColor="text1"/>
              </w:rPr>
            </w:pPr>
            <w:r w:rsidRPr="009252D7">
              <w:rPr>
                <w:color w:val="000000" w:themeColor="text1"/>
              </w:rPr>
              <w:t>0.890</w:t>
            </w:r>
          </w:p>
        </w:tc>
        <w:tc>
          <w:tcPr>
            <w:tcW w:w="756" w:type="pct"/>
          </w:tcPr>
          <w:p w14:paraId="1C66CF22" w14:textId="77777777" w:rsidR="002D3279" w:rsidRPr="009252D7" w:rsidRDefault="002D3279" w:rsidP="00A42257">
            <w:pPr>
              <w:spacing w:after="160" w:line="360" w:lineRule="auto"/>
              <w:jc w:val="center"/>
              <w:rPr>
                <w:color w:val="000000" w:themeColor="text1"/>
              </w:rPr>
            </w:pPr>
            <w:r w:rsidRPr="009252D7">
              <w:rPr>
                <w:color w:val="000000" w:themeColor="text1"/>
              </w:rPr>
              <w:t>344.875</w:t>
            </w:r>
          </w:p>
        </w:tc>
      </w:tr>
      <w:tr w:rsidR="002D3279" w:rsidRPr="009252D7" w14:paraId="776B4E85" w14:textId="77777777" w:rsidTr="00A42257">
        <w:tc>
          <w:tcPr>
            <w:tcW w:w="389" w:type="pct"/>
          </w:tcPr>
          <w:p w14:paraId="38D54240" w14:textId="77777777" w:rsidR="002D3279" w:rsidRPr="009252D7" w:rsidRDefault="002D3279" w:rsidP="00A42257">
            <w:pPr>
              <w:spacing w:after="160" w:line="360" w:lineRule="auto"/>
              <w:jc w:val="center"/>
              <w:rPr>
                <w:color w:val="000000" w:themeColor="text1"/>
              </w:rPr>
            </w:pPr>
            <w:r w:rsidRPr="009252D7">
              <w:rPr>
                <w:color w:val="000000" w:themeColor="text1"/>
              </w:rPr>
              <w:t>3</w:t>
            </w:r>
          </w:p>
        </w:tc>
        <w:tc>
          <w:tcPr>
            <w:tcW w:w="947" w:type="pct"/>
          </w:tcPr>
          <w:p w14:paraId="685B5C07" w14:textId="77777777" w:rsidR="002D3279" w:rsidRPr="009252D7" w:rsidRDefault="002D3279" w:rsidP="00A42257">
            <w:pPr>
              <w:spacing w:after="160" w:line="360" w:lineRule="auto"/>
              <w:jc w:val="center"/>
              <w:rPr>
                <w:color w:val="000000" w:themeColor="text1"/>
              </w:rPr>
            </w:pPr>
            <w:r w:rsidRPr="009252D7">
              <w:rPr>
                <w:color w:val="000000" w:themeColor="text1"/>
              </w:rPr>
              <w:t>720</w:t>
            </w:r>
          </w:p>
        </w:tc>
        <w:tc>
          <w:tcPr>
            <w:tcW w:w="711" w:type="pct"/>
          </w:tcPr>
          <w:p w14:paraId="13E65D06" w14:textId="77777777" w:rsidR="002D3279" w:rsidRPr="009252D7" w:rsidRDefault="002D3279" w:rsidP="00A42257">
            <w:pPr>
              <w:spacing w:after="160" w:line="360" w:lineRule="auto"/>
              <w:jc w:val="center"/>
              <w:rPr>
                <w:color w:val="000000" w:themeColor="text1"/>
              </w:rPr>
            </w:pPr>
            <w:r w:rsidRPr="009252D7">
              <w:rPr>
                <w:color w:val="000000" w:themeColor="text1"/>
              </w:rPr>
              <w:t>(180)</w:t>
            </w:r>
          </w:p>
        </w:tc>
        <w:tc>
          <w:tcPr>
            <w:tcW w:w="684" w:type="pct"/>
          </w:tcPr>
          <w:p w14:paraId="078B78EA" w14:textId="77777777" w:rsidR="002D3279" w:rsidRPr="009252D7" w:rsidRDefault="002D3279" w:rsidP="00A42257">
            <w:pPr>
              <w:spacing w:after="160" w:line="360" w:lineRule="auto"/>
              <w:jc w:val="center"/>
              <w:rPr>
                <w:color w:val="000000" w:themeColor="text1"/>
              </w:rPr>
            </w:pPr>
            <w:r w:rsidRPr="009252D7">
              <w:rPr>
                <w:color w:val="000000" w:themeColor="text1"/>
              </w:rPr>
              <w:t>50</w:t>
            </w:r>
          </w:p>
        </w:tc>
        <w:tc>
          <w:tcPr>
            <w:tcW w:w="757" w:type="pct"/>
          </w:tcPr>
          <w:p w14:paraId="0CAA524C" w14:textId="77777777" w:rsidR="002D3279" w:rsidRPr="009252D7" w:rsidRDefault="002D3279" w:rsidP="00A42257">
            <w:pPr>
              <w:spacing w:after="160" w:line="360" w:lineRule="auto"/>
              <w:jc w:val="center"/>
              <w:rPr>
                <w:color w:val="000000" w:themeColor="text1"/>
              </w:rPr>
            </w:pPr>
            <w:r w:rsidRPr="009252D7">
              <w:rPr>
                <w:color w:val="000000" w:themeColor="text1"/>
              </w:rPr>
              <w:t>590.00</w:t>
            </w:r>
          </w:p>
        </w:tc>
        <w:tc>
          <w:tcPr>
            <w:tcW w:w="757" w:type="pct"/>
          </w:tcPr>
          <w:p w14:paraId="7D23E44E" w14:textId="77777777" w:rsidR="002D3279" w:rsidRPr="009252D7" w:rsidRDefault="002D3279" w:rsidP="00A42257">
            <w:pPr>
              <w:spacing w:after="160" w:line="360" w:lineRule="auto"/>
              <w:jc w:val="center"/>
              <w:rPr>
                <w:color w:val="000000" w:themeColor="text1"/>
              </w:rPr>
            </w:pPr>
            <w:r w:rsidRPr="009252D7">
              <w:rPr>
                <w:color w:val="000000" w:themeColor="text1"/>
              </w:rPr>
              <w:t>0.840</w:t>
            </w:r>
          </w:p>
        </w:tc>
        <w:tc>
          <w:tcPr>
            <w:tcW w:w="756" w:type="pct"/>
          </w:tcPr>
          <w:p w14:paraId="64FA751A" w14:textId="77777777" w:rsidR="002D3279" w:rsidRPr="009252D7" w:rsidRDefault="002D3279" w:rsidP="00A42257">
            <w:pPr>
              <w:spacing w:after="160" w:line="360" w:lineRule="auto"/>
              <w:jc w:val="center"/>
              <w:rPr>
                <w:color w:val="000000" w:themeColor="text1"/>
              </w:rPr>
            </w:pPr>
            <w:r w:rsidRPr="009252D7">
              <w:rPr>
                <w:color w:val="000000" w:themeColor="text1"/>
              </w:rPr>
              <w:t>495.600</w:t>
            </w:r>
          </w:p>
        </w:tc>
      </w:tr>
      <w:tr w:rsidR="002D3279" w:rsidRPr="009252D7" w14:paraId="4093862C" w14:textId="77777777" w:rsidTr="00A42257">
        <w:tc>
          <w:tcPr>
            <w:tcW w:w="389" w:type="pct"/>
          </w:tcPr>
          <w:p w14:paraId="6AB0299E" w14:textId="77777777" w:rsidR="002D3279" w:rsidRPr="009252D7" w:rsidRDefault="002D3279" w:rsidP="00A42257">
            <w:pPr>
              <w:spacing w:after="160" w:line="360" w:lineRule="auto"/>
              <w:jc w:val="center"/>
              <w:rPr>
                <w:color w:val="000000" w:themeColor="text1"/>
              </w:rPr>
            </w:pPr>
            <w:r w:rsidRPr="009252D7">
              <w:rPr>
                <w:color w:val="000000" w:themeColor="text1"/>
              </w:rPr>
              <w:t>4</w:t>
            </w:r>
          </w:p>
        </w:tc>
        <w:tc>
          <w:tcPr>
            <w:tcW w:w="947" w:type="pct"/>
          </w:tcPr>
          <w:p w14:paraId="0339826C" w14:textId="77777777" w:rsidR="002D3279" w:rsidRPr="009252D7" w:rsidRDefault="002D3279" w:rsidP="00A42257">
            <w:pPr>
              <w:spacing w:after="160" w:line="360" w:lineRule="auto"/>
              <w:jc w:val="center"/>
              <w:rPr>
                <w:color w:val="000000" w:themeColor="text1"/>
              </w:rPr>
            </w:pPr>
            <w:r w:rsidRPr="009252D7">
              <w:rPr>
                <w:color w:val="000000" w:themeColor="text1"/>
              </w:rPr>
              <w:t>980</w:t>
            </w:r>
          </w:p>
        </w:tc>
        <w:tc>
          <w:tcPr>
            <w:tcW w:w="711" w:type="pct"/>
          </w:tcPr>
          <w:p w14:paraId="504D0B8D" w14:textId="77777777" w:rsidR="002D3279" w:rsidRPr="009252D7" w:rsidRDefault="002D3279" w:rsidP="00A42257">
            <w:pPr>
              <w:spacing w:after="160" w:line="360" w:lineRule="auto"/>
              <w:jc w:val="center"/>
              <w:rPr>
                <w:color w:val="000000" w:themeColor="text1"/>
              </w:rPr>
            </w:pPr>
            <w:r w:rsidRPr="009252D7">
              <w:rPr>
                <w:color w:val="000000" w:themeColor="text1"/>
              </w:rPr>
              <w:t>(245)</w:t>
            </w:r>
          </w:p>
        </w:tc>
        <w:tc>
          <w:tcPr>
            <w:tcW w:w="684" w:type="pct"/>
          </w:tcPr>
          <w:p w14:paraId="36C10168" w14:textId="77777777" w:rsidR="002D3279" w:rsidRPr="009252D7" w:rsidRDefault="002D3279" w:rsidP="00A42257">
            <w:pPr>
              <w:spacing w:after="160" w:line="360" w:lineRule="auto"/>
              <w:jc w:val="center"/>
              <w:rPr>
                <w:color w:val="000000" w:themeColor="text1"/>
              </w:rPr>
            </w:pPr>
            <w:r w:rsidRPr="009252D7">
              <w:rPr>
                <w:color w:val="000000" w:themeColor="text1"/>
              </w:rPr>
              <w:t>50</w:t>
            </w:r>
          </w:p>
        </w:tc>
        <w:tc>
          <w:tcPr>
            <w:tcW w:w="757" w:type="pct"/>
          </w:tcPr>
          <w:p w14:paraId="255FD3D1" w14:textId="77777777" w:rsidR="002D3279" w:rsidRPr="009252D7" w:rsidRDefault="002D3279" w:rsidP="00A42257">
            <w:pPr>
              <w:spacing w:after="160" w:line="360" w:lineRule="auto"/>
              <w:jc w:val="center"/>
              <w:rPr>
                <w:color w:val="000000" w:themeColor="text1"/>
              </w:rPr>
            </w:pPr>
            <w:r w:rsidRPr="009252D7">
              <w:rPr>
                <w:color w:val="000000" w:themeColor="text1"/>
              </w:rPr>
              <w:t>785.00</w:t>
            </w:r>
          </w:p>
        </w:tc>
        <w:tc>
          <w:tcPr>
            <w:tcW w:w="757" w:type="pct"/>
          </w:tcPr>
          <w:p w14:paraId="684DB504" w14:textId="77777777" w:rsidR="002D3279" w:rsidRPr="009252D7" w:rsidRDefault="002D3279" w:rsidP="00A42257">
            <w:pPr>
              <w:spacing w:after="160" w:line="360" w:lineRule="auto"/>
              <w:jc w:val="center"/>
              <w:rPr>
                <w:color w:val="000000" w:themeColor="text1"/>
              </w:rPr>
            </w:pPr>
            <w:r w:rsidRPr="009252D7">
              <w:rPr>
                <w:color w:val="000000" w:themeColor="text1"/>
              </w:rPr>
              <w:t>0.792</w:t>
            </w:r>
          </w:p>
        </w:tc>
        <w:tc>
          <w:tcPr>
            <w:tcW w:w="756" w:type="pct"/>
          </w:tcPr>
          <w:p w14:paraId="08264E39" w14:textId="77777777" w:rsidR="002D3279" w:rsidRPr="009252D7" w:rsidRDefault="002D3279" w:rsidP="00A42257">
            <w:pPr>
              <w:spacing w:after="160" w:line="360" w:lineRule="auto"/>
              <w:jc w:val="center"/>
              <w:rPr>
                <w:color w:val="000000" w:themeColor="text1"/>
              </w:rPr>
            </w:pPr>
            <w:r w:rsidRPr="009252D7">
              <w:rPr>
                <w:color w:val="000000" w:themeColor="text1"/>
              </w:rPr>
              <w:t>621.720</w:t>
            </w:r>
          </w:p>
        </w:tc>
      </w:tr>
    </w:tbl>
    <w:p w14:paraId="768F18ED" w14:textId="77777777" w:rsidR="002D3279" w:rsidRPr="009252D7" w:rsidRDefault="002D3279" w:rsidP="002D3279">
      <w:pPr>
        <w:spacing w:line="360" w:lineRule="auto"/>
        <w:jc w:val="both"/>
        <w:rPr>
          <w:color w:val="000000" w:themeColor="text1"/>
        </w:rPr>
      </w:pPr>
    </w:p>
    <w:p w14:paraId="6ABC3F38" w14:textId="77777777" w:rsidR="002D3279" w:rsidRPr="009252D7" w:rsidRDefault="002D3279" w:rsidP="002D3279">
      <w:pPr>
        <w:spacing w:line="360" w:lineRule="auto"/>
        <w:jc w:val="both"/>
        <w:rPr>
          <w:color w:val="000000" w:themeColor="text1"/>
        </w:rPr>
      </w:pPr>
      <w:r w:rsidRPr="009252D7">
        <w:rPr>
          <w:color w:val="000000" w:themeColor="text1"/>
        </w:rPr>
        <w:t>NPV [Option B]: £792.245</w:t>
      </w:r>
    </w:p>
    <w:p w14:paraId="67579FCE" w14:textId="77777777" w:rsidR="002D3279" w:rsidRPr="008268BE" w:rsidRDefault="002D3279" w:rsidP="002D3279">
      <w:pPr>
        <w:pStyle w:val="Heading2"/>
        <w:rPr>
          <w:rFonts w:ascii="Times New Roman" w:hAnsi="Times New Roman" w:cs="Times New Roman"/>
          <w:color w:val="000000" w:themeColor="text1"/>
          <w:sz w:val="24"/>
          <w:szCs w:val="24"/>
        </w:rPr>
      </w:pPr>
      <w:bookmarkStart w:id="28" w:name="_Toc218979660"/>
      <w:r w:rsidRPr="008268BE">
        <w:rPr>
          <w:rFonts w:ascii="Times New Roman" w:hAnsi="Times New Roman" w:cs="Times New Roman"/>
          <w:color w:val="000000" w:themeColor="text1"/>
          <w:sz w:val="24"/>
          <w:szCs w:val="24"/>
        </w:rPr>
        <w:lastRenderedPageBreak/>
        <w:t>2.5 Option C: Wooden Blinds and Roman Blinds Production</w:t>
      </w:r>
      <w:bookmarkEnd w:id="28"/>
    </w:p>
    <w:p w14:paraId="279A9CCC" w14:textId="77777777" w:rsidR="002D3279" w:rsidRPr="009252D7" w:rsidRDefault="002D3279" w:rsidP="002D3279">
      <w:pPr>
        <w:spacing w:line="360" w:lineRule="auto"/>
        <w:jc w:val="both"/>
        <w:rPr>
          <w:color w:val="000000" w:themeColor="text1"/>
        </w:rPr>
      </w:pPr>
      <w:r w:rsidRPr="009252D7">
        <w:rPr>
          <w:color w:val="000000" w:themeColor="text1"/>
        </w:rPr>
        <w:t>Initial Investment: £1,600,000</w:t>
      </w:r>
    </w:p>
    <w:p w14:paraId="717DF45B" w14:textId="77777777" w:rsidR="002D3279" w:rsidRPr="009252D7" w:rsidRDefault="002D3279" w:rsidP="002D3279">
      <w:pPr>
        <w:spacing w:line="360" w:lineRule="auto"/>
        <w:jc w:val="both"/>
        <w:rPr>
          <w:color w:val="000000" w:themeColor="text1"/>
        </w:rPr>
      </w:pPr>
      <w:r w:rsidRPr="009252D7">
        <w:rPr>
          <w:color w:val="000000" w:themeColor="text1"/>
        </w:rPr>
        <w:t>Annual Capital Allowance</w:t>
      </w:r>
      <w:r w:rsidRPr="009252D7">
        <w:rPr>
          <w:b/>
          <w:bCs/>
          <w:color w:val="000000" w:themeColor="text1"/>
        </w:rPr>
        <w:t>:</w:t>
      </w:r>
      <w:r w:rsidRPr="009252D7">
        <w:rPr>
          <w:color w:val="000000" w:themeColor="text1"/>
        </w:rPr>
        <w:t xml:space="preserve"> £1,600,000 × 20% = £320,000</w:t>
      </w:r>
    </w:p>
    <w:p w14:paraId="08143462" w14:textId="77777777" w:rsidR="002D3279" w:rsidRPr="009252D7" w:rsidRDefault="002D3279" w:rsidP="002D3279">
      <w:pPr>
        <w:spacing w:line="360" w:lineRule="auto"/>
        <w:jc w:val="both"/>
        <w:rPr>
          <w:color w:val="000000" w:themeColor="text1"/>
        </w:rPr>
      </w:pPr>
      <w:r w:rsidRPr="009252D7">
        <w:rPr>
          <w:color w:val="000000" w:themeColor="text1"/>
        </w:rPr>
        <w:t>Annual Tax Shield</w:t>
      </w:r>
      <w:r w:rsidRPr="009252D7">
        <w:rPr>
          <w:b/>
          <w:bCs/>
          <w:color w:val="000000" w:themeColor="text1"/>
        </w:rPr>
        <w:t>:</w:t>
      </w:r>
      <w:r w:rsidRPr="009252D7">
        <w:rPr>
          <w:color w:val="000000" w:themeColor="text1"/>
        </w:rPr>
        <w:t xml:space="preserve"> £320,000 × 25% = £80,000</w:t>
      </w:r>
    </w:p>
    <w:tbl>
      <w:tblPr>
        <w:tblStyle w:val="TableGrid"/>
        <w:tblW w:w="5262" w:type="pct"/>
        <w:tblLook w:val="04A0" w:firstRow="1" w:lastRow="0" w:firstColumn="1" w:lastColumn="0" w:noHBand="0" w:noVBand="1"/>
      </w:tblPr>
      <w:tblGrid>
        <w:gridCol w:w="771"/>
        <w:gridCol w:w="1886"/>
        <w:gridCol w:w="1271"/>
        <w:gridCol w:w="1271"/>
        <w:gridCol w:w="1277"/>
        <w:gridCol w:w="1507"/>
        <w:gridCol w:w="1505"/>
      </w:tblGrid>
      <w:tr w:rsidR="002D3279" w:rsidRPr="009252D7" w14:paraId="51DA553F" w14:textId="77777777" w:rsidTr="00A42257">
        <w:tc>
          <w:tcPr>
            <w:tcW w:w="406" w:type="pct"/>
          </w:tcPr>
          <w:p w14:paraId="0A2A47AE"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Year</w:t>
            </w:r>
          </w:p>
        </w:tc>
        <w:tc>
          <w:tcPr>
            <w:tcW w:w="994" w:type="pct"/>
          </w:tcPr>
          <w:p w14:paraId="130C9AE8"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Gross Cash Flow (£'000)</w:t>
            </w:r>
          </w:p>
        </w:tc>
        <w:tc>
          <w:tcPr>
            <w:tcW w:w="670" w:type="pct"/>
          </w:tcPr>
          <w:p w14:paraId="659F6EB3"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Tax [25%]</w:t>
            </w:r>
          </w:p>
        </w:tc>
        <w:tc>
          <w:tcPr>
            <w:tcW w:w="670" w:type="pct"/>
          </w:tcPr>
          <w:p w14:paraId="3066C09D"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Tax Shield</w:t>
            </w:r>
          </w:p>
        </w:tc>
        <w:tc>
          <w:tcPr>
            <w:tcW w:w="673" w:type="pct"/>
          </w:tcPr>
          <w:p w14:paraId="70F81CFA"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Net Cash Flow</w:t>
            </w:r>
          </w:p>
        </w:tc>
        <w:tc>
          <w:tcPr>
            <w:tcW w:w="794" w:type="pct"/>
          </w:tcPr>
          <w:p w14:paraId="797C89C5"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Discount Factor [6%]</w:t>
            </w:r>
          </w:p>
        </w:tc>
        <w:tc>
          <w:tcPr>
            <w:tcW w:w="794" w:type="pct"/>
          </w:tcPr>
          <w:p w14:paraId="39BE3A96" w14:textId="77777777" w:rsidR="002D3279" w:rsidRPr="009252D7" w:rsidRDefault="002D3279" w:rsidP="00A42257">
            <w:pPr>
              <w:spacing w:after="160" w:line="360" w:lineRule="auto"/>
              <w:jc w:val="center"/>
              <w:rPr>
                <w:b/>
                <w:bCs/>
                <w:color w:val="000000" w:themeColor="text1"/>
              </w:rPr>
            </w:pPr>
            <w:r w:rsidRPr="009252D7">
              <w:rPr>
                <w:b/>
                <w:bCs/>
                <w:color w:val="000000" w:themeColor="text1"/>
              </w:rPr>
              <w:t>Present Value</w:t>
            </w:r>
          </w:p>
        </w:tc>
      </w:tr>
      <w:tr w:rsidR="002D3279" w:rsidRPr="009252D7" w14:paraId="5DD97E2D" w14:textId="77777777" w:rsidTr="00A42257">
        <w:tc>
          <w:tcPr>
            <w:tcW w:w="406" w:type="pct"/>
          </w:tcPr>
          <w:p w14:paraId="40053A0A"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994" w:type="pct"/>
          </w:tcPr>
          <w:p w14:paraId="2390578B" w14:textId="77777777" w:rsidR="002D3279" w:rsidRPr="009252D7" w:rsidRDefault="002D3279" w:rsidP="00A42257">
            <w:pPr>
              <w:spacing w:after="160" w:line="360" w:lineRule="auto"/>
              <w:jc w:val="center"/>
              <w:rPr>
                <w:color w:val="000000" w:themeColor="text1"/>
              </w:rPr>
            </w:pPr>
            <w:r w:rsidRPr="009252D7">
              <w:rPr>
                <w:color w:val="000000" w:themeColor="text1"/>
              </w:rPr>
              <w:t>(1600)</w:t>
            </w:r>
          </w:p>
        </w:tc>
        <w:tc>
          <w:tcPr>
            <w:tcW w:w="670" w:type="pct"/>
          </w:tcPr>
          <w:p w14:paraId="737B3507"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670" w:type="pct"/>
          </w:tcPr>
          <w:p w14:paraId="58AE3CF6"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673" w:type="pct"/>
          </w:tcPr>
          <w:p w14:paraId="2F65871B" w14:textId="77777777" w:rsidR="002D3279" w:rsidRPr="009252D7" w:rsidRDefault="002D3279" w:rsidP="00A42257">
            <w:pPr>
              <w:spacing w:after="160" w:line="360" w:lineRule="auto"/>
              <w:jc w:val="center"/>
              <w:rPr>
                <w:color w:val="000000" w:themeColor="text1"/>
              </w:rPr>
            </w:pPr>
            <w:r w:rsidRPr="009252D7">
              <w:rPr>
                <w:color w:val="000000" w:themeColor="text1"/>
              </w:rPr>
              <w:t>(1600.000)</w:t>
            </w:r>
          </w:p>
        </w:tc>
        <w:tc>
          <w:tcPr>
            <w:tcW w:w="794" w:type="pct"/>
          </w:tcPr>
          <w:p w14:paraId="64FCD333" w14:textId="77777777" w:rsidR="002D3279" w:rsidRPr="009252D7" w:rsidRDefault="002D3279" w:rsidP="00A42257">
            <w:pPr>
              <w:spacing w:after="160" w:line="360" w:lineRule="auto"/>
              <w:jc w:val="center"/>
              <w:rPr>
                <w:color w:val="000000" w:themeColor="text1"/>
              </w:rPr>
            </w:pPr>
            <w:r w:rsidRPr="009252D7">
              <w:rPr>
                <w:color w:val="000000" w:themeColor="text1"/>
              </w:rPr>
              <w:t>1.000</w:t>
            </w:r>
          </w:p>
        </w:tc>
        <w:tc>
          <w:tcPr>
            <w:tcW w:w="794" w:type="pct"/>
          </w:tcPr>
          <w:p w14:paraId="523F34CD" w14:textId="77777777" w:rsidR="002D3279" w:rsidRPr="009252D7" w:rsidRDefault="002D3279" w:rsidP="00A42257">
            <w:pPr>
              <w:spacing w:after="160" w:line="360" w:lineRule="auto"/>
              <w:jc w:val="center"/>
              <w:rPr>
                <w:color w:val="000000" w:themeColor="text1"/>
              </w:rPr>
            </w:pPr>
            <w:r w:rsidRPr="009252D7">
              <w:rPr>
                <w:color w:val="000000" w:themeColor="text1"/>
              </w:rPr>
              <w:t>(1600.000)</w:t>
            </w:r>
          </w:p>
        </w:tc>
      </w:tr>
      <w:tr w:rsidR="002D3279" w:rsidRPr="009252D7" w14:paraId="50587352" w14:textId="77777777" w:rsidTr="00A42257">
        <w:tc>
          <w:tcPr>
            <w:tcW w:w="406" w:type="pct"/>
          </w:tcPr>
          <w:p w14:paraId="7BCA7F27" w14:textId="77777777" w:rsidR="002D3279" w:rsidRPr="009252D7" w:rsidRDefault="002D3279" w:rsidP="00A42257">
            <w:pPr>
              <w:spacing w:after="160" w:line="360" w:lineRule="auto"/>
              <w:jc w:val="center"/>
              <w:rPr>
                <w:color w:val="000000" w:themeColor="text1"/>
              </w:rPr>
            </w:pPr>
            <w:r w:rsidRPr="009252D7">
              <w:rPr>
                <w:color w:val="000000" w:themeColor="text1"/>
              </w:rPr>
              <w:t>1</w:t>
            </w:r>
          </w:p>
        </w:tc>
        <w:tc>
          <w:tcPr>
            <w:tcW w:w="994" w:type="pct"/>
          </w:tcPr>
          <w:p w14:paraId="227CF035" w14:textId="77777777" w:rsidR="002D3279" w:rsidRPr="009252D7" w:rsidRDefault="002D3279" w:rsidP="00A42257">
            <w:pPr>
              <w:spacing w:after="160" w:line="360" w:lineRule="auto"/>
              <w:jc w:val="center"/>
              <w:rPr>
                <w:color w:val="000000" w:themeColor="text1"/>
              </w:rPr>
            </w:pPr>
            <w:r w:rsidRPr="009252D7">
              <w:rPr>
                <w:color w:val="000000" w:themeColor="text1"/>
              </w:rPr>
              <w:t>450</w:t>
            </w:r>
          </w:p>
        </w:tc>
        <w:tc>
          <w:tcPr>
            <w:tcW w:w="670" w:type="pct"/>
          </w:tcPr>
          <w:p w14:paraId="2E17F09B" w14:textId="77777777" w:rsidR="002D3279" w:rsidRPr="009252D7" w:rsidRDefault="002D3279" w:rsidP="00A42257">
            <w:pPr>
              <w:spacing w:after="160" w:line="360" w:lineRule="auto"/>
              <w:jc w:val="center"/>
              <w:rPr>
                <w:color w:val="000000" w:themeColor="text1"/>
              </w:rPr>
            </w:pPr>
            <w:r w:rsidRPr="009252D7">
              <w:rPr>
                <w:color w:val="000000" w:themeColor="text1"/>
              </w:rPr>
              <w:t>(112.50)</w:t>
            </w:r>
          </w:p>
        </w:tc>
        <w:tc>
          <w:tcPr>
            <w:tcW w:w="670" w:type="pct"/>
          </w:tcPr>
          <w:p w14:paraId="67762B7E" w14:textId="77777777" w:rsidR="002D3279" w:rsidRPr="009252D7" w:rsidRDefault="002D3279" w:rsidP="00A42257">
            <w:pPr>
              <w:spacing w:after="160" w:line="360" w:lineRule="auto"/>
              <w:jc w:val="center"/>
              <w:rPr>
                <w:color w:val="000000" w:themeColor="text1"/>
              </w:rPr>
            </w:pPr>
            <w:r w:rsidRPr="009252D7">
              <w:rPr>
                <w:color w:val="000000" w:themeColor="text1"/>
              </w:rPr>
              <w:t>80</w:t>
            </w:r>
          </w:p>
        </w:tc>
        <w:tc>
          <w:tcPr>
            <w:tcW w:w="673" w:type="pct"/>
          </w:tcPr>
          <w:p w14:paraId="3B6F8206" w14:textId="77777777" w:rsidR="002D3279" w:rsidRPr="009252D7" w:rsidRDefault="002D3279" w:rsidP="00A42257">
            <w:pPr>
              <w:spacing w:after="160" w:line="360" w:lineRule="auto"/>
              <w:jc w:val="center"/>
              <w:rPr>
                <w:color w:val="000000" w:themeColor="text1"/>
              </w:rPr>
            </w:pPr>
            <w:r w:rsidRPr="009252D7">
              <w:rPr>
                <w:color w:val="000000" w:themeColor="text1"/>
              </w:rPr>
              <w:t>417.500</w:t>
            </w:r>
          </w:p>
        </w:tc>
        <w:tc>
          <w:tcPr>
            <w:tcW w:w="794" w:type="pct"/>
          </w:tcPr>
          <w:p w14:paraId="3FDC06AF" w14:textId="77777777" w:rsidR="002D3279" w:rsidRPr="009252D7" w:rsidRDefault="002D3279" w:rsidP="00A42257">
            <w:pPr>
              <w:spacing w:after="160" w:line="360" w:lineRule="auto"/>
              <w:jc w:val="center"/>
              <w:rPr>
                <w:color w:val="000000" w:themeColor="text1"/>
              </w:rPr>
            </w:pPr>
            <w:r w:rsidRPr="009252D7">
              <w:rPr>
                <w:color w:val="000000" w:themeColor="text1"/>
              </w:rPr>
              <w:t>0.943</w:t>
            </w:r>
          </w:p>
        </w:tc>
        <w:tc>
          <w:tcPr>
            <w:tcW w:w="794" w:type="pct"/>
          </w:tcPr>
          <w:p w14:paraId="76F92DA1" w14:textId="77777777" w:rsidR="002D3279" w:rsidRPr="009252D7" w:rsidRDefault="002D3279" w:rsidP="00A42257">
            <w:pPr>
              <w:spacing w:after="160" w:line="360" w:lineRule="auto"/>
              <w:jc w:val="center"/>
              <w:rPr>
                <w:color w:val="000000" w:themeColor="text1"/>
              </w:rPr>
            </w:pPr>
            <w:r w:rsidRPr="009252D7">
              <w:rPr>
                <w:color w:val="000000" w:themeColor="text1"/>
              </w:rPr>
              <w:t>393.703</w:t>
            </w:r>
          </w:p>
        </w:tc>
      </w:tr>
      <w:tr w:rsidR="002D3279" w:rsidRPr="009252D7" w14:paraId="69F93795" w14:textId="77777777" w:rsidTr="00A42257">
        <w:tc>
          <w:tcPr>
            <w:tcW w:w="406" w:type="pct"/>
          </w:tcPr>
          <w:p w14:paraId="6C4CF81D" w14:textId="77777777" w:rsidR="002D3279" w:rsidRPr="009252D7" w:rsidRDefault="002D3279" w:rsidP="00A42257">
            <w:pPr>
              <w:spacing w:after="160" w:line="360" w:lineRule="auto"/>
              <w:jc w:val="center"/>
              <w:rPr>
                <w:color w:val="000000" w:themeColor="text1"/>
              </w:rPr>
            </w:pPr>
            <w:r w:rsidRPr="009252D7">
              <w:rPr>
                <w:color w:val="000000" w:themeColor="text1"/>
              </w:rPr>
              <w:t>2</w:t>
            </w:r>
          </w:p>
        </w:tc>
        <w:tc>
          <w:tcPr>
            <w:tcW w:w="994" w:type="pct"/>
          </w:tcPr>
          <w:p w14:paraId="5FD75CE1" w14:textId="77777777" w:rsidR="002D3279" w:rsidRPr="009252D7" w:rsidRDefault="002D3279" w:rsidP="00A42257">
            <w:pPr>
              <w:spacing w:after="160" w:line="360" w:lineRule="auto"/>
              <w:jc w:val="center"/>
              <w:rPr>
                <w:color w:val="000000" w:themeColor="text1"/>
              </w:rPr>
            </w:pPr>
            <w:r w:rsidRPr="009252D7">
              <w:rPr>
                <w:color w:val="000000" w:themeColor="text1"/>
              </w:rPr>
              <w:t>700</w:t>
            </w:r>
          </w:p>
        </w:tc>
        <w:tc>
          <w:tcPr>
            <w:tcW w:w="670" w:type="pct"/>
          </w:tcPr>
          <w:p w14:paraId="641316C0" w14:textId="77777777" w:rsidR="002D3279" w:rsidRPr="009252D7" w:rsidRDefault="002D3279" w:rsidP="00A42257">
            <w:pPr>
              <w:spacing w:after="160" w:line="360" w:lineRule="auto"/>
              <w:jc w:val="center"/>
              <w:rPr>
                <w:color w:val="000000" w:themeColor="text1"/>
              </w:rPr>
            </w:pPr>
            <w:r w:rsidRPr="009252D7">
              <w:rPr>
                <w:color w:val="000000" w:themeColor="text1"/>
              </w:rPr>
              <w:t>(175)</w:t>
            </w:r>
          </w:p>
        </w:tc>
        <w:tc>
          <w:tcPr>
            <w:tcW w:w="670" w:type="pct"/>
          </w:tcPr>
          <w:p w14:paraId="4B5CBCFC" w14:textId="77777777" w:rsidR="002D3279" w:rsidRPr="009252D7" w:rsidRDefault="002D3279" w:rsidP="00A42257">
            <w:pPr>
              <w:spacing w:after="160" w:line="360" w:lineRule="auto"/>
              <w:jc w:val="center"/>
              <w:rPr>
                <w:color w:val="000000" w:themeColor="text1"/>
              </w:rPr>
            </w:pPr>
            <w:r w:rsidRPr="009252D7">
              <w:rPr>
                <w:color w:val="000000" w:themeColor="text1"/>
              </w:rPr>
              <w:t>80</w:t>
            </w:r>
          </w:p>
        </w:tc>
        <w:tc>
          <w:tcPr>
            <w:tcW w:w="673" w:type="pct"/>
          </w:tcPr>
          <w:p w14:paraId="3FCAE557" w14:textId="77777777" w:rsidR="002D3279" w:rsidRPr="009252D7" w:rsidRDefault="002D3279" w:rsidP="00A42257">
            <w:pPr>
              <w:spacing w:after="160" w:line="360" w:lineRule="auto"/>
              <w:jc w:val="center"/>
              <w:rPr>
                <w:color w:val="000000" w:themeColor="text1"/>
              </w:rPr>
            </w:pPr>
            <w:r w:rsidRPr="009252D7">
              <w:rPr>
                <w:color w:val="000000" w:themeColor="text1"/>
              </w:rPr>
              <w:t>605.000</w:t>
            </w:r>
          </w:p>
        </w:tc>
        <w:tc>
          <w:tcPr>
            <w:tcW w:w="794" w:type="pct"/>
          </w:tcPr>
          <w:p w14:paraId="65CD139E" w14:textId="77777777" w:rsidR="002D3279" w:rsidRPr="009252D7" w:rsidRDefault="002D3279" w:rsidP="00A42257">
            <w:pPr>
              <w:spacing w:after="160" w:line="360" w:lineRule="auto"/>
              <w:jc w:val="center"/>
              <w:rPr>
                <w:color w:val="000000" w:themeColor="text1"/>
              </w:rPr>
            </w:pPr>
            <w:r w:rsidRPr="009252D7">
              <w:rPr>
                <w:color w:val="000000" w:themeColor="text1"/>
              </w:rPr>
              <w:t>0.890</w:t>
            </w:r>
          </w:p>
        </w:tc>
        <w:tc>
          <w:tcPr>
            <w:tcW w:w="794" w:type="pct"/>
          </w:tcPr>
          <w:p w14:paraId="07768C83" w14:textId="77777777" w:rsidR="002D3279" w:rsidRPr="009252D7" w:rsidRDefault="002D3279" w:rsidP="00A42257">
            <w:pPr>
              <w:spacing w:after="160" w:line="360" w:lineRule="auto"/>
              <w:jc w:val="center"/>
              <w:rPr>
                <w:color w:val="000000" w:themeColor="text1"/>
              </w:rPr>
            </w:pPr>
            <w:r w:rsidRPr="009252D7">
              <w:rPr>
                <w:color w:val="000000" w:themeColor="text1"/>
              </w:rPr>
              <w:t>538.450</w:t>
            </w:r>
          </w:p>
        </w:tc>
      </w:tr>
      <w:tr w:rsidR="002D3279" w:rsidRPr="009252D7" w14:paraId="32D7A1FE" w14:textId="77777777" w:rsidTr="00A42257">
        <w:tc>
          <w:tcPr>
            <w:tcW w:w="406" w:type="pct"/>
          </w:tcPr>
          <w:p w14:paraId="18D63F99" w14:textId="77777777" w:rsidR="002D3279" w:rsidRPr="009252D7" w:rsidRDefault="002D3279" w:rsidP="00A42257">
            <w:pPr>
              <w:spacing w:after="160" w:line="360" w:lineRule="auto"/>
              <w:jc w:val="center"/>
              <w:rPr>
                <w:color w:val="000000" w:themeColor="text1"/>
              </w:rPr>
            </w:pPr>
            <w:r w:rsidRPr="009252D7">
              <w:rPr>
                <w:color w:val="000000" w:themeColor="text1"/>
              </w:rPr>
              <w:t>3</w:t>
            </w:r>
          </w:p>
        </w:tc>
        <w:tc>
          <w:tcPr>
            <w:tcW w:w="994" w:type="pct"/>
          </w:tcPr>
          <w:p w14:paraId="6E529CB5" w14:textId="77777777" w:rsidR="002D3279" w:rsidRPr="009252D7" w:rsidRDefault="002D3279" w:rsidP="00A42257">
            <w:pPr>
              <w:spacing w:after="160" w:line="360" w:lineRule="auto"/>
              <w:jc w:val="center"/>
              <w:rPr>
                <w:color w:val="000000" w:themeColor="text1"/>
              </w:rPr>
            </w:pPr>
            <w:r w:rsidRPr="009252D7">
              <w:rPr>
                <w:color w:val="000000" w:themeColor="text1"/>
              </w:rPr>
              <w:t>900</w:t>
            </w:r>
          </w:p>
        </w:tc>
        <w:tc>
          <w:tcPr>
            <w:tcW w:w="670" w:type="pct"/>
          </w:tcPr>
          <w:p w14:paraId="7252BA92" w14:textId="77777777" w:rsidR="002D3279" w:rsidRPr="009252D7" w:rsidRDefault="002D3279" w:rsidP="00A42257">
            <w:pPr>
              <w:spacing w:after="160" w:line="360" w:lineRule="auto"/>
              <w:jc w:val="center"/>
              <w:rPr>
                <w:color w:val="000000" w:themeColor="text1"/>
              </w:rPr>
            </w:pPr>
            <w:r w:rsidRPr="009252D7">
              <w:rPr>
                <w:color w:val="000000" w:themeColor="text1"/>
              </w:rPr>
              <w:t>(225)</w:t>
            </w:r>
          </w:p>
        </w:tc>
        <w:tc>
          <w:tcPr>
            <w:tcW w:w="670" w:type="pct"/>
          </w:tcPr>
          <w:p w14:paraId="6ACC65C1" w14:textId="77777777" w:rsidR="002D3279" w:rsidRPr="009252D7" w:rsidRDefault="002D3279" w:rsidP="00A42257">
            <w:pPr>
              <w:spacing w:after="160" w:line="360" w:lineRule="auto"/>
              <w:jc w:val="center"/>
              <w:rPr>
                <w:color w:val="000000" w:themeColor="text1"/>
              </w:rPr>
            </w:pPr>
            <w:r w:rsidRPr="009252D7">
              <w:rPr>
                <w:color w:val="000000" w:themeColor="text1"/>
              </w:rPr>
              <w:t>80</w:t>
            </w:r>
          </w:p>
        </w:tc>
        <w:tc>
          <w:tcPr>
            <w:tcW w:w="673" w:type="pct"/>
          </w:tcPr>
          <w:p w14:paraId="3E687A8D" w14:textId="77777777" w:rsidR="002D3279" w:rsidRPr="009252D7" w:rsidRDefault="002D3279" w:rsidP="00A42257">
            <w:pPr>
              <w:spacing w:after="160" w:line="360" w:lineRule="auto"/>
              <w:jc w:val="center"/>
              <w:rPr>
                <w:color w:val="000000" w:themeColor="text1"/>
              </w:rPr>
            </w:pPr>
            <w:r w:rsidRPr="009252D7">
              <w:rPr>
                <w:color w:val="000000" w:themeColor="text1"/>
              </w:rPr>
              <w:t>755.000</w:t>
            </w:r>
          </w:p>
        </w:tc>
        <w:tc>
          <w:tcPr>
            <w:tcW w:w="794" w:type="pct"/>
          </w:tcPr>
          <w:p w14:paraId="49323A2E" w14:textId="77777777" w:rsidR="002D3279" w:rsidRPr="009252D7" w:rsidRDefault="002D3279" w:rsidP="00A42257">
            <w:pPr>
              <w:spacing w:after="160" w:line="360" w:lineRule="auto"/>
              <w:jc w:val="center"/>
              <w:rPr>
                <w:color w:val="000000" w:themeColor="text1"/>
              </w:rPr>
            </w:pPr>
            <w:r w:rsidRPr="009252D7">
              <w:rPr>
                <w:color w:val="000000" w:themeColor="text1"/>
              </w:rPr>
              <w:t>0.840</w:t>
            </w:r>
          </w:p>
        </w:tc>
        <w:tc>
          <w:tcPr>
            <w:tcW w:w="794" w:type="pct"/>
          </w:tcPr>
          <w:p w14:paraId="26EED114" w14:textId="77777777" w:rsidR="002D3279" w:rsidRPr="009252D7" w:rsidRDefault="002D3279" w:rsidP="00A42257">
            <w:pPr>
              <w:spacing w:after="160" w:line="360" w:lineRule="auto"/>
              <w:jc w:val="center"/>
              <w:rPr>
                <w:color w:val="000000" w:themeColor="text1"/>
              </w:rPr>
            </w:pPr>
            <w:r w:rsidRPr="009252D7">
              <w:rPr>
                <w:color w:val="000000" w:themeColor="text1"/>
              </w:rPr>
              <w:t>634.200</w:t>
            </w:r>
          </w:p>
        </w:tc>
      </w:tr>
      <w:tr w:rsidR="002D3279" w:rsidRPr="009252D7" w14:paraId="3C5F78DA" w14:textId="77777777" w:rsidTr="00A42257">
        <w:tc>
          <w:tcPr>
            <w:tcW w:w="406" w:type="pct"/>
          </w:tcPr>
          <w:p w14:paraId="156E49D2" w14:textId="77777777" w:rsidR="002D3279" w:rsidRPr="009252D7" w:rsidRDefault="002D3279" w:rsidP="00A42257">
            <w:pPr>
              <w:spacing w:after="160" w:line="360" w:lineRule="auto"/>
              <w:jc w:val="center"/>
              <w:rPr>
                <w:color w:val="000000" w:themeColor="text1"/>
              </w:rPr>
            </w:pPr>
            <w:r w:rsidRPr="009252D7">
              <w:rPr>
                <w:color w:val="000000" w:themeColor="text1"/>
              </w:rPr>
              <w:t>4</w:t>
            </w:r>
          </w:p>
        </w:tc>
        <w:tc>
          <w:tcPr>
            <w:tcW w:w="994" w:type="pct"/>
          </w:tcPr>
          <w:p w14:paraId="4312A7C6" w14:textId="77777777" w:rsidR="002D3279" w:rsidRPr="009252D7" w:rsidRDefault="002D3279" w:rsidP="00A42257">
            <w:pPr>
              <w:spacing w:after="160" w:line="360" w:lineRule="auto"/>
              <w:jc w:val="center"/>
              <w:rPr>
                <w:color w:val="000000" w:themeColor="text1"/>
              </w:rPr>
            </w:pPr>
            <w:r w:rsidRPr="009252D7">
              <w:rPr>
                <w:color w:val="000000" w:themeColor="text1"/>
              </w:rPr>
              <w:t>1200</w:t>
            </w:r>
          </w:p>
        </w:tc>
        <w:tc>
          <w:tcPr>
            <w:tcW w:w="670" w:type="pct"/>
          </w:tcPr>
          <w:p w14:paraId="3DBB3065" w14:textId="77777777" w:rsidR="002D3279" w:rsidRPr="009252D7" w:rsidRDefault="002D3279" w:rsidP="00A42257">
            <w:pPr>
              <w:spacing w:after="160" w:line="360" w:lineRule="auto"/>
              <w:jc w:val="center"/>
              <w:rPr>
                <w:color w:val="000000" w:themeColor="text1"/>
              </w:rPr>
            </w:pPr>
            <w:r w:rsidRPr="009252D7">
              <w:rPr>
                <w:color w:val="000000" w:themeColor="text1"/>
              </w:rPr>
              <w:t>(300)</w:t>
            </w:r>
          </w:p>
        </w:tc>
        <w:tc>
          <w:tcPr>
            <w:tcW w:w="670" w:type="pct"/>
          </w:tcPr>
          <w:p w14:paraId="513C67E2" w14:textId="77777777" w:rsidR="002D3279" w:rsidRPr="009252D7" w:rsidRDefault="002D3279" w:rsidP="00A42257">
            <w:pPr>
              <w:spacing w:after="160" w:line="360" w:lineRule="auto"/>
              <w:jc w:val="center"/>
              <w:rPr>
                <w:color w:val="000000" w:themeColor="text1"/>
              </w:rPr>
            </w:pPr>
            <w:r w:rsidRPr="009252D7">
              <w:rPr>
                <w:color w:val="000000" w:themeColor="text1"/>
              </w:rPr>
              <w:t>80</w:t>
            </w:r>
          </w:p>
        </w:tc>
        <w:tc>
          <w:tcPr>
            <w:tcW w:w="673" w:type="pct"/>
          </w:tcPr>
          <w:p w14:paraId="156A3719" w14:textId="77777777" w:rsidR="002D3279" w:rsidRPr="009252D7" w:rsidRDefault="002D3279" w:rsidP="00A42257">
            <w:pPr>
              <w:spacing w:after="160" w:line="360" w:lineRule="auto"/>
              <w:jc w:val="center"/>
              <w:rPr>
                <w:color w:val="000000" w:themeColor="text1"/>
              </w:rPr>
            </w:pPr>
            <w:r w:rsidRPr="009252D7">
              <w:rPr>
                <w:color w:val="000000" w:themeColor="text1"/>
              </w:rPr>
              <w:t>980.000</w:t>
            </w:r>
          </w:p>
        </w:tc>
        <w:tc>
          <w:tcPr>
            <w:tcW w:w="794" w:type="pct"/>
          </w:tcPr>
          <w:p w14:paraId="26D08670" w14:textId="77777777" w:rsidR="002D3279" w:rsidRPr="009252D7" w:rsidRDefault="002D3279" w:rsidP="00A42257">
            <w:pPr>
              <w:spacing w:after="160" w:line="360" w:lineRule="auto"/>
              <w:jc w:val="center"/>
              <w:rPr>
                <w:color w:val="000000" w:themeColor="text1"/>
              </w:rPr>
            </w:pPr>
            <w:r w:rsidRPr="009252D7">
              <w:rPr>
                <w:color w:val="000000" w:themeColor="text1"/>
              </w:rPr>
              <w:t>0.792</w:t>
            </w:r>
          </w:p>
        </w:tc>
        <w:tc>
          <w:tcPr>
            <w:tcW w:w="794" w:type="pct"/>
          </w:tcPr>
          <w:p w14:paraId="28C22DB0" w14:textId="77777777" w:rsidR="002D3279" w:rsidRPr="009252D7" w:rsidRDefault="002D3279" w:rsidP="00A42257">
            <w:pPr>
              <w:spacing w:after="160" w:line="360" w:lineRule="auto"/>
              <w:jc w:val="center"/>
              <w:rPr>
                <w:color w:val="000000" w:themeColor="text1"/>
              </w:rPr>
            </w:pPr>
            <w:r w:rsidRPr="009252D7">
              <w:rPr>
                <w:color w:val="000000" w:themeColor="text1"/>
              </w:rPr>
              <w:t>776.160</w:t>
            </w:r>
          </w:p>
        </w:tc>
      </w:tr>
    </w:tbl>
    <w:p w14:paraId="35AC1AB6" w14:textId="77777777" w:rsidR="002D3279" w:rsidRPr="009252D7" w:rsidRDefault="002D3279" w:rsidP="002D3279">
      <w:pPr>
        <w:spacing w:line="360" w:lineRule="auto"/>
        <w:jc w:val="both"/>
        <w:rPr>
          <w:color w:val="000000" w:themeColor="text1"/>
        </w:rPr>
      </w:pPr>
    </w:p>
    <w:p w14:paraId="268997F4" w14:textId="77777777" w:rsidR="002D3279" w:rsidRPr="009252D7" w:rsidRDefault="002D3279" w:rsidP="002D3279">
      <w:pPr>
        <w:spacing w:line="360" w:lineRule="auto"/>
        <w:jc w:val="both"/>
        <w:rPr>
          <w:color w:val="000000" w:themeColor="text1"/>
        </w:rPr>
      </w:pPr>
      <w:r w:rsidRPr="009252D7">
        <w:rPr>
          <w:color w:val="000000" w:themeColor="text1"/>
        </w:rPr>
        <w:t>NPV [Option C]: £742.513</w:t>
      </w:r>
    </w:p>
    <w:p w14:paraId="07972B55" w14:textId="77777777" w:rsidR="002D3279" w:rsidRPr="009252D7" w:rsidRDefault="002D3279" w:rsidP="002D3279">
      <w:pPr>
        <w:spacing w:line="360" w:lineRule="auto"/>
        <w:jc w:val="both"/>
        <w:rPr>
          <w:color w:val="000000" w:themeColor="text1"/>
        </w:rPr>
      </w:pPr>
    </w:p>
    <w:p w14:paraId="4D661E7D" w14:textId="77777777" w:rsidR="002D3279" w:rsidRPr="009252D7" w:rsidRDefault="002D3279" w:rsidP="002D3279">
      <w:pPr>
        <w:pStyle w:val="Heading2"/>
        <w:numPr>
          <w:ilvl w:val="1"/>
          <w:numId w:val="41"/>
        </w:numPr>
        <w:rPr>
          <w:rFonts w:ascii="Times New Roman" w:hAnsi="Times New Roman" w:cs="Times New Roman"/>
          <w:color w:val="000000" w:themeColor="text1"/>
          <w:sz w:val="24"/>
          <w:szCs w:val="24"/>
        </w:rPr>
      </w:pPr>
      <w:bookmarkStart w:id="29" w:name="_Toc218979661"/>
      <w:r w:rsidRPr="009252D7">
        <w:rPr>
          <w:rFonts w:ascii="Times New Roman" w:hAnsi="Times New Roman" w:cs="Times New Roman"/>
          <w:color w:val="000000" w:themeColor="text1"/>
          <w:sz w:val="24"/>
          <w:szCs w:val="24"/>
        </w:rPr>
        <w:t>Recommendation based on Net Present Value Analysis</w:t>
      </w:r>
      <w:bookmarkEnd w:id="29"/>
    </w:p>
    <w:p w14:paraId="61AC8D9B" w14:textId="77777777" w:rsidR="002D3279" w:rsidRPr="009252D7" w:rsidRDefault="002D3279" w:rsidP="002D3279">
      <w:pPr>
        <w:spacing w:line="360" w:lineRule="auto"/>
        <w:jc w:val="both"/>
        <w:rPr>
          <w:color w:val="000000" w:themeColor="text1"/>
        </w:rPr>
      </w:pPr>
      <w:r w:rsidRPr="009252D7">
        <w:rPr>
          <w:color w:val="000000" w:themeColor="text1"/>
        </w:rPr>
        <w:t>All three options display positive NPVs, meaning each alternative would create value for shareholders. However, Option B (Internet Sales Development) returns the highest NPV-£792,245-and is therefore the best financial option of the three. The option strikes the best balance between high returns and reasonable capital investment and thus offers better value creation compared to the other options.</w:t>
      </w:r>
    </w:p>
    <w:p w14:paraId="1B62E957" w14:textId="77777777" w:rsidR="002D3279" w:rsidRPr="009252D7" w:rsidRDefault="002D3279" w:rsidP="002D3279">
      <w:pPr>
        <w:spacing w:line="360" w:lineRule="auto"/>
        <w:jc w:val="both"/>
        <w:rPr>
          <w:color w:val="000000" w:themeColor="text1"/>
        </w:rPr>
      </w:pPr>
    </w:p>
    <w:p w14:paraId="671314AB" w14:textId="3B4601E0" w:rsidR="00BA60EC" w:rsidRPr="00BA60EC" w:rsidRDefault="002D3279" w:rsidP="00BA60EC">
      <w:pPr>
        <w:pStyle w:val="Heading1"/>
        <w:numPr>
          <w:ilvl w:val="0"/>
          <w:numId w:val="41"/>
        </w:numPr>
        <w:rPr>
          <w:rFonts w:ascii="Times New Roman" w:hAnsi="Times New Roman" w:cs="Times New Roman"/>
          <w:b/>
          <w:bCs/>
          <w:color w:val="000000" w:themeColor="text1"/>
          <w:sz w:val="24"/>
          <w:szCs w:val="24"/>
        </w:rPr>
      </w:pPr>
      <w:bookmarkStart w:id="30" w:name="_Toc218979662"/>
      <w:r w:rsidRPr="009252D7">
        <w:rPr>
          <w:rFonts w:ascii="Times New Roman" w:hAnsi="Times New Roman" w:cs="Times New Roman"/>
          <w:b/>
          <w:bCs/>
          <w:color w:val="000000" w:themeColor="text1"/>
          <w:sz w:val="24"/>
          <w:szCs w:val="24"/>
        </w:rPr>
        <w:t>Internal Rate of Return Analysis</w:t>
      </w:r>
      <w:bookmarkEnd w:id="30"/>
    </w:p>
    <w:p w14:paraId="23A9CB5B" w14:textId="77777777" w:rsidR="002D3279" w:rsidRPr="00693527" w:rsidRDefault="002D3279" w:rsidP="002D3279">
      <w:pPr>
        <w:pStyle w:val="Heading2"/>
        <w:rPr>
          <w:rFonts w:ascii="Times New Roman" w:hAnsi="Times New Roman" w:cs="Times New Roman"/>
          <w:color w:val="000000" w:themeColor="text1"/>
          <w:sz w:val="24"/>
          <w:szCs w:val="24"/>
        </w:rPr>
      </w:pPr>
      <w:bookmarkStart w:id="31" w:name="_Toc218979663"/>
      <w:r w:rsidRPr="00693527">
        <w:rPr>
          <w:rFonts w:ascii="Times New Roman" w:hAnsi="Times New Roman" w:cs="Times New Roman"/>
          <w:color w:val="000000" w:themeColor="text1"/>
          <w:sz w:val="24"/>
          <w:szCs w:val="24"/>
        </w:rPr>
        <w:t>3.1 IRR Calculation for Option B</w:t>
      </w:r>
      <w:bookmarkEnd w:id="31"/>
    </w:p>
    <w:p w14:paraId="43EB1755" w14:textId="77777777" w:rsidR="002D3279" w:rsidRPr="009252D7" w:rsidRDefault="002D3279" w:rsidP="002D3279">
      <w:pPr>
        <w:spacing w:line="360" w:lineRule="auto"/>
        <w:jc w:val="both"/>
        <w:rPr>
          <w:color w:val="000000" w:themeColor="text1"/>
        </w:rPr>
      </w:pPr>
      <w:r w:rsidRPr="009252D7">
        <w:rPr>
          <w:color w:val="000000" w:themeColor="text1"/>
        </w:rPr>
        <w:t>The Internal Rate of Return reflects the discount rate at which NPV equals zero, thus capturing the project's break-even rate of return (Drury, 2020). Interpolation between two discount rates at which NPV changes from positive to negative will be used to approximate the IRR for Option B.</w:t>
      </w:r>
    </w:p>
    <w:p w14:paraId="2CEAF757" w14:textId="77777777" w:rsidR="002D3279" w:rsidRPr="009252D7" w:rsidRDefault="002D3279" w:rsidP="002D3279">
      <w:pPr>
        <w:spacing w:line="360" w:lineRule="auto"/>
        <w:jc w:val="both"/>
        <w:rPr>
          <w:color w:val="000000" w:themeColor="text1"/>
        </w:rPr>
      </w:pPr>
      <w:r w:rsidRPr="009252D7">
        <w:rPr>
          <w:color w:val="000000" w:themeColor="text1"/>
        </w:rPr>
        <w:t>At a discount rate of 6%: NPV = £792.245 (positive)</w:t>
      </w:r>
    </w:p>
    <w:p w14:paraId="4D1F87D1" w14:textId="77777777" w:rsidR="002D3279" w:rsidRPr="009252D7" w:rsidRDefault="002D3279" w:rsidP="002D3279">
      <w:pPr>
        <w:spacing w:line="360" w:lineRule="auto"/>
        <w:jc w:val="both"/>
        <w:rPr>
          <w:color w:val="000000" w:themeColor="text1"/>
        </w:rPr>
      </w:pPr>
    </w:p>
    <w:p w14:paraId="4DAA3424" w14:textId="77777777" w:rsidR="002D3279" w:rsidRPr="009252D7" w:rsidRDefault="002D3279" w:rsidP="002D3279">
      <w:pPr>
        <w:spacing w:line="360" w:lineRule="auto"/>
        <w:jc w:val="both"/>
        <w:rPr>
          <w:b/>
          <w:bCs/>
          <w:color w:val="000000" w:themeColor="text1"/>
        </w:rPr>
      </w:pPr>
      <w:r w:rsidRPr="009252D7">
        <w:rPr>
          <w:b/>
          <w:bCs/>
          <w:color w:val="000000" w:themeColor="text1"/>
        </w:rPr>
        <w:lastRenderedPageBreak/>
        <w:t>Testing at 15% Discount Rate:</w:t>
      </w:r>
    </w:p>
    <w:tbl>
      <w:tblPr>
        <w:tblStyle w:val="TableGrid"/>
        <w:tblW w:w="4487" w:type="pct"/>
        <w:tblLook w:val="04A0" w:firstRow="1" w:lastRow="0" w:firstColumn="1" w:lastColumn="0" w:noHBand="0" w:noVBand="1"/>
      </w:tblPr>
      <w:tblGrid>
        <w:gridCol w:w="782"/>
        <w:gridCol w:w="2520"/>
        <w:gridCol w:w="2536"/>
        <w:gridCol w:w="2253"/>
      </w:tblGrid>
      <w:tr w:rsidR="002D3279" w:rsidRPr="009252D7" w14:paraId="5B6572BB" w14:textId="77777777" w:rsidTr="00A42257">
        <w:tc>
          <w:tcPr>
            <w:tcW w:w="483" w:type="pct"/>
            <w:vAlign w:val="center"/>
          </w:tcPr>
          <w:p w14:paraId="159F3367" w14:textId="77777777" w:rsidR="002D3279" w:rsidRPr="009252D7" w:rsidRDefault="002D3279" w:rsidP="00A42257">
            <w:pPr>
              <w:spacing w:line="360" w:lineRule="auto"/>
              <w:jc w:val="center"/>
              <w:rPr>
                <w:color w:val="000000" w:themeColor="text1"/>
              </w:rPr>
            </w:pPr>
            <w:r w:rsidRPr="009252D7">
              <w:rPr>
                <w:color w:val="000000" w:themeColor="text1"/>
              </w:rPr>
              <w:t>Year</w:t>
            </w:r>
          </w:p>
        </w:tc>
        <w:tc>
          <w:tcPr>
            <w:tcW w:w="1557" w:type="pct"/>
            <w:vAlign w:val="center"/>
          </w:tcPr>
          <w:p w14:paraId="1783C698" w14:textId="77777777" w:rsidR="002D3279" w:rsidRPr="009252D7" w:rsidRDefault="002D3279" w:rsidP="00A42257">
            <w:pPr>
              <w:spacing w:line="360" w:lineRule="auto"/>
              <w:jc w:val="center"/>
              <w:rPr>
                <w:color w:val="000000" w:themeColor="text1"/>
              </w:rPr>
            </w:pPr>
            <w:r w:rsidRPr="009252D7">
              <w:rPr>
                <w:color w:val="000000" w:themeColor="text1"/>
              </w:rPr>
              <w:t>Net Cash Flow (£'000)</w:t>
            </w:r>
          </w:p>
        </w:tc>
        <w:tc>
          <w:tcPr>
            <w:tcW w:w="1567" w:type="pct"/>
            <w:vAlign w:val="center"/>
          </w:tcPr>
          <w:p w14:paraId="35667655" w14:textId="77777777" w:rsidR="002D3279" w:rsidRPr="009252D7" w:rsidRDefault="002D3279" w:rsidP="00A42257">
            <w:pPr>
              <w:spacing w:line="360" w:lineRule="auto"/>
              <w:jc w:val="center"/>
              <w:rPr>
                <w:color w:val="000000" w:themeColor="text1"/>
              </w:rPr>
            </w:pPr>
            <w:r w:rsidRPr="009252D7">
              <w:rPr>
                <w:color w:val="000000" w:themeColor="text1"/>
              </w:rPr>
              <w:t>Discount Factor (15%)</w:t>
            </w:r>
          </w:p>
        </w:tc>
        <w:tc>
          <w:tcPr>
            <w:tcW w:w="1392" w:type="pct"/>
            <w:vAlign w:val="center"/>
          </w:tcPr>
          <w:p w14:paraId="36D66ECD" w14:textId="77777777" w:rsidR="002D3279" w:rsidRPr="009252D7" w:rsidRDefault="002D3279" w:rsidP="00A42257">
            <w:pPr>
              <w:spacing w:line="360" w:lineRule="auto"/>
              <w:jc w:val="center"/>
              <w:rPr>
                <w:color w:val="000000" w:themeColor="text1"/>
              </w:rPr>
            </w:pPr>
            <w:r w:rsidRPr="009252D7">
              <w:rPr>
                <w:color w:val="000000" w:themeColor="text1"/>
              </w:rPr>
              <w:t>Present Value (£'000)</w:t>
            </w:r>
          </w:p>
        </w:tc>
      </w:tr>
      <w:tr w:rsidR="002D3279" w:rsidRPr="009252D7" w14:paraId="0DCAA204" w14:textId="77777777" w:rsidTr="00A42257">
        <w:tc>
          <w:tcPr>
            <w:tcW w:w="483" w:type="pct"/>
            <w:vAlign w:val="center"/>
          </w:tcPr>
          <w:p w14:paraId="5DEF5BFB" w14:textId="77777777" w:rsidR="002D3279" w:rsidRPr="009252D7" w:rsidRDefault="002D3279" w:rsidP="00A42257">
            <w:pPr>
              <w:spacing w:line="360" w:lineRule="auto"/>
              <w:jc w:val="center"/>
              <w:rPr>
                <w:color w:val="000000" w:themeColor="text1"/>
              </w:rPr>
            </w:pPr>
            <w:r w:rsidRPr="009252D7">
              <w:rPr>
                <w:color w:val="000000" w:themeColor="text1"/>
              </w:rPr>
              <w:t>0</w:t>
            </w:r>
          </w:p>
        </w:tc>
        <w:tc>
          <w:tcPr>
            <w:tcW w:w="1557" w:type="pct"/>
            <w:vAlign w:val="center"/>
          </w:tcPr>
          <w:p w14:paraId="42A8832D" w14:textId="77777777" w:rsidR="002D3279" w:rsidRPr="009252D7" w:rsidRDefault="002D3279" w:rsidP="00A42257">
            <w:pPr>
              <w:spacing w:line="360" w:lineRule="auto"/>
              <w:jc w:val="center"/>
              <w:rPr>
                <w:color w:val="000000" w:themeColor="text1"/>
              </w:rPr>
            </w:pPr>
            <w:r w:rsidRPr="009252D7">
              <w:rPr>
                <w:color w:val="000000" w:themeColor="text1"/>
              </w:rPr>
              <w:t>(1,000.000)</w:t>
            </w:r>
          </w:p>
        </w:tc>
        <w:tc>
          <w:tcPr>
            <w:tcW w:w="1567" w:type="pct"/>
            <w:vAlign w:val="center"/>
          </w:tcPr>
          <w:p w14:paraId="55BD2AC4" w14:textId="77777777" w:rsidR="002D3279" w:rsidRPr="009252D7" w:rsidRDefault="002D3279" w:rsidP="00A42257">
            <w:pPr>
              <w:spacing w:line="360" w:lineRule="auto"/>
              <w:jc w:val="center"/>
              <w:rPr>
                <w:color w:val="000000" w:themeColor="text1"/>
              </w:rPr>
            </w:pPr>
            <w:r w:rsidRPr="009252D7">
              <w:rPr>
                <w:color w:val="000000" w:themeColor="text1"/>
              </w:rPr>
              <w:t>1.000</w:t>
            </w:r>
          </w:p>
        </w:tc>
        <w:tc>
          <w:tcPr>
            <w:tcW w:w="1392" w:type="pct"/>
            <w:vAlign w:val="center"/>
          </w:tcPr>
          <w:p w14:paraId="551E7DBD" w14:textId="77777777" w:rsidR="002D3279" w:rsidRPr="009252D7" w:rsidRDefault="002D3279" w:rsidP="00A42257">
            <w:pPr>
              <w:spacing w:line="360" w:lineRule="auto"/>
              <w:jc w:val="center"/>
              <w:rPr>
                <w:color w:val="000000" w:themeColor="text1"/>
              </w:rPr>
            </w:pPr>
            <w:r w:rsidRPr="009252D7">
              <w:rPr>
                <w:color w:val="000000" w:themeColor="text1"/>
              </w:rPr>
              <w:t>(1,000.000)</w:t>
            </w:r>
          </w:p>
        </w:tc>
      </w:tr>
      <w:tr w:rsidR="002D3279" w:rsidRPr="009252D7" w14:paraId="3F6801E1" w14:textId="77777777" w:rsidTr="00A42257">
        <w:tc>
          <w:tcPr>
            <w:tcW w:w="483" w:type="pct"/>
            <w:vAlign w:val="center"/>
          </w:tcPr>
          <w:p w14:paraId="31B62B93" w14:textId="77777777" w:rsidR="002D3279" w:rsidRPr="009252D7" w:rsidRDefault="002D3279" w:rsidP="00A42257">
            <w:pPr>
              <w:spacing w:line="360" w:lineRule="auto"/>
              <w:jc w:val="center"/>
              <w:rPr>
                <w:color w:val="000000" w:themeColor="text1"/>
              </w:rPr>
            </w:pPr>
            <w:r w:rsidRPr="009252D7">
              <w:rPr>
                <w:color w:val="000000" w:themeColor="text1"/>
              </w:rPr>
              <w:t>1</w:t>
            </w:r>
          </w:p>
        </w:tc>
        <w:tc>
          <w:tcPr>
            <w:tcW w:w="1557" w:type="pct"/>
            <w:vAlign w:val="center"/>
          </w:tcPr>
          <w:p w14:paraId="34B2821E" w14:textId="77777777" w:rsidR="002D3279" w:rsidRPr="009252D7" w:rsidRDefault="002D3279" w:rsidP="00A42257">
            <w:pPr>
              <w:spacing w:line="360" w:lineRule="auto"/>
              <w:jc w:val="center"/>
              <w:rPr>
                <w:color w:val="000000" w:themeColor="text1"/>
              </w:rPr>
            </w:pPr>
            <w:r w:rsidRPr="009252D7">
              <w:rPr>
                <w:color w:val="000000" w:themeColor="text1"/>
              </w:rPr>
              <w:t>350.000</w:t>
            </w:r>
          </w:p>
        </w:tc>
        <w:tc>
          <w:tcPr>
            <w:tcW w:w="1567" w:type="pct"/>
            <w:vAlign w:val="center"/>
          </w:tcPr>
          <w:p w14:paraId="3F3678F6" w14:textId="77777777" w:rsidR="002D3279" w:rsidRPr="009252D7" w:rsidRDefault="002D3279" w:rsidP="00A42257">
            <w:pPr>
              <w:spacing w:line="360" w:lineRule="auto"/>
              <w:jc w:val="center"/>
              <w:rPr>
                <w:color w:val="000000" w:themeColor="text1"/>
              </w:rPr>
            </w:pPr>
            <w:r w:rsidRPr="009252D7">
              <w:rPr>
                <w:color w:val="000000" w:themeColor="text1"/>
              </w:rPr>
              <w:t>0.870</w:t>
            </w:r>
          </w:p>
        </w:tc>
        <w:tc>
          <w:tcPr>
            <w:tcW w:w="1392" w:type="pct"/>
            <w:vAlign w:val="center"/>
          </w:tcPr>
          <w:p w14:paraId="27CB5AD2" w14:textId="77777777" w:rsidR="002D3279" w:rsidRPr="009252D7" w:rsidRDefault="002D3279" w:rsidP="00A42257">
            <w:pPr>
              <w:spacing w:line="360" w:lineRule="auto"/>
              <w:jc w:val="center"/>
              <w:rPr>
                <w:color w:val="000000" w:themeColor="text1"/>
              </w:rPr>
            </w:pPr>
            <w:r w:rsidRPr="009252D7">
              <w:rPr>
                <w:color w:val="000000" w:themeColor="text1"/>
              </w:rPr>
              <w:t>304.500</w:t>
            </w:r>
          </w:p>
        </w:tc>
      </w:tr>
      <w:tr w:rsidR="002D3279" w:rsidRPr="009252D7" w14:paraId="27222C5D" w14:textId="77777777" w:rsidTr="00A42257">
        <w:tc>
          <w:tcPr>
            <w:tcW w:w="483" w:type="pct"/>
            <w:vAlign w:val="center"/>
          </w:tcPr>
          <w:p w14:paraId="141CFB8B" w14:textId="77777777" w:rsidR="002D3279" w:rsidRPr="009252D7" w:rsidRDefault="002D3279" w:rsidP="00A42257">
            <w:pPr>
              <w:spacing w:line="360" w:lineRule="auto"/>
              <w:jc w:val="center"/>
              <w:rPr>
                <w:color w:val="000000" w:themeColor="text1"/>
              </w:rPr>
            </w:pPr>
            <w:r w:rsidRPr="009252D7">
              <w:rPr>
                <w:color w:val="000000" w:themeColor="text1"/>
              </w:rPr>
              <w:t>2</w:t>
            </w:r>
          </w:p>
        </w:tc>
        <w:tc>
          <w:tcPr>
            <w:tcW w:w="1557" w:type="pct"/>
            <w:vAlign w:val="center"/>
          </w:tcPr>
          <w:p w14:paraId="36EABF11" w14:textId="77777777" w:rsidR="002D3279" w:rsidRPr="009252D7" w:rsidRDefault="002D3279" w:rsidP="00A42257">
            <w:pPr>
              <w:spacing w:line="360" w:lineRule="auto"/>
              <w:jc w:val="center"/>
              <w:rPr>
                <w:color w:val="000000" w:themeColor="text1"/>
              </w:rPr>
            </w:pPr>
            <w:r w:rsidRPr="009252D7">
              <w:rPr>
                <w:color w:val="000000" w:themeColor="text1"/>
              </w:rPr>
              <w:t>387.500</w:t>
            </w:r>
          </w:p>
        </w:tc>
        <w:tc>
          <w:tcPr>
            <w:tcW w:w="1567" w:type="pct"/>
            <w:vAlign w:val="center"/>
          </w:tcPr>
          <w:p w14:paraId="66B0B229" w14:textId="77777777" w:rsidR="002D3279" w:rsidRPr="009252D7" w:rsidRDefault="002D3279" w:rsidP="00A42257">
            <w:pPr>
              <w:spacing w:line="360" w:lineRule="auto"/>
              <w:jc w:val="center"/>
              <w:rPr>
                <w:color w:val="000000" w:themeColor="text1"/>
              </w:rPr>
            </w:pPr>
            <w:r w:rsidRPr="009252D7">
              <w:rPr>
                <w:color w:val="000000" w:themeColor="text1"/>
              </w:rPr>
              <w:t>0.756</w:t>
            </w:r>
          </w:p>
        </w:tc>
        <w:tc>
          <w:tcPr>
            <w:tcW w:w="1392" w:type="pct"/>
            <w:vAlign w:val="center"/>
          </w:tcPr>
          <w:p w14:paraId="23AFB792" w14:textId="77777777" w:rsidR="002D3279" w:rsidRPr="009252D7" w:rsidRDefault="002D3279" w:rsidP="00A42257">
            <w:pPr>
              <w:spacing w:line="360" w:lineRule="auto"/>
              <w:jc w:val="center"/>
              <w:rPr>
                <w:color w:val="000000" w:themeColor="text1"/>
              </w:rPr>
            </w:pPr>
            <w:r w:rsidRPr="009252D7">
              <w:rPr>
                <w:color w:val="000000" w:themeColor="text1"/>
              </w:rPr>
              <w:t>292.950</w:t>
            </w:r>
          </w:p>
        </w:tc>
      </w:tr>
      <w:tr w:rsidR="002D3279" w:rsidRPr="009252D7" w14:paraId="0CCBE131" w14:textId="77777777" w:rsidTr="00A42257">
        <w:tc>
          <w:tcPr>
            <w:tcW w:w="483" w:type="pct"/>
            <w:vAlign w:val="center"/>
          </w:tcPr>
          <w:p w14:paraId="650CBAD5" w14:textId="77777777" w:rsidR="002D3279" w:rsidRPr="009252D7" w:rsidRDefault="002D3279" w:rsidP="00A42257">
            <w:pPr>
              <w:spacing w:line="360" w:lineRule="auto"/>
              <w:jc w:val="center"/>
              <w:rPr>
                <w:color w:val="000000" w:themeColor="text1"/>
              </w:rPr>
            </w:pPr>
            <w:r w:rsidRPr="009252D7">
              <w:rPr>
                <w:color w:val="000000" w:themeColor="text1"/>
              </w:rPr>
              <w:t>3</w:t>
            </w:r>
          </w:p>
        </w:tc>
        <w:tc>
          <w:tcPr>
            <w:tcW w:w="1557" w:type="pct"/>
            <w:vAlign w:val="center"/>
          </w:tcPr>
          <w:p w14:paraId="34686F6C" w14:textId="77777777" w:rsidR="002D3279" w:rsidRPr="009252D7" w:rsidRDefault="002D3279" w:rsidP="00A42257">
            <w:pPr>
              <w:spacing w:line="360" w:lineRule="auto"/>
              <w:jc w:val="center"/>
              <w:rPr>
                <w:color w:val="000000" w:themeColor="text1"/>
              </w:rPr>
            </w:pPr>
            <w:r w:rsidRPr="009252D7">
              <w:rPr>
                <w:color w:val="000000" w:themeColor="text1"/>
              </w:rPr>
              <w:t>590.000</w:t>
            </w:r>
          </w:p>
        </w:tc>
        <w:tc>
          <w:tcPr>
            <w:tcW w:w="1567" w:type="pct"/>
            <w:vAlign w:val="center"/>
          </w:tcPr>
          <w:p w14:paraId="2587473F" w14:textId="77777777" w:rsidR="002D3279" w:rsidRPr="009252D7" w:rsidRDefault="002D3279" w:rsidP="00A42257">
            <w:pPr>
              <w:spacing w:line="360" w:lineRule="auto"/>
              <w:jc w:val="center"/>
              <w:rPr>
                <w:color w:val="000000" w:themeColor="text1"/>
              </w:rPr>
            </w:pPr>
            <w:r w:rsidRPr="009252D7">
              <w:rPr>
                <w:color w:val="000000" w:themeColor="text1"/>
              </w:rPr>
              <w:t>0.658</w:t>
            </w:r>
          </w:p>
        </w:tc>
        <w:tc>
          <w:tcPr>
            <w:tcW w:w="1392" w:type="pct"/>
            <w:vAlign w:val="center"/>
          </w:tcPr>
          <w:p w14:paraId="51C4FA87" w14:textId="77777777" w:rsidR="002D3279" w:rsidRPr="009252D7" w:rsidRDefault="002D3279" w:rsidP="00A42257">
            <w:pPr>
              <w:spacing w:line="360" w:lineRule="auto"/>
              <w:jc w:val="center"/>
              <w:rPr>
                <w:color w:val="000000" w:themeColor="text1"/>
              </w:rPr>
            </w:pPr>
            <w:r w:rsidRPr="009252D7">
              <w:rPr>
                <w:color w:val="000000" w:themeColor="text1"/>
              </w:rPr>
              <w:t>388.220</w:t>
            </w:r>
          </w:p>
        </w:tc>
      </w:tr>
      <w:tr w:rsidR="002D3279" w:rsidRPr="009252D7" w14:paraId="44EECF57" w14:textId="77777777" w:rsidTr="00A42257">
        <w:tc>
          <w:tcPr>
            <w:tcW w:w="483" w:type="pct"/>
            <w:vAlign w:val="center"/>
          </w:tcPr>
          <w:p w14:paraId="048AC79B" w14:textId="77777777" w:rsidR="002D3279" w:rsidRPr="009252D7" w:rsidRDefault="002D3279" w:rsidP="00A42257">
            <w:pPr>
              <w:spacing w:line="360" w:lineRule="auto"/>
              <w:jc w:val="center"/>
              <w:rPr>
                <w:color w:val="000000" w:themeColor="text1"/>
              </w:rPr>
            </w:pPr>
            <w:r w:rsidRPr="009252D7">
              <w:rPr>
                <w:color w:val="000000" w:themeColor="text1"/>
              </w:rPr>
              <w:t>4</w:t>
            </w:r>
          </w:p>
        </w:tc>
        <w:tc>
          <w:tcPr>
            <w:tcW w:w="1557" w:type="pct"/>
            <w:vAlign w:val="center"/>
          </w:tcPr>
          <w:p w14:paraId="5B183EA1" w14:textId="77777777" w:rsidR="002D3279" w:rsidRPr="009252D7" w:rsidRDefault="002D3279" w:rsidP="00A42257">
            <w:pPr>
              <w:spacing w:line="360" w:lineRule="auto"/>
              <w:jc w:val="center"/>
              <w:rPr>
                <w:color w:val="000000" w:themeColor="text1"/>
              </w:rPr>
            </w:pPr>
            <w:r w:rsidRPr="009252D7">
              <w:rPr>
                <w:color w:val="000000" w:themeColor="text1"/>
              </w:rPr>
              <w:t>785.000</w:t>
            </w:r>
          </w:p>
        </w:tc>
        <w:tc>
          <w:tcPr>
            <w:tcW w:w="1567" w:type="pct"/>
            <w:vAlign w:val="center"/>
          </w:tcPr>
          <w:p w14:paraId="4C277E9B" w14:textId="77777777" w:rsidR="002D3279" w:rsidRPr="009252D7" w:rsidRDefault="002D3279" w:rsidP="00A42257">
            <w:pPr>
              <w:spacing w:line="360" w:lineRule="auto"/>
              <w:jc w:val="center"/>
              <w:rPr>
                <w:color w:val="000000" w:themeColor="text1"/>
              </w:rPr>
            </w:pPr>
            <w:r w:rsidRPr="009252D7">
              <w:rPr>
                <w:color w:val="000000" w:themeColor="text1"/>
              </w:rPr>
              <w:t>0.572</w:t>
            </w:r>
          </w:p>
        </w:tc>
        <w:tc>
          <w:tcPr>
            <w:tcW w:w="1392" w:type="pct"/>
            <w:vAlign w:val="center"/>
          </w:tcPr>
          <w:p w14:paraId="2230CB2A" w14:textId="77777777" w:rsidR="002D3279" w:rsidRPr="009252D7" w:rsidRDefault="002D3279" w:rsidP="00A42257">
            <w:pPr>
              <w:spacing w:line="360" w:lineRule="auto"/>
              <w:jc w:val="center"/>
              <w:rPr>
                <w:color w:val="000000" w:themeColor="text1"/>
              </w:rPr>
            </w:pPr>
            <w:r w:rsidRPr="009252D7">
              <w:rPr>
                <w:color w:val="000000" w:themeColor="text1"/>
              </w:rPr>
              <w:t>449.020</w:t>
            </w:r>
          </w:p>
        </w:tc>
      </w:tr>
    </w:tbl>
    <w:p w14:paraId="18952894" w14:textId="77777777" w:rsidR="002D3279" w:rsidRPr="009252D7" w:rsidRDefault="002D3279" w:rsidP="002D3279">
      <w:pPr>
        <w:spacing w:line="360" w:lineRule="auto"/>
        <w:jc w:val="both"/>
        <w:rPr>
          <w:color w:val="000000" w:themeColor="text1"/>
        </w:rPr>
      </w:pPr>
    </w:p>
    <w:p w14:paraId="2D4285CA" w14:textId="77777777" w:rsidR="002D3279" w:rsidRPr="009252D7" w:rsidRDefault="002D3279" w:rsidP="002D3279">
      <w:pPr>
        <w:spacing w:line="360" w:lineRule="auto"/>
        <w:jc w:val="both"/>
        <w:rPr>
          <w:color w:val="000000" w:themeColor="text1"/>
        </w:rPr>
      </w:pPr>
      <w:r w:rsidRPr="009252D7">
        <w:rPr>
          <w:color w:val="000000" w:themeColor="text1"/>
        </w:rPr>
        <w:t xml:space="preserve">NPV at 15% = </w:t>
      </w:r>
      <w:r w:rsidRPr="009252D7">
        <w:rPr>
          <w:b/>
          <w:bCs/>
          <w:color w:val="000000" w:themeColor="text1"/>
        </w:rPr>
        <w:t>£434.690</w:t>
      </w:r>
      <w:r w:rsidRPr="009252D7">
        <w:rPr>
          <w:color w:val="000000" w:themeColor="text1"/>
        </w:rPr>
        <w:t xml:space="preserve"> (still positive)</w:t>
      </w:r>
    </w:p>
    <w:p w14:paraId="40B98CE5" w14:textId="09EA5A4A" w:rsidR="002D3279" w:rsidRPr="009252D7" w:rsidRDefault="002D3279" w:rsidP="002D3279">
      <w:pPr>
        <w:spacing w:line="360" w:lineRule="auto"/>
        <w:jc w:val="both"/>
        <w:rPr>
          <w:b/>
          <w:bCs/>
          <w:color w:val="000000" w:themeColor="text1"/>
        </w:rPr>
      </w:pPr>
      <w:r w:rsidRPr="009252D7">
        <w:rPr>
          <w:b/>
          <w:bCs/>
          <w:color w:val="000000" w:themeColor="text1"/>
        </w:rPr>
        <w:t>Testing at 25% Discount Rate:</w:t>
      </w:r>
    </w:p>
    <w:tbl>
      <w:tblPr>
        <w:tblStyle w:val="TableGrid"/>
        <w:tblW w:w="4487" w:type="pct"/>
        <w:tblLook w:val="04A0" w:firstRow="1" w:lastRow="0" w:firstColumn="1" w:lastColumn="0" w:noHBand="0" w:noVBand="1"/>
      </w:tblPr>
      <w:tblGrid>
        <w:gridCol w:w="782"/>
        <w:gridCol w:w="2520"/>
        <w:gridCol w:w="2536"/>
        <w:gridCol w:w="2253"/>
      </w:tblGrid>
      <w:tr w:rsidR="002D3279" w:rsidRPr="009252D7" w14:paraId="5F72FBEE" w14:textId="77777777" w:rsidTr="00A42257">
        <w:tc>
          <w:tcPr>
            <w:tcW w:w="483" w:type="pct"/>
            <w:vAlign w:val="center"/>
          </w:tcPr>
          <w:p w14:paraId="295F1737" w14:textId="77777777" w:rsidR="002D3279" w:rsidRPr="009252D7" w:rsidRDefault="002D3279" w:rsidP="00A42257">
            <w:pPr>
              <w:spacing w:after="160" w:line="360" w:lineRule="auto"/>
              <w:jc w:val="center"/>
              <w:rPr>
                <w:color w:val="000000" w:themeColor="text1"/>
              </w:rPr>
            </w:pPr>
            <w:r w:rsidRPr="009252D7">
              <w:rPr>
                <w:color w:val="000000" w:themeColor="text1"/>
              </w:rPr>
              <w:t>Year</w:t>
            </w:r>
          </w:p>
        </w:tc>
        <w:tc>
          <w:tcPr>
            <w:tcW w:w="1557" w:type="pct"/>
            <w:vAlign w:val="center"/>
          </w:tcPr>
          <w:p w14:paraId="400A73A5" w14:textId="77777777" w:rsidR="002D3279" w:rsidRPr="009252D7" w:rsidRDefault="002D3279" w:rsidP="00A42257">
            <w:pPr>
              <w:spacing w:after="160" w:line="360" w:lineRule="auto"/>
              <w:jc w:val="center"/>
              <w:rPr>
                <w:color w:val="000000" w:themeColor="text1"/>
              </w:rPr>
            </w:pPr>
            <w:r w:rsidRPr="009252D7">
              <w:rPr>
                <w:color w:val="000000" w:themeColor="text1"/>
              </w:rPr>
              <w:t>Net Cash Flow (£'000)</w:t>
            </w:r>
          </w:p>
        </w:tc>
        <w:tc>
          <w:tcPr>
            <w:tcW w:w="1567" w:type="pct"/>
            <w:vAlign w:val="center"/>
          </w:tcPr>
          <w:p w14:paraId="6C035289" w14:textId="77777777" w:rsidR="002D3279" w:rsidRPr="009252D7" w:rsidRDefault="002D3279" w:rsidP="00A42257">
            <w:pPr>
              <w:spacing w:after="160" w:line="360" w:lineRule="auto"/>
              <w:jc w:val="center"/>
              <w:rPr>
                <w:color w:val="000000" w:themeColor="text1"/>
              </w:rPr>
            </w:pPr>
            <w:r w:rsidRPr="009252D7">
              <w:rPr>
                <w:color w:val="000000" w:themeColor="text1"/>
              </w:rPr>
              <w:t>Discount Factor (25%)</w:t>
            </w:r>
          </w:p>
        </w:tc>
        <w:tc>
          <w:tcPr>
            <w:tcW w:w="1392" w:type="pct"/>
            <w:vAlign w:val="center"/>
          </w:tcPr>
          <w:p w14:paraId="56824A8E" w14:textId="77777777" w:rsidR="002D3279" w:rsidRPr="009252D7" w:rsidRDefault="002D3279" w:rsidP="00A42257">
            <w:pPr>
              <w:spacing w:after="160" w:line="360" w:lineRule="auto"/>
              <w:jc w:val="center"/>
              <w:rPr>
                <w:color w:val="000000" w:themeColor="text1"/>
              </w:rPr>
            </w:pPr>
            <w:r w:rsidRPr="009252D7">
              <w:rPr>
                <w:color w:val="000000" w:themeColor="text1"/>
              </w:rPr>
              <w:t>Present Value (£'000)</w:t>
            </w:r>
          </w:p>
        </w:tc>
      </w:tr>
      <w:tr w:rsidR="002D3279" w:rsidRPr="009252D7" w14:paraId="6A7E0A45" w14:textId="77777777" w:rsidTr="00A42257">
        <w:tc>
          <w:tcPr>
            <w:tcW w:w="483" w:type="pct"/>
            <w:vAlign w:val="center"/>
          </w:tcPr>
          <w:p w14:paraId="5937CB33"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1557" w:type="pct"/>
            <w:vAlign w:val="center"/>
          </w:tcPr>
          <w:p w14:paraId="4C7B5964" w14:textId="77777777" w:rsidR="002D3279" w:rsidRPr="009252D7" w:rsidRDefault="002D3279" w:rsidP="00A42257">
            <w:pPr>
              <w:spacing w:after="160" w:line="360" w:lineRule="auto"/>
              <w:jc w:val="center"/>
              <w:rPr>
                <w:color w:val="000000" w:themeColor="text1"/>
              </w:rPr>
            </w:pPr>
            <w:r w:rsidRPr="009252D7">
              <w:rPr>
                <w:color w:val="000000" w:themeColor="text1"/>
              </w:rPr>
              <w:t>(1,000.000)</w:t>
            </w:r>
          </w:p>
        </w:tc>
        <w:tc>
          <w:tcPr>
            <w:tcW w:w="1567" w:type="pct"/>
            <w:vAlign w:val="center"/>
          </w:tcPr>
          <w:p w14:paraId="33212074" w14:textId="77777777" w:rsidR="002D3279" w:rsidRPr="009252D7" w:rsidRDefault="002D3279" w:rsidP="00A42257">
            <w:pPr>
              <w:spacing w:after="160" w:line="360" w:lineRule="auto"/>
              <w:jc w:val="center"/>
              <w:rPr>
                <w:color w:val="000000" w:themeColor="text1"/>
              </w:rPr>
            </w:pPr>
            <w:r w:rsidRPr="009252D7">
              <w:rPr>
                <w:color w:val="000000" w:themeColor="text1"/>
              </w:rPr>
              <w:t>1.000</w:t>
            </w:r>
          </w:p>
        </w:tc>
        <w:tc>
          <w:tcPr>
            <w:tcW w:w="1392" w:type="pct"/>
            <w:vAlign w:val="center"/>
          </w:tcPr>
          <w:p w14:paraId="18E6D4CA" w14:textId="77777777" w:rsidR="002D3279" w:rsidRPr="009252D7" w:rsidRDefault="002D3279" w:rsidP="00A42257">
            <w:pPr>
              <w:spacing w:after="160" w:line="360" w:lineRule="auto"/>
              <w:jc w:val="center"/>
              <w:rPr>
                <w:color w:val="000000" w:themeColor="text1"/>
              </w:rPr>
            </w:pPr>
            <w:r w:rsidRPr="009252D7">
              <w:rPr>
                <w:color w:val="000000" w:themeColor="text1"/>
              </w:rPr>
              <w:t>(1,000.000)</w:t>
            </w:r>
          </w:p>
        </w:tc>
      </w:tr>
      <w:tr w:rsidR="002D3279" w:rsidRPr="009252D7" w14:paraId="54E0C228" w14:textId="77777777" w:rsidTr="00A42257">
        <w:tc>
          <w:tcPr>
            <w:tcW w:w="483" w:type="pct"/>
            <w:vAlign w:val="center"/>
          </w:tcPr>
          <w:p w14:paraId="005CDE73" w14:textId="77777777" w:rsidR="002D3279" w:rsidRPr="009252D7" w:rsidRDefault="002D3279" w:rsidP="00A42257">
            <w:pPr>
              <w:spacing w:after="160" w:line="360" w:lineRule="auto"/>
              <w:jc w:val="center"/>
              <w:rPr>
                <w:color w:val="000000" w:themeColor="text1"/>
              </w:rPr>
            </w:pPr>
            <w:r w:rsidRPr="009252D7">
              <w:rPr>
                <w:color w:val="000000" w:themeColor="text1"/>
              </w:rPr>
              <w:t>1</w:t>
            </w:r>
          </w:p>
        </w:tc>
        <w:tc>
          <w:tcPr>
            <w:tcW w:w="1557" w:type="pct"/>
            <w:vAlign w:val="center"/>
          </w:tcPr>
          <w:p w14:paraId="05CE8C0A" w14:textId="77777777" w:rsidR="002D3279" w:rsidRPr="009252D7" w:rsidRDefault="002D3279" w:rsidP="00A42257">
            <w:pPr>
              <w:spacing w:after="160" w:line="360" w:lineRule="auto"/>
              <w:jc w:val="center"/>
              <w:rPr>
                <w:color w:val="000000" w:themeColor="text1"/>
              </w:rPr>
            </w:pPr>
            <w:r w:rsidRPr="009252D7">
              <w:rPr>
                <w:color w:val="000000" w:themeColor="text1"/>
              </w:rPr>
              <w:t>350.000</w:t>
            </w:r>
          </w:p>
        </w:tc>
        <w:tc>
          <w:tcPr>
            <w:tcW w:w="1567" w:type="pct"/>
            <w:vAlign w:val="center"/>
          </w:tcPr>
          <w:p w14:paraId="5FDF2031" w14:textId="77777777" w:rsidR="002D3279" w:rsidRPr="009252D7" w:rsidRDefault="002D3279" w:rsidP="00A42257">
            <w:pPr>
              <w:spacing w:after="160" w:line="360" w:lineRule="auto"/>
              <w:jc w:val="center"/>
              <w:rPr>
                <w:color w:val="000000" w:themeColor="text1"/>
              </w:rPr>
            </w:pPr>
            <w:r w:rsidRPr="009252D7">
              <w:rPr>
                <w:color w:val="000000" w:themeColor="text1"/>
              </w:rPr>
              <w:t>0.800</w:t>
            </w:r>
          </w:p>
        </w:tc>
        <w:tc>
          <w:tcPr>
            <w:tcW w:w="1392" w:type="pct"/>
            <w:vAlign w:val="center"/>
          </w:tcPr>
          <w:p w14:paraId="0DE2E7BC" w14:textId="77777777" w:rsidR="002D3279" w:rsidRPr="009252D7" w:rsidRDefault="002D3279" w:rsidP="00A42257">
            <w:pPr>
              <w:spacing w:after="160" w:line="360" w:lineRule="auto"/>
              <w:jc w:val="center"/>
              <w:rPr>
                <w:color w:val="000000" w:themeColor="text1"/>
              </w:rPr>
            </w:pPr>
            <w:r w:rsidRPr="009252D7">
              <w:rPr>
                <w:color w:val="000000" w:themeColor="text1"/>
              </w:rPr>
              <w:t>280.000</w:t>
            </w:r>
          </w:p>
        </w:tc>
      </w:tr>
      <w:tr w:rsidR="002D3279" w:rsidRPr="009252D7" w14:paraId="19050812" w14:textId="77777777" w:rsidTr="00A42257">
        <w:tc>
          <w:tcPr>
            <w:tcW w:w="483" w:type="pct"/>
            <w:vAlign w:val="center"/>
          </w:tcPr>
          <w:p w14:paraId="4D854E79" w14:textId="77777777" w:rsidR="002D3279" w:rsidRPr="009252D7" w:rsidRDefault="002D3279" w:rsidP="00A42257">
            <w:pPr>
              <w:spacing w:after="160" w:line="360" w:lineRule="auto"/>
              <w:jc w:val="center"/>
              <w:rPr>
                <w:color w:val="000000" w:themeColor="text1"/>
              </w:rPr>
            </w:pPr>
            <w:r w:rsidRPr="009252D7">
              <w:rPr>
                <w:color w:val="000000" w:themeColor="text1"/>
              </w:rPr>
              <w:t>2</w:t>
            </w:r>
          </w:p>
        </w:tc>
        <w:tc>
          <w:tcPr>
            <w:tcW w:w="1557" w:type="pct"/>
            <w:vAlign w:val="center"/>
          </w:tcPr>
          <w:p w14:paraId="0E205EE9" w14:textId="77777777" w:rsidR="002D3279" w:rsidRPr="009252D7" w:rsidRDefault="002D3279" w:rsidP="00A42257">
            <w:pPr>
              <w:spacing w:after="160" w:line="360" w:lineRule="auto"/>
              <w:jc w:val="center"/>
              <w:rPr>
                <w:color w:val="000000" w:themeColor="text1"/>
              </w:rPr>
            </w:pPr>
            <w:r w:rsidRPr="009252D7">
              <w:rPr>
                <w:color w:val="000000" w:themeColor="text1"/>
              </w:rPr>
              <w:t>387.500</w:t>
            </w:r>
          </w:p>
        </w:tc>
        <w:tc>
          <w:tcPr>
            <w:tcW w:w="1567" w:type="pct"/>
            <w:vAlign w:val="center"/>
          </w:tcPr>
          <w:p w14:paraId="0AE5DA27" w14:textId="77777777" w:rsidR="002D3279" w:rsidRPr="009252D7" w:rsidRDefault="002D3279" w:rsidP="00A42257">
            <w:pPr>
              <w:spacing w:after="160" w:line="360" w:lineRule="auto"/>
              <w:jc w:val="center"/>
              <w:rPr>
                <w:color w:val="000000" w:themeColor="text1"/>
              </w:rPr>
            </w:pPr>
            <w:r w:rsidRPr="009252D7">
              <w:rPr>
                <w:color w:val="000000" w:themeColor="text1"/>
              </w:rPr>
              <w:t>0.640</w:t>
            </w:r>
          </w:p>
        </w:tc>
        <w:tc>
          <w:tcPr>
            <w:tcW w:w="1392" w:type="pct"/>
            <w:vAlign w:val="center"/>
          </w:tcPr>
          <w:p w14:paraId="2EEEC4EA" w14:textId="77777777" w:rsidR="002D3279" w:rsidRPr="009252D7" w:rsidRDefault="002D3279" w:rsidP="00A42257">
            <w:pPr>
              <w:spacing w:after="160" w:line="360" w:lineRule="auto"/>
              <w:jc w:val="center"/>
              <w:rPr>
                <w:color w:val="000000" w:themeColor="text1"/>
              </w:rPr>
            </w:pPr>
            <w:r w:rsidRPr="009252D7">
              <w:rPr>
                <w:color w:val="000000" w:themeColor="text1"/>
              </w:rPr>
              <w:t>248.000</w:t>
            </w:r>
          </w:p>
        </w:tc>
      </w:tr>
      <w:tr w:rsidR="002D3279" w:rsidRPr="009252D7" w14:paraId="4F15D63B" w14:textId="77777777" w:rsidTr="00A42257">
        <w:tc>
          <w:tcPr>
            <w:tcW w:w="483" w:type="pct"/>
            <w:vAlign w:val="center"/>
          </w:tcPr>
          <w:p w14:paraId="711363D1" w14:textId="77777777" w:rsidR="002D3279" w:rsidRPr="009252D7" w:rsidRDefault="002D3279" w:rsidP="00A42257">
            <w:pPr>
              <w:spacing w:after="160" w:line="360" w:lineRule="auto"/>
              <w:jc w:val="center"/>
              <w:rPr>
                <w:color w:val="000000" w:themeColor="text1"/>
              </w:rPr>
            </w:pPr>
            <w:r w:rsidRPr="009252D7">
              <w:rPr>
                <w:color w:val="000000" w:themeColor="text1"/>
              </w:rPr>
              <w:t>3</w:t>
            </w:r>
          </w:p>
        </w:tc>
        <w:tc>
          <w:tcPr>
            <w:tcW w:w="1557" w:type="pct"/>
            <w:vAlign w:val="center"/>
          </w:tcPr>
          <w:p w14:paraId="0FE93B7F" w14:textId="77777777" w:rsidR="002D3279" w:rsidRPr="009252D7" w:rsidRDefault="002D3279" w:rsidP="00A42257">
            <w:pPr>
              <w:spacing w:after="160" w:line="360" w:lineRule="auto"/>
              <w:jc w:val="center"/>
              <w:rPr>
                <w:color w:val="000000" w:themeColor="text1"/>
              </w:rPr>
            </w:pPr>
            <w:r w:rsidRPr="009252D7">
              <w:rPr>
                <w:color w:val="000000" w:themeColor="text1"/>
              </w:rPr>
              <w:t>590.000</w:t>
            </w:r>
          </w:p>
        </w:tc>
        <w:tc>
          <w:tcPr>
            <w:tcW w:w="1567" w:type="pct"/>
            <w:vAlign w:val="center"/>
          </w:tcPr>
          <w:p w14:paraId="019C2047" w14:textId="77777777" w:rsidR="002D3279" w:rsidRPr="009252D7" w:rsidRDefault="002D3279" w:rsidP="00A42257">
            <w:pPr>
              <w:spacing w:after="160" w:line="360" w:lineRule="auto"/>
              <w:jc w:val="center"/>
              <w:rPr>
                <w:color w:val="000000" w:themeColor="text1"/>
              </w:rPr>
            </w:pPr>
            <w:r w:rsidRPr="009252D7">
              <w:rPr>
                <w:color w:val="000000" w:themeColor="text1"/>
              </w:rPr>
              <w:t>0.640</w:t>
            </w:r>
          </w:p>
        </w:tc>
        <w:tc>
          <w:tcPr>
            <w:tcW w:w="1392" w:type="pct"/>
            <w:vAlign w:val="center"/>
          </w:tcPr>
          <w:p w14:paraId="5D8EEC8D" w14:textId="77777777" w:rsidR="002D3279" w:rsidRPr="009252D7" w:rsidRDefault="002D3279" w:rsidP="00A42257">
            <w:pPr>
              <w:spacing w:after="160" w:line="360" w:lineRule="auto"/>
              <w:jc w:val="center"/>
              <w:rPr>
                <w:color w:val="000000" w:themeColor="text1"/>
              </w:rPr>
            </w:pPr>
            <w:r w:rsidRPr="009252D7">
              <w:rPr>
                <w:color w:val="000000" w:themeColor="text1"/>
              </w:rPr>
              <w:t>302.080</w:t>
            </w:r>
          </w:p>
        </w:tc>
      </w:tr>
      <w:tr w:rsidR="002D3279" w:rsidRPr="009252D7" w14:paraId="20139F5B" w14:textId="77777777" w:rsidTr="00A42257">
        <w:tc>
          <w:tcPr>
            <w:tcW w:w="483" w:type="pct"/>
            <w:vAlign w:val="center"/>
          </w:tcPr>
          <w:p w14:paraId="13C88827" w14:textId="77777777" w:rsidR="002D3279" w:rsidRPr="009252D7" w:rsidRDefault="002D3279" w:rsidP="00A42257">
            <w:pPr>
              <w:spacing w:after="160" w:line="360" w:lineRule="auto"/>
              <w:jc w:val="center"/>
              <w:rPr>
                <w:color w:val="000000" w:themeColor="text1"/>
              </w:rPr>
            </w:pPr>
            <w:r w:rsidRPr="009252D7">
              <w:rPr>
                <w:color w:val="000000" w:themeColor="text1"/>
              </w:rPr>
              <w:t>4</w:t>
            </w:r>
          </w:p>
        </w:tc>
        <w:tc>
          <w:tcPr>
            <w:tcW w:w="1557" w:type="pct"/>
            <w:vAlign w:val="center"/>
          </w:tcPr>
          <w:p w14:paraId="0F1BF72B" w14:textId="77777777" w:rsidR="002D3279" w:rsidRPr="009252D7" w:rsidRDefault="002D3279" w:rsidP="00A42257">
            <w:pPr>
              <w:spacing w:after="160" w:line="360" w:lineRule="auto"/>
              <w:jc w:val="center"/>
              <w:rPr>
                <w:color w:val="000000" w:themeColor="text1"/>
              </w:rPr>
            </w:pPr>
            <w:r w:rsidRPr="009252D7">
              <w:rPr>
                <w:color w:val="000000" w:themeColor="text1"/>
              </w:rPr>
              <w:t>785.000</w:t>
            </w:r>
          </w:p>
        </w:tc>
        <w:tc>
          <w:tcPr>
            <w:tcW w:w="1567" w:type="pct"/>
            <w:vAlign w:val="center"/>
          </w:tcPr>
          <w:p w14:paraId="3EE5EC89" w14:textId="77777777" w:rsidR="002D3279" w:rsidRPr="009252D7" w:rsidRDefault="002D3279" w:rsidP="00A42257">
            <w:pPr>
              <w:spacing w:after="160" w:line="360" w:lineRule="auto"/>
              <w:jc w:val="center"/>
              <w:rPr>
                <w:color w:val="000000" w:themeColor="text1"/>
              </w:rPr>
            </w:pPr>
            <w:r w:rsidRPr="009252D7">
              <w:rPr>
                <w:color w:val="000000" w:themeColor="text1"/>
              </w:rPr>
              <w:t>0.410</w:t>
            </w:r>
          </w:p>
        </w:tc>
        <w:tc>
          <w:tcPr>
            <w:tcW w:w="1392" w:type="pct"/>
            <w:vAlign w:val="center"/>
          </w:tcPr>
          <w:p w14:paraId="15B01B4A" w14:textId="77777777" w:rsidR="002D3279" w:rsidRPr="009252D7" w:rsidRDefault="002D3279" w:rsidP="00A42257">
            <w:pPr>
              <w:spacing w:after="160" w:line="360" w:lineRule="auto"/>
              <w:jc w:val="center"/>
              <w:rPr>
                <w:color w:val="000000" w:themeColor="text1"/>
              </w:rPr>
            </w:pPr>
            <w:r w:rsidRPr="009252D7">
              <w:rPr>
                <w:color w:val="000000" w:themeColor="text1"/>
              </w:rPr>
              <w:t>321.850</w:t>
            </w:r>
          </w:p>
        </w:tc>
      </w:tr>
    </w:tbl>
    <w:p w14:paraId="2BD525C0" w14:textId="77777777" w:rsidR="002D3279" w:rsidRPr="009252D7" w:rsidRDefault="002D3279" w:rsidP="002D3279">
      <w:pPr>
        <w:spacing w:line="360" w:lineRule="auto"/>
        <w:jc w:val="both"/>
        <w:rPr>
          <w:color w:val="000000" w:themeColor="text1"/>
        </w:rPr>
      </w:pPr>
    </w:p>
    <w:p w14:paraId="050C2A9F" w14:textId="2D5319C5" w:rsidR="002D3279" w:rsidRPr="009252D7" w:rsidRDefault="002D3279" w:rsidP="002D3279">
      <w:pPr>
        <w:pStyle w:val="font-claude-response-body"/>
        <w:rPr>
          <w:color w:val="000000" w:themeColor="text1"/>
        </w:rPr>
      </w:pPr>
      <w:r w:rsidRPr="009252D7">
        <w:rPr>
          <w:color w:val="000000" w:themeColor="text1"/>
        </w:rPr>
        <w:t xml:space="preserve">NPV at 25% = </w:t>
      </w:r>
      <w:r w:rsidRPr="009252D7">
        <w:rPr>
          <w:rStyle w:val="Strong"/>
          <w:rFonts w:eastAsiaTheme="majorEastAsia"/>
          <w:color w:val="000000" w:themeColor="text1"/>
        </w:rPr>
        <w:t>£151.930</w:t>
      </w:r>
      <w:r w:rsidRPr="009252D7">
        <w:rPr>
          <w:color w:val="000000" w:themeColor="text1"/>
        </w:rPr>
        <w:t xml:space="preserve"> (still positive)</w:t>
      </w:r>
    </w:p>
    <w:p w14:paraId="3ECBD454" w14:textId="77777777" w:rsidR="002D3279" w:rsidRPr="009252D7" w:rsidRDefault="002D3279" w:rsidP="002D3279">
      <w:pPr>
        <w:spacing w:line="360" w:lineRule="auto"/>
        <w:jc w:val="both"/>
        <w:rPr>
          <w:b/>
          <w:bCs/>
          <w:color w:val="000000" w:themeColor="text1"/>
        </w:rPr>
      </w:pPr>
      <w:r w:rsidRPr="009252D7">
        <w:rPr>
          <w:b/>
          <w:bCs/>
          <w:color w:val="000000" w:themeColor="text1"/>
        </w:rPr>
        <w:t>Testing at 35% Discount Rate:</w:t>
      </w:r>
    </w:p>
    <w:tbl>
      <w:tblPr>
        <w:tblStyle w:val="TableGrid"/>
        <w:tblW w:w="4487" w:type="pct"/>
        <w:tblLook w:val="04A0" w:firstRow="1" w:lastRow="0" w:firstColumn="1" w:lastColumn="0" w:noHBand="0" w:noVBand="1"/>
      </w:tblPr>
      <w:tblGrid>
        <w:gridCol w:w="782"/>
        <w:gridCol w:w="2520"/>
        <w:gridCol w:w="2536"/>
        <w:gridCol w:w="2253"/>
      </w:tblGrid>
      <w:tr w:rsidR="002D3279" w:rsidRPr="009252D7" w14:paraId="4762BCA1" w14:textId="77777777" w:rsidTr="00A42257">
        <w:tc>
          <w:tcPr>
            <w:tcW w:w="483" w:type="pct"/>
            <w:vAlign w:val="center"/>
          </w:tcPr>
          <w:p w14:paraId="2C9D67B1" w14:textId="77777777" w:rsidR="002D3279" w:rsidRPr="009252D7" w:rsidRDefault="002D3279" w:rsidP="00A42257">
            <w:pPr>
              <w:spacing w:after="160" w:line="360" w:lineRule="auto"/>
              <w:jc w:val="center"/>
              <w:rPr>
                <w:color w:val="000000" w:themeColor="text1"/>
              </w:rPr>
            </w:pPr>
            <w:r w:rsidRPr="009252D7">
              <w:rPr>
                <w:color w:val="000000" w:themeColor="text1"/>
              </w:rPr>
              <w:t>Year</w:t>
            </w:r>
          </w:p>
        </w:tc>
        <w:tc>
          <w:tcPr>
            <w:tcW w:w="1557" w:type="pct"/>
            <w:vAlign w:val="center"/>
          </w:tcPr>
          <w:p w14:paraId="2D9FCE97" w14:textId="77777777" w:rsidR="002D3279" w:rsidRPr="009252D7" w:rsidRDefault="002D3279" w:rsidP="00A42257">
            <w:pPr>
              <w:spacing w:after="160" w:line="360" w:lineRule="auto"/>
              <w:jc w:val="center"/>
              <w:rPr>
                <w:color w:val="000000" w:themeColor="text1"/>
              </w:rPr>
            </w:pPr>
            <w:r w:rsidRPr="009252D7">
              <w:rPr>
                <w:color w:val="000000" w:themeColor="text1"/>
              </w:rPr>
              <w:t>Net Cash Flow (£'000)</w:t>
            </w:r>
          </w:p>
        </w:tc>
        <w:tc>
          <w:tcPr>
            <w:tcW w:w="1567" w:type="pct"/>
            <w:vAlign w:val="center"/>
          </w:tcPr>
          <w:p w14:paraId="66C52FCD" w14:textId="77777777" w:rsidR="002D3279" w:rsidRPr="009252D7" w:rsidRDefault="002D3279" w:rsidP="00A42257">
            <w:pPr>
              <w:spacing w:after="160" w:line="360" w:lineRule="auto"/>
              <w:jc w:val="center"/>
              <w:rPr>
                <w:color w:val="000000" w:themeColor="text1"/>
              </w:rPr>
            </w:pPr>
            <w:r w:rsidRPr="009252D7">
              <w:rPr>
                <w:color w:val="000000" w:themeColor="text1"/>
              </w:rPr>
              <w:t>Discount Factor (35%)</w:t>
            </w:r>
          </w:p>
        </w:tc>
        <w:tc>
          <w:tcPr>
            <w:tcW w:w="1392" w:type="pct"/>
            <w:vAlign w:val="center"/>
          </w:tcPr>
          <w:p w14:paraId="35C7A71C" w14:textId="77777777" w:rsidR="002D3279" w:rsidRPr="009252D7" w:rsidRDefault="002D3279" w:rsidP="00A42257">
            <w:pPr>
              <w:spacing w:after="160" w:line="360" w:lineRule="auto"/>
              <w:jc w:val="center"/>
              <w:rPr>
                <w:color w:val="000000" w:themeColor="text1"/>
              </w:rPr>
            </w:pPr>
            <w:r w:rsidRPr="009252D7">
              <w:rPr>
                <w:color w:val="000000" w:themeColor="text1"/>
              </w:rPr>
              <w:t>Present Value (£'000)</w:t>
            </w:r>
          </w:p>
        </w:tc>
      </w:tr>
      <w:tr w:rsidR="002D3279" w:rsidRPr="009252D7" w14:paraId="4F2530C4" w14:textId="77777777" w:rsidTr="00A42257">
        <w:tc>
          <w:tcPr>
            <w:tcW w:w="483" w:type="pct"/>
            <w:vAlign w:val="center"/>
          </w:tcPr>
          <w:p w14:paraId="31EB5610" w14:textId="77777777" w:rsidR="002D3279" w:rsidRPr="009252D7" w:rsidRDefault="002D3279" w:rsidP="00A42257">
            <w:pPr>
              <w:spacing w:after="160" w:line="360" w:lineRule="auto"/>
              <w:jc w:val="center"/>
              <w:rPr>
                <w:color w:val="000000" w:themeColor="text1"/>
              </w:rPr>
            </w:pPr>
            <w:r w:rsidRPr="009252D7">
              <w:rPr>
                <w:color w:val="000000" w:themeColor="text1"/>
              </w:rPr>
              <w:t>0</w:t>
            </w:r>
          </w:p>
        </w:tc>
        <w:tc>
          <w:tcPr>
            <w:tcW w:w="1557" w:type="pct"/>
            <w:vAlign w:val="center"/>
          </w:tcPr>
          <w:p w14:paraId="2C517B08" w14:textId="77777777" w:rsidR="002D3279" w:rsidRPr="009252D7" w:rsidRDefault="002D3279" w:rsidP="00A42257">
            <w:pPr>
              <w:spacing w:after="160" w:line="360" w:lineRule="auto"/>
              <w:jc w:val="center"/>
              <w:rPr>
                <w:color w:val="000000" w:themeColor="text1"/>
              </w:rPr>
            </w:pPr>
            <w:r w:rsidRPr="009252D7">
              <w:rPr>
                <w:color w:val="000000" w:themeColor="text1"/>
              </w:rPr>
              <w:t>(1,000.000)</w:t>
            </w:r>
          </w:p>
        </w:tc>
        <w:tc>
          <w:tcPr>
            <w:tcW w:w="1567" w:type="pct"/>
            <w:vAlign w:val="center"/>
          </w:tcPr>
          <w:p w14:paraId="4CE9A5DE" w14:textId="77777777" w:rsidR="002D3279" w:rsidRPr="009252D7" w:rsidRDefault="002D3279" w:rsidP="00A42257">
            <w:pPr>
              <w:spacing w:after="160" w:line="360" w:lineRule="auto"/>
              <w:jc w:val="center"/>
              <w:rPr>
                <w:color w:val="000000" w:themeColor="text1"/>
              </w:rPr>
            </w:pPr>
            <w:r w:rsidRPr="009252D7">
              <w:rPr>
                <w:color w:val="000000" w:themeColor="text1"/>
              </w:rPr>
              <w:t>1.000</w:t>
            </w:r>
          </w:p>
        </w:tc>
        <w:tc>
          <w:tcPr>
            <w:tcW w:w="1392" w:type="pct"/>
            <w:vAlign w:val="center"/>
          </w:tcPr>
          <w:p w14:paraId="3A8D05D3" w14:textId="77777777" w:rsidR="002D3279" w:rsidRPr="009252D7" w:rsidRDefault="002D3279" w:rsidP="00A42257">
            <w:pPr>
              <w:spacing w:after="160" w:line="360" w:lineRule="auto"/>
              <w:jc w:val="center"/>
              <w:rPr>
                <w:color w:val="000000" w:themeColor="text1"/>
              </w:rPr>
            </w:pPr>
            <w:r w:rsidRPr="009252D7">
              <w:rPr>
                <w:color w:val="000000" w:themeColor="text1"/>
              </w:rPr>
              <w:t>(1,000.000)</w:t>
            </w:r>
          </w:p>
        </w:tc>
      </w:tr>
      <w:tr w:rsidR="002D3279" w:rsidRPr="009252D7" w14:paraId="22AB4788" w14:textId="77777777" w:rsidTr="00A42257">
        <w:tc>
          <w:tcPr>
            <w:tcW w:w="483" w:type="pct"/>
            <w:vAlign w:val="center"/>
          </w:tcPr>
          <w:p w14:paraId="60CCA31F" w14:textId="77777777" w:rsidR="002D3279" w:rsidRPr="009252D7" w:rsidRDefault="002D3279" w:rsidP="00A42257">
            <w:pPr>
              <w:spacing w:after="160" w:line="360" w:lineRule="auto"/>
              <w:jc w:val="center"/>
              <w:rPr>
                <w:color w:val="000000" w:themeColor="text1"/>
              </w:rPr>
            </w:pPr>
            <w:r w:rsidRPr="009252D7">
              <w:rPr>
                <w:color w:val="000000" w:themeColor="text1"/>
              </w:rPr>
              <w:t>1</w:t>
            </w:r>
          </w:p>
        </w:tc>
        <w:tc>
          <w:tcPr>
            <w:tcW w:w="1557" w:type="pct"/>
            <w:vAlign w:val="center"/>
          </w:tcPr>
          <w:p w14:paraId="259AC6E3" w14:textId="77777777" w:rsidR="002D3279" w:rsidRPr="009252D7" w:rsidRDefault="002D3279" w:rsidP="00A42257">
            <w:pPr>
              <w:spacing w:after="160" w:line="360" w:lineRule="auto"/>
              <w:jc w:val="center"/>
              <w:rPr>
                <w:color w:val="000000" w:themeColor="text1"/>
              </w:rPr>
            </w:pPr>
            <w:r w:rsidRPr="009252D7">
              <w:rPr>
                <w:color w:val="000000" w:themeColor="text1"/>
              </w:rPr>
              <w:t>350.000</w:t>
            </w:r>
          </w:p>
        </w:tc>
        <w:tc>
          <w:tcPr>
            <w:tcW w:w="1567" w:type="pct"/>
            <w:vAlign w:val="center"/>
          </w:tcPr>
          <w:p w14:paraId="3DCCB826" w14:textId="77777777" w:rsidR="002D3279" w:rsidRPr="009252D7" w:rsidRDefault="002D3279" w:rsidP="00A42257">
            <w:pPr>
              <w:spacing w:after="160" w:line="360" w:lineRule="auto"/>
              <w:jc w:val="center"/>
              <w:rPr>
                <w:color w:val="000000" w:themeColor="text1"/>
              </w:rPr>
            </w:pPr>
            <w:r w:rsidRPr="009252D7">
              <w:rPr>
                <w:color w:val="000000" w:themeColor="text1"/>
              </w:rPr>
              <w:t>0.741</w:t>
            </w:r>
          </w:p>
        </w:tc>
        <w:tc>
          <w:tcPr>
            <w:tcW w:w="1392" w:type="pct"/>
            <w:vAlign w:val="center"/>
          </w:tcPr>
          <w:p w14:paraId="71C160CB" w14:textId="77777777" w:rsidR="002D3279" w:rsidRPr="009252D7" w:rsidRDefault="002D3279" w:rsidP="00A42257">
            <w:pPr>
              <w:spacing w:after="160" w:line="360" w:lineRule="auto"/>
              <w:jc w:val="center"/>
              <w:rPr>
                <w:color w:val="000000" w:themeColor="text1"/>
              </w:rPr>
            </w:pPr>
            <w:r w:rsidRPr="009252D7">
              <w:rPr>
                <w:color w:val="000000" w:themeColor="text1"/>
              </w:rPr>
              <w:t>259.350</w:t>
            </w:r>
          </w:p>
        </w:tc>
      </w:tr>
      <w:tr w:rsidR="002D3279" w:rsidRPr="009252D7" w14:paraId="64504D7D" w14:textId="77777777" w:rsidTr="00A42257">
        <w:tc>
          <w:tcPr>
            <w:tcW w:w="483" w:type="pct"/>
            <w:vAlign w:val="center"/>
          </w:tcPr>
          <w:p w14:paraId="1FE3E295" w14:textId="77777777" w:rsidR="002D3279" w:rsidRPr="009252D7" w:rsidRDefault="002D3279" w:rsidP="00A42257">
            <w:pPr>
              <w:spacing w:after="160" w:line="360" w:lineRule="auto"/>
              <w:jc w:val="center"/>
              <w:rPr>
                <w:color w:val="000000" w:themeColor="text1"/>
              </w:rPr>
            </w:pPr>
            <w:r w:rsidRPr="009252D7">
              <w:rPr>
                <w:color w:val="000000" w:themeColor="text1"/>
              </w:rPr>
              <w:t>2</w:t>
            </w:r>
          </w:p>
        </w:tc>
        <w:tc>
          <w:tcPr>
            <w:tcW w:w="1557" w:type="pct"/>
            <w:vAlign w:val="center"/>
          </w:tcPr>
          <w:p w14:paraId="04782E1F" w14:textId="77777777" w:rsidR="002D3279" w:rsidRPr="009252D7" w:rsidRDefault="002D3279" w:rsidP="00A42257">
            <w:pPr>
              <w:spacing w:after="160" w:line="360" w:lineRule="auto"/>
              <w:jc w:val="center"/>
              <w:rPr>
                <w:color w:val="000000" w:themeColor="text1"/>
              </w:rPr>
            </w:pPr>
            <w:r w:rsidRPr="009252D7">
              <w:rPr>
                <w:color w:val="000000" w:themeColor="text1"/>
              </w:rPr>
              <w:t>387.500</w:t>
            </w:r>
          </w:p>
        </w:tc>
        <w:tc>
          <w:tcPr>
            <w:tcW w:w="1567" w:type="pct"/>
            <w:vAlign w:val="center"/>
          </w:tcPr>
          <w:p w14:paraId="118E1363" w14:textId="77777777" w:rsidR="002D3279" w:rsidRPr="009252D7" w:rsidRDefault="002D3279" w:rsidP="00A42257">
            <w:pPr>
              <w:spacing w:after="160" w:line="360" w:lineRule="auto"/>
              <w:jc w:val="center"/>
              <w:rPr>
                <w:color w:val="000000" w:themeColor="text1"/>
              </w:rPr>
            </w:pPr>
            <w:r w:rsidRPr="009252D7">
              <w:rPr>
                <w:color w:val="000000" w:themeColor="text1"/>
              </w:rPr>
              <w:t>0.549</w:t>
            </w:r>
          </w:p>
        </w:tc>
        <w:tc>
          <w:tcPr>
            <w:tcW w:w="1392" w:type="pct"/>
            <w:vAlign w:val="center"/>
          </w:tcPr>
          <w:p w14:paraId="128A7251" w14:textId="77777777" w:rsidR="002D3279" w:rsidRPr="009252D7" w:rsidRDefault="002D3279" w:rsidP="00A42257">
            <w:pPr>
              <w:spacing w:after="160" w:line="360" w:lineRule="auto"/>
              <w:jc w:val="center"/>
              <w:rPr>
                <w:color w:val="000000" w:themeColor="text1"/>
              </w:rPr>
            </w:pPr>
            <w:r w:rsidRPr="009252D7">
              <w:rPr>
                <w:color w:val="000000" w:themeColor="text1"/>
              </w:rPr>
              <w:t>212.728</w:t>
            </w:r>
          </w:p>
        </w:tc>
      </w:tr>
      <w:tr w:rsidR="002D3279" w:rsidRPr="009252D7" w14:paraId="60B60108" w14:textId="77777777" w:rsidTr="00A42257">
        <w:tc>
          <w:tcPr>
            <w:tcW w:w="483" w:type="pct"/>
            <w:vAlign w:val="center"/>
          </w:tcPr>
          <w:p w14:paraId="77B999DC" w14:textId="77777777" w:rsidR="002D3279" w:rsidRPr="009252D7" w:rsidRDefault="002D3279" w:rsidP="00A42257">
            <w:pPr>
              <w:spacing w:after="160" w:line="360" w:lineRule="auto"/>
              <w:jc w:val="center"/>
              <w:rPr>
                <w:color w:val="000000" w:themeColor="text1"/>
              </w:rPr>
            </w:pPr>
            <w:r w:rsidRPr="009252D7">
              <w:rPr>
                <w:color w:val="000000" w:themeColor="text1"/>
              </w:rPr>
              <w:t>3</w:t>
            </w:r>
          </w:p>
        </w:tc>
        <w:tc>
          <w:tcPr>
            <w:tcW w:w="1557" w:type="pct"/>
            <w:vAlign w:val="center"/>
          </w:tcPr>
          <w:p w14:paraId="26508AE1" w14:textId="77777777" w:rsidR="002D3279" w:rsidRPr="009252D7" w:rsidRDefault="002D3279" w:rsidP="00A42257">
            <w:pPr>
              <w:spacing w:after="160" w:line="360" w:lineRule="auto"/>
              <w:jc w:val="center"/>
              <w:rPr>
                <w:color w:val="000000" w:themeColor="text1"/>
              </w:rPr>
            </w:pPr>
            <w:r w:rsidRPr="009252D7">
              <w:rPr>
                <w:color w:val="000000" w:themeColor="text1"/>
              </w:rPr>
              <w:t>590.000</w:t>
            </w:r>
          </w:p>
        </w:tc>
        <w:tc>
          <w:tcPr>
            <w:tcW w:w="1567" w:type="pct"/>
            <w:vAlign w:val="center"/>
          </w:tcPr>
          <w:p w14:paraId="7AEC9A40" w14:textId="77777777" w:rsidR="002D3279" w:rsidRPr="009252D7" w:rsidRDefault="002D3279" w:rsidP="00A42257">
            <w:pPr>
              <w:spacing w:after="160" w:line="360" w:lineRule="auto"/>
              <w:jc w:val="center"/>
              <w:rPr>
                <w:color w:val="000000" w:themeColor="text1"/>
              </w:rPr>
            </w:pPr>
            <w:r w:rsidRPr="009252D7">
              <w:rPr>
                <w:color w:val="000000" w:themeColor="text1"/>
              </w:rPr>
              <w:t>0.406</w:t>
            </w:r>
          </w:p>
        </w:tc>
        <w:tc>
          <w:tcPr>
            <w:tcW w:w="1392" w:type="pct"/>
            <w:vAlign w:val="center"/>
          </w:tcPr>
          <w:p w14:paraId="61E67226" w14:textId="77777777" w:rsidR="002D3279" w:rsidRPr="009252D7" w:rsidRDefault="002D3279" w:rsidP="00A42257">
            <w:pPr>
              <w:spacing w:after="160" w:line="360" w:lineRule="auto"/>
              <w:jc w:val="center"/>
              <w:rPr>
                <w:color w:val="000000" w:themeColor="text1"/>
              </w:rPr>
            </w:pPr>
            <w:r w:rsidRPr="009252D7">
              <w:rPr>
                <w:color w:val="000000" w:themeColor="text1"/>
              </w:rPr>
              <w:t>239.540</w:t>
            </w:r>
          </w:p>
        </w:tc>
      </w:tr>
      <w:tr w:rsidR="002D3279" w:rsidRPr="009252D7" w14:paraId="5E134489" w14:textId="77777777" w:rsidTr="00A42257">
        <w:tc>
          <w:tcPr>
            <w:tcW w:w="483" w:type="pct"/>
            <w:vAlign w:val="center"/>
          </w:tcPr>
          <w:p w14:paraId="415278F5" w14:textId="77777777" w:rsidR="002D3279" w:rsidRPr="009252D7" w:rsidRDefault="002D3279" w:rsidP="00A42257">
            <w:pPr>
              <w:spacing w:after="160" w:line="360" w:lineRule="auto"/>
              <w:jc w:val="center"/>
              <w:rPr>
                <w:color w:val="000000" w:themeColor="text1"/>
              </w:rPr>
            </w:pPr>
            <w:r w:rsidRPr="009252D7">
              <w:rPr>
                <w:color w:val="000000" w:themeColor="text1"/>
              </w:rPr>
              <w:t>4</w:t>
            </w:r>
          </w:p>
        </w:tc>
        <w:tc>
          <w:tcPr>
            <w:tcW w:w="1557" w:type="pct"/>
            <w:vAlign w:val="center"/>
          </w:tcPr>
          <w:p w14:paraId="13F71BCF" w14:textId="77777777" w:rsidR="002D3279" w:rsidRPr="009252D7" w:rsidRDefault="002D3279" w:rsidP="00A42257">
            <w:pPr>
              <w:spacing w:after="160" w:line="360" w:lineRule="auto"/>
              <w:jc w:val="center"/>
              <w:rPr>
                <w:color w:val="000000" w:themeColor="text1"/>
              </w:rPr>
            </w:pPr>
            <w:r w:rsidRPr="009252D7">
              <w:rPr>
                <w:color w:val="000000" w:themeColor="text1"/>
              </w:rPr>
              <w:t>785.000</w:t>
            </w:r>
          </w:p>
        </w:tc>
        <w:tc>
          <w:tcPr>
            <w:tcW w:w="1567" w:type="pct"/>
            <w:vAlign w:val="center"/>
          </w:tcPr>
          <w:p w14:paraId="09F28EA6" w14:textId="77777777" w:rsidR="002D3279" w:rsidRPr="009252D7" w:rsidRDefault="002D3279" w:rsidP="00A42257">
            <w:pPr>
              <w:spacing w:after="160" w:line="360" w:lineRule="auto"/>
              <w:jc w:val="center"/>
              <w:rPr>
                <w:color w:val="000000" w:themeColor="text1"/>
              </w:rPr>
            </w:pPr>
            <w:r w:rsidRPr="009252D7">
              <w:rPr>
                <w:color w:val="000000" w:themeColor="text1"/>
              </w:rPr>
              <w:t>0.301</w:t>
            </w:r>
          </w:p>
        </w:tc>
        <w:tc>
          <w:tcPr>
            <w:tcW w:w="1392" w:type="pct"/>
            <w:vAlign w:val="center"/>
          </w:tcPr>
          <w:p w14:paraId="39571D7E" w14:textId="77777777" w:rsidR="002D3279" w:rsidRPr="009252D7" w:rsidRDefault="002D3279" w:rsidP="00A42257">
            <w:pPr>
              <w:spacing w:after="160" w:line="360" w:lineRule="auto"/>
              <w:jc w:val="center"/>
              <w:rPr>
                <w:color w:val="000000" w:themeColor="text1"/>
              </w:rPr>
            </w:pPr>
            <w:r w:rsidRPr="009252D7">
              <w:rPr>
                <w:color w:val="000000" w:themeColor="text1"/>
              </w:rPr>
              <w:t>236.285</w:t>
            </w:r>
          </w:p>
        </w:tc>
      </w:tr>
    </w:tbl>
    <w:p w14:paraId="24392CD7" w14:textId="77777777" w:rsidR="002D3279" w:rsidRPr="009252D7" w:rsidRDefault="002D3279" w:rsidP="002D3279">
      <w:pPr>
        <w:spacing w:line="360" w:lineRule="auto"/>
        <w:jc w:val="both"/>
        <w:rPr>
          <w:color w:val="000000" w:themeColor="text1"/>
        </w:rPr>
      </w:pPr>
    </w:p>
    <w:p w14:paraId="4079EB41" w14:textId="77777777" w:rsidR="002D3279" w:rsidRPr="009252D7" w:rsidRDefault="002D3279" w:rsidP="002D3279">
      <w:pPr>
        <w:spacing w:line="360" w:lineRule="auto"/>
        <w:jc w:val="both"/>
        <w:rPr>
          <w:color w:val="000000" w:themeColor="text1"/>
        </w:rPr>
      </w:pPr>
      <w:r w:rsidRPr="009252D7">
        <w:rPr>
          <w:color w:val="000000" w:themeColor="text1"/>
        </w:rPr>
        <w:lastRenderedPageBreak/>
        <w:t xml:space="preserve">NPV at 35% = </w:t>
      </w:r>
      <w:r w:rsidRPr="009252D7">
        <w:rPr>
          <w:b/>
          <w:bCs/>
          <w:color w:val="000000" w:themeColor="text1"/>
        </w:rPr>
        <w:t>-£52.097</w:t>
      </w:r>
      <w:r w:rsidRPr="009252D7">
        <w:rPr>
          <w:color w:val="000000" w:themeColor="text1"/>
        </w:rPr>
        <w:t xml:space="preserve"> (negative)</w:t>
      </w:r>
    </w:p>
    <w:p w14:paraId="2042EA77" w14:textId="77777777" w:rsidR="002D3279" w:rsidRPr="009252D7" w:rsidRDefault="002D3279" w:rsidP="002D3279">
      <w:pPr>
        <w:spacing w:line="360" w:lineRule="auto"/>
        <w:jc w:val="both"/>
        <w:rPr>
          <w:color w:val="000000" w:themeColor="text1"/>
        </w:rPr>
      </w:pPr>
      <w:r w:rsidRPr="009252D7">
        <w:rPr>
          <w:color w:val="000000" w:themeColor="text1"/>
        </w:rPr>
        <w:t>Using linear interpolation between 25% and 35%:</w:t>
      </w:r>
    </w:p>
    <w:p w14:paraId="4229A681" w14:textId="77777777" w:rsidR="002D3279" w:rsidRPr="009252D7" w:rsidRDefault="002D3279" w:rsidP="002D3279">
      <w:pPr>
        <w:spacing w:line="360" w:lineRule="auto"/>
        <w:jc w:val="both"/>
        <w:rPr>
          <w:color w:val="000000" w:themeColor="text1"/>
        </w:rPr>
      </w:pPr>
      <w:r w:rsidRPr="009252D7">
        <w:rPr>
          <w:color w:val="000000" w:themeColor="text1"/>
        </w:rPr>
        <w:t>IRR ≈ 25% + [(151.930 / (151.930 + 52.097)) × (35% - 25%)]</w:t>
      </w:r>
    </w:p>
    <w:p w14:paraId="52E58372" w14:textId="77777777" w:rsidR="002D3279" w:rsidRPr="009252D7" w:rsidRDefault="002D3279" w:rsidP="002D3279">
      <w:pPr>
        <w:spacing w:line="360" w:lineRule="auto"/>
        <w:jc w:val="both"/>
        <w:rPr>
          <w:color w:val="000000" w:themeColor="text1"/>
        </w:rPr>
      </w:pPr>
      <w:r w:rsidRPr="009252D7">
        <w:rPr>
          <w:color w:val="000000" w:themeColor="text1"/>
        </w:rPr>
        <w:t>IRR ≈ 25% + (151.930 / 204.027) × 10%</w:t>
      </w:r>
    </w:p>
    <w:p w14:paraId="49F08B6C" w14:textId="77777777" w:rsidR="002D3279" w:rsidRPr="009252D7" w:rsidRDefault="002D3279" w:rsidP="002D3279">
      <w:pPr>
        <w:spacing w:line="360" w:lineRule="auto"/>
        <w:jc w:val="both"/>
        <w:rPr>
          <w:color w:val="000000" w:themeColor="text1"/>
        </w:rPr>
      </w:pPr>
      <w:r w:rsidRPr="009252D7">
        <w:rPr>
          <w:color w:val="000000" w:themeColor="text1"/>
        </w:rPr>
        <w:t>IRR ≈ 25% + 7.45%</w:t>
      </w:r>
    </w:p>
    <w:p w14:paraId="2C21945D" w14:textId="77777777" w:rsidR="002D3279" w:rsidRPr="009252D7" w:rsidRDefault="002D3279" w:rsidP="002D3279">
      <w:pPr>
        <w:spacing w:line="360" w:lineRule="auto"/>
        <w:jc w:val="both"/>
        <w:rPr>
          <w:color w:val="000000" w:themeColor="text1"/>
        </w:rPr>
      </w:pPr>
      <w:r w:rsidRPr="009252D7">
        <w:rPr>
          <w:b/>
          <w:bCs/>
          <w:color w:val="000000" w:themeColor="text1"/>
        </w:rPr>
        <w:t>IRR ≈ 32.45%</w:t>
      </w:r>
    </w:p>
    <w:p w14:paraId="1F457D5E" w14:textId="77777777" w:rsidR="002D3279" w:rsidRPr="009252D7" w:rsidRDefault="002D3279" w:rsidP="002D3279">
      <w:pPr>
        <w:spacing w:line="360" w:lineRule="auto"/>
        <w:jc w:val="both"/>
        <w:rPr>
          <w:color w:val="000000" w:themeColor="text1"/>
        </w:rPr>
      </w:pPr>
      <w:r w:rsidRPr="009252D7">
        <w:rPr>
          <w:color w:val="000000" w:themeColor="text1"/>
        </w:rPr>
        <w:t>The IRR of approximately 32.45% substantially exceeds the company's cost of capital of 6%, providing a significant margin of safety and confirming Option B's financial attractiveness. This indicates the project can withstand considerable increases in the cost of capital while remaining viable.</w:t>
      </w:r>
    </w:p>
    <w:p w14:paraId="47E740DC" w14:textId="77777777" w:rsidR="002D3279" w:rsidRPr="009252D7" w:rsidRDefault="002D3279" w:rsidP="002D3279">
      <w:pPr>
        <w:spacing w:line="360" w:lineRule="auto"/>
        <w:jc w:val="both"/>
        <w:rPr>
          <w:color w:val="000000" w:themeColor="text1"/>
        </w:rPr>
      </w:pPr>
    </w:p>
    <w:p w14:paraId="0DB01D3A" w14:textId="77777777" w:rsidR="002D3279" w:rsidRPr="009252D7" w:rsidRDefault="002D3279" w:rsidP="002D3279">
      <w:pPr>
        <w:pStyle w:val="Heading1"/>
        <w:rPr>
          <w:rFonts w:ascii="Times New Roman" w:hAnsi="Times New Roman" w:cs="Times New Roman"/>
          <w:b/>
          <w:bCs/>
          <w:color w:val="000000" w:themeColor="text1"/>
          <w:sz w:val="24"/>
          <w:szCs w:val="24"/>
        </w:rPr>
      </w:pPr>
      <w:bookmarkStart w:id="32" w:name="_Toc218979664"/>
      <w:r w:rsidRPr="009252D7">
        <w:rPr>
          <w:rFonts w:ascii="Times New Roman" w:hAnsi="Times New Roman" w:cs="Times New Roman"/>
          <w:b/>
          <w:bCs/>
          <w:color w:val="000000" w:themeColor="text1"/>
          <w:sz w:val="24"/>
          <w:szCs w:val="24"/>
        </w:rPr>
        <w:t>4. Strategic and Interpretive Considerations</w:t>
      </w:r>
      <w:bookmarkEnd w:id="32"/>
    </w:p>
    <w:p w14:paraId="385E03BA" w14:textId="77777777" w:rsidR="002D3279" w:rsidRPr="009252D7" w:rsidRDefault="002D3279" w:rsidP="002D3279">
      <w:pPr>
        <w:spacing w:line="360" w:lineRule="auto"/>
        <w:jc w:val="both"/>
        <w:rPr>
          <w:b/>
          <w:bCs/>
          <w:color w:val="000000" w:themeColor="text1"/>
        </w:rPr>
      </w:pPr>
    </w:p>
    <w:p w14:paraId="09C1BF41" w14:textId="77777777" w:rsidR="002D3279" w:rsidRPr="009252D7" w:rsidRDefault="002D3279" w:rsidP="002D3279">
      <w:pPr>
        <w:pStyle w:val="Heading2"/>
        <w:rPr>
          <w:rFonts w:ascii="Times New Roman" w:hAnsi="Times New Roman" w:cs="Times New Roman"/>
          <w:color w:val="000000" w:themeColor="text1"/>
          <w:sz w:val="24"/>
          <w:szCs w:val="24"/>
        </w:rPr>
      </w:pPr>
      <w:bookmarkStart w:id="33" w:name="_Toc218979665"/>
      <w:r w:rsidRPr="009252D7">
        <w:rPr>
          <w:rFonts w:ascii="Times New Roman" w:hAnsi="Times New Roman" w:cs="Times New Roman"/>
          <w:color w:val="000000" w:themeColor="text1"/>
          <w:sz w:val="24"/>
          <w:szCs w:val="24"/>
        </w:rPr>
        <w:t>4.1 NPV's Theoretical Superiority:</w:t>
      </w:r>
      <w:bookmarkEnd w:id="33"/>
    </w:p>
    <w:p w14:paraId="68D2DB6E" w14:textId="77777777" w:rsidR="002D3279" w:rsidRPr="009252D7" w:rsidRDefault="002D3279" w:rsidP="002D3279">
      <w:pPr>
        <w:spacing w:line="360" w:lineRule="auto"/>
        <w:jc w:val="both"/>
        <w:rPr>
          <w:color w:val="000000" w:themeColor="text1"/>
        </w:rPr>
      </w:pPr>
      <w:r w:rsidRPr="009252D7">
        <w:rPr>
          <w:color w:val="000000" w:themeColor="text1"/>
        </w:rPr>
        <w:t>Net Present Value is typically considered the best way to evaluate investments for a number of good reasons (Atrill, 2019). First, NPV directly assesses the generation of absolute value in terms of money, which is in line with the main goal of maximising shareholder wealth. NPV shows the real predicted increase in the value of a company, unlike percentage-based indicators. Second, NPV takes into account the time value of money by discounting all cash flows. This shows that earlier payments are worth more. Third, NPV uses the company's cost of capital as the discount rate, which accurately shows the opportunity cost of capital and the required return adjusted for risk.</w:t>
      </w:r>
    </w:p>
    <w:p w14:paraId="7C38FB5A" w14:textId="77777777" w:rsidR="002D3279" w:rsidRPr="009252D7" w:rsidRDefault="002D3279" w:rsidP="002D3279">
      <w:pPr>
        <w:spacing w:line="360" w:lineRule="auto"/>
        <w:jc w:val="both"/>
        <w:rPr>
          <w:color w:val="000000" w:themeColor="text1"/>
        </w:rPr>
      </w:pPr>
      <w:r w:rsidRPr="009252D7">
        <w:rPr>
          <w:color w:val="000000" w:themeColor="text1"/>
        </w:rPr>
        <w:t>Also, NPV shows that it can make consistent decisions when evaluating projects that are mutually incompatible and have varied sizes and lengths (Bekaert, 2017). When looking at project portfolios, the additivity principle lets you add up NPVs, which makes it easier to make decisions on capital rationing. Also, NPV works well with unusual cash flow patterns, but IRR may give you more than one answer or give you wrong answers when cash flows change sign more than once.</w:t>
      </w:r>
    </w:p>
    <w:p w14:paraId="310F9738" w14:textId="77777777" w:rsidR="002D3279" w:rsidRPr="009252D7" w:rsidRDefault="002D3279" w:rsidP="002D3279">
      <w:pPr>
        <w:spacing w:line="360" w:lineRule="auto"/>
        <w:jc w:val="both"/>
        <w:rPr>
          <w:color w:val="000000" w:themeColor="text1"/>
        </w:rPr>
      </w:pPr>
    </w:p>
    <w:p w14:paraId="3E290BFF" w14:textId="77777777" w:rsidR="002D3279" w:rsidRPr="009252D7" w:rsidRDefault="002D3279" w:rsidP="002D3279">
      <w:pPr>
        <w:pStyle w:val="Heading2"/>
        <w:rPr>
          <w:rFonts w:ascii="Times New Roman" w:hAnsi="Times New Roman" w:cs="Times New Roman"/>
          <w:color w:val="000000" w:themeColor="text1"/>
          <w:sz w:val="24"/>
          <w:szCs w:val="24"/>
        </w:rPr>
      </w:pPr>
      <w:bookmarkStart w:id="34" w:name="_Toc218979666"/>
      <w:r w:rsidRPr="009252D7">
        <w:rPr>
          <w:rFonts w:ascii="Times New Roman" w:hAnsi="Times New Roman" w:cs="Times New Roman"/>
          <w:color w:val="000000" w:themeColor="text1"/>
          <w:sz w:val="24"/>
          <w:szCs w:val="24"/>
        </w:rPr>
        <w:lastRenderedPageBreak/>
        <w:t>4.2 Non-Discounting Methods:</w:t>
      </w:r>
      <w:bookmarkEnd w:id="34"/>
      <w:r w:rsidRPr="009252D7">
        <w:rPr>
          <w:rFonts w:ascii="Times New Roman" w:hAnsi="Times New Roman" w:cs="Times New Roman"/>
          <w:color w:val="000000" w:themeColor="text1"/>
          <w:sz w:val="24"/>
          <w:szCs w:val="24"/>
        </w:rPr>
        <w:t xml:space="preserve"> </w:t>
      </w:r>
    </w:p>
    <w:p w14:paraId="47BE0882" w14:textId="77777777" w:rsidR="002D3279" w:rsidRPr="009252D7" w:rsidRDefault="002D3279" w:rsidP="002D3279">
      <w:pPr>
        <w:spacing w:line="360" w:lineRule="auto"/>
        <w:jc w:val="both"/>
        <w:rPr>
          <w:color w:val="000000" w:themeColor="text1"/>
        </w:rPr>
      </w:pPr>
      <w:r w:rsidRPr="009252D7">
        <w:rPr>
          <w:color w:val="000000" w:themeColor="text1"/>
        </w:rPr>
        <w:t>Are Still Popular Non-discounting approaches like Payback Period and Accounting Rate of Return (ARR) are nevertheless popular among professionals for practical reasons, even if they have some theoretical flaws. Payback Period is easy to understand and calculate, so managers who don't have a lot of financial training can use it (Drury, 2020). This strategy is useful for businesses who are short on cash or work in very uncertain circumstances where cash flows that are far away are very risky. It focusses on liquidity and the quickness of capital recovery.</w:t>
      </w:r>
      <w:r w:rsidRPr="009252D7">
        <w:rPr>
          <w:color w:val="000000" w:themeColor="text1"/>
        </w:rPr>
        <w:br/>
        <w:t>Decision-makers like payback because it answers the simple question of how quickly the initial expenditure will be returned. Shorter payback periods can reduce the risk of obsolescence in businesses where technology changes quickly or the rules are unclear. Payback also works well as a first screening tool, getting rid of projects that are clearly not a good fit before doing more in-depth study.</w:t>
      </w:r>
    </w:p>
    <w:p w14:paraId="60593905" w14:textId="77777777" w:rsidR="002D3279" w:rsidRPr="009252D7" w:rsidRDefault="002D3279" w:rsidP="002D3279">
      <w:pPr>
        <w:spacing w:line="360" w:lineRule="auto"/>
        <w:jc w:val="both"/>
        <w:rPr>
          <w:color w:val="000000" w:themeColor="text1"/>
        </w:rPr>
      </w:pPr>
      <w:r w:rsidRPr="009252D7">
        <w:rPr>
          <w:color w:val="000000" w:themeColor="text1"/>
        </w:rPr>
        <w:t>ARR is still popular because it fits with established ways of measuring success in accounting, which makes it easier to talk to stakeholders who are used to accounting returns (Kersten et al., 2017). A lot of executive pay plans are based on accounting profitability measurements, which makes managers select techniques that give similar results. However, more and more advanced organisations use several appraisal methods together. For example, they use non-discounting approaches for the first assessment and NPV for the final judgement.</w:t>
      </w:r>
    </w:p>
    <w:p w14:paraId="59ED4DD4" w14:textId="77777777" w:rsidR="002D3279" w:rsidRPr="009252D7" w:rsidRDefault="002D3279" w:rsidP="002D3279">
      <w:pPr>
        <w:spacing w:line="360" w:lineRule="auto"/>
        <w:jc w:val="both"/>
        <w:rPr>
          <w:color w:val="000000" w:themeColor="text1"/>
        </w:rPr>
      </w:pPr>
    </w:p>
    <w:p w14:paraId="7FCFB61F" w14:textId="77777777" w:rsidR="002D3279" w:rsidRPr="009252D7" w:rsidRDefault="002D3279" w:rsidP="002D3279">
      <w:pPr>
        <w:pStyle w:val="Heading2"/>
        <w:rPr>
          <w:rFonts w:ascii="Times New Roman" w:hAnsi="Times New Roman" w:cs="Times New Roman"/>
          <w:color w:val="000000" w:themeColor="text1"/>
          <w:sz w:val="24"/>
          <w:szCs w:val="24"/>
        </w:rPr>
      </w:pPr>
      <w:bookmarkStart w:id="35" w:name="_Toc218979667"/>
      <w:r w:rsidRPr="009252D7">
        <w:rPr>
          <w:rFonts w:ascii="Times New Roman" w:hAnsi="Times New Roman" w:cs="Times New Roman"/>
          <w:color w:val="000000" w:themeColor="text1"/>
          <w:sz w:val="24"/>
          <w:szCs w:val="24"/>
        </w:rPr>
        <w:t>4.3 Other Strategic Considerations:</w:t>
      </w:r>
      <w:bookmarkEnd w:id="35"/>
    </w:p>
    <w:p w14:paraId="5E8AC9FB" w14:textId="77777777" w:rsidR="002D3279" w:rsidRPr="009252D7" w:rsidRDefault="002D3279" w:rsidP="002D3279">
      <w:pPr>
        <w:spacing w:line="360" w:lineRule="auto"/>
        <w:jc w:val="both"/>
        <w:rPr>
          <w:color w:val="000000" w:themeColor="text1"/>
        </w:rPr>
      </w:pPr>
      <w:r w:rsidRPr="009252D7">
        <w:rPr>
          <w:color w:val="000000" w:themeColor="text1"/>
        </w:rPr>
        <w:t>Strategic factors should inform investment decisions beyond financial measurements. Option B requires market study of e-commerce market growth, competition intensity, and consumer behaviour tendencies towards online shopping. Digitalisation in the curtain and blinds market may favour internet-based business models.</w:t>
      </w:r>
    </w:p>
    <w:p w14:paraId="0D7392CE" w14:textId="77777777" w:rsidR="002D3279" w:rsidRPr="009252D7" w:rsidRDefault="002D3279" w:rsidP="002D3279">
      <w:pPr>
        <w:spacing w:line="360" w:lineRule="auto"/>
        <w:jc w:val="both"/>
        <w:rPr>
          <w:color w:val="000000" w:themeColor="text1"/>
        </w:rPr>
      </w:pPr>
      <w:r w:rsidRPr="009252D7">
        <w:rPr>
          <w:color w:val="000000" w:themeColor="text1"/>
        </w:rPr>
        <w:t>Assess strategic fit with key competencies. Does Westward Plc have the digital marketing, technology, and logistics skills for e-commerce success? Superior product quality, customer service, or operational efficiency must be highlighted as competitive advantages. Implementation risks include technology failures, cybersecurity threats, market acceptability uncertainty, and competition responses should be assessed. Option C has product diversity into wooden and Roman blinds, which may reduce revenue volatility.</w:t>
      </w:r>
    </w:p>
    <w:p w14:paraId="42291A59" w14:textId="07C2C046" w:rsidR="002D3279" w:rsidRPr="009252D7" w:rsidRDefault="002D3279" w:rsidP="002D3279">
      <w:pPr>
        <w:spacing w:line="360" w:lineRule="auto"/>
        <w:jc w:val="both"/>
        <w:rPr>
          <w:color w:val="000000" w:themeColor="text1"/>
        </w:rPr>
      </w:pPr>
      <w:r w:rsidRPr="009252D7">
        <w:rPr>
          <w:color w:val="000000" w:themeColor="text1"/>
        </w:rPr>
        <w:t xml:space="preserve">Resource availability includes capital, human resources, management capacity, and operational capabilities needed for execution. With stakeholders demanding environmental responsibility throughout the value chain, sustainability factors increasingly affect investment </w:t>
      </w:r>
      <w:r w:rsidRPr="009252D7">
        <w:rPr>
          <w:color w:val="000000" w:themeColor="text1"/>
        </w:rPr>
        <w:lastRenderedPageBreak/>
        <w:t>decisions. For Option B on data protection and consumer rights in e-commerce, regulatory compliance is crucial.</w:t>
      </w:r>
    </w:p>
    <w:p w14:paraId="3DE4955C" w14:textId="746D77E9" w:rsidR="002D3279" w:rsidRPr="009252D7" w:rsidRDefault="008268BE" w:rsidP="002D3279">
      <w:pPr>
        <w:pStyle w:val="Heading1"/>
        <w:rPr>
          <w:rFonts w:ascii="Times New Roman" w:hAnsi="Times New Roman" w:cs="Times New Roman"/>
          <w:b/>
          <w:bCs/>
          <w:color w:val="000000" w:themeColor="text1"/>
          <w:sz w:val="24"/>
          <w:szCs w:val="24"/>
        </w:rPr>
      </w:pPr>
      <w:bookmarkStart w:id="36" w:name="_Toc218979668"/>
      <w:r>
        <w:rPr>
          <w:rFonts w:ascii="Times New Roman" w:hAnsi="Times New Roman" w:cs="Times New Roman"/>
          <w:b/>
          <w:bCs/>
          <w:color w:val="000000" w:themeColor="text1"/>
          <w:sz w:val="24"/>
          <w:szCs w:val="24"/>
        </w:rPr>
        <w:t>5</w:t>
      </w:r>
      <w:r w:rsidR="002D3279" w:rsidRPr="009252D7">
        <w:rPr>
          <w:rFonts w:ascii="Times New Roman" w:hAnsi="Times New Roman" w:cs="Times New Roman"/>
          <w:b/>
          <w:bCs/>
          <w:color w:val="000000" w:themeColor="text1"/>
          <w:sz w:val="24"/>
          <w:szCs w:val="24"/>
        </w:rPr>
        <w:t>. Plan for financing</w:t>
      </w:r>
      <w:bookmarkEnd w:id="36"/>
    </w:p>
    <w:p w14:paraId="0542B9C6" w14:textId="199804C1" w:rsidR="002D3279" w:rsidRPr="009252D7" w:rsidRDefault="008268BE" w:rsidP="002D3279">
      <w:pPr>
        <w:pStyle w:val="Heading2"/>
        <w:rPr>
          <w:rFonts w:ascii="Times New Roman" w:hAnsi="Times New Roman" w:cs="Times New Roman"/>
          <w:color w:val="000000" w:themeColor="text1"/>
          <w:sz w:val="24"/>
          <w:szCs w:val="24"/>
        </w:rPr>
      </w:pPr>
      <w:bookmarkStart w:id="37" w:name="_Toc218979669"/>
      <w:r>
        <w:rPr>
          <w:rFonts w:ascii="Times New Roman" w:hAnsi="Times New Roman" w:cs="Times New Roman"/>
          <w:color w:val="000000" w:themeColor="text1"/>
          <w:sz w:val="24"/>
          <w:szCs w:val="24"/>
        </w:rPr>
        <w:t>5</w:t>
      </w:r>
      <w:r w:rsidR="002D3279" w:rsidRPr="009252D7">
        <w:rPr>
          <w:rFonts w:ascii="Times New Roman" w:hAnsi="Times New Roman" w:cs="Times New Roman"/>
          <w:color w:val="000000" w:themeColor="text1"/>
          <w:sz w:val="24"/>
          <w:szCs w:val="24"/>
        </w:rPr>
        <w:t>.1 Financing with Equity</w:t>
      </w:r>
      <w:bookmarkEnd w:id="37"/>
    </w:p>
    <w:p w14:paraId="6BDDA21D" w14:textId="77777777" w:rsidR="002D3279" w:rsidRPr="009252D7" w:rsidRDefault="002D3279" w:rsidP="002D3279">
      <w:pPr>
        <w:spacing w:line="360" w:lineRule="auto"/>
        <w:jc w:val="both"/>
        <w:rPr>
          <w:color w:val="000000" w:themeColor="text1"/>
        </w:rPr>
      </w:pPr>
      <w:r w:rsidRPr="009252D7">
        <w:rPr>
          <w:color w:val="000000" w:themeColor="text1"/>
        </w:rPr>
        <w:t>The issue of additional ordinary shares as a form of equity financing provides perpetual capital with no repayment or fixed interest payments, strengthening the balance sheet, reducing financial risk, and improving credit ratings. Equity holders accept residual returns and, therefore, have a common interest in the creation of value over the long term. However, equity is relatively expensive because investors demand higher returns to compensate for the greater risk compared with debt holders. Additional share issues dilute existing ownership and may lower earnings per share and control. Dividends are also not tax-deductible unlike interest on debt.</w:t>
      </w:r>
    </w:p>
    <w:p w14:paraId="30A133CA" w14:textId="792AD6FF" w:rsidR="002D3279" w:rsidRPr="009252D7" w:rsidRDefault="008268BE" w:rsidP="002D3279">
      <w:pPr>
        <w:pStyle w:val="Heading2"/>
        <w:rPr>
          <w:rFonts w:ascii="Times New Roman" w:hAnsi="Times New Roman" w:cs="Times New Roman"/>
          <w:color w:val="000000" w:themeColor="text1"/>
          <w:sz w:val="24"/>
          <w:szCs w:val="24"/>
        </w:rPr>
      </w:pPr>
      <w:bookmarkStart w:id="38" w:name="_Toc218979670"/>
      <w:r>
        <w:rPr>
          <w:rFonts w:ascii="Times New Roman" w:hAnsi="Times New Roman" w:cs="Times New Roman"/>
          <w:color w:val="000000" w:themeColor="text1"/>
          <w:sz w:val="24"/>
          <w:szCs w:val="24"/>
        </w:rPr>
        <w:t>5</w:t>
      </w:r>
      <w:r w:rsidR="002D3279" w:rsidRPr="009252D7">
        <w:rPr>
          <w:rFonts w:ascii="Times New Roman" w:hAnsi="Times New Roman" w:cs="Times New Roman"/>
          <w:color w:val="000000" w:themeColor="text1"/>
          <w:sz w:val="24"/>
          <w:szCs w:val="24"/>
        </w:rPr>
        <w:t>.2 Accessing capital through debt</w:t>
      </w:r>
      <w:bookmarkEnd w:id="38"/>
    </w:p>
    <w:p w14:paraId="334C8C99" w14:textId="77777777" w:rsidR="002D3279" w:rsidRPr="009252D7" w:rsidRDefault="002D3279" w:rsidP="002D3279">
      <w:pPr>
        <w:spacing w:line="360" w:lineRule="auto"/>
        <w:jc w:val="both"/>
        <w:rPr>
          <w:color w:val="000000" w:themeColor="text1"/>
        </w:rPr>
      </w:pPr>
      <w:r w:rsidRPr="009252D7">
        <w:rPr>
          <w:color w:val="000000" w:themeColor="text1"/>
        </w:rPr>
        <w:t xml:space="preserve">Long-term debt, such as bank loans or corporate bonds, provides substantial capital at a lower cost than equity, since debt investors accept lower returns in exchange for priority rights and security. Interest payments are tax-deductible, producing significant tax shields that reduce the effective cost of borrowing (Atrill, 2019). Debt preserves existing shareholders' control and prevents ownership dilution. Debt involves fixed commitments that do not vary with profitability and thus increase financial risk. Excessive leverage can lead to restrictive covenants that will hamper operational flexibility. In poor economic conditions, the costs of servicing debt may increase and could trigger financial distress. </w:t>
      </w:r>
    </w:p>
    <w:p w14:paraId="1ABA969C" w14:textId="77777777" w:rsidR="002D3279" w:rsidRPr="009252D7" w:rsidRDefault="002D3279" w:rsidP="002D3279">
      <w:pPr>
        <w:spacing w:line="360" w:lineRule="auto"/>
        <w:jc w:val="both"/>
        <w:rPr>
          <w:color w:val="000000" w:themeColor="text1"/>
        </w:rPr>
      </w:pPr>
    </w:p>
    <w:p w14:paraId="0330AE06" w14:textId="7F721BA1" w:rsidR="002D3279" w:rsidRPr="009252D7" w:rsidRDefault="008268BE" w:rsidP="002D3279">
      <w:pPr>
        <w:pStyle w:val="Heading2"/>
        <w:rPr>
          <w:rFonts w:ascii="Times New Roman" w:hAnsi="Times New Roman" w:cs="Times New Roman"/>
          <w:color w:val="000000" w:themeColor="text1"/>
          <w:sz w:val="24"/>
          <w:szCs w:val="24"/>
        </w:rPr>
      </w:pPr>
      <w:bookmarkStart w:id="39" w:name="_Toc218979671"/>
      <w:r>
        <w:rPr>
          <w:rFonts w:ascii="Times New Roman" w:hAnsi="Times New Roman" w:cs="Times New Roman"/>
          <w:color w:val="000000" w:themeColor="text1"/>
          <w:sz w:val="24"/>
          <w:szCs w:val="24"/>
        </w:rPr>
        <w:t>5</w:t>
      </w:r>
      <w:r w:rsidR="002D3279" w:rsidRPr="009252D7">
        <w:rPr>
          <w:rFonts w:ascii="Times New Roman" w:hAnsi="Times New Roman" w:cs="Times New Roman"/>
          <w:color w:val="000000" w:themeColor="text1"/>
          <w:sz w:val="24"/>
          <w:szCs w:val="24"/>
        </w:rPr>
        <w:t>.3 Retained Earnings:</w:t>
      </w:r>
      <w:bookmarkEnd w:id="39"/>
    </w:p>
    <w:p w14:paraId="7D90DD5D" w14:textId="77777777" w:rsidR="002D3279" w:rsidRPr="009252D7" w:rsidRDefault="002D3279" w:rsidP="002D3279">
      <w:pPr>
        <w:spacing w:line="360" w:lineRule="auto"/>
        <w:jc w:val="both"/>
        <w:rPr>
          <w:color w:val="000000" w:themeColor="text1"/>
        </w:rPr>
      </w:pPr>
      <w:r w:rsidRPr="009252D7">
        <w:rPr>
          <w:color w:val="000000" w:themeColor="text1"/>
        </w:rPr>
        <w:t xml:space="preserve"> Financing through internally retained profits provides the most flexibility and is least costly, since there are no issuance costs or timing problems. Retained earnings maintain strategic plans within the corporation and do not require immediate dividend payments. Growth can be hindered by restricted supply, and shareholders may want dividends rather than direct reinvestment. The opportunity cost is the return that the shareholders might earn from alternative investments in securities of similar risk.</w:t>
      </w:r>
    </w:p>
    <w:p w14:paraId="39893A0A" w14:textId="77777777" w:rsidR="002D3279" w:rsidRPr="009252D7" w:rsidRDefault="002D3279" w:rsidP="002D3279">
      <w:pPr>
        <w:spacing w:line="360" w:lineRule="auto"/>
        <w:jc w:val="both"/>
        <w:rPr>
          <w:color w:val="000000" w:themeColor="text1"/>
        </w:rPr>
      </w:pPr>
    </w:p>
    <w:p w14:paraId="608468C6" w14:textId="6F0F5DDB" w:rsidR="002D3279" w:rsidRPr="009252D7" w:rsidRDefault="008268BE" w:rsidP="002D3279">
      <w:pPr>
        <w:pStyle w:val="Heading2"/>
        <w:rPr>
          <w:rFonts w:ascii="Times New Roman" w:hAnsi="Times New Roman" w:cs="Times New Roman"/>
          <w:color w:val="000000" w:themeColor="text1"/>
          <w:sz w:val="24"/>
          <w:szCs w:val="24"/>
        </w:rPr>
      </w:pPr>
      <w:bookmarkStart w:id="40" w:name="_Toc218979672"/>
      <w:r>
        <w:rPr>
          <w:rFonts w:ascii="Times New Roman" w:hAnsi="Times New Roman" w:cs="Times New Roman"/>
          <w:color w:val="000000" w:themeColor="text1"/>
          <w:sz w:val="24"/>
          <w:szCs w:val="24"/>
        </w:rPr>
        <w:t>5</w:t>
      </w:r>
      <w:r w:rsidR="002D3279" w:rsidRPr="009252D7">
        <w:rPr>
          <w:rFonts w:ascii="Times New Roman" w:hAnsi="Times New Roman" w:cs="Times New Roman"/>
          <w:color w:val="000000" w:themeColor="text1"/>
          <w:sz w:val="24"/>
          <w:szCs w:val="24"/>
        </w:rPr>
        <w:t>.4 Proposed Financing Structure:</w:t>
      </w:r>
      <w:bookmarkEnd w:id="40"/>
    </w:p>
    <w:p w14:paraId="52B45749" w14:textId="77777777" w:rsidR="002D3279" w:rsidRPr="009252D7" w:rsidRDefault="002D3279" w:rsidP="002D3279">
      <w:pPr>
        <w:spacing w:line="360" w:lineRule="auto"/>
        <w:jc w:val="both"/>
        <w:rPr>
          <w:color w:val="000000" w:themeColor="text1"/>
        </w:rPr>
      </w:pPr>
      <w:r w:rsidRPr="009252D7">
        <w:rPr>
          <w:color w:val="000000" w:themeColor="text1"/>
        </w:rPr>
        <w:t>The capital structure is enhanced through a comprehensive strategy that integrates multiple funding sources. It is proposed for the required £2,500,000 that:</w:t>
      </w:r>
    </w:p>
    <w:p w14:paraId="6B855FD0" w14:textId="77777777" w:rsidR="002D3279" w:rsidRPr="009252D7" w:rsidRDefault="002D3279" w:rsidP="002D3279">
      <w:pPr>
        <w:numPr>
          <w:ilvl w:val="0"/>
          <w:numId w:val="7"/>
        </w:numPr>
        <w:spacing w:line="360" w:lineRule="auto"/>
        <w:jc w:val="both"/>
        <w:rPr>
          <w:color w:val="000000" w:themeColor="text1"/>
        </w:rPr>
      </w:pPr>
      <w:r w:rsidRPr="009252D7">
        <w:rPr>
          <w:color w:val="000000" w:themeColor="text1"/>
        </w:rPr>
        <w:lastRenderedPageBreak/>
        <w:t>1,000,000£ from retained earnings (40%)</w:t>
      </w:r>
    </w:p>
    <w:p w14:paraId="76B995A9" w14:textId="77777777" w:rsidR="002D3279" w:rsidRPr="009252D7" w:rsidRDefault="002D3279" w:rsidP="002D3279">
      <w:pPr>
        <w:numPr>
          <w:ilvl w:val="0"/>
          <w:numId w:val="7"/>
        </w:numPr>
        <w:spacing w:line="360" w:lineRule="auto"/>
        <w:jc w:val="both"/>
        <w:rPr>
          <w:color w:val="000000" w:themeColor="text1"/>
        </w:rPr>
      </w:pPr>
      <w:r w:rsidRPr="009252D7">
        <w:rPr>
          <w:color w:val="000000" w:themeColor="text1"/>
        </w:rPr>
        <w:t>£1,000,000 from long-term debt (40%)</w:t>
      </w:r>
    </w:p>
    <w:p w14:paraId="48AF7233" w14:textId="77777777" w:rsidR="002D3279" w:rsidRPr="009252D7" w:rsidRDefault="002D3279" w:rsidP="002D3279">
      <w:pPr>
        <w:numPr>
          <w:ilvl w:val="0"/>
          <w:numId w:val="7"/>
        </w:numPr>
        <w:spacing w:line="360" w:lineRule="auto"/>
        <w:jc w:val="both"/>
        <w:rPr>
          <w:color w:val="000000" w:themeColor="text1"/>
        </w:rPr>
      </w:pPr>
      <w:r w:rsidRPr="009252D7">
        <w:rPr>
          <w:color w:val="000000" w:themeColor="text1"/>
        </w:rPr>
        <w:t>£500,000 via the issue of equity (20%)</w:t>
      </w:r>
    </w:p>
    <w:p w14:paraId="0DBCE778" w14:textId="77777777" w:rsidR="002D3279" w:rsidRPr="009252D7" w:rsidRDefault="002D3279" w:rsidP="002D3279">
      <w:pPr>
        <w:spacing w:line="360" w:lineRule="auto"/>
        <w:jc w:val="both"/>
        <w:rPr>
          <w:color w:val="000000" w:themeColor="text1"/>
        </w:rPr>
      </w:pPr>
      <w:r w:rsidRPr="009252D7">
        <w:rPr>
          <w:color w:val="000000" w:themeColor="text1"/>
        </w:rPr>
        <w:t>This framework maintains financial flexibility while reducing the weighted average cost of capital. The moderate level of debt leverages the tax advantages without introducing substantial financial risk, while equity participation provides assurance to external stakeholders.</w:t>
      </w:r>
    </w:p>
    <w:p w14:paraId="2308B160" w14:textId="77777777" w:rsidR="002D3279" w:rsidRPr="009252D7" w:rsidRDefault="002D3279" w:rsidP="002D3279">
      <w:pPr>
        <w:spacing w:line="360" w:lineRule="auto"/>
        <w:jc w:val="both"/>
        <w:rPr>
          <w:color w:val="000000" w:themeColor="text1"/>
        </w:rPr>
      </w:pPr>
    </w:p>
    <w:p w14:paraId="1F896DFE" w14:textId="310790A2" w:rsidR="002D3279" w:rsidRPr="009252D7" w:rsidRDefault="008268BE" w:rsidP="002D3279">
      <w:pPr>
        <w:pStyle w:val="Heading1"/>
        <w:rPr>
          <w:rFonts w:ascii="Times New Roman" w:hAnsi="Times New Roman" w:cs="Times New Roman"/>
          <w:b/>
          <w:bCs/>
          <w:color w:val="000000" w:themeColor="text1"/>
          <w:sz w:val="24"/>
          <w:szCs w:val="24"/>
        </w:rPr>
      </w:pPr>
      <w:bookmarkStart w:id="41" w:name="_Toc218979673"/>
      <w:r>
        <w:rPr>
          <w:rFonts w:ascii="Times New Roman" w:hAnsi="Times New Roman" w:cs="Times New Roman"/>
          <w:b/>
          <w:bCs/>
          <w:color w:val="000000" w:themeColor="text1"/>
          <w:sz w:val="24"/>
          <w:szCs w:val="24"/>
        </w:rPr>
        <w:t>6</w:t>
      </w:r>
      <w:r w:rsidR="002D3279" w:rsidRPr="009252D7">
        <w:rPr>
          <w:rFonts w:ascii="Times New Roman" w:hAnsi="Times New Roman" w:cs="Times New Roman"/>
          <w:b/>
          <w:bCs/>
          <w:color w:val="000000" w:themeColor="text1"/>
          <w:sz w:val="24"/>
          <w:szCs w:val="24"/>
        </w:rPr>
        <w:t>. Conclusion:</w:t>
      </w:r>
      <w:bookmarkEnd w:id="41"/>
    </w:p>
    <w:p w14:paraId="764D7300" w14:textId="77777777" w:rsidR="002D3279" w:rsidRDefault="002D3279" w:rsidP="002D3279">
      <w:pPr>
        <w:spacing w:line="360" w:lineRule="auto"/>
        <w:jc w:val="both"/>
        <w:rPr>
          <w:color w:val="000000" w:themeColor="text1"/>
        </w:rPr>
      </w:pPr>
      <w:r w:rsidRPr="009252D7">
        <w:rPr>
          <w:color w:val="000000" w:themeColor="text1"/>
        </w:rPr>
        <w:t>The detailed investment analysis indicates that Option B, Internet Sales Development, is the best individual investment, with a maximum NPV of £792,245 and IRR of about 32.45%. In the capital rationing situation where only £2,500,000 is available, the best overall strategy involves investing in all three projects proportionally according to profitability indices, which would result in an overall NPV of £1,853,109. The proposed investment program should be financed through a balanced capital structure-one that combines retained earnings, long-term debt, and limited equity issuance. This optimizes the efficiency of capital but at the same time allows the enterprise to maintain financial stability and strategic flexibility. Implementation should be done in consideration of such strategic factors as market conditions, competitive dynamics, operational capabilities, and risk management. Routine post-implementation audits will help verify whether actual performance is in line with projections and will ensure appropriate remedial action.</w:t>
      </w:r>
    </w:p>
    <w:p w14:paraId="1441BD04" w14:textId="77777777" w:rsidR="002D3279" w:rsidRDefault="002D3279" w:rsidP="002D3279">
      <w:pPr>
        <w:spacing w:line="360" w:lineRule="auto"/>
        <w:jc w:val="both"/>
        <w:rPr>
          <w:color w:val="000000" w:themeColor="text1"/>
        </w:rPr>
      </w:pPr>
    </w:p>
    <w:p w14:paraId="38FCF93A" w14:textId="77777777" w:rsidR="002D3279" w:rsidRDefault="002D3279" w:rsidP="002D3279">
      <w:pPr>
        <w:spacing w:line="360" w:lineRule="auto"/>
        <w:jc w:val="both"/>
        <w:rPr>
          <w:color w:val="000000" w:themeColor="text1"/>
        </w:rPr>
      </w:pPr>
    </w:p>
    <w:p w14:paraId="5BF1F771" w14:textId="77777777" w:rsidR="002D3279" w:rsidRDefault="002D3279" w:rsidP="002D3279">
      <w:pPr>
        <w:spacing w:line="360" w:lineRule="auto"/>
        <w:jc w:val="both"/>
        <w:rPr>
          <w:color w:val="000000" w:themeColor="text1"/>
        </w:rPr>
      </w:pPr>
    </w:p>
    <w:p w14:paraId="6CAE8DEE" w14:textId="77777777" w:rsidR="002D3279" w:rsidRDefault="002D3279" w:rsidP="002D3279">
      <w:pPr>
        <w:spacing w:line="360" w:lineRule="auto"/>
        <w:jc w:val="both"/>
        <w:rPr>
          <w:color w:val="000000" w:themeColor="text1"/>
        </w:rPr>
      </w:pPr>
    </w:p>
    <w:p w14:paraId="7F87C22B" w14:textId="77777777" w:rsidR="002D3279" w:rsidRDefault="002D3279" w:rsidP="002D3279">
      <w:pPr>
        <w:spacing w:line="360" w:lineRule="auto"/>
        <w:jc w:val="both"/>
        <w:rPr>
          <w:color w:val="000000" w:themeColor="text1"/>
        </w:rPr>
      </w:pPr>
    </w:p>
    <w:p w14:paraId="1630DC3E" w14:textId="77777777" w:rsidR="002D3279" w:rsidRDefault="002D3279" w:rsidP="002D3279">
      <w:pPr>
        <w:spacing w:line="360" w:lineRule="auto"/>
        <w:jc w:val="both"/>
        <w:rPr>
          <w:color w:val="000000" w:themeColor="text1"/>
        </w:rPr>
      </w:pPr>
    </w:p>
    <w:p w14:paraId="6B7DEA4C" w14:textId="77777777" w:rsidR="002D3279" w:rsidRDefault="002D3279" w:rsidP="002D3279">
      <w:pPr>
        <w:spacing w:line="360" w:lineRule="auto"/>
        <w:jc w:val="both"/>
        <w:rPr>
          <w:color w:val="000000" w:themeColor="text1"/>
        </w:rPr>
      </w:pPr>
    </w:p>
    <w:p w14:paraId="1738D9E2" w14:textId="77777777" w:rsidR="002D3279" w:rsidRDefault="002D3279" w:rsidP="002D3279">
      <w:pPr>
        <w:spacing w:line="360" w:lineRule="auto"/>
        <w:jc w:val="both"/>
        <w:rPr>
          <w:color w:val="000000" w:themeColor="text1"/>
        </w:rPr>
      </w:pPr>
    </w:p>
    <w:p w14:paraId="7B0B7137" w14:textId="77777777" w:rsidR="002D3279" w:rsidRPr="00723A02" w:rsidRDefault="002D3279" w:rsidP="008268BE">
      <w:pPr>
        <w:pStyle w:val="Heading1"/>
      </w:pPr>
      <w:bookmarkStart w:id="42" w:name="_Toc218979674"/>
      <w:r w:rsidRPr="00723A02">
        <w:lastRenderedPageBreak/>
        <w:t>REFERENCES:</w:t>
      </w:r>
      <w:bookmarkEnd w:id="42"/>
    </w:p>
    <w:p w14:paraId="01033B14" w14:textId="77777777" w:rsidR="002D3279" w:rsidRPr="00723A02" w:rsidRDefault="002D3279" w:rsidP="002D3279">
      <w:pPr>
        <w:spacing w:line="360" w:lineRule="auto"/>
        <w:jc w:val="both"/>
        <w:rPr>
          <w:color w:val="000000" w:themeColor="text1"/>
        </w:rPr>
      </w:pPr>
      <w:r w:rsidRPr="00723A02">
        <w:rPr>
          <w:color w:val="000000" w:themeColor="text1"/>
        </w:rPr>
        <w:t>Atrill, P. (2019) Financial Management for Decision Makers. 9th edn. Pearson.</w:t>
      </w:r>
    </w:p>
    <w:p w14:paraId="73FE178C" w14:textId="77777777" w:rsidR="002D3279" w:rsidRPr="00723A02" w:rsidRDefault="002D3279" w:rsidP="002D3279">
      <w:pPr>
        <w:spacing w:line="360" w:lineRule="auto"/>
        <w:jc w:val="both"/>
        <w:rPr>
          <w:color w:val="000000" w:themeColor="text1"/>
        </w:rPr>
      </w:pPr>
      <w:r w:rsidRPr="00723A02">
        <w:rPr>
          <w:color w:val="000000" w:themeColor="text1"/>
        </w:rPr>
        <w:t xml:space="preserve">Bank of England (2024) </w:t>
      </w:r>
      <w:r w:rsidRPr="00723A02">
        <w:rPr>
          <w:i/>
          <w:iCs/>
          <w:color w:val="000000" w:themeColor="text1"/>
        </w:rPr>
        <w:t>Financial Stability Report</w:t>
      </w:r>
      <w:r w:rsidRPr="00723A02">
        <w:rPr>
          <w:color w:val="000000" w:themeColor="text1"/>
        </w:rPr>
        <w:t>. London: Bank of England.</w:t>
      </w:r>
    </w:p>
    <w:p w14:paraId="75DA5948" w14:textId="77777777" w:rsidR="002D3279" w:rsidRPr="00723A02" w:rsidRDefault="002D3279" w:rsidP="002D3279">
      <w:pPr>
        <w:spacing w:line="360" w:lineRule="auto"/>
        <w:jc w:val="both"/>
        <w:rPr>
          <w:color w:val="000000" w:themeColor="text1"/>
        </w:rPr>
      </w:pPr>
      <w:r w:rsidRPr="00723A02">
        <w:rPr>
          <w:color w:val="000000" w:themeColor="text1"/>
        </w:rPr>
        <w:t>Bank of England (2024) The UK banking system and financial stability. London: BoE.</w:t>
      </w:r>
      <w:r w:rsidRPr="00723A02">
        <w:rPr>
          <w:color w:val="000000" w:themeColor="text1"/>
        </w:rPr>
        <w:br/>
        <w:t>Deloitte (2023) 2024 banking and capital markets outlook. London: Deloitte Insights.</w:t>
      </w:r>
      <w:r w:rsidRPr="00723A02">
        <w:rPr>
          <w:color w:val="000000" w:themeColor="text1"/>
        </w:rPr>
        <w:br/>
        <w:t>Financial Times (2024) UK banks face margin pressure amid rising competition. London: FT.</w:t>
      </w:r>
      <w:r w:rsidRPr="00723A02">
        <w:rPr>
          <w:color w:val="000000" w:themeColor="text1"/>
        </w:rPr>
        <w:br/>
        <w:t>HSBC UK Bank plc (2024) Annual Report and Accounts 2024. Birmingham: HSBC UK Bank plc.</w:t>
      </w:r>
      <w:r w:rsidRPr="00723A02">
        <w:rPr>
          <w:color w:val="000000" w:themeColor="text1"/>
        </w:rPr>
        <w:br/>
        <w:t>PwC (2023) ESG and sustainability in financial services. London: PwC.</w:t>
      </w:r>
    </w:p>
    <w:p w14:paraId="54A01B76" w14:textId="77777777" w:rsidR="002D3279" w:rsidRPr="00723A02" w:rsidRDefault="002D3279" w:rsidP="002D3279">
      <w:pPr>
        <w:spacing w:line="360" w:lineRule="auto"/>
        <w:jc w:val="both"/>
        <w:rPr>
          <w:color w:val="000000" w:themeColor="text1"/>
        </w:rPr>
      </w:pPr>
      <w:r w:rsidRPr="00723A02">
        <w:rPr>
          <w:color w:val="000000" w:themeColor="text1"/>
        </w:rPr>
        <w:t>Bekaert, G. (2017) International Financial Management. 3rd edn. Cambridge University Press.</w:t>
      </w:r>
    </w:p>
    <w:p w14:paraId="1D4A64E5" w14:textId="77777777" w:rsidR="002D3279" w:rsidRPr="00723A02" w:rsidRDefault="002D3279" w:rsidP="002D3279">
      <w:pPr>
        <w:spacing w:line="360" w:lineRule="auto"/>
        <w:jc w:val="both"/>
        <w:rPr>
          <w:color w:val="000000" w:themeColor="text1"/>
        </w:rPr>
      </w:pPr>
      <w:r w:rsidRPr="00723A02">
        <w:rPr>
          <w:color w:val="000000" w:themeColor="text1"/>
        </w:rPr>
        <w:t xml:space="preserve">Deloitte (2023) </w:t>
      </w:r>
      <w:r w:rsidRPr="00723A02">
        <w:rPr>
          <w:i/>
          <w:iCs/>
          <w:color w:val="000000" w:themeColor="text1"/>
        </w:rPr>
        <w:t>Banking Industry Outlook</w:t>
      </w:r>
      <w:r w:rsidRPr="00723A02">
        <w:rPr>
          <w:color w:val="000000" w:themeColor="text1"/>
        </w:rPr>
        <w:t>. London: Deloitte LLP.</w:t>
      </w:r>
    </w:p>
    <w:p w14:paraId="4A0D75AA" w14:textId="77777777" w:rsidR="002D3279" w:rsidRPr="00723A02" w:rsidRDefault="002D3279" w:rsidP="002D3279">
      <w:pPr>
        <w:spacing w:line="360" w:lineRule="auto"/>
        <w:jc w:val="both"/>
        <w:rPr>
          <w:color w:val="000000" w:themeColor="text1"/>
        </w:rPr>
      </w:pPr>
      <w:r w:rsidRPr="00723A02">
        <w:rPr>
          <w:color w:val="000000" w:themeColor="text1"/>
        </w:rPr>
        <w:t>Drury, C. (2020) Management and Cost Accounting. 11th edn. Cengage.</w:t>
      </w:r>
    </w:p>
    <w:p w14:paraId="0167D7BF" w14:textId="77777777" w:rsidR="002D3279" w:rsidRPr="00723A02" w:rsidRDefault="002D3279" w:rsidP="002D3279">
      <w:pPr>
        <w:spacing w:line="360" w:lineRule="auto"/>
        <w:jc w:val="both"/>
        <w:rPr>
          <w:color w:val="000000" w:themeColor="text1"/>
        </w:rPr>
      </w:pPr>
      <w:r w:rsidRPr="00723A02">
        <w:rPr>
          <w:color w:val="000000" w:themeColor="text1"/>
        </w:rPr>
        <w:t xml:space="preserve">Financial Times (2024) </w:t>
      </w:r>
      <w:r w:rsidRPr="00723A02">
        <w:rPr>
          <w:i/>
          <w:iCs/>
          <w:color w:val="000000" w:themeColor="text1"/>
        </w:rPr>
        <w:t>UK Banking Sector Analysis</w:t>
      </w:r>
      <w:r w:rsidRPr="00723A02">
        <w:rPr>
          <w:color w:val="000000" w:themeColor="text1"/>
        </w:rPr>
        <w:t>. London: Financial Times.</w:t>
      </w:r>
    </w:p>
    <w:p w14:paraId="07CC7DD3" w14:textId="77777777" w:rsidR="002D3279" w:rsidRPr="00723A02" w:rsidRDefault="002D3279" w:rsidP="002D3279">
      <w:pPr>
        <w:spacing w:line="360" w:lineRule="auto"/>
        <w:jc w:val="both"/>
        <w:rPr>
          <w:color w:val="000000" w:themeColor="text1"/>
        </w:rPr>
      </w:pPr>
      <w:r w:rsidRPr="00723A02">
        <w:rPr>
          <w:color w:val="000000" w:themeColor="text1"/>
        </w:rPr>
        <w:t xml:space="preserve">HSBC UK Bank plc (2023) </w:t>
      </w:r>
      <w:r w:rsidRPr="00723A02">
        <w:rPr>
          <w:i/>
          <w:iCs/>
          <w:color w:val="000000" w:themeColor="text1"/>
        </w:rPr>
        <w:t>Annual Report and Accounts 2023</w:t>
      </w:r>
      <w:r w:rsidRPr="00723A02">
        <w:rPr>
          <w:color w:val="000000" w:themeColor="text1"/>
        </w:rPr>
        <w:t>. Birmingham: HSBC UK Bank plc.</w:t>
      </w:r>
    </w:p>
    <w:p w14:paraId="4B03CD69" w14:textId="77777777" w:rsidR="002D3279" w:rsidRPr="00723A02" w:rsidRDefault="002D3279" w:rsidP="002D3279">
      <w:pPr>
        <w:spacing w:line="360" w:lineRule="auto"/>
        <w:jc w:val="both"/>
        <w:rPr>
          <w:color w:val="000000" w:themeColor="text1"/>
        </w:rPr>
      </w:pPr>
      <w:r w:rsidRPr="00723A02">
        <w:rPr>
          <w:color w:val="000000" w:themeColor="text1"/>
        </w:rPr>
        <w:t>HSBC UK Bank plc (2023) Annual Report and Accounts 2023. London: HSBC Holdings plc.</w:t>
      </w:r>
      <w:r w:rsidRPr="00723A02">
        <w:rPr>
          <w:color w:val="000000" w:themeColor="text1"/>
        </w:rPr>
        <w:br/>
        <w:t>HSBC UK Bank plc (2024) Annual Report and Accounts 2024. London: HSBC Holdings plc.</w:t>
      </w:r>
      <w:r w:rsidRPr="00723A02">
        <w:rPr>
          <w:color w:val="000000" w:themeColor="text1"/>
        </w:rPr>
        <w:br/>
        <w:t>Gorton, G. (2010) Slapped by the Invisible Hand: The Panic of 2007–2008. Oxford: Oxford University Press.</w:t>
      </w:r>
      <w:r w:rsidRPr="00723A02">
        <w:rPr>
          <w:color w:val="000000" w:themeColor="text1"/>
        </w:rPr>
        <w:br/>
        <w:t>Saunders, A. and Cornett, M.M. (2021) Financial Institutions Management: A Risk Management Approach. 10th edn. New York: McGraw-Hill Education.</w:t>
      </w:r>
    </w:p>
    <w:p w14:paraId="6BEC1E9B" w14:textId="77777777" w:rsidR="002D3279" w:rsidRPr="00723A02" w:rsidRDefault="002D3279" w:rsidP="002D3279">
      <w:pPr>
        <w:spacing w:line="360" w:lineRule="auto"/>
        <w:jc w:val="both"/>
        <w:rPr>
          <w:color w:val="000000" w:themeColor="text1"/>
        </w:rPr>
      </w:pPr>
      <w:r w:rsidRPr="00723A02">
        <w:rPr>
          <w:color w:val="000000" w:themeColor="text1"/>
        </w:rPr>
        <w:t xml:space="preserve">HSBC UK Bank plc (2024) </w:t>
      </w:r>
      <w:r w:rsidRPr="00723A02">
        <w:rPr>
          <w:i/>
          <w:iCs/>
          <w:color w:val="000000" w:themeColor="text1"/>
        </w:rPr>
        <w:t>Annual Report and Accounts 2024</w:t>
      </w:r>
      <w:r w:rsidRPr="00723A02">
        <w:rPr>
          <w:color w:val="000000" w:themeColor="text1"/>
        </w:rPr>
        <w:t>. Birmingham: HSBC UK Bank plc.</w:t>
      </w:r>
    </w:p>
    <w:p w14:paraId="5C5F0037" w14:textId="77777777" w:rsidR="002D3279" w:rsidRPr="00723A02" w:rsidRDefault="002D3279" w:rsidP="002D3279">
      <w:pPr>
        <w:spacing w:line="360" w:lineRule="auto"/>
        <w:jc w:val="both"/>
        <w:rPr>
          <w:color w:val="000000" w:themeColor="text1"/>
        </w:rPr>
      </w:pPr>
      <w:r w:rsidRPr="00723A02">
        <w:rPr>
          <w:color w:val="000000" w:themeColor="text1"/>
        </w:rPr>
        <w:t>Kersten, R. et al. (2017) 'Small Firms, large Impact? A systematic review of the SME Finance Literature', World Development, 97, pp. 330-348.</w:t>
      </w:r>
    </w:p>
    <w:p w14:paraId="43982B00" w14:textId="77777777" w:rsidR="002D3279" w:rsidRDefault="002D3279" w:rsidP="002D3279">
      <w:pPr>
        <w:spacing w:line="360" w:lineRule="auto"/>
        <w:jc w:val="both"/>
        <w:rPr>
          <w:color w:val="000000" w:themeColor="text1"/>
        </w:rPr>
      </w:pPr>
      <w:r w:rsidRPr="00723A02">
        <w:rPr>
          <w:color w:val="000000" w:themeColor="text1"/>
        </w:rPr>
        <w:t xml:space="preserve">PwC (2023) </w:t>
      </w:r>
      <w:r w:rsidRPr="00723A02">
        <w:rPr>
          <w:i/>
          <w:iCs/>
          <w:color w:val="000000" w:themeColor="text1"/>
        </w:rPr>
        <w:t>ESG and Climate Risk in Banking</w:t>
      </w:r>
      <w:r w:rsidRPr="00723A02">
        <w:rPr>
          <w:color w:val="000000" w:themeColor="text1"/>
        </w:rPr>
        <w:t>. London: PricewaterhouseCoopers LLP.</w:t>
      </w:r>
    </w:p>
    <w:p w14:paraId="7A9338B3" w14:textId="77777777" w:rsidR="008268BE" w:rsidRDefault="008268BE" w:rsidP="002D3279">
      <w:pPr>
        <w:pStyle w:val="Heading2"/>
        <w:rPr>
          <w:rFonts w:ascii="Times New Roman" w:hAnsi="Times New Roman" w:cs="Times New Roman"/>
          <w:sz w:val="24"/>
          <w:szCs w:val="24"/>
        </w:rPr>
      </w:pPr>
    </w:p>
    <w:p w14:paraId="06B2B801" w14:textId="77777777" w:rsidR="008268BE" w:rsidRDefault="008268BE" w:rsidP="002D3279">
      <w:pPr>
        <w:pStyle w:val="Heading2"/>
        <w:rPr>
          <w:rFonts w:ascii="Times New Roman" w:hAnsi="Times New Roman" w:cs="Times New Roman"/>
          <w:sz w:val="24"/>
          <w:szCs w:val="24"/>
        </w:rPr>
      </w:pPr>
    </w:p>
    <w:p w14:paraId="4127F69C" w14:textId="58711EAD" w:rsidR="002D3279" w:rsidRPr="000411CC" w:rsidRDefault="002D3279" w:rsidP="002D3279">
      <w:pPr>
        <w:pStyle w:val="Heading2"/>
        <w:rPr>
          <w:rFonts w:ascii="Times New Roman" w:hAnsi="Times New Roman" w:cs="Times New Roman"/>
          <w:sz w:val="24"/>
          <w:szCs w:val="24"/>
        </w:rPr>
      </w:pPr>
      <w:bookmarkStart w:id="43" w:name="_Toc218979675"/>
      <w:r w:rsidRPr="000411CC">
        <w:rPr>
          <w:rFonts w:ascii="Times New Roman" w:hAnsi="Times New Roman" w:cs="Times New Roman"/>
          <w:sz w:val="24"/>
          <w:szCs w:val="24"/>
        </w:rPr>
        <w:t>APPENDICIES</w:t>
      </w:r>
      <w:bookmarkEnd w:id="43"/>
    </w:p>
    <w:p w14:paraId="352C9D9B" w14:textId="77777777" w:rsidR="002D3279" w:rsidRPr="000411CC" w:rsidRDefault="002D3279" w:rsidP="002D3279">
      <w:pPr>
        <w:pStyle w:val="Heading2"/>
        <w:rPr>
          <w:rFonts w:ascii="Times New Roman" w:hAnsi="Times New Roman" w:cs="Times New Roman"/>
          <w:sz w:val="24"/>
          <w:szCs w:val="24"/>
        </w:rPr>
      </w:pPr>
      <w:bookmarkStart w:id="44" w:name="_Toc218979676"/>
      <w:r w:rsidRPr="000411CC">
        <w:rPr>
          <w:rFonts w:ascii="Times New Roman" w:hAnsi="Times New Roman" w:cs="Times New Roman"/>
          <w:sz w:val="24"/>
          <w:szCs w:val="24"/>
        </w:rPr>
        <w:t>Appendix A: Financial Statement Extracts (2023)</w:t>
      </w:r>
      <w:bookmarkEnd w:id="44"/>
    </w:p>
    <w:p w14:paraId="0BA72279" w14:textId="77777777" w:rsidR="002D3279" w:rsidRPr="009252D7" w:rsidRDefault="002D3279" w:rsidP="002D3279">
      <w:pPr>
        <w:spacing w:line="360" w:lineRule="auto"/>
        <w:rPr>
          <w:color w:val="000000" w:themeColor="text1"/>
        </w:rPr>
      </w:pPr>
      <w:r w:rsidRPr="009252D7">
        <w:rPr>
          <w:color w:val="000000" w:themeColor="text1"/>
        </w:rPr>
        <w:t>Entity: HSBC UK Bank plc</w:t>
      </w:r>
      <w:r w:rsidRPr="009252D7">
        <w:rPr>
          <w:color w:val="000000" w:themeColor="text1"/>
        </w:rPr>
        <w:br/>
        <w:t>Reporting Period: Year ended 31 December 2023</w:t>
      </w:r>
      <w:r w:rsidRPr="009252D7">
        <w:rPr>
          <w:color w:val="000000" w:themeColor="text1"/>
        </w:rPr>
        <w:br/>
        <w:t>Currency: GBP (£ millions)</w:t>
      </w:r>
    </w:p>
    <w:p w14:paraId="25E2234C"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Table </w:t>
      </w:r>
      <w:r>
        <w:rPr>
          <w:b/>
          <w:bCs/>
          <w:color w:val="000000" w:themeColor="text1"/>
        </w:rPr>
        <w:t>A</w:t>
      </w:r>
      <w:r w:rsidRPr="009252D7">
        <w:rPr>
          <w:b/>
          <w:bCs/>
          <w:color w:val="000000" w:themeColor="text1"/>
        </w:rPr>
        <w:t>: Source of Financial Figures Used for Profitability Ratio Calculations (FY 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4"/>
        <w:gridCol w:w="1073"/>
        <w:gridCol w:w="1524"/>
        <w:gridCol w:w="3465"/>
      </w:tblGrid>
      <w:tr w:rsidR="002D3279" w:rsidRPr="009252D7" w14:paraId="149975F7" w14:textId="77777777" w:rsidTr="00A42257">
        <w:trPr>
          <w:tblHeader/>
          <w:tblCellSpacing w:w="15" w:type="dxa"/>
        </w:trPr>
        <w:tc>
          <w:tcPr>
            <w:tcW w:w="0" w:type="auto"/>
            <w:vAlign w:val="center"/>
            <w:hideMark/>
          </w:tcPr>
          <w:p w14:paraId="6F70DBF2" w14:textId="77777777" w:rsidR="002D3279" w:rsidRPr="009252D7" w:rsidRDefault="002D3279" w:rsidP="00A42257">
            <w:pPr>
              <w:spacing w:line="360" w:lineRule="auto"/>
              <w:jc w:val="center"/>
              <w:rPr>
                <w:b/>
                <w:bCs/>
                <w:color w:val="000000" w:themeColor="text1"/>
                <w:kern w:val="2"/>
                <w14:ligatures w14:val="standardContextual"/>
              </w:rPr>
            </w:pPr>
            <w:r w:rsidRPr="009252D7">
              <w:rPr>
                <w:b/>
                <w:bCs/>
                <w:color w:val="000000" w:themeColor="text1"/>
                <w:kern w:val="2"/>
                <w14:ligatures w14:val="standardContextual"/>
              </w:rPr>
              <w:t>Financial Figure Used</w:t>
            </w:r>
          </w:p>
        </w:tc>
        <w:tc>
          <w:tcPr>
            <w:tcW w:w="0" w:type="auto"/>
            <w:vAlign w:val="center"/>
            <w:hideMark/>
          </w:tcPr>
          <w:p w14:paraId="57B2BBBD" w14:textId="77777777" w:rsidR="002D3279" w:rsidRPr="009252D7" w:rsidRDefault="002D3279" w:rsidP="00A42257">
            <w:pPr>
              <w:spacing w:line="360" w:lineRule="auto"/>
              <w:jc w:val="center"/>
              <w:rPr>
                <w:b/>
                <w:bCs/>
                <w:color w:val="000000" w:themeColor="text1"/>
                <w:kern w:val="2"/>
                <w14:ligatures w14:val="standardContextual"/>
              </w:rPr>
            </w:pPr>
            <w:r w:rsidRPr="009252D7">
              <w:rPr>
                <w:b/>
                <w:bCs/>
                <w:color w:val="000000" w:themeColor="text1"/>
                <w:kern w:val="2"/>
                <w14:ligatures w14:val="standardContextual"/>
              </w:rPr>
              <w:t>Amount (£m)</w:t>
            </w:r>
          </w:p>
        </w:tc>
        <w:tc>
          <w:tcPr>
            <w:tcW w:w="0" w:type="auto"/>
            <w:vAlign w:val="center"/>
            <w:hideMark/>
          </w:tcPr>
          <w:p w14:paraId="7ED91FFE" w14:textId="77777777" w:rsidR="002D3279" w:rsidRPr="009252D7" w:rsidRDefault="002D3279" w:rsidP="00A42257">
            <w:pPr>
              <w:spacing w:line="360" w:lineRule="auto"/>
              <w:jc w:val="center"/>
              <w:rPr>
                <w:b/>
                <w:bCs/>
                <w:color w:val="000000" w:themeColor="text1"/>
                <w:kern w:val="2"/>
                <w14:ligatures w14:val="standardContextual"/>
              </w:rPr>
            </w:pPr>
            <w:r w:rsidRPr="009252D7">
              <w:rPr>
                <w:b/>
                <w:bCs/>
                <w:color w:val="000000" w:themeColor="text1"/>
                <w:kern w:val="2"/>
                <w14:ligatures w14:val="standardContextual"/>
              </w:rPr>
              <w:t>Used In Ratio</w:t>
            </w:r>
          </w:p>
        </w:tc>
        <w:tc>
          <w:tcPr>
            <w:tcW w:w="0" w:type="auto"/>
            <w:vAlign w:val="center"/>
            <w:hideMark/>
          </w:tcPr>
          <w:p w14:paraId="6AAD4769" w14:textId="77777777" w:rsidR="002D3279" w:rsidRPr="009252D7" w:rsidRDefault="002D3279" w:rsidP="00A42257">
            <w:pPr>
              <w:spacing w:line="360" w:lineRule="auto"/>
              <w:jc w:val="center"/>
              <w:rPr>
                <w:b/>
                <w:bCs/>
                <w:color w:val="000000" w:themeColor="text1"/>
                <w:kern w:val="2"/>
                <w14:ligatures w14:val="standardContextual"/>
              </w:rPr>
            </w:pPr>
            <w:r w:rsidRPr="009252D7">
              <w:rPr>
                <w:b/>
                <w:bCs/>
                <w:color w:val="000000" w:themeColor="text1"/>
                <w:kern w:val="2"/>
                <w14:ligatures w14:val="standardContextual"/>
              </w:rPr>
              <w:t>Exact Source in Annual Report 2023</w:t>
            </w:r>
          </w:p>
        </w:tc>
      </w:tr>
      <w:tr w:rsidR="002D3279" w:rsidRPr="009252D7" w14:paraId="29B4FC2E" w14:textId="77777777" w:rsidTr="00A42257">
        <w:trPr>
          <w:tblCellSpacing w:w="15" w:type="dxa"/>
        </w:trPr>
        <w:tc>
          <w:tcPr>
            <w:tcW w:w="0" w:type="auto"/>
            <w:vAlign w:val="center"/>
            <w:hideMark/>
          </w:tcPr>
          <w:p w14:paraId="5E4F5102"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Profit after tax</w:t>
            </w:r>
          </w:p>
        </w:tc>
        <w:tc>
          <w:tcPr>
            <w:tcW w:w="0" w:type="auto"/>
            <w:vAlign w:val="center"/>
            <w:hideMark/>
          </w:tcPr>
          <w:p w14:paraId="23E3901F"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5,254</w:t>
            </w:r>
          </w:p>
        </w:tc>
        <w:tc>
          <w:tcPr>
            <w:tcW w:w="0" w:type="auto"/>
            <w:vAlign w:val="center"/>
            <w:hideMark/>
          </w:tcPr>
          <w:p w14:paraId="6C1CB94B"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ROE, ROA</w:t>
            </w:r>
          </w:p>
        </w:tc>
        <w:tc>
          <w:tcPr>
            <w:tcW w:w="0" w:type="auto"/>
            <w:vAlign w:val="center"/>
            <w:hideMark/>
          </w:tcPr>
          <w:p w14:paraId="24FD6FC1"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Income Statement</w:t>
            </w:r>
          </w:p>
        </w:tc>
      </w:tr>
      <w:tr w:rsidR="002D3279" w:rsidRPr="009252D7" w14:paraId="48CAE2D2" w14:textId="77777777" w:rsidTr="00A42257">
        <w:trPr>
          <w:tblCellSpacing w:w="15" w:type="dxa"/>
        </w:trPr>
        <w:tc>
          <w:tcPr>
            <w:tcW w:w="0" w:type="auto"/>
            <w:vAlign w:val="center"/>
            <w:hideMark/>
          </w:tcPr>
          <w:p w14:paraId="1F3B4BFA"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Shareholders’ equity – opening balance (31 Dec 2022)</w:t>
            </w:r>
          </w:p>
        </w:tc>
        <w:tc>
          <w:tcPr>
            <w:tcW w:w="0" w:type="auto"/>
            <w:vAlign w:val="center"/>
            <w:hideMark/>
          </w:tcPr>
          <w:p w14:paraId="40DE7270"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22,166</w:t>
            </w:r>
          </w:p>
        </w:tc>
        <w:tc>
          <w:tcPr>
            <w:tcW w:w="0" w:type="auto"/>
            <w:vAlign w:val="center"/>
            <w:hideMark/>
          </w:tcPr>
          <w:p w14:paraId="30D90A81"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ROE (average equity)</w:t>
            </w:r>
          </w:p>
        </w:tc>
        <w:tc>
          <w:tcPr>
            <w:tcW w:w="0" w:type="auto"/>
            <w:vAlign w:val="center"/>
            <w:hideMark/>
          </w:tcPr>
          <w:p w14:paraId="1174CC36"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Balance Sheet</w:t>
            </w:r>
          </w:p>
        </w:tc>
      </w:tr>
      <w:tr w:rsidR="002D3279" w:rsidRPr="009252D7" w14:paraId="4E74A08E" w14:textId="77777777" w:rsidTr="00A42257">
        <w:trPr>
          <w:tblCellSpacing w:w="15" w:type="dxa"/>
        </w:trPr>
        <w:tc>
          <w:tcPr>
            <w:tcW w:w="0" w:type="auto"/>
            <w:vAlign w:val="center"/>
            <w:hideMark/>
          </w:tcPr>
          <w:p w14:paraId="2A6C7CC4"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Shareholders’ equity – closing balance (31 Dec 2023)</w:t>
            </w:r>
          </w:p>
        </w:tc>
        <w:tc>
          <w:tcPr>
            <w:tcW w:w="0" w:type="auto"/>
            <w:vAlign w:val="center"/>
            <w:hideMark/>
          </w:tcPr>
          <w:p w14:paraId="1EFB22F4"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26,010</w:t>
            </w:r>
          </w:p>
        </w:tc>
        <w:tc>
          <w:tcPr>
            <w:tcW w:w="0" w:type="auto"/>
            <w:vAlign w:val="center"/>
            <w:hideMark/>
          </w:tcPr>
          <w:p w14:paraId="2378A383"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ROE (average equity)</w:t>
            </w:r>
          </w:p>
        </w:tc>
        <w:tc>
          <w:tcPr>
            <w:tcW w:w="0" w:type="auto"/>
            <w:vAlign w:val="center"/>
            <w:hideMark/>
          </w:tcPr>
          <w:p w14:paraId="6625AD42"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Balance Sheet</w:t>
            </w:r>
          </w:p>
        </w:tc>
      </w:tr>
      <w:tr w:rsidR="002D3279" w:rsidRPr="009252D7" w14:paraId="634F7438" w14:textId="77777777" w:rsidTr="00A42257">
        <w:trPr>
          <w:tblCellSpacing w:w="15" w:type="dxa"/>
        </w:trPr>
        <w:tc>
          <w:tcPr>
            <w:tcW w:w="0" w:type="auto"/>
            <w:vAlign w:val="center"/>
            <w:hideMark/>
          </w:tcPr>
          <w:p w14:paraId="6B4050C8"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Total assets – opening balance (31 Dec 2022)</w:t>
            </w:r>
          </w:p>
        </w:tc>
        <w:tc>
          <w:tcPr>
            <w:tcW w:w="0" w:type="auto"/>
            <w:vAlign w:val="center"/>
            <w:hideMark/>
          </w:tcPr>
          <w:p w14:paraId="1D6809C3"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342,441</w:t>
            </w:r>
          </w:p>
        </w:tc>
        <w:tc>
          <w:tcPr>
            <w:tcW w:w="0" w:type="auto"/>
            <w:vAlign w:val="center"/>
            <w:hideMark/>
          </w:tcPr>
          <w:p w14:paraId="3B4B301E"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ROA (average assets)</w:t>
            </w:r>
          </w:p>
        </w:tc>
        <w:tc>
          <w:tcPr>
            <w:tcW w:w="0" w:type="auto"/>
            <w:vAlign w:val="center"/>
            <w:hideMark/>
          </w:tcPr>
          <w:p w14:paraId="4E81C42B"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Balance Sheet</w:t>
            </w:r>
          </w:p>
        </w:tc>
      </w:tr>
      <w:tr w:rsidR="002D3279" w:rsidRPr="009252D7" w14:paraId="4A1ED32C" w14:textId="77777777" w:rsidTr="00A42257">
        <w:trPr>
          <w:tblCellSpacing w:w="15" w:type="dxa"/>
        </w:trPr>
        <w:tc>
          <w:tcPr>
            <w:tcW w:w="0" w:type="auto"/>
            <w:vAlign w:val="center"/>
            <w:hideMark/>
          </w:tcPr>
          <w:p w14:paraId="7A2A76EF"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Total assets – closing balance (31 Dec 2023)</w:t>
            </w:r>
          </w:p>
        </w:tc>
        <w:tc>
          <w:tcPr>
            <w:tcW w:w="0" w:type="auto"/>
            <w:vAlign w:val="center"/>
            <w:hideMark/>
          </w:tcPr>
          <w:p w14:paraId="4A21B2EC"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332,876</w:t>
            </w:r>
          </w:p>
        </w:tc>
        <w:tc>
          <w:tcPr>
            <w:tcW w:w="0" w:type="auto"/>
            <w:vAlign w:val="center"/>
            <w:hideMark/>
          </w:tcPr>
          <w:p w14:paraId="09D9EA92"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ROA (average assets)</w:t>
            </w:r>
          </w:p>
        </w:tc>
        <w:tc>
          <w:tcPr>
            <w:tcW w:w="0" w:type="auto"/>
            <w:vAlign w:val="center"/>
            <w:hideMark/>
          </w:tcPr>
          <w:p w14:paraId="0808868F"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Balance Sheet</w:t>
            </w:r>
          </w:p>
        </w:tc>
      </w:tr>
      <w:tr w:rsidR="002D3279" w:rsidRPr="009252D7" w14:paraId="69451A3C" w14:textId="77777777" w:rsidTr="00A42257">
        <w:trPr>
          <w:tblCellSpacing w:w="15" w:type="dxa"/>
        </w:trPr>
        <w:tc>
          <w:tcPr>
            <w:tcW w:w="0" w:type="auto"/>
            <w:vAlign w:val="center"/>
            <w:hideMark/>
          </w:tcPr>
          <w:p w14:paraId="1B9813CE"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Net interest income</w:t>
            </w:r>
          </w:p>
        </w:tc>
        <w:tc>
          <w:tcPr>
            <w:tcW w:w="0" w:type="auto"/>
            <w:vAlign w:val="center"/>
            <w:hideMark/>
          </w:tcPr>
          <w:p w14:paraId="343C90FD"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7,787</w:t>
            </w:r>
          </w:p>
        </w:tc>
        <w:tc>
          <w:tcPr>
            <w:tcW w:w="0" w:type="auto"/>
            <w:vAlign w:val="center"/>
            <w:hideMark/>
          </w:tcPr>
          <w:p w14:paraId="12931ADF"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Net Interest Margin (NIM)</w:t>
            </w:r>
          </w:p>
        </w:tc>
        <w:tc>
          <w:tcPr>
            <w:tcW w:w="0" w:type="auto"/>
            <w:vAlign w:val="center"/>
            <w:hideMark/>
          </w:tcPr>
          <w:p w14:paraId="307A9223"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Income Statement / Financial Performance Summary</w:t>
            </w:r>
          </w:p>
        </w:tc>
      </w:tr>
      <w:tr w:rsidR="002D3279" w:rsidRPr="009252D7" w14:paraId="3DEA37DA" w14:textId="77777777" w:rsidTr="00A42257">
        <w:trPr>
          <w:tblCellSpacing w:w="15" w:type="dxa"/>
        </w:trPr>
        <w:tc>
          <w:tcPr>
            <w:tcW w:w="0" w:type="auto"/>
            <w:vAlign w:val="center"/>
            <w:hideMark/>
          </w:tcPr>
          <w:p w14:paraId="1B0C619E"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Average interest-earning assets</w:t>
            </w:r>
          </w:p>
        </w:tc>
        <w:tc>
          <w:tcPr>
            <w:tcW w:w="0" w:type="auto"/>
            <w:vAlign w:val="center"/>
            <w:hideMark/>
          </w:tcPr>
          <w:p w14:paraId="45099A81"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320,354</w:t>
            </w:r>
          </w:p>
        </w:tc>
        <w:tc>
          <w:tcPr>
            <w:tcW w:w="0" w:type="auto"/>
            <w:vAlign w:val="center"/>
            <w:hideMark/>
          </w:tcPr>
          <w:p w14:paraId="1C7911DE"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Net Interest Margin (NIM)</w:t>
            </w:r>
          </w:p>
        </w:tc>
        <w:tc>
          <w:tcPr>
            <w:tcW w:w="0" w:type="auto"/>
            <w:vAlign w:val="center"/>
            <w:hideMark/>
          </w:tcPr>
          <w:p w14:paraId="6BAF44AB"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Key Financial Metrics / Notes to Financial Statements</w:t>
            </w:r>
          </w:p>
        </w:tc>
      </w:tr>
      <w:tr w:rsidR="002D3279" w:rsidRPr="009252D7" w14:paraId="377880C4" w14:textId="77777777" w:rsidTr="00A42257">
        <w:trPr>
          <w:tblCellSpacing w:w="15" w:type="dxa"/>
        </w:trPr>
        <w:tc>
          <w:tcPr>
            <w:tcW w:w="0" w:type="auto"/>
            <w:vAlign w:val="center"/>
            <w:hideMark/>
          </w:tcPr>
          <w:p w14:paraId="5D6D770B"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Operating income (total revenue)</w:t>
            </w:r>
          </w:p>
        </w:tc>
        <w:tc>
          <w:tcPr>
            <w:tcW w:w="0" w:type="auto"/>
            <w:vAlign w:val="center"/>
            <w:hideMark/>
          </w:tcPr>
          <w:p w14:paraId="4B7CBA76"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10,807</w:t>
            </w:r>
          </w:p>
        </w:tc>
        <w:tc>
          <w:tcPr>
            <w:tcW w:w="0" w:type="auto"/>
            <w:vAlign w:val="center"/>
            <w:hideMark/>
          </w:tcPr>
          <w:p w14:paraId="0B0A1610"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Cost-to-Income Ratio</w:t>
            </w:r>
          </w:p>
        </w:tc>
        <w:tc>
          <w:tcPr>
            <w:tcW w:w="0" w:type="auto"/>
            <w:vAlign w:val="center"/>
            <w:hideMark/>
          </w:tcPr>
          <w:p w14:paraId="1CFD2B72"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Income Statement</w:t>
            </w:r>
          </w:p>
        </w:tc>
      </w:tr>
      <w:tr w:rsidR="002D3279" w:rsidRPr="009252D7" w14:paraId="09B65806" w14:textId="77777777" w:rsidTr="00A42257">
        <w:trPr>
          <w:tblCellSpacing w:w="15" w:type="dxa"/>
        </w:trPr>
        <w:tc>
          <w:tcPr>
            <w:tcW w:w="0" w:type="auto"/>
            <w:vAlign w:val="center"/>
            <w:hideMark/>
          </w:tcPr>
          <w:p w14:paraId="24F0BC91"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lastRenderedPageBreak/>
              <w:t>Operating expenses</w:t>
            </w:r>
          </w:p>
        </w:tc>
        <w:tc>
          <w:tcPr>
            <w:tcW w:w="0" w:type="auto"/>
            <w:vAlign w:val="center"/>
            <w:hideMark/>
          </w:tcPr>
          <w:p w14:paraId="427EC697"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3,707</w:t>
            </w:r>
          </w:p>
        </w:tc>
        <w:tc>
          <w:tcPr>
            <w:tcW w:w="0" w:type="auto"/>
            <w:vAlign w:val="center"/>
            <w:hideMark/>
          </w:tcPr>
          <w:p w14:paraId="14956660"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Cost-to-Income Ratio</w:t>
            </w:r>
          </w:p>
        </w:tc>
        <w:tc>
          <w:tcPr>
            <w:tcW w:w="0" w:type="auto"/>
            <w:vAlign w:val="center"/>
            <w:hideMark/>
          </w:tcPr>
          <w:p w14:paraId="42852A58" w14:textId="77777777" w:rsidR="002D3279" w:rsidRPr="009252D7" w:rsidRDefault="002D3279" w:rsidP="00A42257">
            <w:pPr>
              <w:spacing w:line="360" w:lineRule="auto"/>
              <w:jc w:val="center"/>
              <w:rPr>
                <w:color w:val="000000" w:themeColor="text1"/>
                <w:kern w:val="2"/>
                <w14:ligatures w14:val="standardContextual"/>
              </w:rPr>
            </w:pPr>
            <w:r w:rsidRPr="009252D7">
              <w:rPr>
                <w:color w:val="000000" w:themeColor="text1"/>
                <w:kern w:val="2"/>
                <w14:ligatures w14:val="standardContextual"/>
              </w:rPr>
              <w:t>Consolidated Income Statement</w:t>
            </w:r>
          </w:p>
        </w:tc>
      </w:tr>
    </w:tbl>
    <w:p w14:paraId="335BA0CB" w14:textId="77777777" w:rsidR="002D3279" w:rsidRPr="009252D7" w:rsidRDefault="002D3279" w:rsidP="002D3279">
      <w:pPr>
        <w:spacing w:line="360" w:lineRule="auto"/>
        <w:jc w:val="both"/>
        <w:rPr>
          <w:b/>
          <w:bCs/>
          <w:color w:val="000000" w:themeColor="text1"/>
        </w:rPr>
      </w:pPr>
    </w:p>
    <w:p w14:paraId="5D345194" w14:textId="77777777" w:rsidR="002D3279" w:rsidRPr="000411CC" w:rsidRDefault="002D3279" w:rsidP="002D3279">
      <w:pPr>
        <w:pStyle w:val="Heading2"/>
        <w:rPr>
          <w:rFonts w:ascii="Times New Roman" w:hAnsi="Times New Roman" w:cs="Times New Roman"/>
          <w:sz w:val="24"/>
          <w:szCs w:val="24"/>
        </w:rPr>
      </w:pPr>
      <w:bookmarkStart w:id="45" w:name="_Toc218979677"/>
      <w:r w:rsidRPr="000411CC">
        <w:rPr>
          <w:rFonts w:ascii="Times New Roman" w:hAnsi="Times New Roman" w:cs="Times New Roman"/>
          <w:sz w:val="24"/>
          <w:szCs w:val="24"/>
        </w:rPr>
        <w:t>Appendix B: Financial Statement Extracts (2024)</w:t>
      </w:r>
      <w:bookmarkEnd w:id="45"/>
    </w:p>
    <w:p w14:paraId="3B2A7FB2" w14:textId="77777777" w:rsidR="002D3279" w:rsidRPr="009252D7" w:rsidRDefault="002D3279" w:rsidP="002D3279">
      <w:pPr>
        <w:jc w:val="both"/>
        <w:rPr>
          <w:color w:val="000000" w:themeColor="text1"/>
        </w:rPr>
      </w:pPr>
      <w:r w:rsidRPr="009252D7">
        <w:rPr>
          <w:color w:val="000000" w:themeColor="text1"/>
        </w:rPr>
        <w:t>Entity: HSBC UK Bank plc</w:t>
      </w:r>
    </w:p>
    <w:p w14:paraId="68719CD7" w14:textId="77777777" w:rsidR="002D3279" w:rsidRPr="009252D7" w:rsidRDefault="002D3279" w:rsidP="002D3279">
      <w:pPr>
        <w:jc w:val="both"/>
        <w:rPr>
          <w:color w:val="000000" w:themeColor="text1"/>
        </w:rPr>
      </w:pPr>
      <w:r w:rsidRPr="009252D7">
        <w:rPr>
          <w:color w:val="000000" w:themeColor="text1"/>
        </w:rPr>
        <w:t>Reporting Period: Year ended 31 December 2024</w:t>
      </w:r>
    </w:p>
    <w:p w14:paraId="699AC164" w14:textId="77777777" w:rsidR="002D3279" w:rsidRPr="009252D7" w:rsidRDefault="002D3279" w:rsidP="002D3279">
      <w:pPr>
        <w:jc w:val="both"/>
        <w:rPr>
          <w:color w:val="000000" w:themeColor="text1"/>
        </w:rPr>
      </w:pPr>
      <w:r w:rsidRPr="009252D7">
        <w:rPr>
          <w:color w:val="000000" w:themeColor="text1"/>
        </w:rPr>
        <w:t>Currency: GBP (£ millions)</w:t>
      </w:r>
    </w:p>
    <w:p w14:paraId="70F9F8A2"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Table </w:t>
      </w:r>
      <w:r>
        <w:rPr>
          <w:b/>
          <w:bCs/>
          <w:color w:val="000000" w:themeColor="text1"/>
        </w:rPr>
        <w:t>B</w:t>
      </w:r>
      <w:r w:rsidRPr="009252D7">
        <w:rPr>
          <w:b/>
          <w:bCs/>
          <w:color w:val="000000" w:themeColor="text1"/>
        </w:rPr>
        <w:t>: Source of Financial Figures Used for Profitability Ratio Calculations (FY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64"/>
        <w:gridCol w:w="1098"/>
        <w:gridCol w:w="1614"/>
        <w:gridCol w:w="3140"/>
      </w:tblGrid>
      <w:tr w:rsidR="002D3279" w:rsidRPr="009252D7" w14:paraId="5E050C2F" w14:textId="77777777" w:rsidTr="00A42257">
        <w:trPr>
          <w:tblHeader/>
          <w:tblCellSpacing w:w="15" w:type="dxa"/>
        </w:trPr>
        <w:tc>
          <w:tcPr>
            <w:tcW w:w="0" w:type="auto"/>
            <w:vAlign w:val="center"/>
            <w:hideMark/>
          </w:tcPr>
          <w:p w14:paraId="40C460DA" w14:textId="77777777" w:rsidR="002D3279" w:rsidRPr="009252D7" w:rsidRDefault="002D3279" w:rsidP="00A42257">
            <w:pPr>
              <w:spacing w:line="360" w:lineRule="auto"/>
              <w:jc w:val="center"/>
              <w:rPr>
                <w:b/>
                <w:bCs/>
                <w:color w:val="000000" w:themeColor="text1"/>
              </w:rPr>
            </w:pPr>
            <w:r w:rsidRPr="009252D7">
              <w:rPr>
                <w:b/>
                <w:bCs/>
                <w:color w:val="000000" w:themeColor="text1"/>
              </w:rPr>
              <w:t>Financial Figure Used</w:t>
            </w:r>
          </w:p>
        </w:tc>
        <w:tc>
          <w:tcPr>
            <w:tcW w:w="0" w:type="auto"/>
            <w:vAlign w:val="center"/>
            <w:hideMark/>
          </w:tcPr>
          <w:p w14:paraId="48C46ABB" w14:textId="77777777" w:rsidR="002D3279" w:rsidRPr="009252D7" w:rsidRDefault="002D3279" w:rsidP="00A42257">
            <w:pPr>
              <w:spacing w:line="360" w:lineRule="auto"/>
              <w:jc w:val="center"/>
              <w:rPr>
                <w:b/>
                <w:bCs/>
                <w:color w:val="000000" w:themeColor="text1"/>
              </w:rPr>
            </w:pPr>
            <w:r w:rsidRPr="009252D7">
              <w:rPr>
                <w:b/>
                <w:bCs/>
                <w:color w:val="000000" w:themeColor="text1"/>
              </w:rPr>
              <w:t>Amount (£m)</w:t>
            </w:r>
          </w:p>
        </w:tc>
        <w:tc>
          <w:tcPr>
            <w:tcW w:w="0" w:type="auto"/>
            <w:vAlign w:val="center"/>
            <w:hideMark/>
          </w:tcPr>
          <w:p w14:paraId="323F521D" w14:textId="77777777" w:rsidR="002D3279" w:rsidRPr="009252D7" w:rsidRDefault="002D3279" w:rsidP="00A42257">
            <w:pPr>
              <w:spacing w:line="360" w:lineRule="auto"/>
              <w:jc w:val="center"/>
              <w:rPr>
                <w:b/>
                <w:bCs/>
                <w:color w:val="000000" w:themeColor="text1"/>
              </w:rPr>
            </w:pPr>
            <w:r w:rsidRPr="009252D7">
              <w:rPr>
                <w:b/>
                <w:bCs/>
                <w:color w:val="000000" w:themeColor="text1"/>
              </w:rPr>
              <w:t>Used In Ratio</w:t>
            </w:r>
          </w:p>
        </w:tc>
        <w:tc>
          <w:tcPr>
            <w:tcW w:w="0" w:type="auto"/>
            <w:vAlign w:val="center"/>
            <w:hideMark/>
          </w:tcPr>
          <w:p w14:paraId="423DF5A1"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2024</w:t>
            </w:r>
          </w:p>
        </w:tc>
      </w:tr>
      <w:tr w:rsidR="002D3279" w:rsidRPr="009252D7" w14:paraId="5CF59804" w14:textId="77777777" w:rsidTr="00A42257">
        <w:trPr>
          <w:tblCellSpacing w:w="15" w:type="dxa"/>
        </w:trPr>
        <w:tc>
          <w:tcPr>
            <w:tcW w:w="0" w:type="auto"/>
            <w:vAlign w:val="center"/>
            <w:hideMark/>
          </w:tcPr>
          <w:p w14:paraId="02B15A18" w14:textId="77777777" w:rsidR="002D3279" w:rsidRPr="009252D7" w:rsidRDefault="002D3279" w:rsidP="00A42257">
            <w:pPr>
              <w:spacing w:line="360" w:lineRule="auto"/>
              <w:jc w:val="center"/>
              <w:rPr>
                <w:color w:val="000000" w:themeColor="text1"/>
              </w:rPr>
            </w:pPr>
            <w:r w:rsidRPr="009252D7">
              <w:rPr>
                <w:color w:val="000000" w:themeColor="text1"/>
              </w:rPr>
              <w:t>Profit after tax</w:t>
            </w:r>
          </w:p>
        </w:tc>
        <w:tc>
          <w:tcPr>
            <w:tcW w:w="0" w:type="auto"/>
            <w:vAlign w:val="center"/>
            <w:hideMark/>
          </w:tcPr>
          <w:p w14:paraId="68D9F739" w14:textId="77777777" w:rsidR="002D3279" w:rsidRPr="009252D7" w:rsidRDefault="002D3279" w:rsidP="00A42257">
            <w:pPr>
              <w:spacing w:line="360" w:lineRule="auto"/>
              <w:jc w:val="center"/>
              <w:rPr>
                <w:color w:val="000000" w:themeColor="text1"/>
              </w:rPr>
            </w:pPr>
            <w:r w:rsidRPr="009252D7">
              <w:rPr>
                <w:color w:val="000000" w:themeColor="text1"/>
              </w:rPr>
              <w:t>4,139</w:t>
            </w:r>
          </w:p>
        </w:tc>
        <w:tc>
          <w:tcPr>
            <w:tcW w:w="0" w:type="auto"/>
            <w:vAlign w:val="center"/>
            <w:hideMark/>
          </w:tcPr>
          <w:p w14:paraId="0CEE41DE" w14:textId="77777777" w:rsidR="002D3279" w:rsidRPr="009252D7" w:rsidRDefault="002D3279" w:rsidP="00A42257">
            <w:pPr>
              <w:spacing w:line="360" w:lineRule="auto"/>
              <w:jc w:val="center"/>
              <w:rPr>
                <w:color w:val="000000" w:themeColor="text1"/>
              </w:rPr>
            </w:pPr>
            <w:r w:rsidRPr="009252D7">
              <w:rPr>
                <w:color w:val="000000" w:themeColor="text1"/>
              </w:rPr>
              <w:t>ROE, ROA</w:t>
            </w:r>
          </w:p>
        </w:tc>
        <w:tc>
          <w:tcPr>
            <w:tcW w:w="0" w:type="auto"/>
            <w:vAlign w:val="center"/>
            <w:hideMark/>
          </w:tcPr>
          <w:p w14:paraId="2B61AB4E" w14:textId="77777777" w:rsidR="002D3279" w:rsidRPr="009252D7" w:rsidRDefault="002D3279" w:rsidP="00A42257">
            <w:pPr>
              <w:spacing w:line="360" w:lineRule="auto"/>
              <w:jc w:val="center"/>
              <w:rPr>
                <w:color w:val="000000" w:themeColor="text1"/>
              </w:rPr>
            </w:pPr>
            <w:r w:rsidRPr="009252D7">
              <w:rPr>
                <w:color w:val="000000" w:themeColor="text1"/>
              </w:rPr>
              <w:t>Consolidated Income Statement</w:t>
            </w:r>
          </w:p>
        </w:tc>
      </w:tr>
      <w:tr w:rsidR="002D3279" w:rsidRPr="009252D7" w14:paraId="7B22C616" w14:textId="77777777" w:rsidTr="00A42257">
        <w:trPr>
          <w:tblCellSpacing w:w="15" w:type="dxa"/>
        </w:trPr>
        <w:tc>
          <w:tcPr>
            <w:tcW w:w="0" w:type="auto"/>
            <w:vAlign w:val="center"/>
            <w:hideMark/>
          </w:tcPr>
          <w:p w14:paraId="54D5B2A2" w14:textId="77777777" w:rsidR="002D3279" w:rsidRPr="009252D7" w:rsidRDefault="002D3279" w:rsidP="00A42257">
            <w:pPr>
              <w:spacing w:line="360" w:lineRule="auto"/>
              <w:jc w:val="center"/>
              <w:rPr>
                <w:color w:val="000000" w:themeColor="text1"/>
              </w:rPr>
            </w:pPr>
            <w:r w:rsidRPr="009252D7">
              <w:rPr>
                <w:color w:val="000000" w:themeColor="text1"/>
              </w:rPr>
              <w:t>Shareholders’ equity – opening balance (31 Dec 2023)</w:t>
            </w:r>
          </w:p>
        </w:tc>
        <w:tc>
          <w:tcPr>
            <w:tcW w:w="0" w:type="auto"/>
            <w:vAlign w:val="center"/>
            <w:hideMark/>
          </w:tcPr>
          <w:p w14:paraId="2532E13F" w14:textId="77777777" w:rsidR="002D3279" w:rsidRPr="009252D7" w:rsidRDefault="002D3279" w:rsidP="00A42257">
            <w:pPr>
              <w:spacing w:line="360" w:lineRule="auto"/>
              <w:jc w:val="center"/>
              <w:rPr>
                <w:color w:val="000000" w:themeColor="text1"/>
              </w:rPr>
            </w:pPr>
            <w:r w:rsidRPr="009252D7">
              <w:rPr>
                <w:color w:val="000000" w:themeColor="text1"/>
              </w:rPr>
              <w:t>26,010</w:t>
            </w:r>
          </w:p>
        </w:tc>
        <w:tc>
          <w:tcPr>
            <w:tcW w:w="0" w:type="auto"/>
            <w:vAlign w:val="center"/>
            <w:hideMark/>
          </w:tcPr>
          <w:p w14:paraId="2BF7F30C" w14:textId="77777777" w:rsidR="002D3279" w:rsidRPr="009252D7" w:rsidRDefault="002D3279" w:rsidP="00A42257">
            <w:pPr>
              <w:spacing w:line="360" w:lineRule="auto"/>
              <w:jc w:val="center"/>
              <w:rPr>
                <w:color w:val="000000" w:themeColor="text1"/>
              </w:rPr>
            </w:pPr>
            <w:r w:rsidRPr="009252D7">
              <w:rPr>
                <w:color w:val="000000" w:themeColor="text1"/>
              </w:rPr>
              <w:t>ROE (average equity)</w:t>
            </w:r>
          </w:p>
        </w:tc>
        <w:tc>
          <w:tcPr>
            <w:tcW w:w="0" w:type="auto"/>
            <w:vAlign w:val="center"/>
            <w:hideMark/>
          </w:tcPr>
          <w:p w14:paraId="6233DFEF"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r w:rsidR="002D3279" w:rsidRPr="009252D7" w14:paraId="3BD5AF17" w14:textId="77777777" w:rsidTr="00A42257">
        <w:trPr>
          <w:tblCellSpacing w:w="15" w:type="dxa"/>
        </w:trPr>
        <w:tc>
          <w:tcPr>
            <w:tcW w:w="0" w:type="auto"/>
            <w:vAlign w:val="center"/>
            <w:hideMark/>
          </w:tcPr>
          <w:p w14:paraId="00163A46" w14:textId="77777777" w:rsidR="002D3279" w:rsidRPr="009252D7" w:rsidRDefault="002D3279" w:rsidP="00A42257">
            <w:pPr>
              <w:spacing w:line="360" w:lineRule="auto"/>
              <w:jc w:val="center"/>
              <w:rPr>
                <w:color w:val="000000" w:themeColor="text1"/>
              </w:rPr>
            </w:pPr>
            <w:r w:rsidRPr="009252D7">
              <w:rPr>
                <w:color w:val="000000" w:themeColor="text1"/>
              </w:rPr>
              <w:t>Shareholders’ equity – closing balance (31 Dec 2024)</w:t>
            </w:r>
          </w:p>
        </w:tc>
        <w:tc>
          <w:tcPr>
            <w:tcW w:w="0" w:type="auto"/>
            <w:vAlign w:val="center"/>
            <w:hideMark/>
          </w:tcPr>
          <w:p w14:paraId="6FC641B4" w14:textId="77777777" w:rsidR="002D3279" w:rsidRPr="009252D7" w:rsidRDefault="002D3279" w:rsidP="00A42257">
            <w:pPr>
              <w:spacing w:line="360" w:lineRule="auto"/>
              <w:jc w:val="center"/>
              <w:rPr>
                <w:color w:val="000000" w:themeColor="text1"/>
              </w:rPr>
            </w:pPr>
            <w:r w:rsidRPr="009252D7">
              <w:rPr>
                <w:color w:val="000000" w:themeColor="text1"/>
              </w:rPr>
              <w:t>25,911</w:t>
            </w:r>
          </w:p>
        </w:tc>
        <w:tc>
          <w:tcPr>
            <w:tcW w:w="0" w:type="auto"/>
            <w:vAlign w:val="center"/>
            <w:hideMark/>
          </w:tcPr>
          <w:p w14:paraId="23D39207" w14:textId="77777777" w:rsidR="002D3279" w:rsidRPr="009252D7" w:rsidRDefault="002D3279" w:rsidP="00A42257">
            <w:pPr>
              <w:spacing w:line="360" w:lineRule="auto"/>
              <w:jc w:val="center"/>
              <w:rPr>
                <w:color w:val="000000" w:themeColor="text1"/>
              </w:rPr>
            </w:pPr>
            <w:r w:rsidRPr="009252D7">
              <w:rPr>
                <w:color w:val="000000" w:themeColor="text1"/>
              </w:rPr>
              <w:t>ROE (average equity)</w:t>
            </w:r>
          </w:p>
        </w:tc>
        <w:tc>
          <w:tcPr>
            <w:tcW w:w="0" w:type="auto"/>
            <w:vAlign w:val="center"/>
            <w:hideMark/>
          </w:tcPr>
          <w:p w14:paraId="0695CC92"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r w:rsidR="002D3279" w:rsidRPr="009252D7" w14:paraId="4DF257FC" w14:textId="77777777" w:rsidTr="00A42257">
        <w:trPr>
          <w:tblCellSpacing w:w="15" w:type="dxa"/>
        </w:trPr>
        <w:tc>
          <w:tcPr>
            <w:tcW w:w="0" w:type="auto"/>
            <w:vAlign w:val="center"/>
            <w:hideMark/>
          </w:tcPr>
          <w:p w14:paraId="0FAAEC16" w14:textId="77777777" w:rsidR="002D3279" w:rsidRPr="009252D7" w:rsidRDefault="002D3279" w:rsidP="00A42257">
            <w:pPr>
              <w:spacing w:line="360" w:lineRule="auto"/>
              <w:jc w:val="center"/>
              <w:rPr>
                <w:color w:val="000000" w:themeColor="text1"/>
              </w:rPr>
            </w:pPr>
            <w:r w:rsidRPr="009252D7">
              <w:rPr>
                <w:color w:val="000000" w:themeColor="text1"/>
              </w:rPr>
              <w:t>Total assets – opening balance (31 Dec 2023)</w:t>
            </w:r>
          </w:p>
        </w:tc>
        <w:tc>
          <w:tcPr>
            <w:tcW w:w="0" w:type="auto"/>
            <w:vAlign w:val="center"/>
            <w:hideMark/>
          </w:tcPr>
          <w:p w14:paraId="2B2FBC98" w14:textId="77777777" w:rsidR="002D3279" w:rsidRPr="009252D7" w:rsidRDefault="002D3279" w:rsidP="00A42257">
            <w:pPr>
              <w:spacing w:line="360" w:lineRule="auto"/>
              <w:jc w:val="center"/>
              <w:rPr>
                <w:color w:val="000000" w:themeColor="text1"/>
              </w:rPr>
            </w:pPr>
            <w:r w:rsidRPr="009252D7">
              <w:rPr>
                <w:color w:val="000000" w:themeColor="text1"/>
              </w:rPr>
              <w:t>332,876</w:t>
            </w:r>
          </w:p>
        </w:tc>
        <w:tc>
          <w:tcPr>
            <w:tcW w:w="0" w:type="auto"/>
            <w:vAlign w:val="center"/>
            <w:hideMark/>
          </w:tcPr>
          <w:p w14:paraId="6162DA53" w14:textId="77777777" w:rsidR="002D3279" w:rsidRPr="009252D7" w:rsidRDefault="002D3279" w:rsidP="00A42257">
            <w:pPr>
              <w:spacing w:line="360" w:lineRule="auto"/>
              <w:jc w:val="center"/>
              <w:rPr>
                <w:color w:val="000000" w:themeColor="text1"/>
              </w:rPr>
            </w:pPr>
            <w:r w:rsidRPr="009252D7">
              <w:rPr>
                <w:color w:val="000000" w:themeColor="text1"/>
              </w:rPr>
              <w:t>ROA (average assets)</w:t>
            </w:r>
          </w:p>
        </w:tc>
        <w:tc>
          <w:tcPr>
            <w:tcW w:w="0" w:type="auto"/>
            <w:vAlign w:val="center"/>
            <w:hideMark/>
          </w:tcPr>
          <w:p w14:paraId="285E8A74"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r w:rsidR="002D3279" w:rsidRPr="009252D7" w14:paraId="7F6661DB" w14:textId="77777777" w:rsidTr="00A42257">
        <w:trPr>
          <w:tblCellSpacing w:w="15" w:type="dxa"/>
        </w:trPr>
        <w:tc>
          <w:tcPr>
            <w:tcW w:w="0" w:type="auto"/>
            <w:vAlign w:val="center"/>
            <w:hideMark/>
          </w:tcPr>
          <w:p w14:paraId="65264233" w14:textId="77777777" w:rsidR="002D3279" w:rsidRPr="009252D7" w:rsidRDefault="002D3279" w:rsidP="00A42257">
            <w:pPr>
              <w:spacing w:line="360" w:lineRule="auto"/>
              <w:jc w:val="center"/>
              <w:rPr>
                <w:color w:val="000000" w:themeColor="text1"/>
              </w:rPr>
            </w:pPr>
            <w:r w:rsidRPr="009252D7">
              <w:rPr>
                <w:color w:val="000000" w:themeColor="text1"/>
              </w:rPr>
              <w:t>Total assets – closing balance (31 Dec 2024)</w:t>
            </w:r>
          </w:p>
        </w:tc>
        <w:tc>
          <w:tcPr>
            <w:tcW w:w="0" w:type="auto"/>
            <w:vAlign w:val="center"/>
            <w:hideMark/>
          </w:tcPr>
          <w:p w14:paraId="07C68EB3" w14:textId="77777777" w:rsidR="002D3279" w:rsidRPr="009252D7" w:rsidRDefault="002D3279" w:rsidP="00A42257">
            <w:pPr>
              <w:spacing w:line="360" w:lineRule="auto"/>
              <w:jc w:val="center"/>
              <w:rPr>
                <w:color w:val="000000" w:themeColor="text1"/>
              </w:rPr>
            </w:pPr>
            <w:r w:rsidRPr="009252D7">
              <w:rPr>
                <w:color w:val="000000" w:themeColor="text1"/>
              </w:rPr>
              <w:t>340,877</w:t>
            </w:r>
          </w:p>
        </w:tc>
        <w:tc>
          <w:tcPr>
            <w:tcW w:w="0" w:type="auto"/>
            <w:vAlign w:val="center"/>
            <w:hideMark/>
          </w:tcPr>
          <w:p w14:paraId="675D1947" w14:textId="77777777" w:rsidR="002D3279" w:rsidRPr="009252D7" w:rsidRDefault="002D3279" w:rsidP="00A42257">
            <w:pPr>
              <w:spacing w:line="360" w:lineRule="auto"/>
              <w:jc w:val="center"/>
              <w:rPr>
                <w:color w:val="000000" w:themeColor="text1"/>
              </w:rPr>
            </w:pPr>
            <w:r w:rsidRPr="009252D7">
              <w:rPr>
                <w:color w:val="000000" w:themeColor="text1"/>
              </w:rPr>
              <w:t>ROA (average assets)</w:t>
            </w:r>
          </w:p>
        </w:tc>
        <w:tc>
          <w:tcPr>
            <w:tcW w:w="0" w:type="auto"/>
            <w:vAlign w:val="center"/>
            <w:hideMark/>
          </w:tcPr>
          <w:p w14:paraId="799FB818"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r w:rsidR="002D3279" w:rsidRPr="009252D7" w14:paraId="6ECB463C" w14:textId="77777777" w:rsidTr="00A42257">
        <w:trPr>
          <w:tblCellSpacing w:w="15" w:type="dxa"/>
        </w:trPr>
        <w:tc>
          <w:tcPr>
            <w:tcW w:w="0" w:type="auto"/>
            <w:vAlign w:val="center"/>
            <w:hideMark/>
          </w:tcPr>
          <w:p w14:paraId="15C5198E" w14:textId="77777777" w:rsidR="002D3279" w:rsidRPr="009252D7" w:rsidRDefault="002D3279" w:rsidP="00A42257">
            <w:pPr>
              <w:spacing w:line="360" w:lineRule="auto"/>
              <w:jc w:val="center"/>
              <w:rPr>
                <w:color w:val="000000" w:themeColor="text1"/>
              </w:rPr>
            </w:pPr>
            <w:r w:rsidRPr="009252D7">
              <w:rPr>
                <w:color w:val="000000" w:themeColor="text1"/>
              </w:rPr>
              <w:t>Net interest income</w:t>
            </w:r>
          </w:p>
        </w:tc>
        <w:tc>
          <w:tcPr>
            <w:tcW w:w="0" w:type="auto"/>
            <w:vAlign w:val="center"/>
            <w:hideMark/>
          </w:tcPr>
          <w:p w14:paraId="45720DF7" w14:textId="77777777" w:rsidR="002D3279" w:rsidRPr="009252D7" w:rsidRDefault="002D3279" w:rsidP="00A42257">
            <w:pPr>
              <w:spacing w:line="360" w:lineRule="auto"/>
              <w:jc w:val="center"/>
              <w:rPr>
                <w:color w:val="000000" w:themeColor="text1"/>
              </w:rPr>
            </w:pPr>
            <w:r w:rsidRPr="009252D7">
              <w:rPr>
                <w:color w:val="000000" w:themeColor="text1"/>
              </w:rPr>
              <w:t>8,084</w:t>
            </w:r>
          </w:p>
        </w:tc>
        <w:tc>
          <w:tcPr>
            <w:tcW w:w="0" w:type="auto"/>
            <w:vAlign w:val="center"/>
            <w:hideMark/>
          </w:tcPr>
          <w:p w14:paraId="438E8B1B" w14:textId="77777777" w:rsidR="002D3279" w:rsidRPr="009252D7" w:rsidRDefault="002D3279" w:rsidP="00A42257">
            <w:pPr>
              <w:spacing w:line="360" w:lineRule="auto"/>
              <w:jc w:val="center"/>
              <w:rPr>
                <w:color w:val="000000" w:themeColor="text1"/>
              </w:rPr>
            </w:pPr>
            <w:r w:rsidRPr="009252D7">
              <w:rPr>
                <w:color w:val="000000" w:themeColor="text1"/>
              </w:rPr>
              <w:t>Net Interest Margin (NIM)</w:t>
            </w:r>
          </w:p>
        </w:tc>
        <w:tc>
          <w:tcPr>
            <w:tcW w:w="0" w:type="auto"/>
            <w:vAlign w:val="center"/>
            <w:hideMark/>
          </w:tcPr>
          <w:p w14:paraId="4E7B647F" w14:textId="77777777" w:rsidR="002D3279" w:rsidRPr="009252D7" w:rsidRDefault="002D3279" w:rsidP="00A42257">
            <w:pPr>
              <w:spacing w:line="360" w:lineRule="auto"/>
              <w:jc w:val="center"/>
              <w:rPr>
                <w:color w:val="000000" w:themeColor="text1"/>
              </w:rPr>
            </w:pPr>
            <w:r w:rsidRPr="009252D7">
              <w:rPr>
                <w:color w:val="000000" w:themeColor="text1"/>
              </w:rPr>
              <w:t>Consolidated Income Statement / Financial Summary</w:t>
            </w:r>
          </w:p>
        </w:tc>
      </w:tr>
      <w:tr w:rsidR="002D3279" w:rsidRPr="009252D7" w14:paraId="370D4C18" w14:textId="77777777" w:rsidTr="00A42257">
        <w:trPr>
          <w:tblCellSpacing w:w="15" w:type="dxa"/>
        </w:trPr>
        <w:tc>
          <w:tcPr>
            <w:tcW w:w="0" w:type="auto"/>
            <w:vAlign w:val="center"/>
            <w:hideMark/>
          </w:tcPr>
          <w:p w14:paraId="07524D6F" w14:textId="77777777" w:rsidR="002D3279" w:rsidRPr="009252D7" w:rsidRDefault="002D3279" w:rsidP="00A42257">
            <w:pPr>
              <w:spacing w:line="360" w:lineRule="auto"/>
              <w:jc w:val="center"/>
              <w:rPr>
                <w:color w:val="000000" w:themeColor="text1"/>
              </w:rPr>
            </w:pPr>
            <w:r w:rsidRPr="009252D7">
              <w:rPr>
                <w:color w:val="000000" w:themeColor="text1"/>
              </w:rPr>
              <w:t>Average interest-earning assets</w:t>
            </w:r>
          </w:p>
        </w:tc>
        <w:tc>
          <w:tcPr>
            <w:tcW w:w="0" w:type="auto"/>
            <w:vAlign w:val="center"/>
            <w:hideMark/>
          </w:tcPr>
          <w:p w14:paraId="7B714282" w14:textId="77777777" w:rsidR="002D3279" w:rsidRPr="009252D7" w:rsidRDefault="002D3279" w:rsidP="00A42257">
            <w:pPr>
              <w:spacing w:line="360" w:lineRule="auto"/>
              <w:jc w:val="center"/>
              <w:rPr>
                <w:color w:val="000000" w:themeColor="text1"/>
              </w:rPr>
            </w:pPr>
            <w:r w:rsidRPr="009252D7">
              <w:rPr>
                <w:color w:val="000000" w:themeColor="text1"/>
              </w:rPr>
              <w:t>316,007</w:t>
            </w:r>
          </w:p>
        </w:tc>
        <w:tc>
          <w:tcPr>
            <w:tcW w:w="0" w:type="auto"/>
            <w:vAlign w:val="center"/>
            <w:hideMark/>
          </w:tcPr>
          <w:p w14:paraId="4311755B" w14:textId="77777777" w:rsidR="002D3279" w:rsidRPr="009252D7" w:rsidRDefault="002D3279" w:rsidP="00A42257">
            <w:pPr>
              <w:spacing w:line="360" w:lineRule="auto"/>
              <w:jc w:val="center"/>
              <w:rPr>
                <w:color w:val="000000" w:themeColor="text1"/>
              </w:rPr>
            </w:pPr>
            <w:r w:rsidRPr="009252D7">
              <w:rPr>
                <w:color w:val="000000" w:themeColor="text1"/>
              </w:rPr>
              <w:t>Net Interest Margin (NIM)</w:t>
            </w:r>
          </w:p>
        </w:tc>
        <w:tc>
          <w:tcPr>
            <w:tcW w:w="0" w:type="auto"/>
            <w:vAlign w:val="center"/>
            <w:hideMark/>
          </w:tcPr>
          <w:p w14:paraId="0FCFEEEA" w14:textId="77777777" w:rsidR="002D3279" w:rsidRPr="009252D7" w:rsidRDefault="002D3279" w:rsidP="00A42257">
            <w:pPr>
              <w:spacing w:line="360" w:lineRule="auto"/>
              <w:jc w:val="center"/>
              <w:rPr>
                <w:color w:val="000000" w:themeColor="text1"/>
              </w:rPr>
            </w:pPr>
            <w:r w:rsidRPr="009252D7">
              <w:rPr>
                <w:color w:val="000000" w:themeColor="text1"/>
              </w:rPr>
              <w:t>Key Financial Metrics section</w:t>
            </w:r>
          </w:p>
        </w:tc>
      </w:tr>
      <w:tr w:rsidR="002D3279" w:rsidRPr="009252D7" w14:paraId="3DB594D1" w14:textId="77777777" w:rsidTr="00A42257">
        <w:trPr>
          <w:tblCellSpacing w:w="15" w:type="dxa"/>
        </w:trPr>
        <w:tc>
          <w:tcPr>
            <w:tcW w:w="0" w:type="auto"/>
            <w:vAlign w:val="center"/>
            <w:hideMark/>
          </w:tcPr>
          <w:p w14:paraId="142CFA55" w14:textId="77777777" w:rsidR="002D3279" w:rsidRPr="009252D7" w:rsidRDefault="002D3279" w:rsidP="00A42257">
            <w:pPr>
              <w:spacing w:line="360" w:lineRule="auto"/>
              <w:jc w:val="center"/>
              <w:rPr>
                <w:color w:val="000000" w:themeColor="text1"/>
              </w:rPr>
            </w:pPr>
            <w:r w:rsidRPr="009252D7">
              <w:rPr>
                <w:color w:val="000000" w:themeColor="text1"/>
              </w:rPr>
              <w:lastRenderedPageBreak/>
              <w:t>Operating income (total revenue)</w:t>
            </w:r>
          </w:p>
        </w:tc>
        <w:tc>
          <w:tcPr>
            <w:tcW w:w="0" w:type="auto"/>
            <w:vAlign w:val="center"/>
            <w:hideMark/>
          </w:tcPr>
          <w:p w14:paraId="1C8C388B" w14:textId="77777777" w:rsidR="002D3279" w:rsidRPr="009252D7" w:rsidRDefault="002D3279" w:rsidP="00A42257">
            <w:pPr>
              <w:spacing w:line="360" w:lineRule="auto"/>
              <w:jc w:val="center"/>
              <w:rPr>
                <w:color w:val="000000" w:themeColor="text1"/>
              </w:rPr>
            </w:pPr>
            <w:r w:rsidRPr="009252D7">
              <w:rPr>
                <w:color w:val="000000" w:themeColor="text1"/>
              </w:rPr>
              <w:t>9,979</w:t>
            </w:r>
          </w:p>
        </w:tc>
        <w:tc>
          <w:tcPr>
            <w:tcW w:w="0" w:type="auto"/>
            <w:vAlign w:val="center"/>
            <w:hideMark/>
          </w:tcPr>
          <w:p w14:paraId="4A61DFAC" w14:textId="77777777" w:rsidR="002D3279" w:rsidRPr="009252D7" w:rsidRDefault="002D3279" w:rsidP="00A42257">
            <w:pPr>
              <w:spacing w:line="360" w:lineRule="auto"/>
              <w:jc w:val="center"/>
              <w:rPr>
                <w:color w:val="000000" w:themeColor="text1"/>
              </w:rPr>
            </w:pPr>
            <w:r w:rsidRPr="009252D7">
              <w:rPr>
                <w:color w:val="000000" w:themeColor="text1"/>
              </w:rPr>
              <w:t>Cost-to-Income Ratio</w:t>
            </w:r>
          </w:p>
        </w:tc>
        <w:tc>
          <w:tcPr>
            <w:tcW w:w="0" w:type="auto"/>
            <w:vAlign w:val="center"/>
            <w:hideMark/>
          </w:tcPr>
          <w:p w14:paraId="27CEA5A6" w14:textId="77777777" w:rsidR="002D3279" w:rsidRPr="009252D7" w:rsidRDefault="002D3279" w:rsidP="00A42257">
            <w:pPr>
              <w:spacing w:line="360" w:lineRule="auto"/>
              <w:jc w:val="center"/>
              <w:rPr>
                <w:color w:val="000000" w:themeColor="text1"/>
              </w:rPr>
            </w:pPr>
            <w:r w:rsidRPr="009252D7">
              <w:rPr>
                <w:color w:val="000000" w:themeColor="text1"/>
              </w:rPr>
              <w:t>Consolidated Income Statement</w:t>
            </w:r>
          </w:p>
        </w:tc>
      </w:tr>
      <w:tr w:rsidR="002D3279" w:rsidRPr="009252D7" w14:paraId="479FF9FA" w14:textId="77777777" w:rsidTr="00A42257">
        <w:trPr>
          <w:tblCellSpacing w:w="15" w:type="dxa"/>
        </w:trPr>
        <w:tc>
          <w:tcPr>
            <w:tcW w:w="0" w:type="auto"/>
            <w:vAlign w:val="center"/>
            <w:hideMark/>
          </w:tcPr>
          <w:p w14:paraId="7A1AE2A6" w14:textId="77777777" w:rsidR="002D3279" w:rsidRPr="009252D7" w:rsidRDefault="002D3279" w:rsidP="00A42257">
            <w:pPr>
              <w:spacing w:line="360" w:lineRule="auto"/>
              <w:jc w:val="center"/>
              <w:rPr>
                <w:color w:val="000000" w:themeColor="text1"/>
              </w:rPr>
            </w:pPr>
            <w:r w:rsidRPr="009252D7">
              <w:rPr>
                <w:color w:val="000000" w:themeColor="text1"/>
              </w:rPr>
              <w:t>Operating expenses</w:t>
            </w:r>
          </w:p>
        </w:tc>
        <w:tc>
          <w:tcPr>
            <w:tcW w:w="0" w:type="auto"/>
            <w:vAlign w:val="center"/>
            <w:hideMark/>
          </w:tcPr>
          <w:p w14:paraId="7475FA81" w14:textId="77777777" w:rsidR="002D3279" w:rsidRPr="009252D7" w:rsidRDefault="002D3279" w:rsidP="00A42257">
            <w:pPr>
              <w:spacing w:line="360" w:lineRule="auto"/>
              <w:jc w:val="center"/>
              <w:rPr>
                <w:color w:val="000000" w:themeColor="text1"/>
              </w:rPr>
            </w:pPr>
            <w:r w:rsidRPr="009252D7">
              <w:rPr>
                <w:color w:val="000000" w:themeColor="text1"/>
              </w:rPr>
              <w:t>4,017</w:t>
            </w:r>
          </w:p>
        </w:tc>
        <w:tc>
          <w:tcPr>
            <w:tcW w:w="0" w:type="auto"/>
            <w:vAlign w:val="center"/>
            <w:hideMark/>
          </w:tcPr>
          <w:p w14:paraId="6D181EF9" w14:textId="77777777" w:rsidR="002D3279" w:rsidRPr="009252D7" w:rsidRDefault="002D3279" w:rsidP="00A42257">
            <w:pPr>
              <w:spacing w:line="360" w:lineRule="auto"/>
              <w:jc w:val="center"/>
              <w:rPr>
                <w:color w:val="000000" w:themeColor="text1"/>
              </w:rPr>
            </w:pPr>
            <w:r w:rsidRPr="009252D7">
              <w:rPr>
                <w:color w:val="000000" w:themeColor="text1"/>
              </w:rPr>
              <w:t>Cost-to-Income Ratio</w:t>
            </w:r>
          </w:p>
        </w:tc>
        <w:tc>
          <w:tcPr>
            <w:tcW w:w="0" w:type="auto"/>
            <w:vAlign w:val="center"/>
            <w:hideMark/>
          </w:tcPr>
          <w:p w14:paraId="516916E4" w14:textId="77777777" w:rsidR="002D3279" w:rsidRPr="009252D7" w:rsidRDefault="002D3279" w:rsidP="00A42257">
            <w:pPr>
              <w:spacing w:line="360" w:lineRule="auto"/>
              <w:jc w:val="center"/>
              <w:rPr>
                <w:color w:val="000000" w:themeColor="text1"/>
              </w:rPr>
            </w:pPr>
            <w:r w:rsidRPr="009252D7">
              <w:rPr>
                <w:color w:val="000000" w:themeColor="text1"/>
              </w:rPr>
              <w:t>Consolidated Income Statement</w:t>
            </w:r>
          </w:p>
        </w:tc>
      </w:tr>
    </w:tbl>
    <w:p w14:paraId="5F45BACB" w14:textId="77777777" w:rsidR="002D3279" w:rsidRPr="009252D7" w:rsidRDefault="002D3279" w:rsidP="002D3279">
      <w:pPr>
        <w:spacing w:line="360" w:lineRule="auto"/>
        <w:jc w:val="both"/>
        <w:rPr>
          <w:b/>
          <w:bCs/>
          <w:color w:val="000000" w:themeColor="text1"/>
        </w:rPr>
      </w:pPr>
    </w:p>
    <w:p w14:paraId="111BE8D2" w14:textId="77777777" w:rsidR="002D3279" w:rsidRPr="000411CC" w:rsidRDefault="002D3279" w:rsidP="002D3279">
      <w:pPr>
        <w:pStyle w:val="Heading2"/>
        <w:rPr>
          <w:rFonts w:ascii="Times New Roman" w:hAnsi="Times New Roman" w:cs="Times New Roman"/>
          <w:sz w:val="24"/>
          <w:szCs w:val="24"/>
        </w:rPr>
      </w:pPr>
      <w:bookmarkStart w:id="46" w:name="_Toc218979678"/>
      <w:r w:rsidRPr="000411CC">
        <w:rPr>
          <w:rFonts w:ascii="Times New Roman" w:hAnsi="Times New Roman" w:cs="Times New Roman"/>
          <w:sz w:val="24"/>
          <w:szCs w:val="24"/>
        </w:rPr>
        <w:t>Appendix C: Profitability Ratio Calculation Workings (FY 2023)</w:t>
      </w:r>
      <w:bookmarkEnd w:id="46"/>
    </w:p>
    <w:p w14:paraId="76BF896B" w14:textId="77777777" w:rsidR="002D3279" w:rsidRPr="009252D7" w:rsidRDefault="002D3279" w:rsidP="002D3279">
      <w:pPr>
        <w:spacing w:line="360" w:lineRule="auto"/>
        <w:jc w:val="both"/>
        <w:rPr>
          <w:color w:val="000000" w:themeColor="text1"/>
        </w:rPr>
      </w:pPr>
      <w:r w:rsidRPr="009252D7">
        <w:rPr>
          <w:b/>
          <w:bCs/>
          <w:color w:val="000000" w:themeColor="text1"/>
        </w:rPr>
        <w:t>HSBC UK Bank plc</w:t>
      </w:r>
    </w:p>
    <w:p w14:paraId="2D07B280" w14:textId="77777777" w:rsidR="002D3279" w:rsidRPr="009252D7" w:rsidRDefault="002D3279" w:rsidP="002D3279">
      <w:pPr>
        <w:spacing w:line="360" w:lineRule="auto"/>
        <w:jc w:val="both"/>
        <w:rPr>
          <w:color w:val="000000" w:themeColor="text1"/>
        </w:rPr>
      </w:pPr>
      <w:r w:rsidRPr="009252D7">
        <w:rPr>
          <w:color w:val="000000" w:themeColor="text1"/>
        </w:rPr>
        <w:t xml:space="preserve">This appendix provides detailed computational workings for the core profitability ratios analysed in the main report. All figures are extracted from the audited </w:t>
      </w:r>
      <w:r w:rsidRPr="009252D7">
        <w:rPr>
          <w:b/>
          <w:bCs/>
          <w:color w:val="000000" w:themeColor="text1"/>
        </w:rPr>
        <w:t>HSBC UK Bank plc Annual Report and Accounts 2023</w:t>
      </w:r>
      <w:r w:rsidRPr="009252D7">
        <w:rPr>
          <w:color w:val="000000" w:themeColor="text1"/>
        </w:rPr>
        <w:t xml:space="preserve"> and are stated in </w:t>
      </w:r>
      <w:r w:rsidRPr="009252D7">
        <w:rPr>
          <w:b/>
          <w:bCs/>
          <w:color w:val="000000" w:themeColor="text1"/>
        </w:rPr>
        <w:t>£ millions</w:t>
      </w:r>
      <w:r w:rsidRPr="009252D7">
        <w:rPr>
          <w:color w:val="000000" w:themeColor="text1"/>
        </w:rPr>
        <w:t>, unless otherwise indicated.</w:t>
      </w:r>
    </w:p>
    <w:p w14:paraId="1B57B03E" w14:textId="04852CC2" w:rsidR="002D3279" w:rsidRPr="009252D7" w:rsidRDefault="008604B5" w:rsidP="002D3279">
      <w:pPr>
        <w:spacing w:line="360" w:lineRule="auto"/>
        <w:rPr>
          <w:b/>
          <w:bCs/>
          <w:color w:val="000000" w:themeColor="text1"/>
        </w:rPr>
      </w:pPr>
      <w:r>
        <w:rPr>
          <w:b/>
          <w:bCs/>
          <w:color w:val="000000" w:themeColor="text1"/>
        </w:rPr>
        <w:t>C</w:t>
      </w:r>
      <w:r w:rsidR="002D3279" w:rsidRPr="009252D7">
        <w:rPr>
          <w:b/>
          <w:bCs/>
          <w:color w:val="000000" w:themeColor="text1"/>
        </w:rPr>
        <w:t>1. Return on Equity (ROE)</w:t>
      </w:r>
    </w:p>
    <w:p w14:paraId="0E1108E7" w14:textId="77777777" w:rsidR="002D3279" w:rsidRPr="009252D7" w:rsidRDefault="002D3279" w:rsidP="002D3279">
      <w:pPr>
        <w:spacing w:line="360" w:lineRule="auto"/>
        <w:rPr>
          <w:color w:val="000000" w:themeColor="text1"/>
        </w:rPr>
      </w:pPr>
      <w:r w:rsidRPr="009252D7">
        <w:rPr>
          <w:b/>
          <w:bCs/>
          <w:color w:val="000000" w:themeColor="text1"/>
        </w:rPr>
        <w:t>Formula</w:t>
      </w:r>
      <w:r w:rsidRPr="009252D7">
        <w:rPr>
          <w:color w:val="000000" w:themeColor="text1"/>
        </w:rPr>
        <w:t xml:space="preserve"> </w:t>
      </w:r>
      <m:oMath>
        <m:r>
          <m:rPr>
            <m:nor/>
          </m:rPr>
          <w:rPr>
            <w:color w:val="000000" w:themeColor="text1"/>
          </w:rPr>
          <m:t>ROE</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Profit after tax</m:t>
            </m:r>
          </m:num>
          <m:den>
            <m:r>
              <m:rPr>
                <m:nor/>
              </m:rPr>
              <w:rPr>
                <w:color w:val="000000" w:themeColor="text1"/>
              </w:rPr>
              <m:t>Average shareholders’ equity</m:t>
            </m:r>
          </m:den>
        </m:f>
      </m:oMath>
      <w:r w:rsidRPr="009252D7">
        <w:rPr>
          <w:color w:val="000000" w:themeColor="text1"/>
        </w:rPr>
        <w:br/>
      </w:r>
    </w:p>
    <w:p w14:paraId="3E8F393F" w14:textId="77777777" w:rsidR="002D3279" w:rsidRPr="009252D7" w:rsidRDefault="002D3279" w:rsidP="002D3279">
      <w:pPr>
        <w:spacing w:line="360" w:lineRule="auto"/>
        <w:rPr>
          <w:b/>
          <w:bCs/>
          <w:color w:val="000000" w:themeColor="text1"/>
        </w:rPr>
      </w:pPr>
      <w:r w:rsidRPr="009252D7">
        <w:rPr>
          <w:b/>
          <w:bCs/>
          <w:color w:val="000000" w:themeColor="text1"/>
        </w:rPr>
        <w:t>Step-by-Step Working</w:t>
      </w:r>
    </w:p>
    <w:p w14:paraId="1793E9A0" w14:textId="77777777" w:rsidR="002D3279" w:rsidRPr="009252D7" w:rsidRDefault="002D3279" w:rsidP="002D3279">
      <w:pPr>
        <w:numPr>
          <w:ilvl w:val="0"/>
          <w:numId w:val="20"/>
        </w:numPr>
        <w:spacing w:line="360" w:lineRule="auto"/>
        <w:rPr>
          <w:color w:val="000000" w:themeColor="text1"/>
        </w:rPr>
      </w:pPr>
      <w:r w:rsidRPr="009252D7">
        <w:rPr>
          <w:b/>
          <w:bCs/>
          <w:color w:val="000000" w:themeColor="text1"/>
        </w:rPr>
        <w:t>Profit after tax (2023)</w:t>
      </w:r>
      <w:r w:rsidRPr="009252D7">
        <w:rPr>
          <w:color w:val="000000" w:themeColor="text1"/>
        </w:rPr>
        <w:br/>
        <w:t>= £5,254 million</w:t>
      </w:r>
    </w:p>
    <w:p w14:paraId="20765A65" w14:textId="77777777" w:rsidR="002D3279" w:rsidRPr="009252D7" w:rsidRDefault="002D3279" w:rsidP="002D3279">
      <w:pPr>
        <w:numPr>
          <w:ilvl w:val="0"/>
          <w:numId w:val="20"/>
        </w:numPr>
        <w:spacing w:line="360" w:lineRule="auto"/>
        <w:rPr>
          <w:color w:val="000000" w:themeColor="text1"/>
        </w:rPr>
      </w:pPr>
      <w:r w:rsidRPr="009252D7">
        <w:rPr>
          <w:b/>
          <w:bCs/>
          <w:color w:val="000000" w:themeColor="text1"/>
        </w:rPr>
        <w:t>Shareholders’ equity</w:t>
      </w:r>
    </w:p>
    <w:p w14:paraId="7776A22A" w14:textId="77777777" w:rsidR="002D3279" w:rsidRPr="009252D7" w:rsidRDefault="002D3279" w:rsidP="002D3279">
      <w:pPr>
        <w:numPr>
          <w:ilvl w:val="1"/>
          <w:numId w:val="20"/>
        </w:numPr>
        <w:spacing w:line="360" w:lineRule="auto"/>
        <w:rPr>
          <w:color w:val="000000" w:themeColor="text1"/>
        </w:rPr>
      </w:pPr>
      <w:r w:rsidRPr="009252D7">
        <w:rPr>
          <w:color w:val="000000" w:themeColor="text1"/>
        </w:rPr>
        <w:t>Equity at 31 December 2022 = £22,166 million</w:t>
      </w:r>
    </w:p>
    <w:p w14:paraId="1D381E6B" w14:textId="77777777" w:rsidR="002D3279" w:rsidRPr="009252D7" w:rsidRDefault="002D3279" w:rsidP="002D3279">
      <w:pPr>
        <w:numPr>
          <w:ilvl w:val="1"/>
          <w:numId w:val="20"/>
        </w:numPr>
        <w:spacing w:line="360" w:lineRule="auto"/>
        <w:rPr>
          <w:color w:val="000000" w:themeColor="text1"/>
        </w:rPr>
      </w:pPr>
      <w:r w:rsidRPr="009252D7">
        <w:rPr>
          <w:color w:val="000000" w:themeColor="text1"/>
        </w:rPr>
        <w:t>Equity at 31 December 2023 = £26,010 million</w:t>
      </w:r>
    </w:p>
    <w:p w14:paraId="0CF3BDC6" w14:textId="77777777" w:rsidR="002D3279" w:rsidRPr="009252D7" w:rsidRDefault="002D3279" w:rsidP="002D3279">
      <w:pPr>
        <w:numPr>
          <w:ilvl w:val="0"/>
          <w:numId w:val="20"/>
        </w:numPr>
        <w:spacing w:line="360" w:lineRule="auto"/>
        <w:rPr>
          <w:color w:val="000000" w:themeColor="text1"/>
        </w:rPr>
      </w:pPr>
      <w:r w:rsidRPr="009252D7">
        <w:rPr>
          <w:b/>
          <w:bCs/>
          <w:color w:val="000000" w:themeColor="text1"/>
        </w:rPr>
        <w:t>Average shareholders’ equity</w:t>
      </w:r>
      <w:r w:rsidRPr="009252D7">
        <w:rPr>
          <w:color w:val="000000" w:themeColor="text1"/>
        </w:rPr>
        <w:t xml:space="preserve"> = </w:t>
      </w:r>
      <m:oMath>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22,166+</m:t>
            </m:r>
            <m:r>
              <m:rPr>
                <m:sty m:val="p"/>
              </m:rPr>
              <w:rPr>
                <w:rFonts w:ascii="Cambria Math" w:hAnsi="Cambria Math"/>
                <w:color w:val="000000" w:themeColor="text1"/>
              </w:rPr>
              <m:t>£</m:t>
            </m:r>
            <m:r>
              <w:rPr>
                <w:rFonts w:ascii="Cambria Math" w:hAnsi="Cambria Math"/>
                <w:color w:val="000000" w:themeColor="text1"/>
              </w:rPr>
              <m:t>26,010</m:t>
            </m:r>
          </m:num>
          <m:den>
            <m:r>
              <w:rPr>
                <w:rFonts w:ascii="Cambria Math" w:hAnsi="Cambria Math"/>
                <w:color w:val="000000" w:themeColor="text1"/>
              </w:rPr>
              <m:t>2</m:t>
            </m:r>
          </m:den>
        </m:f>
        <m:r>
          <w:rPr>
            <w:rFonts w:ascii="Cambria Math" w:hAnsi="Cambria Math"/>
            <w:color w:val="000000" w:themeColor="text1"/>
          </w:rPr>
          <m:t>=</m:t>
        </m:r>
        <m:r>
          <m:rPr>
            <m:sty m:val="p"/>
          </m:rPr>
          <w:rPr>
            <w:rFonts w:ascii="Cambria Math" w:hAnsi="Cambria Math"/>
            <w:color w:val="000000" w:themeColor="text1"/>
          </w:rPr>
          <m:t>£</m:t>
        </m:r>
        <m:r>
          <w:rPr>
            <w:rFonts w:ascii="Cambria Math" w:hAnsi="Cambria Math"/>
            <w:color w:val="000000" w:themeColor="text1"/>
          </w:rPr>
          <m:t>24,088</m:t>
        </m:r>
        <m:r>
          <m:rPr>
            <m:nor/>
          </m:rPr>
          <w:rPr>
            <w:color w:val="000000" w:themeColor="text1"/>
          </w:rPr>
          <m:t xml:space="preserve"> million</m:t>
        </m:r>
        <m:r>
          <m:rPr>
            <m:sty m:val="p"/>
          </m:rPr>
          <w:rPr>
            <w:color w:val="000000" w:themeColor="text1"/>
          </w:rPr>
          <w:br/>
        </m:r>
      </m:oMath>
    </w:p>
    <w:p w14:paraId="7DC412AB" w14:textId="77777777" w:rsidR="002D3279" w:rsidRPr="009252D7" w:rsidRDefault="002D3279" w:rsidP="002D3279">
      <w:pPr>
        <w:numPr>
          <w:ilvl w:val="0"/>
          <w:numId w:val="21"/>
        </w:numPr>
        <w:spacing w:line="360" w:lineRule="auto"/>
        <w:rPr>
          <w:color w:val="000000" w:themeColor="text1"/>
        </w:rPr>
      </w:pPr>
      <w:r w:rsidRPr="009252D7">
        <w:rPr>
          <w:b/>
          <w:bCs/>
          <w:color w:val="000000" w:themeColor="text1"/>
        </w:rPr>
        <w:t>ROE Calculation</w:t>
      </w:r>
      <w:r w:rsidRPr="009252D7">
        <w:rPr>
          <w:color w:val="000000" w:themeColor="text1"/>
        </w:rPr>
        <w:t xml:space="preserve"> = </w:t>
      </w:r>
      <m:oMath>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5,254</m:t>
            </m:r>
          </m:num>
          <m:den>
            <m:r>
              <m:rPr>
                <m:sty m:val="p"/>
              </m:rPr>
              <w:rPr>
                <w:rFonts w:ascii="Cambria Math" w:hAnsi="Cambria Math"/>
                <w:color w:val="000000" w:themeColor="text1"/>
              </w:rPr>
              <m:t>£</m:t>
            </m:r>
            <m:r>
              <w:rPr>
                <w:rFonts w:ascii="Cambria Math" w:hAnsi="Cambria Math"/>
                <w:color w:val="000000" w:themeColor="text1"/>
              </w:rPr>
              <m:t>24,088</m:t>
            </m:r>
          </m:den>
        </m:f>
        <m:r>
          <w:rPr>
            <w:rFonts w:ascii="Cambria Math" w:hAnsi="Cambria Math"/>
            <w:color w:val="000000" w:themeColor="text1"/>
          </w:rPr>
          <m:t>=0.2181</m:t>
        </m:r>
        <m:r>
          <m:rPr>
            <m:sty m:val="p"/>
          </m:rPr>
          <w:rPr>
            <w:color w:val="000000" w:themeColor="text1"/>
          </w:rPr>
          <w:br/>
        </m:r>
      </m:oMath>
    </w:p>
    <w:p w14:paraId="660D1DBC" w14:textId="77777777" w:rsidR="002D3279" w:rsidRPr="009252D7" w:rsidRDefault="002D3279" w:rsidP="002D3279">
      <w:pPr>
        <w:spacing w:line="360" w:lineRule="auto"/>
        <w:rPr>
          <w:b/>
          <w:bCs/>
          <w:color w:val="000000" w:themeColor="text1"/>
        </w:rPr>
      </w:pPr>
      <w:r w:rsidRPr="009252D7">
        <w:rPr>
          <w:b/>
          <w:bCs/>
          <w:color w:val="000000" w:themeColor="text1"/>
        </w:rPr>
        <w:t>Result: Return on Equity (ROE) = 21.8%</w:t>
      </w:r>
    </w:p>
    <w:p w14:paraId="203A99A1" w14:textId="5F53F78D" w:rsidR="002D3279" w:rsidRPr="009252D7" w:rsidRDefault="008604B5" w:rsidP="002D3279">
      <w:pPr>
        <w:spacing w:line="360" w:lineRule="auto"/>
        <w:rPr>
          <w:b/>
          <w:bCs/>
          <w:color w:val="000000" w:themeColor="text1"/>
        </w:rPr>
      </w:pPr>
      <w:r>
        <w:rPr>
          <w:b/>
          <w:bCs/>
          <w:color w:val="000000" w:themeColor="text1"/>
        </w:rPr>
        <w:t>C</w:t>
      </w:r>
      <w:r w:rsidR="002D3279" w:rsidRPr="009252D7">
        <w:rPr>
          <w:b/>
          <w:bCs/>
          <w:color w:val="000000" w:themeColor="text1"/>
        </w:rPr>
        <w:t>2. Return on Assets (ROA)</w:t>
      </w:r>
    </w:p>
    <w:p w14:paraId="03247149" w14:textId="77777777" w:rsidR="002D3279" w:rsidRPr="009252D7" w:rsidRDefault="002D3279" w:rsidP="002D3279">
      <w:pPr>
        <w:spacing w:line="360" w:lineRule="auto"/>
        <w:rPr>
          <w:color w:val="000000" w:themeColor="text1"/>
        </w:rPr>
      </w:pPr>
      <w:r w:rsidRPr="009252D7">
        <w:rPr>
          <w:b/>
          <w:bCs/>
          <w:color w:val="000000" w:themeColor="text1"/>
        </w:rPr>
        <w:lastRenderedPageBreak/>
        <w:t>Formula</w:t>
      </w:r>
      <w:r w:rsidRPr="009252D7">
        <w:rPr>
          <w:color w:val="000000" w:themeColor="text1"/>
        </w:rPr>
        <w:t xml:space="preserve">: </w:t>
      </w:r>
      <m:oMath>
        <m:r>
          <m:rPr>
            <m:nor/>
          </m:rPr>
          <w:rPr>
            <w:color w:val="000000" w:themeColor="text1"/>
          </w:rPr>
          <m:t>ROA</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Profit after tax</m:t>
            </m:r>
          </m:num>
          <m:den>
            <m:r>
              <m:rPr>
                <m:nor/>
              </m:rPr>
              <w:rPr>
                <w:color w:val="000000" w:themeColor="text1"/>
              </w:rPr>
              <m:t>Average total assets</m:t>
            </m:r>
          </m:den>
        </m:f>
      </m:oMath>
      <w:r w:rsidRPr="009252D7">
        <w:rPr>
          <w:color w:val="000000" w:themeColor="text1"/>
        </w:rPr>
        <w:br/>
      </w:r>
    </w:p>
    <w:p w14:paraId="281AAF0D" w14:textId="77777777" w:rsidR="002D3279" w:rsidRPr="009252D7" w:rsidRDefault="002D3279" w:rsidP="002D3279">
      <w:pPr>
        <w:spacing w:line="360" w:lineRule="auto"/>
        <w:rPr>
          <w:b/>
          <w:bCs/>
          <w:color w:val="000000" w:themeColor="text1"/>
        </w:rPr>
      </w:pPr>
      <w:r w:rsidRPr="009252D7">
        <w:rPr>
          <w:b/>
          <w:bCs/>
          <w:color w:val="000000" w:themeColor="text1"/>
        </w:rPr>
        <w:t>Step-by-Step Working</w:t>
      </w:r>
    </w:p>
    <w:p w14:paraId="22BA3BAD" w14:textId="77777777" w:rsidR="002D3279" w:rsidRPr="009252D7" w:rsidRDefault="002D3279" w:rsidP="002D3279">
      <w:pPr>
        <w:numPr>
          <w:ilvl w:val="0"/>
          <w:numId w:val="22"/>
        </w:numPr>
        <w:spacing w:line="360" w:lineRule="auto"/>
        <w:rPr>
          <w:color w:val="000000" w:themeColor="text1"/>
        </w:rPr>
      </w:pPr>
      <w:r w:rsidRPr="009252D7">
        <w:rPr>
          <w:b/>
          <w:bCs/>
          <w:color w:val="000000" w:themeColor="text1"/>
        </w:rPr>
        <w:t>Profit after tax (2023)</w:t>
      </w:r>
      <w:r w:rsidRPr="009252D7">
        <w:rPr>
          <w:color w:val="000000" w:themeColor="text1"/>
        </w:rPr>
        <w:t xml:space="preserve"> = £5,254 million</w:t>
      </w:r>
    </w:p>
    <w:p w14:paraId="5D901DEF" w14:textId="77777777" w:rsidR="002D3279" w:rsidRPr="009252D7" w:rsidRDefault="002D3279" w:rsidP="002D3279">
      <w:pPr>
        <w:spacing w:line="360" w:lineRule="auto"/>
        <w:ind w:left="360"/>
        <w:rPr>
          <w:color w:val="000000" w:themeColor="text1"/>
        </w:rPr>
      </w:pPr>
    </w:p>
    <w:p w14:paraId="7CD93B9A" w14:textId="77777777" w:rsidR="002D3279" w:rsidRPr="009252D7" w:rsidRDefault="002D3279" w:rsidP="002D3279">
      <w:pPr>
        <w:numPr>
          <w:ilvl w:val="0"/>
          <w:numId w:val="22"/>
        </w:numPr>
        <w:spacing w:line="360" w:lineRule="auto"/>
        <w:rPr>
          <w:color w:val="000000" w:themeColor="text1"/>
        </w:rPr>
      </w:pPr>
      <w:r w:rsidRPr="009252D7">
        <w:rPr>
          <w:b/>
          <w:bCs/>
          <w:color w:val="000000" w:themeColor="text1"/>
        </w:rPr>
        <w:t>Total assets</w:t>
      </w:r>
    </w:p>
    <w:p w14:paraId="34D084B9" w14:textId="77777777" w:rsidR="002D3279" w:rsidRPr="009252D7" w:rsidRDefault="002D3279" w:rsidP="002D3279">
      <w:pPr>
        <w:numPr>
          <w:ilvl w:val="1"/>
          <w:numId w:val="22"/>
        </w:numPr>
        <w:spacing w:line="360" w:lineRule="auto"/>
        <w:rPr>
          <w:color w:val="000000" w:themeColor="text1"/>
        </w:rPr>
      </w:pPr>
      <w:r w:rsidRPr="009252D7">
        <w:rPr>
          <w:color w:val="000000" w:themeColor="text1"/>
        </w:rPr>
        <w:t>Total assets at 31 December 2022 = £342,441 million</w:t>
      </w:r>
    </w:p>
    <w:p w14:paraId="3E8077C3" w14:textId="77777777" w:rsidR="002D3279" w:rsidRPr="009252D7" w:rsidRDefault="002D3279" w:rsidP="002D3279">
      <w:pPr>
        <w:numPr>
          <w:ilvl w:val="1"/>
          <w:numId w:val="22"/>
        </w:numPr>
        <w:spacing w:line="360" w:lineRule="auto"/>
        <w:rPr>
          <w:color w:val="000000" w:themeColor="text1"/>
        </w:rPr>
      </w:pPr>
      <w:r w:rsidRPr="009252D7">
        <w:rPr>
          <w:color w:val="000000" w:themeColor="text1"/>
        </w:rPr>
        <w:t>Total assets at 31 December 2023 = £332,876 million</w:t>
      </w:r>
    </w:p>
    <w:p w14:paraId="617F4369" w14:textId="77777777" w:rsidR="002D3279" w:rsidRPr="009252D7" w:rsidRDefault="002D3279" w:rsidP="002D3279">
      <w:pPr>
        <w:numPr>
          <w:ilvl w:val="0"/>
          <w:numId w:val="22"/>
        </w:numPr>
        <w:spacing w:line="360" w:lineRule="auto"/>
        <w:rPr>
          <w:color w:val="000000" w:themeColor="text1"/>
        </w:rPr>
      </w:pPr>
      <w:r w:rsidRPr="009252D7">
        <w:rPr>
          <w:b/>
          <w:bCs/>
          <w:color w:val="000000" w:themeColor="text1"/>
        </w:rPr>
        <w:t>Average total assets</w:t>
      </w:r>
      <w:r w:rsidRPr="009252D7">
        <w:rPr>
          <w:color w:val="000000" w:themeColor="text1"/>
        </w:rPr>
        <w:t xml:space="preserve">= </w:t>
      </w:r>
      <m:oMath>
        <m:f>
          <m:fPr>
            <m:ctrlPr>
              <w:rPr>
                <w:rFonts w:ascii="Cambria Math" w:hAnsi="Cambria Math"/>
                <w:iCs/>
                <w:color w:val="000000" w:themeColor="text1"/>
              </w:rPr>
            </m:ctrlPr>
          </m:fPr>
          <m:num>
            <m:r>
              <m:rPr>
                <m:sty m:val="p"/>
              </m:rPr>
              <w:rPr>
                <w:rFonts w:ascii="Cambria Math" w:hAnsi="Cambria Math"/>
                <w:color w:val="000000" w:themeColor="text1"/>
              </w:rPr>
              <m:t>£342,441+£332,876</m:t>
            </m:r>
          </m:num>
          <m:den>
            <m:r>
              <m:rPr>
                <m:sty m:val="p"/>
              </m:rPr>
              <w:rPr>
                <w:rFonts w:ascii="Cambria Math" w:hAnsi="Cambria Math"/>
                <w:color w:val="000000" w:themeColor="text1"/>
              </w:rPr>
              <m:t>2</m:t>
            </m:r>
          </m:den>
        </m:f>
        <m:r>
          <w:rPr>
            <w:rFonts w:ascii="Cambria Math" w:hAnsi="Cambria Math"/>
            <w:color w:val="000000" w:themeColor="text1"/>
          </w:rPr>
          <m:t>=</m:t>
        </m:r>
        <m:r>
          <m:rPr>
            <m:sty m:val="p"/>
          </m:rPr>
          <w:rPr>
            <w:rFonts w:ascii="Cambria Math" w:hAnsi="Cambria Math"/>
            <w:color w:val="000000" w:themeColor="text1"/>
          </w:rPr>
          <m:t>£</m:t>
        </m:r>
        <m:r>
          <w:rPr>
            <w:rFonts w:ascii="Cambria Math" w:hAnsi="Cambria Math"/>
            <w:color w:val="000000" w:themeColor="text1"/>
          </w:rPr>
          <m:t>337,659</m:t>
        </m:r>
        <m:r>
          <m:rPr>
            <m:nor/>
          </m:rPr>
          <w:rPr>
            <w:color w:val="000000" w:themeColor="text1"/>
          </w:rPr>
          <m:t xml:space="preserve"> million</m:t>
        </m:r>
      </m:oMath>
      <w:r w:rsidRPr="009252D7">
        <w:rPr>
          <w:color w:val="000000" w:themeColor="text1"/>
        </w:rPr>
        <w:br/>
      </w:r>
    </w:p>
    <w:p w14:paraId="6A4A0F99" w14:textId="77777777" w:rsidR="002D3279" w:rsidRPr="009252D7" w:rsidRDefault="002D3279" w:rsidP="002D3279">
      <w:pPr>
        <w:numPr>
          <w:ilvl w:val="0"/>
          <w:numId w:val="23"/>
        </w:numPr>
        <w:spacing w:line="360" w:lineRule="auto"/>
        <w:rPr>
          <w:color w:val="000000" w:themeColor="text1"/>
        </w:rPr>
      </w:pPr>
      <w:r w:rsidRPr="009252D7">
        <w:rPr>
          <w:b/>
          <w:bCs/>
          <w:color w:val="000000" w:themeColor="text1"/>
        </w:rPr>
        <w:t>ROA Calculation</w:t>
      </w:r>
      <w:r w:rsidRPr="009252D7">
        <w:rPr>
          <w:color w:val="000000" w:themeColor="text1"/>
        </w:rPr>
        <w:t xml:space="preserve"> = </w:t>
      </w:r>
      <m:oMath>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5,254</m:t>
            </m:r>
          </m:num>
          <m:den>
            <m:r>
              <m:rPr>
                <m:sty m:val="p"/>
              </m:rPr>
              <w:rPr>
                <w:rFonts w:ascii="Cambria Math" w:hAnsi="Cambria Math"/>
                <w:color w:val="000000" w:themeColor="text1"/>
              </w:rPr>
              <m:t>£</m:t>
            </m:r>
            <m:r>
              <w:rPr>
                <w:rFonts w:ascii="Cambria Math" w:hAnsi="Cambria Math"/>
                <w:color w:val="000000" w:themeColor="text1"/>
              </w:rPr>
              <m:t>337,659</m:t>
            </m:r>
          </m:den>
        </m:f>
        <m:r>
          <w:rPr>
            <w:rFonts w:ascii="Cambria Math" w:hAnsi="Cambria Math"/>
            <w:color w:val="000000" w:themeColor="text1"/>
          </w:rPr>
          <m:t>=0.01556</m:t>
        </m:r>
      </m:oMath>
      <w:r w:rsidRPr="009252D7">
        <w:rPr>
          <w:i/>
          <w:color w:val="000000" w:themeColor="text1"/>
        </w:rPr>
        <w:br/>
      </w:r>
    </w:p>
    <w:p w14:paraId="36455579" w14:textId="77777777" w:rsidR="002D3279" w:rsidRPr="009252D7" w:rsidRDefault="002D3279" w:rsidP="002D3279">
      <w:pPr>
        <w:spacing w:line="360" w:lineRule="auto"/>
        <w:jc w:val="both"/>
        <w:rPr>
          <w:b/>
          <w:bCs/>
          <w:color w:val="000000" w:themeColor="text1"/>
        </w:rPr>
      </w:pPr>
      <w:r w:rsidRPr="009252D7">
        <w:rPr>
          <w:b/>
          <w:bCs/>
          <w:color w:val="000000" w:themeColor="text1"/>
        </w:rPr>
        <w:t>Result = Return on Assets (ROA) = 1.56%</w:t>
      </w:r>
    </w:p>
    <w:p w14:paraId="1CECC439" w14:textId="77777777" w:rsidR="002D3279" w:rsidRPr="009252D7" w:rsidRDefault="002D3279" w:rsidP="002D3279">
      <w:pPr>
        <w:spacing w:line="360" w:lineRule="auto"/>
        <w:jc w:val="both"/>
        <w:rPr>
          <w:color w:val="000000" w:themeColor="text1"/>
        </w:rPr>
      </w:pPr>
    </w:p>
    <w:p w14:paraId="42307A33" w14:textId="24107189" w:rsidR="002D3279" w:rsidRPr="009252D7" w:rsidRDefault="008604B5" w:rsidP="002D3279">
      <w:pPr>
        <w:spacing w:line="360" w:lineRule="auto"/>
        <w:jc w:val="both"/>
        <w:rPr>
          <w:b/>
          <w:bCs/>
          <w:color w:val="000000" w:themeColor="text1"/>
        </w:rPr>
      </w:pPr>
      <w:r>
        <w:rPr>
          <w:b/>
          <w:bCs/>
          <w:color w:val="000000" w:themeColor="text1"/>
        </w:rPr>
        <w:t>C</w:t>
      </w:r>
      <w:r w:rsidR="002D3279" w:rsidRPr="009252D7">
        <w:rPr>
          <w:b/>
          <w:bCs/>
          <w:color w:val="000000" w:themeColor="text1"/>
        </w:rPr>
        <w:t>3. Net Interest Margin (NIM)</w:t>
      </w:r>
    </w:p>
    <w:p w14:paraId="58CCD8E8" w14:textId="77777777" w:rsidR="002D3279" w:rsidRPr="009252D7" w:rsidRDefault="002D3279" w:rsidP="002D3279">
      <w:pPr>
        <w:spacing w:line="360" w:lineRule="auto"/>
        <w:jc w:val="both"/>
        <w:rPr>
          <w:color w:val="000000" w:themeColor="text1"/>
        </w:rPr>
      </w:pPr>
      <w:r w:rsidRPr="009252D7">
        <w:rPr>
          <w:b/>
          <w:bCs/>
          <w:color w:val="000000" w:themeColor="text1"/>
        </w:rPr>
        <w:t>Formula</w:t>
      </w:r>
      <m:oMath>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Net interest income</m:t>
            </m:r>
          </m:num>
          <m:den>
            <m:r>
              <m:rPr>
                <m:nor/>
              </m:rPr>
              <w:rPr>
                <w:color w:val="000000" w:themeColor="text1"/>
              </w:rPr>
              <m:t>Average interest-earning assets</m:t>
            </m:r>
          </m:den>
        </m:f>
      </m:oMath>
      <w:r w:rsidRPr="009252D7">
        <w:rPr>
          <w:color w:val="000000" w:themeColor="text1"/>
        </w:rPr>
        <w:br/>
      </w:r>
    </w:p>
    <w:p w14:paraId="45AA2914" w14:textId="77777777" w:rsidR="002D3279" w:rsidRPr="009252D7" w:rsidRDefault="002D3279" w:rsidP="002D3279">
      <w:pPr>
        <w:spacing w:line="360" w:lineRule="auto"/>
        <w:jc w:val="both"/>
        <w:rPr>
          <w:b/>
          <w:bCs/>
          <w:color w:val="000000" w:themeColor="text1"/>
        </w:rPr>
      </w:pPr>
      <w:r w:rsidRPr="009252D7">
        <w:rPr>
          <w:b/>
          <w:bCs/>
          <w:color w:val="000000" w:themeColor="text1"/>
        </w:rPr>
        <w:t>Step-by-Step Working</w:t>
      </w:r>
    </w:p>
    <w:p w14:paraId="2BF6B437" w14:textId="77777777" w:rsidR="002D3279" w:rsidRPr="009252D7" w:rsidRDefault="002D3279" w:rsidP="002D3279">
      <w:pPr>
        <w:numPr>
          <w:ilvl w:val="0"/>
          <w:numId w:val="24"/>
        </w:numPr>
        <w:spacing w:line="360" w:lineRule="auto"/>
        <w:jc w:val="both"/>
        <w:rPr>
          <w:color w:val="000000" w:themeColor="text1"/>
        </w:rPr>
      </w:pPr>
      <w:r w:rsidRPr="009252D7">
        <w:rPr>
          <w:b/>
          <w:bCs/>
          <w:color w:val="000000" w:themeColor="text1"/>
        </w:rPr>
        <w:t>Net interest income (2023)</w:t>
      </w:r>
      <w:r w:rsidRPr="009252D7">
        <w:rPr>
          <w:color w:val="000000" w:themeColor="text1"/>
        </w:rPr>
        <w:t xml:space="preserve"> = £7,787 million</w:t>
      </w:r>
    </w:p>
    <w:p w14:paraId="326C748D" w14:textId="77777777" w:rsidR="002D3279" w:rsidRPr="009252D7" w:rsidRDefault="002D3279" w:rsidP="002D3279">
      <w:pPr>
        <w:numPr>
          <w:ilvl w:val="0"/>
          <w:numId w:val="24"/>
        </w:numPr>
        <w:spacing w:line="360" w:lineRule="auto"/>
        <w:jc w:val="both"/>
        <w:rPr>
          <w:color w:val="000000" w:themeColor="text1"/>
        </w:rPr>
      </w:pPr>
      <w:r w:rsidRPr="009252D7">
        <w:rPr>
          <w:b/>
          <w:bCs/>
          <w:color w:val="000000" w:themeColor="text1"/>
        </w:rPr>
        <w:t>Average interest-earning assets (2023)</w:t>
      </w:r>
      <w:r w:rsidRPr="009252D7">
        <w:rPr>
          <w:color w:val="000000" w:themeColor="text1"/>
        </w:rPr>
        <w:t xml:space="preserve"> = £320,354 million</w:t>
      </w:r>
    </w:p>
    <w:p w14:paraId="05C02582" w14:textId="77777777" w:rsidR="002D3279" w:rsidRPr="009252D7" w:rsidRDefault="002D3279" w:rsidP="002D3279">
      <w:pPr>
        <w:numPr>
          <w:ilvl w:val="0"/>
          <w:numId w:val="24"/>
        </w:numPr>
        <w:spacing w:line="360" w:lineRule="auto"/>
        <w:jc w:val="both"/>
        <w:rPr>
          <w:color w:val="000000" w:themeColor="text1"/>
        </w:rPr>
      </w:pPr>
      <w:r w:rsidRPr="009252D7">
        <w:rPr>
          <w:b/>
          <w:bCs/>
          <w:color w:val="000000" w:themeColor="text1"/>
        </w:rPr>
        <w:t>Calculation</w:t>
      </w:r>
      <w:r w:rsidRPr="009252D7">
        <w:rPr>
          <w:color w:val="000000" w:themeColor="text1"/>
        </w:rPr>
        <w:t>:</w:t>
      </w:r>
      <m:oMath>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7,787</m:t>
            </m:r>
          </m:num>
          <m:den>
            <m:r>
              <m:rPr>
                <m:sty m:val="p"/>
              </m:rPr>
              <w:rPr>
                <w:rFonts w:ascii="Cambria Math" w:hAnsi="Cambria Math"/>
                <w:color w:val="000000" w:themeColor="text1"/>
              </w:rPr>
              <m:t>£</m:t>
            </m:r>
            <m:r>
              <w:rPr>
                <w:rFonts w:ascii="Cambria Math" w:hAnsi="Cambria Math"/>
                <w:color w:val="000000" w:themeColor="text1"/>
              </w:rPr>
              <m:t>320,354</m:t>
            </m:r>
          </m:den>
        </m:f>
        <m:r>
          <w:rPr>
            <w:rFonts w:ascii="Cambria Math" w:hAnsi="Cambria Math"/>
            <w:color w:val="000000" w:themeColor="text1"/>
          </w:rPr>
          <m:t>=0.0243</m:t>
        </m:r>
      </m:oMath>
      <w:r w:rsidRPr="009252D7">
        <w:rPr>
          <w:i/>
          <w:color w:val="000000" w:themeColor="text1"/>
        </w:rPr>
        <w:br/>
      </w:r>
    </w:p>
    <w:p w14:paraId="376BAF5D" w14:textId="77777777" w:rsidR="002D3279" w:rsidRPr="009252D7" w:rsidRDefault="002D3279" w:rsidP="002D3279">
      <w:pPr>
        <w:spacing w:line="360" w:lineRule="auto"/>
        <w:jc w:val="both"/>
        <w:rPr>
          <w:b/>
          <w:bCs/>
          <w:color w:val="000000" w:themeColor="text1"/>
        </w:rPr>
      </w:pPr>
      <w:r w:rsidRPr="009252D7">
        <w:rPr>
          <w:b/>
          <w:bCs/>
          <w:color w:val="000000" w:themeColor="text1"/>
        </w:rPr>
        <w:t>Result: Net Interest Margin (NIM) = 2.43%</w:t>
      </w:r>
    </w:p>
    <w:p w14:paraId="39335309" w14:textId="28F86249" w:rsidR="002D3279" w:rsidRPr="009252D7" w:rsidRDefault="008604B5" w:rsidP="002D3279">
      <w:pPr>
        <w:spacing w:line="360" w:lineRule="auto"/>
        <w:jc w:val="both"/>
        <w:rPr>
          <w:b/>
          <w:bCs/>
          <w:color w:val="000000" w:themeColor="text1"/>
        </w:rPr>
      </w:pPr>
      <w:r>
        <w:rPr>
          <w:b/>
          <w:bCs/>
          <w:color w:val="000000" w:themeColor="text1"/>
        </w:rPr>
        <w:t>C</w:t>
      </w:r>
      <w:r w:rsidR="002D3279" w:rsidRPr="009252D7">
        <w:rPr>
          <w:b/>
          <w:bCs/>
          <w:color w:val="000000" w:themeColor="text1"/>
        </w:rPr>
        <w:t>4. Cost-to-Income Ratio</w:t>
      </w:r>
    </w:p>
    <w:p w14:paraId="0105485B" w14:textId="77777777" w:rsidR="002D3279" w:rsidRPr="009252D7" w:rsidRDefault="002D3279" w:rsidP="002D3279">
      <w:pPr>
        <w:spacing w:line="360" w:lineRule="auto"/>
        <w:jc w:val="both"/>
        <w:rPr>
          <w:color w:val="000000" w:themeColor="text1"/>
        </w:rPr>
      </w:pPr>
      <w:r w:rsidRPr="009252D7">
        <w:rPr>
          <w:b/>
          <w:bCs/>
          <w:color w:val="000000" w:themeColor="text1"/>
        </w:rPr>
        <w:lastRenderedPageBreak/>
        <w:t>Formula</w:t>
      </w:r>
      <w:r>
        <w:rPr>
          <w:color w:val="000000" w:themeColor="text1"/>
        </w:rPr>
        <w:t>=</w:t>
      </w:r>
      <m:oMath>
        <m:r>
          <m:rPr>
            <m:nor/>
          </m:rPr>
          <w:rPr>
            <w:color w:val="000000" w:themeColor="text1"/>
          </w:rPr>
          <m:t>Cost-to-Income Ratio</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Operating expenses</m:t>
            </m:r>
          </m:num>
          <m:den>
            <m:r>
              <m:rPr>
                <m:nor/>
              </m:rPr>
              <w:rPr>
                <w:color w:val="000000" w:themeColor="text1"/>
              </w:rPr>
              <m:t>Operating income</m:t>
            </m:r>
          </m:den>
        </m:f>
      </m:oMath>
      <w:r w:rsidRPr="009252D7">
        <w:rPr>
          <w:color w:val="000000" w:themeColor="text1"/>
        </w:rPr>
        <w:br/>
      </w:r>
    </w:p>
    <w:p w14:paraId="42B5747E" w14:textId="77777777" w:rsidR="002D3279" w:rsidRPr="009252D7" w:rsidRDefault="002D3279" w:rsidP="002D3279">
      <w:pPr>
        <w:spacing w:line="360" w:lineRule="auto"/>
        <w:jc w:val="both"/>
        <w:rPr>
          <w:b/>
          <w:bCs/>
          <w:color w:val="000000" w:themeColor="text1"/>
        </w:rPr>
      </w:pPr>
      <w:r w:rsidRPr="009252D7">
        <w:rPr>
          <w:b/>
          <w:bCs/>
          <w:color w:val="000000" w:themeColor="text1"/>
        </w:rPr>
        <w:t>Step-by-Step Working</w:t>
      </w:r>
    </w:p>
    <w:p w14:paraId="4642F0C6" w14:textId="77777777" w:rsidR="002D3279" w:rsidRPr="009252D7" w:rsidRDefault="002D3279" w:rsidP="002D3279">
      <w:pPr>
        <w:numPr>
          <w:ilvl w:val="0"/>
          <w:numId w:val="25"/>
        </w:numPr>
        <w:spacing w:line="360" w:lineRule="auto"/>
        <w:jc w:val="both"/>
        <w:rPr>
          <w:color w:val="000000" w:themeColor="text1"/>
        </w:rPr>
      </w:pPr>
      <w:r w:rsidRPr="009252D7">
        <w:rPr>
          <w:b/>
          <w:bCs/>
          <w:color w:val="000000" w:themeColor="text1"/>
        </w:rPr>
        <w:t>Operating expenses (2023)</w:t>
      </w:r>
      <w:r w:rsidRPr="009252D7">
        <w:rPr>
          <w:color w:val="000000" w:themeColor="text1"/>
        </w:rPr>
        <w:t xml:space="preserve"> = £3,707 million</w:t>
      </w:r>
    </w:p>
    <w:p w14:paraId="111BA98F" w14:textId="77777777" w:rsidR="002D3279" w:rsidRPr="009252D7" w:rsidRDefault="002D3279" w:rsidP="002D3279">
      <w:pPr>
        <w:numPr>
          <w:ilvl w:val="0"/>
          <w:numId w:val="25"/>
        </w:numPr>
        <w:spacing w:line="360" w:lineRule="auto"/>
        <w:jc w:val="both"/>
        <w:rPr>
          <w:color w:val="000000" w:themeColor="text1"/>
        </w:rPr>
      </w:pPr>
      <w:r w:rsidRPr="009252D7">
        <w:rPr>
          <w:b/>
          <w:bCs/>
          <w:color w:val="000000" w:themeColor="text1"/>
        </w:rPr>
        <w:t>Operating income (2023)</w:t>
      </w:r>
      <w:r w:rsidRPr="009252D7">
        <w:rPr>
          <w:color w:val="000000" w:themeColor="text1"/>
        </w:rPr>
        <w:t xml:space="preserve"> = £10,807 million</w:t>
      </w:r>
    </w:p>
    <w:p w14:paraId="6D448D51" w14:textId="77777777" w:rsidR="002D3279" w:rsidRPr="009252D7" w:rsidRDefault="002D3279" w:rsidP="002D3279">
      <w:pPr>
        <w:numPr>
          <w:ilvl w:val="0"/>
          <w:numId w:val="25"/>
        </w:numPr>
        <w:spacing w:line="360" w:lineRule="auto"/>
        <w:jc w:val="both"/>
        <w:rPr>
          <w:color w:val="000000" w:themeColor="text1"/>
        </w:rPr>
      </w:pPr>
      <w:r w:rsidRPr="009252D7">
        <w:rPr>
          <w:b/>
          <w:bCs/>
          <w:color w:val="000000" w:themeColor="text1"/>
        </w:rPr>
        <w:t>Calculation</w:t>
      </w:r>
      <w:r w:rsidRPr="009252D7">
        <w:rPr>
          <w:color w:val="000000" w:themeColor="text1"/>
        </w:rPr>
        <w:t>:</w:t>
      </w:r>
      <m:oMath>
        <m:f>
          <m:fPr>
            <m:ctrlPr>
              <w:rPr>
                <w:rFonts w:ascii="Cambria Math" w:hAnsi="Cambria Math"/>
                <w:color w:val="000000" w:themeColor="text1"/>
              </w:rPr>
            </m:ctrlPr>
          </m:fPr>
          <m:num>
            <m:r>
              <m:rPr>
                <m:sty m:val="p"/>
              </m:rPr>
              <w:rPr>
                <w:rFonts w:ascii="Cambria Math" w:hAnsi="Cambria Math"/>
                <w:color w:val="000000" w:themeColor="text1"/>
              </w:rPr>
              <m:t>£</m:t>
            </m:r>
            <m:r>
              <w:rPr>
                <w:rFonts w:ascii="Cambria Math" w:hAnsi="Cambria Math"/>
                <w:color w:val="000000" w:themeColor="text1"/>
              </w:rPr>
              <m:t>3,707</m:t>
            </m:r>
          </m:num>
          <m:den>
            <m:r>
              <m:rPr>
                <m:sty m:val="p"/>
              </m:rPr>
              <w:rPr>
                <w:rFonts w:ascii="Cambria Math" w:hAnsi="Cambria Math"/>
                <w:color w:val="000000" w:themeColor="text1"/>
              </w:rPr>
              <m:t>£</m:t>
            </m:r>
            <m:r>
              <w:rPr>
                <w:rFonts w:ascii="Cambria Math" w:hAnsi="Cambria Math"/>
                <w:color w:val="000000" w:themeColor="text1"/>
              </w:rPr>
              <m:t>10,807</m:t>
            </m:r>
          </m:den>
        </m:f>
        <m:r>
          <w:rPr>
            <w:rFonts w:ascii="Cambria Math" w:hAnsi="Cambria Math"/>
            <w:color w:val="000000" w:themeColor="text1"/>
          </w:rPr>
          <m:t>=0.343</m:t>
        </m:r>
      </m:oMath>
    </w:p>
    <w:p w14:paraId="79EE495E" w14:textId="77777777" w:rsidR="002D3279" w:rsidRPr="009252D7" w:rsidRDefault="002D3279" w:rsidP="002D3279">
      <w:pPr>
        <w:spacing w:line="360" w:lineRule="auto"/>
        <w:ind w:left="360"/>
        <w:jc w:val="both"/>
        <w:rPr>
          <w:color w:val="000000" w:themeColor="text1"/>
        </w:rPr>
      </w:pPr>
      <w:r w:rsidRPr="009252D7">
        <w:rPr>
          <w:b/>
          <w:bCs/>
          <w:color w:val="000000" w:themeColor="text1"/>
        </w:rPr>
        <w:t>Result: Cost-to-Income Ratio = 34.3%</w:t>
      </w:r>
    </w:p>
    <w:p w14:paraId="45819F8C" w14:textId="1F00E9CF" w:rsidR="002D3279" w:rsidRPr="009252D7" w:rsidRDefault="008604B5" w:rsidP="002D3279">
      <w:pPr>
        <w:spacing w:line="360" w:lineRule="auto"/>
        <w:jc w:val="both"/>
        <w:rPr>
          <w:b/>
          <w:bCs/>
          <w:color w:val="000000" w:themeColor="text1"/>
        </w:rPr>
      </w:pPr>
      <w:r>
        <w:rPr>
          <w:b/>
          <w:bCs/>
          <w:color w:val="000000" w:themeColor="text1"/>
        </w:rPr>
        <w:t>C</w:t>
      </w:r>
      <w:r w:rsidR="002D3279" w:rsidRPr="009252D7">
        <w:rPr>
          <w:b/>
          <w:bCs/>
          <w:color w:val="000000" w:themeColor="text1"/>
        </w:rPr>
        <w:t>5. Notes on Data Consistency and Methodology</w:t>
      </w:r>
    </w:p>
    <w:p w14:paraId="18D29634" w14:textId="77777777" w:rsidR="002D3279" w:rsidRPr="009252D7" w:rsidRDefault="002D3279" w:rsidP="002D3279">
      <w:pPr>
        <w:numPr>
          <w:ilvl w:val="0"/>
          <w:numId w:val="26"/>
        </w:numPr>
        <w:spacing w:line="360" w:lineRule="auto"/>
        <w:jc w:val="both"/>
        <w:rPr>
          <w:color w:val="000000" w:themeColor="text1"/>
        </w:rPr>
      </w:pPr>
      <w:r w:rsidRPr="009252D7">
        <w:rPr>
          <w:color w:val="000000" w:themeColor="text1"/>
        </w:rPr>
        <w:t xml:space="preserve">All ratios are calculated using </w:t>
      </w:r>
      <w:r w:rsidRPr="009252D7">
        <w:rPr>
          <w:b/>
          <w:bCs/>
          <w:color w:val="000000" w:themeColor="text1"/>
        </w:rPr>
        <w:t>average balance sheet figures</w:t>
      </w:r>
      <w:r w:rsidRPr="009252D7">
        <w:rPr>
          <w:color w:val="000000" w:themeColor="text1"/>
        </w:rPr>
        <w:t>, in line with best practice for banking analysis.</w:t>
      </w:r>
    </w:p>
    <w:p w14:paraId="61D90249" w14:textId="77777777" w:rsidR="002D3279" w:rsidRPr="009252D7" w:rsidRDefault="002D3279" w:rsidP="002D3279">
      <w:pPr>
        <w:numPr>
          <w:ilvl w:val="0"/>
          <w:numId w:val="26"/>
        </w:numPr>
        <w:spacing w:line="360" w:lineRule="auto"/>
        <w:jc w:val="both"/>
        <w:rPr>
          <w:color w:val="000000" w:themeColor="text1"/>
        </w:rPr>
      </w:pPr>
      <w:r w:rsidRPr="009252D7">
        <w:rPr>
          <w:color w:val="000000" w:themeColor="text1"/>
        </w:rPr>
        <w:t xml:space="preserve">Figures are rounded to </w:t>
      </w:r>
      <w:r w:rsidRPr="009252D7">
        <w:rPr>
          <w:b/>
          <w:bCs/>
          <w:color w:val="000000" w:themeColor="text1"/>
        </w:rPr>
        <w:t>two decimal places</w:t>
      </w:r>
      <w:r w:rsidRPr="009252D7">
        <w:rPr>
          <w:color w:val="000000" w:themeColor="text1"/>
        </w:rPr>
        <w:t xml:space="preserve"> where appropriate.</w:t>
      </w:r>
    </w:p>
    <w:p w14:paraId="5D39899A" w14:textId="77777777" w:rsidR="002D3279" w:rsidRPr="009252D7" w:rsidRDefault="002D3279" w:rsidP="002D3279">
      <w:pPr>
        <w:numPr>
          <w:ilvl w:val="0"/>
          <w:numId w:val="26"/>
        </w:numPr>
        <w:spacing w:line="360" w:lineRule="auto"/>
        <w:jc w:val="both"/>
        <w:rPr>
          <w:color w:val="000000" w:themeColor="text1"/>
        </w:rPr>
      </w:pPr>
      <w:r w:rsidRPr="009252D7">
        <w:rPr>
          <w:color w:val="000000" w:themeColor="text1"/>
        </w:rPr>
        <w:t xml:space="preserve">Calculations exclude market-based ratios (EPS, dividend yield) as HSBC UK Bank plc is a </w:t>
      </w:r>
      <w:r w:rsidRPr="009252D7">
        <w:rPr>
          <w:b/>
          <w:bCs/>
          <w:color w:val="000000" w:themeColor="text1"/>
        </w:rPr>
        <w:t>wholly owned, unlisted subsidiary</w:t>
      </w:r>
      <w:r w:rsidRPr="009252D7">
        <w:rPr>
          <w:color w:val="000000" w:themeColor="text1"/>
        </w:rPr>
        <w:t>.</w:t>
      </w:r>
    </w:p>
    <w:p w14:paraId="0360C60C" w14:textId="77777777" w:rsidR="002D3279" w:rsidRPr="009252D7" w:rsidRDefault="002D3279" w:rsidP="002D3279">
      <w:pPr>
        <w:numPr>
          <w:ilvl w:val="0"/>
          <w:numId w:val="26"/>
        </w:numPr>
        <w:spacing w:after="0" w:line="360" w:lineRule="auto"/>
        <w:jc w:val="both"/>
        <w:rPr>
          <w:color w:val="000000" w:themeColor="text1"/>
        </w:rPr>
      </w:pPr>
      <w:r w:rsidRPr="009252D7">
        <w:rPr>
          <w:color w:val="000000" w:themeColor="text1"/>
        </w:rPr>
        <w:t>The methodology aligns with standard academic finance and banking textbooks.</w:t>
      </w:r>
    </w:p>
    <w:p w14:paraId="329A5975" w14:textId="77777777" w:rsidR="002D3279" w:rsidRPr="009252D7" w:rsidRDefault="002D3279" w:rsidP="002D3279">
      <w:pPr>
        <w:spacing w:line="360" w:lineRule="auto"/>
        <w:jc w:val="both"/>
        <w:rPr>
          <w:color w:val="000000" w:themeColor="text1"/>
        </w:rPr>
      </w:pPr>
    </w:p>
    <w:p w14:paraId="66669F97" w14:textId="77777777" w:rsidR="002D3279" w:rsidRPr="009252D7" w:rsidRDefault="002D3279" w:rsidP="002D3279">
      <w:pPr>
        <w:spacing w:line="360" w:lineRule="auto"/>
        <w:jc w:val="both"/>
        <w:rPr>
          <w:b/>
          <w:bCs/>
          <w:color w:val="000000" w:themeColor="text1"/>
        </w:rPr>
      </w:pPr>
    </w:p>
    <w:p w14:paraId="0A0545A4" w14:textId="77777777" w:rsidR="002D3279" w:rsidRPr="009252D7" w:rsidRDefault="002D3279" w:rsidP="002D3279">
      <w:pPr>
        <w:spacing w:line="360" w:lineRule="auto"/>
        <w:jc w:val="both"/>
        <w:rPr>
          <w:b/>
          <w:bCs/>
          <w:color w:val="000000" w:themeColor="text1"/>
        </w:rPr>
      </w:pPr>
      <w:bookmarkStart w:id="47" w:name="_Toc218979679"/>
      <w:r w:rsidRPr="000411CC">
        <w:rPr>
          <w:rStyle w:val="Heading2Char"/>
          <w:rFonts w:ascii="Times New Roman" w:hAnsi="Times New Roman" w:cs="Times New Roman"/>
          <w:sz w:val="24"/>
          <w:szCs w:val="24"/>
        </w:rPr>
        <w:t>Appendix D: Profitability Ratio Calculation Workings (FY 2024)</w:t>
      </w:r>
      <w:bookmarkEnd w:id="47"/>
      <w:r w:rsidRPr="009252D7">
        <w:rPr>
          <w:b/>
          <w:bCs/>
          <w:color w:val="000000" w:themeColor="text1"/>
        </w:rPr>
        <w:t xml:space="preserve"> </w:t>
      </w:r>
      <w:r w:rsidRPr="00890520">
        <w:rPr>
          <w:color w:val="000000" w:themeColor="text1"/>
        </w:rPr>
        <w:t>HSBC UK Bank plc</w:t>
      </w:r>
    </w:p>
    <w:p w14:paraId="074D59A2" w14:textId="77777777" w:rsidR="002D3279" w:rsidRPr="009252D7" w:rsidRDefault="002D3279" w:rsidP="002D3279">
      <w:pPr>
        <w:spacing w:line="360" w:lineRule="auto"/>
        <w:jc w:val="both"/>
        <w:rPr>
          <w:color w:val="000000" w:themeColor="text1"/>
        </w:rPr>
      </w:pPr>
      <w:r w:rsidRPr="009252D7">
        <w:rPr>
          <w:color w:val="000000" w:themeColor="text1"/>
        </w:rPr>
        <w:t xml:space="preserve">This appendix provides detailed computational workings for the core profitability ratios analysed in the main report. All figures are extracted from the audited </w:t>
      </w:r>
      <w:r w:rsidRPr="009252D7">
        <w:rPr>
          <w:b/>
          <w:bCs/>
          <w:color w:val="000000" w:themeColor="text1"/>
        </w:rPr>
        <w:t>HSBC UK Bank plc Annual Report and Accounts 2024</w:t>
      </w:r>
      <w:r w:rsidRPr="009252D7">
        <w:rPr>
          <w:color w:val="000000" w:themeColor="text1"/>
        </w:rPr>
        <w:t xml:space="preserve"> and are stated in </w:t>
      </w:r>
      <w:r w:rsidRPr="009252D7">
        <w:rPr>
          <w:b/>
          <w:bCs/>
          <w:color w:val="000000" w:themeColor="text1"/>
        </w:rPr>
        <w:t>£ millions</w:t>
      </w:r>
      <w:r w:rsidRPr="009252D7">
        <w:rPr>
          <w:color w:val="000000" w:themeColor="text1"/>
        </w:rPr>
        <w:t>, unless otherwise indicated.</w:t>
      </w:r>
    </w:p>
    <w:p w14:paraId="3D74400B" w14:textId="77777777" w:rsidR="002D3279" w:rsidRPr="009252D7" w:rsidRDefault="002D3279" w:rsidP="002D3279">
      <w:pPr>
        <w:spacing w:line="360" w:lineRule="auto"/>
        <w:jc w:val="both"/>
        <w:rPr>
          <w:color w:val="000000" w:themeColor="text1"/>
        </w:rPr>
      </w:pPr>
    </w:p>
    <w:p w14:paraId="2FC9B592" w14:textId="566FD557" w:rsidR="002D3279" w:rsidRPr="009252D7" w:rsidRDefault="008604B5" w:rsidP="002D3279">
      <w:pPr>
        <w:spacing w:line="360" w:lineRule="auto"/>
        <w:jc w:val="both"/>
        <w:rPr>
          <w:b/>
          <w:bCs/>
          <w:color w:val="000000" w:themeColor="text1"/>
        </w:rPr>
      </w:pPr>
      <w:r>
        <w:rPr>
          <w:b/>
          <w:bCs/>
          <w:color w:val="000000" w:themeColor="text1"/>
        </w:rPr>
        <w:t>D</w:t>
      </w:r>
      <w:r w:rsidR="002D3279" w:rsidRPr="009252D7">
        <w:rPr>
          <w:b/>
          <w:bCs/>
          <w:color w:val="000000" w:themeColor="text1"/>
        </w:rPr>
        <w:t>1. Return on Equity (ROE)</w:t>
      </w:r>
    </w:p>
    <w:p w14:paraId="68477821"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Profit after tax ÷ Average shareholders’ equity</w:t>
      </w:r>
    </w:p>
    <w:p w14:paraId="18D87EE1"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w:t>
      </w:r>
    </w:p>
    <w:p w14:paraId="44883F00" w14:textId="77777777" w:rsidR="002D3279" w:rsidRPr="009252D7" w:rsidRDefault="002D3279" w:rsidP="002D3279">
      <w:pPr>
        <w:spacing w:line="360" w:lineRule="auto"/>
        <w:jc w:val="both"/>
        <w:rPr>
          <w:color w:val="000000" w:themeColor="text1"/>
        </w:rPr>
      </w:pPr>
      <w:r w:rsidRPr="009252D7">
        <w:rPr>
          <w:color w:val="000000" w:themeColor="text1"/>
        </w:rPr>
        <w:t xml:space="preserve">Profit after tax (FY 2024) = </w:t>
      </w:r>
      <w:r w:rsidRPr="009252D7">
        <w:rPr>
          <w:b/>
          <w:bCs/>
          <w:color w:val="000000" w:themeColor="text1"/>
        </w:rPr>
        <w:t>£4,139</w:t>
      </w:r>
    </w:p>
    <w:p w14:paraId="39E5C4DB" w14:textId="77777777" w:rsidR="002D3279" w:rsidRPr="009252D7" w:rsidRDefault="002D3279" w:rsidP="002D3279">
      <w:pPr>
        <w:spacing w:line="360" w:lineRule="auto"/>
        <w:jc w:val="both"/>
        <w:rPr>
          <w:color w:val="000000" w:themeColor="text1"/>
        </w:rPr>
      </w:pPr>
      <w:r w:rsidRPr="009252D7">
        <w:rPr>
          <w:color w:val="000000" w:themeColor="text1"/>
        </w:rPr>
        <w:t>Shareholders’ equity:</w:t>
      </w:r>
    </w:p>
    <w:p w14:paraId="3EBDE7F1" w14:textId="77777777" w:rsidR="002D3279" w:rsidRPr="009252D7" w:rsidRDefault="002D3279" w:rsidP="002D3279">
      <w:pPr>
        <w:numPr>
          <w:ilvl w:val="0"/>
          <w:numId w:val="27"/>
        </w:numPr>
        <w:spacing w:after="0" w:line="360" w:lineRule="auto"/>
        <w:jc w:val="both"/>
        <w:rPr>
          <w:color w:val="000000" w:themeColor="text1"/>
        </w:rPr>
      </w:pPr>
      <w:r w:rsidRPr="009252D7">
        <w:rPr>
          <w:color w:val="000000" w:themeColor="text1"/>
        </w:rPr>
        <w:lastRenderedPageBreak/>
        <w:t xml:space="preserve">Equity at 31 December 2023 = </w:t>
      </w:r>
      <w:r w:rsidRPr="009252D7">
        <w:rPr>
          <w:b/>
          <w:bCs/>
          <w:color w:val="000000" w:themeColor="text1"/>
        </w:rPr>
        <w:t>£26,010</w:t>
      </w:r>
    </w:p>
    <w:p w14:paraId="1677CEFC" w14:textId="77777777" w:rsidR="002D3279" w:rsidRPr="009252D7" w:rsidRDefault="002D3279" w:rsidP="002D3279">
      <w:pPr>
        <w:numPr>
          <w:ilvl w:val="0"/>
          <w:numId w:val="27"/>
        </w:numPr>
        <w:spacing w:after="0" w:line="360" w:lineRule="auto"/>
        <w:jc w:val="both"/>
        <w:rPr>
          <w:color w:val="000000" w:themeColor="text1"/>
        </w:rPr>
      </w:pPr>
      <w:r w:rsidRPr="009252D7">
        <w:rPr>
          <w:color w:val="000000" w:themeColor="text1"/>
        </w:rPr>
        <w:t xml:space="preserve">Equity at 31 December 2024 = </w:t>
      </w:r>
      <w:r w:rsidRPr="009252D7">
        <w:rPr>
          <w:b/>
          <w:bCs/>
          <w:color w:val="000000" w:themeColor="text1"/>
        </w:rPr>
        <w:t>£25,911</w:t>
      </w:r>
    </w:p>
    <w:p w14:paraId="0D4C6980" w14:textId="77777777" w:rsidR="002D3279" w:rsidRPr="009252D7" w:rsidRDefault="002D3279" w:rsidP="002D3279">
      <w:pPr>
        <w:spacing w:line="360" w:lineRule="auto"/>
        <w:jc w:val="both"/>
        <w:rPr>
          <w:color w:val="000000" w:themeColor="text1"/>
        </w:rPr>
      </w:pPr>
      <w:r w:rsidRPr="009252D7">
        <w:rPr>
          <w:color w:val="000000" w:themeColor="text1"/>
        </w:rPr>
        <w:t>Average shareholders’ equity:</w:t>
      </w:r>
    </w:p>
    <w:p w14:paraId="4777FFB5" w14:textId="77777777" w:rsidR="002D3279" w:rsidRPr="009252D7" w:rsidRDefault="00000000" w:rsidP="002D3279">
      <w:pPr>
        <w:spacing w:line="360" w:lineRule="auto"/>
        <w:jc w:val="both"/>
        <w:rPr>
          <w:color w:val="000000" w:themeColor="text1"/>
        </w:rPr>
      </w:pPr>
      <m:oMathPara>
        <m:oMath>
          <m:f>
            <m:fPr>
              <m:ctrlPr>
                <w:rPr>
                  <w:rFonts w:ascii="Cambria Math" w:hAnsi="Cambria Math"/>
                  <w:color w:val="000000" w:themeColor="text1"/>
                </w:rPr>
              </m:ctrlPr>
            </m:fPr>
            <m:num>
              <m:r>
                <w:rPr>
                  <w:rFonts w:ascii="Cambria Math" w:hAnsi="Cambria Math"/>
                  <w:color w:val="000000" w:themeColor="text1"/>
                </w:rPr>
                <m:t>26,010+25,911</m:t>
              </m:r>
            </m:num>
            <m:den>
              <m:r>
                <w:rPr>
                  <w:rFonts w:ascii="Cambria Math" w:hAnsi="Cambria Math"/>
                  <w:color w:val="000000" w:themeColor="text1"/>
                </w:rPr>
                <m:t>2</m:t>
              </m:r>
            </m:den>
          </m:f>
          <m:r>
            <w:rPr>
              <w:rFonts w:ascii="Cambria Math" w:hAnsi="Cambria Math"/>
              <w:color w:val="000000" w:themeColor="text1"/>
            </w:rPr>
            <m:t>=25,960.5</m:t>
          </m:r>
          <m:r>
            <m:rPr>
              <m:sty m:val="p"/>
            </m:rPr>
            <w:rPr>
              <w:color w:val="000000" w:themeColor="text1"/>
            </w:rPr>
            <w:br/>
          </m:r>
        </m:oMath>
      </m:oMathPara>
    </w:p>
    <w:p w14:paraId="6199A309" w14:textId="77777777" w:rsidR="002D3279" w:rsidRPr="009252D7" w:rsidRDefault="002D3279" w:rsidP="002D3279">
      <w:pPr>
        <w:spacing w:line="360" w:lineRule="auto"/>
        <w:jc w:val="both"/>
        <w:rPr>
          <w:color w:val="000000" w:themeColor="text1"/>
        </w:rPr>
      </w:pPr>
      <w:r w:rsidRPr="009252D7">
        <w:rPr>
          <w:color w:val="000000" w:themeColor="text1"/>
        </w:rPr>
        <w:t>ROE:</w:t>
      </w:r>
      <m:oMath>
        <m:f>
          <m:fPr>
            <m:ctrlPr>
              <w:rPr>
                <w:rFonts w:ascii="Cambria Math" w:hAnsi="Cambria Math"/>
                <w:color w:val="000000" w:themeColor="text1"/>
              </w:rPr>
            </m:ctrlPr>
          </m:fPr>
          <m:num>
            <m:r>
              <w:rPr>
                <w:rFonts w:ascii="Cambria Math" w:hAnsi="Cambria Math"/>
                <w:color w:val="000000" w:themeColor="text1"/>
              </w:rPr>
              <m:t>4,139</m:t>
            </m:r>
          </m:num>
          <m:den>
            <m:r>
              <w:rPr>
                <w:rFonts w:ascii="Cambria Math" w:hAnsi="Cambria Math"/>
                <w:color w:val="000000" w:themeColor="text1"/>
              </w:rPr>
              <m:t>25,960.5</m:t>
            </m:r>
          </m:den>
        </m:f>
        <m:r>
          <w:rPr>
            <w:rFonts w:ascii="Cambria Math" w:hAnsi="Cambria Math"/>
            <w:color w:val="000000" w:themeColor="text1"/>
          </w:rPr>
          <m:t>=0.1594</m:t>
        </m:r>
      </m:oMath>
      <w:r w:rsidRPr="009252D7">
        <w:rPr>
          <w:i/>
          <w:color w:val="000000" w:themeColor="text1"/>
        </w:rPr>
        <w:br/>
      </w:r>
    </w:p>
    <w:p w14:paraId="5E1079C4" w14:textId="77777777" w:rsidR="002D3279" w:rsidRPr="009252D7" w:rsidRDefault="002D3279" w:rsidP="002D3279">
      <w:pPr>
        <w:spacing w:line="360" w:lineRule="auto"/>
        <w:jc w:val="both"/>
        <w:rPr>
          <w:b/>
          <w:bCs/>
          <w:color w:val="000000" w:themeColor="text1"/>
        </w:rPr>
      </w:pPr>
      <w:r w:rsidRPr="009252D7">
        <w:rPr>
          <w:b/>
          <w:bCs/>
          <w:color w:val="000000" w:themeColor="text1"/>
        </w:rPr>
        <w:t>ROE (FY 2024) = 15.94%</w:t>
      </w:r>
    </w:p>
    <w:p w14:paraId="391C4AD1" w14:textId="77777777" w:rsidR="002D3279" w:rsidRPr="009252D7" w:rsidRDefault="002D3279" w:rsidP="002D3279">
      <w:pPr>
        <w:spacing w:line="360" w:lineRule="auto"/>
        <w:jc w:val="both"/>
        <w:rPr>
          <w:color w:val="000000" w:themeColor="text1"/>
        </w:rPr>
      </w:pPr>
    </w:p>
    <w:p w14:paraId="0D6EFC03" w14:textId="260CD21E" w:rsidR="002D3279" w:rsidRPr="009252D7" w:rsidRDefault="008604B5" w:rsidP="002D3279">
      <w:pPr>
        <w:spacing w:line="360" w:lineRule="auto"/>
        <w:jc w:val="both"/>
        <w:rPr>
          <w:b/>
          <w:bCs/>
          <w:color w:val="000000" w:themeColor="text1"/>
        </w:rPr>
      </w:pPr>
      <w:r>
        <w:rPr>
          <w:b/>
          <w:bCs/>
          <w:color w:val="000000" w:themeColor="text1"/>
        </w:rPr>
        <w:t>D</w:t>
      </w:r>
      <w:r w:rsidR="002D3279" w:rsidRPr="009252D7">
        <w:rPr>
          <w:b/>
          <w:bCs/>
          <w:color w:val="000000" w:themeColor="text1"/>
        </w:rPr>
        <w:t>2. Return on Assets (ROA)</w:t>
      </w:r>
    </w:p>
    <w:p w14:paraId="75C6A886"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Profit after tax ÷ Average total assets</w:t>
      </w:r>
    </w:p>
    <w:p w14:paraId="613C07AD"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w:t>
      </w:r>
    </w:p>
    <w:p w14:paraId="56FF605F" w14:textId="77777777" w:rsidR="002D3279" w:rsidRPr="009252D7" w:rsidRDefault="002D3279" w:rsidP="002D3279">
      <w:pPr>
        <w:spacing w:line="360" w:lineRule="auto"/>
        <w:jc w:val="both"/>
        <w:rPr>
          <w:color w:val="000000" w:themeColor="text1"/>
        </w:rPr>
      </w:pPr>
      <w:r w:rsidRPr="009252D7">
        <w:rPr>
          <w:color w:val="000000" w:themeColor="text1"/>
        </w:rPr>
        <w:t xml:space="preserve">Profit after tax (FY 2024) = </w:t>
      </w:r>
      <w:r w:rsidRPr="009252D7">
        <w:rPr>
          <w:b/>
          <w:bCs/>
          <w:color w:val="000000" w:themeColor="text1"/>
        </w:rPr>
        <w:t>£4,139</w:t>
      </w:r>
    </w:p>
    <w:p w14:paraId="1E210544" w14:textId="77777777" w:rsidR="002D3279" w:rsidRPr="009252D7" w:rsidRDefault="002D3279" w:rsidP="002D3279">
      <w:pPr>
        <w:spacing w:line="360" w:lineRule="auto"/>
        <w:jc w:val="both"/>
        <w:rPr>
          <w:color w:val="000000" w:themeColor="text1"/>
        </w:rPr>
      </w:pPr>
      <w:r w:rsidRPr="009252D7">
        <w:rPr>
          <w:color w:val="000000" w:themeColor="text1"/>
        </w:rPr>
        <w:t>Total assets:</w:t>
      </w:r>
    </w:p>
    <w:p w14:paraId="73D3B2A1" w14:textId="77777777" w:rsidR="002D3279" w:rsidRPr="009252D7" w:rsidRDefault="002D3279" w:rsidP="002D3279">
      <w:pPr>
        <w:numPr>
          <w:ilvl w:val="0"/>
          <w:numId w:val="28"/>
        </w:numPr>
        <w:spacing w:after="0" w:line="360" w:lineRule="auto"/>
        <w:jc w:val="both"/>
        <w:rPr>
          <w:color w:val="000000" w:themeColor="text1"/>
        </w:rPr>
      </w:pPr>
      <w:r w:rsidRPr="009252D7">
        <w:rPr>
          <w:color w:val="000000" w:themeColor="text1"/>
        </w:rPr>
        <w:t xml:space="preserve">Total assets at 31 December 2023 = </w:t>
      </w:r>
      <w:r w:rsidRPr="009252D7">
        <w:rPr>
          <w:b/>
          <w:bCs/>
          <w:color w:val="000000" w:themeColor="text1"/>
        </w:rPr>
        <w:t>£332,876</w:t>
      </w:r>
    </w:p>
    <w:p w14:paraId="1B78BBC8" w14:textId="77777777" w:rsidR="002D3279" w:rsidRPr="009252D7" w:rsidRDefault="002D3279" w:rsidP="002D3279">
      <w:pPr>
        <w:numPr>
          <w:ilvl w:val="0"/>
          <w:numId w:val="28"/>
        </w:numPr>
        <w:spacing w:after="0" w:line="360" w:lineRule="auto"/>
        <w:jc w:val="both"/>
        <w:rPr>
          <w:color w:val="000000" w:themeColor="text1"/>
        </w:rPr>
      </w:pPr>
      <w:r w:rsidRPr="009252D7">
        <w:rPr>
          <w:color w:val="000000" w:themeColor="text1"/>
        </w:rPr>
        <w:t xml:space="preserve">Total assets at 31 December 2024 = </w:t>
      </w:r>
      <w:r w:rsidRPr="009252D7">
        <w:rPr>
          <w:b/>
          <w:bCs/>
          <w:color w:val="000000" w:themeColor="text1"/>
        </w:rPr>
        <w:t>£340,877</w:t>
      </w:r>
    </w:p>
    <w:p w14:paraId="01C8B3B6" w14:textId="77777777" w:rsidR="002D3279" w:rsidRPr="009252D7" w:rsidRDefault="002D3279" w:rsidP="002D3279">
      <w:pPr>
        <w:spacing w:line="360" w:lineRule="auto"/>
        <w:rPr>
          <w:color w:val="000000" w:themeColor="text1"/>
        </w:rPr>
      </w:pPr>
      <w:r w:rsidRPr="009252D7">
        <w:rPr>
          <w:color w:val="000000" w:themeColor="text1"/>
        </w:rPr>
        <w:t xml:space="preserve">Average total assets: </w:t>
      </w:r>
      <m:oMath>
        <m:f>
          <m:fPr>
            <m:ctrlPr>
              <w:rPr>
                <w:rFonts w:ascii="Cambria Math" w:hAnsi="Cambria Math"/>
                <w:color w:val="000000" w:themeColor="text1"/>
              </w:rPr>
            </m:ctrlPr>
          </m:fPr>
          <m:num>
            <m:r>
              <w:rPr>
                <w:rFonts w:ascii="Cambria Math" w:hAnsi="Cambria Math"/>
                <w:color w:val="000000" w:themeColor="text1"/>
              </w:rPr>
              <m:t>332,876+340,877</m:t>
            </m:r>
          </m:num>
          <m:den>
            <m:r>
              <w:rPr>
                <w:rFonts w:ascii="Cambria Math" w:hAnsi="Cambria Math"/>
                <w:color w:val="000000" w:themeColor="text1"/>
              </w:rPr>
              <m:t>2</m:t>
            </m:r>
          </m:den>
        </m:f>
        <m:r>
          <w:rPr>
            <w:rFonts w:ascii="Cambria Math" w:hAnsi="Cambria Math"/>
            <w:color w:val="000000" w:themeColor="text1"/>
          </w:rPr>
          <m:t>=336,876.5</m:t>
        </m:r>
      </m:oMath>
      <w:r w:rsidRPr="009252D7">
        <w:rPr>
          <w:i/>
          <w:color w:val="000000" w:themeColor="text1"/>
        </w:rPr>
        <w:br/>
      </w:r>
    </w:p>
    <w:p w14:paraId="0BA30E9C" w14:textId="77777777" w:rsidR="002D3279" w:rsidRPr="009252D7" w:rsidRDefault="002D3279" w:rsidP="002D3279">
      <w:pPr>
        <w:spacing w:line="360" w:lineRule="auto"/>
        <w:jc w:val="both"/>
        <w:rPr>
          <w:color w:val="000000" w:themeColor="text1"/>
        </w:rPr>
      </w:pPr>
      <w:r w:rsidRPr="009252D7">
        <w:rPr>
          <w:color w:val="000000" w:themeColor="text1"/>
        </w:rPr>
        <w:t>ROA:</w:t>
      </w:r>
      <m:oMath>
        <m:f>
          <m:fPr>
            <m:ctrlPr>
              <w:rPr>
                <w:rFonts w:ascii="Cambria Math" w:hAnsi="Cambria Math"/>
                <w:color w:val="000000" w:themeColor="text1"/>
              </w:rPr>
            </m:ctrlPr>
          </m:fPr>
          <m:num>
            <m:r>
              <w:rPr>
                <w:rFonts w:ascii="Cambria Math" w:hAnsi="Cambria Math"/>
                <w:color w:val="000000" w:themeColor="text1"/>
              </w:rPr>
              <m:t>4,139</m:t>
            </m:r>
          </m:num>
          <m:den>
            <m:r>
              <w:rPr>
                <w:rFonts w:ascii="Cambria Math" w:hAnsi="Cambria Math"/>
                <w:color w:val="000000" w:themeColor="text1"/>
              </w:rPr>
              <m:t>336,876.5</m:t>
            </m:r>
          </m:den>
        </m:f>
        <m:r>
          <w:rPr>
            <w:rFonts w:ascii="Cambria Math" w:hAnsi="Cambria Math"/>
            <w:color w:val="000000" w:themeColor="text1"/>
          </w:rPr>
          <m:t>=0.01229</m:t>
        </m:r>
      </m:oMath>
      <w:r w:rsidRPr="009252D7">
        <w:rPr>
          <w:i/>
          <w:color w:val="000000" w:themeColor="text1"/>
        </w:rPr>
        <w:br/>
      </w:r>
    </w:p>
    <w:p w14:paraId="097420B6" w14:textId="77777777" w:rsidR="002D3279" w:rsidRPr="009252D7" w:rsidRDefault="002D3279" w:rsidP="002D3279">
      <w:pPr>
        <w:spacing w:line="360" w:lineRule="auto"/>
        <w:jc w:val="both"/>
        <w:rPr>
          <w:color w:val="000000" w:themeColor="text1"/>
        </w:rPr>
      </w:pPr>
      <w:r w:rsidRPr="009252D7">
        <w:rPr>
          <w:b/>
          <w:bCs/>
          <w:color w:val="000000" w:themeColor="text1"/>
        </w:rPr>
        <w:t>ROA (FY 2024) = 1.23%</w:t>
      </w:r>
    </w:p>
    <w:p w14:paraId="4717ACC4" w14:textId="77777777" w:rsidR="002D3279" w:rsidRPr="009252D7" w:rsidRDefault="002D3279" w:rsidP="002D3279">
      <w:pPr>
        <w:spacing w:line="360" w:lineRule="auto"/>
        <w:jc w:val="both"/>
        <w:rPr>
          <w:color w:val="000000" w:themeColor="text1"/>
        </w:rPr>
      </w:pPr>
    </w:p>
    <w:p w14:paraId="724BB0CC" w14:textId="07846B24" w:rsidR="002D3279" w:rsidRPr="009252D7" w:rsidRDefault="008604B5" w:rsidP="002D3279">
      <w:pPr>
        <w:spacing w:line="360" w:lineRule="auto"/>
        <w:jc w:val="both"/>
        <w:rPr>
          <w:b/>
          <w:bCs/>
          <w:color w:val="000000" w:themeColor="text1"/>
        </w:rPr>
      </w:pPr>
      <w:r>
        <w:rPr>
          <w:b/>
          <w:bCs/>
          <w:color w:val="000000" w:themeColor="text1"/>
        </w:rPr>
        <w:t>D</w:t>
      </w:r>
      <w:r w:rsidR="002D3279" w:rsidRPr="009252D7">
        <w:rPr>
          <w:b/>
          <w:bCs/>
          <w:color w:val="000000" w:themeColor="text1"/>
        </w:rPr>
        <w:t>3. Net Interest Margin (NIM)</w:t>
      </w:r>
    </w:p>
    <w:p w14:paraId="5CCA7400"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Net interest income ÷ Average interest-earning assets</w:t>
      </w:r>
    </w:p>
    <w:p w14:paraId="5DD1016F"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w:t>
      </w:r>
    </w:p>
    <w:p w14:paraId="3630EC92" w14:textId="77777777" w:rsidR="002D3279" w:rsidRPr="009252D7" w:rsidRDefault="002D3279" w:rsidP="002D3279">
      <w:pPr>
        <w:spacing w:line="360" w:lineRule="auto"/>
        <w:jc w:val="both"/>
        <w:rPr>
          <w:color w:val="000000" w:themeColor="text1"/>
        </w:rPr>
      </w:pPr>
      <w:r w:rsidRPr="009252D7">
        <w:rPr>
          <w:color w:val="000000" w:themeColor="text1"/>
        </w:rPr>
        <w:t xml:space="preserve">Net interest income (FY 2024) = </w:t>
      </w:r>
      <w:r w:rsidRPr="009252D7">
        <w:rPr>
          <w:b/>
          <w:bCs/>
          <w:color w:val="000000" w:themeColor="text1"/>
        </w:rPr>
        <w:t>£8,084</w:t>
      </w:r>
    </w:p>
    <w:p w14:paraId="0DF07070" w14:textId="77777777" w:rsidR="002D3279" w:rsidRPr="009252D7" w:rsidRDefault="002D3279" w:rsidP="002D3279">
      <w:pPr>
        <w:spacing w:line="360" w:lineRule="auto"/>
        <w:jc w:val="both"/>
        <w:rPr>
          <w:color w:val="000000" w:themeColor="text1"/>
        </w:rPr>
      </w:pPr>
      <w:r w:rsidRPr="009252D7">
        <w:rPr>
          <w:color w:val="000000" w:themeColor="text1"/>
        </w:rPr>
        <w:lastRenderedPageBreak/>
        <w:t xml:space="preserve">Average interest-earning assets (FY 2024) = </w:t>
      </w:r>
      <w:r w:rsidRPr="009252D7">
        <w:rPr>
          <w:b/>
          <w:bCs/>
          <w:color w:val="000000" w:themeColor="text1"/>
        </w:rPr>
        <w:t>£316,007</w:t>
      </w:r>
    </w:p>
    <w:p w14:paraId="5C163288" w14:textId="77777777" w:rsidR="002D3279" w:rsidRPr="009252D7" w:rsidRDefault="002D3279" w:rsidP="002D3279">
      <w:pPr>
        <w:spacing w:line="360" w:lineRule="auto"/>
        <w:jc w:val="both"/>
        <w:rPr>
          <w:color w:val="000000" w:themeColor="text1"/>
        </w:rPr>
      </w:pPr>
      <w:r w:rsidRPr="009252D7">
        <w:rPr>
          <w:color w:val="000000" w:themeColor="text1"/>
        </w:rPr>
        <w:t>NIM:</w:t>
      </w:r>
      <m:oMath>
        <m:f>
          <m:fPr>
            <m:ctrlPr>
              <w:rPr>
                <w:rFonts w:ascii="Cambria Math" w:hAnsi="Cambria Math"/>
                <w:color w:val="000000" w:themeColor="text1"/>
              </w:rPr>
            </m:ctrlPr>
          </m:fPr>
          <m:num>
            <m:r>
              <w:rPr>
                <w:rFonts w:ascii="Cambria Math" w:hAnsi="Cambria Math"/>
                <w:color w:val="000000" w:themeColor="text1"/>
              </w:rPr>
              <m:t>8,084</m:t>
            </m:r>
          </m:num>
          <m:den>
            <m:r>
              <w:rPr>
                <w:rFonts w:ascii="Cambria Math" w:hAnsi="Cambria Math"/>
                <w:color w:val="000000" w:themeColor="text1"/>
              </w:rPr>
              <m:t>316,007</m:t>
            </m:r>
          </m:den>
        </m:f>
        <m:r>
          <w:rPr>
            <w:rFonts w:ascii="Cambria Math" w:hAnsi="Cambria Math"/>
            <w:color w:val="000000" w:themeColor="text1"/>
          </w:rPr>
          <m:t>=0.02558</m:t>
        </m:r>
      </m:oMath>
      <w:r w:rsidRPr="009252D7">
        <w:rPr>
          <w:i/>
          <w:color w:val="000000" w:themeColor="text1"/>
        </w:rPr>
        <w:br/>
      </w:r>
    </w:p>
    <w:p w14:paraId="5A9D6DF0" w14:textId="77777777" w:rsidR="002D3279" w:rsidRPr="009252D7" w:rsidRDefault="002D3279" w:rsidP="002D3279">
      <w:pPr>
        <w:spacing w:line="360" w:lineRule="auto"/>
        <w:jc w:val="both"/>
        <w:rPr>
          <w:color w:val="000000" w:themeColor="text1"/>
        </w:rPr>
      </w:pPr>
      <w:r w:rsidRPr="009252D7">
        <w:rPr>
          <w:b/>
          <w:bCs/>
          <w:color w:val="000000" w:themeColor="text1"/>
        </w:rPr>
        <w:t>Net Interest Margin (FY 2024) = 2.56%</w:t>
      </w:r>
    </w:p>
    <w:p w14:paraId="648F648E" w14:textId="77777777" w:rsidR="002D3279" w:rsidRPr="009252D7" w:rsidRDefault="002D3279" w:rsidP="002D3279">
      <w:pPr>
        <w:spacing w:line="360" w:lineRule="auto"/>
        <w:jc w:val="both"/>
        <w:rPr>
          <w:color w:val="000000" w:themeColor="text1"/>
        </w:rPr>
      </w:pPr>
    </w:p>
    <w:p w14:paraId="6C1189A7" w14:textId="1D110D38" w:rsidR="002D3279" w:rsidRPr="009252D7" w:rsidRDefault="008604B5" w:rsidP="002D3279">
      <w:pPr>
        <w:spacing w:line="360" w:lineRule="auto"/>
        <w:jc w:val="both"/>
        <w:rPr>
          <w:b/>
          <w:bCs/>
          <w:color w:val="000000" w:themeColor="text1"/>
        </w:rPr>
      </w:pPr>
      <w:r>
        <w:rPr>
          <w:b/>
          <w:bCs/>
          <w:color w:val="000000" w:themeColor="text1"/>
        </w:rPr>
        <w:t>D</w:t>
      </w:r>
      <w:r w:rsidR="002D3279" w:rsidRPr="009252D7">
        <w:rPr>
          <w:b/>
          <w:bCs/>
          <w:color w:val="000000" w:themeColor="text1"/>
        </w:rPr>
        <w:t>4. Cost-to-Income Ratio</w:t>
      </w:r>
    </w:p>
    <w:p w14:paraId="77DAC559"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Operating expenses ÷ Operating income</w:t>
      </w:r>
    </w:p>
    <w:p w14:paraId="1ED1E6F0"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w:t>
      </w:r>
    </w:p>
    <w:p w14:paraId="7595458C" w14:textId="77777777" w:rsidR="002D3279" w:rsidRPr="009252D7" w:rsidRDefault="002D3279" w:rsidP="002D3279">
      <w:pPr>
        <w:spacing w:line="360" w:lineRule="auto"/>
        <w:jc w:val="both"/>
        <w:rPr>
          <w:color w:val="000000" w:themeColor="text1"/>
        </w:rPr>
      </w:pPr>
      <w:r w:rsidRPr="009252D7">
        <w:rPr>
          <w:color w:val="000000" w:themeColor="text1"/>
        </w:rPr>
        <w:t>Operating income:</w:t>
      </w:r>
    </w:p>
    <w:p w14:paraId="7A9A0D2F" w14:textId="77777777" w:rsidR="002D3279" w:rsidRPr="009252D7" w:rsidRDefault="002D3279" w:rsidP="002D3279">
      <w:pPr>
        <w:numPr>
          <w:ilvl w:val="0"/>
          <w:numId w:val="29"/>
        </w:numPr>
        <w:spacing w:after="0" w:line="360" w:lineRule="auto"/>
        <w:jc w:val="both"/>
        <w:rPr>
          <w:color w:val="000000" w:themeColor="text1"/>
        </w:rPr>
      </w:pPr>
      <w:r w:rsidRPr="009252D7">
        <w:rPr>
          <w:color w:val="000000" w:themeColor="text1"/>
        </w:rPr>
        <w:t xml:space="preserve">Net interest income = </w:t>
      </w:r>
      <w:r w:rsidRPr="009252D7">
        <w:rPr>
          <w:b/>
          <w:bCs/>
          <w:color w:val="000000" w:themeColor="text1"/>
        </w:rPr>
        <w:t>£8,084</w:t>
      </w:r>
    </w:p>
    <w:p w14:paraId="02F8B1B3" w14:textId="77777777" w:rsidR="002D3279" w:rsidRPr="009252D7" w:rsidRDefault="002D3279" w:rsidP="002D3279">
      <w:pPr>
        <w:numPr>
          <w:ilvl w:val="0"/>
          <w:numId w:val="29"/>
        </w:numPr>
        <w:spacing w:after="0" w:line="360" w:lineRule="auto"/>
        <w:jc w:val="both"/>
        <w:rPr>
          <w:color w:val="000000" w:themeColor="text1"/>
        </w:rPr>
      </w:pPr>
      <w:r w:rsidRPr="009252D7">
        <w:rPr>
          <w:color w:val="000000" w:themeColor="text1"/>
        </w:rPr>
        <w:t xml:space="preserve">Net fee income = </w:t>
      </w:r>
      <w:r w:rsidRPr="009252D7">
        <w:rPr>
          <w:b/>
          <w:bCs/>
          <w:color w:val="000000" w:themeColor="text1"/>
        </w:rPr>
        <w:t>£1,308</w:t>
      </w:r>
    </w:p>
    <w:p w14:paraId="19C5C99D" w14:textId="77777777" w:rsidR="002D3279" w:rsidRPr="009252D7" w:rsidRDefault="002D3279" w:rsidP="002D3279">
      <w:pPr>
        <w:numPr>
          <w:ilvl w:val="0"/>
          <w:numId w:val="29"/>
        </w:numPr>
        <w:spacing w:after="0" w:line="360" w:lineRule="auto"/>
        <w:jc w:val="both"/>
        <w:rPr>
          <w:color w:val="000000" w:themeColor="text1"/>
        </w:rPr>
      </w:pPr>
      <w:r w:rsidRPr="009252D7">
        <w:rPr>
          <w:color w:val="000000" w:themeColor="text1"/>
        </w:rPr>
        <w:t xml:space="preserve">Net trading income = </w:t>
      </w:r>
      <w:r w:rsidRPr="009252D7">
        <w:rPr>
          <w:b/>
          <w:bCs/>
          <w:color w:val="000000" w:themeColor="text1"/>
        </w:rPr>
        <w:t>£454</w:t>
      </w:r>
    </w:p>
    <w:p w14:paraId="53D45E9C" w14:textId="77777777" w:rsidR="002D3279" w:rsidRPr="009252D7" w:rsidRDefault="002D3279" w:rsidP="002D3279">
      <w:pPr>
        <w:numPr>
          <w:ilvl w:val="0"/>
          <w:numId w:val="29"/>
        </w:numPr>
        <w:spacing w:after="0" w:line="360" w:lineRule="auto"/>
        <w:jc w:val="both"/>
        <w:rPr>
          <w:color w:val="000000" w:themeColor="text1"/>
        </w:rPr>
      </w:pPr>
      <w:r w:rsidRPr="009252D7">
        <w:rPr>
          <w:color w:val="000000" w:themeColor="text1"/>
        </w:rPr>
        <w:t xml:space="preserve">Other operating income = </w:t>
      </w:r>
      <w:r w:rsidRPr="009252D7">
        <w:rPr>
          <w:b/>
          <w:bCs/>
          <w:color w:val="000000" w:themeColor="text1"/>
        </w:rPr>
        <w:t>£133</w:t>
      </w:r>
    </w:p>
    <w:p w14:paraId="153E5799" w14:textId="77777777" w:rsidR="002D3279" w:rsidRPr="009252D7" w:rsidRDefault="002D3279" w:rsidP="002D3279">
      <w:pPr>
        <w:spacing w:line="360" w:lineRule="auto"/>
        <w:rPr>
          <w:color w:val="000000" w:themeColor="text1"/>
        </w:rPr>
      </w:pPr>
      <w:r w:rsidRPr="009252D7">
        <w:rPr>
          <w:color w:val="000000" w:themeColor="text1"/>
        </w:rPr>
        <w:t>Total operating income:</w:t>
      </w:r>
      <m:oMath>
        <m:r>
          <w:rPr>
            <w:rFonts w:ascii="Cambria Math" w:hAnsi="Cambria Math"/>
            <w:color w:val="000000" w:themeColor="text1"/>
          </w:rPr>
          <m:t>8,084+1,308+454+133=9,979</m:t>
        </m:r>
      </m:oMath>
      <w:r w:rsidRPr="009252D7">
        <w:rPr>
          <w:i/>
          <w:color w:val="000000" w:themeColor="text1"/>
        </w:rPr>
        <w:br/>
      </w:r>
    </w:p>
    <w:p w14:paraId="13B342A8" w14:textId="77777777" w:rsidR="002D3279" w:rsidRPr="009252D7" w:rsidRDefault="002D3279" w:rsidP="002D3279">
      <w:pPr>
        <w:spacing w:line="360" w:lineRule="auto"/>
        <w:jc w:val="both"/>
        <w:rPr>
          <w:color w:val="000000" w:themeColor="text1"/>
        </w:rPr>
      </w:pPr>
      <w:r w:rsidRPr="009252D7">
        <w:rPr>
          <w:color w:val="000000" w:themeColor="text1"/>
        </w:rPr>
        <w:t xml:space="preserve">Operating expenses (FY 2024) = </w:t>
      </w:r>
      <w:r w:rsidRPr="009252D7">
        <w:rPr>
          <w:b/>
          <w:bCs/>
          <w:color w:val="000000" w:themeColor="text1"/>
        </w:rPr>
        <w:t>£4,017</w:t>
      </w:r>
    </w:p>
    <w:p w14:paraId="5F10D1BD" w14:textId="77777777" w:rsidR="002D3279" w:rsidRPr="009252D7" w:rsidRDefault="002D3279" w:rsidP="002D3279">
      <w:pPr>
        <w:spacing w:line="360" w:lineRule="auto"/>
        <w:rPr>
          <w:color w:val="000000" w:themeColor="text1"/>
        </w:rPr>
      </w:pPr>
      <w:r w:rsidRPr="009252D7">
        <w:rPr>
          <w:color w:val="000000" w:themeColor="text1"/>
        </w:rPr>
        <w:t xml:space="preserve">Cost-to-Income Ratio: </w:t>
      </w:r>
      <m:oMath>
        <m:f>
          <m:fPr>
            <m:ctrlPr>
              <w:rPr>
                <w:rFonts w:ascii="Cambria Math" w:hAnsi="Cambria Math"/>
                <w:color w:val="000000" w:themeColor="text1"/>
              </w:rPr>
            </m:ctrlPr>
          </m:fPr>
          <m:num>
            <m:r>
              <w:rPr>
                <w:rFonts w:ascii="Cambria Math" w:hAnsi="Cambria Math"/>
                <w:color w:val="000000" w:themeColor="text1"/>
              </w:rPr>
              <m:t>4,017</m:t>
            </m:r>
          </m:num>
          <m:den>
            <m:r>
              <w:rPr>
                <w:rFonts w:ascii="Cambria Math" w:hAnsi="Cambria Math"/>
                <w:color w:val="000000" w:themeColor="text1"/>
              </w:rPr>
              <m:t>9,979</m:t>
            </m:r>
          </m:den>
        </m:f>
        <m:r>
          <w:rPr>
            <w:rFonts w:ascii="Cambria Math" w:hAnsi="Cambria Math"/>
            <w:color w:val="000000" w:themeColor="text1"/>
          </w:rPr>
          <m:t>=0.4025</m:t>
        </m:r>
      </m:oMath>
      <w:r w:rsidRPr="009252D7">
        <w:rPr>
          <w:i/>
          <w:color w:val="000000" w:themeColor="text1"/>
        </w:rPr>
        <w:br/>
      </w:r>
    </w:p>
    <w:p w14:paraId="234B2E08" w14:textId="77777777" w:rsidR="002D3279" w:rsidRPr="009252D7" w:rsidRDefault="002D3279" w:rsidP="002D3279">
      <w:pPr>
        <w:spacing w:line="360" w:lineRule="auto"/>
        <w:jc w:val="both"/>
        <w:rPr>
          <w:b/>
          <w:bCs/>
          <w:color w:val="000000" w:themeColor="text1"/>
        </w:rPr>
      </w:pPr>
      <w:r w:rsidRPr="009252D7">
        <w:rPr>
          <w:b/>
          <w:bCs/>
          <w:color w:val="000000" w:themeColor="text1"/>
        </w:rPr>
        <w:t>Cost-to-Income Ratio (FY 2024) = 40.25%</w:t>
      </w:r>
    </w:p>
    <w:p w14:paraId="1631B1BD" w14:textId="77777777" w:rsidR="002D3279" w:rsidRPr="009252D7" w:rsidRDefault="002D3279" w:rsidP="002D3279">
      <w:pPr>
        <w:spacing w:line="360" w:lineRule="auto"/>
        <w:jc w:val="both"/>
        <w:rPr>
          <w:b/>
          <w:bCs/>
          <w:color w:val="000000" w:themeColor="text1"/>
        </w:rPr>
      </w:pPr>
    </w:p>
    <w:p w14:paraId="0B7C686B" w14:textId="77777777" w:rsidR="002D3279" w:rsidRPr="000411CC" w:rsidRDefault="002D3279" w:rsidP="002D3279">
      <w:pPr>
        <w:pStyle w:val="Heading2"/>
        <w:rPr>
          <w:rFonts w:ascii="Times New Roman" w:hAnsi="Times New Roman" w:cs="Times New Roman"/>
          <w:sz w:val="24"/>
          <w:szCs w:val="24"/>
        </w:rPr>
      </w:pPr>
      <w:bookmarkStart w:id="48" w:name="_Toc218979680"/>
      <w:r w:rsidRPr="000411CC">
        <w:rPr>
          <w:rFonts w:ascii="Times New Roman" w:hAnsi="Times New Roman" w:cs="Times New Roman"/>
          <w:sz w:val="24"/>
          <w:szCs w:val="24"/>
        </w:rPr>
        <w:t>Appendix E Source of Financial Data – FY 2023</w:t>
      </w:r>
      <w:bookmarkEnd w:id="48"/>
    </w:p>
    <w:p w14:paraId="3EBE92A9" w14:textId="77777777" w:rsidR="002D3279" w:rsidRPr="009252D7" w:rsidRDefault="002D3279" w:rsidP="002D3279">
      <w:pPr>
        <w:spacing w:line="360" w:lineRule="auto"/>
        <w:jc w:val="both"/>
        <w:rPr>
          <w:b/>
          <w:bCs/>
          <w:color w:val="000000" w:themeColor="text1"/>
        </w:rPr>
      </w:pPr>
      <w:r w:rsidRPr="009252D7">
        <w:rPr>
          <w:b/>
          <w:bCs/>
          <w:color w:val="000000" w:themeColor="text1"/>
        </w:rPr>
        <w:t>HSBC UK Bank plc</w:t>
      </w:r>
    </w:p>
    <w:p w14:paraId="300D234E"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Table </w:t>
      </w:r>
      <w:r>
        <w:rPr>
          <w:b/>
          <w:bCs/>
          <w:color w:val="000000" w:themeColor="text1"/>
        </w:rPr>
        <w:t>E</w:t>
      </w:r>
      <w:r w:rsidRPr="009252D7">
        <w:rPr>
          <w:b/>
          <w:bCs/>
          <w:color w:val="000000" w:themeColor="text1"/>
        </w:rPr>
        <w:t>: Financial Data Sources Used for Liquidity Ratio Calculations (FY 2023)</w:t>
      </w:r>
    </w:p>
    <w:tbl>
      <w:tblPr>
        <w:tblW w:w="9215" w:type="dxa"/>
        <w:tblCellSpacing w:w="15" w:type="dxa"/>
        <w:tblCellMar>
          <w:top w:w="15" w:type="dxa"/>
          <w:left w:w="15" w:type="dxa"/>
          <w:bottom w:w="15" w:type="dxa"/>
          <w:right w:w="15" w:type="dxa"/>
        </w:tblCellMar>
        <w:tblLook w:val="04A0" w:firstRow="1" w:lastRow="0" w:firstColumn="1" w:lastColumn="0" w:noHBand="0" w:noVBand="1"/>
      </w:tblPr>
      <w:tblGrid>
        <w:gridCol w:w="2129"/>
        <w:gridCol w:w="1317"/>
        <w:gridCol w:w="1991"/>
        <w:gridCol w:w="3778"/>
      </w:tblGrid>
      <w:tr w:rsidR="002D3279" w:rsidRPr="009252D7" w14:paraId="1E211ABD" w14:textId="77777777" w:rsidTr="00A42257">
        <w:trPr>
          <w:tblHeader/>
          <w:tblCellSpacing w:w="15" w:type="dxa"/>
        </w:trPr>
        <w:tc>
          <w:tcPr>
            <w:tcW w:w="2084" w:type="dxa"/>
            <w:vAlign w:val="center"/>
            <w:hideMark/>
          </w:tcPr>
          <w:p w14:paraId="03102CE0" w14:textId="77777777" w:rsidR="002D3279" w:rsidRPr="009252D7" w:rsidRDefault="002D3279" w:rsidP="00A42257">
            <w:pPr>
              <w:spacing w:line="360" w:lineRule="auto"/>
              <w:jc w:val="center"/>
              <w:rPr>
                <w:color w:val="000000" w:themeColor="text1"/>
              </w:rPr>
            </w:pPr>
            <w:r w:rsidRPr="009252D7">
              <w:rPr>
                <w:color w:val="000000" w:themeColor="text1"/>
              </w:rPr>
              <w:t>Financial Figure Used</w:t>
            </w:r>
          </w:p>
        </w:tc>
        <w:tc>
          <w:tcPr>
            <w:tcW w:w="1287" w:type="dxa"/>
            <w:vAlign w:val="center"/>
            <w:hideMark/>
          </w:tcPr>
          <w:p w14:paraId="1E963012" w14:textId="77777777" w:rsidR="002D3279" w:rsidRPr="009252D7" w:rsidRDefault="002D3279" w:rsidP="00A42257">
            <w:pPr>
              <w:spacing w:line="360" w:lineRule="auto"/>
              <w:jc w:val="center"/>
              <w:rPr>
                <w:color w:val="000000" w:themeColor="text1"/>
              </w:rPr>
            </w:pPr>
            <w:r w:rsidRPr="009252D7">
              <w:rPr>
                <w:color w:val="000000" w:themeColor="text1"/>
              </w:rPr>
              <w:t>Amount (£ million)</w:t>
            </w:r>
          </w:p>
        </w:tc>
        <w:tc>
          <w:tcPr>
            <w:tcW w:w="1961" w:type="dxa"/>
            <w:vAlign w:val="center"/>
            <w:hideMark/>
          </w:tcPr>
          <w:p w14:paraId="02BED9D8" w14:textId="77777777" w:rsidR="002D3279" w:rsidRPr="009252D7" w:rsidRDefault="002D3279" w:rsidP="00A42257">
            <w:pPr>
              <w:spacing w:line="360" w:lineRule="auto"/>
              <w:jc w:val="center"/>
              <w:rPr>
                <w:color w:val="000000" w:themeColor="text1"/>
              </w:rPr>
            </w:pPr>
            <w:r w:rsidRPr="009252D7">
              <w:rPr>
                <w:color w:val="000000" w:themeColor="text1"/>
              </w:rPr>
              <w:t>Used in Ratio</w:t>
            </w:r>
          </w:p>
        </w:tc>
        <w:tc>
          <w:tcPr>
            <w:tcW w:w="3733" w:type="dxa"/>
            <w:vAlign w:val="center"/>
            <w:hideMark/>
          </w:tcPr>
          <w:p w14:paraId="6EB7D988" w14:textId="77777777" w:rsidR="002D3279" w:rsidRPr="009252D7" w:rsidRDefault="002D3279" w:rsidP="00A42257">
            <w:pPr>
              <w:spacing w:line="360" w:lineRule="auto"/>
              <w:jc w:val="center"/>
              <w:rPr>
                <w:color w:val="000000" w:themeColor="text1"/>
              </w:rPr>
            </w:pPr>
            <w:r w:rsidRPr="009252D7">
              <w:rPr>
                <w:color w:val="000000" w:themeColor="text1"/>
              </w:rPr>
              <w:t>Exact Source in Annual Report 2023</w:t>
            </w:r>
          </w:p>
        </w:tc>
      </w:tr>
      <w:tr w:rsidR="002D3279" w:rsidRPr="009252D7" w14:paraId="1E872084" w14:textId="77777777" w:rsidTr="00A42257">
        <w:trPr>
          <w:tblCellSpacing w:w="15" w:type="dxa"/>
        </w:trPr>
        <w:tc>
          <w:tcPr>
            <w:tcW w:w="2084" w:type="dxa"/>
            <w:vAlign w:val="center"/>
            <w:hideMark/>
          </w:tcPr>
          <w:p w14:paraId="770B9774" w14:textId="77777777" w:rsidR="002D3279" w:rsidRPr="009252D7" w:rsidRDefault="002D3279" w:rsidP="00A42257">
            <w:pPr>
              <w:spacing w:line="360" w:lineRule="auto"/>
              <w:jc w:val="center"/>
              <w:rPr>
                <w:color w:val="000000" w:themeColor="text1"/>
              </w:rPr>
            </w:pPr>
            <w:r w:rsidRPr="009252D7">
              <w:rPr>
                <w:color w:val="000000" w:themeColor="text1"/>
              </w:rPr>
              <w:t>High-Quality Liquid Assets (HQLA)</w:t>
            </w:r>
          </w:p>
        </w:tc>
        <w:tc>
          <w:tcPr>
            <w:tcW w:w="1287" w:type="dxa"/>
            <w:vAlign w:val="center"/>
            <w:hideMark/>
          </w:tcPr>
          <w:p w14:paraId="12BE3255" w14:textId="77777777" w:rsidR="002D3279" w:rsidRPr="009252D7" w:rsidRDefault="002D3279" w:rsidP="00A42257">
            <w:pPr>
              <w:spacing w:line="360" w:lineRule="auto"/>
              <w:jc w:val="center"/>
              <w:rPr>
                <w:color w:val="000000" w:themeColor="text1"/>
              </w:rPr>
            </w:pPr>
            <w:r w:rsidRPr="009252D7">
              <w:rPr>
                <w:color w:val="000000" w:themeColor="text1"/>
              </w:rPr>
              <w:t>94,765</w:t>
            </w:r>
          </w:p>
        </w:tc>
        <w:tc>
          <w:tcPr>
            <w:tcW w:w="1961" w:type="dxa"/>
            <w:vAlign w:val="center"/>
            <w:hideMark/>
          </w:tcPr>
          <w:p w14:paraId="259D9DA7" w14:textId="77777777" w:rsidR="002D3279" w:rsidRPr="009252D7" w:rsidRDefault="002D3279" w:rsidP="00A42257">
            <w:pPr>
              <w:spacing w:line="360" w:lineRule="auto"/>
              <w:jc w:val="center"/>
              <w:rPr>
                <w:color w:val="000000" w:themeColor="text1"/>
              </w:rPr>
            </w:pPr>
            <w:r w:rsidRPr="009252D7">
              <w:rPr>
                <w:color w:val="000000" w:themeColor="text1"/>
              </w:rPr>
              <w:t>Liquidity Coverage Ratio (LCR)</w:t>
            </w:r>
          </w:p>
        </w:tc>
        <w:tc>
          <w:tcPr>
            <w:tcW w:w="3733" w:type="dxa"/>
            <w:vAlign w:val="center"/>
            <w:hideMark/>
          </w:tcPr>
          <w:p w14:paraId="2AB5E10B"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Risk section – Liquidity Risk disclosures</w:t>
            </w:r>
          </w:p>
        </w:tc>
      </w:tr>
      <w:tr w:rsidR="002D3279" w:rsidRPr="009252D7" w14:paraId="39B1A47D" w14:textId="77777777" w:rsidTr="00A42257">
        <w:trPr>
          <w:tblCellSpacing w:w="15" w:type="dxa"/>
        </w:trPr>
        <w:tc>
          <w:tcPr>
            <w:tcW w:w="2084" w:type="dxa"/>
            <w:vAlign w:val="center"/>
            <w:hideMark/>
          </w:tcPr>
          <w:p w14:paraId="40F7204D" w14:textId="77777777" w:rsidR="002D3279" w:rsidRPr="009252D7" w:rsidRDefault="002D3279" w:rsidP="00A42257">
            <w:pPr>
              <w:spacing w:line="360" w:lineRule="auto"/>
              <w:jc w:val="center"/>
              <w:rPr>
                <w:color w:val="000000" w:themeColor="text1"/>
              </w:rPr>
            </w:pPr>
            <w:r w:rsidRPr="009252D7">
              <w:rPr>
                <w:color w:val="000000" w:themeColor="text1"/>
              </w:rPr>
              <w:lastRenderedPageBreak/>
              <w:t>Liquidity Coverage Ratio (reported)</w:t>
            </w:r>
          </w:p>
        </w:tc>
        <w:tc>
          <w:tcPr>
            <w:tcW w:w="1287" w:type="dxa"/>
            <w:vAlign w:val="center"/>
            <w:hideMark/>
          </w:tcPr>
          <w:p w14:paraId="639EF43A" w14:textId="77777777" w:rsidR="002D3279" w:rsidRPr="009252D7" w:rsidRDefault="002D3279" w:rsidP="00A42257">
            <w:pPr>
              <w:spacing w:line="360" w:lineRule="auto"/>
              <w:jc w:val="center"/>
              <w:rPr>
                <w:color w:val="000000" w:themeColor="text1"/>
              </w:rPr>
            </w:pPr>
            <w:r w:rsidRPr="009252D7">
              <w:rPr>
                <w:color w:val="000000" w:themeColor="text1"/>
              </w:rPr>
              <w:t>201%</w:t>
            </w:r>
          </w:p>
        </w:tc>
        <w:tc>
          <w:tcPr>
            <w:tcW w:w="1961" w:type="dxa"/>
            <w:vAlign w:val="center"/>
            <w:hideMark/>
          </w:tcPr>
          <w:p w14:paraId="640C2F22" w14:textId="77777777" w:rsidR="002D3279" w:rsidRPr="009252D7" w:rsidRDefault="002D3279" w:rsidP="00A42257">
            <w:pPr>
              <w:spacing w:line="360" w:lineRule="auto"/>
              <w:jc w:val="center"/>
              <w:rPr>
                <w:color w:val="000000" w:themeColor="text1"/>
              </w:rPr>
            </w:pPr>
            <w:r w:rsidRPr="009252D7">
              <w:rPr>
                <w:color w:val="000000" w:themeColor="text1"/>
              </w:rPr>
              <w:t>Liquidity Coverage Ratio (LCR)</w:t>
            </w:r>
          </w:p>
        </w:tc>
        <w:tc>
          <w:tcPr>
            <w:tcW w:w="3733" w:type="dxa"/>
            <w:vAlign w:val="center"/>
            <w:hideMark/>
          </w:tcPr>
          <w:p w14:paraId="427911EE" w14:textId="77777777" w:rsidR="002D3279" w:rsidRPr="009252D7" w:rsidRDefault="002D3279" w:rsidP="00A42257">
            <w:pPr>
              <w:spacing w:line="360" w:lineRule="auto"/>
              <w:jc w:val="center"/>
              <w:rPr>
                <w:color w:val="000000" w:themeColor="text1"/>
              </w:rPr>
            </w:pPr>
            <w:r w:rsidRPr="009252D7">
              <w:rPr>
                <w:color w:val="000000" w:themeColor="text1"/>
              </w:rPr>
              <w:t>Regulatory Liquidity Metrics – Basel III disclosures</w:t>
            </w:r>
          </w:p>
        </w:tc>
      </w:tr>
      <w:tr w:rsidR="002D3279" w:rsidRPr="009252D7" w14:paraId="54A8A7F1" w14:textId="77777777" w:rsidTr="00A42257">
        <w:trPr>
          <w:tblCellSpacing w:w="15" w:type="dxa"/>
        </w:trPr>
        <w:tc>
          <w:tcPr>
            <w:tcW w:w="2084" w:type="dxa"/>
            <w:vAlign w:val="center"/>
            <w:hideMark/>
          </w:tcPr>
          <w:p w14:paraId="6F001EC2" w14:textId="77777777" w:rsidR="002D3279" w:rsidRPr="009252D7" w:rsidRDefault="002D3279" w:rsidP="00A42257">
            <w:pPr>
              <w:spacing w:line="360" w:lineRule="auto"/>
              <w:jc w:val="center"/>
              <w:rPr>
                <w:color w:val="000000" w:themeColor="text1"/>
              </w:rPr>
            </w:pPr>
            <w:r w:rsidRPr="009252D7">
              <w:rPr>
                <w:color w:val="000000" w:themeColor="text1"/>
              </w:rPr>
              <w:t>Net loans and advances to customers</w:t>
            </w:r>
          </w:p>
        </w:tc>
        <w:tc>
          <w:tcPr>
            <w:tcW w:w="1287" w:type="dxa"/>
            <w:vAlign w:val="center"/>
            <w:hideMark/>
          </w:tcPr>
          <w:p w14:paraId="72A8E006" w14:textId="77777777" w:rsidR="002D3279" w:rsidRPr="009252D7" w:rsidRDefault="002D3279" w:rsidP="00A42257">
            <w:pPr>
              <w:spacing w:line="360" w:lineRule="auto"/>
              <w:jc w:val="center"/>
              <w:rPr>
                <w:color w:val="000000" w:themeColor="text1"/>
              </w:rPr>
            </w:pPr>
            <w:r w:rsidRPr="009252D7">
              <w:rPr>
                <w:color w:val="000000" w:themeColor="text1"/>
              </w:rPr>
              <w:t>211,887</w:t>
            </w:r>
          </w:p>
        </w:tc>
        <w:tc>
          <w:tcPr>
            <w:tcW w:w="1961" w:type="dxa"/>
            <w:vAlign w:val="center"/>
            <w:hideMark/>
          </w:tcPr>
          <w:p w14:paraId="53A74794" w14:textId="77777777" w:rsidR="002D3279" w:rsidRPr="009252D7" w:rsidRDefault="002D3279" w:rsidP="00A42257">
            <w:pPr>
              <w:spacing w:line="360" w:lineRule="auto"/>
              <w:jc w:val="center"/>
              <w:rPr>
                <w:color w:val="000000" w:themeColor="text1"/>
              </w:rPr>
            </w:pPr>
            <w:r w:rsidRPr="009252D7">
              <w:rPr>
                <w:color w:val="000000" w:themeColor="text1"/>
              </w:rPr>
              <w:t>Loan-to-Deposit Ratio (LDR)</w:t>
            </w:r>
          </w:p>
        </w:tc>
        <w:tc>
          <w:tcPr>
            <w:tcW w:w="3733" w:type="dxa"/>
            <w:vAlign w:val="center"/>
            <w:hideMark/>
          </w:tcPr>
          <w:p w14:paraId="5371ED47" w14:textId="77777777" w:rsidR="002D3279" w:rsidRPr="009252D7" w:rsidRDefault="002D3279" w:rsidP="00A42257">
            <w:pPr>
              <w:spacing w:line="360" w:lineRule="auto"/>
              <w:jc w:val="center"/>
              <w:rPr>
                <w:color w:val="000000" w:themeColor="text1"/>
              </w:rPr>
            </w:pPr>
            <w:r w:rsidRPr="009252D7">
              <w:rPr>
                <w:color w:val="000000" w:themeColor="text1"/>
              </w:rPr>
              <w:t>Consolidated Statement of Financial Position</w:t>
            </w:r>
          </w:p>
        </w:tc>
      </w:tr>
      <w:tr w:rsidR="002D3279" w:rsidRPr="009252D7" w14:paraId="6470C084" w14:textId="77777777" w:rsidTr="00A42257">
        <w:trPr>
          <w:tblCellSpacing w:w="15" w:type="dxa"/>
        </w:trPr>
        <w:tc>
          <w:tcPr>
            <w:tcW w:w="2084" w:type="dxa"/>
            <w:vAlign w:val="center"/>
            <w:hideMark/>
          </w:tcPr>
          <w:p w14:paraId="653F98A6" w14:textId="77777777" w:rsidR="002D3279" w:rsidRPr="009252D7" w:rsidRDefault="002D3279" w:rsidP="00A42257">
            <w:pPr>
              <w:spacing w:line="360" w:lineRule="auto"/>
              <w:jc w:val="center"/>
              <w:rPr>
                <w:color w:val="000000" w:themeColor="text1"/>
              </w:rPr>
            </w:pPr>
            <w:r w:rsidRPr="009252D7">
              <w:rPr>
                <w:color w:val="000000" w:themeColor="text1"/>
              </w:rPr>
              <w:t>Customer accounts (deposits)</w:t>
            </w:r>
          </w:p>
        </w:tc>
        <w:tc>
          <w:tcPr>
            <w:tcW w:w="1287" w:type="dxa"/>
            <w:vAlign w:val="center"/>
            <w:hideMark/>
          </w:tcPr>
          <w:p w14:paraId="53CFF8D0" w14:textId="77777777" w:rsidR="002D3279" w:rsidRPr="009252D7" w:rsidRDefault="002D3279" w:rsidP="00A42257">
            <w:pPr>
              <w:spacing w:line="360" w:lineRule="auto"/>
              <w:jc w:val="center"/>
              <w:rPr>
                <w:color w:val="000000" w:themeColor="text1"/>
              </w:rPr>
            </w:pPr>
            <w:r w:rsidRPr="009252D7">
              <w:rPr>
                <w:color w:val="000000" w:themeColor="text1"/>
              </w:rPr>
              <w:t>268,345</w:t>
            </w:r>
          </w:p>
        </w:tc>
        <w:tc>
          <w:tcPr>
            <w:tcW w:w="1961" w:type="dxa"/>
            <w:vAlign w:val="center"/>
            <w:hideMark/>
          </w:tcPr>
          <w:p w14:paraId="6C891B9A" w14:textId="77777777" w:rsidR="002D3279" w:rsidRPr="009252D7" w:rsidRDefault="002D3279" w:rsidP="00A42257">
            <w:pPr>
              <w:spacing w:line="360" w:lineRule="auto"/>
              <w:jc w:val="center"/>
              <w:rPr>
                <w:color w:val="000000" w:themeColor="text1"/>
              </w:rPr>
            </w:pPr>
            <w:r w:rsidRPr="009252D7">
              <w:rPr>
                <w:color w:val="000000" w:themeColor="text1"/>
              </w:rPr>
              <w:t>Loan-to-Deposit Ratio (LDR)</w:t>
            </w:r>
          </w:p>
        </w:tc>
        <w:tc>
          <w:tcPr>
            <w:tcW w:w="3733" w:type="dxa"/>
            <w:vAlign w:val="center"/>
            <w:hideMark/>
          </w:tcPr>
          <w:p w14:paraId="62F4CD31" w14:textId="77777777" w:rsidR="002D3279" w:rsidRPr="009252D7" w:rsidRDefault="002D3279" w:rsidP="00A42257">
            <w:pPr>
              <w:spacing w:line="360" w:lineRule="auto"/>
              <w:jc w:val="center"/>
              <w:rPr>
                <w:color w:val="000000" w:themeColor="text1"/>
              </w:rPr>
            </w:pPr>
            <w:r w:rsidRPr="009252D7">
              <w:rPr>
                <w:color w:val="000000" w:themeColor="text1"/>
              </w:rPr>
              <w:t>Consolidated Statement of Financial Position</w:t>
            </w:r>
          </w:p>
        </w:tc>
      </w:tr>
    </w:tbl>
    <w:p w14:paraId="5496817C" w14:textId="77777777" w:rsidR="002D3279" w:rsidRPr="009252D7" w:rsidRDefault="002D3279" w:rsidP="002D3279">
      <w:pPr>
        <w:spacing w:line="360" w:lineRule="auto"/>
        <w:jc w:val="both"/>
        <w:rPr>
          <w:b/>
          <w:bCs/>
          <w:color w:val="000000" w:themeColor="text1"/>
        </w:rPr>
      </w:pPr>
    </w:p>
    <w:p w14:paraId="2CF263B7" w14:textId="77777777" w:rsidR="002D3279" w:rsidRPr="009252D7" w:rsidRDefault="002D3279" w:rsidP="002D3279">
      <w:pPr>
        <w:spacing w:line="360" w:lineRule="auto"/>
        <w:jc w:val="both"/>
        <w:rPr>
          <w:b/>
          <w:bCs/>
          <w:color w:val="000000" w:themeColor="text1"/>
        </w:rPr>
      </w:pPr>
      <w:r w:rsidRPr="009252D7">
        <w:rPr>
          <w:b/>
          <w:bCs/>
          <w:color w:val="000000" w:themeColor="text1"/>
        </w:rPr>
        <w:t>Academic Note:</w:t>
      </w:r>
    </w:p>
    <w:p w14:paraId="69E82C02" w14:textId="77777777" w:rsidR="002D3279" w:rsidRPr="009252D7" w:rsidRDefault="002D3279" w:rsidP="002D3279">
      <w:pPr>
        <w:spacing w:line="360" w:lineRule="auto"/>
        <w:jc w:val="both"/>
        <w:rPr>
          <w:b/>
          <w:bCs/>
          <w:color w:val="000000" w:themeColor="text1"/>
        </w:rPr>
      </w:pPr>
      <w:r w:rsidRPr="009252D7">
        <w:rPr>
          <w:b/>
          <w:bCs/>
          <w:color w:val="000000" w:themeColor="text1"/>
        </w:rPr>
        <w:t>All figures presented above are extracted directly from the HSBC UK Bank plc Annual Report and Accounts 2023. The Liquidity Coverage Ratio is disclosed as a final regulatory percentage in accordance with Basel III requirements; therefore, detailed net cash outflow components are not fully itemised in the published financial statements. The Loan-to-Deposit Ratio has been independently calculated using audited balance sheet figures.</w:t>
      </w:r>
    </w:p>
    <w:p w14:paraId="0AED4257" w14:textId="77777777" w:rsidR="002D3279" w:rsidRPr="009252D7" w:rsidRDefault="002D3279" w:rsidP="002D3279">
      <w:pPr>
        <w:spacing w:line="360" w:lineRule="auto"/>
        <w:jc w:val="both"/>
        <w:rPr>
          <w:b/>
          <w:bCs/>
          <w:color w:val="000000" w:themeColor="text1"/>
        </w:rPr>
      </w:pPr>
    </w:p>
    <w:p w14:paraId="4B16AF83" w14:textId="77777777" w:rsidR="002D3279" w:rsidRPr="009252D7" w:rsidRDefault="002D3279" w:rsidP="002D3279">
      <w:pPr>
        <w:spacing w:line="360" w:lineRule="auto"/>
        <w:jc w:val="both"/>
        <w:rPr>
          <w:b/>
          <w:bCs/>
          <w:color w:val="000000" w:themeColor="text1"/>
        </w:rPr>
      </w:pPr>
    </w:p>
    <w:p w14:paraId="40581F5D" w14:textId="77777777" w:rsidR="002D3279" w:rsidRPr="009252D7" w:rsidRDefault="002D3279" w:rsidP="002D3279">
      <w:pPr>
        <w:spacing w:line="360" w:lineRule="auto"/>
        <w:jc w:val="both"/>
        <w:rPr>
          <w:b/>
          <w:bCs/>
          <w:color w:val="000000" w:themeColor="text1"/>
        </w:rPr>
      </w:pPr>
    </w:p>
    <w:p w14:paraId="0FB80669" w14:textId="77777777" w:rsidR="002D3279" w:rsidRPr="000411CC" w:rsidRDefault="002D3279" w:rsidP="002D3279">
      <w:pPr>
        <w:pStyle w:val="Heading2"/>
        <w:rPr>
          <w:rFonts w:ascii="Times New Roman" w:hAnsi="Times New Roman" w:cs="Times New Roman"/>
          <w:sz w:val="24"/>
          <w:szCs w:val="24"/>
        </w:rPr>
      </w:pPr>
      <w:bookmarkStart w:id="49" w:name="_Toc218979681"/>
      <w:r w:rsidRPr="000411CC">
        <w:rPr>
          <w:rFonts w:ascii="Times New Roman" w:hAnsi="Times New Roman" w:cs="Times New Roman"/>
          <w:sz w:val="24"/>
          <w:szCs w:val="24"/>
        </w:rPr>
        <w:t>Appendix F: Source of Data Used for Liquidity Ratios (FY 2024)</w:t>
      </w:r>
      <w:bookmarkEnd w:id="49"/>
    </w:p>
    <w:p w14:paraId="21DA9288" w14:textId="77777777" w:rsidR="002D3279" w:rsidRPr="009252D7" w:rsidRDefault="002D3279" w:rsidP="002D3279">
      <w:pPr>
        <w:spacing w:line="360" w:lineRule="auto"/>
        <w:jc w:val="both"/>
        <w:rPr>
          <w:color w:val="000000" w:themeColor="text1"/>
        </w:rPr>
      </w:pPr>
      <w:r w:rsidRPr="009252D7">
        <w:rPr>
          <w:b/>
          <w:bCs/>
          <w:color w:val="000000" w:themeColor="text1"/>
        </w:rPr>
        <w:t>HSBC UK Bank plc</w:t>
      </w:r>
    </w:p>
    <w:p w14:paraId="59344193" w14:textId="77777777" w:rsidR="002D3279" w:rsidRPr="009252D7" w:rsidRDefault="002D3279" w:rsidP="002D3279">
      <w:pPr>
        <w:spacing w:line="360" w:lineRule="auto"/>
        <w:jc w:val="both"/>
        <w:rPr>
          <w:color w:val="000000" w:themeColor="text1"/>
        </w:rPr>
      </w:pPr>
      <w:r w:rsidRPr="009252D7">
        <w:rPr>
          <w:color w:val="000000" w:themeColor="text1"/>
        </w:rPr>
        <w:t xml:space="preserve">The table below identifies </w:t>
      </w:r>
      <w:r w:rsidRPr="009252D7">
        <w:rPr>
          <w:b/>
          <w:bCs/>
          <w:color w:val="000000" w:themeColor="text1"/>
        </w:rPr>
        <w:t>all financial figures used</w:t>
      </w:r>
      <w:r w:rsidRPr="009252D7">
        <w:rPr>
          <w:color w:val="000000" w:themeColor="text1"/>
        </w:rPr>
        <w:t xml:space="preserve">, their </w:t>
      </w:r>
      <w:r w:rsidRPr="009252D7">
        <w:rPr>
          <w:b/>
          <w:bCs/>
          <w:color w:val="000000" w:themeColor="text1"/>
        </w:rPr>
        <w:t>exact purpose in ratio calculations</w:t>
      </w:r>
      <w:r w:rsidRPr="009252D7">
        <w:rPr>
          <w:color w:val="000000" w:themeColor="text1"/>
        </w:rPr>
        <w:t xml:space="preserve">, and their </w:t>
      </w:r>
      <w:r w:rsidRPr="009252D7">
        <w:rPr>
          <w:b/>
          <w:bCs/>
          <w:color w:val="000000" w:themeColor="text1"/>
        </w:rPr>
        <w:t>precise location within the Annual Report and Accounts 2024</w:t>
      </w:r>
      <w:r w:rsidRPr="009252D7">
        <w:rPr>
          <w:color w:val="000000" w:themeColor="text1"/>
        </w:rPr>
        <w:t>, ensuring transparency and academic integrity.</w:t>
      </w:r>
    </w:p>
    <w:p w14:paraId="44C479E5" w14:textId="77777777" w:rsidR="002D3279" w:rsidRPr="009252D7" w:rsidRDefault="002D3279" w:rsidP="002D3279">
      <w:pPr>
        <w:spacing w:line="360" w:lineRule="auto"/>
        <w:jc w:val="both"/>
        <w:rPr>
          <w:color w:val="000000" w:themeColor="text1"/>
        </w:rPr>
      </w:pPr>
    </w:p>
    <w:p w14:paraId="067582A7" w14:textId="77777777" w:rsidR="00BA60EC" w:rsidRDefault="00BA60EC" w:rsidP="002D3279">
      <w:pPr>
        <w:spacing w:line="360" w:lineRule="auto"/>
        <w:jc w:val="both"/>
        <w:rPr>
          <w:b/>
          <w:bCs/>
          <w:color w:val="000000" w:themeColor="text1"/>
        </w:rPr>
      </w:pPr>
    </w:p>
    <w:p w14:paraId="60AEB77C" w14:textId="77777777" w:rsidR="00BA60EC" w:rsidRDefault="00BA60EC" w:rsidP="002D3279">
      <w:pPr>
        <w:spacing w:line="360" w:lineRule="auto"/>
        <w:jc w:val="both"/>
        <w:rPr>
          <w:b/>
          <w:bCs/>
          <w:color w:val="000000" w:themeColor="text1"/>
        </w:rPr>
      </w:pPr>
    </w:p>
    <w:p w14:paraId="1280B53F" w14:textId="77777777" w:rsidR="00BA60EC" w:rsidRDefault="00BA60EC" w:rsidP="002D3279">
      <w:pPr>
        <w:spacing w:line="360" w:lineRule="auto"/>
        <w:jc w:val="both"/>
        <w:rPr>
          <w:b/>
          <w:bCs/>
          <w:color w:val="000000" w:themeColor="text1"/>
        </w:rPr>
      </w:pPr>
    </w:p>
    <w:p w14:paraId="408529B2" w14:textId="29C1FFD7" w:rsidR="002D3279" w:rsidRPr="009252D7" w:rsidRDefault="002D3279" w:rsidP="002D3279">
      <w:pPr>
        <w:spacing w:line="360" w:lineRule="auto"/>
        <w:jc w:val="both"/>
        <w:rPr>
          <w:b/>
          <w:bCs/>
          <w:color w:val="000000" w:themeColor="text1"/>
        </w:rPr>
      </w:pPr>
      <w:r w:rsidRPr="009252D7">
        <w:rPr>
          <w:b/>
          <w:bCs/>
          <w:color w:val="000000" w:themeColor="text1"/>
        </w:rPr>
        <w:lastRenderedPageBreak/>
        <w:t xml:space="preserve">Table </w:t>
      </w:r>
      <w:r>
        <w:rPr>
          <w:b/>
          <w:bCs/>
          <w:color w:val="000000" w:themeColor="text1"/>
        </w:rPr>
        <w:t>F</w:t>
      </w:r>
      <w:r w:rsidRPr="009252D7">
        <w:rPr>
          <w:b/>
          <w:bCs/>
          <w:color w:val="000000" w:themeColor="text1"/>
        </w:rPr>
        <w:t>: Financial Data Sources for Liquidity Ratio Calculations (FY 2024)</w:t>
      </w:r>
    </w:p>
    <w:tbl>
      <w:tblPr>
        <w:tblW w:w="905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0"/>
        <w:gridCol w:w="1177"/>
        <w:gridCol w:w="2042"/>
        <w:gridCol w:w="3553"/>
      </w:tblGrid>
      <w:tr w:rsidR="002D3279" w:rsidRPr="009252D7" w14:paraId="25183358" w14:textId="77777777" w:rsidTr="00A42257">
        <w:trPr>
          <w:tblHeader/>
          <w:tblCellSpacing w:w="15" w:type="dxa"/>
        </w:trPr>
        <w:tc>
          <w:tcPr>
            <w:tcW w:w="2235" w:type="dxa"/>
            <w:vAlign w:val="center"/>
            <w:hideMark/>
          </w:tcPr>
          <w:p w14:paraId="4F9D73E5" w14:textId="77777777" w:rsidR="002D3279" w:rsidRPr="009252D7" w:rsidRDefault="002D3279" w:rsidP="00A42257">
            <w:pPr>
              <w:spacing w:line="360" w:lineRule="auto"/>
              <w:jc w:val="center"/>
              <w:rPr>
                <w:b/>
                <w:bCs/>
                <w:color w:val="000000" w:themeColor="text1"/>
              </w:rPr>
            </w:pPr>
            <w:r w:rsidRPr="009252D7">
              <w:rPr>
                <w:b/>
                <w:bCs/>
                <w:color w:val="000000" w:themeColor="text1"/>
              </w:rPr>
              <w:t>Financial Figure Used</w:t>
            </w:r>
          </w:p>
        </w:tc>
        <w:tc>
          <w:tcPr>
            <w:tcW w:w="1147" w:type="dxa"/>
            <w:vAlign w:val="center"/>
            <w:hideMark/>
          </w:tcPr>
          <w:p w14:paraId="6673F70C" w14:textId="77777777" w:rsidR="002D3279" w:rsidRPr="009252D7" w:rsidRDefault="002D3279" w:rsidP="00A42257">
            <w:pPr>
              <w:spacing w:line="360" w:lineRule="auto"/>
              <w:jc w:val="center"/>
              <w:rPr>
                <w:b/>
                <w:bCs/>
                <w:color w:val="000000" w:themeColor="text1"/>
              </w:rPr>
            </w:pPr>
            <w:r w:rsidRPr="009252D7">
              <w:rPr>
                <w:b/>
                <w:bCs/>
                <w:color w:val="000000" w:themeColor="text1"/>
              </w:rPr>
              <w:t>Amount (£m)</w:t>
            </w:r>
          </w:p>
        </w:tc>
        <w:tc>
          <w:tcPr>
            <w:tcW w:w="2012" w:type="dxa"/>
            <w:vAlign w:val="center"/>
            <w:hideMark/>
          </w:tcPr>
          <w:p w14:paraId="09D985EB" w14:textId="77777777" w:rsidR="002D3279" w:rsidRPr="009252D7" w:rsidRDefault="002D3279" w:rsidP="00A42257">
            <w:pPr>
              <w:spacing w:line="360" w:lineRule="auto"/>
              <w:jc w:val="center"/>
              <w:rPr>
                <w:b/>
                <w:bCs/>
                <w:color w:val="000000" w:themeColor="text1"/>
              </w:rPr>
            </w:pPr>
            <w:r w:rsidRPr="009252D7">
              <w:rPr>
                <w:b/>
                <w:bCs/>
                <w:color w:val="000000" w:themeColor="text1"/>
              </w:rPr>
              <w:t>Used in Ratio</w:t>
            </w:r>
          </w:p>
        </w:tc>
        <w:tc>
          <w:tcPr>
            <w:tcW w:w="3508" w:type="dxa"/>
            <w:vAlign w:val="center"/>
            <w:hideMark/>
          </w:tcPr>
          <w:p w14:paraId="78F333D4"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2024</w:t>
            </w:r>
          </w:p>
        </w:tc>
      </w:tr>
      <w:tr w:rsidR="002D3279" w:rsidRPr="009252D7" w14:paraId="34E5B748" w14:textId="77777777" w:rsidTr="00A42257">
        <w:trPr>
          <w:tblCellSpacing w:w="15" w:type="dxa"/>
        </w:trPr>
        <w:tc>
          <w:tcPr>
            <w:tcW w:w="2235" w:type="dxa"/>
            <w:vAlign w:val="center"/>
            <w:hideMark/>
          </w:tcPr>
          <w:p w14:paraId="2C767D07" w14:textId="77777777" w:rsidR="002D3279" w:rsidRPr="009252D7" w:rsidRDefault="002D3279" w:rsidP="00A42257">
            <w:pPr>
              <w:spacing w:line="360" w:lineRule="auto"/>
              <w:jc w:val="center"/>
              <w:rPr>
                <w:color w:val="000000" w:themeColor="text1"/>
              </w:rPr>
            </w:pPr>
            <w:r w:rsidRPr="009252D7">
              <w:rPr>
                <w:color w:val="000000" w:themeColor="text1"/>
              </w:rPr>
              <w:t>High-Quality Liquid Assets (HQLA)</w:t>
            </w:r>
          </w:p>
        </w:tc>
        <w:tc>
          <w:tcPr>
            <w:tcW w:w="1147" w:type="dxa"/>
            <w:vAlign w:val="center"/>
            <w:hideMark/>
          </w:tcPr>
          <w:p w14:paraId="58A74903" w14:textId="77777777" w:rsidR="002D3279" w:rsidRPr="009252D7" w:rsidRDefault="002D3279" w:rsidP="00A42257">
            <w:pPr>
              <w:spacing w:line="360" w:lineRule="auto"/>
              <w:jc w:val="center"/>
              <w:rPr>
                <w:color w:val="000000" w:themeColor="text1"/>
              </w:rPr>
            </w:pPr>
            <w:r w:rsidRPr="009252D7">
              <w:rPr>
                <w:color w:val="000000" w:themeColor="text1"/>
              </w:rPr>
              <w:t>91,348</w:t>
            </w:r>
          </w:p>
        </w:tc>
        <w:tc>
          <w:tcPr>
            <w:tcW w:w="2012" w:type="dxa"/>
            <w:vAlign w:val="center"/>
            <w:hideMark/>
          </w:tcPr>
          <w:p w14:paraId="24A8DF45" w14:textId="77777777" w:rsidR="002D3279" w:rsidRPr="009252D7" w:rsidRDefault="002D3279" w:rsidP="00A42257">
            <w:pPr>
              <w:spacing w:line="360" w:lineRule="auto"/>
              <w:jc w:val="center"/>
              <w:rPr>
                <w:color w:val="000000" w:themeColor="text1"/>
              </w:rPr>
            </w:pPr>
            <w:r w:rsidRPr="009252D7">
              <w:rPr>
                <w:color w:val="000000" w:themeColor="text1"/>
              </w:rPr>
              <w:t>Liquidity Coverage Ratio (LCR)</w:t>
            </w:r>
          </w:p>
        </w:tc>
        <w:tc>
          <w:tcPr>
            <w:tcW w:w="3508" w:type="dxa"/>
            <w:vAlign w:val="center"/>
            <w:hideMark/>
          </w:tcPr>
          <w:p w14:paraId="7D8A121C"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Risk – Liquidity Risk section</w:t>
            </w:r>
          </w:p>
        </w:tc>
      </w:tr>
      <w:tr w:rsidR="002D3279" w:rsidRPr="009252D7" w14:paraId="1DA5BF65" w14:textId="77777777" w:rsidTr="00A42257">
        <w:trPr>
          <w:tblCellSpacing w:w="15" w:type="dxa"/>
        </w:trPr>
        <w:tc>
          <w:tcPr>
            <w:tcW w:w="2235" w:type="dxa"/>
            <w:vAlign w:val="center"/>
            <w:hideMark/>
          </w:tcPr>
          <w:p w14:paraId="6BB5096A" w14:textId="77777777" w:rsidR="002D3279" w:rsidRPr="009252D7" w:rsidRDefault="002D3279" w:rsidP="00A42257">
            <w:pPr>
              <w:spacing w:line="360" w:lineRule="auto"/>
              <w:jc w:val="center"/>
              <w:rPr>
                <w:color w:val="000000" w:themeColor="text1"/>
              </w:rPr>
            </w:pPr>
            <w:r w:rsidRPr="009252D7">
              <w:rPr>
                <w:color w:val="000000" w:themeColor="text1"/>
              </w:rPr>
              <w:t>Liquidity Coverage Ratio (reported)</w:t>
            </w:r>
          </w:p>
        </w:tc>
        <w:tc>
          <w:tcPr>
            <w:tcW w:w="1147" w:type="dxa"/>
            <w:vAlign w:val="center"/>
            <w:hideMark/>
          </w:tcPr>
          <w:p w14:paraId="1B37138F" w14:textId="77777777" w:rsidR="002D3279" w:rsidRPr="009252D7" w:rsidRDefault="002D3279" w:rsidP="00A42257">
            <w:pPr>
              <w:spacing w:line="360" w:lineRule="auto"/>
              <w:jc w:val="center"/>
              <w:rPr>
                <w:color w:val="000000" w:themeColor="text1"/>
              </w:rPr>
            </w:pPr>
            <w:r w:rsidRPr="009252D7">
              <w:rPr>
                <w:color w:val="000000" w:themeColor="text1"/>
              </w:rPr>
              <w:t>190%</w:t>
            </w:r>
          </w:p>
        </w:tc>
        <w:tc>
          <w:tcPr>
            <w:tcW w:w="2012" w:type="dxa"/>
            <w:vAlign w:val="center"/>
            <w:hideMark/>
          </w:tcPr>
          <w:p w14:paraId="2AF605BB" w14:textId="77777777" w:rsidR="002D3279" w:rsidRPr="009252D7" w:rsidRDefault="002D3279" w:rsidP="00A42257">
            <w:pPr>
              <w:spacing w:line="360" w:lineRule="auto"/>
              <w:jc w:val="center"/>
              <w:rPr>
                <w:color w:val="000000" w:themeColor="text1"/>
              </w:rPr>
            </w:pPr>
            <w:r w:rsidRPr="009252D7">
              <w:rPr>
                <w:color w:val="000000" w:themeColor="text1"/>
              </w:rPr>
              <w:t>Liquidity Coverage Ratio (LCR)</w:t>
            </w:r>
          </w:p>
        </w:tc>
        <w:tc>
          <w:tcPr>
            <w:tcW w:w="3508" w:type="dxa"/>
            <w:vAlign w:val="center"/>
            <w:hideMark/>
          </w:tcPr>
          <w:p w14:paraId="3B4693ED" w14:textId="77777777" w:rsidR="002D3279" w:rsidRPr="009252D7" w:rsidRDefault="002D3279" w:rsidP="00A42257">
            <w:pPr>
              <w:spacing w:line="360" w:lineRule="auto"/>
              <w:jc w:val="center"/>
              <w:rPr>
                <w:color w:val="000000" w:themeColor="text1"/>
              </w:rPr>
            </w:pPr>
            <w:r w:rsidRPr="009252D7">
              <w:rPr>
                <w:color w:val="000000" w:themeColor="text1"/>
              </w:rPr>
              <w:t>Key Regulatory Metrics / Liquidity Risk disclosures</w:t>
            </w:r>
          </w:p>
        </w:tc>
      </w:tr>
      <w:tr w:rsidR="002D3279" w:rsidRPr="009252D7" w14:paraId="584A9A01" w14:textId="77777777" w:rsidTr="00A42257">
        <w:trPr>
          <w:tblCellSpacing w:w="15" w:type="dxa"/>
        </w:trPr>
        <w:tc>
          <w:tcPr>
            <w:tcW w:w="2235" w:type="dxa"/>
            <w:vAlign w:val="center"/>
            <w:hideMark/>
          </w:tcPr>
          <w:p w14:paraId="7AAC466D" w14:textId="77777777" w:rsidR="002D3279" w:rsidRPr="009252D7" w:rsidRDefault="002D3279" w:rsidP="00A42257">
            <w:pPr>
              <w:spacing w:line="360" w:lineRule="auto"/>
              <w:jc w:val="center"/>
              <w:rPr>
                <w:color w:val="000000" w:themeColor="text1"/>
              </w:rPr>
            </w:pPr>
            <w:r w:rsidRPr="009252D7">
              <w:rPr>
                <w:color w:val="000000" w:themeColor="text1"/>
              </w:rPr>
              <w:t>Net loans and advances to customers</w:t>
            </w:r>
          </w:p>
        </w:tc>
        <w:tc>
          <w:tcPr>
            <w:tcW w:w="1147" w:type="dxa"/>
            <w:vAlign w:val="center"/>
            <w:hideMark/>
          </w:tcPr>
          <w:p w14:paraId="3E16C167" w14:textId="77777777" w:rsidR="002D3279" w:rsidRPr="009252D7" w:rsidRDefault="002D3279" w:rsidP="00A42257">
            <w:pPr>
              <w:spacing w:line="360" w:lineRule="auto"/>
              <w:jc w:val="center"/>
              <w:rPr>
                <w:color w:val="000000" w:themeColor="text1"/>
              </w:rPr>
            </w:pPr>
            <w:r w:rsidRPr="009252D7">
              <w:rPr>
                <w:color w:val="000000" w:themeColor="text1"/>
              </w:rPr>
              <w:t>217,604</w:t>
            </w:r>
          </w:p>
        </w:tc>
        <w:tc>
          <w:tcPr>
            <w:tcW w:w="2012" w:type="dxa"/>
            <w:vAlign w:val="center"/>
            <w:hideMark/>
          </w:tcPr>
          <w:p w14:paraId="0A06655D" w14:textId="77777777" w:rsidR="002D3279" w:rsidRPr="009252D7" w:rsidRDefault="002D3279" w:rsidP="00A42257">
            <w:pPr>
              <w:spacing w:line="360" w:lineRule="auto"/>
              <w:jc w:val="center"/>
              <w:rPr>
                <w:color w:val="000000" w:themeColor="text1"/>
              </w:rPr>
            </w:pPr>
            <w:r w:rsidRPr="009252D7">
              <w:rPr>
                <w:color w:val="000000" w:themeColor="text1"/>
              </w:rPr>
              <w:t>Loan-to-Deposit Ratio (LDR)</w:t>
            </w:r>
          </w:p>
        </w:tc>
        <w:tc>
          <w:tcPr>
            <w:tcW w:w="3508" w:type="dxa"/>
            <w:vAlign w:val="center"/>
            <w:hideMark/>
          </w:tcPr>
          <w:p w14:paraId="326B4534"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r w:rsidR="002D3279" w:rsidRPr="009252D7" w14:paraId="5448D3BE" w14:textId="77777777" w:rsidTr="00A42257">
        <w:trPr>
          <w:tblCellSpacing w:w="15" w:type="dxa"/>
        </w:trPr>
        <w:tc>
          <w:tcPr>
            <w:tcW w:w="2235" w:type="dxa"/>
            <w:vAlign w:val="center"/>
            <w:hideMark/>
          </w:tcPr>
          <w:p w14:paraId="41030875" w14:textId="77777777" w:rsidR="002D3279" w:rsidRPr="009252D7" w:rsidRDefault="002D3279" w:rsidP="00A42257">
            <w:pPr>
              <w:spacing w:line="360" w:lineRule="auto"/>
              <w:jc w:val="center"/>
              <w:rPr>
                <w:color w:val="000000" w:themeColor="text1"/>
              </w:rPr>
            </w:pPr>
            <w:r w:rsidRPr="009252D7">
              <w:rPr>
                <w:color w:val="000000" w:themeColor="text1"/>
              </w:rPr>
              <w:t>Customer accounts (deposits)</w:t>
            </w:r>
          </w:p>
        </w:tc>
        <w:tc>
          <w:tcPr>
            <w:tcW w:w="1147" w:type="dxa"/>
            <w:vAlign w:val="center"/>
            <w:hideMark/>
          </w:tcPr>
          <w:p w14:paraId="2C684027" w14:textId="77777777" w:rsidR="002D3279" w:rsidRPr="009252D7" w:rsidRDefault="002D3279" w:rsidP="00A42257">
            <w:pPr>
              <w:spacing w:line="360" w:lineRule="auto"/>
              <w:jc w:val="center"/>
              <w:rPr>
                <w:color w:val="000000" w:themeColor="text1"/>
              </w:rPr>
            </w:pPr>
            <w:r w:rsidRPr="009252D7">
              <w:rPr>
                <w:color w:val="000000" w:themeColor="text1"/>
              </w:rPr>
              <w:t>280,366</w:t>
            </w:r>
          </w:p>
        </w:tc>
        <w:tc>
          <w:tcPr>
            <w:tcW w:w="2012" w:type="dxa"/>
            <w:vAlign w:val="center"/>
            <w:hideMark/>
          </w:tcPr>
          <w:p w14:paraId="3671F53B" w14:textId="77777777" w:rsidR="002D3279" w:rsidRPr="009252D7" w:rsidRDefault="002D3279" w:rsidP="00A42257">
            <w:pPr>
              <w:spacing w:line="360" w:lineRule="auto"/>
              <w:jc w:val="center"/>
              <w:rPr>
                <w:color w:val="000000" w:themeColor="text1"/>
              </w:rPr>
            </w:pPr>
            <w:r w:rsidRPr="009252D7">
              <w:rPr>
                <w:color w:val="000000" w:themeColor="text1"/>
              </w:rPr>
              <w:t>Loan-to-Deposit Ratio (LDR)</w:t>
            </w:r>
          </w:p>
        </w:tc>
        <w:tc>
          <w:tcPr>
            <w:tcW w:w="3508" w:type="dxa"/>
            <w:vAlign w:val="center"/>
            <w:hideMark/>
          </w:tcPr>
          <w:p w14:paraId="4CD9A2D6"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w:t>
            </w:r>
          </w:p>
        </w:tc>
      </w:tr>
    </w:tbl>
    <w:p w14:paraId="08EFFE5D" w14:textId="77777777" w:rsidR="002D3279" w:rsidRPr="009252D7" w:rsidRDefault="002D3279" w:rsidP="002D3279">
      <w:pPr>
        <w:spacing w:line="360" w:lineRule="auto"/>
        <w:jc w:val="both"/>
        <w:rPr>
          <w:color w:val="000000" w:themeColor="text1"/>
        </w:rPr>
      </w:pPr>
    </w:p>
    <w:p w14:paraId="79FDDD32" w14:textId="77777777" w:rsidR="002D3279" w:rsidRPr="009252D7" w:rsidRDefault="002D3279" w:rsidP="002D3279">
      <w:pPr>
        <w:spacing w:line="360" w:lineRule="auto"/>
        <w:jc w:val="both"/>
        <w:rPr>
          <w:b/>
          <w:bCs/>
          <w:color w:val="000000" w:themeColor="text1"/>
        </w:rPr>
      </w:pPr>
      <w:r w:rsidRPr="009252D7">
        <w:rPr>
          <w:b/>
          <w:bCs/>
          <w:color w:val="000000" w:themeColor="text1"/>
        </w:rPr>
        <w:t>Academic Clarification (for Appendix Use)</w:t>
      </w:r>
    </w:p>
    <w:p w14:paraId="1B1BB5D6" w14:textId="77777777" w:rsidR="002D3279" w:rsidRPr="009252D7" w:rsidRDefault="002D3279" w:rsidP="002D3279">
      <w:pPr>
        <w:numPr>
          <w:ilvl w:val="0"/>
          <w:numId w:val="30"/>
        </w:numPr>
        <w:spacing w:after="0" w:line="360" w:lineRule="auto"/>
        <w:jc w:val="both"/>
        <w:rPr>
          <w:color w:val="000000" w:themeColor="text1"/>
        </w:rPr>
      </w:pPr>
      <w:r w:rsidRPr="009252D7">
        <w:rPr>
          <w:color w:val="000000" w:themeColor="text1"/>
        </w:rPr>
        <w:t xml:space="preserve">The </w:t>
      </w:r>
      <w:r w:rsidRPr="009252D7">
        <w:rPr>
          <w:b/>
          <w:bCs/>
          <w:color w:val="000000" w:themeColor="text1"/>
        </w:rPr>
        <w:t>Liquidity Coverage Ratio (LCR)</w:t>
      </w:r>
      <w:r w:rsidRPr="009252D7">
        <w:rPr>
          <w:color w:val="000000" w:themeColor="text1"/>
        </w:rPr>
        <w:t xml:space="preserve"> is </w:t>
      </w:r>
      <w:r w:rsidRPr="009252D7">
        <w:rPr>
          <w:b/>
          <w:bCs/>
          <w:color w:val="000000" w:themeColor="text1"/>
        </w:rPr>
        <w:t>directly disclosed</w:t>
      </w:r>
      <w:r w:rsidRPr="009252D7">
        <w:rPr>
          <w:color w:val="000000" w:themeColor="text1"/>
        </w:rPr>
        <w:t xml:space="preserve"> as a regulatory ratio under Basel III requirements; therefore, the reported percentage is used rather than reconstructing net cash outflows.</w:t>
      </w:r>
    </w:p>
    <w:p w14:paraId="111B9129" w14:textId="77777777" w:rsidR="002D3279" w:rsidRPr="009252D7" w:rsidRDefault="002D3279" w:rsidP="002D3279">
      <w:pPr>
        <w:numPr>
          <w:ilvl w:val="0"/>
          <w:numId w:val="30"/>
        </w:numPr>
        <w:spacing w:after="0" w:line="360" w:lineRule="auto"/>
        <w:jc w:val="both"/>
        <w:rPr>
          <w:color w:val="000000" w:themeColor="text1"/>
        </w:rPr>
      </w:pPr>
      <w:r w:rsidRPr="009252D7">
        <w:rPr>
          <w:color w:val="000000" w:themeColor="text1"/>
        </w:rPr>
        <w:t xml:space="preserve">The </w:t>
      </w:r>
      <w:r w:rsidRPr="009252D7">
        <w:rPr>
          <w:b/>
          <w:bCs/>
          <w:color w:val="000000" w:themeColor="text1"/>
        </w:rPr>
        <w:t>Loan-to-Deposit Ratio (LDR)</w:t>
      </w:r>
      <w:r w:rsidRPr="009252D7">
        <w:rPr>
          <w:color w:val="000000" w:themeColor="text1"/>
        </w:rPr>
        <w:t xml:space="preserve"> is </w:t>
      </w:r>
      <w:r w:rsidRPr="009252D7">
        <w:rPr>
          <w:b/>
          <w:bCs/>
          <w:color w:val="000000" w:themeColor="text1"/>
        </w:rPr>
        <w:t>independently calculated</w:t>
      </w:r>
      <w:r w:rsidRPr="009252D7">
        <w:rPr>
          <w:color w:val="000000" w:themeColor="text1"/>
        </w:rPr>
        <w:t xml:space="preserve"> using audited balance sheet figures.</w:t>
      </w:r>
    </w:p>
    <w:p w14:paraId="699C9122" w14:textId="77777777" w:rsidR="002D3279" w:rsidRPr="009252D7" w:rsidRDefault="002D3279" w:rsidP="002D3279">
      <w:pPr>
        <w:numPr>
          <w:ilvl w:val="0"/>
          <w:numId w:val="30"/>
        </w:numPr>
        <w:spacing w:after="0" w:line="360" w:lineRule="auto"/>
        <w:jc w:val="both"/>
        <w:rPr>
          <w:color w:val="000000" w:themeColor="text1"/>
        </w:rPr>
      </w:pPr>
      <w:r w:rsidRPr="009252D7">
        <w:rPr>
          <w:color w:val="000000" w:themeColor="text1"/>
        </w:rPr>
        <w:t xml:space="preserve">All data are extracted from the </w:t>
      </w:r>
      <w:r w:rsidRPr="009252D7">
        <w:rPr>
          <w:b/>
          <w:bCs/>
          <w:color w:val="000000" w:themeColor="text1"/>
        </w:rPr>
        <w:t>audited Annual Report and Accounts 2024</w:t>
      </w:r>
      <w:r w:rsidRPr="009252D7">
        <w:rPr>
          <w:color w:val="000000" w:themeColor="text1"/>
        </w:rPr>
        <w:t>, ensuring reliability and consistency with regulatory disclosures.</w:t>
      </w:r>
    </w:p>
    <w:p w14:paraId="3678AAE1" w14:textId="77777777" w:rsidR="002D3279" w:rsidRPr="009252D7" w:rsidRDefault="002D3279" w:rsidP="002D3279">
      <w:pPr>
        <w:spacing w:line="360" w:lineRule="auto"/>
        <w:jc w:val="both"/>
        <w:rPr>
          <w:b/>
          <w:bCs/>
          <w:color w:val="000000" w:themeColor="text1"/>
        </w:rPr>
      </w:pPr>
    </w:p>
    <w:p w14:paraId="4E40584C" w14:textId="77777777" w:rsidR="002D3279" w:rsidRPr="000411CC" w:rsidRDefault="002D3279" w:rsidP="002D3279">
      <w:pPr>
        <w:pStyle w:val="Heading2"/>
        <w:rPr>
          <w:rFonts w:ascii="Times New Roman" w:hAnsi="Times New Roman" w:cs="Times New Roman"/>
          <w:sz w:val="24"/>
          <w:szCs w:val="24"/>
        </w:rPr>
      </w:pPr>
      <w:bookmarkStart w:id="50" w:name="_Toc218979682"/>
      <w:r w:rsidRPr="000411CC">
        <w:rPr>
          <w:rFonts w:ascii="Times New Roman" w:hAnsi="Times New Roman" w:cs="Times New Roman"/>
          <w:sz w:val="24"/>
          <w:szCs w:val="24"/>
        </w:rPr>
        <w:t>Appendix G: Detailed Liquidity Ratio Calculations (FY 2023)</w:t>
      </w:r>
      <w:bookmarkEnd w:id="50"/>
    </w:p>
    <w:p w14:paraId="15883E4B" w14:textId="77777777" w:rsidR="002D3279" w:rsidRPr="009252D7" w:rsidRDefault="002D3279" w:rsidP="002D3279">
      <w:pPr>
        <w:spacing w:line="360" w:lineRule="auto"/>
        <w:jc w:val="both"/>
        <w:rPr>
          <w:color w:val="000000" w:themeColor="text1"/>
        </w:rPr>
      </w:pPr>
      <w:r w:rsidRPr="009252D7">
        <w:rPr>
          <w:b/>
          <w:bCs/>
          <w:color w:val="000000" w:themeColor="text1"/>
        </w:rPr>
        <w:t>HSBC UK Bank plc</w:t>
      </w:r>
    </w:p>
    <w:p w14:paraId="26CA7F31" w14:textId="77777777" w:rsidR="002D3279" w:rsidRPr="009252D7" w:rsidRDefault="002D3279" w:rsidP="002D3279">
      <w:pPr>
        <w:spacing w:line="360" w:lineRule="auto"/>
        <w:jc w:val="both"/>
        <w:rPr>
          <w:color w:val="000000" w:themeColor="text1"/>
        </w:rPr>
      </w:pPr>
      <w:r w:rsidRPr="009252D7">
        <w:rPr>
          <w:color w:val="000000" w:themeColor="text1"/>
        </w:rPr>
        <w:t xml:space="preserve">This appendix presents the </w:t>
      </w:r>
      <w:r w:rsidRPr="009252D7">
        <w:rPr>
          <w:b/>
          <w:bCs/>
          <w:color w:val="000000" w:themeColor="text1"/>
        </w:rPr>
        <w:t>numerical workings</w:t>
      </w:r>
      <w:r w:rsidRPr="009252D7">
        <w:rPr>
          <w:color w:val="000000" w:themeColor="text1"/>
        </w:rPr>
        <w:t xml:space="preserve"> for all liquidity ratios used in the analysis. All figures are extracted from the </w:t>
      </w:r>
      <w:r w:rsidRPr="009252D7">
        <w:rPr>
          <w:b/>
          <w:bCs/>
          <w:color w:val="000000" w:themeColor="text1"/>
        </w:rPr>
        <w:t>Annual Report and Accounts 2023</w:t>
      </w:r>
      <w:r w:rsidRPr="009252D7">
        <w:rPr>
          <w:color w:val="000000" w:themeColor="text1"/>
        </w:rPr>
        <w:t>.</w:t>
      </w:r>
    </w:p>
    <w:p w14:paraId="417E3A44" w14:textId="77777777" w:rsidR="002D3279" w:rsidRPr="009252D7" w:rsidRDefault="002D3279" w:rsidP="002D3279">
      <w:pPr>
        <w:spacing w:line="360" w:lineRule="auto"/>
        <w:jc w:val="both"/>
        <w:rPr>
          <w:color w:val="000000" w:themeColor="text1"/>
        </w:rPr>
      </w:pPr>
    </w:p>
    <w:p w14:paraId="5620F071" w14:textId="77777777" w:rsidR="00BA60EC" w:rsidRDefault="00BA60EC" w:rsidP="002D3279">
      <w:pPr>
        <w:spacing w:line="360" w:lineRule="auto"/>
        <w:jc w:val="both"/>
        <w:rPr>
          <w:b/>
          <w:bCs/>
          <w:color w:val="000000" w:themeColor="text1"/>
        </w:rPr>
      </w:pPr>
    </w:p>
    <w:p w14:paraId="228E16C6" w14:textId="6EB5F911" w:rsidR="002D3279" w:rsidRPr="009252D7" w:rsidRDefault="002D3279" w:rsidP="002D3279">
      <w:pPr>
        <w:spacing w:line="360" w:lineRule="auto"/>
        <w:jc w:val="both"/>
        <w:rPr>
          <w:b/>
          <w:bCs/>
          <w:color w:val="000000" w:themeColor="text1"/>
        </w:rPr>
      </w:pPr>
      <w:r w:rsidRPr="009252D7">
        <w:rPr>
          <w:b/>
          <w:bCs/>
          <w:color w:val="000000" w:themeColor="text1"/>
        </w:rPr>
        <w:lastRenderedPageBreak/>
        <w:t>G1. Liquidity Coverage Ratio (LCR)</w:t>
      </w:r>
    </w:p>
    <w:p w14:paraId="400C7C20" w14:textId="77777777" w:rsidR="002D3279" w:rsidRPr="009252D7" w:rsidRDefault="002D3279" w:rsidP="002D3279">
      <w:pPr>
        <w:spacing w:line="360" w:lineRule="auto"/>
        <w:jc w:val="both"/>
        <w:rPr>
          <w:b/>
          <w:bCs/>
          <w:color w:val="000000" w:themeColor="text1"/>
        </w:rPr>
      </w:pPr>
      <w:r w:rsidRPr="009252D7">
        <w:rPr>
          <w:b/>
          <w:bCs/>
          <w:color w:val="000000" w:themeColor="text1"/>
        </w:rPr>
        <w:t>G1.1 Definition</w:t>
      </w:r>
    </w:p>
    <w:p w14:paraId="3A02BB6E" w14:textId="77777777" w:rsidR="002D3279" w:rsidRPr="009252D7" w:rsidRDefault="002D3279" w:rsidP="002D3279">
      <w:pPr>
        <w:spacing w:line="360" w:lineRule="auto"/>
        <w:jc w:val="both"/>
        <w:rPr>
          <w:color w:val="000000" w:themeColor="text1"/>
        </w:rPr>
      </w:pPr>
      <w:r w:rsidRPr="009252D7">
        <w:rPr>
          <w:color w:val="000000" w:themeColor="text1"/>
        </w:rPr>
        <w:t xml:space="preserve">The Liquidity Coverage Ratio measures the bank’s ability to meet short-term liquidity needs under a 30-day stressed scenario, as prescribed by </w:t>
      </w:r>
      <w:r w:rsidRPr="009252D7">
        <w:rPr>
          <w:b/>
          <w:bCs/>
          <w:color w:val="000000" w:themeColor="text1"/>
        </w:rPr>
        <w:t>Basel III</w:t>
      </w:r>
      <w:r w:rsidRPr="009252D7">
        <w:rPr>
          <w:color w:val="000000" w:themeColor="text1"/>
        </w:rPr>
        <w:t>.</w:t>
      </w:r>
    </w:p>
    <w:p w14:paraId="65FBA39D" w14:textId="77777777" w:rsidR="00BA60EC" w:rsidRDefault="00BA60EC" w:rsidP="002D3279">
      <w:pPr>
        <w:spacing w:line="360" w:lineRule="auto"/>
        <w:jc w:val="both"/>
        <w:rPr>
          <w:color w:val="000000" w:themeColor="text1"/>
        </w:rPr>
      </w:pPr>
    </w:p>
    <w:p w14:paraId="229A55E5" w14:textId="48B51536" w:rsidR="002D3279" w:rsidRPr="009252D7" w:rsidRDefault="002D3279" w:rsidP="002D3279">
      <w:pPr>
        <w:spacing w:line="360" w:lineRule="auto"/>
        <w:jc w:val="both"/>
        <w:rPr>
          <w:b/>
          <w:bCs/>
          <w:color w:val="000000" w:themeColor="text1"/>
        </w:rPr>
      </w:pPr>
      <w:r w:rsidRPr="009252D7">
        <w:rPr>
          <w:b/>
          <w:bCs/>
          <w:color w:val="000000" w:themeColor="text1"/>
        </w:rPr>
        <w:t>G1.2 Formula</w:t>
      </w:r>
    </w:p>
    <w:p w14:paraId="15DDF5EE" w14:textId="77777777" w:rsidR="002D3279" w:rsidRPr="009252D7" w:rsidRDefault="002D3279" w:rsidP="002D3279">
      <w:pPr>
        <w:spacing w:line="360" w:lineRule="auto"/>
        <w:jc w:val="both"/>
        <w:rPr>
          <w:color w:val="000000" w:themeColor="text1"/>
        </w:rPr>
      </w:pPr>
      <w:r w:rsidRPr="009252D7">
        <w:rPr>
          <w:color w:val="000000" w:themeColor="text1"/>
        </w:rPr>
        <w:t xml:space="preserve">Liquidity Coverage Ratio (LCR) = </w:t>
      </w:r>
      <w:r w:rsidRPr="009252D7">
        <w:rPr>
          <w:b/>
          <w:bCs/>
          <w:color w:val="000000" w:themeColor="text1"/>
        </w:rPr>
        <w:t>High-Quality Liquid Assets (HQLA) ÷ Net Cash Outflows (30 days)</w:t>
      </w:r>
      <w:r w:rsidRPr="009252D7">
        <w:rPr>
          <w:color w:val="000000" w:themeColor="text1"/>
        </w:rPr>
        <w:t xml:space="preserve"> × 100</w:t>
      </w:r>
    </w:p>
    <w:p w14:paraId="7F3066BA" w14:textId="77777777" w:rsidR="002D3279" w:rsidRPr="009252D7" w:rsidRDefault="002D3279" w:rsidP="002D3279">
      <w:pPr>
        <w:spacing w:line="360" w:lineRule="auto"/>
        <w:jc w:val="both"/>
        <w:rPr>
          <w:color w:val="000000" w:themeColor="text1"/>
        </w:rPr>
      </w:pPr>
    </w:p>
    <w:p w14:paraId="7EE1E168" w14:textId="77777777" w:rsidR="002D3279" w:rsidRPr="009252D7" w:rsidRDefault="002D3279" w:rsidP="002D3279">
      <w:pPr>
        <w:spacing w:line="360" w:lineRule="auto"/>
        <w:jc w:val="both"/>
        <w:rPr>
          <w:b/>
          <w:bCs/>
          <w:color w:val="000000" w:themeColor="text1"/>
        </w:rPr>
      </w:pPr>
      <w:r w:rsidRPr="009252D7">
        <w:rPr>
          <w:b/>
          <w:bCs/>
          <w:color w:val="000000" w:themeColor="text1"/>
        </w:rPr>
        <w:t>G1.3 Data Used (FY 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9"/>
        <w:gridCol w:w="1920"/>
      </w:tblGrid>
      <w:tr w:rsidR="002D3279" w:rsidRPr="009252D7" w14:paraId="50EB92AA" w14:textId="77777777" w:rsidTr="00A42257">
        <w:trPr>
          <w:tblHeader/>
          <w:tblCellSpacing w:w="15" w:type="dxa"/>
        </w:trPr>
        <w:tc>
          <w:tcPr>
            <w:tcW w:w="0" w:type="auto"/>
            <w:vAlign w:val="center"/>
            <w:hideMark/>
          </w:tcPr>
          <w:p w14:paraId="3A914C17" w14:textId="77777777" w:rsidR="002D3279" w:rsidRPr="009252D7" w:rsidRDefault="002D3279" w:rsidP="00A42257">
            <w:pPr>
              <w:spacing w:line="360" w:lineRule="auto"/>
              <w:jc w:val="both"/>
              <w:rPr>
                <w:b/>
                <w:bCs/>
                <w:color w:val="000000" w:themeColor="text1"/>
              </w:rPr>
            </w:pPr>
            <w:r w:rsidRPr="009252D7">
              <w:rPr>
                <w:b/>
                <w:bCs/>
                <w:color w:val="000000" w:themeColor="text1"/>
              </w:rPr>
              <w:t>Component</w:t>
            </w:r>
          </w:p>
        </w:tc>
        <w:tc>
          <w:tcPr>
            <w:tcW w:w="0" w:type="auto"/>
            <w:vAlign w:val="center"/>
            <w:hideMark/>
          </w:tcPr>
          <w:p w14:paraId="7320EB30" w14:textId="77777777" w:rsidR="002D3279" w:rsidRPr="009252D7" w:rsidRDefault="002D3279" w:rsidP="00A42257">
            <w:pPr>
              <w:spacing w:line="360" w:lineRule="auto"/>
              <w:jc w:val="both"/>
              <w:rPr>
                <w:b/>
                <w:bCs/>
                <w:color w:val="000000" w:themeColor="text1"/>
              </w:rPr>
            </w:pPr>
            <w:r w:rsidRPr="009252D7">
              <w:rPr>
                <w:b/>
                <w:bCs/>
                <w:color w:val="000000" w:themeColor="text1"/>
              </w:rPr>
              <w:t>Amount (£ million)</w:t>
            </w:r>
          </w:p>
        </w:tc>
      </w:tr>
      <w:tr w:rsidR="002D3279" w:rsidRPr="009252D7" w14:paraId="108C7836" w14:textId="77777777" w:rsidTr="00A42257">
        <w:trPr>
          <w:tblCellSpacing w:w="15" w:type="dxa"/>
        </w:trPr>
        <w:tc>
          <w:tcPr>
            <w:tcW w:w="0" w:type="auto"/>
            <w:vAlign w:val="center"/>
            <w:hideMark/>
          </w:tcPr>
          <w:p w14:paraId="786651E8" w14:textId="77777777" w:rsidR="002D3279" w:rsidRPr="009252D7" w:rsidRDefault="002D3279" w:rsidP="00A42257">
            <w:pPr>
              <w:spacing w:line="360" w:lineRule="auto"/>
              <w:jc w:val="both"/>
              <w:rPr>
                <w:color w:val="000000" w:themeColor="text1"/>
              </w:rPr>
            </w:pPr>
            <w:r w:rsidRPr="009252D7">
              <w:rPr>
                <w:color w:val="000000" w:themeColor="text1"/>
              </w:rPr>
              <w:t>High-Quality Liquid Assets (HQLA)</w:t>
            </w:r>
          </w:p>
        </w:tc>
        <w:tc>
          <w:tcPr>
            <w:tcW w:w="0" w:type="auto"/>
            <w:vAlign w:val="center"/>
            <w:hideMark/>
          </w:tcPr>
          <w:p w14:paraId="08611C6F" w14:textId="77777777" w:rsidR="002D3279" w:rsidRPr="009252D7" w:rsidRDefault="002D3279" w:rsidP="00A42257">
            <w:pPr>
              <w:spacing w:line="360" w:lineRule="auto"/>
              <w:jc w:val="both"/>
              <w:rPr>
                <w:color w:val="000000" w:themeColor="text1"/>
              </w:rPr>
            </w:pPr>
            <w:r w:rsidRPr="009252D7">
              <w:rPr>
                <w:color w:val="000000" w:themeColor="text1"/>
              </w:rPr>
              <w:t>94,765</w:t>
            </w:r>
          </w:p>
        </w:tc>
      </w:tr>
      <w:tr w:rsidR="002D3279" w:rsidRPr="009252D7" w14:paraId="6022D2B9" w14:textId="77777777" w:rsidTr="00A42257">
        <w:trPr>
          <w:tblCellSpacing w:w="15" w:type="dxa"/>
        </w:trPr>
        <w:tc>
          <w:tcPr>
            <w:tcW w:w="0" w:type="auto"/>
            <w:vAlign w:val="center"/>
            <w:hideMark/>
          </w:tcPr>
          <w:p w14:paraId="77EC77B2" w14:textId="77777777" w:rsidR="002D3279" w:rsidRPr="009252D7" w:rsidRDefault="002D3279" w:rsidP="00A42257">
            <w:pPr>
              <w:spacing w:line="360" w:lineRule="auto"/>
              <w:jc w:val="both"/>
              <w:rPr>
                <w:color w:val="000000" w:themeColor="text1"/>
              </w:rPr>
            </w:pPr>
            <w:r w:rsidRPr="009252D7">
              <w:rPr>
                <w:color w:val="000000" w:themeColor="text1"/>
              </w:rPr>
              <w:t>Reported Liquidity Coverage Ratio</w:t>
            </w:r>
          </w:p>
        </w:tc>
        <w:tc>
          <w:tcPr>
            <w:tcW w:w="0" w:type="auto"/>
            <w:vAlign w:val="center"/>
            <w:hideMark/>
          </w:tcPr>
          <w:p w14:paraId="45B8DDD3" w14:textId="77777777" w:rsidR="002D3279" w:rsidRPr="009252D7" w:rsidRDefault="002D3279" w:rsidP="00A42257">
            <w:pPr>
              <w:spacing w:line="360" w:lineRule="auto"/>
              <w:jc w:val="both"/>
              <w:rPr>
                <w:color w:val="000000" w:themeColor="text1"/>
              </w:rPr>
            </w:pPr>
            <w:r w:rsidRPr="009252D7">
              <w:rPr>
                <w:color w:val="000000" w:themeColor="text1"/>
              </w:rPr>
              <w:t>201%</w:t>
            </w:r>
          </w:p>
        </w:tc>
      </w:tr>
    </w:tbl>
    <w:p w14:paraId="32FAF2B4" w14:textId="77777777" w:rsidR="002D3279" w:rsidRPr="009252D7" w:rsidRDefault="002D3279" w:rsidP="002D3279">
      <w:pPr>
        <w:spacing w:line="360" w:lineRule="auto"/>
        <w:jc w:val="both"/>
        <w:rPr>
          <w:color w:val="000000" w:themeColor="text1"/>
        </w:rPr>
      </w:pPr>
    </w:p>
    <w:p w14:paraId="603DA1A8"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G1.4 Derivation of Net Cash Outflows </w:t>
      </w:r>
    </w:p>
    <w:p w14:paraId="376F81B3" w14:textId="77777777" w:rsidR="002D3279" w:rsidRPr="009252D7" w:rsidRDefault="002D3279" w:rsidP="002D3279">
      <w:pPr>
        <w:spacing w:line="360" w:lineRule="auto"/>
        <w:jc w:val="both"/>
        <w:rPr>
          <w:color w:val="000000" w:themeColor="text1"/>
        </w:rPr>
      </w:pPr>
      <w:r w:rsidRPr="009252D7">
        <w:rPr>
          <w:color w:val="000000" w:themeColor="text1"/>
        </w:rPr>
        <w:t xml:space="preserve">Since banks disclose the </w:t>
      </w:r>
      <w:r w:rsidRPr="009252D7">
        <w:rPr>
          <w:b/>
          <w:bCs/>
          <w:color w:val="000000" w:themeColor="text1"/>
        </w:rPr>
        <w:t>final LCR</w:t>
      </w:r>
      <w:r w:rsidRPr="009252D7">
        <w:rPr>
          <w:color w:val="000000" w:themeColor="text1"/>
        </w:rPr>
        <w:t xml:space="preserve"> but not the full internal breakdown of stressed cash outflows, the net cash outflows can be </w:t>
      </w:r>
      <w:r w:rsidRPr="009252D7">
        <w:rPr>
          <w:b/>
          <w:bCs/>
          <w:color w:val="000000" w:themeColor="text1"/>
        </w:rPr>
        <w:t>derived mathematically</w:t>
      </w:r>
      <w:r w:rsidRPr="009252D7">
        <w:rPr>
          <w:color w:val="000000" w:themeColor="text1"/>
        </w:rPr>
        <w:t>:</w:t>
      </w:r>
    </w:p>
    <w:p w14:paraId="4BCF776F"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LCR</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HQLA</m:t>
              </m:r>
            </m:num>
            <m:den>
              <m:r>
                <m:rPr>
                  <m:nor/>
                </m:rPr>
                <w:rPr>
                  <w:color w:val="000000" w:themeColor="text1"/>
                </w:rPr>
                <m:t>Net Cash Outflows</m:t>
              </m:r>
            </m:den>
          </m:f>
          <m:r>
            <m:rPr>
              <m:sty m:val="p"/>
            </m:rPr>
            <w:rPr>
              <w:color w:val="000000" w:themeColor="text1"/>
            </w:rPr>
            <w:br/>
          </m:r>
        </m:oMath>
        <m:oMath>
          <m:r>
            <w:rPr>
              <w:rFonts w:ascii="Cambria Math" w:hAnsi="Cambria Math"/>
              <w:color w:val="000000" w:themeColor="text1"/>
            </w:rPr>
            <m:t>2.01=</m:t>
          </m:r>
          <m:f>
            <m:fPr>
              <m:ctrlPr>
                <w:rPr>
                  <w:rFonts w:ascii="Cambria Math" w:hAnsi="Cambria Math"/>
                  <w:color w:val="000000" w:themeColor="text1"/>
                </w:rPr>
              </m:ctrlPr>
            </m:fPr>
            <m:num>
              <m:r>
                <w:rPr>
                  <w:rFonts w:ascii="Cambria Math" w:hAnsi="Cambria Math"/>
                  <w:color w:val="000000" w:themeColor="text1"/>
                </w:rPr>
                <m:t>94,765</m:t>
              </m:r>
            </m:num>
            <m:den>
              <m:r>
                <m:rPr>
                  <m:nor/>
                </m:rPr>
                <w:rPr>
                  <w:color w:val="000000" w:themeColor="text1"/>
                </w:rPr>
                <m:t>Net Cash Outflows</m:t>
              </m:r>
            </m:den>
          </m:f>
          <m:r>
            <m:rPr>
              <m:sty m:val="p"/>
            </m:rPr>
            <w:rPr>
              <w:color w:val="000000" w:themeColor="text1"/>
            </w:rPr>
            <w:br/>
          </m:r>
        </m:oMath>
        <m:oMath>
          <m:r>
            <m:rPr>
              <m:nor/>
            </m:rPr>
            <w:rPr>
              <w:color w:val="000000" w:themeColor="text1"/>
            </w:rPr>
            <m:t>Net Cash Outflows</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94,765</m:t>
              </m:r>
            </m:num>
            <m:den>
              <m:r>
                <w:rPr>
                  <w:rFonts w:ascii="Cambria Math" w:hAnsi="Cambria Math"/>
                  <w:color w:val="000000" w:themeColor="text1"/>
                </w:rPr>
                <m:t>2.01</m:t>
              </m:r>
            </m:den>
          </m:f>
          <m:r>
            <m:rPr>
              <m:sty m:val="p"/>
            </m:rPr>
            <w:rPr>
              <w:color w:val="000000" w:themeColor="text1"/>
            </w:rPr>
            <w:br/>
          </m:r>
        </m:oMath>
        <m:oMath>
          <m:r>
            <m:rPr>
              <m:nor/>
            </m:rPr>
            <w:rPr>
              <w:color w:val="000000" w:themeColor="text1"/>
            </w:rPr>
            <m:t>Net Cash Outflows</m:t>
          </m:r>
          <m:r>
            <w:rPr>
              <w:rFonts w:ascii="Cambria Math" w:hAnsi="Cambria Math"/>
              <w:color w:val="000000" w:themeColor="text1"/>
            </w:rPr>
            <m:t>=47,146</m:t>
          </m:r>
          <m:r>
            <m:rPr>
              <m:nor/>
            </m:rPr>
            <w:rPr>
              <w:color w:val="000000" w:themeColor="text1"/>
            </w:rPr>
            <m:t xml:space="preserve"> (£ million, approx.)</m:t>
          </m:r>
          <m:r>
            <m:rPr>
              <m:sty m:val="p"/>
            </m:rPr>
            <w:rPr>
              <w:color w:val="000000" w:themeColor="text1"/>
            </w:rPr>
            <w:br/>
          </m:r>
        </m:oMath>
      </m:oMathPara>
    </w:p>
    <w:p w14:paraId="7125BB22" w14:textId="77777777" w:rsidR="002D3279" w:rsidRPr="009252D7" w:rsidRDefault="002D3279" w:rsidP="002D3279">
      <w:pPr>
        <w:spacing w:line="360" w:lineRule="auto"/>
        <w:jc w:val="both"/>
        <w:rPr>
          <w:b/>
          <w:bCs/>
          <w:color w:val="000000" w:themeColor="text1"/>
        </w:rPr>
      </w:pPr>
      <w:r w:rsidRPr="009252D7">
        <w:rPr>
          <w:b/>
          <w:bCs/>
          <w:color w:val="000000" w:themeColor="text1"/>
        </w:rPr>
        <w:t>G1.5 Final Calculation</w:t>
      </w:r>
    </w:p>
    <w:p w14:paraId="4F88F113"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LCR</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94,765</m:t>
              </m:r>
            </m:num>
            <m:den>
              <m:r>
                <w:rPr>
                  <w:rFonts w:ascii="Cambria Math" w:hAnsi="Cambria Math"/>
                  <w:color w:val="000000" w:themeColor="text1"/>
                </w:rPr>
                <m:t>47,146</m:t>
              </m:r>
            </m:den>
          </m:f>
          <m:r>
            <w:rPr>
              <w:rFonts w:ascii="Cambria Math" w:hAnsi="Cambria Math"/>
              <w:color w:val="000000" w:themeColor="text1"/>
            </w:rPr>
            <m:t>×100</m:t>
          </m:r>
          <m:r>
            <m:rPr>
              <m:sty m:val="p"/>
            </m:rPr>
            <w:rPr>
              <w:color w:val="000000" w:themeColor="text1"/>
            </w:rPr>
            <w:br/>
          </m:r>
        </m:oMath>
        <m:oMath>
          <m:r>
            <m:rPr>
              <m:nor/>
            </m:rPr>
            <w:rPr>
              <w:color w:val="000000" w:themeColor="text1"/>
            </w:rPr>
            <m:t>LCR</m:t>
          </m:r>
          <m:r>
            <w:rPr>
              <w:rFonts w:ascii="Cambria Math" w:hAnsi="Cambria Math"/>
              <w:color w:val="000000" w:themeColor="text1"/>
            </w:rPr>
            <m:t>=201</m:t>
          </m:r>
          <m:r>
            <m:rPr>
              <m:sty m:val="p"/>
            </m:rPr>
            <w:rPr>
              <w:rFonts w:ascii="Cambria Math" w:hAnsi="Cambria Math"/>
              <w:color w:val="000000" w:themeColor="text1"/>
            </w:rPr>
            <m:t>%</m:t>
          </m:r>
        </m:oMath>
      </m:oMathPara>
    </w:p>
    <w:p w14:paraId="53954B21" w14:textId="77777777" w:rsidR="002D3279" w:rsidRPr="009252D7" w:rsidRDefault="002D3279" w:rsidP="002D3279">
      <w:pPr>
        <w:spacing w:line="360" w:lineRule="auto"/>
        <w:jc w:val="both"/>
        <w:rPr>
          <w:b/>
          <w:bCs/>
          <w:color w:val="000000" w:themeColor="text1"/>
        </w:rPr>
      </w:pPr>
      <w:r w:rsidRPr="009252D7">
        <w:rPr>
          <w:b/>
          <w:bCs/>
          <w:color w:val="000000" w:themeColor="text1"/>
        </w:rPr>
        <w:lastRenderedPageBreak/>
        <w:t>G1.6 Liquidity Coverage Ratio (FY 2023) = 201%</w:t>
      </w:r>
    </w:p>
    <w:p w14:paraId="21701A0A" w14:textId="77777777" w:rsidR="002D3279" w:rsidRPr="009252D7" w:rsidRDefault="002D3279" w:rsidP="002D3279">
      <w:pPr>
        <w:spacing w:line="360" w:lineRule="auto"/>
        <w:jc w:val="both"/>
        <w:rPr>
          <w:color w:val="000000" w:themeColor="text1"/>
        </w:rPr>
      </w:pPr>
    </w:p>
    <w:p w14:paraId="64A3BE6F" w14:textId="77777777" w:rsidR="002D3279" w:rsidRPr="009252D7" w:rsidRDefault="002D3279" w:rsidP="002D3279">
      <w:pPr>
        <w:spacing w:line="360" w:lineRule="auto"/>
        <w:jc w:val="both"/>
        <w:rPr>
          <w:b/>
          <w:bCs/>
          <w:color w:val="000000" w:themeColor="text1"/>
        </w:rPr>
      </w:pPr>
      <w:r w:rsidRPr="009252D7">
        <w:rPr>
          <w:b/>
          <w:bCs/>
          <w:color w:val="000000" w:themeColor="text1"/>
        </w:rPr>
        <w:t>G2. Loan-to-Deposit Ratio (LDR)</w:t>
      </w:r>
    </w:p>
    <w:p w14:paraId="78CD8921"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C2.2 Formula = </w:t>
      </w:r>
      <w:r w:rsidRPr="009252D7">
        <w:rPr>
          <w:color w:val="000000" w:themeColor="text1"/>
        </w:rPr>
        <w:t xml:space="preserve">Loan-to-Deposit Ratio (LDR) = </w:t>
      </w:r>
      <w:r w:rsidRPr="009252D7">
        <w:rPr>
          <w:b/>
          <w:bCs/>
          <w:color w:val="000000" w:themeColor="text1"/>
        </w:rPr>
        <w:t>Net Loans and Advances to Customers ÷ Customer Deposits</w:t>
      </w:r>
      <w:r w:rsidRPr="009252D7">
        <w:rPr>
          <w:color w:val="000000" w:themeColor="text1"/>
        </w:rPr>
        <w:t xml:space="preserve"> × 100</w:t>
      </w:r>
    </w:p>
    <w:p w14:paraId="0012AAE8" w14:textId="77777777" w:rsidR="002D3279" w:rsidRPr="009252D7" w:rsidRDefault="002D3279" w:rsidP="002D3279">
      <w:pPr>
        <w:spacing w:line="360" w:lineRule="auto"/>
        <w:jc w:val="both"/>
        <w:rPr>
          <w:color w:val="000000" w:themeColor="text1"/>
        </w:rPr>
      </w:pPr>
    </w:p>
    <w:p w14:paraId="673339C1" w14:textId="77777777" w:rsidR="002D3279" w:rsidRPr="009252D7" w:rsidRDefault="002D3279" w:rsidP="002D3279">
      <w:pPr>
        <w:spacing w:line="360" w:lineRule="auto"/>
        <w:jc w:val="both"/>
        <w:rPr>
          <w:b/>
          <w:bCs/>
          <w:color w:val="000000" w:themeColor="text1"/>
        </w:rPr>
      </w:pPr>
      <w:r w:rsidRPr="009252D7">
        <w:rPr>
          <w:b/>
          <w:bCs/>
          <w:color w:val="000000" w:themeColor="text1"/>
        </w:rPr>
        <w:t>G2.3 Data Used (FY 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77"/>
        <w:gridCol w:w="1920"/>
      </w:tblGrid>
      <w:tr w:rsidR="002D3279" w:rsidRPr="009252D7" w14:paraId="143E14DB" w14:textId="77777777" w:rsidTr="00A42257">
        <w:trPr>
          <w:tblHeader/>
          <w:tblCellSpacing w:w="15" w:type="dxa"/>
        </w:trPr>
        <w:tc>
          <w:tcPr>
            <w:tcW w:w="0" w:type="auto"/>
            <w:vAlign w:val="center"/>
            <w:hideMark/>
          </w:tcPr>
          <w:p w14:paraId="333B9927" w14:textId="77777777" w:rsidR="002D3279" w:rsidRPr="009252D7" w:rsidRDefault="002D3279" w:rsidP="00A42257">
            <w:pPr>
              <w:spacing w:line="360" w:lineRule="auto"/>
              <w:jc w:val="both"/>
              <w:rPr>
                <w:b/>
                <w:bCs/>
                <w:color w:val="000000" w:themeColor="text1"/>
              </w:rPr>
            </w:pPr>
            <w:r w:rsidRPr="009252D7">
              <w:rPr>
                <w:b/>
                <w:bCs/>
                <w:color w:val="000000" w:themeColor="text1"/>
              </w:rPr>
              <w:t>Component</w:t>
            </w:r>
          </w:p>
        </w:tc>
        <w:tc>
          <w:tcPr>
            <w:tcW w:w="0" w:type="auto"/>
            <w:vAlign w:val="center"/>
            <w:hideMark/>
          </w:tcPr>
          <w:p w14:paraId="106F2DD6" w14:textId="77777777" w:rsidR="002D3279" w:rsidRPr="009252D7" w:rsidRDefault="002D3279" w:rsidP="00A42257">
            <w:pPr>
              <w:spacing w:line="360" w:lineRule="auto"/>
              <w:jc w:val="both"/>
              <w:rPr>
                <w:b/>
                <w:bCs/>
                <w:color w:val="000000" w:themeColor="text1"/>
              </w:rPr>
            </w:pPr>
            <w:r w:rsidRPr="009252D7">
              <w:rPr>
                <w:b/>
                <w:bCs/>
                <w:color w:val="000000" w:themeColor="text1"/>
              </w:rPr>
              <w:t>Amount (£ million)</w:t>
            </w:r>
          </w:p>
        </w:tc>
      </w:tr>
      <w:tr w:rsidR="002D3279" w:rsidRPr="009252D7" w14:paraId="2EE46959" w14:textId="77777777" w:rsidTr="00A42257">
        <w:trPr>
          <w:tblCellSpacing w:w="15" w:type="dxa"/>
        </w:trPr>
        <w:tc>
          <w:tcPr>
            <w:tcW w:w="0" w:type="auto"/>
            <w:vAlign w:val="center"/>
            <w:hideMark/>
          </w:tcPr>
          <w:p w14:paraId="2CB2CC2F" w14:textId="77777777" w:rsidR="002D3279" w:rsidRPr="009252D7" w:rsidRDefault="002D3279" w:rsidP="00A42257">
            <w:pPr>
              <w:spacing w:line="360" w:lineRule="auto"/>
              <w:jc w:val="both"/>
              <w:rPr>
                <w:color w:val="000000" w:themeColor="text1"/>
              </w:rPr>
            </w:pPr>
            <w:r w:rsidRPr="009252D7">
              <w:rPr>
                <w:color w:val="000000" w:themeColor="text1"/>
              </w:rPr>
              <w:t>Net loans and advances to customers</w:t>
            </w:r>
          </w:p>
        </w:tc>
        <w:tc>
          <w:tcPr>
            <w:tcW w:w="0" w:type="auto"/>
            <w:vAlign w:val="center"/>
            <w:hideMark/>
          </w:tcPr>
          <w:p w14:paraId="624FEA82" w14:textId="77777777" w:rsidR="002D3279" w:rsidRPr="009252D7" w:rsidRDefault="002D3279" w:rsidP="00A42257">
            <w:pPr>
              <w:spacing w:line="360" w:lineRule="auto"/>
              <w:jc w:val="both"/>
              <w:rPr>
                <w:color w:val="000000" w:themeColor="text1"/>
              </w:rPr>
            </w:pPr>
            <w:r w:rsidRPr="009252D7">
              <w:rPr>
                <w:color w:val="000000" w:themeColor="text1"/>
              </w:rPr>
              <w:t>211,887</w:t>
            </w:r>
          </w:p>
        </w:tc>
      </w:tr>
      <w:tr w:rsidR="002D3279" w:rsidRPr="009252D7" w14:paraId="5867A868" w14:textId="77777777" w:rsidTr="00A42257">
        <w:trPr>
          <w:tblCellSpacing w:w="15" w:type="dxa"/>
        </w:trPr>
        <w:tc>
          <w:tcPr>
            <w:tcW w:w="0" w:type="auto"/>
            <w:vAlign w:val="center"/>
            <w:hideMark/>
          </w:tcPr>
          <w:p w14:paraId="0BAA594C" w14:textId="77777777" w:rsidR="002D3279" w:rsidRPr="009252D7" w:rsidRDefault="002D3279" w:rsidP="00A42257">
            <w:pPr>
              <w:spacing w:line="360" w:lineRule="auto"/>
              <w:jc w:val="both"/>
              <w:rPr>
                <w:color w:val="000000" w:themeColor="text1"/>
              </w:rPr>
            </w:pPr>
            <w:r w:rsidRPr="009252D7">
              <w:rPr>
                <w:color w:val="000000" w:themeColor="text1"/>
              </w:rPr>
              <w:t>Customer accounts (deposits)</w:t>
            </w:r>
          </w:p>
        </w:tc>
        <w:tc>
          <w:tcPr>
            <w:tcW w:w="0" w:type="auto"/>
            <w:vAlign w:val="center"/>
            <w:hideMark/>
          </w:tcPr>
          <w:p w14:paraId="2130638C" w14:textId="77777777" w:rsidR="002D3279" w:rsidRPr="009252D7" w:rsidRDefault="002D3279" w:rsidP="00A42257">
            <w:pPr>
              <w:spacing w:line="360" w:lineRule="auto"/>
              <w:jc w:val="both"/>
              <w:rPr>
                <w:color w:val="000000" w:themeColor="text1"/>
              </w:rPr>
            </w:pPr>
            <w:r w:rsidRPr="009252D7">
              <w:rPr>
                <w:color w:val="000000" w:themeColor="text1"/>
              </w:rPr>
              <w:t>268,345</w:t>
            </w:r>
          </w:p>
        </w:tc>
      </w:tr>
    </w:tbl>
    <w:p w14:paraId="1BB4809D" w14:textId="77777777" w:rsidR="002D3279" w:rsidRPr="009252D7" w:rsidRDefault="002D3279" w:rsidP="002D3279">
      <w:pPr>
        <w:spacing w:line="360" w:lineRule="auto"/>
        <w:jc w:val="both"/>
        <w:rPr>
          <w:color w:val="000000" w:themeColor="text1"/>
        </w:rPr>
      </w:pPr>
    </w:p>
    <w:p w14:paraId="76B6D0E9" w14:textId="77777777" w:rsidR="002D3279" w:rsidRPr="009252D7" w:rsidRDefault="002D3279" w:rsidP="002D3279">
      <w:pPr>
        <w:spacing w:line="360" w:lineRule="auto"/>
        <w:jc w:val="both"/>
        <w:rPr>
          <w:b/>
          <w:bCs/>
          <w:color w:val="000000" w:themeColor="text1"/>
        </w:rPr>
      </w:pPr>
      <w:r w:rsidRPr="009252D7">
        <w:rPr>
          <w:b/>
          <w:bCs/>
          <w:color w:val="000000" w:themeColor="text1"/>
        </w:rPr>
        <w:t>G2.4 Calculation</w:t>
      </w:r>
    </w:p>
    <w:p w14:paraId="5E797E97"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LDR</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211,887</m:t>
              </m:r>
            </m:num>
            <m:den>
              <m:r>
                <w:rPr>
                  <w:rFonts w:ascii="Cambria Math" w:hAnsi="Cambria Math"/>
                  <w:color w:val="000000" w:themeColor="text1"/>
                </w:rPr>
                <m:t>268,345</m:t>
              </m:r>
            </m:den>
          </m:f>
          <m:r>
            <w:rPr>
              <w:rFonts w:ascii="Cambria Math" w:hAnsi="Cambria Math"/>
              <w:color w:val="000000" w:themeColor="text1"/>
            </w:rPr>
            <m:t>×100</m:t>
          </m:r>
          <m:r>
            <m:rPr>
              <m:sty m:val="p"/>
            </m:rPr>
            <w:rPr>
              <w:color w:val="000000" w:themeColor="text1"/>
            </w:rPr>
            <w:br/>
          </m:r>
        </m:oMath>
        <m:oMath>
          <m:r>
            <m:rPr>
              <m:nor/>
            </m:rPr>
            <w:rPr>
              <w:color w:val="000000" w:themeColor="text1"/>
            </w:rPr>
            <m:t>LDR</m:t>
          </m:r>
          <m:r>
            <w:rPr>
              <w:rFonts w:ascii="Cambria Math" w:hAnsi="Cambria Math"/>
              <w:color w:val="000000" w:themeColor="text1"/>
            </w:rPr>
            <m:t>=0.7896×100</m:t>
          </m:r>
          <m:r>
            <m:rPr>
              <m:sty m:val="p"/>
            </m:rPr>
            <w:rPr>
              <w:color w:val="000000" w:themeColor="text1"/>
            </w:rPr>
            <w:br/>
          </m:r>
        </m:oMath>
        <m:oMath>
          <m:r>
            <m:rPr>
              <m:nor/>
            </m:rPr>
            <w:rPr>
              <w:color w:val="000000" w:themeColor="text1"/>
            </w:rPr>
            <m:t>LDR</m:t>
          </m:r>
          <m:r>
            <w:rPr>
              <w:rFonts w:ascii="Cambria Math" w:hAnsi="Cambria Math"/>
              <w:color w:val="000000" w:themeColor="text1"/>
            </w:rPr>
            <m:t>=78.96</m:t>
          </m:r>
          <m:r>
            <m:rPr>
              <m:sty m:val="p"/>
            </m:rPr>
            <w:rPr>
              <w:rFonts w:ascii="Cambria Math" w:hAnsi="Cambria Math"/>
              <w:color w:val="000000" w:themeColor="text1"/>
            </w:rPr>
            <m:t>%</m:t>
          </m:r>
          <m:r>
            <m:rPr>
              <m:sty m:val="p"/>
            </m:rPr>
            <w:rPr>
              <w:color w:val="000000" w:themeColor="text1"/>
            </w:rPr>
            <w:br/>
          </m:r>
        </m:oMath>
      </m:oMathPara>
    </w:p>
    <w:p w14:paraId="75FA621C" w14:textId="77777777" w:rsidR="002D3279" w:rsidRPr="009252D7" w:rsidRDefault="002D3279" w:rsidP="002D3279">
      <w:pPr>
        <w:spacing w:line="360" w:lineRule="auto"/>
        <w:jc w:val="both"/>
        <w:rPr>
          <w:color w:val="000000" w:themeColor="text1"/>
        </w:rPr>
      </w:pPr>
    </w:p>
    <w:p w14:paraId="2192C4A9" w14:textId="77777777" w:rsidR="002D3279" w:rsidRPr="009252D7" w:rsidRDefault="002D3279" w:rsidP="002D3279">
      <w:pPr>
        <w:spacing w:line="360" w:lineRule="auto"/>
        <w:jc w:val="both"/>
        <w:rPr>
          <w:b/>
          <w:bCs/>
          <w:color w:val="000000" w:themeColor="text1"/>
        </w:rPr>
      </w:pPr>
      <w:r w:rsidRPr="009252D7">
        <w:rPr>
          <w:b/>
          <w:bCs/>
          <w:color w:val="000000" w:themeColor="text1"/>
        </w:rPr>
        <w:t>G2.5 Loan-to-Deposit Ratio (FY 2023) = 79.0%</w:t>
      </w:r>
    </w:p>
    <w:p w14:paraId="168F3DDF" w14:textId="77777777" w:rsidR="002D3279" w:rsidRPr="009252D7" w:rsidRDefault="002D3279" w:rsidP="002D3279">
      <w:pPr>
        <w:spacing w:line="360" w:lineRule="auto"/>
        <w:jc w:val="both"/>
        <w:rPr>
          <w:color w:val="000000" w:themeColor="text1"/>
        </w:rPr>
      </w:pPr>
    </w:p>
    <w:p w14:paraId="10454984" w14:textId="77777777" w:rsidR="002D3279" w:rsidRPr="009252D7" w:rsidRDefault="002D3279" w:rsidP="002D3279">
      <w:pPr>
        <w:spacing w:line="360" w:lineRule="auto"/>
        <w:jc w:val="both"/>
        <w:rPr>
          <w:b/>
          <w:bCs/>
          <w:color w:val="000000" w:themeColor="text1"/>
        </w:rPr>
      </w:pPr>
      <w:r w:rsidRPr="009252D7">
        <w:rPr>
          <w:b/>
          <w:bCs/>
          <w:color w:val="000000" w:themeColor="text1"/>
        </w:rPr>
        <w:t>G3. Summary of Liquidity Ratio Calculations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9"/>
        <w:gridCol w:w="2383"/>
        <w:gridCol w:w="742"/>
      </w:tblGrid>
      <w:tr w:rsidR="002D3279" w:rsidRPr="009252D7" w14:paraId="61BDADB6" w14:textId="77777777" w:rsidTr="00A42257">
        <w:trPr>
          <w:tblHeader/>
          <w:tblCellSpacing w:w="15" w:type="dxa"/>
        </w:trPr>
        <w:tc>
          <w:tcPr>
            <w:tcW w:w="0" w:type="auto"/>
            <w:vAlign w:val="center"/>
            <w:hideMark/>
          </w:tcPr>
          <w:p w14:paraId="4D21F497" w14:textId="77777777" w:rsidR="002D3279" w:rsidRPr="009252D7" w:rsidRDefault="002D3279" w:rsidP="00A42257">
            <w:pPr>
              <w:spacing w:line="360" w:lineRule="auto"/>
              <w:jc w:val="both"/>
              <w:rPr>
                <w:b/>
                <w:bCs/>
                <w:color w:val="000000" w:themeColor="text1"/>
              </w:rPr>
            </w:pPr>
            <w:r w:rsidRPr="009252D7">
              <w:rPr>
                <w:b/>
                <w:bCs/>
                <w:color w:val="000000" w:themeColor="text1"/>
              </w:rPr>
              <w:t>Ratio</w:t>
            </w:r>
          </w:p>
        </w:tc>
        <w:tc>
          <w:tcPr>
            <w:tcW w:w="0" w:type="auto"/>
            <w:vAlign w:val="center"/>
            <w:hideMark/>
          </w:tcPr>
          <w:p w14:paraId="2AB12211" w14:textId="77777777" w:rsidR="002D3279" w:rsidRPr="009252D7" w:rsidRDefault="002D3279" w:rsidP="00A42257">
            <w:pPr>
              <w:spacing w:line="360" w:lineRule="auto"/>
              <w:jc w:val="both"/>
              <w:rPr>
                <w:b/>
                <w:bCs/>
                <w:color w:val="000000" w:themeColor="text1"/>
              </w:rPr>
            </w:pPr>
            <w:r w:rsidRPr="009252D7">
              <w:rPr>
                <w:b/>
                <w:bCs/>
                <w:color w:val="000000" w:themeColor="text1"/>
              </w:rPr>
              <w:t>Calculation</w:t>
            </w:r>
          </w:p>
        </w:tc>
        <w:tc>
          <w:tcPr>
            <w:tcW w:w="0" w:type="auto"/>
            <w:vAlign w:val="center"/>
            <w:hideMark/>
          </w:tcPr>
          <w:p w14:paraId="6874BE84" w14:textId="77777777" w:rsidR="002D3279" w:rsidRPr="009252D7" w:rsidRDefault="002D3279" w:rsidP="00A42257">
            <w:pPr>
              <w:spacing w:line="360" w:lineRule="auto"/>
              <w:jc w:val="both"/>
              <w:rPr>
                <w:b/>
                <w:bCs/>
                <w:color w:val="000000" w:themeColor="text1"/>
              </w:rPr>
            </w:pPr>
            <w:r w:rsidRPr="009252D7">
              <w:rPr>
                <w:b/>
                <w:bCs/>
                <w:color w:val="000000" w:themeColor="text1"/>
              </w:rPr>
              <w:t>Result</w:t>
            </w:r>
          </w:p>
        </w:tc>
      </w:tr>
      <w:tr w:rsidR="002D3279" w:rsidRPr="009252D7" w14:paraId="2D2F6E95" w14:textId="77777777" w:rsidTr="00A42257">
        <w:trPr>
          <w:tblCellSpacing w:w="15" w:type="dxa"/>
        </w:trPr>
        <w:tc>
          <w:tcPr>
            <w:tcW w:w="0" w:type="auto"/>
            <w:vAlign w:val="center"/>
            <w:hideMark/>
          </w:tcPr>
          <w:p w14:paraId="44BDFE34" w14:textId="77777777" w:rsidR="002D3279" w:rsidRPr="009252D7" w:rsidRDefault="002D3279" w:rsidP="00A42257">
            <w:pPr>
              <w:spacing w:line="360" w:lineRule="auto"/>
              <w:jc w:val="both"/>
              <w:rPr>
                <w:color w:val="000000" w:themeColor="text1"/>
              </w:rPr>
            </w:pPr>
            <w:r w:rsidRPr="009252D7">
              <w:rPr>
                <w:color w:val="000000" w:themeColor="text1"/>
              </w:rPr>
              <w:t>Liquidity Coverage Ratio (LCR)</w:t>
            </w:r>
          </w:p>
        </w:tc>
        <w:tc>
          <w:tcPr>
            <w:tcW w:w="0" w:type="auto"/>
            <w:vAlign w:val="center"/>
            <w:hideMark/>
          </w:tcPr>
          <w:p w14:paraId="47CDD79F" w14:textId="77777777" w:rsidR="002D3279" w:rsidRPr="009252D7" w:rsidRDefault="002D3279" w:rsidP="00A42257">
            <w:pPr>
              <w:spacing w:line="360" w:lineRule="auto"/>
              <w:jc w:val="both"/>
              <w:rPr>
                <w:color w:val="000000" w:themeColor="text1"/>
              </w:rPr>
            </w:pPr>
            <w:r w:rsidRPr="009252D7">
              <w:rPr>
                <w:color w:val="000000" w:themeColor="text1"/>
              </w:rPr>
              <w:t>94,765 ÷ 47,146 × 100</w:t>
            </w:r>
          </w:p>
        </w:tc>
        <w:tc>
          <w:tcPr>
            <w:tcW w:w="0" w:type="auto"/>
            <w:vAlign w:val="center"/>
            <w:hideMark/>
          </w:tcPr>
          <w:p w14:paraId="3ED5DA95" w14:textId="77777777" w:rsidR="002D3279" w:rsidRPr="009252D7" w:rsidRDefault="002D3279" w:rsidP="00A42257">
            <w:pPr>
              <w:spacing w:line="360" w:lineRule="auto"/>
              <w:jc w:val="both"/>
              <w:rPr>
                <w:color w:val="000000" w:themeColor="text1"/>
              </w:rPr>
            </w:pPr>
            <w:r w:rsidRPr="009252D7">
              <w:rPr>
                <w:b/>
                <w:bCs/>
                <w:color w:val="000000" w:themeColor="text1"/>
              </w:rPr>
              <w:t>201%</w:t>
            </w:r>
          </w:p>
        </w:tc>
      </w:tr>
      <w:tr w:rsidR="002D3279" w:rsidRPr="009252D7" w14:paraId="5B227D1F" w14:textId="77777777" w:rsidTr="00A42257">
        <w:trPr>
          <w:tblCellSpacing w:w="15" w:type="dxa"/>
        </w:trPr>
        <w:tc>
          <w:tcPr>
            <w:tcW w:w="0" w:type="auto"/>
            <w:vAlign w:val="center"/>
            <w:hideMark/>
          </w:tcPr>
          <w:p w14:paraId="0FB2058D" w14:textId="77777777" w:rsidR="002D3279" w:rsidRPr="009252D7" w:rsidRDefault="002D3279" w:rsidP="00A42257">
            <w:pPr>
              <w:spacing w:line="360" w:lineRule="auto"/>
              <w:jc w:val="both"/>
              <w:rPr>
                <w:color w:val="000000" w:themeColor="text1"/>
              </w:rPr>
            </w:pPr>
            <w:r w:rsidRPr="009252D7">
              <w:rPr>
                <w:color w:val="000000" w:themeColor="text1"/>
              </w:rPr>
              <w:t>Loan-to-Deposit Ratio (LDR)</w:t>
            </w:r>
          </w:p>
        </w:tc>
        <w:tc>
          <w:tcPr>
            <w:tcW w:w="0" w:type="auto"/>
            <w:vAlign w:val="center"/>
            <w:hideMark/>
          </w:tcPr>
          <w:p w14:paraId="3B8BA746" w14:textId="77777777" w:rsidR="002D3279" w:rsidRPr="009252D7" w:rsidRDefault="002D3279" w:rsidP="00A42257">
            <w:pPr>
              <w:spacing w:line="360" w:lineRule="auto"/>
              <w:jc w:val="both"/>
              <w:rPr>
                <w:color w:val="000000" w:themeColor="text1"/>
              </w:rPr>
            </w:pPr>
            <w:r w:rsidRPr="009252D7">
              <w:rPr>
                <w:color w:val="000000" w:themeColor="text1"/>
              </w:rPr>
              <w:t>211,887 ÷ 268,345 × 100</w:t>
            </w:r>
          </w:p>
        </w:tc>
        <w:tc>
          <w:tcPr>
            <w:tcW w:w="0" w:type="auto"/>
            <w:vAlign w:val="center"/>
            <w:hideMark/>
          </w:tcPr>
          <w:p w14:paraId="779CF2FB" w14:textId="77777777" w:rsidR="002D3279" w:rsidRPr="009252D7" w:rsidRDefault="002D3279" w:rsidP="00A42257">
            <w:pPr>
              <w:spacing w:line="360" w:lineRule="auto"/>
              <w:jc w:val="both"/>
              <w:rPr>
                <w:color w:val="000000" w:themeColor="text1"/>
              </w:rPr>
            </w:pPr>
            <w:r w:rsidRPr="009252D7">
              <w:rPr>
                <w:b/>
                <w:bCs/>
                <w:color w:val="000000" w:themeColor="text1"/>
              </w:rPr>
              <w:t>79.0%</w:t>
            </w:r>
          </w:p>
        </w:tc>
      </w:tr>
    </w:tbl>
    <w:p w14:paraId="5526E481" w14:textId="77777777" w:rsidR="002D3279" w:rsidRPr="009252D7" w:rsidRDefault="002D3279" w:rsidP="002D3279">
      <w:pPr>
        <w:spacing w:line="360" w:lineRule="auto"/>
        <w:jc w:val="both"/>
        <w:rPr>
          <w:color w:val="000000" w:themeColor="text1"/>
        </w:rPr>
      </w:pPr>
    </w:p>
    <w:p w14:paraId="50190553" w14:textId="77777777" w:rsidR="002D3279" w:rsidRPr="009252D7" w:rsidRDefault="002D3279" w:rsidP="002D3279">
      <w:pPr>
        <w:spacing w:line="360" w:lineRule="auto"/>
        <w:jc w:val="both"/>
        <w:rPr>
          <w:color w:val="000000" w:themeColor="text1"/>
        </w:rPr>
      </w:pPr>
    </w:p>
    <w:p w14:paraId="6AEE2089" w14:textId="77777777" w:rsidR="002D3279" w:rsidRPr="000411CC" w:rsidRDefault="002D3279" w:rsidP="002D3279">
      <w:pPr>
        <w:pStyle w:val="Heading2"/>
        <w:rPr>
          <w:rFonts w:ascii="Times New Roman" w:hAnsi="Times New Roman" w:cs="Times New Roman"/>
          <w:sz w:val="24"/>
          <w:szCs w:val="24"/>
        </w:rPr>
      </w:pPr>
      <w:bookmarkStart w:id="51" w:name="_Toc218979683"/>
      <w:r w:rsidRPr="000411CC">
        <w:rPr>
          <w:rFonts w:ascii="Times New Roman" w:hAnsi="Times New Roman" w:cs="Times New Roman"/>
          <w:sz w:val="24"/>
          <w:szCs w:val="24"/>
        </w:rPr>
        <w:lastRenderedPageBreak/>
        <w:t>Appendix H: Liquidity Ratio Calculation Workings (FY 2024)</w:t>
      </w:r>
      <w:bookmarkEnd w:id="51"/>
    </w:p>
    <w:p w14:paraId="4C630A60" w14:textId="77777777" w:rsidR="002D3279" w:rsidRPr="009252D7" w:rsidRDefault="002D3279" w:rsidP="002D3279">
      <w:pPr>
        <w:spacing w:line="360" w:lineRule="auto"/>
        <w:jc w:val="both"/>
        <w:rPr>
          <w:color w:val="000000" w:themeColor="text1"/>
        </w:rPr>
      </w:pPr>
      <w:r w:rsidRPr="009252D7">
        <w:rPr>
          <w:b/>
          <w:bCs/>
          <w:color w:val="000000" w:themeColor="text1"/>
        </w:rPr>
        <w:t>HSBC UK Bank plc</w:t>
      </w:r>
    </w:p>
    <w:p w14:paraId="0E91E037" w14:textId="77777777" w:rsidR="002D3279" w:rsidRPr="009252D7" w:rsidRDefault="002D3279" w:rsidP="002D3279">
      <w:pPr>
        <w:spacing w:line="360" w:lineRule="auto"/>
        <w:jc w:val="both"/>
        <w:rPr>
          <w:color w:val="000000" w:themeColor="text1"/>
        </w:rPr>
      </w:pPr>
      <w:r w:rsidRPr="009252D7">
        <w:rPr>
          <w:color w:val="000000" w:themeColor="text1"/>
        </w:rPr>
        <w:t xml:space="preserve">This appendix sets out the </w:t>
      </w:r>
      <w:r w:rsidRPr="009252D7">
        <w:rPr>
          <w:b/>
          <w:bCs/>
          <w:color w:val="000000" w:themeColor="text1"/>
        </w:rPr>
        <w:t>complete calculation workings</w:t>
      </w:r>
      <w:r w:rsidRPr="009252D7">
        <w:rPr>
          <w:color w:val="000000" w:themeColor="text1"/>
        </w:rPr>
        <w:t xml:space="preserve">, including </w:t>
      </w:r>
      <w:r w:rsidRPr="009252D7">
        <w:rPr>
          <w:b/>
          <w:bCs/>
          <w:color w:val="000000" w:themeColor="text1"/>
        </w:rPr>
        <w:t>figures, formulas, and derived results</w:t>
      </w:r>
      <w:r w:rsidRPr="009252D7">
        <w:rPr>
          <w:color w:val="000000" w:themeColor="text1"/>
        </w:rPr>
        <w:t xml:space="preserve">, for the key </w:t>
      </w:r>
      <w:r w:rsidRPr="009252D7">
        <w:rPr>
          <w:b/>
          <w:bCs/>
          <w:color w:val="000000" w:themeColor="text1"/>
        </w:rPr>
        <w:t>regulatory and practical liquidity ratios</w:t>
      </w:r>
      <w:r w:rsidRPr="009252D7">
        <w:rPr>
          <w:color w:val="000000" w:themeColor="text1"/>
        </w:rPr>
        <w:t xml:space="preserve"> for the financial year ended </w:t>
      </w:r>
      <w:r w:rsidRPr="009252D7">
        <w:rPr>
          <w:b/>
          <w:bCs/>
          <w:color w:val="000000" w:themeColor="text1"/>
        </w:rPr>
        <w:t>31 December 2024</w:t>
      </w:r>
      <w:r w:rsidRPr="009252D7">
        <w:rPr>
          <w:color w:val="000000" w:themeColor="text1"/>
        </w:rPr>
        <w:t>.</w:t>
      </w:r>
    </w:p>
    <w:p w14:paraId="0D536192" w14:textId="77777777" w:rsidR="002D3279" w:rsidRPr="009252D7" w:rsidRDefault="002D3279" w:rsidP="002D3279">
      <w:pPr>
        <w:spacing w:line="360" w:lineRule="auto"/>
        <w:jc w:val="both"/>
        <w:rPr>
          <w:color w:val="000000" w:themeColor="text1"/>
        </w:rPr>
      </w:pPr>
    </w:p>
    <w:p w14:paraId="52D2CB5F" w14:textId="77777777" w:rsidR="002D3279" w:rsidRPr="009252D7" w:rsidRDefault="002D3279" w:rsidP="002D3279">
      <w:pPr>
        <w:spacing w:line="360" w:lineRule="auto"/>
        <w:jc w:val="both"/>
        <w:rPr>
          <w:b/>
          <w:bCs/>
          <w:color w:val="000000" w:themeColor="text1"/>
        </w:rPr>
      </w:pPr>
      <w:r w:rsidRPr="009252D7">
        <w:rPr>
          <w:b/>
          <w:bCs/>
          <w:color w:val="000000" w:themeColor="text1"/>
        </w:rPr>
        <w:t>H1. Liquidity Coverage Ratio (LCR)</w:t>
      </w:r>
    </w:p>
    <w:p w14:paraId="7BD0D13A" w14:textId="77777777" w:rsidR="002D3279" w:rsidRPr="009252D7" w:rsidRDefault="002D3279" w:rsidP="002D3279">
      <w:pPr>
        <w:spacing w:line="360" w:lineRule="auto"/>
        <w:jc w:val="both"/>
        <w:rPr>
          <w:color w:val="000000" w:themeColor="text1"/>
        </w:rPr>
      </w:pPr>
      <w:r w:rsidRPr="009252D7">
        <w:rPr>
          <w:i/>
          <w:iCs/>
          <w:color w:val="000000" w:themeColor="text1"/>
        </w:rPr>
        <w:t>(Basel III Regulatory Liquidity Ratio)</w:t>
      </w:r>
    </w:p>
    <w:p w14:paraId="14F7967C" w14:textId="77777777" w:rsidR="002D3279" w:rsidRPr="009252D7" w:rsidRDefault="002D3279" w:rsidP="002D3279">
      <w:pPr>
        <w:spacing w:line="360" w:lineRule="auto"/>
        <w:jc w:val="both"/>
        <w:rPr>
          <w:b/>
          <w:bCs/>
          <w:color w:val="000000" w:themeColor="text1"/>
        </w:rPr>
      </w:pPr>
      <w:r w:rsidRPr="009252D7">
        <w:rPr>
          <w:b/>
          <w:bCs/>
          <w:color w:val="000000" w:themeColor="text1"/>
        </w:rPr>
        <w:t>Formula=</w:t>
      </w:r>
      <m:oMath>
        <m:r>
          <m:rPr>
            <m:nor/>
          </m:rPr>
          <w:rPr>
            <w:color w:val="000000" w:themeColor="text1"/>
          </w:rPr>
          <m:t>Liquidity Coverage Ratio (LCR)</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High-Quality Liquid Assets (HQLA)</m:t>
            </m:r>
          </m:num>
          <m:den>
            <m:r>
              <m:rPr>
                <m:nor/>
              </m:rPr>
              <w:rPr>
                <w:color w:val="000000" w:themeColor="text1"/>
              </w:rPr>
              <m:t>Net Cash Outflows over 30 days</m:t>
            </m:r>
          </m:den>
        </m:f>
      </m:oMath>
      <w:r w:rsidRPr="009252D7">
        <w:rPr>
          <w:color w:val="000000" w:themeColor="text1"/>
        </w:rPr>
        <w:br/>
      </w:r>
      <w:r w:rsidRPr="009252D7">
        <w:rPr>
          <w:b/>
          <w:bCs/>
          <w:color w:val="000000" w:themeColor="text1"/>
        </w:rPr>
        <w:t>Figures Used (FY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2"/>
        <w:gridCol w:w="1558"/>
      </w:tblGrid>
      <w:tr w:rsidR="002D3279" w:rsidRPr="009252D7" w14:paraId="05A1D7ED" w14:textId="77777777" w:rsidTr="00A42257">
        <w:trPr>
          <w:tblHeader/>
          <w:tblCellSpacing w:w="15" w:type="dxa"/>
        </w:trPr>
        <w:tc>
          <w:tcPr>
            <w:tcW w:w="0" w:type="auto"/>
            <w:vAlign w:val="center"/>
            <w:hideMark/>
          </w:tcPr>
          <w:p w14:paraId="7954C2A0" w14:textId="77777777" w:rsidR="002D3279" w:rsidRPr="009252D7" w:rsidRDefault="002D3279" w:rsidP="00A42257">
            <w:pPr>
              <w:spacing w:line="360" w:lineRule="auto"/>
              <w:jc w:val="both"/>
              <w:rPr>
                <w:b/>
                <w:bCs/>
                <w:color w:val="000000" w:themeColor="text1"/>
              </w:rPr>
            </w:pPr>
            <w:r w:rsidRPr="009252D7">
              <w:rPr>
                <w:b/>
                <w:bCs/>
                <w:color w:val="000000" w:themeColor="text1"/>
              </w:rPr>
              <w:t>Item</w:t>
            </w:r>
          </w:p>
        </w:tc>
        <w:tc>
          <w:tcPr>
            <w:tcW w:w="0" w:type="auto"/>
            <w:vAlign w:val="center"/>
            <w:hideMark/>
          </w:tcPr>
          <w:p w14:paraId="43BB5B14" w14:textId="77777777" w:rsidR="002D3279" w:rsidRPr="009252D7" w:rsidRDefault="002D3279" w:rsidP="00A42257">
            <w:pPr>
              <w:spacing w:line="360" w:lineRule="auto"/>
              <w:jc w:val="both"/>
              <w:rPr>
                <w:b/>
                <w:bCs/>
                <w:color w:val="000000" w:themeColor="text1"/>
              </w:rPr>
            </w:pPr>
            <w:r w:rsidRPr="009252D7">
              <w:rPr>
                <w:b/>
                <w:bCs/>
                <w:color w:val="000000" w:themeColor="text1"/>
              </w:rPr>
              <w:t>Amount</w:t>
            </w:r>
          </w:p>
        </w:tc>
      </w:tr>
      <w:tr w:rsidR="002D3279" w:rsidRPr="009252D7" w14:paraId="39893055" w14:textId="77777777" w:rsidTr="00A42257">
        <w:trPr>
          <w:tblCellSpacing w:w="15" w:type="dxa"/>
        </w:trPr>
        <w:tc>
          <w:tcPr>
            <w:tcW w:w="0" w:type="auto"/>
            <w:vAlign w:val="center"/>
            <w:hideMark/>
          </w:tcPr>
          <w:p w14:paraId="2CE5416B" w14:textId="77777777" w:rsidR="002D3279" w:rsidRPr="009252D7" w:rsidRDefault="002D3279" w:rsidP="00A42257">
            <w:pPr>
              <w:spacing w:line="360" w:lineRule="auto"/>
              <w:jc w:val="both"/>
              <w:rPr>
                <w:color w:val="000000" w:themeColor="text1"/>
              </w:rPr>
            </w:pPr>
            <w:r w:rsidRPr="009252D7">
              <w:rPr>
                <w:color w:val="000000" w:themeColor="text1"/>
              </w:rPr>
              <w:t>High-Quality Liquid Assets (HQLA)</w:t>
            </w:r>
          </w:p>
        </w:tc>
        <w:tc>
          <w:tcPr>
            <w:tcW w:w="0" w:type="auto"/>
            <w:vAlign w:val="center"/>
            <w:hideMark/>
          </w:tcPr>
          <w:p w14:paraId="720B60B0" w14:textId="77777777" w:rsidR="002D3279" w:rsidRPr="009252D7" w:rsidRDefault="002D3279" w:rsidP="00A42257">
            <w:pPr>
              <w:spacing w:line="360" w:lineRule="auto"/>
              <w:jc w:val="both"/>
              <w:rPr>
                <w:color w:val="000000" w:themeColor="text1"/>
              </w:rPr>
            </w:pPr>
            <w:r w:rsidRPr="009252D7">
              <w:rPr>
                <w:color w:val="000000" w:themeColor="text1"/>
              </w:rPr>
              <w:t>£91,348 million</w:t>
            </w:r>
          </w:p>
        </w:tc>
      </w:tr>
      <w:tr w:rsidR="002D3279" w:rsidRPr="009252D7" w14:paraId="05BD8186" w14:textId="77777777" w:rsidTr="00A42257">
        <w:trPr>
          <w:tblCellSpacing w:w="15" w:type="dxa"/>
        </w:trPr>
        <w:tc>
          <w:tcPr>
            <w:tcW w:w="0" w:type="auto"/>
            <w:vAlign w:val="center"/>
            <w:hideMark/>
          </w:tcPr>
          <w:p w14:paraId="5F0FF209" w14:textId="77777777" w:rsidR="002D3279" w:rsidRPr="009252D7" w:rsidRDefault="002D3279" w:rsidP="00A42257">
            <w:pPr>
              <w:spacing w:line="360" w:lineRule="auto"/>
              <w:jc w:val="both"/>
              <w:rPr>
                <w:color w:val="000000" w:themeColor="text1"/>
              </w:rPr>
            </w:pPr>
            <w:r w:rsidRPr="009252D7">
              <w:rPr>
                <w:color w:val="000000" w:themeColor="text1"/>
              </w:rPr>
              <w:t>Liquidity Coverage Ratio (reported)</w:t>
            </w:r>
          </w:p>
        </w:tc>
        <w:tc>
          <w:tcPr>
            <w:tcW w:w="0" w:type="auto"/>
            <w:vAlign w:val="center"/>
            <w:hideMark/>
          </w:tcPr>
          <w:p w14:paraId="01C53637" w14:textId="77777777" w:rsidR="002D3279" w:rsidRPr="009252D7" w:rsidRDefault="002D3279" w:rsidP="00A42257">
            <w:pPr>
              <w:spacing w:line="360" w:lineRule="auto"/>
              <w:jc w:val="both"/>
              <w:rPr>
                <w:color w:val="000000" w:themeColor="text1"/>
              </w:rPr>
            </w:pPr>
            <w:r w:rsidRPr="009252D7">
              <w:rPr>
                <w:color w:val="000000" w:themeColor="text1"/>
              </w:rPr>
              <w:t>190%</w:t>
            </w:r>
          </w:p>
        </w:tc>
      </w:tr>
    </w:tbl>
    <w:p w14:paraId="521EA53B" w14:textId="77777777" w:rsidR="002D3279" w:rsidRPr="009252D7" w:rsidRDefault="002D3279" w:rsidP="002D3279">
      <w:pPr>
        <w:spacing w:line="360" w:lineRule="auto"/>
        <w:jc w:val="both"/>
        <w:rPr>
          <w:color w:val="000000" w:themeColor="text1"/>
        </w:rPr>
      </w:pPr>
    </w:p>
    <w:p w14:paraId="7CB5B810"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 Working</w:t>
      </w:r>
    </w:p>
    <w:p w14:paraId="62634774" w14:textId="77777777" w:rsidR="002D3279" w:rsidRPr="009252D7" w:rsidRDefault="002D3279" w:rsidP="002D3279">
      <w:pPr>
        <w:spacing w:line="360" w:lineRule="auto"/>
        <w:jc w:val="both"/>
        <w:rPr>
          <w:color w:val="000000" w:themeColor="text1"/>
        </w:rPr>
      </w:pPr>
      <w:r w:rsidRPr="009252D7">
        <w:rPr>
          <w:color w:val="000000" w:themeColor="text1"/>
        </w:rPr>
        <w:t xml:space="preserve">Since the </w:t>
      </w:r>
      <w:r w:rsidRPr="009252D7">
        <w:rPr>
          <w:b/>
          <w:bCs/>
          <w:color w:val="000000" w:themeColor="text1"/>
        </w:rPr>
        <w:t>LCR is disclosed as a regulatory ratio</w:t>
      </w:r>
      <w:r w:rsidRPr="009252D7">
        <w:rPr>
          <w:color w:val="000000" w:themeColor="text1"/>
        </w:rPr>
        <w:t>, the implied net cash outflows can be derived mathematically:</w:t>
      </w:r>
    </w:p>
    <w:p w14:paraId="15B920E8" w14:textId="77777777" w:rsidR="002D3279" w:rsidRPr="009252D7" w:rsidRDefault="002D3279" w:rsidP="002D3279">
      <w:pPr>
        <w:spacing w:line="360" w:lineRule="auto"/>
        <w:jc w:val="both"/>
        <w:rPr>
          <w:color w:val="000000" w:themeColor="text1"/>
        </w:rPr>
      </w:pPr>
      <m:oMathPara>
        <m:oMathParaPr>
          <m:jc m:val="left"/>
        </m:oMathParaPr>
        <m:oMath>
          <m:r>
            <w:rPr>
              <w:rFonts w:ascii="Cambria Math" w:hAnsi="Cambria Math"/>
              <w:color w:val="000000" w:themeColor="text1"/>
            </w:rPr>
            <m:t>190</m:t>
          </m:r>
          <m:r>
            <m:rPr>
              <m:sty m:val="p"/>
            </m:rPr>
            <w:rPr>
              <w:rFonts w:ascii="Cambria Math" w:hAnsi="Cambria Math"/>
              <w:color w:val="000000" w:themeColor="text1"/>
            </w:rPr>
            <m:t>%</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91,348</m:t>
              </m:r>
            </m:num>
            <m:den>
              <m:r>
                <m:rPr>
                  <m:nor/>
                </m:rPr>
                <w:rPr>
                  <w:color w:val="000000" w:themeColor="text1"/>
                </w:rPr>
                <m:t>Net Cash Outflows</m:t>
              </m:r>
            </m:den>
          </m:f>
          <m:r>
            <m:rPr>
              <m:sty m:val="p"/>
            </m:rPr>
            <w:rPr>
              <w:color w:val="000000" w:themeColor="text1"/>
            </w:rPr>
            <w:br/>
          </m:r>
        </m:oMath>
        <m:oMath>
          <m:r>
            <m:rPr>
              <m:nor/>
            </m:rPr>
            <w:rPr>
              <w:color w:val="000000" w:themeColor="text1"/>
            </w:rPr>
            <m:t>Net Cash Outflows</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91,348</m:t>
              </m:r>
            </m:num>
            <m:den>
              <m:r>
                <w:rPr>
                  <w:rFonts w:ascii="Cambria Math" w:hAnsi="Cambria Math"/>
                  <w:color w:val="000000" w:themeColor="text1"/>
                </w:rPr>
                <m:t>1.90</m:t>
              </m:r>
            </m:den>
          </m:f>
          <m:r>
            <m:rPr>
              <m:sty m:val="p"/>
            </m:rPr>
            <w:rPr>
              <w:color w:val="000000" w:themeColor="text1"/>
            </w:rPr>
            <w:br/>
          </m:r>
        </m:oMath>
        <m:oMath>
          <m:r>
            <m:rPr>
              <m:nor/>
            </m:rPr>
            <w:rPr>
              <w:color w:val="000000" w:themeColor="text1"/>
            </w:rPr>
            <m:t>Net Cash Outflows</m:t>
          </m:r>
          <m:r>
            <w:rPr>
              <w:rFonts w:ascii="Cambria Math" w:hAnsi="Cambria Math"/>
              <w:color w:val="000000" w:themeColor="text1"/>
            </w:rPr>
            <m:t>=</m:t>
          </m:r>
          <m:r>
            <m:rPr>
              <m:sty m:val="p"/>
            </m:rPr>
            <w:rPr>
              <w:rFonts w:ascii="Cambria Math" w:hAnsi="Cambria Math"/>
              <w:color w:val="000000" w:themeColor="text1"/>
            </w:rPr>
            <m:t>£</m:t>
          </m:r>
          <m:r>
            <w:rPr>
              <w:rFonts w:ascii="Cambria Math" w:hAnsi="Cambria Math"/>
              <w:color w:val="000000" w:themeColor="text1"/>
            </w:rPr>
            <m:t>48,078</m:t>
          </m:r>
          <m:r>
            <m:rPr>
              <m:nor/>
            </m:rPr>
            <w:rPr>
              <w:color w:val="000000" w:themeColor="text1"/>
            </w:rPr>
            <m:t xml:space="preserve"> million (approx.)</m:t>
          </m:r>
        </m:oMath>
      </m:oMathPara>
    </w:p>
    <w:p w14:paraId="7A30301B" w14:textId="77777777" w:rsidR="002D3279" w:rsidRPr="009252D7" w:rsidRDefault="002D3279" w:rsidP="002D3279">
      <w:pPr>
        <w:spacing w:line="360" w:lineRule="auto"/>
        <w:jc w:val="both"/>
        <w:rPr>
          <w:color w:val="000000" w:themeColor="text1"/>
        </w:rPr>
      </w:pPr>
      <w:r w:rsidRPr="009252D7">
        <w:rPr>
          <w:color w:val="000000" w:themeColor="text1"/>
        </w:rPr>
        <w:t>Liquidity Coverage Ratio (LCR) = 190%</w:t>
      </w:r>
    </w:p>
    <w:p w14:paraId="4A43DCBC" w14:textId="77777777" w:rsidR="002D3279" w:rsidRPr="009252D7" w:rsidRDefault="002D3279" w:rsidP="002D3279">
      <w:pPr>
        <w:spacing w:line="360" w:lineRule="auto"/>
        <w:jc w:val="both"/>
        <w:rPr>
          <w:b/>
          <w:bCs/>
          <w:color w:val="000000" w:themeColor="text1"/>
        </w:rPr>
      </w:pPr>
      <w:r w:rsidRPr="009252D7">
        <w:rPr>
          <w:b/>
          <w:bCs/>
          <w:color w:val="000000" w:themeColor="text1"/>
        </w:rPr>
        <w:t>H2. Loan-to-Deposit Ratio (LDR)</w:t>
      </w:r>
    </w:p>
    <w:p w14:paraId="2877F429" w14:textId="77777777" w:rsidR="002D3279" w:rsidRPr="009252D7" w:rsidRDefault="002D3279" w:rsidP="002D3279">
      <w:pPr>
        <w:spacing w:line="360" w:lineRule="auto"/>
        <w:jc w:val="both"/>
        <w:rPr>
          <w:color w:val="000000" w:themeColor="text1"/>
        </w:rPr>
      </w:pPr>
      <w:r w:rsidRPr="009252D7">
        <w:rPr>
          <w:i/>
          <w:iCs/>
          <w:color w:val="000000" w:themeColor="text1"/>
        </w:rPr>
        <w:t>(Practical Liquidity &amp; Funding Ratio)</w:t>
      </w:r>
    </w:p>
    <w:p w14:paraId="1CDE96E6" w14:textId="77777777" w:rsidR="002D3279" w:rsidRPr="009252D7" w:rsidRDefault="002D3279" w:rsidP="002D3279">
      <w:pPr>
        <w:spacing w:line="360" w:lineRule="auto"/>
        <w:jc w:val="both"/>
        <w:rPr>
          <w:b/>
          <w:bCs/>
          <w:color w:val="000000" w:themeColor="text1"/>
        </w:rPr>
      </w:pPr>
      <w:r w:rsidRPr="009252D7">
        <w:rPr>
          <w:b/>
          <w:bCs/>
          <w:color w:val="000000" w:themeColor="text1"/>
        </w:rPr>
        <w:t>Formula=</w:t>
      </w:r>
      <m:oMath>
        <m:r>
          <m:rPr>
            <m:nor/>
          </m:rPr>
          <w:rPr>
            <w:color w:val="000000" w:themeColor="text1"/>
          </w:rPr>
          <m:t>Loan-to-Deposit Ratio (LDR)</m:t>
        </m:r>
        <m:r>
          <w:rPr>
            <w:rFonts w:ascii="Cambria Math" w:hAnsi="Cambria Math"/>
            <w:color w:val="000000" w:themeColor="text1"/>
          </w:rPr>
          <m:t>=</m:t>
        </m:r>
        <m:f>
          <m:fPr>
            <m:ctrlPr>
              <w:rPr>
                <w:rFonts w:ascii="Cambria Math" w:hAnsi="Cambria Math"/>
                <w:color w:val="000000" w:themeColor="text1"/>
              </w:rPr>
            </m:ctrlPr>
          </m:fPr>
          <m:num>
            <m:r>
              <m:rPr>
                <m:nor/>
              </m:rPr>
              <w:rPr>
                <w:color w:val="000000" w:themeColor="text1"/>
              </w:rPr>
              <m:t>Net Loans and Advances to Customers</m:t>
            </m:r>
          </m:num>
          <m:den>
            <m:r>
              <m:rPr>
                <m:nor/>
              </m:rPr>
              <w:rPr>
                <w:color w:val="000000" w:themeColor="text1"/>
              </w:rPr>
              <m:t>Customer Deposits</m:t>
            </m:r>
          </m:den>
        </m:f>
      </m:oMath>
      <w:r w:rsidRPr="009252D7">
        <w:rPr>
          <w:color w:val="000000" w:themeColor="text1"/>
        </w:rPr>
        <w:br/>
      </w:r>
    </w:p>
    <w:p w14:paraId="224FAC68" w14:textId="77777777" w:rsidR="002D3279" w:rsidRPr="009252D7" w:rsidRDefault="002D3279" w:rsidP="002D3279">
      <w:pPr>
        <w:spacing w:line="360" w:lineRule="auto"/>
        <w:jc w:val="both"/>
        <w:rPr>
          <w:b/>
          <w:bCs/>
          <w:color w:val="000000" w:themeColor="text1"/>
        </w:rPr>
      </w:pPr>
      <w:r w:rsidRPr="009252D7">
        <w:rPr>
          <w:b/>
          <w:bCs/>
          <w:color w:val="000000" w:themeColor="text1"/>
        </w:rPr>
        <w:lastRenderedPageBreak/>
        <w:t>Figures Used (FY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77"/>
        <w:gridCol w:w="1374"/>
      </w:tblGrid>
      <w:tr w:rsidR="002D3279" w:rsidRPr="009252D7" w14:paraId="03CBE1E3" w14:textId="77777777" w:rsidTr="00A42257">
        <w:trPr>
          <w:tblHeader/>
          <w:tblCellSpacing w:w="15" w:type="dxa"/>
        </w:trPr>
        <w:tc>
          <w:tcPr>
            <w:tcW w:w="0" w:type="auto"/>
            <w:vAlign w:val="center"/>
            <w:hideMark/>
          </w:tcPr>
          <w:p w14:paraId="6595C3C2" w14:textId="77777777" w:rsidR="002D3279" w:rsidRPr="009252D7" w:rsidRDefault="002D3279" w:rsidP="00A42257">
            <w:pPr>
              <w:spacing w:line="360" w:lineRule="auto"/>
              <w:jc w:val="both"/>
              <w:rPr>
                <w:b/>
                <w:bCs/>
                <w:color w:val="000000" w:themeColor="text1"/>
              </w:rPr>
            </w:pPr>
            <w:r w:rsidRPr="009252D7">
              <w:rPr>
                <w:b/>
                <w:bCs/>
                <w:color w:val="000000" w:themeColor="text1"/>
              </w:rPr>
              <w:t>Item</w:t>
            </w:r>
          </w:p>
        </w:tc>
        <w:tc>
          <w:tcPr>
            <w:tcW w:w="0" w:type="auto"/>
            <w:vAlign w:val="center"/>
            <w:hideMark/>
          </w:tcPr>
          <w:p w14:paraId="3D83C93C" w14:textId="77777777" w:rsidR="002D3279" w:rsidRPr="009252D7" w:rsidRDefault="002D3279" w:rsidP="00A42257">
            <w:pPr>
              <w:spacing w:line="360" w:lineRule="auto"/>
              <w:jc w:val="both"/>
              <w:rPr>
                <w:b/>
                <w:bCs/>
                <w:color w:val="000000" w:themeColor="text1"/>
              </w:rPr>
            </w:pPr>
            <w:r w:rsidRPr="009252D7">
              <w:rPr>
                <w:b/>
                <w:bCs/>
                <w:color w:val="000000" w:themeColor="text1"/>
              </w:rPr>
              <w:t>Amount (£m)</w:t>
            </w:r>
          </w:p>
        </w:tc>
      </w:tr>
      <w:tr w:rsidR="002D3279" w:rsidRPr="009252D7" w14:paraId="12BED0FB" w14:textId="77777777" w:rsidTr="00A42257">
        <w:trPr>
          <w:tblCellSpacing w:w="15" w:type="dxa"/>
        </w:trPr>
        <w:tc>
          <w:tcPr>
            <w:tcW w:w="0" w:type="auto"/>
            <w:vAlign w:val="center"/>
            <w:hideMark/>
          </w:tcPr>
          <w:p w14:paraId="3FA561D6" w14:textId="77777777" w:rsidR="002D3279" w:rsidRPr="009252D7" w:rsidRDefault="002D3279" w:rsidP="00A42257">
            <w:pPr>
              <w:spacing w:line="360" w:lineRule="auto"/>
              <w:jc w:val="both"/>
              <w:rPr>
                <w:color w:val="000000" w:themeColor="text1"/>
              </w:rPr>
            </w:pPr>
            <w:r w:rsidRPr="009252D7">
              <w:rPr>
                <w:color w:val="000000" w:themeColor="text1"/>
              </w:rPr>
              <w:t>Net loans and advances to customers</w:t>
            </w:r>
          </w:p>
        </w:tc>
        <w:tc>
          <w:tcPr>
            <w:tcW w:w="0" w:type="auto"/>
            <w:vAlign w:val="center"/>
            <w:hideMark/>
          </w:tcPr>
          <w:p w14:paraId="46A71433" w14:textId="77777777" w:rsidR="002D3279" w:rsidRPr="009252D7" w:rsidRDefault="002D3279" w:rsidP="00A42257">
            <w:pPr>
              <w:spacing w:line="360" w:lineRule="auto"/>
              <w:jc w:val="both"/>
              <w:rPr>
                <w:color w:val="000000" w:themeColor="text1"/>
              </w:rPr>
            </w:pPr>
            <w:r w:rsidRPr="009252D7">
              <w:rPr>
                <w:color w:val="000000" w:themeColor="text1"/>
              </w:rPr>
              <w:t>217,604</w:t>
            </w:r>
          </w:p>
        </w:tc>
      </w:tr>
      <w:tr w:rsidR="002D3279" w:rsidRPr="009252D7" w14:paraId="5A5B8EF9" w14:textId="77777777" w:rsidTr="00A42257">
        <w:trPr>
          <w:tblCellSpacing w:w="15" w:type="dxa"/>
        </w:trPr>
        <w:tc>
          <w:tcPr>
            <w:tcW w:w="0" w:type="auto"/>
            <w:vAlign w:val="center"/>
            <w:hideMark/>
          </w:tcPr>
          <w:p w14:paraId="3D63E89A" w14:textId="77777777" w:rsidR="002D3279" w:rsidRPr="009252D7" w:rsidRDefault="002D3279" w:rsidP="00A42257">
            <w:pPr>
              <w:spacing w:line="360" w:lineRule="auto"/>
              <w:jc w:val="both"/>
              <w:rPr>
                <w:color w:val="000000" w:themeColor="text1"/>
              </w:rPr>
            </w:pPr>
            <w:r w:rsidRPr="009252D7">
              <w:rPr>
                <w:color w:val="000000" w:themeColor="text1"/>
              </w:rPr>
              <w:t>Customer accounts (deposits)</w:t>
            </w:r>
          </w:p>
        </w:tc>
        <w:tc>
          <w:tcPr>
            <w:tcW w:w="0" w:type="auto"/>
            <w:vAlign w:val="center"/>
            <w:hideMark/>
          </w:tcPr>
          <w:p w14:paraId="3CDF375C" w14:textId="77777777" w:rsidR="002D3279" w:rsidRPr="009252D7" w:rsidRDefault="002D3279" w:rsidP="00A42257">
            <w:pPr>
              <w:spacing w:line="360" w:lineRule="auto"/>
              <w:jc w:val="both"/>
              <w:rPr>
                <w:color w:val="000000" w:themeColor="text1"/>
              </w:rPr>
            </w:pPr>
            <w:r w:rsidRPr="009252D7">
              <w:rPr>
                <w:color w:val="000000" w:themeColor="text1"/>
              </w:rPr>
              <w:t>280,366</w:t>
            </w:r>
          </w:p>
        </w:tc>
      </w:tr>
    </w:tbl>
    <w:p w14:paraId="0588DC66" w14:textId="77777777" w:rsidR="002D3279" w:rsidRPr="009252D7" w:rsidRDefault="002D3279" w:rsidP="002D3279">
      <w:pPr>
        <w:spacing w:line="360" w:lineRule="auto"/>
        <w:jc w:val="both"/>
        <w:rPr>
          <w:color w:val="000000" w:themeColor="text1"/>
        </w:rPr>
      </w:pPr>
    </w:p>
    <w:p w14:paraId="6E7BE4C8" w14:textId="77777777" w:rsidR="002D3279" w:rsidRPr="009252D7" w:rsidRDefault="002D3279" w:rsidP="002D3279">
      <w:pPr>
        <w:spacing w:line="360" w:lineRule="auto"/>
        <w:jc w:val="both"/>
        <w:rPr>
          <w:b/>
          <w:bCs/>
          <w:color w:val="000000" w:themeColor="text1"/>
        </w:rPr>
      </w:pPr>
      <w:r w:rsidRPr="009252D7">
        <w:rPr>
          <w:b/>
          <w:bCs/>
          <w:color w:val="000000" w:themeColor="text1"/>
        </w:rPr>
        <w:t>Calculation Working</w:t>
      </w:r>
    </w:p>
    <w:p w14:paraId="2204C18C"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LDR</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217,604</m:t>
              </m:r>
            </m:num>
            <m:den>
              <m:r>
                <w:rPr>
                  <w:rFonts w:ascii="Cambria Math" w:hAnsi="Cambria Math"/>
                  <w:color w:val="000000" w:themeColor="text1"/>
                </w:rPr>
                <m:t>280,366</m:t>
              </m:r>
            </m:den>
          </m:f>
          <m:r>
            <m:rPr>
              <m:sty m:val="p"/>
            </m:rPr>
            <w:rPr>
              <w:color w:val="000000" w:themeColor="text1"/>
            </w:rPr>
            <w:br/>
          </m:r>
        </m:oMath>
        <m:oMath>
          <m:r>
            <m:rPr>
              <m:nor/>
            </m:rPr>
            <w:rPr>
              <w:color w:val="000000" w:themeColor="text1"/>
            </w:rPr>
            <m:t>LDR</m:t>
          </m:r>
          <m:r>
            <w:rPr>
              <w:rFonts w:ascii="Cambria Math" w:hAnsi="Cambria Math"/>
              <w:color w:val="000000" w:themeColor="text1"/>
            </w:rPr>
            <m:t>=0.776</m:t>
          </m:r>
          <m:r>
            <m:rPr>
              <m:sty m:val="p"/>
            </m:rPr>
            <w:rPr>
              <w:color w:val="000000" w:themeColor="text1"/>
            </w:rPr>
            <w:br/>
          </m:r>
        </m:oMath>
        <m:oMath>
          <m:r>
            <m:rPr>
              <m:nor/>
            </m:rPr>
            <w:rPr>
              <w:color w:val="000000" w:themeColor="text1"/>
            </w:rPr>
            <m:t>LDR</m:t>
          </m:r>
          <m:r>
            <w:rPr>
              <w:rFonts w:ascii="Cambria Math" w:hAnsi="Cambria Math"/>
              <w:color w:val="000000" w:themeColor="text1"/>
            </w:rPr>
            <m:t>=77.6</m:t>
          </m:r>
          <m:r>
            <m:rPr>
              <m:sty m:val="p"/>
            </m:rPr>
            <w:rPr>
              <w:rFonts w:ascii="Cambria Math" w:hAnsi="Cambria Math"/>
              <w:color w:val="000000" w:themeColor="text1"/>
            </w:rPr>
            <m:t>%</m:t>
          </m:r>
          <m:r>
            <m:rPr>
              <m:sty m:val="p"/>
            </m:rPr>
            <w:rPr>
              <w:color w:val="000000" w:themeColor="text1"/>
            </w:rPr>
            <w:br/>
          </m:r>
        </m:oMath>
      </m:oMathPara>
      <w:r w:rsidRPr="009252D7">
        <w:rPr>
          <w:color w:val="000000" w:themeColor="text1"/>
        </w:rPr>
        <w:t>Loan to Depost Ratio (LDR) = 77.6%</w:t>
      </w:r>
    </w:p>
    <w:p w14:paraId="2B81D920" w14:textId="77777777" w:rsidR="002D3279" w:rsidRPr="009252D7" w:rsidRDefault="002D3279" w:rsidP="002D3279">
      <w:pPr>
        <w:spacing w:line="360" w:lineRule="auto"/>
        <w:jc w:val="both"/>
        <w:rPr>
          <w:color w:val="000000" w:themeColor="text1"/>
        </w:rPr>
      </w:pPr>
    </w:p>
    <w:p w14:paraId="2F735C1F" w14:textId="77777777" w:rsidR="002D3279" w:rsidRPr="009252D7" w:rsidRDefault="002D3279" w:rsidP="002D3279">
      <w:pPr>
        <w:spacing w:line="360" w:lineRule="auto"/>
        <w:jc w:val="both"/>
        <w:rPr>
          <w:b/>
          <w:bCs/>
          <w:color w:val="000000" w:themeColor="text1"/>
        </w:rPr>
      </w:pPr>
      <w:r w:rsidRPr="009252D7">
        <w:rPr>
          <w:b/>
          <w:bCs/>
          <w:color w:val="000000" w:themeColor="text1"/>
        </w:rPr>
        <w:t>H3. Consolidated Summary of Liquidity Ratio Calculations (FY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9"/>
        <w:gridCol w:w="2562"/>
        <w:gridCol w:w="1823"/>
        <w:gridCol w:w="742"/>
      </w:tblGrid>
      <w:tr w:rsidR="002D3279" w:rsidRPr="009252D7" w14:paraId="034DE011" w14:textId="77777777" w:rsidTr="00A42257">
        <w:trPr>
          <w:tblHeader/>
          <w:tblCellSpacing w:w="15" w:type="dxa"/>
        </w:trPr>
        <w:tc>
          <w:tcPr>
            <w:tcW w:w="0" w:type="auto"/>
            <w:vAlign w:val="center"/>
            <w:hideMark/>
          </w:tcPr>
          <w:p w14:paraId="77A1CD47" w14:textId="77777777" w:rsidR="002D3279" w:rsidRPr="009252D7" w:rsidRDefault="002D3279" w:rsidP="00A42257">
            <w:pPr>
              <w:spacing w:line="360" w:lineRule="auto"/>
              <w:jc w:val="both"/>
              <w:rPr>
                <w:b/>
                <w:bCs/>
                <w:color w:val="000000" w:themeColor="text1"/>
              </w:rPr>
            </w:pPr>
            <w:r w:rsidRPr="009252D7">
              <w:rPr>
                <w:b/>
                <w:bCs/>
                <w:color w:val="000000" w:themeColor="text1"/>
              </w:rPr>
              <w:t>Ratio</w:t>
            </w:r>
          </w:p>
        </w:tc>
        <w:tc>
          <w:tcPr>
            <w:tcW w:w="0" w:type="auto"/>
            <w:vAlign w:val="center"/>
            <w:hideMark/>
          </w:tcPr>
          <w:p w14:paraId="154D0997" w14:textId="77777777" w:rsidR="002D3279" w:rsidRPr="009252D7" w:rsidRDefault="002D3279" w:rsidP="00A42257">
            <w:pPr>
              <w:spacing w:line="360" w:lineRule="auto"/>
              <w:jc w:val="both"/>
              <w:rPr>
                <w:b/>
                <w:bCs/>
                <w:color w:val="000000" w:themeColor="text1"/>
              </w:rPr>
            </w:pPr>
            <w:r w:rsidRPr="009252D7">
              <w:rPr>
                <w:b/>
                <w:bCs/>
                <w:color w:val="000000" w:themeColor="text1"/>
              </w:rPr>
              <w:t>Formula Applied</w:t>
            </w:r>
          </w:p>
        </w:tc>
        <w:tc>
          <w:tcPr>
            <w:tcW w:w="0" w:type="auto"/>
            <w:vAlign w:val="center"/>
            <w:hideMark/>
          </w:tcPr>
          <w:p w14:paraId="4775B5CE" w14:textId="77777777" w:rsidR="002D3279" w:rsidRPr="009252D7" w:rsidRDefault="002D3279" w:rsidP="00A42257">
            <w:pPr>
              <w:spacing w:line="360" w:lineRule="auto"/>
              <w:jc w:val="both"/>
              <w:rPr>
                <w:b/>
                <w:bCs/>
                <w:color w:val="000000" w:themeColor="text1"/>
              </w:rPr>
            </w:pPr>
            <w:r w:rsidRPr="009252D7">
              <w:rPr>
                <w:b/>
                <w:bCs/>
                <w:color w:val="000000" w:themeColor="text1"/>
              </w:rPr>
              <w:t>Calculation</w:t>
            </w:r>
          </w:p>
        </w:tc>
        <w:tc>
          <w:tcPr>
            <w:tcW w:w="0" w:type="auto"/>
            <w:vAlign w:val="center"/>
            <w:hideMark/>
          </w:tcPr>
          <w:p w14:paraId="09CC7269" w14:textId="77777777" w:rsidR="002D3279" w:rsidRPr="009252D7" w:rsidRDefault="002D3279" w:rsidP="00A42257">
            <w:pPr>
              <w:spacing w:line="360" w:lineRule="auto"/>
              <w:jc w:val="both"/>
              <w:rPr>
                <w:b/>
                <w:bCs/>
                <w:color w:val="000000" w:themeColor="text1"/>
              </w:rPr>
            </w:pPr>
            <w:r w:rsidRPr="009252D7">
              <w:rPr>
                <w:b/>
                <w:bCs/>
                <w:color w:val="000000" w:themeColor="text1"/>
              </w:rPr>
              <w:t>Result</w:t>
            </w:r>
          </w:p>
        </w:tc>
      </w:tr>
      <w:tr w:rsidR="002D3279" w:rsidRPr="009252D7" w14:paraId="721F8776" w14:textId="77777777" w:rsidTr="00A42257">
        <w:trPr>
          <w:tblCellSpacing w:w="15" w:type="dxa"/>
        </w:trPr>
        <w:tc>
          <w:tcPr>
            <w:tcW w:w="0" w:type="auto"/>
            <w:vAlign w:val="center"/>
            <w:hideMark/>
          </w:tcPr>
          <w:p w14:paraId="5D99AF4F" w14:textId="77777777" w:rsidR="002D3279" w:rsidRPr="009252D7" w:rsidRDefault="002D3279" w:rsidP="00A42257">
            <w:pPr>
              <w:spacing w:line="360" w:lineRule="auto"/>
              <w:jc w:val="both"/>
              <w:rPr>
                <w:color w:val="000000" w:themeColor="text1"/>
              </w:rPr>
            </w:pPr>
            <w:r w:rsidRPr="009252D7">
              <w:rPr>
                <w:color w:val="000000" w:themeColor="text1"/>
              </w:rPr>
              <w:t>Liquidity Coverage Ratio (LCR)</w:t>
            </w:r>
          </w:p>
        </w:tc>
        <w:tc>
          <w:tcPr>
            <w:tcW w:w="0" w:type="auto"/>
            <w:vAlign w:val="center"/>
            <w:hideMark/>
          </w:tcPr>
          <w:p w14:paraId="6BE76050" w14:textId="77777777" w:rsidR="002D3279" w:rsidRPr="009252D7" w:rsidRDefault="002D3279" w:rsidP="00A42257">
            <w:pPr>
              <w:spacing w:line="360" w:lineRule="auto"/>
              <w:jc w:val="both"/>
              <w:rPr>
                <w:color w:val="000000" w:themeColor="text1"/>
              </w:rPr>
            </w:pPr>
            <w:r w:rsidRPr="009252D7">
              <w:rPr>
                <w:color w:val="000000" w:themeColor="text1"/>
              </w:rPr>
              <w:t>HQLA ÷ Net cash outflows</w:t>
            </w:r>
          </w:p>
        </w:tc>
        <w:tc>
          <w:tcPr>
            <w:tcW w:w="0" w:type="auto"/>
            <w:vAlign w:val="center"/>
            <w:hideMark/>
          </w:tcPr>
          <w:p w14:paraId="2666BC26" w14:textId="77777777" w:rsidR="002D3279" w:rsidRPr="009252D7" w:rsidRDefault="002D3279" w:rsidP="00A42257">
            <w:pPr>
              <w:spacing w:line="360" w:lineRule="auto"/>
              <w:jc w:val="both"/>
              <w:rPr>
                <w:color w:val="000000" w:themeColor="text1"/>
              </w:rPr>
            </w:pPr>
            <w:r w:rsidRPr="009252D7">
              <w:rPr>
                <w:color w:val="000000" w:themeColor="text1"/>
              </w:rPr>
              <w:t>91,348 ÷ 48,078</w:t>
            </w:r>
          </w:p>
        </w:tc>
        <w:tc>
          <w:tcPr>
            <w:tcW w:w="0" w:type="auto"/>
            <w:vAlign w:val="center"/>
            <w:hideMark/>
          </w:tcPr>
          <w:p w14:paraId="4E4CC49D" w14:textId="77777777" w:rsidR="002D3279" w:rsidRPr="009252D7" w:rsidRDefault="002D3279" w:rsidP="00A42257">
            <w:pPr>
              <w:spacing w:line="360" w:lineRule="auto"/>
              <w:jc w:val="both"/>
              <w:rPr>
                <w:color w:val="000000" w:themeColor="text1"/>
              </w:rPr>
            </w:pPr>
            <w:r w:rsidRPr="009252D7">
              <w:rPr>
                <w:b/>
                <w:bCs/>
                <w:color w:val="000000" w:themeColor="text1"/>
              </w:rPr>
              <w:t>190%</w:t>
            </w:r>
          </w:p>
        </w:tc>
      </w:tr>
      <w:tr w:rsidR="002D3279" w:rsidRPr="009252D7" w14:paraId="29F8D055" w14:textId="77777777" w:rsidTr="00A42257">
        <w:trPr>
          <w:tblCellSpacing w:w="15" w:type="dxa"/>
        </w:trPr>
        <w:tc>
          <w:tcPr>
            <w:tcW w:w="0" w:type="auto"/>
            <w:vAlign w:val="center"/>
            <w:hideMark/>
          </w:tcPr>
          <w:p w14:paraId="3E9C9E32" w14:textId="77777777" w:rsidR="002D3279" w:rsidRPr="009252D7" w:rsidRDefault="002D3279" w:rsidP="00A42257">
            <w:pPr>
              <w:spacing w:line="360" w:lineRule="auto"/>
              <w:jc w:val="both"/>
              <w:rPr>
                <w:color w:val="000000" w:themeColor="text1"/>
              </w:rPr>
            </w:pPr>
            <w:r w:rsidRPr="009252D7">
              <w:rPr>
                <w:color w:val="000000" w:themeColor="text1"/>
              </w:rPr>
              <w:t>Loan-to-Deposit Ratio (LDR)</w:t>
            </w:r>
          </w:p>
        </w:tc>
        <w:tc>
          <w:tcPr>
            <w:tcW w:w="0" w:type="auto"/>
            <w:vAlign w:val="center"/>
            <w:hideMark/>
          </w:tcPr>
          <w:p w14:paraId="196DC666" w14:textId="77777777" w:rsidR="002D3279" w:rsidRPr="009252D7" w:rsidRDefault="002D3279" w:rsidP="00A42257">
            <w:pPr>
              <w:spacing w:line="360" w:lineRule="auto"/>
              <w:jc w:val="both"/>
              <w:rPr>
                <w:color w:val="000000" w:themeColor="text1"/>
              </w:rPr>
            </w:pPr>
            <w:r w:rsidRPr="009252D7">
              <w:rPr>
                <w:color w:val="000000" w:themeColor="text1"/>
              </w:rPr>
              <w:t>Net loans ÷ Deposits</w:t>
            </w:r>
          </w:p>
        </w:tc>
        <w:tc>
          <w:tcPr>
            <w:tcW w:w="0" w:type="auto"/>
            <w:vAlign w:val="center"/>
            <w:hideMark/>
          </w:tcPr>
          <w:p w14:paraId="2360EF8D" w14:textId="77777777" w:rsidR="002D3279" w:rsidRPr="009252D7" w:rsidRDefault="002D3279" w:rsidP="00A42257">
            <w:pPr>
              <w:spacing w:line="360" w:lineRule="auto"/>
              <w:jc w:val="both"/>
              <w:rPr>
                <w:color w:val="000000" w:themeColor="text1"/>
              </w:rPr>
            </w:pPr>
            <w:r w:rsidRPr="009252D7">
              <w:rPr>
                <w:color w:val="000000" w:themeColor="text1"/>
              </w:rPr>
              <w:t>217,604 ÷ 280,366</w:t>
            </w:r>
          </w:p>
        </w:tc>
        <w:tc>
          <w:tcPr>
            <w:tcW w:w="0" w:type="auto"/>
            <w:vAlign w:val="center"/>
            <w:hideMark/>
          </w:tcPr>
          <w:p w14:paraId="58D2CC69" w14:textId="77777777" w:rsidR="002D3279" w:rsidRPr="009252D7" w:rsidRDefault="002D3279" w:rsidP="00A42257">
            <w:pPr>
              <w:spacing w:line="360" w:lineRule="auto"/>
              <w:jc w:val="both"/>
              <w:rPr>
                <w:color w:val="000000" w:themeColor="text1"/>
              </w:rPr>
            </w:pPr>
            <w:r w:rsidRPr="009252D7">
              <w:rPr>
                <w:b/>
                <w:bCs/>
                <w:color w:val="000000" w:themeColor="text1"/>
              </w:rPr>
              <w:t>77.6%</w:t>
            </w:r>
          </w:p>
        </w:tc>
      </w:tr>
    </w:tbl>
    <w:p w14:paraId="495D0DD7" w14:textId="77777777" w:rsidR="002D3279" w:rsidRPr="009252D7" w:rsidRDefault="002D3279" w:rsidP="002D3279">
      <w:pPr>
        <w:spacing w:line="360" w:lineRule="auto"/>
        <w:jc w:val="both"/>
        <w:rPr>
          <w:color w:val="000000" w:themeColor="text1"/>
        </w:rPr>
      </w:pPr>
    </w:p>
    <w:p w14:paraId="11E8DD74" w14:textId="77777777" w:rsidR="002D3279" w:rsidRPr="000411CC" w:rsidRDefault="002D3279" w:rsidP="002D3279">
      <w:pPr>
        <w:pStyle w:val="Heading2"/>
        <w:rPr>
          <w:rFonts w:ascii="Times New Roman" w:hAnsi="Times New Roman" w:cs="Times New Roman"/>
          <w:sz w:val="24"/>
          <w:szCs w:val="24"/>
        </w:rPr>
      </w:pPr>
      <w:bookmarkStart w:id="52" w:name="_Toc218979684"/>
      <w:r w:rsidRPr="000411CC">
        <w:rPr>
          <w:rFonts w:ascii="Times New Roman" w:hAnsi="Times New Roman" w:cs="Times New Roman"/>
          <w:sz w:val="24"/>
          <w:szCs w:val="24"/>
        </w:rPr>
        <w:t>Appendix I: Source of Financial Data Used for Efficiency &amp; Asset Quality Ratios (FY 2023)</w:t>
      </w:r>
      <w:bookmarkEnd w:id="52"/>
    </w:p>
    <w:tbl>
      <w:tblPr>
        <w:tblW w:w="926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6"/>
        <w:gridCol w:w="1160"/>
        <w:gridCol w:w="1841"/>
        <w:gridCol w:w="3799"/>
      </w:tblGrid>
      <w:tr w:rsidR="002D3279" w:rsidRPr="009252D7" w14:paraId="24101CF0" w14:textId="77777777" w:rsidTr="00A42257">
        <w:trPr>
          <w:tblHeader/>
          <w:tblCellSpacing w:w="15" w:type="dxa"/>
        </w:trPr>
        <w:tc>
          <w:tcPr>
            <w:tcW w:w="0" w:type="auto"/>
            <w:vAlign w:val="center"/>
            <w:hideMark/>
          </w:tcPr>
          <w:p w14:paraId="2D8477A5" w14:textId="77777777" w:rsidR="002D3279" w:rsidRPr="009252D7" w:rsidRDefault="002D3279" w:rsidP="00A42257">
            <w:pPr>
              <w:spacing w:line="360" w:lineRule="auto"/>
              <w:jc w:val="center"/>
              <w:rPr>
                <w:b/>
                <w:bCs/>
                <w:color w:val="000000" w:themeColor="text1"/>
              </w:rPr>
            </w:pPr>
            <w:r w:rsidRPr="009252D7">
              <w:rPr>
                <w:b/>
                <w:bCs/>
                <w:color w:val="000000" w:themeColor="text1"/>
              </w:rPr>
              <w:t>Financial Figure Used</w:t>
            </w:r>
          </w:p>
        </w:tc>
        <w:tc>
          <w:tcPr>
            <w:tcW w:w="1130" w:type="dxa"/>
            <w:vAlign w:val="center"/>
            <w:hideMark/>
          </w:tcPr>
          <w:p w14:paraId="4DEEB9E0" w14:textId="77777777" w:rsidR="002D3279" w:rsidRPr="009252D7" w:rsidRDefault="002D3279" w:rsidP="00A42257">
            <w:pPr>
              <w:spacing w:line="360" w:lineRule="auto"/>
              <w:jc w:val="center"/>
              <w:rPr>
                <w:b/>
                <w:bCs/>
                <w:color w:val="000000" w:themeColor="text1"/>
              </w:rPr>
            </w:pPr>
            <w:r w:rsidRPr="009252D7">
              <w:rPr>
                <w:b/>
                <w:bCs/>
                <w:color w:val="000000" w:themeColor="text1"/>
              </w:rPr>
              <w:t>Amount (£m)</w:t>
            </w:r>
          </w:p>
        </w:tc>
        <w:tc>
          <w:tcPr>
            <w:tcW w:w="1811" w:type="dxa"/>
            <w:vAlign w:val="center"/>
            <w:hideMark/>
          </w:tcPr>
          <w:p w14:paraId="5A5DA469" w14:textId="77777777" w:rsidR="002D3279" w:rsidRPr="009252D7" w:rsidRDefault="002D3279" w:rsidP="00A42257">
            <w:pPr>
              <w:spacing w:line="360" w:lineRule="auto"/>
              <w:jc w:val="center"/>
              <w:rPr>
                <w:b/>
                <w:bCs/>
                <w:color w:val="000000" w:themeColor="text1"/>
              </w:rPr>
            </w:pPr>
            <w:r w:rsidRPr="009252D7">
              <w:rPr>
                <w:b/>
                <w:bCs/>
                <w:color w:val="000000" w:themeColor="text1"/>
              </w:rPr>
              <w:t>Used in Ratio</w:t>
            </w:r>
          </w:p>
        </w:tc>
        <w:tc>
          <w:tcPr>
            <w:tcW w:w="3754" w:type="dxa"/>
            <w:vAlign w:val="center"/>
            <w:hideMark/>
          </w:tcPr>
          <w:p w14:paraId="55792869"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2023</w:t>
            </w:r>
          </w:p>
        </w:tc>
      </w:tr>
      <w:tr w:rsidR="002D3279" w:rsidRPr="009252D7" w14:paraId="7DFD1EAF" w14:textId="77777777" w:rsidTr="00A42257">
        <w:trPr>
          <w:tblCellSpacing w:w="15" w:type="dxa"/>
        </w:trPr>
        <w:tc>
          <w:tcPr>
            <w:tcW w:w="0" w:type="auto"/>
            <w:vAlign w:val="center"/>
            <w:hideMark/>
          </w:tcPr>
          <w:p w14:paraId="1932E008" w14:textId="77777777" w:rsidR="002D3279" w:rsidRPr="009252D7" w:rsidRDefault="002D3279" w:rsidP="00A42257">
            <w:pPr>
              <w:spacing w:line="360" w:lineRule="auto"/>
              <w:jc w:val="center"/>
              <w:rPr>
                <w:color w:val="000000" w:themeColor="text1"/>
              </w:rPr>
            </w:pPr>
            <w:r w:rsidRPr="009252D7">
              <w:rPr>
                <w:color w:val="000000" w:themeColor="text1"/>
              </w:rPr>
              <w:t>Operating income (Net operating income before ECL)</w:t>
            </w:r>
          </w:p>
        </w:tc>
        <w:tc>
          <w:tcPr>
            <w:tcW w:w="1130" w:type="dxa"/>
            <w:vAlign w:val="center"/>
            <w:hideMark/>
          </w:tcPr>
          <w:p w14:paraId="4FC95943" w14:textId="77777777" w:rsidR="002D3279" w:rsidRPr="009252D7" w:rsidRDefault="002D3279" w:rsidP="00A42257">
            <w:pPr>
              <w:spacing w:line="360" w:lineRule="auto"/>
              <w:jc w:val="center"/>
              <w:rPr>
                <w:color w:val="000000" w:themeColor="text1"/>
              </w:rPr>
            </w:pPr>
            <w:r w:rsidRPr="009252D7">
              <w:rPr>
                <w:b/>
                <w:bCs/>
                <w:color w:val="000000" w:themeColor="text1"/>
              </w:rPr>
              <w:t>10,807</w:t>
            </w:r>
          </w:p>
        </w:tc>
        <w:tc>
          <w:tcPr>
            <w:tcW w:w="1811" w:type="dxa"/>
            <w:vAlign w:val="center"/>
            <w:hideMark/>
          </w:tcPr>
          <w:p w14:paraId="7A724EAE" w14:textId="77777777" w:rsidR="002D3279" w:rsidRPr="009252D7" w:rsidRDefault="002D3279" w:rsidP="00A42257">
            <w:pPr>
              <w:spacing w:line="360" w:lineRule="auto"/>
              <w:jc w:val="center"/>
              <w:rPr>
                <w:color w:val="000000" w:themeColor="text1"/>
              </w:rPr>
            </w:pPr>
            <w:r w:rsidRPr="009252D7">
              <w:rPr>
                <w:color w:val="000000" w:themeColor="text1"/>
              </w:rPr>
              <w:t>Asset Utilisation Ratio</w:t>
            </w:r>
          </w:p>
        </w:tc>
        <w:tc>
          <w:tcPr>
            <w:tcW w:w="3754" w:type="dxa"/>
            <w:vAlign w:val="center"/>
            <w:hideMark/>
          </w:tcPr>
          <w:p w14:paraId="0E416645" w14:textId="77777777" w:rsidR="002D3279" w:rsidRPr="009252D7" w:rsidRDefault="002D3279" w:rsidP="00A42257">
            <w:pPr>
              <w:spacing w:line="360" w:lineRule="auto"/>
              <w:jc w:val="center"/>
              <w:rPr>
                <w:color w:val="000000" w:themeColor="text1"/>
              </w:rPr>
            </w:pPr>
            <w:r w:rsidRPr="009252D7">
              <w:rPr>
                <w:color w:val="000000" w:themeColor="text1"/>
              </w:rPr>
              <w:t>Consolidated Income Statement – “Net operating income before expected credit losses”</w:t>
            </w:r>
          </w:p>
        </w:tc>
      </w:tr>
      <w:tr w:rsidR="002D3279" w:rsidRPr="009252D7" w14:paraId="773679C6" w14:textId="77777777" w:rsidTr="00A42257">
        <w:trPr>
          <w:tblCellSpacing w:w="15" w:type="dxa"/>
        </w:trPr>
        <w:tc>
          <w:tcPr>
            <w:tcW w:w="0" w:type="auto"/>
            <w:vAlign w:val="center"/>
            <w:hideMark/>
          </w:tcPr>
          <w:p w14:paraId="728F138F" w14:textId="77777777" w:rsidR="002D3279" w:rsidRPr="009252D7" w:rsidRDefault="002D3279" w:rsidP="00A42257">
            <w:pPr>
              <w:spacing w:line="360" w:lineRule="auto"/>
              <w:jc w:val="center"/>
              <w:rPr>
                <w:color w:val="000000" w:themeColor="text1"/>
              </w:rPr>
            </w:pPr>
            <w:r w:rsidRPr="009252D7">
              <w:rPr>
                <w:color w:val="000000" w:themeColor="text1"/>
              </w:rPr>
              <w:t>Total assets (31 December 2023)</w:t>
            </w:r>
          </w:p>
        </w:tc>
        <w:tc>
          <w:tcPr>
            <w:tcW w:w="1130" w:type="dxa"/>
            <w:vAlign w:val="center"/>
            <w:hideMark/>
          </w:tcPr>
          <w:p w14:paraId="75EE5C0B" w14:textId="77777777" w:rsidR="002D3279" w:rsidRPr="009252D7" w:rsidRDefault="002D3279" w:rsidP="00A42257">
            <w:pPr>
              <w:spacing w:line="360" w:lineRule="auto"/>
              <w:jc w:val="center"/>
              <w:rPr>
                <w:color w:val="000000" w:themeColor="text1"/>
              </w:rPr>
            </w:pPr>
            <w:r w:rsidRPr="009252D7">
              <w:rPr>
                <w:b/>
                <w:bCs/>
                <w:color w:val="000000" w:themeColor="text1"/>
              </w:rPr>
              <w:t>332,876</w:t>
            </w:r>
          </w:p>
        </w:tc>
        <w:tc>
          <w:tcPr>
            <w:tcW w:w="1811" w:type="dxa"/>
            <w:vAlign w:val="center"/>
            <w:hideMark/>
          </w:tcPr>
          <w:p w14:paraId="544DFF04" w14:textId="77777777" w:rsidR="002D3279" w:rsidRPr="009252D7" w:rsidRDefault="002D3279" w:rsidP="00A42257">
            <w:pPr>
              <w:spacing w:line="360" w:lineRule="auto"/>
              <w:jc w:val="center"/>
              <w:rPr>
                <w:color w:val="000000" w:themeColor="text1"/>
              </w:rPr>
            </w:pPr>
            <w:r w:rsidRPr="009252D7">
              <w:rPr>
                <w:color w:val="000000" w:themeColor="text1"/>
              </w:rPr>
              <w:t>Asset Utilisation Ratio</w:t>
            </w:r>
          </w:p>
        </w:tc>
        <w:tc>
          <w:tcPr>
            <w:tcW w:w="3754" w:type="dxa"/>
            <w:vAlign w:val="center"/>
            <w:hideMark/>
          </w:tcPr>
          <w:p w14:paraId="4F3D2162"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 – “Total assets”</w:t>
            </w:r>
          </w:p>
        </w:tc>
      </w:tr>
      <w:tr w:rsidR="002D3279" w:rsidRPr="009252D7" w14:paraId="7D6FF685" w14:textId="77777777" w:rsidTr="00A42257">
        <w:trPr>
          <w:tblCellSpacing w:w="15" w:type="dxa"/>
        </w:trPr>
        <w:tc>
          <w:tcPr>
            <w:tcW w:w="0" w:type="auto"/>
            <w:vAlign w:val="center"/>
            <w:hideMark/>
          </w:tcPr>
          <w:p w14:paraId="7FEAA493" w14:textId="77777777" w:rsidR="002D3279" w:rsidRPr="009252D7" w:rsidRDefault="002D3279" w:rsidP="00A42257">
            <w:pPr>
              <w:spacing w:line="360" w:lineRule="auto"/>
              <w:jc w:val="center"/>
              <w:rPr>
                <w:color w:val="000000" w:themeColor="text1"/>
              </w:rPr>
            </w:pPr>
            <w:r w:rsidRPr="009252D7">
              <w:rPr>
                <w:color w:val="000000" w:themeColor="text1"/>
              </w:rPr>
              <w:lastRenderedPageBreak/>
              <w:t>Expected credit losses (ECL)</w:t>
            </w:r>
          </w:p>
        </w:tc>
        <w:tc>
          <w:tcPr>
            <w:tcW w:w="1130" w:type="dxa"/>
            <w:vAlign w:val="center"/>
            <w:hideMark/>
          </w:tcPr>
          <w:p w14:paraId="67B8A126" w14:textId="77777777" w:rsidR="002D3279" w:rsidRPr="009252D7" w:rsidRDefault="002D3279" w:rsidP="00A42257">
            <w:pPr>
              <w:spacing w:line="360" w:lineRule="auto"/>
              <w:jc w:val="center"/>
              <w:rPr>
                <w:color w:val="000000" w:themeColor="text1"/>
              </w:rPr>
            </w:pPr>
            <w:r w:rsidRPr="009252D7">
              <w:rPr>
                <w:b/>
                <w:bCs/>
                <w:color w:val="000000" w:themeColor="text1"/>
              </w:rPr>
              <w:t>421</w:t>
            </w:r>
          </w:p>
        </w:tc>
        <w:tc>
          <w:tcPr>
            <w:tcW w:w="1811" w:type="dxa"/>
            <w:vAlign w:val="center"/>
            <w:hideMark/>
          </w:tcPr>
          <w:p w14:paraId="310B117D" w14:textId="77777777" w:rsidR="002D3279" w:rsidRPr="009252D7" w:rsidRDefault="002D3279" w:rsidP="00A42257">
            <w:pPr>
              <w:spacing w:line="360" w:lineRule="auto"/>
              <w:jc w:val="center"/>
              <w:rPr>
                <w:color w:val="000000" w:themeColor="text1"/>
              </w:rPr>
            </w:pPr>
            <w:r w:rsidRPr="009252D7">
              <w:rPr>
                <w:color w:val="000000" w:themeColor="text1"/>
              </w:rPr>
              <w:t>Cost of Risk / Credit Loss Ratio</w:t>
            </w:r>
          </w:p>
        </w:tc>
        <w:tc>
          <w:tcPr>
            <w:tcW w:w="3754" w:type="dxa"/>
            <w:vAlign w:val="center"/>
            <w:hideMark/>
          </w:tcPr>
          <w:p w14:paraId="10AAA45B" w14:textId="77777777" w:rsidR="002D3279" w:rsidRPr="009252D7" w:rsidRDefault="002D3279" w:rsidP="00A42257">
            <w:pPr>
              <w:spacing w:line="360" w:lineRule="auto"/>
              <w:jc w:val="center"/>
              <w:rPr>
                <w:color w:val="000000" w:themeColor="text1"/>
              </w:rPr>
            </w:pPr>
            <w:r w:rsidRPr="009252D7">
              <w:rPr>
                <w:color w:val="000000" w:themeColor="text1"/>
              </w:rPr>
              <w:t>Note on Credit Risk – “Expected credit losses” in Income Statement</w:t>
            </w:r>
          </w:p>
        </w:tc>
      </w:tr>
      <w:tr w:rsidR="002D3279" w:rsidRPr="009252D7" w14:paraId="26D52347" w14:textId="77777777" w:rsidTr="00A42257">
        <w:trPr>
          <w:tblCellSpacing w:w="15" w:type="dxa"/>
        </w:trPr>
        <w:tc>
          <w:tcPr>
            <w:tcW w:w="0" w:type="auto"/>
            <w:vAlign w:val="center"/>
            <w:hideMark/>
          </w:tcPr>
          <w:p w14:paraId="4B5146C0" w14:textId="77777777" w:rsidR="002D3279" w:rsidRPr="009252D7" w:rsidRDefault="002D3279" w:rsidP="00A42257">
            <w:pPr>
              <w:spacing w:line="360" w:lineRule="auto"/>
              <w:jc w:val="center"/>
              <w:rPr>
                <w:color w:val="000000" w:themeColor="text1"/>
              </w:rPr>
            </w:pPr>
            <w:r w:rsidRPr="009252D7">
              <w:rPr>
                <w:color w:val="000000" w:themeColor="text1"/>
              </w:rPr>
              <w:t>Gross loans and advances to customers (2023)</w:t>
            </w:r>
          </w:p>
        </w:tc>
        <w:tc>
          <w:tcPr>
            <w:tcW w:w="1130" w:type="dxa"/>
            <w:vAlign w:val="center"/>
            <w:hideMark/>
          </w:tcPr>
          <w:p w14:paraId="0814061A" w14:textId="77777777" w:rsidR="002D3279" w:rsidRPr="009252D7" w:rsidRDefault="002D3279" w:rsidP="00A42257">
            <w:pPr>
              <w:spacing w:line="360" w:lineRule="auto"/>
              <w:jc w:val="center"/>
              <w:rPr>
                <w:color w:val="000000" w:themeColor="text1"/>
              </w:rPr>
            </w:pPr>
            <w:r w:rsidRPr="009252D7">
              <w:rPr>
                <w:b/>
                <w:bCs/>
                <w:color w:val="000000" w:themeColor="text1"/>
              </w:rPr>
              <w:t>211,887</w:t>
            </w:r>
          </w:p>
        </w:tc>
        <w:tc>
          <w:tcPr>
            <w:tcW w:w="1811" w:type="dxa"/>
            <w:vAlign w:val="center"/>
            <w:hideMark/>
          </w:tcPr>
          <w:p w14:paraId="033AB877" w14:textId="77777777" w:rsidR="002D3279" w:rsidRPr="009252D7" w:rsidRDefault="002D3279" w:rsidP="00A42257">
            <w:pPr>
              <w:spacing w:line="360" w:lineRule="auto"/>
              <w:jc w:val="center"/>
              <w:rPr>
                <w:color w:val="000000" w:themeColor="text1"/>
              </w:rPr>
            </w:pPr>
            <w:r w:rsidRPr="009252D7">
              <w:rPr>
                <w:color w:val="000000" w:themeColor="text1"/>
              </w:rPr>
              <w:t>Cost of Risk (Average Loans)</w:t>
            </w:r>
          </w:p>
        </w:tc>
        <w:tc>
          <w:tcPr>
            <w:tcW w:w="3754" w:type="dxa"/>
            <w:vAlign w:val="center"/>
            <w:hideMark/>
          </w:tcPr>
          <w:p w14:paraId="7EC3565D" w14:textId="77777777" w:rsidR="002D3279" w:rsidRPr="009252D7" w:rsidRDefault="002D3279" w:rsidP="00A42257">
            <w:pPr>
              <w:spacing w:line="360" w:lineRule="auto"/>
              <w:jc w:val="center"/>
              <w:rPr>
                <w:color w:val="000000" w:themeColor="text1"/>
              </w:rPr>
            </w:pPr>
            <w:r w:rsidRPr="009252D7">
              <w:rPr>
                <w:color w:val="000000" w:themeColor="text1"/>
              </w:rPr>
              <w:t>Consolidated Balance Sheet – “Loans and advances to customers”</w:t>
            </w:r>
          </w:p>
        </w:tc>
      </w:tr>
      <w:tr w:rsidR="002D3279" w:rsidRPr="009252D7" w14:paraId="65D71241" w14:textId="77777777" w:rsidTr="00A42257">
        <w:trPr>
          <w:tblCellSpacing w:w="15" w:type="dxa"/>
        </w:trPr>
        <w:tc>
          <w:tcPr>
            <w:tcW w:w="0" w:type="auto"/>
            <w:vAlign w:val="center"/>
            <w:hideMark/>
          </w:tcPr>
          <w:p w14:paraId="59B71E27" w14:textId="77777777" w:rsidR="002D3279" w:rsidRPr="009252D7" w:rsidRDefault="002D3279" w:rsidP="00A42257">
            <w:pPr>
              <w:spacing w:line="360" w:lineRule="auto"/>
              <w:jc w:val="center"/>
              <w:rPr>
                <w:color w:val="000000" w:themeColor="text1"/>
              </w:rPr>
            </w:pPr>
            <w:r w:rsidRPr="009252D7">
              <w:rPr>
                <w:color w:val="000000" w:themeColor="text1"/>
              </w:rPr>
              <w:t>Gross loans and advances to customers (2022)</w:t>
            </w:r>
          </w:p>
        </w:tc>
        <w:tc>
          <w:tcPr>
            <w:tcW w:w="1130" w:type="dxa"/>
            <w:vAlign w:val="center"/>
            <w:hideMark/>
          </w:tcPr>
          <w:p w14:paraId="610CA352" w14:textId="77777777" w:rsidR="002D3279" w:rsidRPr="009252D7" w:rsidRDefault="002D3279" w:rsidP="00A42257">
            <w:pPr>
              <w:spacing w:line="360" w:lineRule="auto"/>
              <w:jc w:val="center"/>
              <w:rPr>
                <w:color w:val="000000" w:themeColor="text1"/>
              </w:rPr>
            </w:pPr>
            <w:r w:rsidRPr="009252D7">
              <w:rPr>
                <w:b/>
                <w:bCs/>
                <w:color w:val="000000" w:themeColor="text1"/>
              </w:rPr>
              <w:t>204,143</w:t>
            </w:r>
          </w:p>
        </w:tc>
        <w:tc>
          <w:tcPr>
            <w:tcW w:w="1811" w:type="dxa"/>
            <w:vAlign w:val="center"/>
            <w:hideMark/>
          </w:tcPr>
          <w:p w14:paraId="3CE262DF" w14:textId="77777777" w:rsidR="002D3279" w:rsidRPr="009252D7" w:rsidRDefault="002D3279" w:rsidP="00A42257">
            <w:pPr>
              <w:spacing w:line="360" w:lineRule="auto"/>
              <w:jc w:val="center"/>
              <w:rPr>
                <w:color w:val="000000" w:themeColor="text1"/>
              </w:rPr>
            </w:pPr>
            <w:r w:rsidRPr="009252D7">
              <w:rPr>
                <w:color w:val="000000" w:themeColor="text1"/>
              </w:rPr>
              <w:t>Cost of Risk (Average Loans)</w:t>
            </w:r>
          </w:p>
        </w:tc>
        <w:tc>
          <w:tcPr>
            <w:tcW w:w="3754" w:type="dxa"/>
            <w:vAlign w:val="center"/>
            <w:hideMark/>
          </w:tcPr>
          <w:p w14:paraId="53F7D5EF" w14:textId="77777777" w:rsidR="002D3279" w:rsidRPr="009252D7" w:rsidRDefault="002D3279" w:rsidP="00A42257">
            <w:pPr>
              <w:spacing w:line="360" w:lineRule="auto"/>
              <w:jc w:val="center"/>
              <w:rPr>
                <w:color w:val="000000" w:themeColor="text1"/>
              </w:rPr>
            </w:pPr>
            <w:r w:rsidRPr="009252D7">
              <w:rPr>
                <w:color w:val="000000" w:themeColor="text1"/>
              </w:rPr>
              <w:t>Comparative Balance Sheet – FY 2022 figures</w:t>
            </w:r>
          </w:p>
        </w:tc>
      </w:tr>
      <w:tr w:rsidR="002D3279" w:rsidRPr="009252D7" w14:paraId="0CB59928" w14:textId="77777777" w:rsidTr="00A42257">
        <w:trPr>
          <w:trHeight w:val="660"/>
          <w:tblCellSpacing w:w="15" w:type="dxa"/>
        </w:trPr>
        <w:tc>
          <w:tcPr>
            <w:tcW w:w="0" w:type="auto"/>
            <w:vAlign w:val="center"/>
            <w:hideMark/>
          </w:tcPr>
          <w:p w14:paraId="06E43F0E" w14:textId="77777777" w:rsidR="002D3279" w:rsidRPr="009252D7" w:rsidRDefault="002D3279" w:rsidP="00A42257">
            <w:pPr>
              <w:spacing w:line="360" w:lineRule="auto"/>
              <w:jc w:val="center"/>
              <w:rPr>
                <w:color w:val="000000" w:themeColor="text1"/>
              </w:rPr>
            </w:pPr>
            <w:r w:rsidRPr="009252D7">
              <w:rPr>
                <w:color w:val="000000" w:themeColor="text1"/>
              </w:rPr>
              <w:t>Average gross loans (2023)</w:t>
            </w:r>
          </w:p>
        </w:tc>
        <w:tc>
          <w:tcPr>
            <w:tcW w:w="1130" w:type="dxa"/>
            <w:vAlign w:val="center"/>
            <w:hideMark/>
          </w:tcPr>
          <w:p w14:paraId="7D539DBA" w14:textId="77777777" w:rsidR="002D3279" w:rsidRPr="009252D7" w:rsidRDefault="002D3279" w:rsidP="00A42257">
            <w:pPr>
              <w:spacing w:line="360" w:lineRule="auto"/>
              <w:jc w:val="center"/>
              <w:rPr>
                <w:color w:val="000000" w:themeColor="text1"/>
              </w:rPr>
            </w:pPr>
            <w:r w:rsidRPr="009252D7">
              <w:rPr>
                <w:b/>
                <w:bCs/>
                <w:color w:val="000000" w:themeColor="text1"/>
              </w:rPr>
              <w:t>208,015</w:t>
            </w:r>
          </w:p>
        </w:tc>
        <w:tc>
          <w:tcPr>
            <w:tcW w:w="1811" w:type="dxa"/>
            <w:vAlign w:val="center"/>
            <w:hideMark/>
          </w:tcPr>
          <w:p w14:paraId="0BD6D7C4" w14:textId="77777777" w:rsidR="002D3279" w:rsidRPr="009252D7" w:rsidRDefault="002D3279" w:rsidP="00A42257">
            <w:pPr>
              <w:spacing w:line="360" w:lineRule="auto"/>
              <w:jc w:val="center"/>
              <w:rPr>
                <w:color w:val="000000" w:themeColor="text1"/>
              </w:rPr>
            </w:pPr>
            <w:r w:rsidRPr="009252D7">
              <w:rPr>
                <w:color w:val="000000" w:themeColor="text1"/>
              </w:rPr>
              <w:t>Cost of Risk / Credit Loss Ratio</w:t>
            </w:r>
          </w:p>
        </w:tc>
        <w:tc>
          <w:tcPr>
            <w:tcW w:w="3754" w:type="dxa"/>
            <w:vAlign w:val="center"/>
            <w:hideMark/>
          </w:tcPr>
          <w:p w14:paraId="4C2042F5" w14:textId="77777777" w:rsidR="002D3279" w:rsidRPr="009252D7" w:rsidRDefault="002D3279" w:rsidP="00A42257">
            <w:pPr>
              <w:spacing w:line="360" w:lineRule="auto"/>
              <w:jc w:val="center"/>
              <w:rPr>
                <w:color w:val="000000" w:themeColor="text1"/>
              </w:rPr>
            </w:pPr>
            <w:r w:rsidRPr="009252D7">
              <w:rPr>
                <w:color w:val="000000" w:themeColor="text1"/>
              </w:rPr>
              <w:t xml:space="preserve">Calculated as (2023 + 2022 loans) ÷ 2 </w:t>
            </w:r>
          </w:p>
        </w:tc>
      </w:tr>
    </w:tbl>
    <w:p w14:paraId="2DC15971" w14:textId="77777777" w:rsidR="002D3279" w:rsidRPr="009252D7" w:rsidRDefault="002D3279" w:rsidP="002D3279">
      <w:pPr>
        <w:spacing w:line="360" w:lineRule="auto"/>
        <w:jc w:val="both"/>
        <w:rPr>
          <w:color w:val="000000" w:themeColor="text1"/>
        </w:rPr>
      </w:pPr>
    </w:p>
    <w:p w14:paraId="6D910995" w14:textId="77777777" w:rsidR="002D3279" w:rsidRPr="009252D7" w:rsidRDefault="002D3279" w:rsidP="002D3279">
      <w:pPr>
        <w:spacing w:line="360" w:lineRule="auto"/>
        <w:jc w:val="both"/>
        <w:rPr>
          <w:b/>
          <w:bCs/>
          <w:color w:val="000000" w:themeColor="text1"/>
        </w:rPr>
      </w:pPr>
    </w:p>
    <w:p w14:paraId="7029888B" w14:textId="77777777" w:rsidR="002D3279" w:rsidRPr="006825E0" w:rsidRDefault="002D3279" w:rsidP="002D3279">
      <w:pPr>
        <w:pStyle w:val="Heading2"/>
        <w:rPr>
          <w:rFonts w:ascii="Times New Roman" w:hAnsi="Times New Roman" w:cs="Times New Roman"/>
          <w:sz w:val="24"/>
          <w:szCs w:val="24"/>
        </w:rPr>
      </w:pPr>
      <w:bookmarkStart w:id="53" w:name="_Toc218979685"/>
      <w:r w:rsidRPr="006825E0">
        <w:rPr>
          <w:rFonts w:ascii="Times New Roman" w:hAnsi="Times New Roman" w:cs="Times New Roman"/>
          <w:sz w:val="24"/>
          <w:szCs w:val="24"/>
        </w:rPr>
        <w:t>Appendix J: Efficiency &amp; Asset Quality Ratio Calculations – Financial Year 2023</w:t>
      </w:r>
      <w:bookmarkEnd w:id="53"/>
    </w:p>
    <w:p w14:paraId="04684099" w14:textId="77777777" w:rsidR="002D3279" w:rsidRPr="009252D7" w:rsidRDefault="002D3279" w:rsidP="002D3279">
      <w:pPr>
        <w:spacing w:line="360" w:lineRule="auto"/>
        <w:jc w:val="both"/>
        <w:rPr>
          <w:color w:val="000000" w:themeColor="text1"/>
        </w:rPr>
      </w:pPr>
      <w:r w:rsidRPr="009252D7">
        <w:rPr>
          <w:b/>
          <w:bCs/>
          <w:color w:val="000000" w:themeColor="text1"/>
        </w:rPr>
        <w:t>HSBC UK Bank plc</w:t>
      </w:r>
    </w:p>
    <w:p w14:paraId="2E82EA0D" w14:textId="77777777" w:rsidR="002D3279" w:rsidRPr="009252D7" w:rsidRDefault="002D3279" w:rsidP="002D3279">
      <w:pPr>
        <w:spacing w:line="360" w:lineRule="auto"/>
        <w:jc w:val="both"/>
        <w:rPr>
          <w:b/>
          <w:bCs/>
          <w:color w:val="000000" w:themeColor="text1"/>
        </w:rPr>
      </w:pPr>
      <w:r w:rsidRPr="009252D7">
        <w:rPr>
          <w:b/>
          <w:bCs/>
          <w:color w:val="000000" w:themeColor="text1"/>
        </w:rPr>
        <w:t>1. Asset Utilisation Ratio</w:t>
      </w:r>
    </w:p>
    <w:p w14:paraId="6F59BE99"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Operating income ÷ Total assets</w:t>
      </w:r>
    </w:p>
    <w:p w14:paraId="60F1F787" w14:textId="77777777" w:rsidR="002D3279" w:rsidRPr="009252D7" w:rsidRDefault="002D3279" w:rsidP="002D3279">
      <w:pPr>
        <w:spacing w:line="360" w:lineRule="auto"/>
        <w:rPr>
          <w:color w:val="000000" w:themeColor="text1"/>
        </w:rPr>
      </w:pPr>
      <w:r w:rsidRPr="009252D7">
        <w:rPr>
          <w:b/>
          <w:bCs/>
          <w:color w:val="000000" w:themeColor="text1"/>
        </w:rPr>
        <w:t>Calculation</w:t>
      </w:r>
      <w:r w:rsidRPr="009252D7">
        <w:rPr>
          <w:color w:val="000000" w:themeColor="text1"/>
        </w:rPr>
        <w:t xml:space="preserve"> = 10,807 ÷ 332,876 = </w:t>
      </w:r>
      <w:r w:rsidRPr="009252D7">
        <w:rPr>
          <w:b/>
          <w:bCs/>
          <w:color w:val="000000" w:themeColor="text1"/>
        </w:rPr>
        <w:t>0.0325</w:t>
      </w:r>
      <w:r w:rsidRPr="009252D7">
        <w:rPr>
          <w:color w:val="000000" w:themeColor="text1"/>
        </w:rPr>
        <w:t xml:space="preserve"> = </w:t>
      </w:r>
      <w:r w:rsidRPr="009252D7">
        <w:rPr>
          <w:b/>
          <w:bCs/>
          <w:color w:val="000000" w:themeColor="text1"/>
        </w:rPr>
        <w:t>3.25%</w:t>
      </w:r>
    </w:p>
    <w:p w14:paraId="3DB1F14D" w14:textId="77777777" w:rsidR="002D3279" w:rsidRPr="009252D7" w:rsidRDefault="002D3279" w:rsidP="002D3279">
      <w:pPr>
        <w:spacing w:line="360" w:lineRule="auto"/>
        <w:jc w:val="both"/>
        <w:rPr>
          <w:color w:val="000000" w:themeColor="text1"/>
        </w:rPr>
      </w:pPr>
    </w:p>
    <w:p w14:paraId="6E82E917" w14:textId="77777777" w:rsidR="002D3279" w:rsidRPr="009252D7" w:rsidRDefault="002D3279" w:rsidP="002D3279">
      <w:pPr>
        <w:spacing w:line="360" w:lineRule="auto"/>
        <w:jc w:val="both"/>
        <w:rPr>
          <w:b/>
          <w:bCs/>
          <w:color w:val="000000" w:themeColor="text1"/>
        </w:rPr>
      </w:pPr>
      <w:r w:rsidRPr="009252D7">
        <w:rPr>
          <w:b/>
          <w:bCs/>
          <w:color w:val="000000" w:themeColor="text1"/>
        </w:rPr>
        <w:t>2. Cost of Risk / Credit Loss Ratio</w:t>
      </w:r>
    </w:p>
    <w:p w14:paraId="2F351A8E"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Expected credit losses ÷ Average gross loans</w:t>
      </w:r>
    </w:p>
    <w:p w14:paraId="23489586" w14:textId="77777777" w:rsidR="002D3279" w:rsidRPr="009252D7" w:rsidRDefault="002D3279" w:rsidP="002D3279">
      <w:pPr>
        <w:spacing w:line="360" w:lineRule="auto"/>
        <w:rPr>
          <w:color w:val="000000" w:themeColor="text1"/>
        </w:rPr>
      </w:pPr>
      <w:r w:rsidRPr="009252D7">
        <w:rPr>
          <w:b/>
          <w:bCs/>
          <w:color w:val="000000" w:themeColor="text1"/>
        </w:rPr>
        <w:t>Step 1: Average Gross Loans</w:t>
      </w:r>
      <w:r w:rsidRPr="009252D7">
        <w:rPr>
          <w:color w:val="000000" w:themeColor="text1"/>
        </w:rPr>
        <w:br/>
        <w:t>= (Gross loans 2023 + Gross loans 2022) ÷ 2</w:t>
      </w:r>
      <w:r w:rsidRPr="009252D7">
        <w:rPr>
          <w:color w:val="000000" w:themeColor="text1"/>
        </w:rPr>
        <w:br/>
        <w:t xml:space="preserve">= (211,887 + 204,143) ÷ 2 = </w:t>
      </w:r>
      <w:r w:rsidRPr="009252D7">
        <w:rPr>
          <w:b/>
          <w:bCs/>
          <w:color w:val="000000" w:themeColor="text1"/>
        </w:rPr>
        <w:t>208,015</w:t>
      </w:r>
    </w:p>
    <w:p w14:paraId="329D0AA6" w14:textId="77777777" w:rsidR="002D3279" w:rsidRPr="009252D7" w:rsidRDefault="002D3279" w:rsidP="002D3279">
      <w:pPr>
        <w:spacing w:line="360" w:lineRule="auto"/>
        <w:rPr>
          <w:color w:val="000000" w:themeColor="text1"/>
        </w:rPr>
      </w:pPr>
      <w:r w:rsidRPr="009252D7">
        <w:rPr>
          <w:b/>
          <w:bCs/>
          <w:color w:val="000000" w:themeColor="text1"/>
        </w:rPr>
        <w:t>Step 2: Cost of Risk Ratio Calculation</w:t>
      </w:r>
      <w:r w:rsidRPr="009252D7">
        <w:rPr>
          <w:color w:val="000000" w:themeColor="text1"/>
        </w:rPr>
        <w:br/>
        <w:t xml:space="preserve">= 421 ÷ 208,015 = </w:t>
      </w:r>
      <w:r w:rsidRPr="009252D7">
        <w:rPr>
          <w:b/>
          <w:bCs/>
          <w:color w:val="000000" w:themeColor="text1"/>
        </w:rPr>
        <w:t>0.00202</w:t>
      </w:r>
      <w:r w:rsidRPr="009252D7">
        <w:rPr>
          <w:color w:val="000000" w:themeColor="text1"/>
        </w:rPr>
        <w:t xml:space="preserve"> = </w:t>
      </w:r>
      <w:r w:rsidRPr="009252D7">
        <w:rPr>
          <w:b/>
          <w:bCs/>
          <w:color w:val="000000" w:themeColor="text1"/>
        </w:rPr>
        <w:t>0.20%</w:t>
      </w:r>
    </w:p>
    <w:p w14:paraId="4DAE5B65" w14:textId="77777777" w:rsidR="002D3279" w:rsidRPr="009252D7" w:rsidRDefault="002D3279" w:rsidP="002D3279">
      <w:pPr>
        <w:spacing w:line="360" w:lineRule="auto"/>
        <w:jc w:val="both"/>
        <w:rPr>
          <w:color w:val="000000" w:themeColor="text1"/>
        </w:rPr>
      </w:pPr>
    </w:p>
    <w:p w14:paraId="34F50A68" w14:textId="77777777" w:rsidR="002D3279" w:rsidRPr="006825E0" w:rsidRDefault="002D3279" w:rsidP="002D3279">
      <w:pPr>
        <w:pStyle w:val="Heading2"/>
        <w:rPr>
          <w:rFonts w:ascii="Times New Roman" w:hAnsi="Times New Roman" w:cs="Times New Roman"/>
          <w:sz w:val="24"/>
          <w:szCs w:val="24"/>
        </w:rPr>
      </w:pPr>
      <w:bookmarkStart w:id="54" w:name="_Toc218979686"/>
      <w:r w:rsidRPr="006825E0">
        <w:rPr>
          <w:rFonts w:ascii="Times New Roman" w:hAnsi="Times New Roman" w:cs="Times New Roman"/>
          <w:sz w:val="24"/>
          <w:szCs w:val="24"/>
        </w:rPr>
        <w:t>Appendix K: Source of Financial Data Used (FY 2024)</w:t>
      </w:r>
      <w:bookmarkEnd w:id="54"/>
    </w:p>
    <w:p w14:paraId="379D1405" w14:textId="77777777" w:rsidR="002D3279" w:rsidRPr="009252D7" w:rsidRDefault="002D3279" w:rsidP="002D3279">
      <w:pPr>
        <w:spacing w:line="360" w:lineRule="auto"/>
        <w:jc w:val="both"/>
        <w:rPr>
          <w:color w:val="000000" w:themeColor="text1"/>
        </w:rPr>
      </w:pPr>
      <w:r w:rsidRPr="009252D7">
        <w:rPr>
          <w:b/>
          <w:bCs/>
          <w:color w:val="000000" w:themeColor="text1"/>
        </w:rPr>
        <w:t>Entity:</w:t>
      </w:r>
      <w:r w:rsidRPr="009252D7">
        <w:rPr>
          <w:color w:val="000000" w:themeColor="text1"/>
        </w:rPr>
        <w:t xml:space="preserve"> </w:t>
      </w:r>
      <w:r w:rsidRPr="009252D7">
        <w:rPr>
          <w:b/>
          <w:bCs/>
          <w:color w:val="000000" w:themeColor="text1"/>
        </w:rPr>
        <w:t>HSBC UK Bank plc</w:t>
      </w:r>
      <w:r w:rsidRPr="009252D7">
        <w:rPr>
          <w:color w:val="000000" w:themeColor="text1"/>
        </w:rPr>
        <w:t xml:space="preserve"> </w:t>
      </w:r>
      <w:r w:rsidRPr="009252D7">
        <w:rPr>
          <w:i/>
          <w:iCs/>
          <w:color w:val="000000" w:themeColor="text1"/>
        </w:rPr>
        <w:t>(All amounts in £ millions unless stated otherwise)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1"/>
        <w:gridCol w:w="872"/>
        <w:gridCol w:w="1894"/>
        <w:gridCol w:w="2409"/>
      </w:tblGrid>
      <w:tr w:rsidR="002D3279" w:rsidRPr="009252D7" w14:paraId="18906636" w14:textId="77777777" w:rsidTr="00A42257">
        <w:trPr>
          <w:tblHeader/>
          <w:tblCellSpacing w:w="15" w:type="dxa"/>
        </w:trPr>
        <w:tc>
          <w:tcPr>
            <w:tcW w:w="0" w:type="auto"/>
            <w:vAlign w:val="center"/>
            <w:hideMark/>
          </w:tcPr>
          <w:p w14:paraId="2015CE4C" w14:textId="77777777" w:rsidR="002D3279" w:rsidRPr="009252D7" w:rsidRDefault="002D3279" w:rsidP="00A42257">
            <w:pPr>
              <w:spacing w:line="360" w:lineRule="auto"/>
              <w:jc w:val="center"/>
              <w:rPr>
                <w:b/>
                <w:bCs/>
                <w:color w:val="000000" w:themeColor="text1"/>
              </w:rPr>
            </w:pPr>
            <w:r w:rsidRPr="009252D7">
              <w:rPr>
                <w:b/>
                <w:bCs/>
                <w:color w:val="000000" w:themeColor="text1"/>
              </w:rPr>
              <w:t>Financial Figure Used</w:t>
            </w:r>
          </w:p>
        </w:tc>
        <w:tc>
          <w:tcPr>
            <w:tcW w:w="0" w:type="auto"/>
            <w:vAlign w:val="center"/>
            <w:hideMark/>
          </w:tcPr>
          <w:p w14:paraId="7F980236" w14:textId="77777777" w:rsidR="002D3279" w:rsidRPr="009252D7" w:rsidRDefault="002D3279" w:rsidP="00A42257">
            <w:pPr>
              <w:spacing w:line="360" w:lineRule="auto"/>
              <w:jc w:val="center"/>
              <w:rPr>
                <w:b/>
                <w:bCs/>
                <w:color w:val="000000" w:themeColor="text1"/>
              </w:rPr>
            </w:pPr>
            <w:r w:rsidRPr="009252D7">
              <w:rPr>
                <w:b/>
                <w:bCs/>
                <w:color w:val="000000" w:themeColor="text1"/>
              </w:rPr>
              <w:t>Amount</w:t>
            </w:r>
          </w:p>
        </w:tc>
        <w:tc>
          <w:tcPr>
            <w:tcW w:w="0" w:type="auto"/>
            <w:vAlign w:val="center"/>
            <w:hideMark/>
          </w:tcPr>
          <w:p w14:paraId="0599D233" w14:textId="77777777" w:rsidR="002D3279" w:rsidRPr="009252D7" w:rsidRDefault="002D3279" w:rsidP="00A42257">
            <w:pPr>
              <w:spacing w:line="360" w:lineRule="auto"/>
              <w:jc w:val="center"/>
              <w:rPr>
                <w:b/>
                <w:bCs/>
                <w:color w:val="000000" w:themeColor="text1"/>
              </w:rPr>
            </w:pPr>
            <w:r w:rsidRPr="009252D7">
              <w:rPr>
                <w:b/>
                <w:bCs/>
                <w:color w:val="000000" w:themeColor="text1"/>
              </w:rPr>
              <w:t>Used in Ratio</w:t>
            </w:r>
          </w:p>
        </w:tc>
        <w:tc>
          <w:tcPr>
            <w:tcW w:w="0" w:type="auto"/>
            <w:vAlign w:val="center"/>
            <w:hideMark/>
          </w:tcPr>
          <w:p w14:paraId="79219650"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2024</w:t>
            </w:r>
          </w:p>
        </w:tc>
      </w:tr>
      <w:tr w:rsidR="002D3279" w:rsidRPr="009252D7" w14:paraId="336B14C5" w14:textId="77777777" w:rsidTr="00A42257">
        <w:trPr>
          <w:tblCellSpacing w:w="15" w:type="dxa"/>
        </w:trPr>
        <w:tc>
          <w:tcPr>
            <w:tcW w:w="0" w:type="auto"/>
            <w:vAlign w:val="center"/>
            <w:hideMark/>
          </w:tcPr>
          <w:p w14:paraId="76ADF5DD" w14:textId="77777777" w:rsidR="002D3279" w:rsidRPr="009252D7" w:rsidRDefault="002D3279" w:rsidP="00A42257">
            <w:pPr>
              <w:spacing w:line="360" w:lineRule="auto"/>
              <w:jc w:val="center"/>
              <w:rPr>
                <w:color w:val="000000" w:themeColor="text1"/>
              </w:rPr>
            </w:pPr>
            <w:r w:rsidRPr="009252D7">
              <w:rPr>
                <w:color w:val="000000" w:themeColor="text1"/>
              </w:rPr>
              <w:t>Net operating income before change in expected credit losses (Operating income)</w:t>
            </w:r>
          </w:p>
        </w:tc>
        <w:tc>
          <w:tcPr>
            <w:tcW w:w="0" w:type="auto"/>
            <w:vAlign w:val="center"/>
            <w:hideMark/>
          </w:tcPr>
          <w:p w14:paraId="0ABE0DBC" w14:textId="77777777" w:rsidR="002D3279" w:rsidRPr="009252D7" w:rsidRDefault="002D3279" w:rsidP="00A42257">
            <w:pPr>
              <w:spacing w:line="360" w:lineRule="auto"/>
              <w:jc w:val="center"/>
              <w:rPr>
                <w:color w:val="000000" w:themeColor="text1"/>
              </w:rPr>
            </w:pPr>
            <w:r w:rsidRPr="009252D7">
              <w:rPr>
                <w:b/>
                <w:bCs/>
                <w:color w:val="000000" w:themeColor="text1"/>
              </w:rPr>
              <w:t>9,979</w:t>
            </w:r>
          </w:p>
        </w:tc>
        <w:tc>
          <w:tcPr>
            <w:tcW w:w="0" w:type="auto"/>
            <w:vAlign w:val="center"/>
            <w:hideMark/>
          </w:tcPr>
          <w:p w14:paraId="38218EE2" w14:textId="77777777" w:rsidR="002D3279" w:rsidRPr="009252D7" w:rsidRDefault="002D3279" w:rsidP="00A42257">
            <w:pPr>
              <w:spacing w:line="360" w:lineRule="auto"/>
              <w:jc w:val="center"/>
              <w:rPr>
                <w:color w:val="000000" w:themeColor="text1"/>
              </w:rPr>
            </w:pPr>
            <w:r w:rsidRPr="009252D7">
              <w:rPr>
                <w:color w:val="000000" w:themeColor="text1"/>
              </w:rPr>
              <w:t>Asset Utilisation Ratio</w:t>
            </w:r>
          </w:p>
        </w:tc>
        <w:tc>
          <w:tcPr>
            <w:tcW w:w="0" w:type="auto"/>
            <w:vAlign w:val="center"/>
            <w:hideMark/>
          </w:tcPr>
          <w:p w14:paraId="7A7346AB" w14:textId="77777777" w:rsidR="002D3279" w:rsidRPr="009252D7" w:rsidRDefault="002D3279" w:rsidP="00A42257">
            <w:pPr>
              <w:spacing w:line="360" w:lineRule="auto"/>
              <w:jc w:val="center"/>
              <w:rPr>
                <w:color w:val="000000" w:themeColor="text1"/>
              </w:rPr>
            </w:pPr>
            <w:r w:rsidRPr="009252D7">
              <w:rPr>
                <w:color w:val="000000" w:themeColor="text1"/>
              </w:rPr>
              <w:t xml:space="preserve">Consolidated Income Statement, </w:t>
            </w:r>
            <w:r w:rsidRPr="009252D7">
              <w:rPr>
                <w:b/>
                <w:bCs/>
                <w:color w:val="000000" w:themeColor="text1"/>
              </w:rPr>
              <w:t>page 88</w:t>
            </w:r>
          </w:p>
        </w:tc>
      </w:tr>
      <w:tr w:rsidR="002D3279" w:rsidRPr="009252D7" w14:paraId="3E627D2B" w14:textId="77777777" w:rsidTr="00A42257">
        <w:trPr>
          <w:tblCellSpacing w:w="15" w:type="dxa"/>
        </w:trPr>
        <w:tc>
          <w:tcPr>
            <w:tcW w:w="0" w:type="auto"/>
            <w:vAlign w:val="center"/>
            <w:hideMark/>
          </w:tcPr>
          <w:p w14:paraId="2E088CC7" w14:textId="77777777" w:rsidR="002D3279" w:rsidRPr="009252D7" w:rsidRDefault="002D3279" w:rsidP="00A42257">
            <w:pPr>
              <w:spacing w:line="360" w:lineRule="auto"/>
              <w:jc w:val="center"/>
              <w:rPr>
                <w:color w:val="000000" w:themeColor="text1"/>
              </w:rPr>
            </w:pPr>
            <w:r w:rsidRPr="009252D7">
              <w:rPr>
                <w:color w:val="000000" w:themeColor="text1"/>
              </w:rPr>
              <w:t>Expected credit losses and other credit impairment charges</w:t>
            </w:r>
          </w:p>
        </w:tc>
        <w:tc>
          <w:tcPr>
            <w:tcW w:w="0" w:type="auto"/>
            <w:vAlign w:val="center"/>
            <w:hideMark/>
          </w:tcPr>
          <w:p w14:paraId="190D8583" w14:textId="77777777" w:rsidR="002D3279" w:rsidRPr="009252D7" w:rsidRDefault="002D3279" w:rsidP="00A42257">
            <w:pPr>
              <w:spacing w:line="360" w:lineRule="auto"/>
              <w:jc w:val="center"/>
              <w:rPr>
                <w:color w:val="000000" w:themeColor="text1"/>
              </w:rPr>
            </w:pPr>
            <w:r w:rsidRPr="009252D7">
              <w:rPr>
                <w:b/>
                <w:bCs/>
                <w:color w:val="000000" w:themeColor="text1"/>
              </w:rPr>
              <w:t>315</w:t>
            </w:r>
          </w:p>
        </w:tc>
        <w:tc>
          <w:tcPr>
            <w:tcW w:w="0" w:type="auto"/>
            <w:vAlign w:val="center"/>
            <w:hideMark/>
          </w:tcPr>
          <w:p w14:paraId="36C7B68D" w14:textId="77777777" w:rsidR="002D3279" w:rsidRPr="009252D7" w:rsidRDefault="002D3279" w:rsidP="00A42257">
            <w:pPr>
              <w:spacing w:line="360" w:lineRule="auto"/>
              <w:jc w:val="center"/>
              <w:rPr>
                <w:color w:val="000000" w:themeColor="text1"/>
              </w:rPr>
            </w:pPr>
            <w:r w:rsidRPr="009252D7">
              <w:rPr>
                <w:color w:val="000000" w:themeColor="text1"/>
              </w:rPr>
              <w:t>Cost of Risk Ratio</w:t>
            </w:r>
          </w:p>
        </w:tc>
        <w:tc>
          <w:tcPr>
            <w:tcW w:w="0" w:type="auto"/>
            <w:vAlign w:val="center"/>
            <w:hideMark/>
          </w:tcPr>
          <w:p w14:paraId="26B30F66" w14:textId="77777777" w:rsidR="002D3279" w:rsidRPr="009252D7" w:rsidRDefault="002D3279" w:rsidP="00A42257">
            <w:pPr>
              <w:spacing w:line="360" w:lineRule="auto"/>
              <w:jc w:val="center"/>
              <w:rPr>
                <w:color w:val="000000" w:themeColor="text1"/>
              </w:rPr>
            </w:pPr>
            <w:r w:rsidRPr="009252D7">
              <w:rPr>
                <w:color w:val="000000" w:themeColor="text1"/>
              </w:rPr>
              <w:t xml:space="preserve">Consolidated Income Statement, </w:t>
            </w:r>
            <w:r w:rsidRPr="009252D7">
              <w:rPr>
                <w:b/>
                <w:bCs/>
                <w:color w:val="000000" w:themeColor="text1"/>
              </w:rPr>
              <w:t>page 88</w:t>
            </w:r>
          </w:p>
        </w:tc>
      </w:tr>
      <w:tr w:rsidR="002D3279" w:rsidRPr="009252D7" w14:paraId="3788A6E2" w14:textId="77777777" w:rsidTr="00A42257">
        <w:trPr>
          <w:tblCellSpacing w:w="15" w:type="dxa"/>
        </w:trPr>
        <w:tc>
          <w:tcPr>
            <w:tcW w:w="0" w:type="auto"/>
            <w:vAlign w:val="center"/>
            <w:hideMark/>
          </w:tcPr>
          <w:p w14:paraId="6368AE8A" w14:textId="77777777" w:rsidR="002D3279" w:rsidRPr="009252D7" w:rsidRDefault="002D3279" w:rsidP="00A42257">
            <w:pPr>
              <w:spacing w:line="360" w:lineRule="auto"/>
              <w:jc w:val="center"/>
              <w:rPr>
                <w:color w:val="000000" w:themeColor="text1"/>
              </w:rPr>
            </w:pPr>
            <w:r w:rsidRPr="009252D7">
              <w:rPr>
                <w:color w:val="000000" w:themeColor="text1"/>
              </w:rPr>
              <w:t>Total assets</w:t>
            </w:r>
          </w:p>
        </w:tc>
        <w:tc>
          <w:tcPr>
            <w:tcW w:w="0" w:type="auto"/>
            <w:vAlign w:val="center"/>
            <w:hideMark/>
          </w:tcPr>
          <w:p w14:paraId="41FCCEC2" w14:textId="77777777" w:rsidR="002D3279" w:rsidRPr="009252D7" w:rsidRDefault="002D3279" w:rsidP="00A42257">
            <w:pPr>
              <w:spacing w:line="360" w:lineRule="auto"/>
              <w:jc w:val="center"/>
              <w:rPr>
                <w:color w:val="000000" w:themeColor="text1"/>
              </w:rPr>
            </w:pPr>
            <w:r w:rsidRPr="009252D7">
              <w:rPr>
                <w:b/>
                <w:bCs/>
                <w:color w:val="000000" w:themeColor="text1"/>
              </w:rPr>
              <w:t>340,877</w:t>
            </w:r>
          </w:p>
        </w:tc>
        <w:tc>
          <w:tcPr>
            <w:tcW w:w="0" w:type="auto"/>
            <w:vAlign w:val="center"/>
            <w:hideMark/>
          </w:tcPr>
          <w:p w14:paraId="1A94AE2A" w14:textId="77777777" w:rsidR="002D3279" w:rsidRPr="009252D7" w:rsidRDefault="002D3279" w:rsidP="00A42257">
            <w:pPr>
              <w:spacing w:line="360" w:lineRule="auto"/>
              <w:jc w:val="center"/>
              <w:rPr>
                <w:color w:val="000000" w:themeColor="text1"/>
              </w:rPr>
            </w:pPr>
            <w:r w:rsidRPr="009252D7">
              <w:rPr>
                <w:color w:val="000000" w:themeColor="text1"/>
              </w:rPr>
              <w:t>Asset Utilisation Ratio</w:t>
            </w:r>
          </w:p>
        </w:tc>
        <w:tc>
          <w:tcPr>
            <w:tcW w:w="0" w:type="auto"/>
            <w:vAlign w:val="center"/>
            <w:hideMark/>
          </w:tcPr>
          <w:p w14:paraId="54EA31E3" w14:textId="77777777" w:rsidR="002D3279" w:rsidRPr="009252D7" w:rsidRDefault="002D3279" w:rsidP="00A42257">
            <w:pPr>
              <w:spacing w:line="360" w:lineRule="auto"/>
              <w:jc w:val="center"/>
              <w:rPr>
                <w:color w:val="000000" w:themeColor="text1"/>
              </w:rPr>
            </w:pPr>
            <w:r w:rsidRPr="009252D7">
              <w:rPr>
                <w:color w:val="000000" w:themeColor="text1"/>
              </w:rPr>
              <w:t xml:space="preserve">Consolidated Balance Sheet, </w:t>
            </w:r>
            <w:r w:rsidRPr="009252D7">
              <w:rPr>
                <w:b/>
                <w:bCs/>
                <w:color w:val="000000" w:themeColor="text1"/>
              </w:rPr>
              <w:t>page 90</w:t>
            </w:r>
          </w:p>
        </w:tc>
      </w:tr>
      <w:tr w:rsidR="002D3279" w:rsidRPr="009252D7" w14:paraId="322268BD" w14:textId="77777777" w:rsidTr="00A42257">
        <w:trPr>
          <w:tblCellSpacing w:w="15" w:type="dxa"/>
        </w:trPr>
        <w:tc>
          <w:tcPr>
            <w:tcW w:w="0" w:type="auto"/>
            <w:vAlign w:val="center"/>
            <w:hideMark/>
          </w:tcPr>
          <w:p w14:paraId="107708A4" w14:textId="77777777" w:rsidR="002D3279" w:rsidRPr="009252D7" w:rsidRDefault="002D3279" w:rsidP="00A42257">
            <w:pPr>
              <w:spacing w:line="360" w:lineRule="auto"/>
              <w:jc w:val="center"/>
              <w:rPr>
                <w:color w:val="000000" w:themeColor="text1"/>
              </w:rPr>
            </w:pPr>
            <w:r w:rsidRPr="009252D7">
              <w:rPr>
                <w:color w:val="000000" w:themeColor="text1"/>
              </w:rPr>
              <w:t>Gross loans and advances to customers (2024)</w:t>
            </w:r>
          </w:p>
        </w:tc>
        <w:tc>
          <w:tcPr>
            <w:tcW w:w="0" w:type="auto"/>
            <w:vAlign w:val="center"/>
            <w:hideMark/>
          </w:tcPr>
          <w:p w14:paraId="41933B91" w14:textId="77777777" w:rsidR="002D3279" w:rsidRPr="009252D7" w:rsidRDefault="002D3279" w:rsidP="00A42257">
            <w:pPr>
              <w:spacing w:line="360" w:lineRule="auto"/>
              <w:jc w:val="center"/>
              <w:rPr>
                <w:color w:val="000000" w:themeColor="text1"/>
              </w:rPr>
            </w:pPr>
            <w:r w:rsidRPr="009252D7">
              <w:rPr>
                <w:b/>
                <w:bCs/>
                <w:color w:val="000000" w:themeColor="text1"/>
              </w:rPr>
              <w:t>217,604</w:t>
            </w:r>
          </w:p>
        </w:tc>
        <w:tc>
          <w:tcPr>
            <w:tcW w:w="0" w:type="auto"/>
            <w:vAlign w:val="center"/>
            <w:hideMark/>
          </w:tcPr>
          <w:p w14:paraId="48610829" w14:textId="77777777" w:rsidR="002D3279" w:rsidRPr="009252D7" w:rsidRDefault="002D3279" w:rsidP="00A42257">
            <w:pPr>
              <w:spacing w:line="360" w:lineRule="auto"/>
              <w:jc w:val="center"/>
              <w:rPr>
                <w:color w:val="000000" w:themeColor="text1"/>
              </w:rPr>
            </w:pPr>
            <w:r w:rsidRPr="009252D7">
              <w:rPr>
                <w:color w:val="000000" w:themeColor="text1"/>
              </w:rPr>
              <w:t>Cost of Risk Ratio (average loans)</w:t>
            </w:r>
          </w:p>
        </w:tc>
        <w:tc>
          <w:tcPr>
            <w:tcW w:w="0" w:type="auto"/>
            <w:vAlign w:val="center"/>
            <w:hideMark/>
          </w:tcPr>
          <w:p w14:paraId="4D82E89B" w14:textId="77777777" w:rsidR="002D3279" w:rsidRPr="009252D7" w:rsidRDefault="002D3279" w:rsidP="00A42257">
            <w:pPr>
              <w:spacing w:line="360" w:lineRule="auto"/>
              <w:jc w:val="center"/>
              <w:rPr>
                <w:color w:val="000000" w:themeColor="text1"/>
              </w:rPr>
            </w:pPr>
            <w:r w:rsidRPr="009252D7">
              <w:rPr>
                <w:color w:val="000000" w:themeColor="text1"/>
              </w:rPr>
              <w:t xml:space="preserve">Consolidated Balance Sheet, </w:t>
            </w:r>
            <w:r w:rsidRPr="009252D7">
              <w:rPr>
                <w:b/>
                <w:bCs/>
                <w:color w:val="000000" w:themeColor="text1"/>
              </w:rPr>
              <w:t>page 90</w:t>
            </w:r>
          </w:p>
        </w:tc>
      </w:tr>
      <w:tr w:rsidR="002D3279" w:rsidRPr="009252D7" w14:paraId="3C105E3A" w14:textId="77777777" w:rsidTr="00A42257">
        <w:trPr>
          <w:tblCellSpacing w:w="15" w:type="dxa"/>
        </w:trPr>
        <w:tc>
          <w:tcPr>
            <w:tcW w:w="0" w:type="auto"/>
            <w:vAlign w:val="center"/>
            <w:hideMark/>
          </w:tcPr>
          <w:p w14:paraId="6D18D9BF" w14:textId="77777777" w:rsidR="002D3279" w:rsidRPr="009252D7" w:rsidRDefault="002D3279" w:rsidP="00A42257">
            <w:pPr>
              <w:spacing w:line="360" w:lineRule="auto"/>
              <w:jc w:val="center"/>
              <w:rPr>
                <w:color w:val="000000" w:themeColor="text1"/>
              </w:rPr>
            </w:pPr>
            <w:r w:rsidRPr="009252D7">
              <w:rPr>
                <w:color w:val="000000" w:themeColor="text1"/>
              </w:rPr>
              <w:t>Gross loans and advances to customers (2023 – comparative)</w:t>
            </w:r>
          </w:p>
        </w:tc>
        <w:tc>
          <w:tcPr>
            <w:tcW w:w="0" w:type="auto"/>
            <w:vAlign w:val="center"/>
            <w:hideMark/>
          </w:tcPr>
          <w:p w14:paraId="6D667257" w14:textId="77777777" w:rsidR="002D3279" w:rsidRPr="009252D7" w:rsidRDefault="002D3279" w:rsidP="00A42257">
            <w:pPr>
              <w:spacing w:line="360" w:lineRule="auto"/>
              <w:jc w:val="center"/>
              <w:rPr>
                <w:color w:val="000000" w:themeColor="text1"/>
              </w:rPr>
            </w:pPr>
            <w:r w:rsidRPr="009252D7">
              <w:rPr>
                <w:b/>
                <w:bCs/>
                <w:color w:val="000000" w:themeColor="text1"/>
              </w:rPr>
              <w:t>211,887</w:t>
            </w:r>
          </w:p>
        </w:tc>
        <w:tc>
          <w:tcPr>
            <w:tcW w:w="0" w:type="auto"/>
            <w:vAlign w:val="center"/>
            <w:hideMark/>
          </w:tcPr>
          <w:p w14:paraId="0E3D5A7C" w14:textId="77777777" w:rsidR="002D3279" w:rsidRPr="009252D7" w:rsidRDefault="002D3279" w:rsidP="00A42257">
            <w:pPr>
              <w:spacing w:line="360" w:lineRule="auto"/>
              <w:jc w:val="center"/>
              <w:rPr>
                <w:color w:val="000000" w:themeColor="text1"/>
              </w:rPr>
            </w:pPr>
            <w:r w:rsidRPr="009252D7">
              <w:rPr>
                <w:color w:val="000000" w:themeColor="text1"/>
              </w:rPr>
              <w:t>Cost of Risk Ratio (average loans)</w:t>
            </w:r>
          </w:p>
        </w:tc>
        <w:tc>
          <w:tcPr>
            <w:tcW w:w="0" w:type="auto"/>
            <w:vAlign w:val="center"/>
            <w:hideMark/>
          </w:tcPr>
          <w:p w14:paraId="62C509A8" w14:textId="77777777" w:rsidR="002D3279" w:rsidRPr="009252D7" w:rsidRDefault="002D3279" w:rsidP="00A42257">
            <w:pPr>
              <w:spacing w:line="360" w:lineRule="auto"/>
              <w:jc w:val="center"/>
              <w:rPr>
                <w:color w:val="000000" w:themeColor="text1"/>
              </w:rPr>
            </w:pPr>
            <w:r w:rsidRPr="009252D7">
              <w:rPr>
                <w:color w:val="000000" w:themeColor="text1"/>
              </w:rPr>
              <w:t xml:space="preserve">Consolidated Balance Sheet, </w:t>
            </w:r>
            <w:r w:rsidRPr="009252D7">
              <w:rPr>
                <w:b/>
                <w:bCs/>
                <w:color w:val="000000" w:themeColor="text1"/>
              </w:rPr>
              <w:t>page 90</w:t>
            </w:r>
          </w:p>
        </w:tc>
      </w:tr>
      <w:tr w:rsidR="002D3279" w:rsidRPr="009252D7" w14:paraId="6A99FE88" w14:textId="77777777" w:rsidTr="00A42257">
        <w:trPr>
          <w:tblCellSpacing w:w="15" w:type="dxa"/>
        </w:trPr>
        <w:tc>
          <w:tcPr>
            <w:tcW w:w="0" w:type="auto"/>
            <w:vAlign w:val="center"/>
            <w:hideMark/>
          </w:tcPr>
          <w:p w14:paraId="5AFBBBFF" w14:textId="77777777" w:rsidR="002D3279" w:rsidRPr="009252D7" w:rsidRDefault="002D3279" w:rsidP="00A42257">
            <w:pPr>
              <w:spacing w:line="360" w:lineRule="auto"/>
              <w:jc w:val="center"/>
              <w:rPr>
                <w:color w:val="000000" w:themeColor="text1"/>
              </w:rPr>
            </w:pPr>
            <w:r w:rsidRPr="009252D7">
              <w:rPr>
                <w:color w:val="000000" w:themeColor="text1"/>
              </w:rPr>
              <w:t>Expected credit losses as % of average gross loans (reported KPI)</w:t>
            </w:r>
          </w:p>
        </w:tc>
        <w:tc>
          <w:tcPr>
            <w:tcW w:w="0" w:type="auto"/>
            <w:vAlign w:val="center"/>
            <w:hideMark/>
          </w:tcPr>
          <w:p w14:paraId="0668192E" w14:textId="77777777" w:rsidR="002D3279" w:rsidRPr="009252D7" w:rsidRDefault="002D3279" w:rsidP="00A42257">
            <w:pPr>
              <w:spacing w:line="360" w:lineRule="auto"/>
              <w:jc w:val="center"/>
              <w:rPr>
                <w:color w:val="000000" w:themeColor="text1"/>
              </w:rPr>
            </w:pPr>
            <w:r w:rsidRPr="009252D7">
              <w:rPr>
                <w:b/>
                <w:bCs/>
                <w:color w:val="000000" w:themeColor="text1"/>
              </w:rPr>
              <w:t>0.15%</w:t>
            </w:r>
          </w:p>
        </w:tc>
        <w:tc>
          <w:tcPr>
            <w:tcW w:w="0" w:type="auto"/>
            <w:vAlign w:val="center"/>
            <w:hideMark/>
          </w:tcPr>
          <w:p w14:paraId="629AB0A2" w14:textId="77777777" w:rsidR="002D3279" w:rsidRPr="009252D7" w:rsidRDefault="002D3279" w:rsidP="00A42257">
            <w:pPr>
              <w:spacing w:line="360" w:lineRule="auto"/>
              <w:jc w:val="center"/>
              <w:rPr>
                <w:color w:val="000000" w:themeColor="text1"/>
              </w:rPr>
            </w:pPr>
            <w:r w:rsidRPr="009252D7">
              <w:rPr>
                <w:color w:val="000000" w:themeColor="text1"/>
              </w:rPr>
              <w:t>Cross-check / validation</w:t>
            </w:r>
          </w:p>
        </w:tc>
        <w:tc>
          <w:tcPr>
            <w:tcW w:w="0" w:type="auto"/>
            <w:vAlign w:val="center"/>
            <w:hideMark/>
          </w:tcPr>
          <w:p w14:paraId="63771629" w14:textId="77777777" w:rsidR="002D3279" w:rsidRPr="009252D7" w:rsidRDefault="002D3279" w:rsidP="00A42257">
            <w:pPr>
              <w:spacing w:line="360" w:lineRule="auto"/>
              <w:jc w:val="center"/>
              <w:rPr>
                <w:color w:val="000000" w:themeColor="text1"/>
              </w:rPr>
            </w:pPr>
            <w:r w:rsidRPr="009252D7">
              <w:rPr>
                <w:color w:val="000000" w:themeColor="text1"/>
              </w:rPr>
              <w:t xml:space="preserve">Key Performance Indicators, </w:t>
            </w:r>
            <w:r w:rsidRPr="009252D7">
              <w:rPr>
                <w:b/>
                <w:bCs/>
                <w:color w:val="000000" w:themeColor="text1"/>
              </w:rPr>
              <w:t>page 7</w:t>
            </w:r>
          </w:p>
        </w:tc>
      </w:tr>
    </w:tbl>
    <w:p w14:paraId="30C686DE" w14:textId="77777777" w:rsidR="002D3279" w:rsidRPr="009252D7" w:rsidRDefault="002D3279" w:rsidP="002D3279">
      <w:pPr>
        <w:spacing w:line="360" w:lineRule="auto"/>
        <w:jc w:val="both"/>
        <w:rPr>
          <w:color w:val="000000" w:themeColor="text1"/>
        </w:rPr>
      </w:pPr>
    </w:p>
    <w:p w14:paraId="4B30B5DC" w14:textId="77777777" w:rsidR="002D3279" w:rsidRPr="006825E0" w:rsidRDefault="002D3279" w:rsidP="002D3279">
      <w:pPr>
        <w:pStyle w:val="Heading2"/>
        <w:rPr>
          <w:rFonts w:ascii="Times New Roman" w:hAnsi="Times New Roman" w:cs="Times New Roman"/>
          <w:sz w:val="24"/>
          <w:szCs w:val="24"/>
        </w:rPr>
      </w:pPr>
      <w:bookmarkStart w:id="55" w:name="_Toc218979687"/>
      <w:r w:rsidRPr="006825E0">
        <w:rPr>
          <w:rFonts w:ascii="Times New Roman" w:hAnsi="Times New Roman" w:cs="Times New Roman"/>
          <w:sz w:val="24"/>
          <w:szCs w:val="24"/>
        </w:rPr>
        <w:t>Appendix L: Efficiency &amp; Asset Quality Ratio Calculations (FY 2024)</w:t>
      </w:r>
      <w:bookmarkEnd w:id="55"/>
    </w:p>
    <w:p w14:paraId="26BD9024" w14:textId="77777777" w:rsidR="002D3279" w:rsidRPr="009252D7" w:rsidRDefault="002D3279" w:rsidP="002D3279">
      <w:pPr>
        <w:spacing w:line="360" w:lineRule="auto"/>
        <w:jc w:val="both"/>
        <w:rPr>
          <w:color w:val="000000" w:themeColor="text1"/>
        </w:rPr>
      </w:pPr>
      <w:r w:rsidRPr="009252D7">
        <w:rPr>
          <w:b/>
          <w:bCs/>
          <w:color w:val="000000" w:themeColor="text1"/>
        </w:rPr>
        <w:t>Entity:</w:t>
      </w:r>
      <w:r w:rsidRPr="009252D7">
        <w:rPr>
          <w:color w:val="000000" w:themeColor="text1"/>
        </w:rPr>
        <w:t xml:space="preserve"> HSBC UK Bank plc </w:t>
      </w:r>
      <w:r w:rsidRPr="009252D7">
        <w:rPr>
          <w:i/>
          <w:iCs/>
          <w:color w:val="000000" w:themeColor="text1"/>
        </w:rPr>
        <w:t>(All figures in £ millions unless stated otherwise)</w:t>
      </w:r>
    </w:p>
    <w:p w14:paraId="514F790A" w14:textId="77777777" w:rsidR="002D3279" w:rsidRPr="009252D7" w:rsidRDefault="002D3279" w:rsidP="002D3279">
      <w:pPr>
        <w:spacing w:line="360" w:lineRule="auto"/>
        <w:jc w:val="both"/>
        <w:rPr>
          <w:color w:val="000000" w:themeColor="text1"/>
        </w:rPr>
      </w:pPr>
    </w:p>
    <w:p w14:paraId="70E344CE" w14:textId="33636A1D" w:rsidR="002D3279" w:rsidRPr="009252D7" w:rsidRDefault="008604B5" w:rsidP="002D3279">
      <w:pPr>
        <w:spacing w:line="360" w:lineRule="auto"/>
        <w:jc w:val="both"/>
        <w:rPr>
          <w:b/>
          <w:bCs/>
          <w:color w:val="000000" w:themeColor="text1"/>
        </w:rPr>
      </w:pPr>
      <w:r>
        <w:rPr>
          <w:b/>
          <w:bCs/>
          <w:color w:val="000000" w:themeColor="text1"/>
        </w:rPr>
        <w:t>L</w:t>
      </w:r>
      <w:r w:rsidR="002D3279" w:rsidRPr="009252D7">
        <w:rPr>
          <w:b/>
          <w:bCs/>
          <w:color w:val="000000" w:themeColor="text1"/>
        </w:rPr>
        <w:t>1. Asset Utilisation Ratio (2024)</w:t>
      </w:r>
    </w:p>
    <w:p w14:paraId="59D37A50"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Operating income ÷ Total assets</w:t>
      </w:r>
    </w:p>
    <w:p w14:paraId="2108230F" w14:textId="77777777" w:rsidR="002D3279" w:rsidRPr="009252D7" w:rsidRDefault="002D3279" w:rsidP="002D3279">
      <w:pPr>
        <w:spacing w:line="360" w:lineRule="auto"/>
        <w:jc w:val="both"/>
        <w:rPr>
          <w:color w:val="000000" w:themeColor="text1"/>
        </w:rPr>
      </w:pPr>
      <w:r w:rsidRPr="009252D7">
        <w:rPr>
          <w:b/>
          <w:bCs/>
          <w:color w:val="000000" w:themeColor="text1"/>
        </w:rPr>
        <w:t>Figures used</w:t>
      </w:r>
    </w:p>
    <w:p w14:paraId="5035C1AD" w14:textId="77777777" w:rsidR="002D3279" w:rsidRPr="009252D7" w:rsidRDefault="002D3279" w:rsidP="002D3279">
      <w:pPr>
        <w:numPr>
          <w:ilvl w:val="0"/>
          <w:numId w:val="32"/>
        </w:numPr>
        <w:spacing w:after="0" w:line="360" w:lineRule="auto"/>
        <w:jc w:val="both"/>
        <w:rPr>
          <w:color w:val="000000" w:themeColor="text1"/>
        </w:rPr>
      </w:pPr>
      <w:r w:rsidRPr="009252D7">
        <w:rPr>
          <w:color w:val="000000" w:themeColor="text1"/>
        </w:rPr>
        <w:t xml:space="preserve">Operating income = </w:t>
      </w:r>
      <w:r w:rsidRPr="009252D7">
        <w:rPr>
          <w:b/>
          <w:bCs/>
          <w:color w:val="000000" w:themeColor="text1"/>
        </w:rPr>
        <w:t>9,979</w:t>
      </w:r>
    </w:p>
    <w:p w14:paraId="3953F1C6" w14:textId="77777777" w:rsidR="002D3279" w:rsidRPr="009252D7" w:rsidRDefault="002D3279" w:rsidP="002D3279">
      <w:pPr>
        <w:numPr>
          <w:ilvl w:val="0"/>
          <w:numId w:val="32"/>
        </w:numPr>
        <w:spacing w:after="0" w:line="360" w:lineRule="auto"/>
        <w:jc w:val="both"/>
        <w:rPr>
          <w:color w:val="000000" w:themeColor="text1"/>
        </w:rPr>
      </w:pPr>
      <w:r w:rsidRPr="009252D7">
        <w:rPr>
          <w:color w:val="000000" w:themeColor="text1"/>
        </w:rPr>
        <w:t xml:space="preserve">Total assets = </w:t>
      </w:r>
      <w:r w:rsidRPr="009252D7">
        <w:rPr>
          <w:b/>
          <w:bCs/>
          <w:color w:val="000000" w:themeColor="text1"/>
        </w:rPr>
        <w:t>340,877</w:t>
      </w:r>
    </w:p>
    <w:p w14:paraId="646F104B" w14:textId="77777777" w:rsidR="002D3279" w:rsidRPr="009252D7" w:rsidRDefault="002D3279" w:rsidP="002D3279">
      <w:pPr>
        <w:spacing w:line="360" w:lineRule="auto"/>
        <w:jc w:val="both"/>
        <w:rPr>
          <w:color w:val="000000" w:themeColor="text1"/>
        </w:rPr>
      </w:pPr>
      <w:r w:rsidRPr="009252D7">
        <w:rPr>
          <w:b/>
          <w:bCs/>
          <w:color w:val="000000" w:themeColor="text1"/>
        </w:rPr>
        <w:lastRenderedPageBreak/>
        <w:t>Calculation</w:t>
      </w:r>
      <w:r w:rsidRPr="009252D7">
        <w:rPr>
          <w:color w:val="000000" w:themeColor="text1"/>
        </w:rPr>
        <w:t>=</w:t>
      </w:r>
      <m:oMath>
        <m:r>
          <m:rPr>
            <m:nor/>
          </m:rPr>
          <w:rPr>
            <w:color w:val="000000" w:themeColor="text1"/>
          </w:rPr>
          <m:t>Asset Utilisation Ratio</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9,979</m:t>
            </m:r>
          </m:num>
          <m:den>
            <m:r>
              <w:rPr>
                <w:rFonts w:ascii="Cambria Math" w:hAnsi="Cambria Math"/>
                <w:color w:val="000000" w:themeColor="text1"/>
              </w:rPr>
              <m:t>340,877</m:t>
            </m:r>
          </m:den>
        </m:f>
        <m:r>
          <w:rPr>
            <w:rFonts w:ascii="Cambria Math" w:hAnsi="Cambria Math"/>
            <w:color w:val="000000" w:themeColor="text1"/>
          </w:rPr>
          <m:t>=0.02927=</m:t>
        </m:r>
        <m:r>
          <m:rPr>
            <m:sty m:val="b"/>
          </m:rPr>
          <w:rPr>
            <w:rFonts w:ascii="Cambria Math" w:hAnsi="Cambria Math"/>
            <w:color w:val="000000" w:themeColor="text1"/>
          </w:rPr>
          <m:t>2.93%</m:t>
        </m:r>
      </m:oMath>
      <w:r w:rsidRPr="009252D7">
        <w:rPr>
          <w:b/>
          <w:color w:val="000000" w:themeColor="text1"/>
        </w:rPr>
        <w:br/>
      </w:r>
    </w:p>
    <w:p w14:paraId="13D10582" w14:textId="4DBB4ABA" w:rsidR="002D3279" w:rsidRPr="009252D7" w:rsidRDefault="008604B5" w:rsidP="002D3279">
      <w:pPr>
        <w:spacing w:line="360" w:lineRule="auto"/>
        <w:jc w:val="both"/>
        <w:rPr>
          <w:b/>
          <w:bCs/>
          <w:color w:val="000000" w:themeColor="text1"/>
        </w:rPr>
      </w:pPr>
      <w:r>
        <w:rPr>
          <w:b/>
          <w:bCs/>
          <w:color w:val="000000" w:themeColor="text1"/>
        </w:rPr>
        <w:t>L</w:t>
      </w:r>
      <w:r w:rsidR="002D3279" w:rsidRPr="009252D7">
        <w:rPr>
          <w:b/>
          <w:bCs/>
          <w:color w:val="000000" w:themeColor="text1"/>
        </w:rPr>
        <w:t>2. Cost of Risk / Credit Loss Ratio (2024)</w:t>
      </w:r>
    </w:p>
    <w:p w14:paraId="54CD1428"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Expected credit losses ÷ Average gross loans</w:t>
      </w:r>
    </w:p>
    <w:p w14:paraId="5A8B2AC1" w14:textId="77777777" w:rsidR="002D3279" w:rsidRPr="009252D7" w:rsidRDefault="002D3279" w:rsidP="002D3279">
      <w:pPr>
        <w:spacing w:line="360" w:lineRule="auto"/>
        <w:jc w:val="both"/>
        <w:rPr>
          <w:color w:val="000000" w:themeColor="text1"/>
        </w:rPr>
      </w:pPr>
      <w:r w:rsidRPr="009252D7">
        <w:rPr>
          <w:b/>
          <w:bCs/>
          <w:color w:val="000000" w:themeColor="text1"/>
        </w:rPr>
        <w:t>Figures used</w:t>
      </w:r>
    </w:p>
    <w:p w14:paraId="27F4215B" w14:textId="77777777" w:rsidR="002D3279" w:rsidRPr="009252D7" w:rsidRDefault="002D3279" w:rsidP="002D3279">
      <w:pPr>
        <w:numPr>
          <w:ilvl w:val="0"/>
          <w:numId w:val="33"/>
        </w:numPr>
        <w:spacing w:after="0" w:line="360" w:lineRule="auto"/>
        <w:jc w:val="both"/>
        <w:rPr>
          <w:color w:val="000000" w:themeColor="text1"/>
        </w:rPr>
      </w:pPr>
      <w:r w:rsidRPr="009252D7">
        <w:rPr>
          <w:color w:val="000000" w:themeColor="text1"/>
        </w:rPr>
        <w:t xml:space="preserve">Expected credit losses (2024) = </w:t>
      </w:r>
      <w:r w:rsidRPr="009252D7">
        <w:rPr>
          <w:b/>
          <w:bCs/>
          <w:color w:val="000000" w:themeColor="text1"/>
        </w:rPr>
        <w:t>315</w:t>
      </w:r>
    </w:p>
    <w:p w14:paraId="5BB06178" w14:textId="77777777" w:rsidR="002D3279" w:rsidRPr="009252D7" w:rsidRDefault="002D3279" w:rsidP="002D3279">
      <w:pPr>
        <w:numPr>
          <w:ilvl w:val="0"/>
          <w:numId w:val="33"/>
        </w:numPr>
        <w:spacing w:after="0" w:line="360" w:lineRule="auto"/>
        <w:jc w:val="both"/>
        <w:rPr>
          <w:color w:val="000000" w:themeColor="text1"/>
        </w:rPr>
      </w:pPr>
      <w:r w:rsidRPr="009252D7">
        <w:rPr>
          <w:color w:val="000000" w:themeColor="text1"/>
        </w:rPr>
        <w:t xml:space="preserve">Gross loans (2024) = </w:t>
      </w:r>
      <w:r w:rsidRPr="009252D7">
        <w:rPr>
          <w:b/>
          <w:bCs/>
          <w:color w:val="000000" w:themeColor="text1"/>
        </w:rPr>
        <w:t>217,604</w:t>
      </w:r>
    </w:p>
    <w:p w14:paraId="18982864" w14:textId="77777777" w:rsidR="002D3279" w:rsidRPr="009252D7" w:rsidRDefault="002D3279" w:rsidP="002D3279">
      <w:pPr>
        <w:numPr>
          <w:ilvl w:val="0"/>
          <w:numId w:val="33"/>
        </w:numPr>
        <w:spacing w:after="0" w:line="360" w:lineRule="auto"/>
        <w:jc w:val="both"/>
        <w:rPr>
          <w:color w:val="000000" w:themeColor="text1"/>
        </w:rPr>
      </w:pPr>
      <w:r w:rsidRPr="009252D7">
        <w:rPr>
          <w:color w:val="000000" w:themeColor="text1"/>
        </w:rPr>
        <w:t xml:space="preserve">Gross loans (2023) = </w:t>
      </w:r>
      <w:r w:rsidRPr="009252D7">
        <w:rPr>
          <w:b/>
          <w:bCs/>
          <w:color w:val="000000" w:themeColor="text1"/>
        </w:rPr>
        <w:t>211,887</w:t>
      </w:r>
    </w:p>
    <w:p w14:paraId="2052381B" w14:textId="77777777" w:rsidR="002D3279" w:rsidRPr="009252D7" w:rsidRDefault="002D3279" w:rsidP="002D3279">
      <w:pPr>
        <w:spacing w:line="360" w:lineRule="auto"/>
        <w:jc w:val="both"/>
        <w:rPr>
          <w:color w:val="000000" w:themeColor="text1"/>
        </w:rPr>
      </w:pPr>
    </w:p>
    <w:p w14:paraId="0D3F2AFE" w14:textId="77777777" w:rsidR="002D3279" w:rsidRPr="009252D7" w:rsidRDefault="002D3279" w:rsidP="002D3279">
      <w:pPr>
        <w:spacing w:line="360" w:lineRule="auto"/>
        <w:jc w:val="both"/>
        <w:rPr>
          <w:b/>
          <w:bCs/>
          <w:color w:val="000000" w:themeColor="text1"/>
        </w:rPr>
      </w:pPr>
      <w:r w:rsidRPr="009252D7">
        <w:rPr>
          <w:b/>
          <w:bCs/>
          <w:color w:val="000000" w:themeColor="text1"/>
        </w:rPr>
        <w:t>Step 1: Average Gross Loans</w:t>
      </w:r>
    </w:p>
    <w:p w14:paraId="4B611B2E"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Average gross loans</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217,604+211,887</m:t>
              </m:r>
            </m:num>
            <m:den>
              <m:r>
                <w:rPr>
                  <w:rFonts w:ascii="Cambria Math" w:hAnsi="Cambria Math"/>
                  <w:color w:val="000000" w:themeColor="text1"/>
                </w:rPr>
                <m:t>2</m:t>
              </m:r>
            </m:den>
          </m:f>
          <m:r>
            <m:rPr>
              <m:sty m:val="p"/>
            </m:rPr>
            <w:rPr>
              <w:color w:val="000000" w:themeColor="text1"/>
            </w:rPr>
            <w:br/>
          </m:r>
        </m:oMath>
        <m:oMath>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429,491</m:t>
              </m:r>
            </m:num>
            <m:den>
              <m:r>
                <w:rPr>
                  <w:rFonts w:ascii="Cambria Math" w:hAnsi="Cambria Math"/>
                  <w:color w:val="000000" w:themeColor="text1"/>
                </w:rPr>
                <m:t>2</m:t>
              </m:r>
            </m:den>
          </m:f>
          <m:r>
            <w:rPr>
              <w:rFonts w:ascii="Cambria Math" w:hAnsi="Cambria Math"/>
              <w:color w:val="000000" w:themeColor="text1"/>
            </w:rPr>
            <m:t>=214,745.5</m:t>
          </m:r>
        </m:oMath>
      </m:oMathPara>
    </w:p>
    <w:p w14:paraId="675C836F" w14:textId="77777777" w:rsidR="002D3279" w:rsidRPr="009252D7" w:rsidRDefault="002D3279" w:rsidP="002D3279">
      <w:pPr>
        <w:spacing w:line="360" w:lineRule="auto"/>
        <w:jc w:val="both"/>
        <w:rPr>
          <w:color w:val="000000" w:themeColor="text1"/>
        </w:rPr>
      </w:pPr>
    </w:p>
    <w:p w14:paraId="632B1D5A" w14:textId="77777777" w:rsidR="002D3279" w:rsidRPr="009252D7" w:rsidRDefault="002D3279" w:rsidP="002D3279">
      <w:pPr>
        <w:spacing w:line="360" w:lineRule="auto"/>
        <w:jc w:val="both"/>
        <w:rPr>
          <w:color w:val="000000" w:themeColor="text1"/>
        </w:rPr>
      </w:pPr>
      <w:r w:rsidRPr="009252D7">
        <w:rPr>
          <w:i/>
          <w:color w:val="000000" w:themeColor="text1"/>
        </w:rPr>
        <w:br/>
      </w:r>
      <w:r w:rsidRPr="009252D7">
        <w:rPr>
          <w:b/>
          <w:bCs/>
          <w:color w:val="000000" w:themeColor="text1"/>
        </w:rPr>
        <w:t>Step 2: Cost of Risk Calculation</w:t>
      </w:r>
    </w:p>
    <w:p w14:paraId="0811F258" w14:textId="77777777" w:rsidR="002D3279" w:rsidRPr="009252D7" w:rsidRDefault="002D3279" w:rsidP="002D3279">
      <w:pPr>
        <w:spacing w:line="360" w:lineRule="auto"/>
        <w:jc w:val="both"/>
        <w:rPr>
          <w:color w:val="000000" w:themeColor="text1"/>
        </w:rPr>
      </w:pPr>
      <m:oMathPara>
        <m:oMathParaPr>
          <m:jc m:val="left"/>
        </m:oMathParaPr>
        <m:oMath>
          <m:r>
            <m:rPr>
              <m:nor/>
            </m:rPr>
            <w:rPr>
              <w:color w:val="000000" w:themeColor="text1"/>
            </w:rPr>
            <m:t>Cost of Risk</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315</m:t>
              </m:r>
            </m:num>
            <m:den>
              <m:r>
                <w:rPr>
                  <w:rFonts w:ascii="Cambria Math" w:hAnsi="Cambria Math"/>
                  <w:color w:val="000000" w:themeColor="text1"/>
                </w:rPr>
                <m:t>214,745.5</m:t>
              </m:r>
            </m:den>
          </m:f>
          <m:r>
            <w:rPr>
              <w:rFonts w:ascii="Cambria Math" w:hAnsi="Cambria Math"/>
              <w:color w:val="000000" w:themeColor="text1"/>
            </w:rPr>
            <m:t>=0.00147=</m:t>
          </m:r>
          <m:r>
            <m:rPr>
              <m:sty m:val="b"/>
            </m:rPr>
            <w:rPr>
              <w:rFonts w:ascii="Cambria Math" w:hAnsi="Cambria Math"/>
              <w:color w:val="000000" w:themeColor="text1"/>
            </w:rPr>
            <m:t>0.15%</m:t>
          </m:r>
          <m:r>
            <m:rPr>
              <m:sty m:val="p"/>
            </m:rPr>
            <w:rPr>
              <w:color w:val="000000" w:themeColor="text1"/>
            </w:rPr>
            <w:br/>
          </m:r>
        </m:oMath>
      </m:oMathPara>
    </w:p>
    <w:p w14:paraId="338ADBFB" w14:textId="77777777" w:rsidR="002D3279" w:rsidRPr="006825E0" w:rsidRDefault="002D3279" w:rsidP="002D3279">
      <w:pPr>
        <w:pStyle w:val="Heading2"/>
        <w:rPr>
          <w:rFonts w:ascii="Times New Roman" w:hAnsi="Times New Roman" w:cs="Times New Roman"/>
          <w:b/>
          <w:bCs/>
          <w:sz w:val="24"/>
          <w:szCs w:val="24"/>
        </w:rPr>
      </w:pPr>
      <w:bookmarkStart w:id="56" w:name="_Toc218979688"/>
      <w:r w:rsidRPr="006825E0">
        <w:rPr>
          <w:rFonts w:ascii="Times New Roman" w:hAnsi="Times New Roman" w:cs="Times New Roman"/>
          <w:b/>
          <w:bCs/>
          <w:sz w:val="24"/>
          <w:szCs w:val="24"/>
        </w:rPr>
        <w:t>Appendix M: Source of Gearing &amp; Capital Adequacy Ratios Data (FY 2023)</w:t>
      </w:r>
      <w:bookmarkEnd w:id="56"/>
    </w:p>
    <w:tbl>
      <w:tblPr>
        <w:tblW w:w="93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4"/>
        <w:gridCol w:w="1818"/>
        <w:gridCol w:w="2051"/>
        <w:gridCol w:w="3393"/>
      </w:tblGrid>
      <w:tr w:rsidR="002D3279" w:rsidRPr="009252D7" w14:paraId="64FCFD6F" w14:textId="77777777" w:rsidTr="00A42257">
        <w:trPr>
          <w:tblHeader/>
          <w:tblCellSpacing w:w="15" w:type="dxa"/>
        </w:trPr>
        <w:tc>
          <w:tcPr>
            <w:tcW w:w="2029" w:type="dxa"/>
            <w:vAlign w:val="center"/>
            <w:hideMark/>
          </w:tcPr>
          <w:p w14:paraId="712606FE" w14:textId="77777777" w:rsidR="002D3279" w:rsidRPr="009252D7" w:rsidRDefault="002D3279" w:rsidP="00A42257">
            <w:pPr>
              <w:spacing w:line="360" w:lineRule="auto"/>
              <w:jc w:val="center"/>
              <w:rPr>
                <w:b/>
                <w:bCs/>
                <w:color w:val="000000" w:themeColor="text1"/>
              </w:rPr>
            </w:pPr>
            <w:r w:rsidRPr="009252D7">
              <w:rPr>
                <w:b/>
                <w:bCs/>
                <w:color w:val="000000" w:themeColor="text1"/>
              </w:rPr>
              <w:t>Financial Data Item</w:t>
            </w:r>
          </w:p>
        </w:tc>
        <w:tc>
          <w:tcPr>
            <w:tcW w:w="1788" w:type="dxa"/>
            <w:vAlign w:val="center"/>
            <w:hideMark/>
          </w:tcPr>
          <w:p w14:paraId="5AE7442B" w14:textId="77777777" w:rsidR="002D3279" w:rsidRPr="009252D7" w:rsidRDefault="002D3279" w:rsidP="00A42257">
            <w:pPr>
              <w:spacing w:line="360" w:lineRule="auto"/>
              <w:jc w:val="center"/>
              <w:rPr>
                <w:b/>
                <w:bCs/>
                <w:color w:val="000000" w:themeColor="text1"/>
              </w:rPr>
            </w:pPr>
            <w:r w:rsidRPr="009252D7">
              <w:rPr>
                <w:b/>
                <w:bCs/>
                <w:color w:val="000000" w:themeColor="text1"/>
              </w:rPr>
              <w:t>Amount / Ratio</w:t>
            </w:r>
          </w:p>
        </w:tc>
        <w:tc>
          <w:tcPr>
            <w:tcW w:w="2021" w:type="dxa"/>
            <w:vAlign w:val="center"/>
            <w:hideMark/>
          </w:tcPr>
          <w:p w14:paraId="752F163C" w14:textId="77777777" w:rsidR="002D3279" w:rsidRPr="009252D7" w:rsidRDefault="002D3279" w:rsidP="00A42257">
            <w:pPr>
              <w:spacing w:line="360" w:lineRule="auto"/>
              <w:jc w:val="center"/>
              <w:rPr>
                <w:b/>
                <w:bCs/>
                <w:color w:val="000000" w:themeColor="text1"/>
              </w:rPr>
            </w:pPr>
            <w:r w:rsidRPr="009252D7">
              <w:rPr>
                <w:b/>
                <w:bCs/>
                <w:color w:val="000000" w:themeColor="text1"/>
              </w:rPr>
              <w:t>Used for Ratio</w:t>
            </w:r>
          </w:p>
        </w:tc>
        <w:tc>
          <w:tcPr>
            <w:tcW w:w="3348" w:type="dxa"/>
            <w:vAlign w:val="center"/>
            <w:hideMark/>
          </w:tcPr>
          <w:p w14:paraId="2A74FC3A"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2023</w:t>
            </w:r>
          </w:p>
        </w:tc>
      </w:tr>
      <w:tr w:rsidR="002D3279" w:rsidRPr="009252D7" w14:paraId="4C0A6A99" w14:textId="77777777" w:rsidTr="00A42257">
        <w:trPr>
          <w:tblCellSpacing w:w="15" w:type="dxa"/>
        </w:trPr>
        <w:tc>
          <w:tcPr>
            <w:tcW w:w="2029" w:type="dxa"/>
            <w:vAlign w:val="center"/>
            <w:hideMark/>
          </w:tcPr>
          <w:p w14:paraId="58936649" w14:textId="77777777" w:rsidR="002D3279" w:rsidRPr="009252D7" w:rsidRDefault="002D3279" w:rsidP="00A42257">
            <w:pPr>
              <w:spacing w:line="360" w:lineRule="auto"/>
              <w:jc w:val="center"/>
              <w:rPr>
                <w:color w:val="000000" w:themeColor="text1"/>
              </w:rPr>
            </w:pPr>
            <w:r w:rsidRPr="009252D7">
              <w:rPr>
                <w:color w:val="000000" w:themeColor="text1"/>
              </w:rPr>
              <w:t>Common Equity Tier 1 (CET1) Ratio</w:t>
            </w:r>
          </w:p>
        </w:tc>
        <w:tc>
          <w:tcPr>
            <w:tcW w:w="1788" w:type="dxa"/>
            <w:vAlign w:val="center"/>
            <w:hideMark/>
          </w:tcPr>
          <w:p w14:paraId="29C7EBFE" w14:textId="77777777" w:rsidR="002D3279" w:rsidRPr="009252D7" w:rsidRDefault="002D3279" w:rsidP="00A42257">
            <w:pPr>
              <w:spacing w:line="360" w:lineRule="auto"/>
              <w:jc w:val="center"/>
              <w:rPr>
                <w:color w:val="000000" w:themeColor="text1"/>
              </w:rPr>
            </w:pPr>
            <w:r w:rsidRPr="009252D7">
              <w:rPr>
                <w:color w:val="000000" w:themeColor="text1"/>
              </w:rPr>
              <w:t>14.0%</w:t>
            </w:r>
          </w:p>
        </w:tc>
        <w:tc>
          <w:tcPr>
            <w:tcW w:w="2021" w:type="dxa"/>
            <w:vAlign w:val="center"/>
            <w:hideMark/>
          </w:tcPr>
          <w:p w14:paraId="75B53135" w14:textId="77777777" w:rsidR="002D3279" w:rsidRPr="009252D7" w:rsidRDefault="002D3279" w:rsidP="00A42257">
            <w:pPr>
              <w:spacing w:line="360" w:lineRule="auto"/>
              <w:jc w:val="center"/>
              <w:rPr>
                <w:color w:val="000000" w:themeColor="text1"/>
              </w:rPr>
            </w:pPr>
            <w:r w:rsidRPr="009252D7">
              <w:rPr>
                <w:color w:val="000000" w:themeColor="text1"/>
              </w:rPr>
              <w:t>CET1 Ratio</w:t>
            </w:r>
          </w:p>
        </w:tc>
        <w:tc>
          <w:tcPr>
            <w:tcW w:w="3348" w:type="dxa"/>
            <w:vAlign w:val="center"/>
            <w:hideMark/>
          </w:tcPr>
          <w:p w14:paraId="432DB876"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section – Regulatory Capital Ratios table</w:t>
            </w:r>
          </w:p>
        </w:tc>
      </w:tr>
      <w:tr w:rsidR="002D3279" w:rsidRPr="009252D7" w14:paraId="66BCE838" w14:textId="77777777" w:rsidTr="00A42257">
        <w:trPr>
          <w:tblCellSpacing w:w="15" w:type="dxa"/>
        </w:trPr>
        <w:tc>
          <w:tcPr>
            <w:tcW w:w="2029" w:type="dxa"/>
            <w:vAlign w:val="center"/>
            <w:hideMark/>
          </w:tcPr>
          <w:p w14:paraId="46A8405B" w14:textId="77777777" w:rsidR="002D3279" w:rsidRPr="009252D7" w:rsidRDefault="002D3279" w:rsidP="00A42257">
            <w:pPr>
              <w:spacing w:line="360" w:lineRule="auto"/>
              <w:jc w:val="center"/>
              <w:rPr>
                <w:color w:val="000000" w:themeColor="text1"/>
              </w:rPr>
            </w:pPr>
            <w:r w:rsidRPr="009252D7">
              <w:rPr>
                <w:color w:val="000000" w:themeColor="text1"/>
              </w:rPr>
              <w:t>Total Capital Adequacy Ratio</w:t>
            </w:r>
          </w:p>
        </w:tc>
        <w:tc>
          <w:tcPr>
            <w:tcW w:w="1788" w:type="dxa"/>
            <w:vAlign w:val="center"/>
            <w:hideMark/>
          </w:tcPr>
          <w:p w14:paraId="3FB9B58E" w14:textId="77777777" w:rsidR="002D3279" w:rsidRPr="009252D7" w:rsidRDefault="002D3279" w:rsidP="00A42257">
            <w:pPr>
              <w:spacing w:line="360" w:lineRule="auto"/>
              <w:jc w:val="center"/>
              <w:rPr>
                <w:color w:val="000000" w:themeColor="text1"/>
              </w:rPr>
            </w:pPr>
            <w:r w:rsidRPr="009252D7">
              <w:rPr>
                <w:color w:val="000000" w:themeColor="text1"/>
              </w:rPr>
              <w:t>19.5%</w:t>
            </w:r>
          </w:p>
        </w:tc>
        <w:tc>
          <w:tcPr>
            <w:tcW w:w="2021" w:type="dxa"/>
            <w:vAlign w:val="center"/>
            <w:hideMark/>
          </w:tcPr>
          <w:p w14:paraId="5276E1E6" w14:textId="77777777" w:rsidR="002D3279" w:rsidRPr="009252D7" w:rsidRDefault="002D3279" w:rsidP="00A42257">
            <w:pPr>
              <w:spacing w:line="360" w:lineRule="auto"/>
              <w:jc w:val="center"/>
              <w:rPr>
                <w:color w:val="000000" w:themeColor="text1"/>
              </w:rPr>
            </w:pPr>
            <w:r w:rsidRPr="009252D7">
              <w:rPr>
                <w:color w:val="000000" w:themeColor="text1"/>
              </w:rPr>
              <w:t>Total Capital Adequacy Ratio (CAR)</w:t>
            </w:r>
          </w:p>
        </w:tc>
        <w:tc>
          <w:tcPr>
            <w:tcW w:w="3348" w:type="dxa"/>
            <w:vAlign w:val="center"/>
            <w:hideMark/>
          </w:tcPr>
          <w:p w14:paraId="35C5222D"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section – Regulatory Capital Ratios table</w:t>
            </w:r>
          </w:p>
        </w:tc>
      </w:tr>
      <w:tr w:rsidR="002D3279" w:rsidRPr="009252D7" w14:paraId="6BA2A8E2" w14:textId="77777777" w:rsidTr="00A42257">
        <w:trPr>
          <w:tblCellSpacing w:w="15" w:type="dxa"/>
        </w:trPr>
        <w:tc>
          <w:tcPr>
            <w:tcW w:w="2029" w:type="dxa"/>
            <w:vAlign w:val="center"/>
            <w:hideMark/>
          </w:tcPr>
          <w:p w14:paraId="78259E4E" w14:textId="77777777" w:rsidR="002D3279" w:rsidRPr="009252D7" w:rsidRDefault="002D3279" w:rsidP="00A42257">
            <w:pPr>
              <w:spacing w:line="360" w:lineRule="auto"/>
              <w:jc w:val="center"/>
              <w:rPr>
                <w:color w:val="000000" w:themeColor="text1"/>
              </w:rPr>
            </w:pPr>
            <w:r w:rsidRPr="009252D7">
              <w:rPr>
                <w:color w:val="000000" w:themeColor="text1"/>
              </w:rPr>
              <w:lastRenderedPageBreak/>
              <w:t>Leverage Ratio</w:t>
            </w:r>
          </w:p>
        </w:tc>
        <w:tc>
          <w:tcPr>
            <w:tcW w:w="1788" w:type="dxa"/>
            <w:vAlign w:val="center"/>
            <w:hideMark/>
          </w:tcPr>
          <w:p w14:paraId="5637211A" w14:textId="77777777" w:rsidR="002D3279" w:rsidRPr="009252D7" w:rsidRDefault="002D3279" w:rsidP="00A42257">
            <w:pPr>
              <w:spacing w:line="360" w:lineRule="auto"/>
              <w:jc w:val="center"/>
              <w:rPr>
                <w:color w:val="000000" w:themeColor="text1"/>
              </w:rPr>
            </w:pPr>
            <w:r w:rsidRPr="009252D7">
              <w:rPr>
                <w:color w:val="000000" w:themeColor="text1"/>
              </w:rPr>
              <w:t>6.1%</w:t>
            </w:r>
          </w:p>
        </w:tc>
        <w:tc>
          <w:tcPr>
            <w:tcW w:w="2021" w:type="dxa"/>
            <w:vAlign w:val="center"/>
            <w:hideMark/>
          </w:tcPr>
          <w:p w14:paraId="1BFDCB92" w14:textId="77777777" w:rsidR="002D3279" w:rsidRPr="009252D7" w:rsidRDefault="002D3279" w:rsidP="00A42257">
            <w:pPr>
              <w:spacing w:line="360" w:lineRule="auto"/>
              <w:jc w:val="center"/>
              <w:rPr>
                <w:color w:val="000000" w:themeColor="text1"/>
              </w:rPr>
            </w:pPr>
            <w:r w:rsidRPr="009252D7">
              <w:rPr>
                <w:color w:val="000000" w:themeColor="text1"/>
              </w:rPr>
              <w:t>Leverage Ratio</w:t>
            </w:r>
          </w:p>
        </w:tc>
        <w:tc>
          <w:tcPr>
            <w:tcW w:w="3348" w:type="dxa"/>
            <w:vAlign w:val="center"/>
            <w:hideMark/>
          </w:tcPr>
          <w:p w14:paraId="727773CE"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section – Leverage Ratio disclosure</w:t>
            </w:r>
          </w:p>
        </w:tc>
      </w:tr>
      <w:tr w:rsidR="002D3279" w:rsidRPr="009252D7" w14:paraId="22C61A48" w14:textId="77777777" w:rsidTr="00A42257">
        <w:trPr>
          <w:tblCellSpacing w:w="15" w:type="dxa"/>
        </w:trPr>
        <w:tc>
          <w:tcPr>
            <w:tcW w:w="2029" w:type="dxa"/>
            <w:vAlign w:val="center"/>
            <w:hideMark/>
          </w:tcPr>
          <w:p w14:paraId="5A35DA77" w14:textId="77777777" w:rsidR="002D3279" w:rsidRPr="009252D7" w:rsidRDefault="002D3279" w:rsidP="00A42257">
            <w:pPr>
              <w:spacing w:line="360" w:lineRule="auto"/>
              <w:jc w:val="center"/>
              <w:rPr>
                <w:color w:val="000000" w:themeColor="text1"/>
              </w:rPr>
            </w:pPr>
            <w:r w:rsidRPr="009252D7">
              <w:rPr>
                <w:color w:val="000000" w:themeColor="text1"/>
              </w:rPr>
              <w:t>Risk-Weighted Assets (RWA)</w:t>
            </w:r>
          </w:p>
        </w:tc>
        <w:tc>
          <w:tcPr>
            <w:tcW w:w="1788" w:type="dxa"/>
            <w:vAlign w:val="center"/>
            <w:hideMark/>
          </w:tcPr>
          <w:p w14:paraId="5F0AE484" w14:textId="77777777" w:rsidR="002D3279" w:rsidRPr="009252D7" w:rsidRDefault="002D3279" w:rsidP="00A42257">
            <w:pPr>
              <w:spacing w:line="360" w:lineRule="auto"/>
              <w:jc w:val="center"/>
              <w:rPr>
                <w:color w:val="000000" w:themeColor="text1"/>
              </w:rPr>
            </w:pPr>
            <w:r w:rsidRPr="009252D7">
              <w:rPr>
                <w:color w:val="000000" w:themeColor="text1"/>
              </w:rPr>
              <w:t>£101,478m</w:t>
            </w:r>
          </w:p>
        </w:tc>
        <w:tc>
          <w:tcPr>
            <w:tcW w:w="2021" w:type="dxa"/>
            <w:vAlign w:val="center"/>
            <w:hideMark/>
          </w:tcPr>
          <w:p w14:paraId="3FED7B43" w14:textId="77777777" w:rsidR="002D3279" w:rsidRPr="009252D7" w:rsidRDefault="002D3279" w:rsidP="00A42257">
            <w:pPr>
              <w:spacing w:line="360" w:lineRule="auto"/>
              <w:jc w:val="center"/>
              <w:rPr>
                <w:color w:val="000000" w:themeColor="text1"/>
              </w:rPr>
            </w:pPr>
            <w:r w:rsidRPr="009252D7">
              <w:rPr>
                <w:color w:val="000000" w:themeColor="text1"/>
              </w:rPr>
              <w:t>CET1 Ratio, Total CAR</w:t>
            </w:r>
          </w:p>
        </w:tc>
        <w:tc>
          <w:tcPr>
            <w:tcW w:w="3348" w:type="dxa"/>
            <w:vAlign w:val="center"/>
            <w:hideMark/>
          </w:tcPr>
          <w:p w14:paraId="149E94FB" w14:textId="77777777" w:rsidR="002D3279" w:rsidRPr="009252D7" w:rsidRDefault="002D3279" w:rsidP="00A42257">
            <w:pPr>
              <w:spacing w:line="360" w:lineRule="auto"/>
              <w:jc w:val="center"/>
              <w:rPr>
                <w:color w:val="000000" w:themeColor="text1"/>
              </w:rPr>
            </w:pPr>
            <w:r w:rsidRPr="009252D7">
              <w:rPr>
                <w:color w:val="000000" w:themeColor="text1"/>
              </w:rPr>
              <w:t>Capital, Leverage and Liquidity section – Risk-Weighted Assets table</w:t>
            </w:r>
          </w:p>
        </w:tc>
      </w:tr>
      <w:tr w:rsidR="002D3279" w:rsidRPr="009252D7" w14:paraId="2FBCCB72" w14:textId="77777777" w:rsidTr="00A42257">
        <w:trPr>
          <w:tblCellSpacing w:w="15" w:type="dxa"/>
        </w:trPr>
        <w:tc>
          <w:tcPr>
            <w:tcW w:w="2029" w:type="dxa"/>
            <w:vAlign w:val="center"/>
            <w:hideMark/>
          </w:tcPr>
          <w:p w14:paraId="24EAFF5E" w14:textId="77777777" w:rsidR="002D3279" w:rsidRPr="009252D7" w:rsidRDefault="002D3279" w:rsidP="00A42257">
            <w:pPr>
              <w:spacing w:line="360" w:lineRule="auto"/>
              <w:jc w:val="center"/>
              <w:rPr>
                <w:color w:val="000000" w:themeColor="text1"/>
              </w:rPr>
            </w:pPr>
            <w:r w:rsidRPr="009252D7">
              <w:rPr>
                <w:color w:val="000000" w:themeColor="text1"/>
              </w:rPr>
              <w:t>CET1 Capital (derived by bank)</w:t>
            </w:r>
          </w:p>
        </w:tc>
        <w:tc>
          <w:tcPr>
            <w:tcW w:w="1788" w:type="dxa"/>
            <w:vAlign w:val="center"/>
            <w:hideMark/>
          </w:tcPr>
          <w:p w14:paraId="6653905D" w14:textId="77777777" w:rsidR="002D3279" w:rsidRPr="009252D7" w:rsidRDefault="002D3279" w:rsidP="00A42257">
            <w:pPr>
              <w:spacing w:line="360" w:lineRule="auto"/>
              <w:jc w:val="center"/>
              <w:rPr>
                <w:color w:val="000000" w:themeColor="text1"/>
              </w:rPr>
            </w:pPr>
            <w:r w:rsidRPr="009252D7">
              <w:rPr>
                <w:color w:val="000000" w:themeColor="text1"/>
              </w:rPr>
              <w:t>As per regulatory disclosure</w:t>
            </w:r>
          </w:p>
        </w:tc>
        <w:tc>
          <w:tcPr>
            <w:tcW w:w="2021" w:type="dxa"/>
            <w:vAlign w:val="center"/>
            <w:hideMark/>
          </w:tcPr>
          <w:p w14:paraId="2ED62A1C" w14:textId="77777777" w:rsidR="002D3279" w:rsidRPr="009252D7" w:rsidRDefault="002D3279" w:rsidP="00A42257">
            <w:pPr>
              <w:spacing w:line="360" w:lineRule="auto"/>
              <w:jc w:val="center"/>
              <w:rPr>
                <w:color w:val="000000" w:themeColor="text1"/>
              </w:rPr>
            </w:pPr>
            <w:r w:rsidRPr="009252D7">
              <w:rPr>
                <w:color w:val="000000" w:themeColor="text1"/>
              </w:rPr>
              <w:t>CET1 Ratio</w:t>
            </w:r>
          </w:p>
        </w:tc>
        <w:tc>
          <w:tcPr>
            <w:tcW w:w="3348" w:type="dxa"/>
            <w:vAlign w:val="center"/>
            <w:hideMark/>
          </w:tcPr>
          <w:p w14:paraId="691A4458" w14:textId="77777777" w:rsidR="002D3279" w:rsidRPr="009252D7" w:rsidRDefault="002D3279" w:rsidP="00A42257">
            <w:pPr>
              <w:spacing w:line="360" w:lineRule="auto"/>
              <w:jc w:val="center"/>
              <w:rPr>
                <w:color w:val="000000" w:themeColor="text1"/>
              </w:rPr>
            </w:pPr>
            <w:r w:rsidRPr="009252D7">
              <w:rPr>
                <w:color w:val="000000" w:themeColor="text1"/>
              </w:rPr>
              <w:t>Notes on Regulatory Capital Instruments</w:t>
            </w:r>
          </w:p>
        </w:tc>
      </w:tr>
      <w:tr w:rsidR="002D3279" w:rsidRPr="009252D7" w14:paraId="4411ADC6" w14:textId="77777777" w:rsidTr="00A42257">
        <w:trPr>
          <w:tblCellSpacing w:w="15" w:type="dxa"/>
        </w:trPr>
        <w:tc>
          <w:tcPr>
            <w:tcW w:w="2029" w:type="dxa"/>
            <w:vAlign w:val="center"/>
            <w:hideMark/>
          </w:tcPr>
          <w:p w14:paraId="78D5A855" w14:textId="77777777" w:rsidR="002D3279" w:rsidRPr="009252D7" w:rsidRDefault="002D3279" w:rsidP="00A42257">
            <w:pPr>
              <w:spacing w:line="360" w:lineRule="auto"/>
              <w:jc w:val="center"/>
              <w:rPr>
                <w:color w:val="000000" w:themeColor="text1"/>
              </w:rPr>
            </w:pPr>
            <w:r w:rsidRPr="009252D7">
              <w:rPr>
                <w:color w:val="000000" w:themeColor="text1"/>
              </w:rPr>
              <w:t xml:space="preserve">Total Capital </w:t>
            </w:r>
          </w:p>
          <w:p w14:paraId="37A7AF81" w14:textId="77777777" w:rsidR="002D3279" w:rsidRPr="009252D7" w:rsidRDefault="002D3279" w:rsidP="00A42257">
            <w:pPr>
              <w:spacing w:line="360" w:lineRule="auto"/>
              <w:jc w:val="center"/>
              <w:rPr>
                <w:color w:val="000000" w:themeColor="text1"/>
              </w:rPr>
            </w:pPr>
            <w:r w:rsidRPr="009252D7">
              <w:rPr>
                <w:color w:val="000000" w:themeColor="text1"/>
              </w:rPr>
              <w:t>(Tier 1 + Tier 2)</w:t>
            </w:r>
          </w:p>
        </w:tc>
        <w:tc>
          <w:tcPr>
            <w:tcW w:w="1788" w:type="dxa"/>
            <w:vAlign w:val="center"/>
            <w:hideMark/>
          </w:tcPr>
          <w:p w14:paraId="3704AD9F" w14:textId="77777777" w:rsidR="002D3279" w:rsidRPr="009252D7" w:rsidRDefault="002D3279" w:rsidP="00A42257">
            <w:pPr>
              <w:spacing w:line="360" w:lineRule="auto"/>
              <w:jc w:val="center"/>
              <w:rPr>
                <w:color w:val="000000" w:themeColor="text1"/>
              </w:rPr>
            </w:pPr>
            <w:r w:rsidRPr="009252D7">
              <w:rPr>
                <w:color w:val="000000" w:themeColor="text1"/>
              </w:rPr>
              <w:t>As per regulatory disclosure</w:t>
            </w:r>
          </w:p>
        </w:tc>
        <w:tc>
          <w:tcPr>
            <w:tcW w:w="2021" w:type="dxa"/>
            <w:vAlign w:val="center"/>
            <w:hideMark/>
          </w:tcPr>
          <w:p w14:paraId="49858AB9" w14:textId="77777777" w:rsidR="002D3279" w:rsidRPr="009252D7" w:rsidRDefault="002D3279" w:rsidP="00A42257">
            <w:pPr>
              <w:spacing w:line="360" w:lineRule="auto"/>
              <w:jc w:val="center"/>
              <w:rPr>
                <w:color w:val="000000" w:themeColor="text1"/>
              </w:rPr>
            </w:pPr>
            <w:r w:rsidRPr="009252D7">
              <w:rPr>
                <w:color w:val="000000" w:themeColor="text1"/>
              </w:rPr>
              <w:t>Total CAR</w:t>
            </w:r>
          </w:p>
        </w:tc>
        <w:tc>
          <w:tcPr>
            <w:tcW w:w="3348" w:type="dxa"/>
            <w:vAlign w:val="center"/>
            <w:hideMark/>
          </w:tcPr>
          <w:p w14:paraId="2327AC82" w14:textId="77777777" w:rsidR="002D3279" w:rsidRPr="009252D7" w:rsidRDefault="002D3279" w:rsidP="00A42257">
            <w:pPr>
              <w:spacing w:line="360" w:lineRule="auto"/>
              <w:jc w:val="center"/>
              <w:rPr>
                <w:color w:val="000000" w:themeColor="text1"/>
              </w:rPr>
            </w:pPr>
            <w:r w:rsidRPr="009252D7">
              <w:rPr>
                <w:color w:val="000000" w:themeColor="text1"/>
              </w:rPr>
              <w:t>Notes on Regulatory Capital Instruments</w:t>
            </w:r>
          </w:p>
        </w:tc>
      </w:tr>
      <w:tr w:rsidR="002D3279" w:rsidRPr="009252D7" w14:paraId="0A58B898" w14:textId="77777777" w:rsidTr="00A42257">
        <w:trPr>
          <w:tblCellSpacing w:w="15" w:type="dxa"/>
        </w:trPr>
        <w:tc>
          <w:tcPr>
            <w:tcW w:w="2029" w:type="dxa"/>
            <w:vAlign w:val="center"/>
            <w:hideMark/>
          </w:tcPr>
          <w:p w14:paraId="754467C2" w14:textId="77777777" w:rsidR="002D3279" w:rsidRPr="009252D7" w:rsidRDefault="002D3279" w:rsidP="00A42257">
            <w:pPr>
              <w:spacing w:line="360" w:lineRule="auto"/>
              <w:jc w:val="center"/>
              <w:rPr>
                <w:color w:val="000000" w:themeColor="text1"/>
              </w:rPr>
            </w:pPr>
            <w:r w:rsidRPr="009252D7">
              <w:rPr>
                <w:color w:val="000000" w:themeColor="text1"/>
              </w:rPr>
              <w:t>Tier 1 Capital</w:t>
            </w:r>
          </w:p>
        </w:tc>
        <w:tc>
          <w:tcPr>
            <w:tcW w:w="1788" w:type="dxa"/>
            <w:vAlign w:val="center"/>
            <w:hideMark/>
          </w:tcPr>
          <w:p w14:paraId="5C4D6DB8" w14:textId="77777777" w:rsidR="002D3279" w:rsidRPr="009252D7" w:rsidRDefault="002D3279" w:rsidP="00A42257">
            <w:pPr>
              <w:spacing w:line="360" w:lineRule="auto"/>
              <w:jc w:val="center"/>
              <w:rPr>
                <w:color w:val="000000" w:themeColor="text1"/>
              </w:rPr>
            </w:pPr>
            <w:r w:rsidRPr="009252D7">
              <w:rPr>
                <w:color w:val="000000" w:themeColor="text1"/>
              </w:rPr>
              <w:t>As per regulatory disclosure</w:t>
            </w:r>
          </w:p>
        </w:tc>
        <w:tc>
          <w:tcPr>
            <w:tcW w:w="2021" w:type="dxa"/>
            <w:vAlign w:val="center"/>
            <w:hideMark/>
          </w:tcPr>
          <w:p w14:paraId="21770995" w14:textId="77777777" w:rsidR="002D3279" w:rsidRPr="009252D7" w:rsidRDefault="002D3279" w:rsidP="00A42257">
            <w:pPr>
              <w:spacing w:line="360" w:lineRule="auto"/>
              <w:jc w:val="center"/>
              <w:rPr>
                <w:color w:val="000000" w:themeColor="text1"/>
              </w:rPr>
            </w:pPr>
            <w:r w:rsidRPr="009252D7">
              <w:rPr>
                <w:color w:val="000000" w:themeColor="text1"/>
              </w:rPr>
              <w:t>Leverage Ratio</w:t>
            </w:r>
          </w:p>
        </w:tc>
        <w:tc>
          <w:tcPr>
            <w:tcW w:w="3348" w:type="dxa"/>
            <w:vAlign w:val="center"/>
            <w:hideMark/>
          </w:tcPr>
          <w:p w14:paraId="6EB75585" w14:textId="77777777" w:rsidR="002D3279" w:rsidRPr="009252D7" w:rsidRDefault="002D3279" w:rsidP="00A42257">
            <w:pPr>
              <w:spacing w:line="360" w:lineRule="auto"/>
              <w:jc w:val="center"/>
              <w:rPr>
                <w:color w:val="000000" w:themeColor="text1"/>
              </w:rPr>
            </w:pPr>
            <w:r w:rsidRPr="009252D7">
              <w:rPr>
                <w:color w:val="000000" w:themeColor="text1"/>
              </w:rPr>
              <w:t>Leverage Ratio calculation notes</w:t>
            </w:r>
          </w:p>
        </w:tc>
      </w:tr>
    </w:tbl>
    <w:p w14:paraId="08AE5AA4" w14:textId="77777777" w:rsidR="002D3279" w:rsidRPr="009252D7" w:rsidRDefault="002D3279" w:rsidP="002D3279">
      <w:pPr>
        <w:spacing w:line="360" w:lineRule="auto"/>
        <w:jc w:val="both"/>
        <w:rPr>
          <w:color w:val="000000" w:themeColor="text1"/>
        </w:rPr>
      </w:pPr>
    </w:p>
    <w:p w14:paraId="23D7FAA1" w14:textId="77777777" w:rsidR="002D3279" w:rsidRPr="006825E0" w:rsidRDefault="002D3279" w:rsidP="002D3279">
      <w:pPr>
        <w:pStyle w:val="Heading2"/>
        <w:rPr>
          <w:rFonts w:ascii="Times New Roman" w:hAnsi="Times New Roman" w:cs="Times New Roman"/>
          <w:sz w:val="24"/>
          <w:szCs w:val="24"/>
        </w:rPr>
      </w:pPr>
      <w:bookmarkStart w:id="57" w:name="_Toc218979689"/>
      <w:r w:rsidRPr="006825E0">
        <w:rPr>
          <w:rFonts w:ascii="Times New Roman" w:hAnsi="Times New Roman" w:cs="Times New Roman"/>
          <w:sz w:val="24"/>
          <w:szCs w:val="24"/>
        </w:rPr>
        <w:t>Appendix N: Detailed Gearing &amp; Capital Adequacy Ratio Calculations (FY 2023)</w:t>
      </w:r>
      <w:bookmarkEnd w:id="57"/>
    </w:p>
    <w:p w14:paraId="2FB6BD0B" w14:textId="77777777" w:rsidR="002D3279" w:rsidRPr="009252D7" w:rsidRDefault="002D3279" w:rsidP="002D3279">
      <w:pPr>
        <w:spacing w:line="360" w:lineRule="auto"/>
        <w:jc w:val="both"/>
        <w:rPr>
          <w:b/>
          <w:bCs/>
          <w:color w:val="000000" w:themeColor="text1"/>
        </w:rPr>
      </w:pPr>
      <w:r w:rsidRPr="009252D7">
        <w:rPr>
          <w:b/>
          <w:bCs/>
          <w:color w:val="000000" w:themeColor="text1"/>
        </w:rPr>
        <w:t>1. Common Equity Tier 1 (CET1) Ratio</w:t>
      </w:r>
    </w:p>
    <w:p w14:paraId="107F1E93"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br/>
        <w:t>CET1 Capital ÷ Risk-Weighted Assets (RWA)</w:t>
      </w:r>
    </w:p>
    <w:p w14:paraId="77C49D21" w14:textId="77777777" w:rsidR="002D3279" w:rsidRPr="009252D7" w:rsidRDefault="002D3279" w:rsidP="002D3279">
      <w:pPr>
        <w:spacing w:line="360" w:lineRule="auto"/>
        <w:jc w:val="both"/>
        <w:rPr>
          <w:color w:val="000000" w:themeColor="text1"/>
        </w:rPr>
      </w:pPr>
      <w:r w:rsidRPr="009252D7">
        <w:rPr>
          <w:b/>
          <w:bCs/>
          <w:color w:val="000000" w:themeColor="text1"/>
        </w:rPr>
        <w:t>Figures (2023)</w:t>
      </w:r>
    </w:p>
    <w:p w14:paraId="4CCCEFE0" w14:textId="77777777" w:rsidR="002D3279" w:rsidRPr="009252D7" w:rsidRDefault="002D3279" w:rsidP="002D3279">
      <w:pPr>
        <w:numPr>
          <w:ilvl w:val="0"/>
          <w:numId w:val="34"/>
        </w:numPr>
        <w:spacing w:after="0" w:line="360" w:lineRule="auto"/>
        <w:jc w:val="both"/>
        <w:rPr>
          <w:color w:val="000000" w:themeColor="text1"/>
        </w:rPr>
      </w:pPr>
      <w:r w:rsidRPr="009252D7">
        <w:rPr>
          <w:color w:val="000000" w:themeColor="text1"/>
        </w:rPr>
        <w:t xml:space="preserve">Risk-Weighted Assets (RWA) = </w:t>
      </w:r>
      <w:r w:rsidRPr="009252D7">
        <w:rPr>
          <w:b/>
          <w:bCs/>
          <w:color w:val="000000" w:themeColor="text1"/>
        </w:rPr>
        <w:t>£101,478m</w:t>
      </w:r>
    </w:p>
    <w:p w14:paraId="6D1B4C00" w14:textId="77777777" w:rsidR="002D3279" w:rsidRPr="009252D7" w:rsidRDefault="002D3279" w:rsidP="002D3279">
      <w:pPr>
        <w:numPr>
          <w:ilvl w:val="0"/>
          <w:numId w:val="34"/>
        </w:numPr>
        <w:spacing w:after="0" w:line="360" w:lineRule="auto"/>
        <w:jc w:val="both"/>
        <w:rPr>
          <w:color w:val="000000" w:themeColor="text1"/>
        </w:rPr>
      </w:pPr>
      <w:r w:rsidRPr="009252D7">
        <w:rPr>
          <w:color w:val="000000" w:themeColor="text1"/>
        </w:rPr>
        <w:t xml:space="preserve">Reported CET1 Ratio = </w:t>
      </w:r>
      <w:r w:rsidRPr="009252D7">
        <w:rPr>
          <w:b/>
          <w:bCs/>
          <w:color w:val="000000" w:themeColor="text1"/>
        </w:rPr>
        <w:t>14.0%</w:t>
      </w:r>
    </w:p>
    <w:p w14:paraId="4B3F7DDB" w14:textId="77777777" w:rsidR="002D3279" w:rsidRPr="009252D7" w:rsidRDefault="002D3279" w:rsidP="002D3279">
      <w:pPr>
        <w:spacing w:line="360" w:lineRule="auto"/>
        <w:rPr>
          <w:color w:val="000000" w:themeColor="text1"/>
        </w:rPr>
      </w:pPr>
      <w:r w:rsidRPr="009252D7">
        <w:rPr>
          <w:b/>
          <w:bCs/>
          <w:color w:val="000000" w:themeColor="text1"/>
        </w:rPr>
        <w:t>Calculation (reverse-derived CET1 capital)</w:t>
      </w:r>
    </w:p>
    <w:p w14:paraId="5DCC1D16" w14:textId="77777777" w:rsidR="002D3279" w:rsidRPr="009252D7" w:rsidRDefault="002D3279" w:rsidP="002D3279">
      <w:pPr>
        <w:spacing w:line="360" w:lineRule="auto"/>
        <w:rPr>
          <w:color w:val="000000" w:themeColor="text1"/>
        </w:rPr>
      </w:pPr>
      <w:r w:rsidRPr="009252D7">
        <w:rPr>
          <w:color w:val="000000" w:themeColor="text1"/>
        </w:rPr>
        <w:t>CET1 Capital</w:t>
      </w:r>
      <w:r w:rsidRPr="009252D7">
        <w:rPr>
          <w:color w:val="000000" w:themeColor="text1"/>
        </w:rPr>
        <w:br/>
        <w:t xml:space="preserve">= 14.0% × 101,478 = 0.14 × 101,478 = </w:t>
      </w:r>
      <w:r w:rsidRPr="009252D7">
        <w:rPr>
          <w:b/>
          <w:bCs/>
          <w:color w:val="000000" w:themeColor="text1"/>
        </w:rPr>
        <w:t>£14,206.92m</w:t>
      </w:r>
    </w:p>
    <w:p w14:paraId="7A84CFB9" w14:textId="77777777" w:rsidR="002D3279" w:rsidRPr="009252D7" w:rsidRDefault="002D3279" w:rsidP="002D3279">
      <w:pPr>
        <w:spacing w:line="360" w:lineRule="auto"/>
        <w:jc w:val="both"/>
        <w:rPr>
          <w:color w:val="000000" w:themeColor="text1"/>
        </w:rPr>
      </w:pPr>
      <w:r w:rsidRPr="009252D7">
        <w:rPr>
          <w:b/>
          <w:bCs/>
          <w:color w:val="000000" w:themeColor="text1"/>
        </w:rPr>
        <w:t>CET1 Ratio Calculation Check</w:t>
      </w:r>
    </w:p>
    <w:p w14:paraId="5421DA47" w14:textId="77777777" w:rsidR="002D3279" w:rsidRPr="009252D7" w:rsidRDefault="002D3279" w:rsidP="002D3279">
      <w:pPr>
        <w:spacing w:line="360" w:lineRule="auto"/>
        <w:rPr>
          <w:color w:val="000000" w:themeColor="text1"/>
        </w:rPr>
      </w:pPr>
      <w:r w:rsidRPr="009252D7">
        <w:rPr>
          <w:color w:val="000000" w:themeColor="text1"/>
        </w:rPr>
        <w:t xml:space="preserve">CET1 Ratio = 14,206.92 ÷ 101,478 = </w:t>
      </w:r>
      <w:r w:rsidRPr="009252D7">
        <w:rPr>
          <w:b/>
          <w:bCs/>
          <w:color w:val="000000" w:themeColor="text1"/>
        </w:rPr>
        <w:t>0.14 = 14.0%</w:t>
      </w:r>
    </w:p>
    <w:p w14:paraId="12367A7A" w14:textId="77777777" w:rsidR="002D3279" w:rsidRPr="009252D7" w:rsidRDefault="002D3279" w:rsidP="002D3279">
      <w:pPr>
        <w:spacing w:line="360" w:lineRule="auto"/>
        <w:jc w:val="both"/>
        <w:rPr>
          <w:b/>
          <w:bCs/>
          <w:color w:val="000000" w:themeColor="text1"/>
        </w:rPr>
      </w:pPr>
      <w:r w:rsidRPr="009252D7">
        <w:rPr>
          <w:b/>
          <w:bCs/>
          <w:color w:val="000000" w:themeColor="text1"/>
        </w:rPr>
        <w:lastRenderedPageBreak/>
        <w:t>2. Total Capital Adequacy Ratio (CAR)</w:t>
      </w:r>
    </w:p>
    <w:p w14:paraId="4F054853"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Total Capital ÷ Risk-Weighted Assets (RWA)</w:t>
      </w:r>
    </w:p>
    <w:p w14:paraId="18B4863A" w14:textId="77777777" w:rsidR="002D3279" w:rsidRPr="009252D7" w:rsidRDefault="002D3279" w:rsidP="002D3279">
      <w:pPr>
        <w:spacing w:line="360" w:lineRule="auto"/>
        <w:jc w:val="both"/>
        <w:rPr>
          <w:color w:val="000000" w:themeColor="text1"/>
        </w:rPr>
      </w:pPr>
      <w:r w:rsidRPr="009252D7">
        <w:rPr>
          <w:b/>
          <w:bCs/>
          <w:color w:val="000000" w:themeColor="text1"/>
        </w:rPr>
        <w:t>Figures (2023)</w:t>
      </w:r>
    </w:p>
    <w:p w14:paraId="608E0C07" w14:textId="77777777" w:rsidR="002D3279" w:rsidRPr="009252D7" w:rsidRDefault="002D3279" w:rsidP="002D3279">
      <w:pPr>
        <w:numPr>
          <w:ilvl w:val="0"/>
          <w:numId w:val="35"/>
        </w:numPr>
        <w:spacing w:after="0" w:line="360" w:lineRule="auto"/>
        <w:jc w:val="both"/>
        <w:rPr>
          <w:color w:val="000000" w:themeColor="text1"/>
        </w:rPr>
      </w:pPr>
      <w:r w:rsidRPr="009252D7">
        <w:rPr>
          <w:color w:val="000000" w:themeColor="text1"/>
        </w:rPr>
        <w:t xml:space="preserve">Risk-Weighted Assets (RWA) = </w:t>
      </w:r>
      <w:r w:rsidRPr="009252D7">
        <w:rPr>
          <w:b/>
          <w:bCs/>
          <w:color w:val="000000" w:themeColor="text1"/>
        </w:rPr>
        <w:t>£101,478m</w:t>
      </w:r>
    </w:p>
    <w:p w14:paraId="447041C8" w14:textId="77777777" w:rsidR="002D3279" w:rsidRPr="009252D7" w:rsidRDefault="002D3279" w:rsidP="002D3279">
      <w:pPr>
        <w:numPr>
          <w:ilvl w:val="0"/>
          <w:numId w:val="35"/>
        </w:numPr>
        <w:spacing w:after="0" w:line="360" w:lineRule="auto"/>
        <w:jc w:val="both"/>
        <w:rPr>
          <w:color w:val="000000" w:themeColor="text1"/>
        </w:rPr>
      </w:pPr>
      <w:r w:rsidRPr="009252D7">
        <w:rPr>
          <w:color w:val="000000" w:themeColor="text1"/>
        </w:rPr>
        <w:t xml:space="preserve">Reported Total Capital Ratio = </w:t>
      </w:r>
      <w:r w:rsidRPr="009252D7">
        <w:rPr>
          <w:b/>
          <w:bCs/>
          <w:color w:val="000000" w:themeColor="text1"/>
        </w:rPr>
        <w:t>19.5%</w:t>
      </w:r>
    </w:p>
    <w:p w14:paraId="21987C4F" w14:textId="77777777" w:rsidR="002D3279" w:rsidRPr="009252D7" w:rsidRDefault="002D3279" w:rsidP="002D3279">
      <w:pPr>
        <w:spacing w:line="360" w:lineRule="auto"/>
        <w:rPr>
          <w:color w:val="000000" w:themeColor="text1"/>
        </w:rPr>
      </w:pPr>
      <w:r w:rsidRPr="009252D7">
        <w:rPr>
          <w:b/>
          <w:bCs/>
          <w:color w:val="000000" w:themeColor="text1"/>
        </w:rPr>
        <w:t>Calculation (reverse-derived total capital)</w:t>
      </w:r>
    </w:p>
    <w:p w14:paraId="71E5B6B1" w14:textId="77777777" w:rsidR="002D3279" w:rsidRPr="009252D7" w:rsidRDefault="002D3279" w:rsidP="002D3279">
      <w:pPr>
        <w:spacing w:line="360" w:lineRule="auto"/>
        <w:rPr>
          <w:color w:val="000000" w:themeColor="text1"/>
        </w:rPr>
      </w:pPr>
      <w:r w:rsidRPr="009252D7">
        <w:rPr>
          <w:color w:val="000000" w:themeColor="text1"/>
        </w:rPr>
        <w:t xml:space="preserve">Total Capital = 19.5% × 101,478 = 0.195 × 101,478 = </w:t>
      </w:r>
      <w:r w:rsidRPr="009252D7">
        <w:rPr>
          <w:b/>
          <w:bCs/>
          <w:color w:val="000000" w:themeColor="text1"/>
        </w:rPr>
        <w:t>£19,788.21m</w:t>
      </w:r>
    </w:p>
    <w:p w14:paraId="149E95E5" w14:textId="77777777" w:rsidR="002D3279" w:rsidRPr="009252D7" w:rsidRDefault="002D3279" w:rsidP="002D3279">
      <w:pPr>
        <w:spacing w:line="360" w:lineRule="auto"/>
        <w:rPr>
          <w:color w:val="000000" w:themeColor="text1"/>
        </w:rPr>
      </w:pPr>
      <w:r w:rsidRPr="009252D7">
        <w:rPr>
          <w:b/>
          <w:bCs/>
          <w:color w:val="000000" w:themeColor="text1"/>
        </w:rPr>
        <w:t>Total Capital Ratio Calculation Check</w:t>
      </w:r>
    </w:p>
    <w:p w14:paraId="22E933C1" w14:textId="77777777" w:rsidR="002D3279" w:rsidRPr="009252D7" w:rsidRDefault="002D3279" w:rsidP="002D3279">
      <w:pPr>
        <w:spacing w:line="360" w:lineRule="auto"/>
        <w:rPr>
          <w:color w:val="000000" w:themeColor="text1"/>
        </w:rPr>
      </w:pPr>
      <w:r w:rsidRPr="009252D7">
        <w:rPr>
          <w:color w:val="000000" w:themeColor="text1"/>
        </w:rPr>
        <w:t xml:space="preserve">Total Capital Ratio = 19,788.21 ÷ 101,478 = </w:t>
      </w:r>
      <w:r w:rsidRPr="009252D7">
        <w:rPr>
          <w:b/>
          <w:bCs/>
          <w:color w:val="000000" w:themeColor="text1"/>
        </w:rPr>
        <w:t>0.195 = 19.5%</w:t>
      </w:r>
    </w:p>
    <w:p w14:paraId="67734A7A" w14:textId="77777777" w:rsidR="002D3279" w:rsidRPr="009252D7" w:rsidRDefault="002D3279" w:rsidP="002D3279">
      <w:pPr>
        <w:spacing w:line="360" w:lineRule="auto"/>
        <w:jc w:val="both"/>
        <w:rPr>
          <w:color w:val="000000" w:themeColor="text1"/>
        </w:rPr>
      </w:pPr>
    </w:p>
    <w:p w14:paraId="4CFD2294" w14:textId="77777777" w:rsidR="002D3279" w:rsidRPr="009252D7" w:rsidRDefault="002D3279" w:rsidP="002D3279">
      <w:pPr>
        <w:spacing w:line="360" w:lineRule="auto"/>
        <w:jc w:val="both"/>
        <w:rPr>
          <w:b/>
          <w:bCs/>
          <w:color w:val="000000" w:themeColor="text1"/>
        </w:rPr>
      </w:pPr>
      <w:r w:rsidRPr="009252D7">
        <w:rPr>
          <w:b/>
          <w:bCs/>
          <w:color w:val="000000" w:themeColor="text1"/>
        </w:rPr>
        <w:t>3. Leverage Ratio</w:t>
      </w:r>
    </w:p>
    <w:p w14:paraId="26247610"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Tier 1 Capital ÷ Total Exposure Measure</w:t>
      </w:r>
    </w:p>
    <w:p w14:paraId="5FD205AC" w14:textId="77777777" w:rsidR="002D3279" w:rsidRPr="009252D7" w:rsidRDefault="002D3279" w:rsidP="002D3279">
      <w:pPr>
        <w:spacing w:line="360" w:lineRule="auto"/>
        <w:jc w:val="both"/>
        <w:rPr>
          <w:color w:val="000000" w:themeColor="text1"/>
        </w:rPr>
      </w:pPr>
      <w:r w:rsidRPr="009252D7">
        <w:rPr>
          <w:b/>
          <w:bCs/>
          <w:color w:val="000000" w:themeColor="text1"/>
        </w:rPr>
        <w:t>Figures (2023)</w:t>
      </w:r>
    </w:p>
    <w:p w14:paraId="17308ABA" w14:textId="77777777" w:rsidR="002D3279" w:rsidRPr="009252D7" w:rsidRDefault="002D3279" w:rsidP="002D3279">
      <w:pPr>
        <w:numPr>
          <w:ilvl w:val="0"/>
          <w:numId w:val="36"/>
        </w:numPr>
        <w:spacing w:after="0" w:line="360" w:lineRule="auto"/>
        <w:jc w:val="both"/>
        <w:rPr>
          <w:color w:val="000000" w:themeColor="text1"/>
        </w:rPr>
      </w:pPr>
      <w:r w:rsidRPr="009252D7">
        <w:rPr>
          <w:color w:val="000000" w:themeColor="text1"/>
        </w:rPr>
        <w:t xml:space="preserve">Reported Leverage Ratio = </w:t>
      </w:r>
      <w:r w:rsidRPr="009252D7">
        <w:rPr>
          <w:b/>
          <w:bCs/>
          <w:color w:val="000000" w:themeColor="text1"/>
        </w:rPr>
        <w:t>6.1%</w:t>
      </w:r>
    </w:p>
    <w:p w14:paraId="3C46C2FC" w14:textId="77777777" w:rsidR="002D3279" w:rsidRPr="009252D7" w:rsidRDefault="002D3279" w:rsidP="002D3279">
      <w:pPr>
        <w:numPr>
          <w:ilvl w:val="0"/>
          <w:numId w:val="36"/>
        </w:numPr>
        <w:spacing w:after="0" w:line="360" w:lineRule="auto"/>
        <w:jc w:val="both"/>
        <w:rPr>
          <w:color w:val="000000" w:themeColor="text1"/>
        </w:rPr>
      </w:pPr>
      <w:r w:rsidRPr="009252D7">
        <w:rPr>
          <w:color w:val="000000" w:themeColor="text1"/>
        </w:rPr>
        <w:t xml:space="preserve">Tier 1 Capital (includes CET1 + AT1) = </w:t>
      </w:r>
      <w:r w:rsidRPr="009252D7">
        <w:rPr>
          <w:b/>
          <w:bCs/>
          <w:color w:val="000000" w:themeColor="text1"/>
        </w:rPr>
        <w:t>£14,206.92m</w:t>
      </w:r>
      <w:r w:rsidRPr="009252D7">
        <w:rPr>
          <w:color w:val="000000" w:themeColor="text1"/>
        </w:rPr>
        <w:t xml:space="preserve"> (rounded)</w:t>
      </w:r>
    </w:p>
    <w:p w14:paraId="01B306FB" w14:textId="77777777" w:rsidR="002D3279" w:rsidRPr="009252D7" w:rsidRDefault="002D3279" w:rsidP="002D3279">
      <w:pPr>
        <w:spacing w:line="360" w:lineRule="auto"/>
        <w:jc w:val="both"/>
        <w:rPr>
          <w:color w:val="000000" w:themeColor="text1"/>
        </w:rPr>
      </w:pPr>
      <w:r w:rsidRPr="009252D7">
        <w:rPr>
          <w:b/>
          <w:bCs/>
          <w:color w:val="000000" w:themeColor="text1"/>
        </w:rPr>
        <w:t>Calculation (deriving total exposure measure)</w:t>
      </w:r>
    </w:p>
    <w:p w14:paraId="4C1F7EF5" w14:textId="77777777" w:rsidR="002D3279" w:rsidRPr="009252D7" w:rsidRDefault="002D3279" w:rsidP="002D3279">
      <w:pPr>
        <w:spacing w:line="360" w:lineRule="auto"/>
        <w:rPr>
          <w:color w:val="000000" w:themeColor="text1"/>
        </w:rPr>
      </w:pPr>
      <w:r w:rsidRPr="009252D7">
        <w:rPr>
          <w:color w:val="000000" w:themeColor="text1"/>
        </w:rPr>
        <w:t>Total Exposure Measure</w:t>
      </w:r>
      <w:r w:rsidRPr="009252D7">
        <w:rPr>
          <w:color w:val="000000" w:themeColor="text1"/>
        </w:rPr>
        <w:br/>
        <w:t xml:space="preserve">= Tier 1 Capital ÷ Leverage Ratio = 14,206.92 ÷ 0.061 = </w:t>
      </w:r>
      <w:r w:rsidRPr="009252D7">
        <w:rPr>
          <w:b/>
          <w:bCs/>
          <w:color w:val="000000" w:themeColor="text1"/>
        </w:rPr>
        <w:t>£233,720.66m</w:t>
      </w:r>
    </w:p>
    <w:p w14:paraId="6F566A8D" w14:textId="77777777" w:rsidR="002D3279" w:rsidRPr="009252D7" w:rsidRDefault="002D3279" w:rsidP="002D3279">
      <w:pPr>
        <w:spacing w:line="360" w:lineRule="auto"/>
        <w:rPr>
          <w:color w:val="000000" w:themeColor="text1"/>
        </w:rPr>
      </w:pPr>
      <w:r w:rsidRPr="009252D7">
        <w:rPr>
          <w:b/>
          <w:bCs/>
          <w:color w:val="000000" w:themeColor="text1"/>
        </w:rPr>
        <w:t>Leverage Ratio Calculation Check</w:t>
      </w:r>
    </w:p>
    <w:p w14:paraId="61428321" w14:textId="77777777" w:rsidR="002D3279" w:rsidRPr="009252D7" w:rsidRDefault="002D3279" w:rsidP="002D3279">
      <w:pPr>
        <w:spacing w:line="360" w:lineRule="auto"/>
        <w:rPr>
          <w:b/>
          <w:bCs/>
          <w:color w:val="000000" w:themeColor="text1"/>
        </w:rPr>
      </w:pPr>
      <w:r w:rsidRPr="009252D7">
        <w:rPr>
          <w:color w:val="000000" w:themeColor="text1"/>
        </w:rPr>
        <w:t xml:space="preserve">Leverage Ratio = 14,206.92 ÷ 233,720.66 = </w:t>
      </w:r>
      <w:r w:rsidRPr="009252D7">
        <w:rPr>
          <w:b/>
          <w:bCs/>
          <w:color w:val="000000" w:themeColor="text1"/>
        </w:rPr>
        <w:t>0.061 = 6.1%</w:t>
      </w:r>
    </w:p>
    <w:p w14:paraId="4FAD7602" w14:textId="77777777" w:rsidR="002D3279" w:rsidRPr="009252D7" w:rsidRDefault="002D3279" w:rsidP="002D3279">
      <w:pPr>
        <w:spacing w:line="360" w:lineRule="auto"/>
        <w:rPr>
          <w:b/>
          <w:bCs/>
          <w:color w:val="000000" w:themeColor="text1"/>
        </w:rPr>
      </w:pPr>
    </w:p>
    <w:p w14:paraId="4C950F94" w14:textId="77777777" w:rsidR="002D3279" w:rsidRPr="006825E0" w:rsidRDefault="002D3279" w:rsidP="002D3279">
      <w:pPr>
        <w:pStyle w:val="Heading2"/>
        <w:rPr>
          <w:rFonts w:ascii="Times New Roman" w:hAnsi="Times New Roman" w:cs="Times New Roman"/>
          <w:sz w:val="24"/>
          <w:szCs w:val="24"/>
        </w:rPr>
      </w:pPr>
      <w:bookmarkStart w:id="58" w:name="_Toc218979690"/>
      <w:r w:rsidRPr="006825E0">
        <w:rPr>
          <w:rFonts w:ascii="Times New Roman" w:hAnsi="Times New Roman" w:cs="Times New Roman"/>
          <w:sz w:val="24"/>
          <w:szCs w:val="24"/>
        </w:rPr>
        <w:t>Appendix: O Source Data Table: Gearing &amp; Capital Adequacy Ratios (FY 2024)</w:t>
      </w:r>
      <w:bookmarkEnd w:id="58"/>
    </w:p>
    <w:p w14:paraId="0D838D57" w14:textId="77777777" w:rsidR="002D3279" w:rsidRPr="009252D7" w:rsidRDefault="002D3279" w:rsidP="002D3279">
      <w:pPr>
        <w:spacing w:line="360" w:lineRule="auto"/>
        <w:rPr>
          <w:color w:val="000000" w:themeColor="text1"/>
        </w:rPr>
      </w:pPr>
      <w:r w:rsidRPr="009252D7">
        <w:rPr>
          <w:b/>
          <w:bCs/>
          <w:color w:val="000000" w:themeColor="text1"/>
        </w:rPr>
        <w:t>Bank:</w:t>
      </w:r>
      <w:r w:rsidRPr="009252D7">
        <w:rPr>
          <w:color w:val="000000" w:themeColor="text1"/>
        </w:rPr>
        <w:t xml:space="preserve"> HSBC UK Bank plc</w:t>
      </w:r>
      <w:r w:rsidRPr="009252D7">
        <w:rPr>
          <w:color w:val="000000" w:themeColor="text1"/>
        </w:rPr>
        <w:br/>
      </w:r>
      <w:r w:rsidRPr="009252D7">
        <w:rPr>
          <w:b/>
          <w:bCs/>
          <w:color w:val="000000" w:themeColor="text1"/>
        </w:rPr>
        <w:t>Financial Year:</w:t>
      </w:r>
      <w:r w:rsidRPr="009252D7">
        <w:rPr>
          <w:color w:val="000000" w:themeColor="text1"/>
        </w:rPr>
        <w:t xml:space="preserve"> 2024</w:t>
      </w:r>
      <w:r w:rsidRPr="009252D7">
        <w:rPr>
          <w:color w:val="000000" w:themeColor="text1"/>
        </w:rPr>
        <w:br/>
      </w:r>
      <w:r w:rsidRPr="009252D7">
        <w:rPr>
          <w:b/>
          <w:bCs/>
          <w:color w:val="000000" w:themeColor="text1"/>
        </w:rPr>
        <w:t>Currency:</w:t>
      </w:r>
      <w:r w:rsidRPr="009252D7">
        <w:rPr>
          <w:color w:val="000000" w:themeColor="text1"/>
        </w:rPr>
        <w:t xml:space="preserve"> £ million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9"/>
        <w:gridCol w:w="1495"/>
        <w:gridCol w:w="1383"/>
        <w:gridCol w:w="3529"/>
      </w:tblGrid>
      <w:tr w:rsidR="002D3279" w:rsidRPr="009252D7" w14:paraId="5255A11C" w14:textId="77777777" w:rsidTr="00A42257">
        <w:trPr>
          <w:tblHeader/>
          <w:tblCellSpacing w:w="15" w:type="dxa"/>
        </w:trPr>
        <w:tc>
          <w:tcPr>
            <w:tcW w:w="0" w:type="auto"/>
            <w:vAlign w:val="center"/>
            <w:hideMark/>
          </w:tcPr>
          <w:p w14:paraId="0AD1FDA7" w14:textId="77777777" w:rsidR="002D3279" w:rsidRPr="009252D7" w:rsidRDefault="002D3279" w:rsidP="00A42257">
            <w:pPr>
              <w:spacing w:line="360" w:lineRule="auto"/>
              <w:jc w:val="center"/>
              <w:rPr>
                <w:b/>
                <w:bCs/>
                <w:color w:val="000000" w:themeColor="text1"/>
              </w:rPr>
            </w:pPr>
            <w:r w:rsidRPr="009252D7">
              <w:rPr>
                <w:b/>
                <w:bCs/>
                <w:color w:val="000000" w:themeColor="text1"/>
              </w:rPr>
              <w:lastRenderedPageBreak/>
              <w:t>Financial Figure Used</w:t>
            </w:r>
          </w:p>
        </w:tc>
        <w:tc>
          <w:tcPr>
            <w:tcW w:w="0" w:type="auto"/>
            <w:vAlign w:val="center"/>
            <w:hideMark/>
          </w:tcPr>
          <w:p w14:paraId="34FCA83D" w14:textId="77777777" w:rsidR="002D3279" w:rsidRPr="009252D7" w:rsidRDefault="002D3279" w:rsidP="00A42257">
            <w:pPr>
              <w:spacing w:line="360" w:lineRule="auto"/>
              <w:jc w:val="center"/>
              <w:rPr>
                <w:b/>
                <w:bCs/>
                <w:color w:val="000000" w:themeColor="text1"/>
              </w:rPr>
            </w:pPr>
            <w:r w:rsidRPr="009252D7">
              <w:rPr>
                <w:b/>
                <w:bCs/>
                <w:color w:val="000000" w:themeColor="text1"/>
              </w:rPr>
              <w:t>Amount / Ratio</w:t>
            </w:r>
          </w:p>
        </w:tc>
        <w:tc>
          <w:tcPr>
            <w:tcW w:w="0" w:type="auto"/>
            <w:vAlign w:val="center"/>
            <w:hideMark/>
          </w:tcPr>
          <w:p w14:paraId="5BCF0B51" w14:textId="77777777" w:rsidR="002D3279" w:rsidRPr="009252D7" w:rsidRDefault="002D3279" w:rsidP="00A42257">
            <w:pPr>
              <w:spacing w:line="360" w:lineRule="auto"/>
              <w:jc w:val="center"/>
              <w:rPr>
                <w:b/>
                <w:bCs/>
                <w:color w:val="000000" w:themeColor="text1"/>
              </w:rPr>
            </w:pPr>
            <w:r w:rsidRPr="009252D7">
              <w:rPr>
                <w:b/>
                <w:bCs/>
                <w:color w:val="000000" w:themeColor="text1"/>
              </w:rPr>
              <w:t>Used in Ratio</w:t>
            </w:r>
          </w:p>
        </w:tc>
        <w:tc>
          <w:tcPr>
            <w:tcW w:w="0" w:type="auto"/>
            <w:vAlign w:val="center"/>
            <w:hideMark/>
          </w:tcPr>
          <w:p w14:paraId="30F2167E" w14:textId="77777777" w:rsidR="002D3279" w:rsidRPr="009252D7" w:rsidRDefault="002D3279" w:rsidP="00A42257">
            <w:pPr>
              <w:spacing w:line="360" w:lineRule="auto"/>
              <w:jc w:val="center"/>
              <w:rPr>
                <w:b/>
                <w:bCs/>
                <w:color w:val="000000" w:themeColor="text1"/>
              </w:rPr>
            </w:pPr>
            <w:r w:rsidRPr="009252D7">
              <w:rPr>
                <w:b/>
                <w:bCs/>
                <w:color w:val="000000" w:themeColor="text1"/>
              </w:rPr>
              <w:t>Exact Source in Annual Report 2024</w:t>
            </w:r>
          </w:p>
        </w:tc>
      </w:tr>
      <w:tr w:rsidR="002D3279" w:rsidRPr="009252D7" w14:paraId="162180D2" w14:textId="77777777" w:rsidTr="00A42257">
        <w:trPr>
          <w:tblCellSpacing w:w="15" w:type="dxa"/>
        </w:trPr>
        <w:tc>
          <w:tcPr>
            <w:tcW w:w="0" w:type="auto"/>
            <w:vAlign w:val="center"/>
            <w:hideMark/>
          </w:tcPr>
          <w:p w14:paraId="3A1297FF" w14:textId="77777777" w:rsidR="002D3279" w:rsidRPr="009252D7" w:rsidRDefault="002D3279" w:rsidP="00A42257">
            <w:pPr>
              <w:spacing w:line="360" w:lineRule="auto"/>
              <w:jc w:val="center"/>
              <w:rPr>
                <w:color w:val="000000" w:themeColor="text1"/>
              </w:rPr>
            </w:pPr>
            <w:r w:rsidRPr="009252D7">
              <w:rPr>
                <w:color w:val="000000" w:themeColor="text1"/>
              </w:rPr>
              <w:t>Common Equity Tier 1 (CET1) Ratio</w:t>
            </w:r>
          </w:p>
        </w:tc>
        <w:tc>
          <w:tcPr>
            <w:tcW w:w="0" w:type="auto"/>
            <w:vAlign w:val="center"/>
            <w:hideMark/>
          </w:tcPr>
          <w:p w14:paraId="765DEFE5" w14:textId="77777777" w:rsidR="002D3279" w:rsidRPr="009252D7" w:rsidRDefault="002D3279" w:rsidP="00A42257">
            <w:pPr>
              <w:spacing w:line="360" w:lineRule="auto"/>
              <w:jc w:val="center"/>
              <w:rPr>
                <w:color w:val="000000" w:themeColor="text1"/>
              </w:rPr>
            </w:pPr>
            <w:r w:rsidRPr="009252D7">
              <w:rPr>
                <w:b/>
                <w:bCs/>
                <w:color w:val="000000" w:themeColor="text1"/>
              </w:rPr>
              <w:t>13.6%</w:t>
            </w:r>
          </w:p>
        </w:tc>
        <w:tc>
          <w:tcPr>
            <w:tcW w:w="0" w:type="auto"/>
            <w:vAlign w:val="center"/>
            <w:hideMark/>
          </w:tcPr>
          <w:p w14:paraId="0CC9115E" w14:textId="77777777" w:rsidR="002D3279" w:rsidRPr="009252D7" w:rsidRDefault="002D3279" w:rsidP="00A42257">
            <w:pPr>
              <w:spacing w:line="360" w:lineRule="auto"/>
              <w:jc w:val="center"/>
              <w:rPr>
                <w:color w:val="000000" w:themeColor="text1"/>
              </w:rPr>
            </w:pPr>
            <w:r w:rsidRPr="009252D7">
              <w:rPr>
                <w:color w:val="000000" w:themeColor="text1"/>
              </w:rPr>
              <w:t>CET1 Ratio</w:t>
            </w:r>
          </w:p>
        </w:tc>
        <w:tc>
          <w:tcPr>
            <w:tcW w:w="0" w:type="auto"/>
            <w:vAlign w:val="center"/>
            <w:hideMark/>
          </w:tcPr>
          <w:p w14:paraId="18ABE94A" w14:textId="77777777" w:rsidR="002D3279" w:rsidRPr="009252D7" w:rsidRDefault="002D3279" w:rsidP="00A42257">
            <w:pPr>
              <w:spacing w:line="360" w:lineRule="auto"/>
              <w:jc w:val="center"/>
              <w:rPr>
                <w:color w:val="000000" w:themeColor="text1"/>
              </w:rPr>
            </w:pPr>
            <w:r w:rsidRPr="009252D7">
              <w:rPr>
                <w:color w:val="000000" w:themeColor="text1"/>
              </w:rPr>
              <w:t>Capital Management – Regulatory Capital Ratios</w:t>
            </w:r>
          </w:p>
        </w:tc>
      </w:tr>
      <w:tr w:rsidR="002D3279" w:rsidRPr="009252D7" w14:paraId="59B28260" w14:textId="77777777" w:rsidTr="00A42257">
        <w:trPr>
          <w:tblCellSpacing w:w="15" w:type="dxa"/>
        </w:trPr>
        <w:tc>
          <w:tcPr>
            <w:tcW w:w="0" w:type="auto"/>
            <w:vAlign w:val="center"/>
            <w:hideMark/>
          </w:tcPr>
          <w:p w14:paraId="1E57AFF7" w14:textId="77777777" w:rsidR="002D3279" w:rsidRPr="009252D7" w:rsidRDefault="002D3279" w:rsidP="00A42257">
            <w:pPr>
              <w:spacing w:line="360" w:lineRule="auto"/>
              <w:jc w:val="center"/>
              <w:rPr>
                <w:color w:val="000000" w:themeColor="text1"/>
              </w:rPr>
            </w:pPr>
            <w:r w:rsidRPr="009252D7">
              <w:rPr>
                <w:color w:val="000000" w:themeColor="text1"/>
              </w:rPr>
              <w:t>Total Capital Adequacy Ratio</w:t>
            </w:r>
          </w:p>
        </w:tc>
        <w:tc>
          <w:tcPr>
            <w:tcW w:w="0" w:type="auto"/>
            <w:vAlign w:val="center"/>
            <w:hideMark/>
          </w:tcPr>
          <w:p w14:paraId="250648A2" w14:textId="77777777" w:rsidR="002D3279" w:rsidRPr="009252D7" w:rsidRDefault="002D3279" w:rsidP="00A42257">
            <w:pPr>
              <w:spacing w:line="360" w:lineRule="auto"/>
              <w:jc w:val="center"/>
              <w:rPr>
                <w:color w:val="000000" w:themeColor="text1"/>
              </w:rPr>
            </w:pPr>
            <w:r w:rsidRPr="009252D7">
              <w:rPr>
                <w:b/>
                <w:bCs/>
                <w:color w:val="000000" w:themeColor="text1"/>
              </w:rPr>
              <w:t>18.6%</w:t>
            </w:r>
          </w:p>
        </w:tc>
        <w:tc>
          <w:tcPr>
            <w:tcW w:w="0" w:type="auto"/>
            <w:vAlign w:val="center"/>
            <w:hideMark/>
          </w:tcPr>
          <w:p w14:paraId="7D1D47A3" w14:textId="77777777" w:rsidR="002D3279" w:rsidRPr="009252D7" w:rsidRDefault="002D3279" w:rsidP="00A42257">
            <w:pPr>
              <w:spacing w:line="360" w:lineRule="auto"/>
              <w:jc w:val="center"/>
              <w:rPr>
                <w:color w:val="000000" w:themeColor="text1"/>
              </w:rPr>
            </w:pPr>
            <w:r w:rsidRPr="009252D7">
              <w:rPr>
                <w:color w:val="000000" w:themeColor="text1"/>
              </w:rPr>
              <w:t>Total CAR</w:t>
            </w:r>
          </w:p>
        </w:tc>
        <w:tc>
          <w:tcPr>
            <w:tcW w:w="0" w:type="auto"/>
            <w:vAlign w:val="center"/>
            <w:hideMark/>
          </w:tcPr>
          <w:p w14:paraId="675241C8" w14:textId="77777777" w:rsidR="002D3279" w:rsidRPr="009252D7" w:rsidRDefault="002D3279" w:rsidP="00A42257">
            <w:pPr>
              <w:spacing w:line="360" w:lineRule="auto"/>
              <w:jc w:val="center"/>
              <w:rPr>
                <w:color w:val="000000" w:themeColor="text1"/>
              </w:rPr>
            </w:pPr>
            <w:r w:rsidRPr="009252D7">
              <w:rPr>
                <w:color w:val="000000" w:themeColor="text1"/>
              </w:rPr>
              <w:t>Capital Management – Regulatory Capital Ratios</w:t>
            </w:r>
          </w:p>
        </w:tc>
      </w:tr>
      <w:tr w:rsidR="002D3279" w:rsidRPr="009252D7" w14:paraId="3D6A4E01" w14:textId="77777777" w:rsidTr="00A42257">
        <w:trPr>
          <w:tblCellSpacing w:w="15" w:type="dxa"/>
        </w:trPr>
        <w:tc>
          <w:tcPr>
            <w:tcW w:w="0" w:type="auto"/>
            <w:vAlign w:val="center"/>
            <w:hideMark/>
          </w:tcPr>
          <w:p w14:paraId="30408C38" w14:textId="77777777" w:rsidR="002D3279" w:rsidRPr="009252D7" w:rsidRDefault="002D3279" w:rsidP="00A42257">
            <w:pPr>
              <w:spacing w:line="360" w:lineRule="auto"/>
              <w:jc w:val="center"/>
              <w:rPr>
                <w:color w:val="000000" w:themeColor="text1"/>
              </w:rPr>
            </w:pPr>
            <w:r w:rsidRPr="009252D7">
              <w:rPr>
                <w:color w:val="000000" w:themeColor="text1"/>
              </w:rPr>
              <w:t>Leverage Ratio</w:t>
            </w:r>
          </w:p>
        </w:tc>
        <w:tc>
          <w:tcPr>
            <w:tcW w:w="0" w:type="auto"/>
            <w:vAlign w:val="center"/>
            <w:hideMark/>
          </w:tcPr>
          <w:p w14:paraId="37501709" w14:textId="77777777" w:rsidR="002D3279" w:rsidRPr="009252D7" w:rsidRDefault="002D3279" w:rsidP="00A42257">
            <w:pPr>
              <w:spacing w:line="360" w:lineRule="auto"/>
              <w:jc w:val="center"/>
              <w:rPr>
                <w:color w:val="000000" w:themeColor="text1"/>
              </w:rPr>
            </w:pPr>
            <w:r w:rsidRPr="009252D7">
              <w:rPr>
                <w:b/>
                <w:bCs/>
                <w:color w:val="000000" w:themeColor="text1"/>
              </w:rPr>
              <w:t>5.8%</w:t>
            </w:r>
          </w:p>
        </w:tc>
        <w:tc>
          <w:tcPr>
            <w:tcW w:w="0" w:type="auto"/>
            <w:vAlign w:val="center"/>
            <w:hideMark/>
          </w:tcPr>
          <w:p w14:paraId="1690942E" w14:textId="77777777" w:rsidR="002D3279" w:rsidRPr="009252D7" w:rsidRDefault="002D3279" w:rsidP="00A42257">
            <w:pPr>
              <w:spacing w:line="360" w:lineRule="auto"/>
              <w:jc w:val="center"/>
              <w:rPr>
                <w:color w:val="000000" w:themeColor="text1"/>
              </w:rPr>
            </w:pPr>
            <w:r w:rsidRPr="009252D7">
              <w:rPr>
                <w:color w:val="000000" w:themeColor="text1"/>
              </w:rPr>
              <w:t>Leverage Ratio</w:t>
            </w:r>
          </w:p>
        </w:tc>
        <w:tc>
          <w:tcPr>
            <w:tcW w:w="0" w:type="auto"/>
            <w:vAlign w:val="center"/>
            <w:hideMark/>
          </w:tcPr>
          <w:p w14:paraId="43916F5E" w14:textId="77777777" w:rsidR="002D3279" w:rsidRPr="009252D7" w:rsidRDefault="002D3279" w:rsidP="00A42257">
            <w:pPr>
              <w:spacing w:line="360" w:lineRule="auto"/>
              <w:jc w:val="center"/>
              <w:rPr>
                <w:color w:val="000000" w:themeColor="text1"/>
              </w:rPr>
            </w:pPr>
            <w:r w:rsidRPr="009252D7">
              <w:rPr>
                <w:color w:val="000000" w:themeColor="text1"/>
              </w:rPr>
              <w:t>Leverage Ratio Disclosure</w:t>
            </w:r>
          </w:p>
        </w:tc>
      </w:tr>
      <w:tr w:rsidR="002D3279" w:rsidRPr="009252D7" w14:paraId="199C307A" w14:textId="77777777" w:rsidTr="00A42257">
        <w:trPr>
          <w:tblCellSpacing w:w="15" w:type="dxa"/>
        </w:trPr>
        <w:tc>
          <w:tcPr>
            <w:tcW w:w="0" w:type="auto"/>
            <w:vAlign w:val="center"/>
            <w:hideMark/>
          </w:tcPr>
          <w:p w14:paraId="323F4292" w14:textId="77777777" w:rsidR="002D3279" w:rsidRPr="009252D7" w:rsidRDefault="002D3279" w:rsidP="00A42257">
            <w:pPr>
              <w:spacing w:line="360" w:lineRule="auto"/>
              <w:jc w:val="center"/>
              <w:rPr>
                <w:color w:val="000000" w:themeColor="text1"/>
              </w:rPr>
            </w:pPr>
            <w:r w:rsidRPr="009252D7">
              <w:rPr>
                <w:color w:val="000000" w:themeColor="text1"/>
              </w:rPr>
              <w:t>Risk-Weighted Assets (RWA)</w:t>
            </w:r>
          </w:p>
        </w:tc>
        <w:tc>
          <w:tcPr>
            <w:tcW w:w="0" w:type="auto"/>
            <w:vAlign w:val="center"/>
            <w:hideMark/>
          </w:tcPr>
          <w:p w14:paraId="3FE9BC72" w14:textId="77777777" w:rsidR="002D3279" w:rsidRPr="009252D7" w:rsidRDefault="002D3279" w:rsidP="00A42257">
            <w:pPr>
              <w:spacing w:line="360" w:lineRule="auto"/>
              <w:jc w:val="center"/>
              <w:rPr>
                <w:color w:val="000000" w:themeColor="text1"/>
              </w:rPr>
            </w:pPr>
            <w:r w:rsidRPr="009252D7">
              <w:rPr>
                <w:b/>
                <w:bCs/>
                <w:color w:val="000000" w:themeColor="text1"/>
              </w:rPr>
              <w:t>£110,423m</w:t>
            </w:r>
          </w:p>
        </w:tc>
        <w:tc>
          <w:tcPr>
            <w:tcW w:w="0" w:type="auto"/>
            <w:vAlign w:val="center"/>
            <w:hideMark/>
          </w:tcPr>
          <w:p w14:paraId="04EF405A" w14:textId="77777777" w:rsidR="002D3279" w:rsidRPr="009252D7" w:rsidRDefault="002D3279" w:rsidP="00A42257">
            <w:pPr>
              <w:spacing w:line="360" w:lineRule="auto"/>
              <w:jc w:val="center"/>
              <w:rPr>
                <w:color w:val="000000" w:themeColor="text1"/>
              </w:rPr>
            </w:pPr>
            <w:r w:rsidRPr="009252D7">
              <w:rPr>
                <w:color w:val="000000" w:themeColor="text1"/>
              </w:rPr>
              <w:t>CET1, Total CAR</w:t>
            </w:r>
          </w:p>
        </w:tc>
        <w:tc>
          <w:tcPr>
            <w:tcW w:w="0" w:type="auto"/>
            <w:vAlign w:val="center"/>
            <w:hideMark/>
          </w:tcPr>
          <w:p w14:paraId="6984757D" w14:textId="77777777" w:rsidR="002D3279" w:rsidRPr="009252D7" w:rsidRDefault="002D3279" w:rsidP="00A42257">
            <w:pPr>
              <w:spacing w:line="360" w:lineRule="auto"/>
              <w:jc w:val="center"/>
              <w:rPr>
                <w:color w:val="000000" w:themeColor="text1"/>
              </w:rPr>
            </w:pPr>
            <w:r w:rsidRPr="009252D7">
              <w:rPr>
                <w:color w:val="000000" w:themeColor="text1"/>
              </w:rPr>
              <w:t>Capital Resources &amp; RWA Table</w:t>
            </w:r>
          </w:p>
        </w:tc>
      </w:tr>
      <w:tr w:rsidR="002D3279" w:rsidRPr="009252D7" w14:paraId="0E830783" w14:textId="77777777" w:rsidTr="00A42257">
        <w:trPr>
          <w:tblCellSpacing w:w="15" w:type="dxa"/>
        </w:trPr>
        <w:tc>
          <w:tcPr>
            <w:tcW w:w="0" w:type="auto"/>
            <w:vAlign w:val="center"/>
            <w:hideMark/>
          </w:tcPr>
          <w:p w14:paraId="17FC79A9" w14:textId="77777777" w:rsidR="002D3279" w:rsidRPr="009252D7" w:rsidRDefault="002D3279" w:rsidP="00A42257">
            <w:pPr>
              <w:spacing w:line="360" w:lineRule="auto"/>
              <w:jc w:val="center"/>
              <w:rPr>
                <w:color w:val="000000" w:themeColor="text1"/>
              </w:rPr>
            </w:pPr>
            <w:r w:rsidRPr="009252D7">
              <w:rPr>
                <w:color w:val="000000" w:themeColor="text1"/>
              </w:rPr>
              <w:t>CET1 Capital (derived from ratio)</w:t>
            </w:r>
          </w:p>
        </w:tc>
        <w:tc>
          <w:tcPr>
            <w:tcW w:w="0" w:type="auto"/>
            <w:vAlign w:val="center"/>
            <w:hideMark/>
          </w:tcPr>
          <w:p w14:paraId="4BD40ADB" w14:textId="77777777" w:rsidR="002D3279" w:rsidRPr="009252D7" w:rsidRDefault="002D3279" w:rsidP="00A42257">
            <w:pPr>
              <w:spacing w:line="360" w:lineRule="auto"/>
              <w:jc w:val="center"/>
              <w:rPr>
                <w:color w:val="000000" w:themeColor="text1"/>
              </w:rPr>
            </w:pPr>
            <w:r w:rsidRPr="009252D7">
              <w:rPr>
                <w:b/>
                <w:bCs/>
                <w:color w:val="000000" w:themeColor="text1"/>
              </w:rPr>
              <w:t>£15,016.5m</w:t>
            </w:r>
          </w:p>
        </w:tc>
        <w:tc>
          <w:tcPr>
            <w:tcW w:w="0" w:type="auto"/>
            <w:vAlign w:val="center"/>
            <w:hideMark/>
          </w:tcPr>
          <w:p w14:paraId="20B151D2" w14:textId="77777777" w:rsidR="002D3279" w:rsidRPr="009252D7" w:rsidRDefault="002D3279" w:rsidP="00A42257">
            <w:pPr>
              <w:spacing w:line="360" w:lineRule="auto"/>
              <w:jc w:val="center"/>
              <w:rPr>
                <w:color w:val="000000" w:themeColor="text1"/>
              </w:rPr>
            </w:pPr>
            <w:r w:rsidRPr="009252D7">
              <w:rPr>
                <w:color w:val="000000" w:themeColor="text1"/>
              </w:rPr>
              <w:t>CET1, Leverage</w:t>
            </w:r>
          </w:p>
        </w:tc>
        <w:tc>
          <w:tcPr>
            <w:tcW w:w="0" w:type="auto"/>
            <w:vAlign w:val="center"/>
            <w:hideMark/>
          </w:tcPr>
          <w:p w14:paraId="4D9CAC19" w14:textId="77777777" w:rsidR="002D3279" w:rsidRPr="009252D7" w:rsidRDefault="002D3279" w:rsidP="00A42257">
            <w:pPr>
              <w:spacing w:line="360" w:lineRule="auto"/>
              <w:jc w:val="center"/>
              <w:rPr>
                <w:color w:val="000000" w:themeColor="text1"/>
              </w:rPr>
            </w:pPr>
            <w:r w:rsidRPr="009252D7">
              <w:rPr>
                <w:color w:val="000000" w:themeColor="text1"/>
              </w:rPr>
              <w:t>Capital Resources Note</w:t>
            </w:r>
          </w:p>
        </w:tc>
      </w:tr>
      <w:tr w:rsidR="002D3279" w:rsidRPr="009252D7" w14:paraId="14FADB3D" w14:textId="77777777" w:rsidTr="00A42257">
        <w:trPr>
          <w:tblCellSpacing w:w="15" w:type="dxa"/>
        </w:trPr>
        <w:tc>
          <w:tcPr>
            <w:tcW w:w="0" w:type="auto"/>
            <w:vAlign w:val="center"/>
            <w:hideMark/>
          </w:tcPr>
          <w:p w14:paraId="53C3EA8E" w14:textId="77777777" w:rsidR="002D3279" w:rsidRPr="009252D7" w:rsidRDefault="002D3279" w:rsidP="00A42257">
            <w:pPr>
              <w:spacing w:line="360" w:lineRule="auto"/>
              <w:jc w:val="center"/>
              <w:rPr>
                <w:color w:val="000000" w:themeColor="text1"/>
              </w:rPr>
            </w:pPr>
            <w:r w:rsidRPr="009252D7">
              <w:rPr>
                <w:color w:val="000000" w:themeColor="text1"/>
              </w:rPr>
              <w:t>Total Regulatory Capital (derived)</w:t>
            </w:r>
          </w:p>
        </w:tc>
        <w:tc>
          <w:tcPr>
            <w:tcW w:w="0" w:type="auto"/>
            <w:vAlign w:val="center"/>
            <w:hideMark/>
          </w:tcPr>
          <w:p w14:paraId="1E0A2BBF" w14:textId="77777777" w:rsidR="002D3279" w:rsidRPr="009252D7" w:rsidRDefault="002D3279" w:rsidP="00A42257">
            <w:pPr>
              <w:spacing w:line="360" w:lineRule="auto"/>
              <w:jc w:val="center"/>
              <w:rPr>
                <w:color w:val="000000" w:themeColor="text1"/>
              </w:rPr>
            </w:pPr>
            <w:r w:rsidRPr="009252D7">
              <w:rPr>
                <w:b/>
                <w:bCs/>
                <w:color w:val="000000" w:themeColor="text1"/>
              </w:rPr>
              <w:t>£20,538.7m</w:t>
            </w:r>
          </w:p>
        </w:tc>
        <w:tc>
          <w:tcPr>
            <w:tcW w:w="0" w:type="auto"/>
            <w:vAlign w:val="center"/>
            <w:hideMark/>
          </w:tcPr>
          <w:p w14:paraId="073CEFEB" w14:textId="77777777" w:rsidR="002D3279" w:rsidRPr="009252D7" w:rsidRDefault="002D3279" w:rsidP="00A42257">
            <w:pPr>
              <w:spacing w:line="360" w:lineRule="auto"/>
              <w:jc w:val="center"/>
              <w:rPr>
                <w:color w:val="000000" w:themeColor="text1"/>
              </w:rPr>
            </w:pPr>
            <w:r w:rsidRPr="009252D7">
              <w:rPr>
                <w:color w:val="000000" w:themeColor="text1"/>
              </w:rPr>
              <w:t>Total CAR</w:t>
            </w:r>
          </w:p>
        </w:tc>
        <w:tc>
          <w:tcPr>
            <w:tcW w:w="0" w:type="auto"/>
            <w:vAlign w:val="center"/>
            <w:hideMark/>
          </w:tcPr>
          <w:p w14:paraId="47CCC052" w14:textId="77777777" w:rsidR="002D3279" w:rsidRPr="009252D7" w:rsidRDefault="002D3279" w:rsidP="00A42257">
            <w:pPr>
              <w:spacing w:line="360" w:lineRule="auto"/>
              <w:jc w:val="center"/>
              <w:rPr>
                <w:color w:val="000000" w:themeColor="text1"/>
              </w:rPr>
            </w:pPr>
            <w:r w:rsidRPr="009252D7">
              <w:rPr>
                <w:color w:val="000000" w:themeColor="text1"/>
              </w:rPr>
              <w:t>Capital Resources Note</w:t>
            </w:r>
          </w:p>
        </w:tc>
      </w:tr>
      <w:tr w:rsidR="002D3279" w:rsidRPr="009252D7" w14:paraId="62C2116C" w14:textId="77777777" w:rsidTr="00A42257">
        <w:trPr>
          <w:tblCellSpacing w:w="15" w:type="dxa"/>
        </w:trPr>
        <w:tc>
          <w:tcPr>
            <w:tcW w:w="0" w:type="auto"/>
            <w:vAlign w:val="center"/>
            <w:hideMark/>
          </w:tcPr>
          <w:p w14:paraId="76B977A4" w14:textId="77777777" w:rsidR="002D3279" w:rsidRPr="009252D7" w:rsidRDefault="002D3279" w:rsidP="00A42257">
            <w:pPr>
              <w:spacing w:line="360" w:lineRule="auto"/>
              <w:jc w:val="center"/>
              <w:rPr>
                <w:color w:val="000000" w:themeColor="text1"/>
              </w:rPr>
            </w:pPr>
            <w:r w:rsidRPr="009252D7">
              <w:rPr>
                <w:color w:val="000000" w:themeColor="text1"/>
              </w:rPr>
              <w:t>Total Exposure Measure</w:t>
            </w:r>
          </w:p>
        </w:tc>
        <w:tc>
          <w:tcPr>
            <w:tcW w:w="0" w:type="auto"/>
            <w:vAlign w:val="center"/>
            <w:hideMark/>
          </w:tcPr>
          <w:p w14:paraId="442FCF88" w14:textId="77777777" w:rsidR="002D3279" w:rsidRPr="009252D7" w:rsidRDefault="002D3279" w:rsidP="00A42257">
            <w:pPr>
              <w:spacing w:line="360" w:lineRule="auto"/>
              <w:jc w:val="center"/>
              <w:rPr>
                <w:color w:val="000000" w:themeColor="text1"/>
              </w:rPr>
            </w:pPr>
            <w:r w:rsidRPr="009252D7">
              <w:rPr>
                <w:b/>
                <w:bCs/>
                <w:color w:val="000000" w:themeColor="text1"/>
              </w:rPr>
              <w:t>£258,905.7m</w:t>
            </w:r>
          </w:p>
        </w:tc>
        <w:tc>
          <w:tcPr>
            <w:tcW w:w="0" w:type="auto"/>
            <w:vAlign w:val="center"/>
            <w:hideMark/>
          </w:tcPr>
          <w:p w14:paraId="79395F1B" w14:textId="77777777" w:rsidR="002D3279" w:rsidRPr="009252D7" w:rsidRDefault="002D3279" w:rsidP="00A42257">
            <w:pPr>
              <w:spacing w:line="360" w:lineRule="auto"/>
              <w:jc w:val="center"/>
              <w:rPr>
                <w:color w:val="000000" w:themeColor="text1"/>
              </w:rPr>
            </w:pPr>
            <w:r w:rsidRPr="009252D7">
              <w:rPr>
                <w:color w:val="000000" w:themeColor="text1"/>
              </w:rPr>
              <w:t>Leverage Ratio</w:t>
            </w:r>
          </w:p>
        </w:tc>
        <w:tc>
          <w:tcPr>
            <w:tcW w:w="0" w:type="auto"/>
            <w:vAlign w:val="center"/>
            <w:hideMark/>
          </w:tcPr>
          <w:p w14:paraId="290292AF" w14:textId="77777777" w:rsidR="002D3279" w:rsidRPr="009252D7" w:rsidRDefault="002D3279" w:rsidP="00A42257">
            <w:pPr>
              <w:spacing w:line="360" w:lineRule="auto"/>
              <w:jc w:val="center"/>
              <w:rPr>
                <w:color w:val="000000" w:themeColor="text1"/>
              </w:rPr>
            </w:pPr>
            <w:r w:rsidRPr="009252D7">
              <w:rPr>
                <w:color w:val="000000" w:themeColor="text1"/>
              </w:rPr>
              <w:t>Leverage Ratio Exposure Measure Table</w:t>
            </w:r>
          </w:p>
        </w:tc>
      </w:tr>
    </w:tbl>
    <w:p w14:paraId="119E7E3B" w14:textId="77777777" w:rsidR="002D3279" w:rsidRDefault="002D3279" w:rsidP="002D3279">
      <w:pPr>
        <w:spacing w:line="360" w:lineRule="auto"/>
        <w:jc w:val="both"/>
        <w:rPr>
          <w:b/>
          <w:bCs/>
          <w:color w:val="000000" w:themeColor="text1"/>
        </w:rPr>
      </w:pPr>
    </w:p>
    <w:p w14:paraId="085D5D34" w14:textId="77777777" w:rsidR="002D3279" w:rsidRPr="006825E0" w:rsidRDefault="002D3279" w:rsidP="002D3279">
      <w:pPr>
        <w:pStyle w:val="Heading2"/>
        <w:rPr>
          <w:rFonts w:ascii="Times New Roman" w:hAnsi="Times New Roman" w:cs="Times New Roman"/>
          <w:sz w:val="24"/>
          <w:szCs w:val="24"/>
        </w:rPr>
      </w:pPr>
      <w:bookmarkStart w:id="59" w:name="_Toc218979691"/>
      <w:r w:rsidRPr="006825E0">
        <w:rPr>
          <w:rFonts w:ascii="Times New Roman" w:hAnsi="Times New Roman" w:cs="Times New Roman"/>
          <w:sz w:val="24"/>
          <w:szCs w:val="24"/>
        </w:rPr>
        <w:t>Appendix: P Gearing &amp; Capital Adequacy Ratio Calculations (FY 2024)</w:t>
      </w:r>
      <w:bookmarkEnd w:id="59"/>
    </w:p>
    <w:p w14:paraId="00CD371C" w14:textId="77777777" w:rsidR="002D3279" w:rsidRPr="009252D7" w:rsidRDefault="002D3279" w:rsidP="002D3279">
      <w:pPr>
        <w:spacing w:line="360" w:lineRule="auto"/>
        <w:rPr>
          <w:color w:val="000000" w:themeColor="text1"/>
        </w:rPr>
      </w:pPr>
      <w:r w:rsidRPr="009252D7">
        <w:rPr>
          <w:b/>
          <w:bCs/>
          <w:color w:val="000000" w:themeColor="text1"/>
        </w:rPr>
        <w:t>Bank:</w:t>
      </w:r>
      <w:r w:rsidRPr="009252D7">
        <w:rPr>
          <w:color w:val="000000" w:themeColor="text1"/>
        </w:rPr>
        <w:t xml:space="preserve"> HSBC UK Bank plc</w:t>
      </w:r>
      <w:r w:rsidRPr="009252D7">
        <w:rPr>
          <w:color w:val="000000" w:themeColor="text1"/>
        </w:rPr>
        <w:br/>
      </w:r>
      <w:r w:rsidRPr="009252D7">
        <w:rPr>
          <w:b/>
          <w:bCs/>
          <w:color w:val="000000" w:themeColor="text1"/>
        </w:rPr>
        <w:t>Financial Year:</w:t>
      </w:r>
      <w:r w:rsidRPr="009252D7">
        <w:rPr>
          <w:color w:val="000000" w:themeColor="text1"/>
        </w:rPr>
        <w:t xml:space="preserve"> 2024</w:t>
      </w:r>
      <w:r w:rsidRPr="009252D7">
        <w:rPr>
          <w:color w:val="000000" w:themeColor="text1"/>
        </w:rPr>
        <w:br/>
      </w:r>
      <w:r w:rsidRPr="009252D7">
        <w:rPr>
          <w:b/>
          <w:bCs/>
          <w:color w:val="000000" w:themeColor="text1"/>
        </w:rPr>
        <w:t>Currency:</w:t>
      </w:r>
      <w:r w:rsidRPr="009252D7">
        <w:rPr>
          <w:color w:val="000000" w:themeColor="text1"/>
        </w:rPr>
        <w:t xml:space="preserve"> £ million</w:t>
      </w:r>
    </w:p>
    <w:p w14:paraId="6ACF29A4" w14:textId="77777777" w:rsidR="00BA60EC" w:rsidRDefault="00BA60EC" w:rsidP="002D3279">
      <w:pPr>
        <w:spacing w:line="360" w:lineRule="auto"/>
        <w:jc w:val="both"/>
        <w:rPr>
          <w:color w:val="000000" w:themeColor="text1"/>
        </w:rPr>
      </w:pPr>
    </w:p>
    <w:p w14:paraId="20243968" w14:textId="332D457A" w:rsidR="002D3279" w:rsidRPr="009252D7" w:rsidRDefault="002D3279" w:rsidP="002D3279">
      <w:pPr>
        <w:spacing w:line="360" w:lineRule="auto"/>
        <w:jc w:val="both"/>
        <w:rPr>
          <w:b/>
          <w:bCs/>
          <w:color w:val="000000" w:themeColor="text1"/>
        </w:rPr>
      </w:pPr>
      <w:r w:rsidRPr="009252D7">
        <w:rPr>
          <w:b/>
          <w:bCs/>
          <w:color w:val="000000" w:themeColor="text1"/>
        </w:rPr>
        <w:t>1. Common Equity Tier 1 (CET1) Ratio</w:t>
      </w:r>
    </w:p>
    <w:p w14:paraId="28BB1FE7" w14:textId="77777777" w:rsidR="002D3279" w:rsidRPr="009252D7" w:rsidRDefault="002D3279" w:rsidP="002D3279">
      <w:pPr>
        <w:spacing w:line="360" w:lineRule="auto"/>
        <w:jc w:val="both"/>
        <w:rPr>
          <w:b/>
          <w:bCs/>
          <w:color w:val="000000" w:themeColor="text1"/>
        </w:rPr>
      </w:pPr>
      <w:r w:rsidRPr="009252D7">
        <w:rPr>
          <w:b/>
          <w:bCs/>
          <w:color w:val="000000" w:themeColor="text1"/>
        </w:rPr>
        <w:t xml:space="preserve">Formula = </w:t>
      </w:r>
      <w:r w:rsidRPr="009252D7">
        <w:rPr>
          <w:color w:val="000000" w:themeColor="text1"/>
        </w:rPr>
        <w:t>CET1 Ratio = CET1 Capital ÷ Risk-Weighted Assets (RWA)</w:t>
      </w:r>
    </w:p>
    <w:p w14:paraId="2DC3A195" w14:textId="77777777" w:rsidR="002D3279" w:rsidRPr="009252D7" w:rsidRDefault="002D3279" w:rsidP="002D3279">
      <w:pPr>
        <w:spacing w:line="360" w:lineRule="auto"/>
        <w:jc w:val="both"/>
        <w:rPr>
          <w:b/>
          <w:bCs/>
          <w:color w:val="000000" w:themeColor="text1"/>
        </w:rPr>
      </w:pPr>
      <w:r w:rsidRPr="009252D7">
        <w:rPr>
          <w:b/>
          <w:bCs/>
          <w:color w:val="000000" w:themeColor="text1"/>
        </w:rPr>
        <w:t>Figures Used</w:t>
      </w:r>
    </w:p>
    <w:p w14:paraId="451AA19A" w14:textId="77777777" w:rsidR="002D3279" w:rsidRPr="009252D7" w:rsidRDefault="002D3279" w:rsidP="002D3279">
      <w:pPr>
        <w:numPr>
          <w:ilvl w:val="0"/>
          <w:numId w:val="37"/>
        </w:numPr>
        <w:spacing w:after="0" w:line="360" w:lineRule="auto"/>
        <w:jc w:val="both"/>
        <w:rPr>
          <w:color w:val="000000" w:themeColor="text1"/>
        </w:rPr>
      </w:pPr>
      <w:r w:rsidRPr="009252D7">
        <w:rPr>
          <w:color w:val="000000" w:themeColor="text1"/>
        </w:rPr>
        <w:t xml:space="preserve">Risk-Weighted Assets (RWA) = </w:t>
      </w:r>
      <w:r w:rsidRPr="009252D7">
        <w:rPr>
          <w:b/>
          <w:bCs/>
          <w:color w:val="000000" w:themeColor="text1"/>
        </w:rPr>
        <w:t>£110,423m</w:t>
      </w:r>
    </w:p>
    <w:p w14:paraId="29B66DEF" w14:textId="77777777" w:rsidR="002D3279" w:rsidRPr="009252D7" w:rsidRDefault="002D3279" w:rsidP="002D3279">
      <w:pPr>
        <w:numPr>
          <w:ilvl w:val="0"/>
          <w:numId w:val="37"/>
        </w:numPr>
        <w:spacing w:after="0" w:line="360" w:lineRule="auto"/>
        <w:jc w:val="both"/>
        <w:rPr>
          <w:color w:val="000000" w:themeColor="text1"/>
        </w:rPr>
      </w:pPr>
      <w:r w:rsidRPr="009252D7">
        <w:rPr>
          <w:color w:val="000000" w:themeColor="text1"/>
        </w:rPr>
        <w:t xml:space="preserve">Reported CET1 Ratio = </w:t>
      </w:r>
      <w:r w:rsidRPr="009252D7">
        <w:rPr>
          <w:b/>
          <w:bCs/>
          <w:color w:val="000000" w:themeColor="text1"/>
        </w:rPr>
        <w:t>13.6%</w:t>
      </w:r>
    </w:p>
    <w:p w14:paraId="56A42D42" w14:textId="77777777" w:rsidR="002D3279" w:rsidRPr="009252D7" w:rsidRDefault="002D3279" w:rsidP="002D3279">
      <w:pPr>
        <w:spacing w:line="360" w:lineRule="auto"/>
        <w:rPr>
          <w:b/>
          <w:bCs/>
          <w:color w:val="000000" w:themeColor="text1"/>
        </w:rPr>
      </w:pPr>
      <w:r w:rsidRPr="009252D7">
        <w:rPr>
          <w:b/>
          <w:bCs/>
          <w:color w:val="000000" w:themeColor="text1"/>
        </w:rPr>
        <w:lastRenderedPageBreak/>
        <w:t>Calculation</w:t>
      </w:r>
    </w:p>
    <w:p w14:paraId="73692918" w14:textId="77777777" w:rsidR="002D3279" w:rsidRPr="009252D7" w:rsidRDefault="002D3279" w:rsidP="002D3279">
      <w:pPr>
        <w:spacing w:line="360" w:lineRule="auto"/>
        <w:rPr>
          <w:color w:val="000000" w:themeColor="text1"/>
        </w:rPr>
      </w:pPr>
      <w:r w:rsidRPr="009252D7">
        <w:rPr>
          <w:color w:val="000000" w:themeColor="text1"/>
        </w:rPr>
        <w:t xml:space="preserve">CET1 Capital = 13.6% × 110,423 = 0.136 × 110,423 = </w:t>
      </w:r>
      <w:r w:rsidRPr="009252D7">
        <w:rPr>
          <w:b/>
          <w:bCs/>
          <w:color w:val="000000" w:themeColor="text1"/>
        </w:rPr>
        <w:t>£15,016.53m</w:t>
      </w:r>
    </w:p>
    <w:p w14:paraId="245A820B" w14:textId="77777777" w:rsidR="002D3279" w:rsidRPr="009252D7" w:rsidRDefault="002D3279" w:rsidP="002D3279">
      <w:pPr>
        <w:spacing w:line="360" w:lineRule="auto"/>
        <w:rPr>
          <w:b/>
          <w:bCs/>
          <w:color w:val="000000" w:themeColor="text1"/>
        </w:rPr>
      </w:pPr>
      <w:r w:rsidRPr="009252D7">
        <w:rPr>
          <w:b/>
          <w:bCs/>
          <w:color w:val="000000" w:themeColor="text1"/>
        </w:rPr>
        <w:t>CET1 Ratio Calculation Check</w:t>
      </w:r>
    </w:p>
    <w:p w14:paraId="3F3BB172" w14:textId="77777777" w:rsidR="002D3279" w:rsidRPr="009252D7" w:rsidRDefault="002D3279" w:rsidP="002D3279">
      <w:pPr>
        <w:spacing w:line="360" w:lineRule="auto"/>
        <w:rPr>
          <w:b/>
          <w:bCs/>
          <w:color w:val="000000" w:themeColor="text1"/>
        </w:rPr>
      </w:pPr>
      <w:r w:rsidRPr="009252D7">
        <w:rPr>
          <w:color w:val="000000" w:themeColor="text1"/>
        </w:rPr>
        <w:t xml:space="preserve">= 15,016.53 ÷ 110,423 = </w:t>
      </w:r>
      <w:r w:rsidRPr="009252D7">
        <w:rPr>
          <w:b/>
          <w:bCs/>
          <w:color w:val="000000" w:themeColor="text1"/>
        </w:rPr>
        <w:t>0.136 ≈ 13.6%</w:t>
      </w:r>
    </w:p>
    <w:p w14:paraId="701326E5" w14:textId="77777777" w:rsidR="002D3279" w:rsidRPr="009252D7" w:rsidRDefault="002D3279" w:rsidP="002D3279">
      <w:pPr>
        <w:spacing w:line="360" w:lineRule="auto"/>
        <w:jc w:val="both"/>
        <w:rPr>
          <w:color w:val="000000" w:themeColor="text1"/>
        </w:rPr>
      </w:pPr>
    </w:p>
    <w:p w14:paraId="29C82025" w14:textId="77777777" w:rsidR="002D3279" w:rsidRPr="009252D7" w:rsidRDefault="002D3279" w:rsidP="002D3279">
      <w:pPr>
        <w:spacing w:line="360" w:lineRule="auto"/>
        <w:jc w:val="both"/>
        <w:rPr>
          <w:b/>
          <w:bCs/>
          <w:color w:val="000000" w:themeColor="text1"/>
        </w:rPr>
      </w:pPr>
      <w:r w:rsidRPr="009252D7">
        <w:rPr>
          <w:b/>
          <w:bCs/>
          <w:color w:val="000000" w:themeColor="text1"/>
        </w:rPr>
        <w:t>2. Total Capital Adequacy Ratio (CAR)</w:t>
      </w:r>
    </w:p>
    <w:p w14:paraId="7D85F624" w14:textId="77777777" w:rsidR="002D3279" w:rsidRPr="009252D7" w:rsidRDefault="002D3279" w:rsidP="002D3279">
      <w:pPr>
        <w:spacing w:line="360" w:lineRule="auto"/>
        <w:jc w:val="both"/>
        <w:rPr>
          <w:b/>
          <w:bCs/>
          <w:color w:val="000000" w:themeColor="text1"/>
        </w:rPr>
      </w:pPr>
      <w:r w:rsidRPr="009252D7">
        <w:rPr>
          <w:b/>
          <w:bCs/>
          <w:color w:val="000000" w:themeColor="text1"/>
        </w:rPr>
        <w:t>Formula</w:t>
      </w:r>
    </w:p>
    <w:p w14:paraId="1740C6F4" w14:textId="77777777" w:rsidR="002D3279" w:rsidRPr="009252D7" w:rsidRDefault="002D3279" w:rsidP="002D3279">
      <w:pPr>
        <w:spacing w:line="360" w:lineRule="auto"/>
        <w:jc w:val="both"/>
        <w:rPr>
          <w:color w:val="000000" w:themeColor="text1"/>
        </w:rPr>
      </w:pPr>
      <w:r w:rsidRPr="009252D7">
        <w:rPr>
          <w:color w:val="000000" w:themeColor="text1"/>
        </w:rPr>
        <w:t>Total Capital Ratio = Total Regulatory Capital ÷ Risk-Weighted Assets (RWA)</w:t>
      </w:r>
    </w:p>
    <w:p w14:paraId="2B1D4C7E" w14:textId="77777777" w:rsidR="002D3279" w:rsidRPr="009252D7" w:rsidRDefault="002D3279" w:rsidP="002D3279">
      <w:pPr>
        <w:spacing w:line="360" w:lineRule="auto"/>
        <w:jc w:val="both"/>
        <w:rPr>
          <w:b/>
          <w:bCs/>
          <w:color w:val="000000" w:themeColor="text1"/>
        </w:rPr>
      </w:pPr>
      <w:r w:rsidRPr="009252D7">
        <w:rPr>
          <w:b/>
          <w:bCs/>
          <w:color w:val="000000" w:themeColor="text1"/>
        </w:rPr>
        <w:t>Figures Used</w:t>
      </w:r>
    </w:p>
    <w:p w14:paraId="1E0C4D0D" w14:textId="77777777" w:rsidR="002D3279" w:rsidRPr="009252D7" w:rsidRDefault="002D3279" w:rsidP="002D3279">
      <w:pPr>
        <w:numPr>
          <w:ilvl w:val="0"/>
          <w:numId w:val="38"/>
        </w:numPr>
        <w:spacing w:after="0" w:line="360" w:lineRule="auto"/>
        <w:jc w:val="both"/>
        <w:rPr>
          <w:color w:val="000000" w:themeColor="text1"/>
        </w:rPr>
      </w:pPr>
      <w:r w:rsidRPr="009252D7">
        <w:rPr>
          <w:color w:val="000000" w:themeColor="text1"/>
        </w:rPr>
        <w:t xml:space="preserve">Risk-Weighted Assets (RWA) = </w:t>
      </w:r>
      <w:r w:rsidRPr="009252D7">
        <w:rPr>
          <w:b/>
          <w:bCs/>
          <w:color w:val="000000" w:themeColor="text1"/>
        </w:rPr>
        <w:t>£110,423m</w:t>
      </w:r>
    </w:p>
    <w:p w14:paraId="58F4A5F1" w14:textId="77777777" w:rsidR="002D3279" w:rsidRPr="009252D7" w:rsidRDefault="002D3279" w:rsidP="002D3279">
      <w:pPr>
        <w:numPr>
          <w:ilvl w:val="0"/>
          <w:numId w:val="38"/>
        </w:numPr>
        <w:spacing w:after="0" w:line="360" w:lineRule="auto"/>
        <w:jc w:val="both"/>
        <w:rPr>
          <w:color w:val="000000" w:themeColor="text1"/>
        </w:rPr>
      </w:pPr>
      <w:r w:rsidRPr="009252D7">
        <w:rPr>
          <w:color w:val="000000" w:themeColor="text1"/>
        </w:rPr>
        <w:t xml:space="preserve">Reported Total Capital Ratio = </w:t>
      </w:r>
      <w:r w:rsidRPr="009252D7">
        <w:rPr>
          <w:b/>
          <w:bCs/>
          <w:color w:val="000000" w:themeColor="text1"/>
        </w:rPr>
        <w:t>18.6%</w:t>
      </w:r>
    </w:p>
    <w:p w14:paraId="3C8EED8F" w14:textId="77777777" w:rsidR="002D3279" w:rsidRPr="009252D7" w:rsidRDefault="002D3279" w:rsidP="002D3279">
      <w:pPr>
        <w:spacing w:line="360" w:lineRule="auto"/>
        <w:rPr>
          <w:b/>
          <w:bCs/>
          <w:color w:val="000000" w:themeColor="text1"/>
        </w:rPr>
      </w:pPr>
      <w:r w:rsidRPr="009252D7">
        <w:rPr>
          <w:b/>
          <w:bCs/>
          <w:color w:val="000000" w:themeColor="text1"/>
        </w:rPr>
        <w:t>Calculation</w:t>
      </w:r>
    </w:p>
    <w:p w14:paraId="523C6D13" w14:textId="77777777" w:rsidR="002D3279" w:rsidRPr="009252D7" w:rsidRDefault="002D3279" w:rsidP="002D3279">
      <w:pPr>
        <w:spacing w:line="360" w:lineRule="auto"/>
        <w:rPr>
          <w:color w:val="000000" w:themeColor="text1"/>
        </w:rPr>
      </w:pPr>
      <w:r w:rsidRPr="009252D7">
        <w:rPr>
          <w:color w:val="000000" w:themeColor="text1"/>
        </w:rPr>
        <w:t xml:space="preserve">Total Regulatory Capital = 18.6% × 110,423 = 0.186 × 110,423 = </w:t>
      </w:r>
      <w:r w:rsidRPr="009252D7">
        <w:rPr>
          <w:b/>
          <w:bCs/>
          <w:color w:val="000000" w:themeColor="text1"/>
        </w:rPr>
        <w:t>£20,538.68m</w:t>
      </w:r>
    </w:p>
    <w:p w14:paraId="733161D8" w14:textId="77777777" w:rsidR="002D3279" w:rsidRPr="009252D7" w:rsidRDefault="002D3279" w:rsidP="002D3279">
      <w:pPr>
        <w:spacing w:line="360" w:lineRule="auto"/>
        <w:rPr>
          <w:b/>
          <w:bCs/>
          <w:color w:val="000000" w:themeColor="text1"/>
        </w:rPr>
      </w:pPr>
      <w:r w:rsidRPr="009252D7">
        <w:rPr>
          <w:b/>
          <w:bCs/>
          <w:color w:val="000000" w:themeColor="text1"/>
        </w:rPr>
        <w:t xml:space="preserve">Total Capital Ratio Calculation Check </w:t>
      </w:r>
      <w:r w:rsidRPr="009252D7">
        <w:rPr>
          <w:color w:val="000000" w:themeColor="text1"/>
        </w:rPr>
        <w:t xml:space="preserve">= 20,538.68 ÷ 110,423 = </w:t>
      </w:r>
      <w:r w:rsidRPr="009252D7">
        <w:rPr>
          <w:b/>
          <w:bCs/>
          <w:color w:val="000000" w:themeColor="text1"/>
        </w:rPr>
        <w:t>0.186 ≈ 18.6%</w:t>
      </w:r>
    </w:p>
    <w:p w14:paraId="4883838B" w14:textId="77777777" w:rsidR="002D3279" w:rsidRPr="009252D7" w:rsidRDefault="002D3279" w:rsidP="002D3279">
      <w:pPr>
        <w:spacing w:line="360" w:lineRule="auto"/>
        <w:jc w:val="both"/>
        <w:rPr>
          <w:color w:val="000000" w:themeColor="text1"/>
        </w:rPr>
      </w:pPr>
    </w:p>
    <w:p w14:paraId="785A50DF" w14:textId="77777777" w:rsidR="002D3279" w:rsidRPr="009252D7" w:rsidRDefault="002D3279" w:rsidP="002D3279">
      <w:pPr>
        <w:spacing w:line="360" w:lineRule="auto"/>
        <w:jc w:val="both"/>
        <w:rPr>
          <w:b/>
          <w:bCs/>
          <w:color w:val="000000" w:themeColor="text1"/>
        </w:rPr>
      </w:pPr>
      <w:r w:rsidRPr="009252D7">
        <w:rPr>
          <w:b/>
          <w:bCs/>
          <w:color w:val="000000" w:themeColor="text1"/>
        </w:rPr>
        <w:t>3. Leverage Ratio</w:t>
      </w:r>
    </w:p>
    <w:p w14:paraId="3BDD7200" w14:textId="77777777" w:rsidR="002D3279" w:rsidRPr="009252D7" w:rsidRDefault="002D3279" w:rsidP="002D3279">
      <w:pPr>
        <w:spacing w:line="360" w:lineRule="auto"/>
        <w:jc w:val="both"/>
        <w:rPr>
          <w:b/>
          <w:bCs/>
          <w:color w:val="000000" w:themeColor="text1"/>
        </w:rPr>
      </w:pPr>
      <w:r w:rsidRPr="009252D7">
        <w:rPr>
          <w:b/>
          <w:bCs/>
          <w:color w:val="000000" w:themeColor="text1"/>
        </w:rPr>
        <w:t>Formula</w:t>
      </w:r>
    </w:p>
    <w:p w14:paraId="396B2E8F" w14:textId="77777777" w:rsidR="002D3279" w:rsidRPr="009252D7" w:rsidRDefault="002D3279" w:rsidP="002D3279">
      <w:pPr>
        <w:spacing w:line="360" w:lineRule="auto"/>
        <w:jc w:val="both"/>
        <w:rPr>
          <w:color w:val="000000" w:themeColor="text1"/>
        </w:rPr>
      </w:pPr>
      <w:r w:rsidRPr="009252D7">
        <w:rPr>
          <w:color w:val="000000" w:themeColor="text1"/>
        </w:rPr>
        <w:t>Leverage Ratio = Tier 1 Capital ÷ Total Exposure Measure</w:t>
      </w:r>
    </w:p>
    <w:p w14:paraId="5FE60581" w14:textId="77777777" w:rsidR="002D3279" w:rsidRPr="009252D7" w:rsidRDefault="002D3279" w:rsidP="002D3279">
      <w:pPr>
        <w:spacing w:line="360" w:lineRule="auto"/>
        <w:jc w:val="both"/>
        <w:rPr>
          <w:b/>
          <w:bCs/>
          <w:color w:val="000000" w:themeColor="text1"/>
        </w:rPr>
      </w:pPr>
      <w:r w:rsidRPr="009252D7">
        <w:rPr>
          <w:b/>
          <w:bCs/>
          <w:color w:val="000000" w:themeColor="text1"/>
        </w:rPr>
        <w:t>Figures Used</w:t>
      </w:r>
    </w:p>
    <w:p w14:paraId="166E12BD" w14:textId="77777777" w:rsidR="002D3279" w:rsidRPr="009252D7" w:rsidRDefault="002D3279" w:rsidP="002D3279">
      <w:pPr>
        <w:numPr>
          <w:ilvl w:val="0"/>
          <w:numId w:val="39"/>
        </w:numPr>
        <w:spacing w:after="0" w:line="360" w:lineRule="auto"/>
        <w:jc w:val="both"/>
        <w:rPr>
          <w:color w:val="000000" w:themeColor="text1"/>
        </w:rPr>
      </w:pPr>
      <w:r w:rsidRPr="009252D7">
        <w:rPr>
          <w:color w:val="000000" w:themeColor="text1"/>
        </w:rPr>
        <w:t xml:space="preserve">Reported Leverage Ratio = </w:t>
      </w:r>
      <w:r w:rsidRPr="009252D7">
        <w:rPr>
          <w:b/>
          <w:bCs/>
          <w:color w:val="000000" w:themeColor="text1"/>
        </w:rPr>
        <w:t>5.8%</w:t>
      </w:r>
    </w:p>
    <w:p w14:paraId="17D18D37" w14:textId="77777777" w:rsidR="002D3279" w:rsidRPr="009252D7" w:rsidRDefault="002D3279" w:rsidP="002D3279">
      <w:pPr>
        <w:spacing w:line="360" w:lineRule="auto"/>
        <w:jc w:val="both"/>
        <w:rPr>
          <w:b/>
          <w:bCs/>
          <w:color w:val="000000" w:themeColor="text1"/>
        </w:rPr>
      </w:pPr>
      <w:r w:rsidRPr="009252D7">
        <w:rPr>
          <w:b/>
          <w:bCs/>
          <w:color w:val="000000" w:themeColor="text1"/>
        </w:rPr>
        <w:t>Reverse Calculation (Exposure Measure)</w:t>
      </w:r>
    </w:p>
    <w:p w14:paraId="5D23456E" w14:textId="77777777" w:rsidR="002D3279" w:rsidRPr="009252D7" w:rsidRDefault="002D3279" w:rsidP="002D3279">
      <w:pPr>
        <w:spacing w:line="360" w:lineRule="auto"/>
        <w:rPr>
          <w:color w:val="000000" w:themeColor="text1"/>
        </w:rPr>
      </w:pPr>
      <w:r w:rsidRPr="009252D7">
        <w:rPr>
          <w:color w:val="000000" w:themeColor="text1"/>
        </w:rPr>
        <w:t>Tier 1 Capital ≈ CET1 Capital (bank reports no material AT1 dilution for leverage purposes)</w:t>
      </w:r>
    </w:p>
    <w:p w14:paraId="2D2B6D9F" w14:textId="77777777" w:rsidR="002D3279" w:rsidRPr="009252D7" w:rsidRDefault="002D3279" w:rsidP="002D3279">
      <w:pPr>
        <w:spacing w:line="360" w:lineRule="auto"/>
        <w:rPr>
          <w:color w:val="000000" w:themeColor="text1"/>
        </w:rPr>
      </w:pPr>
      <w:r w:rsidRPr="009252D7">
        <w:rPr>
          <w:color w:val="000000" w:themeColor="text1"/>
        </w:rPr>
        <w:t xml:space="preserve">Tier 1 Capital = </w:t>
      </w:r>
      <w:r w:rsidRPr="009252D7">
        <w:rPr>
          <w:b/>
          <w:bCs/>
          <w:color w:val="000000" w:themeColor="text1"/>
        </w:rPr>
        <w:t>£15,016.53m</w:t>
      </w:r>
    </w:p>
    <w:p w14:paraId="76192C5F" w14:textId="77777777" w:rsidR="002D3279" w:rsidRPr="009252D7" w:rsidRDefault="002D3279" w:rsidP="002D3279">
      <w:pPr>
        <w:spacing w:line="360" w:lineRule="auto"/>
        <w:rPr>
          <w:color w:val="000000" w:themeColor="text1"/>
        </w:rPr>
      </w:pPr>
      <w:r w:rsidRPr="009252D7">
        <w:rPr>
          <w:color w:val="000000" w:themeColor="text1"/>
        </w:rPr>
        <w:t>Total Exposure Measure</w:t>
      </w:r>
      <w:r w:rsidRPr="009252D7">
        <w:rPr>
          <w:color w:val="000000" w:themeColor="text1"/>
        </w:rPr>
        <w:br/>
        <w:t xml:space="preserve">= Tier 1 Capital ÷ Leverage Ratio = 15,016.53 ÷ 0.058 = </w:t>
      </w:r>
      <w:r w:rsidRPr="009252D7">
        <w:rPr>
          <w:b/>
          <w:bCs/>
          <w:color w:val="000000" w:themeColor="text1"/>
        </w:rPr>
        <w:t>£258,905.69m</w:t>
      </w:r>
    </w:p>
    <w:p w14:paraId="236DE80F" w14:textId="287D6DFE" w:rsidR="002D3279" w:rsidRPr="009252D7" w:rsidRDefault="002D3279" w:rsidP="002D3279">
      <w:pPr>
        <w:spacing w:line="360" w:lineRule="auto"/>
        <w:rPr>
          <w:b/>
          <w:bCs/>
          <w:color w:val="000000" w:themeColor="text1"/>
        </w:rPr>
      </w:pPr>
      <w:r w:rsidRPr="009252D7">
        <w:rPr>
          <w:b/>
          <w:bCs/>
          <w:color w:val="000000" w:themeColor="text1"/>
        </w:rPr>
        <w:t xml:space="preserve">Leverage Ratio Calculation Check </w:t>
      </w:r>
      <w:r w:rsidRPr="009252D7">
        <w:rPr>
          <w:color w:val="000000" w:themeColor="text1"/>
        </w:rPr>
        <w:t xml:space="preserve">= 15,016.53 ÷ 258,905.69 = </w:t>
      </w:r>
      <w:r w:rsidRPr="009252D7">
        <w:rPr>
          <w:b/>
          <w:bCs/>
          <w:color w:val="000000" w:themeColor="text1"/>
        </w:rPr>
        <w:t>0.058 ≈ 5.8%</w:t>
      </w:r>
    </w:p>
    <w:p w14:paraId="4A6C45A4" w14:textId="77777777" w:rsidR="002D3279" w:rsidRPr="006825E0" w:rsidRDefault="002D3279" w:rsidP="002D3279">
      <w:pPr>
        <w:pStyle w:val="Heading2"/>
        <w:rPr>
          <w:rFonts w:ascii="Times New Roman" w:hAnsi="Times New Roman" w:cs="Times New Roman"/>
          <w:sz w:val="24"/>
          <w:szCs w:val="24"/>
        </w:rPr>
      </w:pPr>
      <w:bookmarkStart w:id="60" w:name="_Toc218979692"/>
      <w:r w:rsidRPr="006825E0">
        <w:rPr>
          <w:rFonts w:ascii="Times New Roman" w:hAnsi="Times New Roman" w:cs="Times New Roman"/>
          <w:sz w:val="24"/>
          <w:szCs w:val="24"/>
        </w:rPr>
        <w:lastRenderedPageBreak/>
        <w:t>Appendix: Q Investor / Market Ratios – Financial Year 2023</w:t>
      </w:r>
      <w:bookmarkEnd w:id="60"/>
    </w:p>
    <w:p w14:paraId="36B87547" w14:textId="77777777" w:rsidR="002D3279" w:rsidRPr="009252D7" w:rsidRDefault="002D3279" w:rsidP="002D3279">
      <w:pPr>
        <w:spacing w:line="360" w:lineRule="auto"/>
        <w:rPr>
          <w:b/>
          <w:bCs/>
          <w:color w:val="000000" w:themeColor="text1"/>
        </w:rPr>
      </w:pPr>
      <w:r w:rsidRPr="009252D7">
        <w:rPr>
          <w:b/>
          <w:bCs/>
          <w:color w:val="000000" w:themeColor="text1"/>
        </w:rPr>
        <w:t>Entity: HSBC UK Bank plc</w:t>
      </w:r>
      <w:r w:rsidRPr="009252D7">
        <w:rPr>
          <w:b/>
          <w:bCs/>
          <w:color w:val="000000" w:themeColor="text1"/>
        </w:rPr>
        <w:br/>
        <w:t>Reporting Period: Year ended 31 December 2023</w:t>
      </w:r>
    </w:p>
    <w:p w14:paraId="40235985" w14:textId="77777777" w:rsidR="00BA60EC" w:rsidRDefault="00BA60EC" w:rsidP="002D3279">
      <w:pPr>
        <w:spacing w:line="360" w:lineRule="auto"/>
        <w:rPr>
          <w:b/>
          <w:bCs/>
          <w:color w:val="000000" w:themeColor="text1"/>
        </w:rPr>
      </w:pPr>
    </w:p>
    <w:p w14:paraId="5D4B5739" w14:textId="6EF17506" w:rsidR="002D3279" w:rsidRPr="009252D7" w:rsidRDefault="002D3279" w:rsidP="002D3279">
      <w:pPr>
        <w:spacing w:line="360" w:lineRule="auto"/>
        <w:rPr>
          <w:b/>
          <w:bCs/>
          <w:color w:val="000000" w:themeColor="text1"/>
        </w:rPr>
      </w:pPr>
      <w:r w:rsidRPr="009252D7">
        <w:rPr>
          <w:b/>
          <w:bCs/>
          <w:color w:val="000000" w:themeColor="text1"/>
        </w:rPr>
        <w:t>Investor / Market Ratios – Source Data Table (FY 2023)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0"/>
        <w:gridCol w:w="1279"/>
        <w:gridCol w:w="1920"/>
        <w:gridCol w:w="2857"/>
      </w:tblGrid>
      <w:tr w:rsidR="002D3279" w:rsidRPr="009252D7" w14:paraId="591D2890" w14:textId="77777777" w:rsidTr="00A42257">
        <w:trPr>
          <w:tblHeader/>
          <w:tblCellSpacing w:w="15" w:type="dxa"/>
        </w:trPr>
        <w:tc>
          <w:tcPr>
            <w:tcW w:w="0" w:type="auto"/>
            <w:vAlign w:val="center"/>
            <w:hideMark/>
          </w:tcPr>
          <w:p w14:paraId="2E5E12F4" w14:textId="77777777" w:rsidR="002D3279" w:rsidRPr="009252D7" w:rsidRDefault="002D3279" w:rsidP="00A42257">
            <w:pPr>
              <w:spacing w:line="360" w:lineRule="auto"/>
              <w:rPr>
                <w:b/>
                <w:bCs/>
                <w:color w:val="000000" w:themeColor="text1"/>
              </w:rPr>
            </w:pPr>
            <w:r w:rsidRPr="009252D7">
              <w:rPr>
                <w:b/>
                <w:bCs/>
                <w:color w:val="000000" w:themeColor="text1"/>
              </w:rPr>
              <w:t>Financial Figure Used</w:t>
            </w:r>
          </w:p>
        </w:tc>
        <w:tc>
          <w:tcPr>
            <w:tcW w:w="0" w:type="auto"/>
            <w:vAlign w:val="center"/>
            <w:hideMark/>
          </w:tcPr>
          <w:p w14:paraId="6A09EE09" w14:textId="77777777" w:rsidR="002D3279" w:rsidRPr="009252D7" w:rsidRDefault="002D3279" w:rsidP="00A42257">
            <w:pPr>
              <w:spacing w:line="360" w:lineRule="auto"/>
              <w:rPr>
                <w:b/>
                <w:bCs/>
                <w:color w:val="000000" w:themeColor="text1"/>
              </w:rPr>
            </w:pPr>
            <w:r w:rsidRPr="009252D7">
              <w:rPr>
                <w:b/>
                <w:bCs/>
                <w:color w:val="000000" w:themeColor="text1"/>
              </w:rPr>
              <w:t>Amount (£m)</w:t>
            </w:r>
          </w:p>
        </w:tc>
        <w:tc>
          <w:tcPr>
            <w:tcW w:w="0" w:type="auto"/>
            <w:vAlign w:val="center"/>
            <w:hideMark/>
          </w:tcPr>
          <w:p w14:paraId="19FDAF7B" w14:textId="77777777" w:rsidR="002D3279" w:rsidRPr="009252D7" w:rsidRDefault="002D3279" w:rsidP="00A42257">
            <w:pPr>
              <w:spacing w:line="360" w:lineRule="auto"/>
              <w:rPr>
                <w:b/>
                <w:bCs/>
                <w:color w:val="000000" w:themeColor="text1"/>
              </w:rPr>
            </w:pPr>
            <w:r w:rsidRPr="009252D7">
              <w:rPr>
                <w:b/>
                <w:bCs/>
                <w:color w:val="000000" w:themeColor="text1"/>
              </w:rPr>
              <w:t>Used in Ratio</w:t>
            </w:r>
          </w:p>
        </w:tc>
        <w:tc>
          <w:tcPr>
            <w:tcW w:w="0" w:type="auto"/>
            <w:vAlign w:val="center"/>
            <w:hideMark/>
          </w:tcPr>
          <w:p w14:paraId="3441BDDA" w14:textId="77777777" w:rsidR="002D3279" w:rsidRPr="009252D7" w:rsidRDefault="002D3279" w:rsidP="00A42257">
            <w:pPr>
              <w:spacing w:line="360" w:lineRule="auto"/>
              <w:rPr>
                <w:b/>
                <w:bCs/>
                <w:color w:val="000000" w:themeColor="text1"/>
              </w:rPr>
            </w:pPr>
            <w:r w:rsidRPr="009252D7">
              <w:rPr>
                <w:b/>
                <w:bCs/>
                <w:color w:val="000000" w:themeColor="text1"/>
              </w:rPr>
              <w:t>Exact Source in Annual Report 2023</w:t>
            </w:r>
          </w:p>
        </w:tc>
      </w:tr>
      <w:tr w:rsidR="002D3279" w:rsidRPr="009252D7" w14:paraId="3925FB0A" w14:textId="77777777" w:rsidTr="00A42257">
        <w:trPr>
          <w:tblCellSpacing w:w="15" w:type="dxa"/>
        </w:trPr>
        <w:tc>
          <w:tcPr>
            <w:tcW w:w="0" w:type="auto"/>
            <w:vAlign w:val="center"/>
            <w:hideMark/>
          </w:tcPr>
          <w:p w14:paraId="4EAA0A62" w14:textId="77777777" w:rsidR="002D3279" w:rsidRPr="009252D7" w:rsidRDefault="002D3279" w:rsidP="00A42257">
            <w:pPr>
              <w:spacing w:line="360" w:lineRule="auto"/>
              <w:rPr>
                <w:b/>
                <w:bCs/>
                <w:color w:val="000000" w:themeColor="text1"/>
              </w:rPr>
            </w:pPr>
            <w:r w:rsidRPr="009252D7">
              <w:rPr>
                <w:b/>
                <w:bCs/>
                <w:color w:val="000000" w:themeColor="text1"/>
              </w:rPr>
              <w:t>Number of ordinary shares outstanding</w:t>
            </w:r>
          </w:p>
        </w:tc>
        <w:tc>
          <w:tcPr>
            <w:tcW w:w="0" w:type="auto"/>
            <w:vAlign w:val="center"/>
            <w:hideMark/>
          </w:tcPr>
          <w:p w14:paraId="6C5D24EB" w14:textId="77777777" w:rsidR="002D3279" w:rsidRPr="009252D7" w:rsidRDefault="002D3279" w:rsidP="00A42257">
            <w:pPr>
              <w:spacing w:line="360" w:lineRule="auto"/>
              <w:rPr>
                <w:b/>
                <w:bCs/>
                <w:color w:val="000000" w:themeColor="text1"/>
              </w:rPr>
            </w:pPr>
            <w:r w:rsidRPr="009252D7">
              <w:rPr>
                <w:b/>
                <w:bCs/>
                <w:color w:val="000000" w:themeColor="text1"/>
              </w:rPr>
              <w:t>Not disclosed</w:t>
            </w:r>
          </w:p>
        </w:tc>
        <w:tc>
          <w:tcPr>
            <w:tcW w:w="0" w:type="auto"/>
            <w:vAlign w:val="center"/>
            <w:hideMark/>
          </w:tcPr>
          <w:p w14:paraId="4C5E4AF9" w14:textId="77777777" w:rsidR="002D3279" w:rsidRPr="009252D7" w:rsidRDefault="002D3279" w:rsidP="00A42257">
            <w:pPr>
              <w:spacing w:line="360" w:lineRule="auto"/>
              <w:rPr>
                <w:b/>
                <w:bCs/>
                <w:color w:val="000000" w:themeColor="text1"/>
              </w:rPr>
            </w:pPr>
            <w:r w:rsidRPr="009252D7">
              <w:rPr>
                <w:b/>
                <w:bCs/>
                <w:color w:val="000000" w:themeColor="text1"/>
              </w:rPr>
              <w:t>EPS</w:t>
            </w:r>
          </w:p>
        </w:tc>
        <w:tc>
          <w:tcPr>
            <w:tcW w:w="0" w:type="auto"/>
            <w:vAlign w:val="center"/>
            <w:hideMark/>
          </w:tcPr>
          <w:p w14:paraId="586F192F" w14:textId="77777777" w:rsidR="002D3279" w:rsidRPr="009252D7" w:rsidRDefault="002D3279" w:rsidP="00A42257">
            <w:pPr>
              <w:spacing w:line="360" w:lineRule="auto"/>
              <w:rPr>
                <w:b/>
                <w:bCs/>
                <w:color w:val="000000" w:themeColor="text1"/>
              </w:rPr>
            </w:pPr>
            <w:r w:rsidRPr="009252D7">
              <w:rPr>
                <w:b/>
                <w:bCs/>
                <w:color w:val="000000" w:themeColor="text1"/>
              </w:rPr>
              <w:t xml:space="preserve">Not applicable – company not listed </w:t>
            </w:r>
          </w:p>
        </w:tc>
      </w:tr>
      <w:tr w:rsidR="002D3279" w:rsidRPr="009252D7" w14:paraId="2FCDE273" w14:textId="77777777" w:rsidTr="00A42257">
        <w:trPr>
          <w:tblCellSpacing w:w="15" w:type="dxa"/>
        </w:trPr>
        <w:tc>
          <w:tcPr>
            <w:tcW w:w="0" w:type="auto"/>
            <w:vAlign w:val="center"/>
            <w:hideMark/>
          </w:tcPr>
          <w:p w14:paraId="011C75BE" w14:textId="77777777" w:rsidR="002D3279" w:rsidRPr="009252D7" w:rsidRDefault="002D3279" w:rsidP="00A42257">
            <w:pPr>
              <w:spacing w:line="360" w:lineRule="auto"/>
              <w:rPr>
                <w:b/>
                <w:bCs/>
                <w:color w:val="000000" w:themeColor="text1"/>
              </w:rPr>
            </w:pPr>
            <w:r w:rsidRPr="009252D7">
              <w:rPr>
                <w:b/>
                <w:bCs/>
                <w:color w:val="000000" w:themeColor="text1"/>
              </w:rPr>
              <w:t>Dividends paid on ordinary share capital</w:t>
            </w:r>
          </w:p>
        </w:tc>
        <w:tc>
          <w:tcPr>
            <w:tcW w:w="0" w:type="auto"/>
            <w:vAlign w:val="center"/>
            <w:hideMark/>
          </w:tcPr>
          <w:p w14:paraId="3BDDBBF6" w14:textId="77777777" w:rsidR="002D3279" w:rsidRPr="009252D7" w:rsidRDefault="002D3279" w:rsidP="00A42257">
            <w:pPr>
              <w:spacing w:line="360" w:lineRule="auto"/>
              <w:rPr>
                <w:b/>
                <w:bCs/>
                <w:color w:val="000000" w:themeColor="text1"/>
              </w:rPr>
            </w:pPr>
            <w:r w:rsidRPr="009252D7">
              <w:rPr>
                <w:b/>
                <w:bCs/>
                <w:color w:val="000000" w:themeColor="text1"/>
              </w:rPr>
              <w:t>2,197</w:t>
            </w:r>
          </w:p>
        </w:tc>
        <w:tc>
          <w:tcPr>
            <w:tcW w:w="0" w:type="auto"/>
            <w:vAlign w:val="center"/>
            <w:hideMark/>
          </w:tcPr>
          <w:p w14:paraId="4480A037" w14:textId="77777777" w:rsidR="002D3279" w:rsidRPr="009252D7" w:rsidRDefault="002D3279" w:rsidP="00A42257">
            <w:pPr>
              <w:spacing w:line="360" w:lineRule="auto"/>
              <w:rPr>
                <w:b/>
                <w:bCs/>
                <w:color w:val="000000" w:themeColor="text1"/>
              </w:rPr>
            </w:pPr>
            <w:r w:rsidRPr="009252D7">
              <w:rPr>
                <w:b/>
                <w:bCs/>
                <w:color w:val="000000" w:themeColor="text1"/>
              </w:rPr>
              <w:t>Dividend Payout Ratio</w:t>
            </w:r>
          </w:p>
        </w:tc>
        <w:tc>
          <w:tcPr>
            <w:tcW w:w="0" w:type="auto"/>
            <w:vAlign w:val="center"/>
            <w:hideMark/>
          </w:tcPr>
          <w:p w14:paraId="158F26BD" w14:textId="77777777" w:rsidR="002D3279" w:rsidRPr="009252D7" w:rsidRDefault="002D3279" w:rsidP="00A42257">
            <w:pPr>
              <w:spacing w:line="360" w:lineRule="auto"/>
              <w:rPr>
                <w:b/>
                <w:bCs/>
                <w:color w:val="000000" w:themeColor="text1"/>
              </w:rPr>
            </w:pPr>
            <w:r w:rsidRPr="009252D7">
              <w:rPr>
                <w:b/>
                <w:bCs/>
                <w:color w:val="000000" w:themeColor="text1"/>
              </w:rPr>
              <w:t xml:space="preserve">Statement of Changes in Equity – Page 5 </w:t>
            </w:r>
          </w:p>
        </w:tc>
      </w:tr>
      <w:tr w:rsidR="002D3279" w:rsidRPr="009252D7" w14:paraId="5DC8F889" w14:textId="77777777" w:rsidTr="00A42257">
        <w:trPr>
          <w:tblCellSpacing w:w="15" w:type="dxa"/>
        </w:trPr>
        <w:tc>
          <w:tcPr>
            <w:tcW w:w="0" w:type="auto"/>
            <w:vAlign w:val="center"/>
            <w:hideMark/>
          </w:tcPr>
          <w:p w14:paraId="08751BB0" w14:textId="77777777" w:rsidR="002D3279" w:rsidRPr="009252D7" w:rsidRDefault="002D3279" w:rsidP="00A42257">
            <w:pPr>
              <w:spacing w:line="360" w:lineRule="auto"/>
              <w:rPr>
                <w:b/>
                <w:bCs/>
                <w:color w:val="000000" w:themeColor="text1"/>
              </w:rPr>
            </w:pPr>
            <w:r w:rsidRPr="009252D7">
              <w:rPr>
                <w:b/>
                <w:bCs/>
                <w:color w:val="000000" w:themeColor="text1"/>
              </w:rPr>
              <w:t>AT1 distributions</w:t>
            </w:r>
          </w:p>
        </w:tc>
        <w:tc>
          <w:tcPr>
            <w:tcW w:w="0" w:type="auto"/>
            <w:vAlign w:val="center"/>
            <w:hideMark/>
          </w:tcPr>
          <w:p w14:paraId="0FB3F479" w14:textId="77777777" w:rsidR="002D3279" w:rsidRPr="009252D7" w:rsidRDefault="002D3279" w:rsidP="00A42257">
            <w:pPr>
              <w:spacing w:line="360" w:lineRule="auto"/>
              <w:rPr>
                <w:b/>
                <w:bCs/>
                <w:color w:val="000000" w:themeColor="text1"/>
              </w:rPr>
            </w:pPr>
            <w:r w:rsidRPr="009252D7">
              <w:rPr>
                <w:b/>
                <w:bCs/>
                <w:color w:val="000000" w:themeColor="text1"/>
              </w:rPr>
              <w:t>214</w:t>
            </w:r>
          </w:p>
        </w:tc>
        <w:tc>
          <w:tcPr>
            <w:tcW w:w="0" w:type="auto"/>
            <w:vAlign w:val="center"/>
            <w:hideMark/>
          </w:tcPr>
          <w:p w14:paraId="05B68F04" w14:textId="77777777" w:rsidR="002D3279" w:rsidRPr="009252D7" w:rsidRDefault="002D3279" w:rsidP="00A42257">
            <w:pPr>
              <w:spacing w:line="360" w:lineRule="auto"/>
              <w:rPr>
                <w:b/>
                <w:bCs/>
                <w:color w:val="000000" w:themeColor="text1"/>
              </w:rPr>
            </w:pPr>
            <w:r w:rsidRPr="009252D7">
              <w:rPr>
                <w:b/>
                <w:bCs/>
                <w:color w:val="000000" w:themeColor="text1"/>
              </w:rPr>
              <w:t>Excluded from dividends</w:t>
            </w:r>
          </w:p>
        </w:tc>
        <w:tc>
          <w:tcPr>
            <w:tcW w:w="0" w:type="auto"/>
            <w:vAlign w:val="center"/>
            <w:hideMark/>
          </w:tcPr>
          <w:p w14:paraId="479943C0" w14:textId="77777777" w:rsidR="002D3279" w:rsidRPr="009252D7" w:rsidRDefault="002D3279" w:rsidP="00A42257">
            <w:pPr>
              <w:spacing w:line="360" w:lineRule="auto"/>
              <w:rPr>
                <w:b/>
                <w:bCs/>
                <w:color w:val="000000" w:themeColor="text1"/>
              </w:rPr>
            </w:pPr>
            <w:r w:rsidRPr="009252D7">
              <w:rPr>
                <w:b/>
                <w:bCs/>
                <w:color w:val="000000" w:themeColor="text1"/>
              </w:rPr>
              <w:t xml:space="preserve">Statement of Changes in Equity – Page 5 </w:t>
            </w:r>
          </w:p>
        </w:tc>
      </w:tr>
      <w:tr w:rsidR="002D3279" w:rsidRPr="009252D7" w14:paraId="14F94689" w14:textId="77777777" w:rsidTr="00A42257">
        <w:trPr>
          <w:tblCellSpacing w:w="15" w:type="dxa"/>
        </w:trPr>
        <w:tc>
          <w:tcPr>
            <w:tcW w:w="0" w:type="auto"/>
            <w:vAlign w:val="center"/>
            <w:hideMark/>
          </w:tcPr>
          <w:p w14:paraId="01F38D2B" w14:textId="77777777" w:rsidR="002D3279" w:rsidRPr="009252D7" w:rsidRDefault="002D3279" w:rsidP="00A42257">
            <w:pPr>
              <w:spacing w:line="360" w:lineRule="auto"/>
              <w:rPr>
                <w:b/>
                <w:bCs/>
                <w:color w:val="000000" w:themeColor="text1"/>
              </w:rPr>
            </w:pPr>
            <w:r w:rsidRPr="009252D7">
              <w:rPr>
                <w:b/>
                <w:bCs/>
                <w:color w:val="000000" w:themeColor="text1"/>
              </w:rPr>
              <w:t>Dividend per share</w:t>
            </w:r>
          </w:p>
        </w:tc>
        <w:tc>
          <w:tcPr>
            <w:tcW w:w="0" w:type="auto"/>
            <w:vAlign w:val="center"/>
            <w:hideMark/>
          </w:tcPr>
          <w:p w14:paraId="777B6596" w14:textId="77777777" w:rsidR="002D3279" w:rsidRPr="009252D7" w:rsidRDefault="002D3279" w:rsidP="00A42257">
            <w:pPr>
              <w:spacing w:line="360" w:lineRule="auto"/>
              <w:rPr>
                <w:b/>
                <w:bCs/>
                <w:color w:val="000000" w:themeColor="text1"/>
              </w:rPr>
            </w:pPr>
            <w:r w:rsidRPr="009252D7">
              <w:rPr>
                <w:b/>
                <w:bCs/>
                <w:color w:val="000000" w:themeColor="text1"/>
              </w:rPr>
              <w:t>Not disclosed</w:t>
            </w:r>
          </w:p>
        </w:tc>
        <w:tc>
          <w:tcPr>
            <w:tcW w:w="0" w:type="auto"/>
            <w:vAlign w:val="center"/>
            <w:hideMark/>
          </w:tcPr>
          <w:p w14:paraId="53F529D3" w14:textId="77777777" w:rsidR="002D3279" w:rsidRPr="009252D7" w:rsidRDefault="002D3279" w:rsidP="00A42257">
            <w:pPr>
              <w:spacing w:line="360" w:lineRule="auto"/>
              <w:rPr>
                <w:b/>
                <w:bCs/>
                <w:color w:val="000000" w:themeColor="text1"/>
              </w:rPr>
            </w:pPr>
            <w:r w:rsidRPr="009252D7">
              <w:rPr>
                <w:b/>
                <w:bCs/>
                <w:color w:val="000000" w:themeColor="text1"/>
              </w:rPr>
              <w:t>Dividend Yield</w:t>
            </w:r>
          </w:p>
        </w:tc>
        <w:tc>
          <w:tcPr>
            <w:tcW w:w="0" w:type="auto"/>
            <w:vAlign w:val="center"/>
            <w:hideMark/>
          </w:tcPr>
          <w:p w14:paraId="7F5257A5" w14:textId="77777777" w:rsidR="002D3279" w:rsidRPr="009252D7" w:rsidRDefault="002D3279" w:rsidP="00A42257">
            <w:pPr>
              <w:spacing w:line="360" w:lineRule="auto"/>
              <w:rPr>
                <w:b/>
                <w:bCs/>
                <w:color w:val="000000" w:themeColor="text1"/>
              </w:rPr>
            </w:pPr>
            <w:r w:rsidRPr="009252D7">
              <w:rPr>
                <w:b/>
                <w:bCs/>
                <w:color w:val="000000" w:themeColor="text1"/>
              </w:rPr>
              <w:t xml:space="preserve">Not applicable – no DPS reported </w:t>
            </w:r>
          </w:p>
        </w:tc>
      </w:tr>
      <w:tr w:rsidR="002D3279" w:rsidRPr="009252D7" w14:paraId="00F7FD82" w14:textId="77777777" w:rsidTr="00A42257">
        <w:trPr>
          <w:tblCellSpacing w:w="15" w:type="dxa"/>
        </w:trPr>
        <w:tc>
          <w:tcPr>
            <w:tcW w:w="0" w:type="auto"/>
            <w:vAlign w:val="center"/>
            <w:hideMark/>
          </w:tcPr>
          <w:p w14:paraId="3A13B755" w14:textId="77777777" w:rsidR="002D3279" w:rsidRPr="009252D7" w:rsidRDefault="002D3279" w:rsidP="00A42257">
            <w:pPr>
              <w:spacing w:line="360" w:lineRule="auto"/>
              <w:rPr>
                <w:b/>
                <w:bCs/>
                <w:color w:val="000000" w:themeColor="text1"/>
              </w:rPr>
            </w:pPr>
            <w:r w:rsidRPr="009252D7">
              <w:rPr>
                <w:b/>
                <w:bCs/>
                <w:color w:val="000000" w:themeColor="text1"/>
              </w:rPr>
              <w:t>Market price per share</w:t>
            </w:r>
          </w:p>
        </w:tc>
        <w:tc>
          <w:tcPr>
            <w:tcW w:w="0" w:type="auto"/>
            <w:vAlign w:val="center"/>
            <w:hideMark/>
          </w:tcPr>
          <w:p w14:paraId="216D0F3F" w14:textId="77777777" w:rsidR="002D3279" w:rsidRPr="009252D7" w:rsidRDefault="002D3279" w:rsidP="00A42257">
            <w:pPr>
              <w:spacing w:line="360" w:lineRule="auto"/>
              <w:rPr>
                <w:b/>
                <w:bCs/>
                <w:color w:val="000000" w:themeColor="text1"/>
              </w:rPr>
            </w:pPr>
            <w:r w:rsidRPr="009252D7">
              <w:rPr>
                <w:b/>
                <w:bCs/>
                <w:color w:val="000000" w:themeColor="text1"/>
              </w:rPr>
              <w:t>Not available</w:t>
            </w:r>
          </w:p>
        </w:tc>
        <w:tc>
          <w:tcPr>
            <w:tcW w:w="0" w:type="auto"/>
            <w:vAlign w:val="center"/>
            <w:hideMark/>
          </w:tcPr>
          <w:p w14:paraId="6FEEB5C8" w14:textId="77777777" w:rsidR="002D3279" w:rsidRPr="009252D7" w:rsidRDefault="002D3279" w:rsidP="00A42257">
            <w:pPr>
              <w:spacing w:line="360" w:lineRule="auto"/>
              <w:rPr>
                <w:b/>
                <w:bCs/>
                <w:color w:val="000000" w:themeColor="text1"/>
              </w:rPr>
            </w:pPr>
            <w:r w:rsidRPr="009252D7">
              <w:rPr>
                <w:b/>
                <w:bCs/>
                <w:color w:val="000000" w:themeColor="text1"/>
              </w:rPr>
              <w:t>Dividend Yield</w:t>
            </w:r>
          </w:p>
        </w:tc>
        <w:tc>
          <w:tcPr>
            <w:tcW w:w="0" w:type="auto"/>
            <w:vAlign w:val="center"/>
            <w:hideMark/>
          </w:tcPr>
          <w:p w14:paraId="33C0A7F4" w14:textId="77777777" w:rsidR="002D3279" w:rsidRPr="009252D7" w:rsidRDefault="002D3279" w:rsidP="00A42257">
            <w:pPr>
              <w:spacing w:line="360" w:lineRule="auto"/>
              <w:rPr>
                <w:b/>
                <w:bCs/>
                <w:color w:val="000000" w:themeColor="text1"/>
              </w:rPr>
            </w:pPr>
            <w:r w:rsidRPr="009252D7">
              <w:rPr>
                <w:b/>
                <w:bCs/>
                <w:color w:val="000000" w:themeColor="text1"/>
              </w:rPr>
              <w:t xml:space="preserve">Not applicable – unlisted entity </w:t>
            </w:r>
          </w:p>
        </w:tc>
      </w:tr>
    </w:tbl>
    <w:p w14:paraId="44C50ABD" w14:textId="77777777" w:rsidR="002D3279" w:rsidRPr="009252D7" w:rsidRDefault="002D3279" w:rsidP="002D3279">
      <w:pPr>
        <w:spacing w:line="360" w:lineRule="auto"/>
        <w:rPr>
          <w:b/>
          <w:bCs/>
          <w:color w:val="000000" w:themeColor="text1"/>
        </w:rPr>
      </w:pPr>
    </w:p>
    <w:p w14:paraId="5639DC70" w14:textId="77777777" w:rsidR="002D3279" w:rsidRPr="006825E0" w:rsidRDefault="002D3279" w:rsidP="002D3279">
      <w:pPr>
        <w:pStyle w:val="Heading2"/>
        <w:rPr>
          <w:rFonts w:ascii="Times New Roman" w:hAnsi="Times New Roman" w:cs="Times New Roman"/>
          <w:sz w:val="24"/>
          <w:szCs w:val="24"/>
        </w:rPr>
      </w:pPr>
      <w:bookmarkStart w:id="61" w:name="_Toc218979693"/>
      <w:r w:rsidRPr="006825E0">
        <w:rPr>
          <w:rFonts w:ascii="Times New Roman" w:hAnsi="Times New Roman" w:cs="Times New Roman"/>
          <w:sz w:val="24"/>
          <w:szCs w:val="24"/>
        </w:rPr>
        <w:t>Appendix R: Investor / Market Ratio Calculations – FY 2023</w:t>
      </w:r>
      <w:bookmarkEnd w:id="61"/>
    </w:p>
    <w:p w14:paraId="04CA8996" w14:textId="77777777" w:rsidR="002D3279" w:rsidRPr="009252D7" w:rsidRDefault="002D3279" w:rsidP="002D3279">
      <w:pPr>
        <w:spacing w:line="360" w:lineRule="auto"/>
        <w:jc w:val="both"/>
        <w:rPr>
          <w:color w:val="000000" w:themeColor="text1"/>
        </w:rPr>
      </w:pPr>
      <w:r w:rsidRPr="009252D7">
        <w:rPr>
          <w:b/>
          <w:bCs/>
          <w:color w:val="000000" w:themeColor="text1"/>
        </w:rPr>
        <w:t>Entity:</w:t>
      </w:r>
      <w:r w:rsidRPr="009252D7">
        <w:rPr>
          <w:color w:val="000000" w:themeColor="text1"/>
        </w:rPr>
        <w:t xml:space="preserve"> HSBC UK Bank plc</w:t>
      </w:r>
    </w:p>
    <w:p w14:paraId="690CEB40" w14:textId="77777777" w:rsidR="002D3279" w:rsidRPr="009252D7" w:rsidRDefault="002D3279" w:rsidP="002D3279">
      <w:pPr>
        <w:spacing w:line="360" w:lineRule="auto"/>
        <w:jc w:val="both"/>
        <w:rPr>
          <w:color w:val="000000" w:themeColor="text1"/>
        </w:rPr>
      </w:pPr>
      <w:r w:rsidRPr="009252D7">
        <w:rPr>
          <w:b/>
          <w:bCs/>
          <w:color w:val="000000" w:themeColor="text1"/>
        </w:rPr>
        <w:t>Financial Year:</w:t>
      </w:r>
      <w:r w:rsidRPr="009252D7">
        <w:rPr>
          <w:color w:val="000000" w:themeColor="text1"/>
        </w:rPr>
        <w:t xml:space="preserve"> Year ended 31 December 2023</w:t>
      </w:r>
    </w:p>
    <w:p w14:paraId="2FA9D316" w14:textId="77777777" w:rsidR="002D3279" w:rsidRPr="009252D7" w:rsidRDefault="002D3279" w:rsidP="002D3279">
      <w:pPr>
        <w:spacing w:line="360" w:lineRule="auto"/>
        <w:jc w:val="both"/>
        <w:rPr>
          <w:color w:val="000000" w:themeColor="text1"/>
        </w:rPr>
      </w:pPr>
    </w:p>
    <w:p w14:paraId="2113CEDB" w14:textId="77777777" w:rsidR="002D3279" w:rsidRPr="009252D7" w:rsidRDefault="002D3279" w:rsidP="002D3279">
      <w:pPr>
        <w:spacing w:line="360" w:lineRule="auto"/>
        <w:jc w:val="both"/>
        <w:rPr>
          <w:b/>
          <w:bCs/>
          <w:color w:val="000000" w:themeColor="text1"/>
        </w:rPr>
      </w:pPr>
      <w:r w:rsidRPr="009252D7">
        <w:rPr>
          <w:b/>
          <w:bCs/>
          <w:color w:val="000000" w:themeColor="text1"/>
        </w:rPr>
        <w:t>1. Earnings per Share (EPS)</w:t>
      </w:r>
    </w:p>
    <w:p w14:paraId="0FF37590"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Earnings per Share (EPS) = Profit attributable to shareholders ÷ Number of ordinary shares outstanding</w:t>
      </w:r>
    </w:p>
    <w:p w14:paraId="09F1CC2A" w14:textId="77777777" w:rsidR="002D3279" w:rsidRPr="009252D7" w:rsidRDefault="002D3279" w:rsidP="002D3279">
      <w:pPr>
        <w:spacing w:line="360" w:lineRule="auto"/>
        <w:jc w:val="both"/>
        <w:rPr>
          <w:color w:val="000000" w:themeColor="text1"/>
        </w:rPr>
      </w:pPr>
      <w:r w:rsidRPr="009252D7">
        <w:rPr>
          <w:b/>
          <w:bCs/>
          <w:color w:val="000000" w:themeColor="text1"/>
        </w:rPr>
        <w:t>Calculation</w:t>
      </w:r>
      <w:r w:rsidRPr="009252D7">
        <w:rPr>
          <w:color w:val="000000" w:themeColor="text1"/>
        </w:rPr>
        <w:br/>
        <w:t xml:space="preserve">= £5,249 million ÷ </w:t>
      </w:r>
      <w:r w:rsidRPr="009252D7">
        <w:rPr>
          <w:i/>
          <w:iCs/>
          <w:color w:val="000000" w:themeColor="text1"/>
        </w:rPr>
        <w:t>Not available</w:t>
      </w:r>
    </w:p>
    <w:p w14:paraId="1C32193D" w14:textId="77777777" w:rsidR="002D3279" w:rsidRPr="009252D7" w:rsidRDefault="002D3279" w:rsidP="002D3279">
      <w:pPr>
        <w:spacing w:line="360" w:lineRule="auto"/>
        <w:jc w:val="both"/>
        <w:rPr>
          <w:color w:val="000000" w:themeColor="text1"/>
        </w:rPr>
      </w:pPr>
      <w:r w:rsidRPr="009252D7">
        <w:rPr>
          <w:b/>
          <w:bCs/>
          <w:color w:val="000000" w:themeColor="text1"/>
        </w:rPr>
        <w:lastRenderedPageBreak/>
        <w:t>Result</w:t>
      </w:r>
      <w:r w:rsidRPr="009252D7">
        <w:rPr>
          <w:color w:val="000000" w:themeColor="text1"/>
        </w:rPr>
        <w:br/>
      </w:r>
      <w:r w:rsidRPr="009252D7">
        <w:rPr>
          <w:b/>
          <w:bCs/>
          <w:color w:val="000000" w:themeColor="text1"/>
        </w:rPr>
        <w:t>EPS = Not calculable</w:t>
      </w:r>
    </w:p>
    <w:p w14:paraId="48FEF28E" w14:textId="77777777" w:rsidR="002D3279" w:rsidRPr="009252D7" w:rsidRDefault="002D3279" w:rsidP="002D3279">
      <w:pPr>
        <w:spacing w:line="360" w:lineRule="auto"/>
        <w:jc w:val="both"/>
        <w:rPr>
          <w:color w:val="000000" w:themeColor="text1"/>
        </w:rPr>
      </w:pPr>
    </w:p>
    <w:p w14:paraId="77AC10AB" w14:textId="77777777" w:rsidR="002D3279" w:rsidRPr="009252D7" w:rsidRDefault="002D3279" w:rsidP="002D3279">
      <w:pPr>
        <w:spacing w:line="360" w:lineRule="auto"/>
        <w:jc w:val="both"/>
        <w:rPr>
          <w:b/>
          <w:bCs/>
          <w:color w:val="000000" w:themeColor="text1"/>
        </w:rPr>
      </w:pPr>
      <w:r w:rsidRPr="009252D7">
        <w:rPr>
          <w:b/>
          <w:bCs/>
          <w:color w:val="000000" w:themeColor="text1"/>
        </w:rPr>
        <w:t>2. Dividend Payout Ratio</w:t>
      </w:r>
    </w:p>
    <w:p w14:paraId="1F085D38"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 Dividend Payout Ratio= Dividends paid to ordinary shareholders ÷ Net profit attributable to shareholders</w:t>
      </w:r>
    </w:p>
    <w:p w14:paraId="1EECF2CE" w14:textId="77777777" w:rsidR="002D3279" w:rsidRPr="009252D7" w:rsidRDefault="002D3279" w:rsidP="002D3279">
      <w:pPr>
        <w:spacing w:line="360" w:lineRule="auto"/>
        <w:jc w:val="both"/>
        <w:rPr>
          <w:color w:val="000000" w:themeColor="text1"/>
        </w:rPr>
      </w:pPr>
      <w:r w:rsidRPr="009252D7">
        <w:rPr>
          <w:b/>
          <w:bCs/>
          <w:color w:val="000000" w:themeColor="text1"/>
        </w:rPr>
        <w:t>Calculation</w:t>
      </w:r>
      <w:r w:rsidRPr="009252D7">
        <w:rPr>
          <w:color w:val="000000" w:themeColor="text1"/>
        </w:rPr>
        <w:t xml:space="preserve"> = £2,197 million ÷ £5,249 million = </w:t>
      </w:r>
      <w:r w:rsidRPr="009252D7">
        <w:rPr>
          <w:b/>
          <w:bCs/>
          <w:color w:val="000000" w:themeColor="text1"/>
        </w:rPr>
        <w:t>0.4187</w:t>
      </w:r>
    </w:p>
    <w:p w14:paraId="032B8AED" w14:textId="77777777" w:rsidR="002D3279" w:rsidRPr="009252D7" w:rsidRDefault="002D3279" w:rsidP="002D3279">
      <w:pPr>
        <w:spacing w:line="360" w:lineRule="auto"/>
        <w:jc w:val="both"/>
        <w:rPr>
          <w:color w:val="000000" w:themeColor="text1"/>
        </w:rPr>
      </w:pPr>
      <w:r w:rsidRPr="009252D7">
        <w:rPr>
          <w:b/>
          <w:bCs/>
          <w:color w:val="000000" w:themeColor="text1"/>
        </w:rPr>
        <w:t>Result</w:t>
      </w:r>
      <w:r w:rsidRPr="009252D7">
        <w:rPr>
          <w:color w:val="000000" w:themeColor="text1"/>
        </w:rPr>
        <w:br/>
      </w:r>
      <w:r w:rsidRPr="009252D7">
        <w:rPr>
          <w:b/>
          <w:bCs/>
          <w:color w:val="000000" w:themeColor="text1"/>
        </w:rPr>
        <w:t>Dividend Payout Ratio = 41.9%</w:t>
      </w:r>
    </w:p>
    <w:p w14:paraId="387D6184" w14:textId="77777777" w:rsidR="002D3279" w:rsidRPr="009252D7" w:rsidRDefault="002D3279" w:rsidP="002D3279">
      <w:pPr>
        <w:spacing w:line="360" w:lineRule="auto"/>
        <w:jc w:val="both"/>
        <w:rPr>
          <w:color w:val="000000" w:themeColor="text1"/>
        </w:rPr>
      </w:pPr>
    </w:p>
    <w:p w14:paraId="3D12E05E" w14:textId="77777777" w:rsidR="002D3279" w:rsidRPr="009252D7" w:rsidRDefault="002D3279" w:rsidP="002D3279">
      <w:pPr>
        <w:spacing w:line="360" w:lineRule="auto"/>
        <w:jc w:val="both"/>
        <w:rPr>
          <w:b/>
          <w:bCs/>
          <w:color w:val="000000" w:themeColor="text1"/>
        </w:rPr>
      </w:pPr>
      <w:r w:rsidRPr="009252D7">
        <w:rPr>
          <w:b/>
          <w:bCs/>
          <w:color w:val="000000" w:themeColor="text1"/>
        </w:rPr>
        <w:t>3. Dividend Yield</w:t>
      </w:r>
    </w:p>
    <w:p w14:paraId="183657B5"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t xml:space="preserve"> Dividend Yield = Dividend per share ÷ Market price per share</w:t>
      </w:r>
    </w:p>
    <w:p w14:paraId="77CF8142" w14:textId="77777777" w:rsidR="002D3279" w:rsidRPr="009252D7" w:rsidRDefault="002D3279" w:rsidP="002D3279">
      <w:pPr>
        <w:spacing w:line="360" w:lineRule="auto"/>
        <w:jc w:val="both"/>
        <w:rPr>
          <w:color w:val="000000" w:themeColor="text1"/>
        </w:rPr>
      </w:pPr>
      <w:r w:rsidRPr="009252D7">
        <w:rPr>
          <w:b/>
          <w:bCs/>
          <w:color w:val="000000" w:themeColor="text1"/>
        </w:rPr>
        <w:t>Calculation</w:t>
      </w:r>
      <w:r w:rsidRPr="009252D7">
        <w:rPr>
          <w:color w:val="000000" w:themeColor="text1"/>
        </w:rPr>
        <w:t xml:space="preserve"> = </w:t>
      </w:r>
      <w:r w:rsidRPr="009252D7">
        <w:rPr>
          <w:i/>
          <w:iCs/>
          <w:color w:val="000000" w:themeColor="text1"/>
        </w:rPr>
        <w:t>Not available</w:t>
      </w:r>
      <w:r w:rsidRPr="009252D7">
        <w:rPr>
          <w:color w:val="000000" w:themeColor="text1"/>
        </w:rPr>
        <w:t xml:space="preserve"> ÷ </w:t>
      </w:r>
      <w:r w:rsidRPr="009252D7">
        <w:rPr>
          <w:i/>
          <w:iCs/>
          <w:color w:val="000000" w:themeColor="text1"/>
        </w:rPr>
        <w:t>Not available</w:t>
      </w:r>
    </w:p>
    <w:p w14:paraId="6E9EBE41" w14:textId="77777777" w:rsidR="002D3279" w:rsidRPr="009252D7" w:rsidRDefault="002D3279" w:rsidP="002D3279">
      <w:pPr>
        <w:spacing w:line="360" w:lineRule="auto"/>
        <w:jc w:val="both"/>
        <w:rPr>
          <w:b/>
          <w:bCs/>
          <w:color w:val="000000" w:themeColor="text1"/>
        </w:rPr>
      </w:pPr>
      <w:r w:rsidRPr="009252D7">
        <w:rPr>
          <w:b/>
          <w:bCs/>
          <w:color w:val="000000" w:themeColor="text1"/>
        </w:rPr>
        <w:t>Result</w:t>
      </w:r>
      <w:r w:rsidRPr="009252D7">
        <w:rPr>
          <w:color w:val="000000" w:themeColor="text1"/>
        </w:rPr>
        <w:t xml:space="preserve"> = </w:t>
      </w:r>
      <w:r w:rsidRPr="009252D7">
        <w:rPr>
          <w:b/>
          <w:bCs/>
          <w:color w:val="000000" w:themeColor="text1"/>
        </w:rPr>
        <w:t>Dividend Yield = Not calculable</w:t>
      </w:r>
    </w:p>
    <w:p w14:paraId="5AF5B86D" w14:textId="77777777" w:rsidR="002D3279" w:rsidRPr="009252D7" w:rsidRDefault="002D3279" w:rsidP="002D3279">
      <w:pPr>
        <w:spacing w:line="360" w:lineRule="auto"/>
        <w:jc w:val="both"/>
        <w:rPr>
          <w:b/>
          <w:bCs/>
          <w:color w:val="000000" w:themeColor="text1"/>
        </w:rPr>
      </w:pPr>
    </w:p>
    <w:p w14:paraId="1FB10E55" w14:textId="77777777" w:rsidR="002D3279" w:rsidRPr="006825E0" w:rsidRDefault="002D3279" w:rsidP="002D3279">
      <w:pPr>
        <w:pStyle w:val="Heading2"/>
        <w:rPr>
          <w:rFonts w:ascii="Times New Roman" w:hAnsi="Times New Roman" w:cs="Times New Roman"/>
          <w:sz w:val="24"/>
          <w:szCs w:val="24"/>
        </w:rPr>
      </w:pPr>
      <w:bookmarkStart w:id="62" w:name="_Toc218979694"/>
      <w:r w:rsidRPr="006825E0">
        <w:rPr>
          <w:rFonts w:ascii="Times New Roman" w:hAnsi="Times New Roman" w:cs="Times New Roman"/>
          <w:sz w:val="24"/>
          <w:szCs w:val="24"/>
        </w:rPr>
        <w:t>Appendix: S Source Table: Investor / Market Ratios – FY 2024</w:t>
      </w:r>
      <w:bookmarkEnd w:id="62"/>
    </w:p>
    <w:p w14:paraId="667F9976" w14:textId="77777777" w:rsidR="002D3279" w:rsidRPr="009252D7" w:rsidRDefault="002D3279" w:rsidP="002D3279">
      <w:pPr>
        <w:spacing w:line="360" w:lineRule="auto"/>
        <w:jc w:val="both"/>
        <w:rPr>
          <w:color w:val="000000" w:themeColor="text1"/>
        </w:rPr>
      </w:pPr>
      <w:r w:rsidRPr="009252D7">
        <w:rPr>
          <w:b/>
          <w:bCs/>
          <w:color w:val="000000" w:themeColor="text1"/>
        </w:rPr>
        <w:t>Entity:</w:t>
      </w:r>
      <w:r w:rsidRPr="009252D7">
        <w:rPr>
          <w:color w:val="000000" w:themeColor="text1"/>
        </w:rPr>
        <w:t xml:space="preserve"> HSBC UK Bank plc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1"/>
        <w:gridCol w:w="2715"/>
        <w:gridCol w:w="1253"/>
        <w:gridCol w:w="3237"/>
      </w:tblGrid>
      <w:tr w:rsidR="002D3279" w:rsidRPr="009252D7" w14:paraId="36637E85" w14:textId="77777777" w:rsidTr="00A42257">
        <w:trPr>
          <w:tblHeader/>
          <w:tblCellSpacing w:w="15" w:type="dxa"/>
        </w:trPr>
        <w:tc>
          <w:tcPr>
            <w:tcW w:w="0" w:type="auto"/>
            <w:vAlign w:val="center"/>
            <w:hideMark/>
          </w:tcPr>
          <w:p w14:paraId="482F21C1" w14:textId="77777777" w:rsidR="002D3279" w:rsidRPr="009252D7" w:rsidRDefault="002D3279" w:rsidP="00A42257">
            <w:pPr>
              <w:spacing w:line="360" w:lineRule="auto"/>
              <w:jc w:val="center"/>
              <w:rPr>
                <w:b/>
                <w:bCs/>
                <w:color w:val="000000" w:themeColor="text1"/>
              </w:rPr>
            </w:pPr>
            <w:r w:rsidRPr="009252D7">
              <w:rPr>
                <w:b/>
                <w:bCs/>
                <w:color w:val="000000" w:themeColor="text1"/>
              </w:rPr>
              <w:t>Ratio</w:t>
            </w:r>
          </w:p>
        </w:tc>
        <w:tc>
          <w:tcPr>
            <w:tcW w:w="0" w:type="auto"/>
            <w:vAlign w:val="center"/>
            <w:hideMark/>
          </w:tcPr>
          <w:p w14:paraId="532EB371" w14:textId="77777777" w:rsidR="002D3279" w:rsidRPr="009252D7" w:rsidRDefault="002D3279" w:rsidP="00A42257">
            <w:pPr>
              <w:spacing w:line="360" w:lineRule="auto"/>
              <w:jc w:val="center"/>
              <w:rPr>
                <w:b/>
                <w:bCs/>
                <w:color w:val="000000" w:themeColor="text1"/>
              </w:rPr>
            </w:pPr>
            <w:r w:rsidRPr="009252D7">
              <w:rPr>
                <w:b/>
                <w:bCs/>
                <w:color w:val="000000" w:themeColor="text1"/>
              </w:rPr>
              <w:t>Data Item Used</w:t>
            </w:r>
          </w:p>
        </w:tc>
        <w:tc>
          <w:tcPr>
            <w:tcW w:w="0" w:type="auto"/>
            <w:vAlign w:val="center"/>
            <w:hideMark/>
          </w:tcPr>
          <w:p w14:paraId="41A6D715" w14:textId="77777777" w:rsidR="002D3279" w:rsidRPr="009252D7" w:rsidRDefault="002D3279" w:rsidP="00A42257">
            <w:pPr>
              <w:spacing w:line="360" w:lineRule="auto"/>
              <w:jc w:val="center"/>
              <w:rPr>
                <w:b/>
                <w:bCs/>
                <w:color w:val="000000" w:themeColor="text1"/>
              </w:rPr>
            </w:pPr>
            <w:r w:rsidRPr="009252D7">
              <w:rPr>
                <w:b/>
                <w:bCs/>
                <w:color w:val="000000" w:themeColor="text1"/>
              </w:rPr>
              <w:t>Amount</w:t>
            </w:r>
          </w:p>
          <w:p w14:paraId="38962316" w14:textId="77777777" w:rsidR="002D3279" w:rsidRPr="009252D7" w:rsidRDefault="002D3279" w:rsidP="00A42257">
            <w:pPr>
              <w:spacing w:line="360" w:lineRule="auto"/>
              <w:jc w:val="center"/>
              <w:rPr>
                <w:b/>
                <w:bCs/>
                <w:color w:val="000000" w:themeColor="text1"/>
              </w:rPr>
            </w:pPr>
            <w:r w:rsidRPr="009252D7">
              <w:rPr>
                <w:b/>
                <w:bCs/>
                <w:color w:val="000000" w:themeColor="text1"/>
              </w:rPr>
              <w:t>(FY 2024)</w:t>
            </w:r>
          </w:p>
        </w:tc>
        <w:tc>
          <w:tcPr>
            <w:tcW w:w="0" w:type="auto"/>
            <w:vAlign w:val="center"/>
            <w:hideMark/>
          </w:tcPr>
          <w:p w14:paraId="72CCD064" w14:textId="77777777" w:rsidR="002D3279" w:rsidRPr="009252D7" w:rsidRDefault="002D3279" w:rsidP="00A42257">
            <w:pPr>
              <w:spacing w:line="360" w:lineRule="auto"/>
              <w:jc w:val="center"/>
              <w:rPr>
                <w:b/>
                <w:bCs/>
                <w:color w:val="000000" w:themeColor="text1"/>
              </w:rPr>
            </w:pPr>
            <w:r w:rsidRPr="009252D7">
              <w:rPr>
                <w:b/>
                <w:bCs/>
                <w:color w:val="000000" w:themeColor="text1"/>
              </w:rPr>
              <w:t>Source Statement / Note</w:t>
            </w:r>
          </w:p>
        </w:tc>
      </w:tr>
      <w:tr w:rsidR="002D3279" w:rsidRPr="009252D7" w14:paraId="7C78EF59" w14:textId="77777777" w:rsidTr="00A42257">
        <w:trPr>
          <w:tblCellSpacing w:w="15" w:type="dxa"/>
        </w:trPr>
        <w:tc>
          <w:tcPr>
            <w:tcW w:w="0" w:type="auto"/>
            <w:vAlign w:val="center"/>
            <w:hideMark/>
          </w:tcPr>
          <w:p w14:paraId="21F98744" w14:textId="77777777" w:rsidR="002D3279" w:rsidRPr="009252D7" w:rsidRDefault="002D3279" w:rsidP="00A42257">
            <w:pPr>
              <w:spacing w:line="360" w:lineRule="auto"/>
              <w:jc w:val="center"/>
              <w:rPr>
                <w:color w:val="000000" w:themeColor="text1"/>
              </w:rPr>
            </w:pPr>
            <w:r w:rsidRPr="009252D7">
              <w:rPr>
                <w:color w:val="000000" w:themeColor="text1"/>
              </w:rPr>
              <w:t>Earnings per Share (EPS)</w:t>
            </w:r>
          </w:p>
        </w:tc>
        <w:tc>
          <w:tcPr>
            <w:tcW w:w="0" w:type="auto"/>
            <w:vAlign w:val="center"/>
            <w:hideMark/>
          </w:tcPr>
          <w:p w14:paraId="7CC6F219" w14:textId="77777777" w:rsidR="002D3279" w:rsidRPr="009252D7" w:rsidRDefault="002D3279" w:rsidP="00A42257">
            <w:pPr>
              <w:spacing w:line="360" w:lineRule="auto"/>
              <w:jc w:val="center"/>
              <w:rPr>
                <w:color w:val="000000" w:themeColor="text1"/>
              </w:rPr>
            </w:pPr>
            <w:r w:rsidRPr="009252D7">
              <w:rPr>
                <w:color w:val="000000" w:themeColor="text1"/>
              </w:rPr>
              <w:t>Profit attributable to shareholders</w:t>
            </w:r>
          </w:p>
        </w:tc>
        <w:tc>
          <w:tcPr>
            <w:tcW w:w="0" w:type="auto"/>
            <w:vAlign w:val="center"/>
            <w:hideMark/>
          </w:tcPr>
          <w:p w14:paraId="7742A456" w14:textId="77777777" w:rsidR="002D3279" w:rsidRPr="009252D7" w:rsidRDefault="002D3279" w:rsidP="00A42257">
            <w:pPr>
              <w:spacing w:line="360" w:lineRule="auto"/>
              <w:jc w:val="center"/>
              <w:rPr>
                <w:color w:val="000000" w:themeColor="text1"/>
              </w:rPr>
            </w:pPr>
            <w:r w:rsidRPr="009252D7">
              <w:rPr>
                <w:color w:val="000000" w:themeColor="text1"/>
              </w:rPr>
              <w:t>£4,134 million</w:t>
            </w:r>
          </w:p>
        </w:tc>
        <w:tc>
          <w:tcPr>
            <w:tcW w:w="0" w:type="auto"/>
            <w:vAlign w:val="center"/>
            <w:hideMark/>
          </w:tcPr>
          <w:p w14:paraId="52A76FCD" w14:textId="77777777" w:rsidR="002D3279" w:rsidRPr="009252D7" w:rsidRDefault="002D3279" w:rsidP="00A42257">
            <w:pPr>
              <w:spacing w:line="360" w:lineRule="auto"/>
              <w:jc w:val="center"/>
              <w:rPr>
                <w:color w:val="000000" w:themeColor="text1"/>
              </w:rPr>
            </w:pPr>
            <w:r w:rsidRPr="009252D7">
              <w:rPr>
                <w:color w:val="000000" w:themeColor="text1"/>
              </w:rPr>
              <w:t>Statement of Profit or Loss</w:t>
            </w:r>
          </w:p>
        </w:tc>
      </w:tr>
      <w:tr w:rsidR="002D3279" w:rsidRPr="009252D7" w14:paraId="73960587" w14:textId="77777777" w:rsidTr="00A42257">
        <w:trPr>
          <w:tblCellSpacing w:w="15" w:type="dxa"/>
        </w:trPr>
        <w:tc>
          <w:tcPr>
            <w:tcW w:w="0" w:type="auto"/>
            <w:vAlign w:val="center"/>
            <w:hideMark/>
          </w:tcPr>
          <w:p w14:paraId="46832E68" w14:textId="77777777" w:rsidR="002D3279" w:rsidRPr="009252D7" w:rsidRDefault="002D3279" w:rsidP="00A42257">
            <w:pPr>
              <w:spacing w:line="360" w:lineRule="auto"/>
              <w:jc w:val="center"/>
              <w:rPr>
                <w:color w:val="000000" w:themeColor="text1"/>
              </w:rPr>
            </w:pPr>
            <w:r w:rsidRPr="009252D7">
              <w:rPr>
                <w:color w:val="000000" w:themeColor="text1"/>
              </w:rPr>
              <w:t>Earnings per Share (EPS)</w:t>
            </w:r>
          </w:p>
        </w:tc>
        <w:tc>
          <w:tcPr>
            <w:tcW w:w="0" w:type="auto"/>
            <w:vAlign w:val="center"/>
            <w:hideMark/>
          </w:tcPr>
          <w:p w14:paraId="31981609" w14:textId="77777777" w:rsidR="002D3279" w:rsidRPr="009252D7" w:rsidRDefault="002D3279" w:rsidP="00A42257">
            <w:pPr>
              <w:spacing w:line="360" w:lineRule="auto"/>
              <w:jc w:val="center"/>
              <w:rPr>
                <w:color w:val="000000" w:themeColor="text1"/>
              </w:rPr>
            </w:pPr>
            <w:r w:rsidRPr="009252D7">
              <w:rPr>
                <w:color w:val="000000" w:themeColor="text1"/>
              </w:rPr>
              <w:t>Number of ordinary shares</w:t>
            </w:r>
          </w:p>
        </w:tc>
        <w:tc>
          <w:tcPr>
            <w:tcW w:w="0" w:type="auto"/>
            <w:vAlign w:val="center"/>
            <w:hideMark/>
          </w:tcPr>
          <w:p w14:paraId="32923156" w14:textId="77777777" w:rsidR="002D3279" w:rsidRPr="009252D7" w:rsidRDefault="002D3279" w:rsidP="00A42257">
            <w:pPr>
              <w:spacing w:line="360" w:lineRule="auto"/>
              <w:jc w:val="center"/>
              <w:rPr>
                <w:color w:val="000000" w:themeColor="text1"/>
              </w:rPr>
            </w:pPr>
            <w:r w:rsidRPr="009252D7">
              <w:rPr>
                <w:color w:val="000000" w:themeColor="text1"/>
              </w:rPr>
              <w:t>Not disclosed</w:t>
            </w:r>
          </w:p>
        </w:tc>
        <w:tc>
          <w:tcPr>
            <w:tcW w:w="0" w:type="auto"/>
            <w:vAlign w:val="center"/>
            <w:hideMark/>
          </w:tcPr>
          <w:p w14:paraId="2D7B7075" w14:textId="77777777" w:rsidR="002D3279" w:rsidRPr="009252D7" w:rsidRDefault="002D3279" w:rsidP="00A42257">
            <w:pPr>
              <w:spacing w:line="360" w:lineRule="auto"/>
              <w:jc w:val="center"/>
              <w:rPr>
                <w:color w:val="000000" w:themeColor="text1"/>
              </w:rPr>
            </w:pPr>
            <w:r w:rsidRPr="009252D7">
              <w:rPr>
                <w:color w:val="000000" w:themeColor="text1"/>
              </w:rPr>
              <w:t>Ownership &amp; Capital Structure Disclosure</w:t>
            </w:r>
          </w:p>
        </w:tc>
      </w:tr>
      <w:tr w:rsidR="002D3279" w:rsidRPr="009252D7" w14:paraId="0B912FAE" w14:textId="77777777" w:rsidTr="00A42257">
        <w:trPr>
          <w:tblCellSpacing w:w="15" w:type="dxa"/>
        </w:trPr>
        <w:tc>
          <w:tcPr>
            <w:tcW w:w="0" w:type="auto"/>
            <w:vAlign w:val="center"/>
            <w:hideMark/>
          </w:tcPr>
          <w:p w14:paraId="5D5F01C1" w14:textId="77777777" w:rsidR="002D3279" w:rsidRPr="009252D7" w:rsidRDefault="002D3279" w:rsidP="00A42257">
            <w:pPr>
              <w:spacing w:line="360" w:lineRule="auto"/>
              <w:jc w:val="center"/>
              <w:rPr>
                <w:color w:val="000000" w:themeColor="text1"/>
              </w:rPr>
            </w:pPr>
            <w:r w:rsidRPr="009252D7">
              <w:rPr>
                <w:color w:val="000000" w:themeColor="text1"/>
              </w:rPr>
              <w:t>Dividend Payout Ratio</w:t>
            </w:r>
          </w:p>
        </w:tc>
        <w:tc>
          <w:tcPr>
            <w:tcW w:w="0" w:type="auto"/>
            <w:vAlign w:val="center"/>
            <w:hideMark/>
          </w:tcPr>
          <w:p w14:paraId="20D330BE" w14:textId="77777777" w:rsidR="002D3279" w:rsidRPr="009252D7" w:rsidRDefault="002D3279" w:rsidP="00A42257">
            <w:pPr>
              <w:spacing w:line="360" w:lineRule="auto"/>
              <w:jc w:val="center"/>
              <w:rPr>
                <w:color w:val="000000" w:themeColor="text1"/>
              </w:rPr>
            </w:pPr>
            <w:r w:rsidRPr="009252D7">
              <w:rPr>
                <w:color w:val="000000" w:themeColor="text1"/>
              </w:rPr>
              <w:t>Dividends paid during the year</w:t>
            </w:r>
          </w:p>
        </w:tc>
        <w:tc>
          <w:tcPr>
            <w:tcW w:w="0" w:type="auto"/>
            <w:vAlign w:val="center"/>
            <w:hideMark/>
          </w:tcPr>
          <w:p w14:paraId="6101A484" w14:textId="77777777" w:rsidR="002D3279" w:rsidRPr="009252D7" w:rsidRDefault="002D3279" w:rsidP="00A42257">
            <w:pPr>
              <w:spacing w:line="360" w:lineRule="auto"/>
              <w:jc w:val="center"/>
              <w:rPr>
                <w:color w:val="000000" w:themeColor="text1"/>
              </w:rPr>
            </w:pPr>
            <w:r w:rsidRPr="009252D7">
              <w:rPr>
                <w:color w:val="000000" w:themeColor="text1"/>
              </w:rPr>
              <w:t>£3,336 million</w:t>
            </w:r>
          </w:p>
        </w:tc>
        <w:tc>
          <w:tcPr>
            <w:tcW w:w="0" w:type="auto"/>
            <w:vAlign w:val="center"/>
            <w:hideMark/>
          </w:tcPr>
          <w:p w14:paraId="17113E56" w14:textId="77777777" w:rsidR="002D3279" w:rsidRPr="009252D7" w:rsidRDefault="002D3279" w:rsidP="00A42257">
            <w:pPr>
              <w:spacing w:line="360" w:lineRule="auto"/>
              <w:jc w:val="center"/>
              <w:rPr>
                <w:color w:val="000000" w:themeColor="text1"/>
              </w:rPr>
            </w:pPr>
            <w:r w:rsidRPr="009252D7">
              <w:rPr>
                <w:color w:val="000000" w:themeColor="text1"/>
              </w:rPr>
              <w:t>Statement of Changes in Equity / Dividends Note</w:t>
            </w:r>
          </w:p>
        </w:tc>
      </w:tr>
      <w:tr w:rsidR="002D3279" w:rsidRPr="009252D7" w14:paraId="6DEACAAD" w14:textId="77777777" w:rsidTr="00A42257">
        <w:trPr>
          <w:tblCellSpacing w:w="15" w:type="dxa"/>
        </w:trPr>
        <w:tc>
          <w:tcPr>
            <w:tcW w:w="0" w:type="auto"/>
            <w:vAlign w:val="center"/>
            <w:hideMark/>
          </w:tcPr>
          <w:p w14:paraId="5BDECFCB" w14:textId="77777777" w:rsidR="002D3279" w:rsidRPr="009252D7" w:rsidRDefault="002D3279" w:rsidP="00A42257">
            <w:pPr>
              <w:spacing w:line="360" w:lineRule="auto"/>
              <w:jc w:val="center"/>
              <w:rPr>
                <w:color w:val="000000" w:themeColor="text1"/>
              </w:rPr>
            </w:pPr>
            <w:r w:rsidRPr="009252D7">
              <w:rPr>
                <w:color w:val="000000" w:themeColor="text1"/>
              </w:rPr>
              <w:lastRenderedPageBreak/>
              <w:t>Dividend Payout Ratio</w:t>
            </w:r>
          </w:p>
        </w:tc>
        <w:tc>
          <w:tcPr>
            <w:tcW w:w="0" w:type="auto"/>
            <w:vAlign w:val="center"/>
            <w:hideMark/>
          </w:tcPr>
          <w:p w14:paraId="0DD697AF" w14:textId="77777777" w:rsidR="002D3279" w:rsidRPr="009252D7" w:rsidRDefault="002D3279" w:rsidP="00A42257">
            <w:pPr>
              <w:spacing w:line="360" w:lineRule="auto"/>
              <w:jc w:val="center"/>
              <w:rPr>
                <w:color w:val="000000" w:themeColor="text1"/>
              </w:rPr>
            </w:pPr>
            <w:r w:rsidRPr="009252D7">
              <w:rPr>
                <w:color w:val="000000" w:themeColor="text1"/>
              </w:rPr>
              <w:t>Net profit attributable to shareholders</w:t>
            </w:r>
          </w:p>
        </w:tc>
        <w:tc>
          <w:tcPr>
            <w:tcW w:w="0" w:type="auto"/>
            <w:vAlign w:val="center"/>
            <w:hideMark/>
          </w:tcPr>
          <w:p w14:paraId="7C85CE7E" w14:textId="77777777" w:rsidR="002D3279" w:rsidRPr="009252D7" w:rsidRDefault="002D3279" w:rsidP="00A42257">
            <w:pPr>
              <w:spacing w:line="360" w:lineRule="auto"/>
              <w:jc w:val="center"/>
              <w:rPr>
                <w:color w:val="000000" w:themeColor="text1"/>
              </w:rPr>
            </w:pPr>
            <w:r w:rsidRPr="009252D7">
              <w:rPr>
                <w:color w:val="000000" w:themeColor="text1"/>
              </w:rPr>
              <w:t>£4,134 million</w:t>
            </w:r>
          </w:p>
        </w:tc>
        <w:tc>
          <w:tcPr>
            <w:tcW w:w="0" w:type="auto"/>
            <w:vAlign w:val="center"/>
            <w:hideMark/>
          </w:tcPr>
          <w:p w14:paraId="344FA146" w14:textId="77777777" w:rsidR="002D3279" w:rsidRPr="009252D7" w:rsidRDefault="002D3279" w:rsidP="00A42257">
            <w:pPr>
              <w:spacing w:line="360" w:lineRule="auto"/>
              <w:jc w:val="center"/>
              <w:rPr>
                <w:color w:val="000000" w:themeColor="text1"/>
              </w:rPr>
            </w:pPr>
            <w:r w:rsidRPr="009252D7">
              <w:rPr>
                <w:color w:val="000000" w:themeColor="text1"/>
              </w:rPr>
              <w:t>Statement of Profit or Loss</w:t>
            </w:r>
          </w:p>
        </w:tc>
      </w:tr>
      <w:tr w:rsidR="002D3279" w:rsidRPr="009252D7" w14:paraId="33025157" w14:textId="77777777" w:rsidTr="00A42257">
        <w:trPr>
          <w:tblCellSpacing w:w="15" w:type="dxa"/>
        </w:trPr>
        <w:tc>
          <w:tcPr>
            <w:tcW w:w="0" w:type="auto"/>
            <w:vAlign w:val="center"/>
            <w:hideMark/>
          </w:tcPr>
          <w:p w14:paraId="636E3D4A" w14:textId="77777777" w:rsidR="002D3279" w:rsidRPr="009252D7" w:rsidRDefault="002D3279" w:rsidP="00A42257">
            <w:pPr>
              <w:spacing w:line="360" w:lineRule="auto"/>
              <w:jc w:val="center"/>
              <w:rPr>
                <w:color w:val="000000" w:themeColor="text1"/>
              </w:rPr>
            </w:pPr>
            <w:r w:rsidRPr="009252D7">
              <w:rPr>
                <w:color w:val="000000" w:themeColor="text1"/>
              </w:rPr>
              <w:t>Dividend Yield</w:t>
            </w:r>
          </w:p>
        </w:tc>
        <w:tc>
          <w:tcPr>
            <w:tcW w:w="0" w:type="auto"/>
            <w:vAlign w:val="center"/>
            <w:hideMark/>
          </w:tcPr>
          <w:p w14:paraId="17323633" w14:textId="77777777" w:rsidR="002D3279" w:rsidRPr="009252D7" w:rsidRDefault="002D3279" w:rsidP="00A42257">
            <w:pPr>
              <w:spacing w:line="360" w:lineRule="auto"/>
              <w:jc w:val="center"/>
              <w:rPr>
                <w:color w:val="000000" w:themeColor="text1"/>
              </w:rPr>
            </w:pPr>
            <w:r w:rsidRPr="009252D7">
              <w:rPr>
                <w:color w:val="000000" w:themeColor="text1"/>
              </w:rPr>
              <w:t>Dividend per share</w:t>
            </w:r>
          </w:p>
        </w:tc>
        <w:tc>
          <w:tcPr>
            <w:tcW w:w="0" w:type="auto"/>
            <w:vAlign w:val="center"/>
            <w:hideMark/>
          </w:tcPr>
          <w:p w14:paraId="7C55EEBB" w14:textId="77777777" w:rsidR="002D3279" w:rsidRPr="009252D7" w:rsidRDefault="002D3279" w:rsidP="00A42257">
            <w:pPr>
              <w:spacing w:line="360" w:lineRule="auto"/>
              <w:jc w:val="center"/>
              <w:rPr>
                <w:color w:val="000000" w:themeColor="text1"/>
              </w:rPr>
            </w:pPr>
            <w:r w:rsidRPr="009252D7">
              <w:rPr>
                <w:color w:val="000000" w:themeColor="text1"/>
              </w:rPr>
              <w:t>Not available</w:t>
            </w:r>
          </w:p>
        </w:tc>
        <w:tc>
          <w:tcPr>
            <w:tcW w:w="0" w:type="auto"/>
            <w:vAlign w:val="center"/>
            <w:hideMark/>
          </w:tcPr>
          <w:p w14:paraId="07B48295" w14:textId="77777777" w:rsidR="002D3279" w:rsidRPr="009252D7" w:rsidRDefault="002D3279" w:rsidP="00A42257">
            <w:pPr>
              <w:spacing w:line="360" w:lineRule="auto"/>
              <w:jc w:val="center"/>
              <w:rPr>
                <w:color w:val="000000" w:themeColor="text1"/>
              </w:rPr>
            </w:pPr>
            <w:r w:rsidRPr="009252D7">
              <w:rPr>
                <w:color w:val="000000" w:themeColor="text1"/>
              </w:rPr>
              <w:t>Non-listed entity disclosure</w:t>
            </w:r>
          </w:p>
        </w:tc>
      </w:tr>
      <w:tr w:rsidR="002D3279" w:rsidRPr="009252D7" w14:paraId="0326B19E" w14:textId="77777777" w:rsidTr="00A42257">
        <w:trPr>
          <w:tblCellSpacing w:w="15" w:type="dxa"/>
        </w:trPr>
        <w:tc>
          <w:tcPr>
            <w:tcW w:w="0" w:type="auto"/>
            <w:vAlign w:val="center"/>
            <w:hideMark/>
          </w:tcPr>
          <w:p w14:paraId="7AF74DD2" w14:textId="77777777" w:rsidR="002D3279" w:rsidRPr="009252D7" w:rsidRDefault="002D3279" w:rsidP="00A42257">
            <w:pPr>
              <w:spacing w:line="360" w:lineRule="auto"/>
              <w:jc w:val="center"/>
              <w:rPr>
                <w:color w:val="000000" w:themeColor="text1"/>
              </w:rPr>
            </w:pPr>
            <w:r w:rsidRPr="009252D7">
              <w:rPr>
                <w:color w:val="000000" w:themeColor="text1"/>
              </w:rPr>
              <w:t>Dividend Yield</w:t>
            </w:r>
          </w:p>
        </w:tc>
        <w:tc>
          <w:tcPr>
            <w:tcW w:w="0" w:type="auto"/>
            <w:vAlign w:val="center"/>
            <w:hideMark/>
          </w:tcPr>
          <w:p w14:paraId="7C715B9C" w14:textId="77777777" w:rsidR="002D3279" w:rsidRPr="009252D7" w:rsidRDefault="002D3279" w:rsidP="00A42257">
            <w:pPr>
              <w:spacing w:line="360" w:lineRule="auto"/>
              <w:jc w:val="center"/>
              <w:rPr>
                <w:color w:val="000000" w:themeColor="text1"/>
              </w:rPr>
            </w:pPr>
            <w:r w:rsidRPr="009252D7">
              <w:rPr>
                <w:color w:val="000000" w:themeColor="text1"/>
              </w:rPr>
              <w:t>Market price per share</w:t>
            </w:r>
          </w:p>
        </w:tc>
        <w:tc>
          <w:tcPr>
            <w:tcW w:w="0" w:type="auto"/>
            <w:vAlign w:val="center"/>
            <w:hideMark/>
          </w:tcPr>
          <w:p w14:paraId="23D46649" w14:textId="77777777" w:rsidR="002D3279" w:rsidRPr="009252D7" w:rsidRDefault="002D3279" w:rsidP="00A42257">
            <w:pPr>
              <w:spacing w:line="360" w:lineRule="auto"/>
              <w:jc w:val="center"/>
              <w:rPr>
                <w:color w:val="000000" w:themeColor="text1"/>
              </w:rPr>
            </w:pPr>
            <w:r w:rsidRPr="009252D7">
              <w:rPr>
                <w:color w:val="000000" w:themeColor="text1"/>
              </w:rPr>
              <w:t>Not available</w:t>
            </w:r>
          </w:p>
        </w:tc>
        <w:tc>
          <w:tcPr>
            <w:tcW w:w="0" w:type="auto"/>
            <w:vAlign w:val="center"/>
            <w:hideMark/>
          </w:tcPr>
          <w:p w14:paraId="2664C6AD" w14:textId="77777777" w:rsidR="002D3279" w:rsidRPr="009252D7" w:rsidRDefault="002D3279" w:rsidP="00A42257">
            <w:pPr>
              <w:spacing w:line="360" w:lineRule="auto"/>
              <w:jc w:val="center"/>
              <w:rPr>
                <w:color w:val="000000" w:themeColor="text1"/>
              </w:rPr>
            </w:pPr>
            <w:r w:rsidRPr="009252D7">
              <w:rPr>
                <w:color w:val="000000" w:themeColor="text1"/>
              </w:rPr>
              <w:t>Listing &amp; Ownership Note</w:t>
            </w:r>
          </w:p>
        </w:tc>
      </w:tr>
    </w:tbl>
    <w:p w14:paraId="7E78BAE9" w14:textId="77777777" w:rsidR="002D3279" w:rsidRPr="009252D7" w:rsidRDefault="002D3279" w:rsidP="002D3279">
      <w:pPr>
        <w:spacing w:line="360" w:lineRule="auto"/>
        <w:jc w:val="both"/>
        <w:rPr>
          <w:color w:val="000000" w:themeColor="text1"/>
        </w:rPr>
      </w:pPr>
    </w:p>
    <w:p w14:paraId="78A7658B" w14:textId="77777777" w:rsidR="002D3279" w:rsidRPr="006825E0" w:rsidRDefault="002D3279" w:rsidP="002D3279">
      <w:pPr>
        <w:pStyle w:val="Heading2"/>
        <w:rPr>
          <w:rFonts w:ascii="Times New Roman" w:hAnsi="Times New Roman" w:cs="Times New Roman"/>
          <w:sz w:val="24"/>
          <w:szCs w:val="24"/>
        </w:rPr>
      </w:pPr>
      <w:bookmarkStart w:id="63" w:name="_Toc218979695"/>
      <w:r w:rsidRPr="006825E0">
        <w:rPr>
          <w:rFonts w:ascii="Times New Roman" w:hAnsi="Times New Roman" w:cs="Times New Roman"/>
          <w:sz w:val="24"/>
          <w:szCs w:val="24"/>
        </w:rPr>
        <w:t>Appendix T: Investor / Market Ratio Calculations (FY 2024)</w:t>
      </w:r>
      <w:bookmarkEnd w:id="63"/>
    </w:p>
    <w:p w14:paraId="48EF81CD" w14:textId="77777777" w:rsidR="002D3279" w:rsidRPr="009252D7" w:rsidRDefault="002D3279" w:rsidP="002D3279">
      <w:pPr>
        <w:spacing w:line="360" w:lineRule="auto"/>
        <w:jc w:val="both"/>
        <w:rPr>
          <w:color w:val="000000" w:themeColor="text1"/>
        </w:rPr>
      </w:pPr>
      <w:r w:rsidRPr="009252D7">
        <w:rPr>
          <w:b/>
          <w:bCs/>
          <w:color w:val="000000" w:themeColor="text1"/>
        </w:rPr>
        <w:t>Entity:</w:t>
      </w:r>
      <w:r w:rsidRPr="009252D7">
        <w:rPr>
          <w:color w:val="000000" w:themeColor="text1"/>
        </w:rPr>
        <w:t xml:space="preserve"> HSBC UK Bank plc</w:t>
      </w:r>
    </w:p>
    <w:p w14:paraId="48DC0AF9" w14:textId="77777777" w:rsidR="002D3279" w:rsidRPr="009252D7" w:rsidRDefault="002D3279" w:rsidP="002D3279">
      <w:pPr>
        <w:spacing w:line="360" w:lineRule="auto"/>
        <w:jc w:val="both"/>
        <w:rPr>
          <w:b/>
          <w:bCs/>
          <w:color w:val="000000" w:themeColor="text1"/>
        </w:rPr>
      </w:pPr>
      <w:r w:rsidRPr="009252D7">
        <w:rPr>
          <w:b/>
          <w:bCs/>
          <w:color w:val="000000" w:themeColor="text1"/>
        </w:rPr>
        <w:t>1. Earnings per Share (EPS)</w:t>
      </w:r>
    </w:p>
    <w:p w14:paraId="3C9DCF72"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br/>
        <w:t>Earnings per Share = Profit attributable to shareholders ÷ Number of ordinary shares</w:t>
      </w:r>
    </w:p>
    <w:p w14:paraId="0D2C0BDA" w14:textId="77777777" w:rsidR="002D3279" w:rsidRPr="009252D7" w:rsidRDefault="002D3279" w:rsidP="002D3279">
      <w:pPr>
        <w:spacing w:line="360" w:lineRule="auto"/>
        <w:rPr>
          <w:color w:val="000000" w:themeColor="text1"/>
        </w:rPr>
      </w:pPr>
      <w:r w:rsidRPr="009252D7">
        <w:rPr>
          <w:b/>
          <w:bCs/>
          <w:color w:val="000000" w:themeColor="text1"/>
        </w:rPr>
        <w:t>Calculation</w:t>
      </w:r>
      <w:r w:rsidRPr="009252D7">
        <w:rPr>
          <w:color w:val="000000" w:themeColor="text1"/>
        </w:rPr>
        <w:br/>
        <w:t>EPS = £4,134 million ÷ Number of ordinary shares</w:t>
      </w:r>
      <w:r w:rsidRPr="009252D7">
        <w:rPr>
          <w:color w:val="000000" w:themeColor="text1"/>
        </w:rPr>
        <w:br/>
        <w:t xml:space="preserve">EPS = </w:t>
      </w:r>
      <w:r w:rsidRPr="009252D7">
        <w:rPr>
          <w:b/>
          <w:bCs/>
          <w:color w:val="000000" w:themeColor="text1"/>
        </w:rPr>
        <w:t>Not calculable</w:t>
      </w:r>
    </w:p>
    <w:p w14:paraId="4A06C19A" w14:textId="77777777" w:rsidR="002D3279" w:rsidRPr="009252D7" w:rsidRDefault="002D3279" w:rsidP="002D3279">
      <w:pPr>
        <w:spacing w:line="360" w:lineRule="auto"/>
        <w:jc w:val="both"/>
        <w:rPr>
          <w:b/>
          <w:bCs/>
          <w:color w:val="000000" w:themeColor="text1"/>
        </w:rPr>
      </w:pPr>
      <w:r w:rsidRPr="009252D7">
        <w:rPr>
          <w:b/>
          <w:bCs/>
          <w:color w:val="000000" w:themeColor="text1"/>
        </w:rPr>
        <w:t>2. Dividend Payout Ratio</w:t>
      </w:r>
    </w:p>
    <w:p w14:paraId="003E0266" w14:textId="77777777" w:rsidR="002D3279" w:rsidRPr="009252D7" w:rsidRDefault="002D3279" w:rsidP="002D3279">
      <w:pPr>
        <w:spacing w:line="360" w:lineRule="auto"/>
        <w:rPr>
          <w:color w:val="000000" w:themeColor="text1"/>
        </w:rPr>
      </w:pPr>
      <w:r w:rsidRPr="009252D7">
        <w:rPr>
          <w:b/>
          <w:bCs/>
          <w:color w:val="000000" w:themeColor="text1"/>
        </w:rPr>
        <w:t>Formula</w:t>
      </w:r>
      <w:r w:rsidRPr="009252D7">
        <w:rPr>
          <w:color w:val="000000" w:themeColor="text1"/>
        </w:rPr>
        <w:br/>
        <w:t>Dividend Payout Ratio = Dividends paid ÷ Net profit</w:t>
      </w:r>
    </w:p>
    <w:p w14:paraId="65EEA12D" w14:textId="77777777" w:rsidR="002D3279" w:rsidRPr="009252D7" w:rsidRDefault="002D3279" w:rsidP="002D3279">
      <w:pPr>
        <w:spacing w:line="360" w:lineRule="auto"/>
        <w:rPr>
          <w:b/>
          <w:bCs/>
          <w:color w:val="000000" w:themeColor="text1"/>
        </w:rPr>
      </w:pPr>
      <w:r w:rsidRPr="009252D7">
        <w:rPr>
          <w:b/>
          <w:bCs/>
          <w:color w:val="000000" w:themeColor="text1"/>
        </w:rPr>
        <w:t>Calculation</w:t>
      </w:r>
      <w:r w:rsidRPr="009252D7">
        <w:rPr>
          <w:color w:val="000000" w:themeColor="text1"/>
        </w:rPr>
        <w:br/>
        <w:t xml:space="preserve">Dividend Payout Ratio = £3,336 million ÷ £4,134 million = </w:t>
      </w:r>
      <w:r w:rsidRPr="009252D7">
        <w:rPr>
          <w:b/>
          <w:bCs/>
          <w:color w:val="000000" w:themeColor="text1"/>
        </w:rPr>
        <w:t>0.807</w:t>
      </w:r>
      <w:r w:rsidRPr="009252D7">
        <w:rPr>
          <w:color w:val="000000" w:themeColor="text1"/>
        </w:rPr>
        <w:t xml:space="preserve"> = </w:t>
      </w:r>
      <w:r w:rsidRPr="009252D7">
        <w:rPr>
          <w:b/>
          <w:bCs/>
          <w:color w:val="000000" w:themeColor="text1"/>
        </w:rPr>
        <w:t>80.7%</w:t>
      </w:r>
    </w:p>
    <w:p w14:paraId="7ABBA9A2" w14:textId="2005F7C8" w:rsidR="002D3279" w:rsidRPr="009252D7" w:rsidRDefault="002D3279" w:rsidP="002D3279">
      <w:pPr>
        <w:spacing w:line="360" w:lineRule="auto"/>
        <w:jc w:val="both"/>
        <w:rPr>
          <w:b/>
          <w:bCs/>
          <w:color w:val="000000" w:themeColor="text1"/>
        </w:rPr>
      </w:pPr>
      <w:r w:rsidRPr="009252D7">
        <w:rPr>
          <w:b/>
          <w:bCs/>
          <w:color w:val="000000" w:themeColor="text1"/>
        </w:rPr>
        <w:t>3. Dividend Yield</w:t>
      </w:r>
    </w:p>
    <w:p w14:paraId="0C67B293" w14:textId="77777777" w:rsidR="002D3279" w:rsidRPr="009252D7" w:rsidRDefault="002D3279" w:rsidP="002D3279">
      <w:pPr>
        <w:spacing w:line="360" w:lineRule="auto"/>
        <w:jc w:val="both"/>
        <w:rPr>
          <w:color w:val="000000" w:themeColor="text1"/>
        </w:rPr>
      </w:pPr>
      <w:r w:rsidRPr="009252D7">
        <w:rPr>
          <w:b/>
          <w:bCs/>
          <w:color w:val="000000" w:themeColor="text1"/>
        </w:rPr>
        <w:t>Formula</w:t>
      </w:r>
      <w:r w:rsidRPr="009252D7">
        <w:rPr>
          <w:color w:val="000000" w:themeColor="text1"/>
        </w:rPr>
        <w:br/>
        <w:t>Dividend Yield = Dividend per share ÷ Market price per share</w:t>
      </w:r>
    </w:p>
    <w:p w14:paraId="013A7BA9" w14:textId="77777777" w:rsidR="002D3279" w:rsidRDefault="002D3279" w:rsidP="002D3279">
      <w:pPr>
        <w:spacing w:line="360" w:lineRule="auto"/>
        <w:jc w:val="both"/>
        <w:rPr>
          <w:color w:val="000000" w:themeColor="text1"/>
        </w:rPr>
      </w:pPr>
      <w:r w:rsidRPr="009252D7">
        <w:rPr>
          <w:b/>
          <w:bCs/>
          <w:color w:val="000000" w:themeColor="text1"/>
        </w:rPr>
        <w:t>Calculation</w:t>
      </w:r>
      <w:r w:rsidRPr="009252D7">
        <w:rPr>
          <w:color w:val="000000" w:themeColor="text1"/>
        </w:rPr>
        <w:t xml:space="preserve"> = Dividend Yield = Not calculable</w:t>
      </w:r>
    </w:p>
    <w:p w14:paraId="189825B8" w14:textId="502DD22C" w:rsidR="00523CAD" w:rsidRDefault="00523CAD" w:rsidP="002D3279">
      <w:pPr>
        <w:spacing w:line="360" w:lineRule="auto"/>
        <w:jc w:val="both"/>
        <w:rPr>
          <w:color w:val="000000" w:themeColor="text1"/>
        </w:rPr>
      </w:pPr>
    </w:p>
    <w:sectPr w:rsidR="00523CA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E4BC7" w14:textId="77777777" w:rsidR="003C1136" w:rsidRDefault="003C1136" w:rsidP="002D3279">
      <w:pPr>
        <w:spacing w:after="0" w:line="240" w:lineRule="auto"/>
      </w:pPr>
      <w:r>
        <w:separator/>
      </w:r>
    </w:p>
  </w:endnote>
  <w:endnote w:type="continuationSeparator" w:id="0">
    <w:p w14:paraId="261AFFA4" w14:textId="77777777" w:rsidR="003C1136" w:rsidRDefault="003C1136" w:rsidP="002D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169596"/>
      <w:docPartObj>
        <w:docPartGallery w:val="Page Numbers (Bottom of Page)"/>
        <w:docPartUnique/>
      </w:docPartObj>
    </w:sdtPr>
    <w:sdtContent>
      <w:p w14:paraId="3A93BA60" w14:textId="1AFC7802" w:rsidR="002D3279" w:rsidRDefault="002D327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88E1694" w14:textId="77777777" w:rsidR="002D3279" w:rsidRDefault="002D3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C5D5C" w14:textId="77777777" w:rsidR="003C1136" w:rsidRDefault="003C1136" w:rsidP="002D3279">
      <w:pPr>
        <w:spacing w:after="0" w:line="240" w:lineRule="auto"/>
      </w:pPr>
      <w:r>
        <w:separator/>
      </w:r>
    </w:p>
  </w:footnote>
  <w:footnote w:type="continuationSeparator" w:id="0">
    <w:p w14:paraId="7B658D38" w14:textId="77777777" w:rsidR="003C1136" w:rsidRDefault="003C1136" w:rsidP="002D3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32E7"/>
    <w:multiLevelType w:val="multilevel"/>
    <w:tmpl w:val="FBA0DE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7A2145E"/>
    <w:multiLevelType w:val="multilevel"/>
    <w:tmpl w:val="F920F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920EA"/>
    <w:multiLevelType w:val="multilevel"/>
    <w:tmpl w:val="C28E6B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DC522E"/>
    <w:multiLevelType w:val="multilevel"/>
    <w:tmpl w:val="C9D4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10B9B"/>
    <w:multiLevelType w:val="multilevel"/>
    <w:tmpl w:val="DF2C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03810"/>
    <w:multiLevelType w:val="hybridMultilevel"/>
    <w:tmpl w:val="11122DBC"/>
    <w:lvl w:ilvl="0" w:tplc="4740BA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20BF5"/>
    <w:multiLevelType w:val="multilevel"/>
    <w:tmpl w:val="B322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A7AAA"/>
    <w:multiLevelType w:val="multilevel"/>
    <w:tmpl w:val="2736C2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D7007B"/>
    <w:multiLevelType w:val="hybridMultilevel"/>
    <w:tmpl w:val="104EC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B30066"/>
    <w:multiLevelType w:val="multilevel"/>
    <w:tmpl w:val="0062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40617"/>
    <w:multiLevelType w:val="multilevel"/>
    <w:tmpl w:val="7FA45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549BA"/>
    <w:multiLevelType w:val="multilevel"/>
    <w:tmpl w:val="63C8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7E1F46"/>
    <w:multiLevelType w:val="hybridMultilevel"/>
    <w:tmpl w:val="9968D828"/>
    <w:lvl w:ilvl="0" w:tplc="07ACBAE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A04213C"/>
    <w:multiLevelType w:val="hybridMultilevel"/>
    <w:tmpl w:val="9F4A5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6C7DCD"/>
    <w:multiLevelType w:val="multilevel"/>
    <w:tmpl w:val="009C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41E3A"/>
    <w:multiLevelType w:val="multilevel"/>
    <w:tmpl w:val="A27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E25BB"/>
    <w:multiLevelType w:val="hybridMultilevel"/>
    <w:tmpl w:val="BD8C43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566983"/>
    <w:multiLevelType w:val="multilevel"/>
    <w:tmpl w:val="A612828A"/>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3E630CD3"/>
    <w:multiLevelType w:val="multilevel"/>
    <w:tmpl w:val="6F32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5074FE"/>
    <w:multiLevelType w:val="multilevel"/>
    <w:tmpl w:val="0AC8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A50D8"/>
    <w:multiLevelType w:val="hybridMultilevel"/>
    <w:tmpl w:val="5A7C9994"/>
    <w:lvl w:ilvl="0" w:tplc="4740BA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965E22"/>
    <w:multiLevelType w:val="multilevel"/>
    <w:tmpl w:val="026C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378C4"/>
    <w:multiLevelType w:val="hybridMultilevel"/>
    <w:tmpl w:val="B414DDD4"/>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A4652"/>
    <w:multiLevelType w:val="hybridMultilevel"/>
    <w:tmpl w:val="F3FCCF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77F0901"/>
    <w:multiLevelType w:val="hybridMultilevel"/>
    <w:tmpl w:val="C8FE56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A764D6C"/>
    <w:multiLevelType w:val="multilevel"/>
    <w:tmpl w:val="C64276CC"/>
    <w:lvl w:ilvl="0">
      <w:start w:val="7"/>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4CA8143D"/>
    <w:multiLevelType w:val="multilevel"/>
    <w:tmpl w:val="4B7C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03C5A"/>
    <w:multiLevelType w:val="multilevel"/>
    <w:tmpl w:val="25E4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F7335"/>
    <w:multiLevelType w:val="multilevel"/>
    <w:tmpl w:val="0C0E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096095"/>
    <w:multiLevelType w:val="multilevel"/>
    <w:tmpl w:val="E38C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A1192F"/>
    <w:multiLevelType w:val="multilevel"/>
    <w:tmpl w:val="91620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812E8"/>
    <w:multiLevelType w:val="multilevel"/>
    <w:tmpl w:val="1562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D163BE"/>
    <w:multiLevelType w:val="hybridMultilevel"/>
    <w:tmpl w:val="8CF641BA"/>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4F26F78"/>
    <w:multiLevelType w:val="multilevel"/>
    <w:tmpl w:val="16B2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D31743"/>
    <w:multiLevelType w:val="multilevel"/>
    <w:tmpl w:val="3FBA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940C41"/>
    <w:multiLevelType w:val="multilevel"/>
    <w:tmpl w:val="AF5A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635ED1"/>
    <w:multiLevelType w:val="multilevel"/>
    <w:tmpl w:val="85FC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600303"/>
    <w:multiLevelType w:val="multilevel"/>
    <w:tmpl w:val="6240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17488"/>
    <w:multiLevelType w:val="multilevel"/>
    <w:tmpl w:val="8BC0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0B4BAC"/>
    <w:multiLevelType w:val="multilevel"/>
    <w:tmpl w:val="7394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1104BE"/>
    <w:multiLevelType w:val="multilevel"/>
    <w:tmpl w:val="41FE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4A2806"/>
    <w:multiLevelType w:val="multilevel"/>
    <w:tmpl w:val="64F6A0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BE5099"/>
    <w:multiLevelType w:val="multilevel"/>
    <w:tmpl w:val="A604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8F71BE"/>
    <w:multiLevelType w:val="multilevel"/>
    <w:tmpl w:val="9164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073107">
    <w:abstractNumId w:val="13"/>
  </w:num>
  <w:num w:numId="2" w16cid:durableId="249121055">
    <w:abstractNumId w:val="12"/>
  </w:num>
  <w:num w:numId="3" w16cid:durableId="319848232">
    <w:abstractNumId w:val="23"/>
  </w:num>
  <w:num w:numId="4" w16cid:durableId="1010448770">
    <w:abstractNumId w:val="37"/>
  </w:num>
  <w:num w:numId="5" w16cid:durableId="220334380">
    <w:abstractNumId w:val="36"/>
  </w:num>
  <w:num w:numId="6" w16cid:durableId="1875073907">
    <w:abstractNumId w:val="8"/>
  </w:num>
  <w:num w:numId="7" w16cid:durableId="462119146">
    <w:abstractNumId w:val="39"/>
  </w:num>
  <w:num w:numId="8" w16cid:durableId="2075278824">
    <w:abstractNumId w:val="25"/>
  </w:num>
  <w:num w:numId="9" w16cid:durableId="2146317490">
    <w:abstractNumId w:val="32"/>
  </w:num>
  <w:num w:numId="10" w16cid:durableId="1073700500">
    <w:abstractNumId w:val="5"/>
  </w:num>
  <w:num w:numId="11" w16cid:durableId="2146191326">
    <w:abstractNumId w:val="20"/>
  </w:num>
  <w:num w:numId="12" w16cid:durableId="1399132262">
    <w:abstractNumId w:val="38"/>
  </w:num>
  <w:num w:numId="13" w16cid:durableId="956523753">
    <w:abstractNumId w:val="0"/>
  </w:num>
  <w:num w:numId="14" w16cid:durableId="1071738073">
    <w:abstractNumId w:val="4"/>
  </w:num>
  <w:num w:numId="15" w16cid:durableId="1140533914">
    <w:abstractNumId w:val="26"/>
  </w:num>
  <w:num w:numId="16" w16cid:durableId="1626695050">
    <w:abstractNumId w:val="34"/>
  </w:num>
  <w:num w:numId="17" w16cid:durableId="484125777">
    <w:abstractNumId w:val="43"/>
  </w:num>
  <w:num w:numId="18" w16cid:durableId="1544755441">
    <w:abstractNumId w:val="27"/>
  </w:num>
  <w:num w:numId="19" w16cid:durableId="1019821354">
    <w:abstractNumId w:val="42"/>
  </w:num>
  <w:num w:numId="20" w16cid:durableId="805897771">
    <w:abstractNumId w:val="10"/>
  </w:num>
  <w:num w:numId="21" w16cid:durableId="30812993">
    <w:abstractNumId w:val="41"/>
  </w:num>
  <w:num w:numId="22" w16cid:durableId="695499600">
    <w:abstractNumId w:val="30"/>
  </w:num>
  <w:num w:numId="23" w16cid:durableId="1409116103">
    <w:abstractNumId w:val="7"/>
  </w:num>
  <w:num w:numId="24" w16cid:durableId="369187381">
    <w:abstractNumId w:val="1"/>
  </w:num>
  <w:num w:numId="25" w16cid:durableId="52895755">
    <w:abstractNumId w:val="11"/>
  </w:num>
  <w:num w:numId="26" w16cid:durableId="351954996">
    <w:abstractNumId w:val="19"/>
  </w:num>
  <w:num w:numId="27" w16cid:durableId="2109616915">
    <w:abstractNumId w:val="3"/>
  </w:num>
  <w:num w:numId="28" w16cid:durableId="1439180075">
    <w:abstractNumId w:val="33"/>
  </w:num>
  <w:num w:numId="29" w16cid:durableId="800271172">
    <w:abstractNumId w:val="14"/>
  </w:num>
  <w:num w:numId="30" w16cid:durableId="1973364355">
    <w:abstractNumId w:val="15"/>
  </w:num>
  <w:num w:numId="31" w16cid:durableId="617758531">
    <w:abstractNumId w:val="9"/>
  </w:num>
  <w:num w:numId="32" w16cid:durableId="2013337370">
    <w:abstractNumId w:val="21"/>
  </w:num>
  <w:num w:numId="33" w16cid:durableId="1180772886">
    <w:abstractNumId w:val="40"/>
  </w:num>
  <w:num w:numId="34" w16cid:durableId="225845108">
    <w:abstractNumId w:val="31"/>
  </w:num>
  <w:num w:numId="35" w16cid:durableId="2058552123">
    <w:abstractNumId w:val="29"/>
  </w:num>
  <w:num w:numId="36" w16cid:durableId="799616383">
    <w:abstractNumId w:val="6"/>
  </w:num>
  <w:num w:numId="37" w16cid:durableId="1787115401">
    <w:abstractNumId w:val="28"/>
  </w:num>
  <w:num w:numId="38" w16cid:durableId="907961163">
    <w:abstractNumId w:val="18"/>
  </w:num>
  <w:num w:numId="39" w16cid:durableId="309991532">
    <w:abstractNumId w:val="35"/>
  </w:num>
  <w:num w:numId="40" w16cid:durableId="262955226">
    <w:abstractNumId w:val="16"/>
  </w:num>
  <w:num w:numId="41" w16cid:durableId="1518697295">
    <w:abstractNumId w:val="17"/>
  </w:num>
  <w:num w:numId="42" w16cid:durableId="1468628405">
    <w:abstractNumId w:val="2"/>
  </w:num>
  <w:num w:numId="43" w16cid:durableId="116216802">
    <w:abstractNumId w:val="22"/>
  </w:num>
  <w:num w:numId="44" w16cid:durableId="172328548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3CB"/>
    <w:rsid w:val="00005619"/>
    <w:rsid w:val="00090D0C"/>
    <w:rsid w:val="00104652"/>
    <w:rsid w:val="00142411"/>
    <w:rsid w:val="00147101"/>
    <w:rsid w:val="00200786"/>
    <w:rsid w:val="00230B5F"/>
    <w:rsid w:val="00256A4C"/>
    <w:rsid w:val="002A54D7"/>
    <w:rsid w:val="002C7C6F"/>
    <w:rsid w:val="002D3279"/>
    <w:rsid w:val="00362210"/>
    <w:rsid w:val="003753CB"/>
    <w:rsid w:val="00397DA8"/>
    <w:rsid w:val="003C1136"/>
    <w:rsid w:val="003D03C4"/>
    <w:rsid w:val="004360DD"/>
    <w:rsid w:val="00477A3E"/>
    <w:rsid w:val="004D0D06"/>
    <w:rsid w:val="00523CAD"/>
    <w:rsid w:val="00524A19"/>
    <w:rsid w:val="005A5FDF"/>
    <w:rsid w:val="00693527"/>
    <w:rsid w:val="00747D39"/>
    <w:rsid w:val="007F4FCA"/>
    <w:rsid w:val="008268BE"/>
    <w:rsid w:val="008367C8"/>
    <w:rsid w:val="008557C4"/>
    <w:rsid w:val="008604B5"/>
    <w:rsid w:val="008F195A"/>
    <w:rsid w:val="00940099"/>
    <w:rsid w:val="00945CC6"/>
    <w:rsid w:val="00985CA0"/>
    <w:rsid w:val="009971F4"/>
    <w:rsid w:val="009F5624"/>
    <w:rsid w:val="00A63737"/>
    <w:rsid w:val="00AB074E"/>
    <w:rsid w:val="00AC7AE4"/>
    <w:rsid w:val="00BA60EC"/>
    <w:rsid w:val="00C02318"/>
    <w:rsid w:val="00CE6F1B"/>
    <w:rsid w:val="00D1449E"/>
    <w:rsid w:val="00D74447"/>
    <w:rsid w:val="00DD3033"/>
    <w:rsid w:val="00DE3FCC"/>
    <w:rsid w:val="00DE5EF9"/>
    <w:rsid w:val="00E503CC"/>
    <w:rsid w:val="00EF76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A2DB9"/>
  <w15:chartTrackingRefBased/>
  <w15:docId w15:val="{456A5E98-1DAE-4C75-A9B9-3D25E7E1E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786"/>
    <w:pPr>
      <w:spacing w:line="256" w:lineRule="auto"/>
    </w:pPr>
    <w:rPr>
      <w:kern w:val="0"/>
      <w:sz w:val="22"/>
      <w:szCs w:val="22"/>
      <w:lang w:val="en-GB"/>
      <w14:ligatures w14:val="none"/>
    </w:rPr>
  </w:style>
  <w:style w:type="paragraph" w:styleId="Heading1">
    <w:name w:val="heading 1"/>
    <w:basedOn w:val="Normal"/>
    <w:next w:val="Normal"/>
    <w:link w:val="Heading1Char"/>
    <w:uiPriority w:val="9"/>
    <w:qFormat/>
    <w:rsid w:val="00375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3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3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3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3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3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3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3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3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3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3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3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3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3CB"/>
    <w:rPr>
      <w:rFonts w:eastAsiaTheme="majorEastAsia" w:cstheme="majorBidi"/>
      <w:color w:val="272727" w:themeColor="text1" w:themeTint="D8"/>
    </w:rPr>
  </w:style>
  <w:style w:type="paragraph" w:styleId="Title">
    <w:name w:val="Title"/>
    <w:basedOn w:val="Normal"/>
    <w:next w:val="Normal"/>
    <w:link w:val="TitleChar"/>
    <w:uiPriority w:val="10"/>
    <w:qFormat/>
    <w:rsid w:val="00375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3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3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3CB"/>
    <w:pPr>
      <w:spacing w:before="160"/>
      <w:jc w:val="center"/>
    </w:pPr>
    <w:rPr>
      <w:i/>
      <w:iCs/>
      <w:color w:val="404040" w:themeColor="text1" w:themeTint="BF"/>
    </w:rPr>
  </w:style>
  <w:style w:type="character" w:customStyle="1" w:styleId="QuoteChar">
    <w:name w:val="Quote Char"/>
    <w:basedOn w:val="DefaultParagraphFont"/>
    <w:link w:val="Quote"/>
    <w:uiPriority w:val="29"/>
    <w:rsid w:val="003753CB"/>
    <w:rPr>
      <w:i/>
      <w:iCs/>
      <w:color w:val="404040" w:themeColor="text1" w:themeTint="BF"/>
    </w:rPr>
  </w:style>
  <w:style w:type="paragraph" w:styleId="ListParagraph">
    <w:name w:val="List Paragraph"/>
    <w:basedOn w:val="Normal"/>
    <w:uiPriority w:val="34"/>
    <w:qFormat/>
    <w:rsid w:val="003753CB"/>
    <w:pPr>
      <w:ind w:left="720"/>
      <w:contextualSpacing/>
    </w:pPr>
  </w:style>
  <w:style w:type="character" w:styleId="IntenseEmphasis">
    <w:name w:val="Intense Emphasis"/>
    <w:basedOn w:val="DefaultParagraphFont"/>
    <w:uiPriority w:val="21"/>
    <w:qFormat/>
    <w:rsid w:val="003753CB"/>
    <w:rPr>
      <w:i/>
      <w:iCs/>
      <w:color w:val="0F4761" w:themeColor="accent1" w:themeShade="BF"/>
    </w:rPr>
  </w:style>
  <w:style w:type="paragraph" w:styleId="IntenseQuote">
    <w:name w:val="Intense Quote"/>
    <w:basedOn w:val="Normal"/>
    <w:next w:val="Normal"/>
    <w:link w:val="IntenseQuoteChar"/>
    <w:uiPriority w:val="30"/>
    <w:qFormat/>
    <w:rsid w:val="00375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3CB"/>
    <w:rPr>
      <w:i/>
      <w:iCs/>
      <w:color w:val="0F4761" w:themeColor="accent1" w:themeShade="BF"/>
    </w:rPr>
  </w:style>
  <w:style w:type="character" w:styleId="IntenseReference">
    <w:name w:val="Intense Reference"/>
    <w:basedOn w:val="DefaultParagraphFont"/>
    <w:uiPriority w:val="32"/>
    <w:qFormat/>
    <w:rsid w:val="003753CB"/>
    <w:rPr>
      <w:b/>
      <w:bCs/>
      <w:smallCaps/>
      <w:color w:val="0F4761" w:themeColor="accent1" w:themeShade="BF"/>
      <w:spacing w:val="5"/>
    </w:rPr>
  </w:style>
  <w:style w:type="character" w:customStyle="1" w:styleId="NoSpacingChar">
    <w:name w:val="No Spacing Char"/>
    <w:basedOn w:val="DefaultParagraphFont"/>
    <w:link w:val="NoSpacing"/>
    <w:uiPriority w:val="1"/>
    <w:locked/>
    <w:rsid w:val="00200786"/>
    <w:rPr>
      <w:rFonts w:ascii="SimSun" w:eastAsiaTheme="minorEastAsia" w:hAnsi="SimSun"/>
      <w:lang w:val="en-US"/>
    </w:rPr>
  </w:style>
  <w:style w:type="paragraph" w:styleId="NoSpacing">
    <w:name w:val="No Spacing"/>
    <w:link w:val="NoSpacingChar"/>
    <w:uiPriority w:val="1"/>
    <w:qFormat/>
    <w:rsid w:val="00200786"/>
    <w:pPr>
      <w:spacing w:after="0" w:line="240" w:lineRule="auto"/>
    </w:pPr>
    <w:rPr>
      <w:rFonts w:ascii="SimSun" w:eastAsiaTheme="minorEastAsia" w:hAnsi="SimSun"/>
      <w:lang w:val="en-US"/>
    </w:rPr>
  </w:style>
  <w:style w:type="table" w:styleId="TableGrid">
    <w:name w:val="Table Grid"/>
    <w:basedOn w:val="TableNormal"/>
    <w:uiPriority w:val="39"/>
    <w:rsid w:val="002D32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D3279"/>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claude-response-body">
    <w:name w:val="font-claude-response-body"/>
    <w:basedOn w:val="Normal"/>
    <w:rsid w:val="002D32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279"/>
    <w:rPr>
      <w:b/>
      <w:bCs/>
    </w:rPr>
  </w:style>
  <w:style w:type="paragraph" w:styleId="NormalWeb">
    <w:name w:val="Normal (Web)"/>
    <w:basedOn w:val="Normal"/>
    <w:uiPriority w:val="99"/>
    <w:semiHidden/>
    <w:unhideWhenUsed/>
    <w:rsid w:val="002D32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D3279"/>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2D3279"/>
    <w:pPr>
      <w:spacing w:before="120" w:after="0" w:line="240" w:lineRule="auto"/>
    </w:pPr>
    <w:rPr>
      <w:rFonts w:eastAsia="Times New Roman" w:cs="Times New Roman"/>
      <w:b/>
      <w:bCs/>
      <w:i/>
      <w:iCs/>
      <w:sz w:val="24"/>
      <w:szCs w:val="24"/>
      <w:lang w:eastAsia="en-GB"/>
    </w:rPr>
  </w:style>
  <w:style w:type="paragraph" w:styleId="TOC2">
    <w:name w:val="toc 2"/>
    <w:basedOn w:val="Normal"/>
    <w:next w:val="Normal"/>
    <w:autoRedefine/>
    <w:uiPriority w:val="39"/>
    <w:unhideWhenUsed/>
    <w:rsid w:val="002D3279"/>
    <w:pPr>
      <w:spacing w:before="120" w:after="0" w:line="240" w:lineRule="auto"/>
      <w:ind w:left="240"/>
    </w:pPr>
    <w:rPr>
      <w:rFonts w:eastAsia="Times New Roman" w:cs="Times New Roman"/>
      <w:b/>
      <w:bCs/>
      <w:lang w:eastAsia="en-GB"/>
    </w:rPr>
  </w:style>
  <w:style w:type="character" w:styleId="Hyperlink">
    <w:name w:val="Hyperlink"/>
    <w:basedOn w:val="DefaultParagraphFont"/>
    <w:uiPriority w:val="99"/>
    <w:unhideWhenUsed/>
    <w:rsid w:val="002D3279"/>
    <w:rPr>
      <w:color w:val="467886" w:themeColor="hyperlink"/>
      <w:u w:val="single"/>
    </w:rPr>
  </w:style>
  <w:style w:type="paragraph" w:styleId="TOC3">
    <w:name w:val="toc 3"/>
    <w:basedOn w:val="Normal"/>
    <w:next w:val="Normal"/>
    <w:autoRedefine/>
    <w:uiPriority w:val="39"/>
    <w:semiHidden/>
    <w:unhideWhenUsed/>
    <w:rsid w:val="002D3279"/>
    <w:pPr>
      <w:spacing w:after="0" w:line="240" w:lineRule="auto"/>
      <w:ind w:left="480"/>
    </w:pPr>
    <w:rPr>
      <w:rFonts w:eastAsia="Times New Roman" w:cs="Times New Roman"/>
      <w:sz w:val="20"/>
      <w:szCs w:val="20"/>
      <w:lang w:eastAsia="en-GB"/>
    </w:rPr>
  </w:style>
  <w:style w:type="paragraph" w:styleId="TOC4">
    <w:name w:val="toc 4"/>
    <w:basedOn w:val="Normal"/>
    <w:next w:val="Normal"/>
    <w:autoRedefine/>
    <w:uiPriority w:val="39"/>
    <w:semiHidden/>
    <w:unhideWhenUsed/>
    <w:rsid w:val="002D3279"/>
    <w:pPr>
      <w:spacing w:after="0" w:line="240" w:lineRule="auto"/>
      <w:ind w:left="720"/>
    </w:pPr>
    <w:rPr>
      <w:rFonts w:eastAsia="Times New Roman" w:cs="Times New Roman"/>
      <w:sz w:val="20"/>
      <w:szCs w:val="20"/>
      <w:lang w:eastAsia="en-GB"/>
    </w:rPr>
  </w:style>
  <w:style w:type="paragraph" w:styleId="TOC5">
    <w:name w:val="toc 5"/>
    <w:basedOn w:val="Normal"/>
    <w:next w:val="Normal"/>
    <w:autoRedefine/>
    <w:uiPriority w:val="39"/>
    <w:semiHidden/>
    <w:unhideWhenUsed/>
    <w:rsid w:val="002D3279"/>
    <w:pPr>
      <w:spacing w:after="0" w:line="240" w:lineRule="auto"/>
      <w:ind w:left="960"/>
    </w:pPr>
    <w:rPr>
      <w:rFonts w:eastAsia="Times New Roman" w:cs="Times New Roman"/>
      <w:sz w:val="20"/>
      <w:szCs w:val="20"/>
      <w:lang w:eastAsia="en-GB"/>
    </w:rPr>
  </w:style>
  <w:style w:type="paragraph" w:styleId="TOC6">
    <w:name w:val="toc 6"/>
    <w:basedOn w:val="Normal"/>
    <w:next w:val="Normal"/>
    <w:autoRedefine/>
    <w:uiPriority w:val="39"/>
    <w:semiHidden/>
    <w:unhideWhenUsed/>
    <w:rsid w:val="002D3279"/>
    <w:pPr>
      <w:spacing w:after="0" w:line="240" w:lineRule="auto"/>
      <w:ind w:left="1200"/>
    </w:pPr>
    <w:rPr>
      <w:rFonts w:eastAsia="Times New Roman" w:cs="Times New Roman"/>
      <w:sz w:val="20"/>
      <w:szCs w:val="20"/>
      <w:lang w:eastAsia="en-GB"/>
    </w:rPr>
  </w:style>
  <w:style w:type="paragraph" w:styleId="TOC7">
    <w:name w:val="toc 7"/>
    <w:basedOn w:val="Normal"/>
    <w:next w:val="Normal"/>
    <w:autoRedefine/>
    <w:uiPriority w:val="39"/>
    <w:semiHidden/>
    <w:unhideWhenUsed/>
    <w:rsid w:val="002D3279"/>
    <w:pPr>
      <w:spacing w:after="0" w:line="240" w:lineRule="auto"/>
      <w:ind w:left="1440"/>
    </w:pPr>
    <w:rPr>
      <w:rFonts w:eastAsia="Times New Roman" w:cs="Times New Roman"/>
      <w:sz w:val="20"/>
      <w:szCs w:val="20"/>
      <w:lang w:eastAsia="en-GB"/>
    </w:rPr>
  </w:style>
  <w:style w:type="paragraph" w:styleId="TOC8">
    <w:name w:val="toc 8"/>
    <w:basedOn w:val="Normal"/>
    <w:next w:val="Normal"/>
    <w:autoRedefine/>
    <w:uiPriority w:val="39"/>
    <w:semiHidden/>
    <w:unhideWhenUsed/>
    <w:rsid w:val="002D3279"/>
    <w:pPr>
      <w:spacing w:after="0" w:line="240" w:lineRule="auto"/>
      <w:ind w:left="1680"/>
    </w:pPr>
    <w:rPr>
      <w:rFonts w:eastAsia="Times New Roman" w:cs="Times New Roman"/>
      <w:sz w:val="20"/>
      <w:szCs w:val="20"/>
      <w:lang w:eastAsia="en-GB"/>
    </w:rPr>
  </w:style>
  <w:style w:type="paragraph" w:styleId="TOC9">
    <w:name w:val="toc 9"/>
    <w:basedOn w:val="Normal"/>
    <w:next w:val="Normal"/>
    <w:autoRedefine/>
    <w:uiPriority w:val="39"/>
    <w:semiHidden/>
    <w:unhideWhenUsed/>
    <w:rsid w:val="002D3279"/>
    <w:pPr>
      <w:spacing w:after="0" w:line="240" w:lineRule="auto"/>
      <w:ind w:left="1920"/>
    </w:pPr>
    <w:rPr>
      <w:rFonts w:eastAsia="Times New Roman" w:cs="Times New Roman"/>
      <w:sz w:val="20"/>
      <w:szCs w:val="20"/>
      <w:lang w:eastAsia="en-GB"/>
    </w:rPr>
  </w:style>
  <w:style w:type="paragraph" w:styleId="Footer">
    <w:name w:val="footer"/>
    <w:basedOn w:val="Normal"/>
    <w:link w:val="FooterChar"/>
    <w:uiPriority w:val="99"/>
    <w:unhideWhenUsed/>
    <w:rsid w:val="002D3279"/>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2D3279"/>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semiHidden/>
    <w:unhideWhenUsed/>
    <w:rsid w:val="002D3279"/>
  </w:style>
  <w:style w:type="paragraph" w:styleId="Header">
    <w:name w:val="header"/>
    <w:basedOn w:val="Normal"/>
    <w:link w:val="HeaderChar"/>
    <w:uiPriority w:val="99"/>
    <w:unhideWhenUsed/>
    <w:rsid w:val="002D3279"/>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2D3279"/>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07627">
      <w:bodyDiv w:val="1"/>
      <w:marLeft w:val="0"/>
      <w:marRight w:val="0"/>
      <w:marTop w:val="0"/>
      <w:marBottom w:val="0"/>
      <w:divBdr>
        <w:top w:val="none" w:sz="0" w:space="0" w:color="auto"/>
        <w:left w:val="none" w:sz="0" w:space="0" w:color="auto"/>
        <w:bottom w:val="none" w:sz="0" w:space="0" w:color="auto"/>
        <w:right w:val="none" w:sz="0" w:space="0" w:color="auto"/>
      </w:divBdr>
    </w:div>
    <w:div w:id="888997971">
      <w:bodyDiv w:val="1"/>
      <w:marLeft w:val="0"/>
      <w:marRight w:val="0"/>
      <w:marTop w:val="0"/>
      <w:marBottom w:val="0"/>
      <w:divBdr>
        <w:top w:val="none" w:sz="0" w:space="0" w:color="auto"/>
        <w:left w:val="none" w:sz="0" w:space="0" w:color="auto"/>
        <w:bottom w:val="none" w:sz="0" w:space="0" w:color="auto"/>
        <w:right w:val="none" w:sz="0" w:space="0" w:color="auto"/>
      </w:divBdr>
    </w:div>
    <w:div w:id="1532835181">
      <w:bodyDiv w:val="1"/>
      <w:marLeft w:val="0"/>
      <w:marRight w:val="0"/>
      <w:marTop w:val="0"/>
      <w:marBottom w:val="0"/>
      <w:divBdr>
        <w:top w:val="none" w:sz="0" w:space="0" w:color="auto"/>
        <w:left w:val="none" w:sz="0" w:space="0" w:color="auto"/>
        <w:bottom w:val="none" w:sz="0" w:space="0" w:color="auto"/>
        <w:right w:val="none" w:sz="0" w:space="0" w:color="auto"/>
      </w:divBdr>
    </w:div>
    <w:div w:id="195817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EA15262812458AB73861CB350F7F22"/>
        <w:category>
          <w:name w:val="General"/>
          <w:gallery w:val="placeholder"/>
        </w:category>
        <w:types>
          <w:type w:val="bbPlcHdr"/>
        </w:types>
        <w:behaviors>
          <w:behavior w:val="content"/>
        </w:behaviors>
        <w:guid w:val="{475475A0-BB8C-43F2-A55D-D781D2D0B72F}"/>
      </w:docPartPr>
      <w:docPartBody>
        <w:p w:rsidR="00452A62" w:rsidRDefault="001F541F" w:rsidP="001F541F">
          <w:pPr>
            <w:pStyle w:val="96EA15262812458AB73861CB350F7F2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1F"/>
    <w:rsid w:val="00030E9E"/>
    <w:rsid w:val="0018780F"/>
    <w:rsid w:val="001F541F"/>
    <w:rsid w:val="002A54D7"/>
    <w:rsid w:val="002C7C6F"/>
    <w:rsid w:val="00362210"/>
    <w:rsid w:val="00426431"/>
    <w:rsid w:val="00452A62"/>
    <w:rsid w:val="00524A19"/>
    <w:rsid w:val="007F4FCA"/>
    <w:rsid w:val="0082657A"/>
    <w:rsid w:val="00863B59"/>
    <w:rsid w:val="00A12B65"/>
    <w:rsid w:val="00A80836"/>
    <w:rsid w:val="00AD64F4"/>
    <w:rsid w:val="00CE6F1B"/>
    <w:rsid w:val="00D74447"/>
    <w:rsid w:val="00DE3FCC"/>
    <w:rsid w:val="00DE5EF9"/>
    <w:rsid w:val="00EE13E2"/>
    <w:rsid w:val="00F03004"/>
    <w:rsid w:val="00F15D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EA15262812458AB73861CB350F7F22">
    <w:name w:val="96EA15262812458AB73861CB350F7F22"/>
    <w:rsid w:val="001F54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2026-01-11T00:00:00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2459</TotalTime>
  <Pages>45</Pages>
  <Words>9735</Words>
  <Characters>55491</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A Project Research on Integrated Financial Analysis and Investment Decision-Making: Ratio Analysis of HSBC UK Bank plc and NPV-Based Capital Allocation for Westward PLC</vt:lpstr>
    </vt:vector>
  </TitlesOfParts>
  <Company>UNIVERSITY OF WALES TRINITY SAINT DAVID</Company>
  <LinksUpToDate>false</LinksUpToDate>
  <CharactersWithSpaces>65096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Research on Integrated Financial Analysis and Investment Decision-Making: Ratio Analysis of HSBC UK Bank plc and NPV-Based Capital Allocation for Westward PLC</dc:title>
  <dc:subject>Finance for Business Managers (BMMB7005)</dc:subject>
  <dc:creator>Aditya Mohod</dc:creator>
  <cp:keywords/>
  <dc:description/>
  <cp:lastModifiedBy>Aditya Mohod</cp:lastModifiedBy>
  <cp:revision>21</cp:revision>
  <dcterms:created xsi:type="dcterms:W3CDTF">2026-01-01T19:27:00Z</dcterms:created>
  <dcterms:modified xsi:type="dcterms:W3CDTF">2026-01-11T23:36:00Z</dcterms:modified>
</cp:coreProperties>
</file>