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12F87" w14:textId="77777777" w:rsidR="00B61B7B" w:rsidRDefault="009529E2">
      <w:pPr>
        <w:spacing w:after="165" w:line="360" w:lineRule="auto"/>
        <w:rPr>
          <w:sz w:val="24"/>
          <w:szCs w:val="24"/>
        </w:rPr>
      </w:pPr>
      <w:r>
        <w:rPr>
          <w:noProof/>
          <w:sz w:val="24"/>
          <w:szCs w:val="24"/>
        </w:rPr>
        <w:drawing>
          <wp:inline distT="0" distB="0" distL="114300" distR="114300" wp14:anchorId="3EEA864F" wp14:editId="462F5D0A">
            <wp:extent cx="2209165" cy="74422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7"/>
                    <a:srcRect/>
                    <a:stretch>
                      <a:fillRect/>
                    </a:stretch>
                  </pic:blipFill>
                  <pic:spPr>
                    <a:xfrm>
                      <a:off x="0" y="0"/>
                      <a:ext cx="2209165" cy="744220"/>
                    </a:xfrm>
                    <a:prstGeom prst="rect">
                      <a:avLst/>
                    </a:prstGeom>
                    <a:ln/>
                  </pic:spPr>
                </pic:pic>
              </a:graphicData>
            </a:graphic>
          </wp:inline>
        </w:drawing>
      </w:r>
    </w:p>
    <w:p w14:paraId="09C560F1" w14:textId="77777777" w:rsidR="0023529D" w:rsidRPr="007D1E32" w:rsidRDefault="009529E2">
      <w:pPr>
        <w:spacing w:after="165" w:line="360" w:lineRule="auto"/>
        <w:rPr>
          <w:sz w:val="28"/>
          <w:szCs w:val="28"/>
        </w:rPr>
      </w:pPr>
      <w:r w:rsidRPr="007D1E32">
        <w:rPr>
          <w:sz w:val="28"/>
          <w:szCs w:val="28"/>
        </w:rPr>
        <w:t xml:space="preserve">Module Assignment Submission </w:t>
      </w:r>
    </w:p>
    <w:tbl>
      <w:tblPr>
        <w:tblStyle w:val="a"/>
        <w:tblpPr w:leftFromText="180" w:rightFromText="180" w:vertAnchor="text" w:horzAnchor="margin" w:tblpXSpec="center" w:tblpY="612"/>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1"/>
        <w:gridCol w:w="6946"/>
      </w:tblGrid>
      <w:tr w:rsidR="00083524" w:rsidRPr="007D1E32" w14:paraId="5DD64BDD" w14:textId="77777777" w:rsidTr="009F0199">
        <w:tc>
          <w:tcPr>
            <w:tcW w:w="3681" w:type="dxa"/>
            <w:shd w:val="clear" w:color="auto" w:fill="D9D9D9"/>
          </w:tcPr>
          <w:p w14:paraId="354E5BC6" w14:textId="77777777" w:rsidR="00083524" w:rsidRPr="007D1E32" w:rsidRDefault="00083524" w:rsidP="00083524">
            <w:pPr>
              <w:spacing w:before="120" w:after="120" w:line="360" w:lineRule="auto"/>
              <w:rPr>
                <w:sz w:val="28"/>
                <w:szCs w:val="28"/>
              </w:rPr>
            </w:pPr>
            <w:r w:rsidRPr="007D1E32">
              <w:rPr>
                <w:sz w:val="28"/>
                <w:szCs w:val="28"/>
              </w:rPr>
              <w:t>Student Name:</w:t>
            </w:r>
          </w:p>
        </w:tc>
        <w:tc>
          <w:tcPr>
            <w:tcW w:w="6946" w:type="dxa"/>
          </w:tcPr>
          <w:p w14:paraId="1A237899" w14:textId="02BCFBA5" w:rsidR="00083524" w:rsidRPr="00283D63" w:rsidRDefault="00083524" w:rsidP="00083524">
            <w:pPr>
              <w:spacing w:before="120" w:after="120" w:line="360" w:lineRule="auto"/>
              <w:rPr>
                <w:rFonts w:asciiTheme="majorHAnsi" w:hAnsiTheme="majorHAnsi" w:cstheme="majorHAnsi"/>
                <w:sz w:val="28"/>
                <w:szCs w:val="28"/>
              </w:rPr>
            </w:pPr>
            <w:r w:rsidRPr="00283D63">
              <w:rPr>
                <w:rFonts w:asciiTheme="majorHAnsi" w:hAnsiTheme="majorHAnsi" w:cstheme="majorHAnsi"/>
                <w:sz w:val="28"/>
                <w:szCs w:val="28"/>
              </w:rPr>
              <w:t>M</w:t>
            </w:r>
            <w:r w:rsidR="00150D5C" w:rsidRPr="00283D63">
              <w:rPr>
                <w:rFonts w:asciiTheme="majorHAnsi" w:hAnsiTheme="majorHAnsi" w:cstheme="majorHAnsi"/>
                <w:sz w:val="28"/>
                <w:szCs w:val="28"/>
              </w:rPr>
              <w:t>ONIR AHMED</w:t>
            </w:r>
          </w:p>
        </w:tc>
      </w:tr>
      <w:tr w:rsidR="00083524" w:rsidRPr="007D1E32" w14:paraId="7F1FB3C9" w14:textId="77777777" w:rsidTr="009F0199">
        <w:tc>
          <w:tcPr>
            <w:tcW w:w="3681" w:type="dxa"/>
            <w:shd w:val="clear" w:color="auto" w:fill="D9D9D9"/>
          </w:tcPr>
          <w:p w14:paraId="012945AA" w14:textId="77777777" w:rsidR="00083524" w:rsidRPr="007D1E32" w:rsidRDefault="00083524" w:rsidP="00083524">
            <w:pPr>
              <w:spacing w:before="120" w:after="120" w:line="360" w:lineRule="auto"/>
              <w:rPr>
                <w:sz w:val="28"/>
                <w:szCs w:val="28"/>
              </w:rPr>
            </w:pPr>
            <w:r w:rsidRPr="007D1E32">
              <w:rPr>
                <w:sz w:val="28"/>
                <w:szCs w:val="28"/>
              </w:rPr>
              <w:t>Student Number:</w:t>
            </w:r>
          </w:p>
        </w:tc>
        <w:tc>
          <w:tcPr>
            <w:tcW w:w="6946" w:type="dxa"/>
          </w:tcPr>
          <w:p w14:paraId="27623F36" w14:textId="189B6635" w:rsidR="00083524" w:rsidRPr="00283D63" w:rsidRDefault="00083524" w:rsidP="00083524">
            <w:pPr>
              <w:spacing w:before="120" w:after="120" w:line="360" w:lineRule="auto"/>
              <w:rPr>
                <w:rFonts w:asciiTheme="majorHAnsi" w:hAnsiTheme="majorHAnsi" w:cstheme="majorHAnsi"/>
                <w:sz w:val="28"/>
                <w:szCs w:val="28"/>
              </w:rPr>
            </w:pPr>
            <w:r w:rsidRPr="00283D63">
              <w:rPr>
                <w:rFonts w:asciiTheme="majorHAnsi" w:hAnsiTheme="majorHAnsi" w:cstheme="majorHAnsi"/>
                <w:sz w:val="28"/>
                <w:szCs w:val="28"/>
              </w:rPr>
              <w:t>1806400@student.uwtsd.ac.</w:t>
            </w:r>
            <w:r w:rsidR="00C052B2" w:rsidRPr="00283D63">
              <w:rPr>
                <w:rFonts w:asciiTheme="majorHAnsi" w:hAnsiTheme="majorHAnsi" w:cstheme="majorHAnsi"/>
                <w:sz w:val="28"/>
                <w:szCs w:val="28"/>
              </w:rPr>
              <w:t>uk</w:t>
            </w:r>
          </w:p>
        </w:tc>
      </w:tr>
      <w:tr w:rsidR="00083524" w:rsidRPr="007D1E32" w14:paraId="49781FB5" w14:textId="77777777" w:rsidTr="009F0199">
        <w:tc>
          <w:tcPr>
            <w:tcW w:w="3681" w:type="dxa"/>
            <w:shd w:val="clear" w:color="auto" w:fill="D9D9D9"/>
          </w:tcPr>
          <w:p w14:paraId="7E41220F" w14:textId="016531D8" w:rsidR="00083524" w:rsidRPr="007D1E32" w:rsidRDefault="00083524" w:rsidP="00083524">
            <w:pPr>
              <w:spacing w:before="120" w:after="120" w:line="360" w:lineRule="auto"/>
              <w:rPr>
                <w:sz w:val="28"/>
                <w:szCs w:val="28"/>
              </w:rPr>
            </w:pPr>
            <w:r w:rsidRPr="007D1E32">
              <w:rPr>
                <w:sz w:val="28"/>
                <w:szCs w:val="28"/>
              </w:rPr>
              <w:t>Programme:</w:t>
            </w:r>
          </w:p>
        </w:tc>
        <w:tc>
          <w:tcPr>
            <w:tcW w:w="6946" w:type="dxa"/>
          </w:tcPr>
          <w:p w14:paraId="23C4A199" w14:textId="1EBF251B" w:rsidR="00083524" w:rsidRPr="00283D63" w:rsidRDefault="00150D5C" w:rsidP="00083524">
            <w:pPr>
              <w:spacing w:before="120" w:after="120" w:line="360" w:lineRule="auto"/>
              <w:rPr>
                <w:rFonts w:asciiTheme="majorHAnsi" w:hAnsiTheme="majorHAnsi" w:cstheme="majorHAnsi"/>
                <w:sz w:val="28"/>
                <w:szCs w:val="28"/>
              </w:rPr>
            </w:pPr>
            <w:r w:rsidRPr="00283D63">
              <w:rPr>
                <w:rFonts w:asciiTheme="majorHAnsi" w:hAnsiTheme="majorHAnsi" w:cstheme="majorHAnsi"/>
                <w:sz w:val="28"/>
                <w:szCs w:val="28"/>
              </w:rPr>
              <w:t>P</w:t>
            </w:r>
            <w:r w:rsidR="00916D90" w:rsidRPr="00283D63">
              <w:rPr>
                <w:rFonts w:asciiTheme="majorHAnsi" w:hAnsiTheme="majorHAnsi" w:cstheme="majorHAnsi"/>
                <w:sz w:val="28"/>
                <w:szCs w:val="28"/>
              </w:rPr>
              <w:t>ublic services, Policing, Criminology, and Law portfolio</w:t>
            </w:r>
          </w:p>
        </w:tc>
      </w:tr>
      <w:tr w:rsidR="00083524" w:rsidRPr="007D1E32" w14:paraId="5FED6E5A" w14:textId="77777777" w:rsidTr="009F0199">
        <w:trPr>
          <w:trHeight w:val="413"/>
        </w:trPr>
        <w:tc>
          <w:tcPr>
            <w:tcW w:w="3681" w:type="dxa"/>
            <w:shd w:val="clear" w:color="auto" w:fill="D9D9D9"/>
          </w:tcPr>
          <w:p w14:paraId="20653447" w14:textId="3055499E" w:rsidR="00083524" w:rsidRPr="007D1E32" w:rsidRDefault="00083524" w:rsidP="00083524">
            <w:pPr>
              <w:spacing w:before="120" w:after="120" w:line="360" w:lineRule="auto"/>
              <w:rPr>
                <w:sz w:val="28"/>
                <w:szCs w:val="28"/>
              </w:rPr>
            </w:pPr>
            <w:r w:rsidRPr="007D1E32">
              <w:rPr>
                <w:sz w:val="28"/>
                <w:szCs w:val="28"/>
              </w:rPr>
              <w:t>Module:</w:t>
            </w:r>
          </w:p>
        </w:tc>
        <w:tc>
          <w:tcPr>
            <w:tcW w:w="6946" w:type="dxa"/>
          </w:tcPr>
          <w:p w14:paraId="6593533E" w14:textId="78F8810C" w:rsidR="00083524" w:rsidRPr="00283D63" w:rsidRDefault="00150D5C" w:rsidP="00083524">
            <w:pPr>
              <w:rPr>
                <w:rFonts w:asciiTheme="majorHAnsi" w:hAnsiTheme="majorHAnsi" w:cstheme="majorHAnsi"/>
                <w:sz w:val="28"/>
                <w:szCs w:val="28"/>
              </w:rPr>
            </w:pPr>
            <w:r w:rsidRPr="00283D63">
              <w:rPr>
                <w:rFonts w:asciiTheme="majorHAnsi" w:hAnsiTheme="majorHAnsi" w:cstheme="majorHAnsi"/>
                <w:sz w:val="28"/>
                <w:szCs w:val="28"/>
              </w:rPr>
              <w:t>CRIMINAL LAW</w:t>
            </w:r>
          </w:p>
        </w:tc>
      </w:tr>
      <w:tr w:rsidR="00083524" w:rsidRPr="007D1E32" w14:paraId="168DAB1C" w14:textId="77777777" w:rsidTr="009F0199">
        <w:trPr>
          <w:trHeight w:val="413"/>
        </w:trPr>
        <w:tc>
          <w:tcPr>
            <w:tcW w:w="3681" w:type="dxa"/>
            <w:shd w:val="clear" w:color="auto" w:fill="D9D9D9"/>
          </w:tcPr>
          <w:p w14:paraId="32AF6410" w14:textId="043445CB" w:rsidR="00083524" w:rsidRPr="007D1E32" w:rsidRDefault="00083524" w:rsidP="00083524">
            <w:pPr>
              <w:spacing w:before="120" w:after="120" w:line="360" w:lineRule="auto"/>
              <w:rPr>
                <w:sz w:val="28"/>
                <w:szCs w:val="28"/>
              </w:rPr>
            </w:pPr>
            <w:r w:rsidRPr="007D1E32">
              <w:rPr>
                <w:sz w:val="28"/>
                <w:szCs w:val="28"/>
              </w:rPr>
              <w:t>Module Code:</w:t>
            </w:r>
          </w:p>
        </w:tc>
        <w:tc>
          <w:tcPr>
            <w:tcW w:w="6946" w:type="dxa"/>
          </w:tcPr>
          <w:p w14:paraId="0D9E8CD6" w14:textId="6410673C" w:rsidR="00083524" w:rsidRPr="00283D63" w:rsidRDefault="00150D5C" w:rsidP="00083524">
            <w:pPr>
              <w:rPr>
                <w:rFonts w:asciiTheme="majorHAnsi" w:hAnsiTheme="majorHAnsi" w:cstheme="majorHAnsi"/>
                <w:sz w:val="28"/>
                <w:szCs w:val="28"/>
              </w:rPr>
            </w:pPr>
            <w:r w:rsidRPr="00283D63">
              <w:rPr>
                <w:rFonts w:asciiTheme="majorHAnsi" w:hAnsiTheme="majorHAnsi" w:cstheme="majorHAnsi"/>
                <w:sz w:val="28"/>
                <w:szCs w:val="28"/>
              </w:rPr>
              <w:t>BMLW4002/BMPL4004</w:t>
            </w:r>
          </w:p>
        </w:tc>
      </w:tr>
      <w:tr w:rsidR="00083524" w:rsidRPr="007D1E32" w14:paraId="21667C76" w14:textId="77777777" w:rsidTr="009F0199">
        <w:trPr>
          <w:trHeight w:val="413"/>
        </w:trPr>
        <w:tc>
          <w:tcPr>
            <w:tcW w:w="3681" w:type="dxa"/>
            <w:shd w:val="clear" w:color="auto" w:fill="D9D9D9"/>
          </w:tcPr>
          <w:p w14:paraId="53EA21F2" w14:textId="6BAB2C72" w:rsidR="00083524" w:rsidRPr="007D1E32" w:rsidRDefault="00083524" w:rsidP="00083524">
            <w:pPr>
              <w:spacing w:before="120" w:after="120" w:line="360" w:lineRule="auto"/>
              <w:rPr>
                <w:sz w:val="28"/>
                <w:szCs w:val="28"/>
              </w:rPr>
            </w:pPr>
            <w:r w:rsidRPr="007D1E32">
              <w:rPr>
                <w:sz w:val="28"/>
                <w:szCs w:val="28"/>
              </w:rPr>
              <w:t>Lecturer:</w:t>
            </w:r>
          </w:p>
        </w:tc>
        <w:tc>
          <w:tcPr>
            <w:tcW w:w="6946" w:type="dxa"/>
          </w:tcPr>
          <w:p w14:paraId="58251369" w14:textId="1CAAD43C" w:rsidR="00083524" w:rsidRPr="00283D63" w:rsidRDefault="00150D5C" w:rsidP="00083524">
            <w:pPr>
              <w:rPr>
                <w:rFonts w:asciiTheme="majorHAnsi" w:hAnsiTheme="majorHAnsi" w:cstheme="majorHAnsi"/>
                <w:sz w:val="28"/>
                <w:szCs w:val="28"/>
              </w:rPr>
            </w:pPr>
            <w:r w:rsidRPr="00283D63">
              <w:rPr>
                <w:rFonts w:asciiTheme="majorHAnsi" w:hAnsiTheme="majorHAnsi" w:cstheme="majorHAnsi"/>
                <w:sz w:val="28"/>
                <w:szCs w:val="28"/>
              </w:rPr>
              <w:t>LAURA KNIGHT</w:t>
            </w:r>
          </w:p>
        </w:tc>
      </w:tr>
      <w:tr w:rsidR="00083524" w:rsidRPr="007D1E32" w14:paraId="4B705B41" w14:textId="77777777" w:rsidTr="009F0199">
        <w:trPr>
          <w:trHeight w:val="413"/>
        </w:trPr>
        <w:tc>
          <w:tcPr>
            <w:tcW w:w="3681" w:type="dxa"/>
            <w:tcBorders>
              <w:bottom w:val="single" w:sz="4" w:space="0" w:color="000000"/>
            </w:tcBorders>
            <w:shd w:val="clear" w:color="auto" w:fill="D9D9D9"/>
          </w:tcPr>
          <w:p w14:paraId="73C1821F" w14:textId="69D8712C" w:rsidR="00083524" w:rsidRPr="007D1E32" w:rsidRDefault="00083524" w:rsidP="00083524">
            <w:pPr>
              <w:spacing w:before="120" w:after="120" w:line="360" w:lineRule="auto"/>
              <w:rPr>
                <w:sz w:val="28"/>
                <w:szCs w:val="28"/>
              </w:rPr>
            </w:pPr>
            <w:r w:rsidRPr="007D1E32">
              <w:rPr>
                <w:sz w:val="28"/>
                <w:szCs w:val="28"/>
              </w:rPr>
              <w:t>Assignment Title:</w:t>
            </w:r>
          </w:p>
        </w:tc>
        <w:tc>
          <w:tcPr>
            <w:tcW w:w="6946" w:type="dxa"/>
          </w:tcPr>
          <w:p w14:paraId="61A9D57F" w14:textId="576748DF" w:rsidR="00083524" w:rsidRPr="00283D63" w:rsidRDefault="00150D5C" w:rsidP="00083524">
            <w:pPr>
              <w:rPr>
                <w:rFonts w:asciiTheme="majorHAnsi" w:hAnsiTheme="majorHAnsi" w:cstheme="majorHAnsi"/>
                <w:sz w:val="28"/>
                <w:szCs w:val="28"/>
              </w:rPr>
            </w:pPr>
            <w:r w:rsidRPr="00283D63">
              <w:rPr>
                <w:rFonts w:asciiTheme="majorHAnsi" w:hAnsiTheme="majorHAnsi" w:cstheme="majorHAnsi"/>
                <w:sz w:val="28"/>
                <w:szCs w:val="28"/>
              </w:rPr>
              <w:t>ASSIGNMENT 2</w:t>
            </w:r>
          </w:p>
        </w:tc>
      </w:tr>
      <w:tr w:rsidR="00083524" w:rsidRPr="007D1E32" w14:paraId="1C555C2F" w14:textId="77777777" w:rsidTr="009F0199">
        <w:trPr>
          <w:trHeight w:val="413"/>
        </w:trPr>
        <w:tc>
          <w:tcPr>
            <w:tcW w:w="3681" w:type="dxa"/>
            <w:tcBorders>
              <w:bottom w:val="single" w:sz="4" w:space="0" w:color="auto"/>
            </w:tcBorders>
            <w:shd w:val="clear" w:color="auto" w:fill="D9D9D9"/>
          </w:tcPr>
          <w:p w14:paraId="30699898" w14:textId="09C15FD2" w:rsidR="00083524" w:rsidRPr="007D1E32" w:rsidRDefault="001313E1" w:rsidP="00083524">
            <w:pPr>
              <w:spacing w:before="120" w:after="120" w:line="360" w:lineRule="auto"/>
              <w:rPr>
                <w:sz w:val="28"/>
                <w:szCs w:val="28"/>
              </w:rPr>
            </w:pPr>
            <w:r w:rsidRPr="007D1E32">
              <w:rPr>
                <w:sz w:val="28"/>
                <w:szCs w:val="28"/>
              </w:rPr>
              <w:t>Word count</w:t>
            </w:r>
            <w:r w:rsidR="00BD32AB" w:rsidRPr="007D1E32">
              <w:rPr>
                <w:sz w:val="28"/>
                <w:szCs w:val="28"/>
              </w:rPr>
              <w:t xml:space="preserve"> (or equivalent)</w:t>
            </w:r>
            <w:r w:rsidRPr="007D1E32">
              <w:rPr>
                <w:sz w:val="28"/>
                <w:szCs w:val="28"/>
              </w:rPr>
              <w:t xml:space="preserve"> :</w:t>
            </w:r>
          </w:p>
        </w:tc>
        <w:tc>
          <w:tcPr>
            <w:tcW w:w="6946" w:type="dxa"/>
          </w:tcPr>
          <w:p w14:paraId="5E0FB9BC" w14:textId="585681E0" w:rsidR="00083524" w:rsidRPr="00283D63" w:rsidRDefault="00BD32AB" w:rsidP="00083524">
            <w:pPr>
              <w:rPr>
                <w:rFonts w:asciiTheme="majorHAnsi" w:hAnsiTheme="majorHAnsi" w:cstheme="majorHAnsi"/>
                <w:sz w:val="28"/>
                <w:szCs w:val="28"/>
              </w:rPr>
            </w:pPr>
            <w:r w:rsidRPr="00283D63">
              <w:rPr>
                <w:rFonts w:asciiTheme="majorHAnsi" w:hAnsiTheme="majorHAnsi" w:cstheme="majorHAnsi"/>
                <w:sz w:val="28"/>
                <w:szCs w:val="28"/>
              </w:rPr>
              <w:t xml:space="preserve">2000 </w:t>
            </w:r>
          </w:p>
        </w:tc>
      </w:tr>
    </w:tbl>
    <w:p w14:paraId="619E613E" w14:textId="77777777" w:rsidR="007D1E32" w:rsidRDefault="0023529D" w:rsidP="007D1E32">
      <w:pPr>
        <w:spacing w:after="165" w:line="360" w:lineRule="auto"/>
        <w:rPr>
          <w:sz w:val="24"/>
          <w:szCs w:val="24"/>
        </w:rPr>
      </w:pPr>
      <w:r w:rsidRPr="007D1E32">
        <w:rPr>
          <w:sz w:val="28"/>
          <w:szCs w:val="28"/>
        </w:rPr>
        <w:t>Assignment</w:t>
      </w:r>
      <w:r w:rsidR="00150D5C" w:rsidRPr="007D1E32">
        <w:rPr>
          <w:sz w:val="28"/>
          <w:szCs w:val="28"/>
        </w:rPr>
        <w:t xml:space="preserve"> 2</w:t>
      </w:r>
      <w:r w:rsidR="00083524" w:rsidRPr="007D1E32">
        <w:rPr>
          <w:sz w:val="28"/>
          <w:szCs w:val="28"/>
        </w:rPr>
        <w:t xml:space="preserve"> </w:t>
      </w:r>
      <w:r w:rsidR="009529E2" w:rsidRPr="007D1E32">
        <w:rPr>
          <w:sz w:val="28"/>
          <w:szCs w:val="28"/>
        </w:rPr>
        <w:br/>
      </w:r>
    </w:p>
    <w:p w14:paraId="0677ECCB" w14:textId="7281336A" w:rsidR="00B61B7B" w:rsidRPr="007D1E32" w:rsidRDefault="009529E2" w:rsidP="007D1E32">
      <w:pPr>
        <w:spacing w:after="165" w:line="360" w:lineRule="auto"/>
        <w:rPr>
          <w:sz w:val="28"/>
          <w:szCs w:val="28"/>
        </w:rPr>
      </w:pPr>
      <w:r>
        <w:rPr>
          <w:sz w:val="24"/>
          <w:szCs w:val="24"/>
        </w:rPr>
        <w:t>Statement of Confirmation of Authenticity</w:t>
      </w:r>
    </w:p>
    <w:p w14:paraId="10061F2B" w14:textId="0A59E4B5" w:rsidR="00B61B7B" w:rsidRDefault="009529E2">
      <w:pPr>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83524">
        <w:rPr>
          <w:sz w:val="24"/>
          <w:szCs w:val="24"/>
        </w:rPr>
        <w:t xml:space="preserve"> </w:t>
      </w:r>
      <w:r>
        <w:rPr>
          <w:sz w:val="24"/>
          <w:szCs w:val="24"/>
        </w:rPr>
        <w:t>Attention is drawn to the plagiarism and unfair practice policies of both the University and of ILM.</w:t>
      </w:r>
    </w:p>
    <w:bookmarkStart w:id="0" w:name="_Toc512285724" w:displacedByCustomXml="next"/>
    <w:bookmarkStart w:id="1" w:name="_Toc509481826" w:displacedByCustomXml="next"/>
    <w:sdt>
      <w:sdtPr>
        <w:rPr>
          <w:rFonts w:eastAsiaTheme="minorHAnsi"/>
        </w:rPr>
        <w:id w:val="401494223"/>
        <w:docPartObj>
          <w:docPartGallery w:val="Cover Pages"/>
          <w:docPartUnique/>
        </w:docPartObj>
      </w:sdtPr>
      <w:sdtEndPr>
        <w:rPr>
          <w:rFonts w:ascii="Times New Roman" w:eastAsiaTheme="minorEastAsia" w:hAnsi="Times New Roman" w:cs="Times New Roman"/>
          <w:sz w:val="28"/>
          <w:szCs w:val="28"/>
        </w:rPr>
      </w:sdtEndPr>
      <w:sdtContent>
        <w:p w14:paraId="32C48727" w14:textId="3615AABD" w:rsidR="00083524" w:rsidRDefault="00083524" w:rsidP="00083524">
          <w:pPr>
            <w:pStyle w:val="NoSpacing"/>
          </w:pPr>
          <w:r>
            <w:rPr>
              <w:noProof/>
            </w:rPr>
            <mc:AlternateContent>
              <mc:Choice Requires="wps">
                <w:drawing>
                  <wp:anchor distT="0" distB="0" distL="114300" distR="114300" simplePos="0" relativeHeight="251661312" behindDoc="0" locked="0" layoutInCell="1" allowOverlap="1" wp14:anchorId="6A71E5B9" wp14:editId="601342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773F3D"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71E5B9"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773F3D"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v:textbox>
                    <w10:wrap anchorx="page" anchory="page"/>
                  </v:shape>
                </w:pict>
              </mc:Fallback>
            </mc:AlternateContent>
          </w:r>
        </w:p>
        <w:p w14:paraId="3881A64E" w14:textId="4C3C207E" w:rsidR="00083524" w:rsidRPr="00F32CAC" w:rsidRDefault="00083524" w:rsidP="00F32CAC">
          <w:pPr>
            <w:pStyle w:val="NoSpacing"/>
            <w:jc w:val="right"/>
            <w:rPr>
              <w:color w:val="FFFFFF" w:themeColor="background1"/>
              <w:sz w:val="28"/>
              <w:szCs w:val="28"/>
            </w:rPr>
          </w:pPr>
          <w:r>
            <w:rPr>
              <w:rFonts w:ascii="Times New Roman" w:hAnsi="Times New Roman" w:cs="Times New Roman"/>
              <w:sz w:val="28"/>
              <w:szCs w:val="28"/>
            </w:rPr>
            <w:br w:type="page"/>
          </w: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EndPr/>
            <w:sdtContent>
              <w:r w:rsidR="000A5E16">
                <w:rPr>
                  <w:color w:val="FFFFFF" w:themeColor="background1"/>
                  <w:sz w:val="28"/>
                  <w:szCs w:val="28"/>
                </w:rPr>
                <w:t xml:space="preserve">     </w:t>
              </w:r>
            </w:sdtContent>
          </w:sdt>
        </w:p>
      </w:sdtContent>
    </w:sdt>
    <w:p w14:paraId="42C75505" w14:textId="5373C633" w:rsidR="00692B70" w:rsidRPr="003D06C4" w:rsidRDefault="00692B70" w:rsidP="00692B70">
      <w:pPr>
        <w:pStyle w:val="TOCHeading"/>
        <w:rPr>
          <w:b/>
          <w:bCs/>
          <w:color w:val="auto"/>
        </w:rPr>
      </w:pPr>
      <w:bookmarkStart w:id="2" w:name="_gjdgxs" w:colFirst="0" w:colLast="0"/>
      <w:bookmarkEnd w:id="1"/>
      <w:bookmarkEnd w:id="0"/>
      <w:bookmarkEnd w:id="2"/>
      <w:r w:rsidRPr="003D06C4">
        <w:rPr>
          <w:b/>
          <w:bCs/>
          <w:color w:val="auto"/>
        </w:rPr>
        <w:t>Table of Contents</w:t>
      </w:r>
    </w:p>
    <w:p w14:paraId="74158957" w14:textId="77777777" w:rsidR="00692B70" w:rsidRPr="002B0E14" w:rsidRDefault="00692B70" w:rsidP="00692B70">
      <w:pPr>
        <w:pStyle w:val="TOC1"/>
        <w:tabs>
          <w:tab w:val="right" w:leader="dot" w:pos="9350"/>
        </w:tabs>
        <w:rPr>
          <w:rFonts w:eastAsia="Times New Roman" w:cs="Arial"/>
          <w:i/>
          <w:iCs/>
          <w:noProof/>
          <w:color w:val="1F497D" w:themeColor="text2"/>
        </w:rPr>
      </w:pPr>
      <w:r w:rsidRPr="002B0E14">
        <w:rPr>
          <w:rFonts w:cs="Calibri"/>
          <w:b/>
          <w:bCs/>
          <w:i/>
          <w:iCs/>
          <w:color w:val="1F497D" w:themeColor="text2"/>
          <w:sz w:val="24"/>
          <w:szCs w:val="24"/>
        </w:rPr>
        <w:fldChar w:fldCharType="begin"/>
      </w:r>
      <w:r w:rsidRPr="002B0E14">
        <w:rPr>
          <w:color w:val="1F497D" w:themeColor="text2"/>
        </w:rPr>
        <w:instrText xml:space="preserve"> TOC \o "1-3" \h \z \u </w:instrText>
      </w:r>
      <w:r w:rsidRPr="002B0E14">
        <w:rPr>
          <w:rFonts w:cs="Calibri"/>
          <w:b/>
          <w:bCs/>
          <w:i/>
          <w:iCs/>
          <w:color w:val="1F497D" w:themeColor="text2"/>
          <w:sz w:val="24"/>
          <w:szCs w:val="24"/>
        </w:rPr>
        <w:fldChar w:fldCharType="separate"/>
      </w:r>
      <w:hyperlink w:anchor="_Toc67908787" w:history="1">
        <w:r w:rsidRPr="002B0E14">
          <w:rPr>
            <w:rStyle w:val="Hyperlink"/>
            <w:rFonts w:ascii="Times New Roman" w:hAnsi="Times New Roman"/>
            <w:b/>
            <w:bCs/>
            <w:smallCaps/>
            <w:noProof/>
            <w:color w:val="1F497D" w:themeColor="text2"/>
            <w:spacing w:val="5"/>
            <w:sz w:val="28"/>
            <w:szCs w:val="28"/>
          </w:rPr>
          <w:t>Part 1</w:t>
        </w:r>
        <w:r w:rsidRPr="002B0E14">
          <w:rPr>
            <w:noProof/>
            <w:webHidden/>
            <w:color w:val="1F497D" w:themeColor="text2"/>
          </w:rPr>
          <w:tab/>
        </w:r>
        <w:r w:rsidRPr="002B0E14">
          <w:rPr>
            <w:i/>
            <w:iCs/>
            <w:noProof/>
            <w:webHidden/>
            <w:color w:val="1F497D" w:themeColor="text2"/>
          </w:rPr>
          <w:fldChar w:fldCharType="begin"/>
        </w:r>
        <w:r w:rsidRPr="002B0E14">
          <w:rPr>
            <w:noProof/>
            <w:webHidden/>
            <w:color w:val="1F497D" w:themeColor="text2"/>
          </w:rPr>
          <w:instrText xml:space="preserve"> PAGEREF _Toc67908787 \h </w:instrText>
        </w:r>
        <w:r w:rsidRPr="002B0E14">
          <w:rPr>
            <w:i/>
            <w:iCs/>
            <w:noProof/>
            <w:webHidden/>
            <w:color w:val="1F497D" w:themeColor="text2"/>
          </w:rPr>
        </w:r>
        <w:r w:rsidRPr="002B0E14">
          <w:rPr>
            <w:i/>
            <w:iCs/>
            <w:noProof/>
            <w:webHidden/>
            <w:color w:val="1F497D" w:themeColor="text2"/>
          </w:rPr>
          <w:fldChar w:fldCharType="separate"/>
        </w:r>
        <w:r w:rsidRPr="002B0E14">
          <w:rPr>
            <w:noProof/>
            <w:webHidden/>
            <w:color w:val="1F497D" w:themeColor="text2"/>
          </w:rPr>
          <w:t>2</w:t>
        </w:r>
        <w:r w:rsidRPr="002B0E14">
          <w:rPr>
            <w:i/>
            <w:iCs/>
            <w:noProof/>
            <w:webHidden/>
            <w:color w:val="1F497D" w:themeColor="text2"/>
          </w:rPr>
          <w:fldChar w:fldCharType="end"/>
        </w:r>
      </w:hyperlink>
    </w:p>
    <w:p w14:paraId="7942B75A" w14:textId="1E0A4C8D"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88" w:history="1">
        <w:r w:rsidR="00692B70" w:rsidRPr="002B0E14">
          <w:rPr>
            <w:rStyle w:val="Hyperlink"/>
            <w:rFonts w:ascii="Times New Roman" w:hAnsi="Times New Roman"/>
            <w:b/>
            <w:bCs/>
            <w:noProof/>
            <w:color w:val="1F497D" w:themeColor="text2"/>
          </w:rPr>
          <w:t>1.</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INTRODUCTION:</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_Toc67908788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2</w:t>
        </w:r>
        <w:r w:rsidR="00692B70" w:rsidRPr="002B0E14">
          <w:rPr>
            <w:b/>
            <w:bCs/>
            <w:i/>
            <w:iCs/>
            <w:noProof/>
            <w:webHidden/>
            <w:color w:val="1F497D" w:themeColor="text2"/>
          </w:rPr>
          <w:fldChar w:fldCharType="end"/>
        </w:r>
      </w:hyperlink>
    </w:p>
    <w:p w14:paraId="0F80F581" w14:textId="77777777"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89" w:history="1">
        <w:r w:rsidR="00692B70" w:rsidRPr="002B0E14">
          <w:rPr>
            <w:rStyle w:val="Hyperlink"/>
            <w:rFonts w:ascii="Times New Roman" w:hAnsi="Times New Roman"/>
            <w:b/>
            <w:bCs/>
            <w:noProof/>
            <w:color w:val="1F497D" w:themeColor="text2"/>
          </w:rPr>
          <w:t>2.</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CAPACITY BASED TEST UNDER MENTAL ACT 2005:</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_Toc67908789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3</w:t>
        </w:r>
        <w:r w:rsidR="00692B70" w:rsidRPr="002B0E14">
          <w:rPr>
            <w:b/>
            <w:bCs/>
            <w:i/>
            <w:iCs/>
            <w:noProof/>
            <w:webHidden/>
            <w:color w:val="1F497D" w:themeColor="text2"/>
          </w:rPr>
          <w:fldChar w:fldCharType="end"/>
        </w:r>
      </w:hyperlink>
    </w:p>
    <w:p w14:paraId="61570870" w14:textId="77777777" w:rsidR="00692B70" w:rsidRPr="002B0E14" w:rsidRDefault="00773F3D" w:rsidP="00692B70">
      <w:pPr>
        <w:pStyle w:val="TOC2"/>
        <w:tabs>
          <w:tab w:val="left" w:pos="720"/>
          <w:tab w:val="right" w:leader="dot" w:pos="9350"/>
        </w:tabs>
        <w:rPr>
          <w:rFonts w:eastAsia="Times New Roman" w:cs="Arial"/>
          <w:b/>
          <w:bCs/>
          <w:noProof/>
          <w:color w:val="1F497D" w:themeColor="text2"/>
          <w:sz w:val="24"/>
          <w:szCs w:val="24"/>
        </w:rPr>
      </w:pPr>
      <w:hyperlink w:anchor="_Toc67908790" w:history="1">
        <w:r w:rsidR="00692B70" w:rsidRPr="002B0E14">
          <w:rPr>
            <w:rStyle w:val="Hyperlink"/>
            <w:rFonts w:ascii="Times New Roman" w:hAnsi="Times New Roman"/>
            <w:b/>
            <w:bCs/>
            <w:noProof/>
            <w:color w:val="1F497D" w:themeColor="text2"/>
          </w:rPr>
          <w:t>i.</w:t>
        </w:r>
        <w:r w:rsidR="00692B70" w:rsidRPr="002B0E14">
          <w:rPr>
            <w:rFonts w:eastAsia="Times New Roman" w:cs="Arial"/>
            <w:b/>
            <w:bCs/>
            <w:noProof/>
            <w:color w:val="1F497D" w:themeColor="text2"/>
            <w:sz w:val="24"/>
            <w:szCs w:val="24"/>
          </w:rPr>
          <w:tab/>
        </w:r>
        <w:r w:rsidR="00692B70" w:rsidRPr="002B0E14">
          <w:rPr>
            <w:rStyle w:val="Hyperlink"/>
            <w:rFonts w:ascii="Times New Roman" w:hAnsi="Times New Roman"/>
            <w:b/>
            <w:bCs/>
            <w:noProof/>
            <w:color w:val="1F497D" w:themeColor="text2"/>
          </w:rPr>
          <w:t>The M'Naghten Rule:</w:t>
        </w:r>
        <w:r w:rsidR="00692B70" w:rsidRPr="002B0E14">
          <w:rPr>
            <w:b/>
            <w:bCs/>
            <w:noProof/>
            <w:webHidden/>
            <w:color w:val="1F497D" w:themeColor="text2"/>
          </w:rPr>
          <w:tab/>
        </w:r>
        <w:r w:rsidR="00692B70" w:rsidRPr="002B0E14">
          <w:rPr>
            <w:b/>
            <w:bCs/>
            <w:noProof/>
            <w:webHidden/>
            <w:color w:val="1F497D" w:themeColor="text2"/>
          </w:rPr>
          <w:fldChar w:fldCharType="begin"/>
        </w:r>
        <w:r w:rsidR="00692B70" w:rsidRPr="002B0E14">
          <w:rPr>
            <w:b/>
            <w:bCs/>
            <w:noProof/>
            <w:webHidden/>
            <w:color w:val="1F497D" w:themeColor="text2"/>
          </w:rPr>
          <w:instrText xml:space="preserve"> PAGEREF _Toc67908790 \h </w:instrText>
        </w:r>
        <w:r w:rsidR="00692B70" w:rsidRPr="002B0E14">
          <w:rPr>
            <w:b/>
            <w:bCs/>
            <w:noProof/>
            <w:webHidden/>
            <w:color w:val="1F497D" w:themeColor="text2"/>
          </w:rPr>
        </w:r>
        <w:r w:rsidR="00692B70" w:rsidRPr="002B0E14">
          <w:rPr>
            <w:b/>
            <w:bCs/>
            <w:noProof/>
            <w:webHidden/>
            <w:color w:val="1F497D" w:themeColor="text2"/>
          </w:rPr>
          <w:fldChar w:fldCharType="separate"/>
        </w:r>
        <w:r w:rsidR="00692B70" w:rsidRPr="002B0E14">
          <w:rPr>
            <w:b/>
            <w:bCs/>
            <w:noProof/>
            <w:webHidden/>
            <w:color w:val="1F497D" w:themeColor="text2"/>
          </w:rPr>
          <w:t>3</w:t>
        </w:r>
        <w:r w:rsidR="00692B70" w:rsidRPr="002B0E14">
          <w:rPr>
            <w:b/>
            <w:bCs/>
            <w:noProof/>
            <w:webHidden/>
            <w:color w:val="1F497D" w:themeColor="text2"/>
          </w:rPr>
          <w:fldChar w:fldCharType="end"/>
        </w:r>
      </w:hyperlink>
    </w:p>
    <w:p w14:paraId="62EBA1D4" w14:textId="77777777" w:rsidR="00692B70" w:rsidRPr="002B0E14" w:rsidRDefault="00773F3D" w:rsidP="00692B70">
      <w:pPr>
        <w:pStyle w:val="TOC2"/>
        <w:tabs>
          <w:tab w:val="left" w:pos="720"/>
          <w:tab w:val="right" w:leader="dot" w:pos="9350"/>
        </w:tabs>
        <w:rPr>
          <w:rFonts w:eastAsia="Times New Roman" w:cs="Arial"/>
          <w:b/>
          <w:bCs/>
          <w:noProof/>
          <w:color w:val="1F497D" w:themeColor="text2"/>
          <w:sz w:val="24"/>
          <w:szCs w:val="24"/>
        </w:rPr>
      </w:pPr>
      <w:hyperlink w:anchor="_Toc67908791" w:history="1">
        <w:r w:rsidR="00692B70" w:rsidRPr="002B0E14">
          <w:rPr>
            <w:rStyle w:val="Hyperlink"/>
            <w:rFonts w:ascii="Times New Roman" w:hAnsi="Times New Roman"/>
            <w:b/>
            <w:bCs/>
            <w:noProof/>
            <w:color w:val="1F497D" w:themeColor="text2"/>
          </w:rPr>
          <w:t>ii.</w:t>
        </w:r>
        <w:r w:rsidR="00692B70" w:rsidRPr="002B0E14">
          <w:rPr>
            <w:rFonts w:eastAsia="Times New Roman" w:cs="Arial"/>
            <w:b/>
            <w:bCs/>
            <w:noProof/>
            <w:color w:val="1F497D" w:themeColor="text2"/>
            <w:sz w:val="24"/>
            <w:szCs w:val="24"/>
          </w:rPr>
          <w:tab/>
        </w:r>
        <w:r w:rsidR="00692B70" w:rsidRPr="002B0E14">
          <w:rPr>
            <w:rStyle w:val="Hyperlink"/>
            <w:rFonts w:ascii="Times New Roman" w:hAnsi="Times New Roman"/>
            <w:b/>
            <w:bCs/>
            <w:noProof/>
            <w:color w:val="1F497D" w:themeColor="text2"/>
          </w:rPr>
          <w:t>Overview of the M'Naghten Rule</w:t>
        </w:r>
        <w:r w:rsidR="00692B70" w:rsidRPr="002B0E14">
          <w:rPr>
            <w:b/>
            <w:bCs/>
            <w:noProof/>
            <w:webHidden/>
            <w:color w:val="1F497D" w:themeColor="text2"/>
          </w:rPr>
          <w:tab/>
        </w:r>
        <w:r w:rsidR="00692B70" w:rsidRPr="002B0E14">
          <w:rPr>
            <w:b/>
            <w:bCs/>
            <w:noProof/>
            <w:webHidden/>
            <w:color w:val="1F497D" w:themeColor="text2"/>
          </w:rPr>
          <w:fldChar w:fldCharType="begin"/>
        </w:r>
        <w:r w:rsidR="00692B70" w:rsidRPr="002B0E14">
          <w:rPr>
            <w:b/>
            <w:bCs/>
            <w:noProof/>
            <w:webHidden/>
            <w:color w:val="1F497D" w:themeColor="text2"/>
          </w:rPr>
          <w:instrText xml:space="preserve"> PAGEREF _Toc67908791 \h </w:instrText>
        </w:r>
        <w:r w:rsidR="00692B70" w:rsidRPr="002B0E14">
          <w:rPr>
            <w:b/>
            <w:bCs/>
            <w:noProof/>
            <w:webHidden/>
            <w:color w:val="1F497D" w:themeColor="text2"/>
          </w:rPr>
        </w:r>
        <w:r w:rsidR="00692B70" w:rsidRPr="002B0E14">
          <w:rPr>
            <w:b/>
            <w:bCs/>
            <w:noProof/>
            <w:webHidden/>
            <w:color w:val="1F497D" w:themeColor="text2"/>
          </w:rPr>
          <w:fldChar w:fldCharType="separate"/>
        </w:r>
        <w:r w:rsidR="00692B70" w:rsidRPr="002B0E14">
          <w:rPr>
            <w:b/>
            <w:bCs/>
            <w:noProof/>
            <w:webHidden/>
            <w:color w:val="1F497D" w:themeColor="text2"/>
          </w:rPr>
          <w:t>3</w:t>
        </w:r>
        <w:r w:rsidR="00692B70" w:rsidRPr="002B0E14">
          <w:rPr>
            <w:b/>
            <w:bCs/>
            <w:noProof/>
            <w:webHidden/>
            <w:color w:val="1F497D" w:themeColor="text2"/>
          </w:rPr>
          <w:fldChar w:fldCharType="end"/>
        </w:r>
      </w:hyperlink>
    </w:p>
    <w:p w14:paraId="04AC2680" w14:textId="77777777" w:rsidR="00692B70" w:rsidRPr="002B0E14" w:rsidRDefault="00773F3D" w:rsidP="00692B70">
      <w:pPr>
        <w:pStyle w:val="TOC2"/>
        <w:tabs>
          <w:tab w:val="left" w:pos="720"/>
          <w:tab w:val="right" w:leader="dot" w:pos="9350"/>
        </w:tabs>
        <w:rPr>
          <w:rFonts w:eastAsia="Times New Roman" w:cs="Arial"/>
          <w:b/>
          <w:bCs/>
          <w:noProof/>
          <w:color w:val="1F497D" w:themeColor="text2"/>
          <w:sz w:val="24"/>
          <w:szCs w:val="24"/>
        </w:rPr>
      </w:pPr>
      <w:hyperlink w:anchor="_Toc67908792" w:history="1">
        <w:r w:rsidR="00692B70" w:rsidRPr="002B0E14">
          <w:rPr>
            <w:rStyle w:val="Hyperlink"/>
            <w:rFonts w:ascii="Times New Roman" w:hAnsi="Times New Roman"/>
            <w:b/>
            <w:bCs/>
            <w:noProof/>
            <w:color w:val="1F497D" w:themeColor="text2"/>
          </w:rPr>
          <w:t>iii.</w:t>
        </w:r>
        <w:r w:rsidR="00692B70" w:rsidRPr="002B0E14">
          <w:rPr>
            <w:rFonts w:eastAsia="Times New Roman" w:cs="Arial"/>
            <w:b/>
            <w:bCs/>
            <w:noProof/>
            <w:color w:val="1F497D" w:themeColor="text2"/>
            <w:sz w:val="24"/>
            <w:szCs w:val="24"/>
          </w:rPr>
          <w:tab/>
        </w:r>
        <w:r w:rsidR="00692B70" w:rsidRPr="002B0E14">
          <w:rPr>
            <w:rStyle w:val="Hyperlink"/>
            <w:rFonts w:ascii="Times New Roman" w:hAnsi="Times New Roman"/>
            <w:b/>
            <w:bCs/>
            <w:noProof/>
            <w:color w:val="1F497D" w:themeColor="text2"/>
          </w:rPr>
          <w:t>Previous cases: R v Johnson (2007) and R  v Windle (1953):</w:t>
        </w:r>
        <w:r w:rsidR="00692B70" w:rsidRPr="002B0E14">
          <w:rPr>
            <w:b/>
            <w:bCs/>
            <w:noProof/>
            <w:webHidden/>
            <w:color w:val="1F497D" w:themeColor="text2"/>
          </w:rPr>
          <w:tab/>
        </w:r>
        <w:r w:rsidR="00692B70" w:rsidRPr="002B0E14">
          <w:rPr>
            <w:b/>
            <w:bCs/>
            <w:noProof/>
            <w:webHidden/>
            <w:color w:val="1F497D" w:themeColor="text2"/>
          </w:rPr>
          <w:fldChar w:fldCharType="begin"/>
        </w:r>
        <w:r w:rsidR="00692B70" w:rsidRPr="002B0E14">
          <w:rPr>
            <w:b/>
            <w:bCs/>
            <w:noProof/>
            <w:webHidden/>
            <w:color w:val="1F497D" w:themeColor="text2"/>
          </w:rPr>
          <w:instrText xml:space="preserve"> PAGEREF _Toc67908792 \h </w:instrText>
        </w:r>
        <w:r w:rsidR="00692B70" w:rsidRPr="002B0E14">
          <w:rPr>
            <w:b/>
            <w:bCs/>
            <w:noProof/>
            <w:webHidden/>
            <w:color w:val="1F497D" w:themeColor="text2"/>
          </w:rPr>
        </w:r>
        <w:r w:rsidR="00692B70" w:rsidRPr="002B0E14">
          <w:rPr>
            <w:b/>
            <w:bCs/>
            <w:noProof/>
            <w:webHidden/>
            <w:color w:val="1F497D" w:themeColor="text2"/>
          </w:rPr>
          <w:fldChar w:fldCharType="separate"/>
        </w:r>
        <w:r w:rsidR="00692B70" w:rsidRPr="002B0E14">
          <w:rPr>
            <w:b/>
            <w:bCs/>
            <w:noProof/>
            <w:webHidden/>
            <w:color w:val="1F497D" w:themeColor="text2"/>
          </w:rPr>
          <w:t>4</w:t>
        </w:r>
        <w:r w:rsidR="00692B70" w:rsidRPr="002B0E14">
          <w:rPr>
            <w:b/>
            <w:bCs/>
            <w:noProof/>
            <w:webHidden/>
            <w:color w:val="1F497D" w:themeColor="text2"/>
          </w:rPr>
          <w:fldChar w:fldCharType="end"/>
        </w:r>
      </w:hyperlink>
    </w:p>
    <w:p w14:paraId="5B4D9FDD" w14:textId="77777777"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93" w:history="1">
        <w:r w:rsidR="00692B70" w:rsidRPr="002B0E14">
          <w:rPr>
            <w:rStyle w:val="Hyperlink"/>
            <w:rFonts w:ascii="Times New Roman" w:hAnsi="Times New Roman"/>
            <w:b/>
            <w:bCs/>
            <w:noProof/>
            <w:color w:val="1F497D" w:themeColor="text2"/>
          </w:rPr>
          <w:t>3.</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CONCLUSION:</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_Toc67908793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5</w:t>
        </w:r>
        <w:r w:rsidR="00692B70" w:rsidRPr="002B0E14">
          <w:rPr>
            <w:b/>
            <w:bCs/>
            <w:i/>
            <w:iCs/>
            <w:noProof/>
            <w:webHidden/>
            <w:color w:val="1F497D" w:themeColor="text2"/>
          </w:rPr>
          <w:fldChar w:fldCharType="end"/>
        </w:r>
      </w:hyperlink>
    </w:p>
    <w:p w14:paraId="4BFAD74C" w14:textId="77777777" w:rsidR="00692B70" w:rsidRPr="002B0E14" w:rsidRDefault="00773F3D" w:rsidP="00692B70">
      <w:pPr>
        <w:pStyle w:val="TOC1"/>
        <w:tabs>
          <w:tab w:val="right" w:leader="dot" w:pos="9350"/>
        </w:tabs>
        <w:rPr>
          <w:rFonts w:eastAsia="Times New Roman" w:cs="Arial"/>
          <w:b/>
          <w:bCs/>
          <w:i/>
          <w:iCs/>
          <w:noProof/>
          <w:color w:val="1F497D" w:themeColor="text2"/>
          <w:sz w:val="28"/>
          <w:szCs w:val="28"/>
        </w:rPr>
      </w:pPr>
      <w:hyperlink w:anchor="_Toc67908794" w:history="1">
        <w:r w:rsidR="00692B70" w:rsidRPr="002B0E14">
          <w:rPr>
            <w:rStyle w:val="Hyperlink"/>
            <w:rFonts w:ascii="Times New Roman" w:hAnsi="Times New Roman" w:cs="Times New Roman"/>
            <w:b/>
            <w:bCs/>
            <w:smallCaps/>
            <w:noProof/>
            <w:color w:val="1F497D" w:themeColor="text2"/>
            <w:spacing w:val="5"/>
            <w:sz w:val="28"/>
            <w:szCs w:val="28"/>
          </w:rPr>
          <w:t>Part 2</w:t>
        </w:r>
        <w:r w:rsidR="00692B70" w:rsidRPr="002B0E14">
          <w:rPr>
            <w:b/>
            <w:bCs/>
            <w:noProof/>
            <w:webHidden/>
            <w:color w:val="1F497D" w:themeColor="text2"/>
            <w:sz w:val="28"/>
            <w:szCs w:val="28"/>
          </w:rPr>
          <w:tab/>
        </w:r>
        <w:r w:rsidR="00692B70" w:rsidRPr="002B0E14">
          <w:rPr>
            <w:b/>
            <w:bCs/>
            <w:i/>
            <w:iCs/>
            <w:noProof/>
            <w:webHidden/>
            <w:color w:val="1F497D" w:themeColor="text2"/>
            <w:sz w:val="28"/>
            <w:szCs w:val="28"/>
          </w:rPr>
          <w:fldChar w:fldCharType="begin"/>
        </w:r>
        <w:r w:rsidR="00692B70" w:rsidRPr="002B0E14">
          <w:rPr>
            <w:b/>
            <w:bCs/>
            <w:noProof/>
            <w:webHidden/>
            <w:color w:val="1F497D" w:themeColor="text2"/>
            <w:sz w:val="28"/>
            <w:szCs w:val="28"/>
          </w:rPr>
          <w:instrText xml:space="preserve"> PAGEREF _Toc67908794 \h </w:instrText>
        </w:r>
        <w:r w:rsidR="00692B70" w:rsidRPr="002B0E14">
          <w:rPr>
            <w:b/>
            <w:bCs/>
            <w:i/>
            <w:iCs/>
            <w:noProof/>
            <w:webHidden/>
            <w:color w:val="1F497D" w:themeColor="text2"/>
            <w:sz w:val="28"/>
            <w:szCs w:val="28"/>
          </w:rPr>
        </w:r>
        <w:r w:rsidR="00692B70" w:rsidRPr="002B0E14">
          <w:rPr>
            <w:b/>
            <w:bCs/>
            <w:i/>
            <w:iCs/>
            <w:noProof/>
            <w:webHidden/>
            <w:color w:val="1F497D" w:themeColor="text2"/>
            <w:sz w:val="28"/>
            <w:szCs w:val="28"/>
          </w:rPr>
          <w:fldChar w:fldCharType="separate"/>
        </w:r>
        <w:r w:rsidR="00692B70" w:rsidRPr="002B0E14">
          <w:rPr>
            <w:b/>
            <w:bCs/>
            <w:noProof/>
            <w:webHidden/>
            <w:color w:val="1F497D" w:themeColor="text2"/>
            <w:sz w:val="28"/>
            <w:szCs w:val="28"/>
          </w:rPr>
          <w:t>5</w:t>
        </w:r>
        <w:r w:rsidR="00692B70" w:rsidRPr="002B0E14">
          <w:rPr>
            <w:b/>
            <w:bCs/>
            <w:i/>
            <w:iCs/>
            <w:noProof/>
            <w:webHidden/>
            <w:color w:val="1F497D" w:themeColor="text2"/>
            <w:sz w:val="28"/>
            <w:szCs w:val="28"/>
          </w:rPr>
          <w:fldChar w:fldCharType="end"/>
        </w:r>
      </w:hyperlink>
    </w:p>
    <w:p w14:paraId="71225BAB" w14:textId="77777777"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95" w:history="1">
        <w:r w:rsidR="00692B70" w:rsidRPr="002B0E14">
          <w:rPr>
            <w:rStyle w:val="Hyperlink"/>
            <w:rFonts w:ascii="Times New Roman" w:hAnsi="Times New Roman"/>
            <w:b/>
            <w:bCs/>
            <w:noProof/>
            <w:color w:val="1F497D" w:themeColor="text2"/>
          </w:rPr>
          <w:t>1.</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CASE SUMMARY:</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_Toc67908795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5</w:t>
        </w:r>
        <w:r w:rsidR="00692B70" w:rsidRPr="002B0E14">
          <w:rPr>
            <w:b/>
            <w:bCs/>
            <w:i/>
            <w:iCs/>
            <w:noProof/>
            <w:webHidden/>
            <w:color w:val="1F497D" w:themeColor="text2"/>
          </w:rPr>
          <w:fldChar w:fldCharType="end"/>
        </w:r>
      </w:hyperlink>
    </w:p>
    <w:p w14:paraId="4E239FE3" w14:textId="77777777"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96" w:history="1">
        <w:r w:rsidR="00692B70" w:rsidRPr="002B0E14">
          <w:rPr>
            <w:rStyle w:val="Hyperlink"/>
            <w:rFonts w:ascii="Times New Roman" w:hAnsi="Times New Roman"/>
            <w:b/>
            <w:bCs/>
            <w:noProof/>
            <w:color w:val="1F497D" w:themeColor="text2"/>
          </w:rPr>
          <w:t>2.</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INDIRECT INTENTION:</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_Toc67908796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6</w:t>
        </w:r>
        <w:r w:rsidR="00692B70" w:rsidRPr="002B0E14">
          <w:rPr>
            <w:b/>
            <w:bCs/>
            <w:i/>
            <w:iCs/>
            <w:noProof/>
            <w:webHidden/>
            <w:color w:val="1F497D" w:themeColor="text2"/>
          </w:rPr>
          <w:fldChar w:fldCharType="end"/>
        </w:r>
      </w:hyperlink>
    </w:p>
    <w:p w14:paraId="47B9AF8A" w14:textId="77777777" w:rsidR="00692B70" w:rsidRPr="002B0E14" w:rsidRDefault="00773F3D" w:rsidP="00692B70">
      <w:pPr>
        <w:pStyle w:val="TOC2"/>
        <w:tabs>
          <w:tab w:val="left" w:pos="720"/>
          <w:tab w:val="right" w:leader="dot" w:pos="9350"/>
        </w:tabs>
        <w:rPr>
          <w:rFonts w:eastAsia="Times New Roman" w:cs="Arial"/>
          <w:b/>
          <w:bCs/>
          <w:noProof/>
          <w:color w:val="1F497D" w:themeColor="text2"/>
          <w:sz w:val="24"/>
          <w:szCs w:val="24"/>
        </w:rPr>
      </w:pPr>
      <w:hyperlink w:anchor="_Toc67908797" w:history="1">
        <w:r w:rsidR="00692B70" w:rsidRPr="002B0E14">
          <w:rPr>
            <w:rStyle w:val="Hyperlink"/>
            <w:rFonts w:ascii="Times New Roman" w:hAnsi="Times New Roman"/>
            <w:b/>
            <w:bCs/>
            <w:noProof/>
            <w:color w:val="1F497D" w:themeColor="text2"/>
          </w:rPr>
          <w:t>i.</w:t>
        </w:r>
        <w:r w:rsidR="00692B70" w:rsidRPr="002B0E14">
          <w:rPr>
            <w:rFonts w:eastAsia="Times New Roman" w:cs="Arial"/>
            <w:b/>
            <w:bCs/>
            <w:noProof/>
            <w:color w:val="1F497D" w:themeColor="text2"/>
            <w:sz w:val="24"/>
            <w:szCs w:val="24"/>
          </w:rPr>
          <w:tab/>
        </w:r>
        <w:r w:rsidR="00692B70" w:rsidRPr="002B0E14">
          <w:rPr>
            <w:rStyle w:val="Hyperlink"/>
            <w:rFonts w:ascii="Times New Roman" w:hAnsi="Times New Roman"/>
            <w:b/>
            <w:bCs/>
            <w:noProof/>
            <w:color w:val="1F497D" w:themeColor="text2"/>
          </w:rPr>
          <w:t>R v Woolin (1999) and other similar cases:</w:t>
        </w:r>
        <w:r w:rsidR="00692B70" w:rsidRPr="002B0E14">
          <w:rPr>
            <w:b/>
            <w:bCs/>
            <w:noProof/>
            <w:webHidden/>
            <w:color w:val="1F497D" w:themeColor="text2"/>
          </w:rPr>
          <w:tab/>
        </w:r>
        <w:r w:rsidR="00692B70" w:rsidRPr="002B0E14">
          <w:rPr>
            <w:b/>
            <w:bCs/>
            <w:noProof/>
            <w:webHidden/>
            <w:color w:val="1F497D" w:themeColor="text2"/>
          </w:rPr>
          <w:fldChar w:fldCharType="begin"/>
        </w:r>
        <w:r w:rsidR="00692B70" w:rsidRPr="002B0E14">
          <w:rPr>
            <w:b/>
            <w:bCs/>
            <w:noProof/>
            <w:webHidden/>
            <w:color w:val="1F497D" w:themeColor="text2"/>
          </w:rPr>
          <w:instrText xml:space="preserve"> PAGEREF _Toc67908797 \h </w:instrText>
        </w:r>
        <w:r w:rsidR="00692B70" w:rsidRPr="002B0E14">
          <w:rPr>
            <w:b/>
            <w:bCs/>
            <w:noProof/>
            <w:webHidden/>
            <w:color w:val="1F497D" w:themeColor="text2"/>
          </w:rPr>
        </w:r>
        <w:r w:rsidR="00692B70" w:rsidRPr="002B0E14">
          <w:rPr>
            <w:b/>
            <w:bCs/>
            <w:noProof/>
            <w:webHidden/>
            <w:color w:val="1F497D" w:themeColor="text2"/>
          </w:rPr>
          <w:fldChar w:fldCharType="separate"/>
        </w:r>
        <w:r w:rsidR="00692B70" w:rsidRPr="002B0E14">
          <w:rPr>
            <w:b/>
            <w:bCs/>
            <w:noProof/>
            <w:webHidden/>
            <w:color w:val="1F497D" w:themeColor="text2"/>
          </w:rPr>
          <w:t>6</w:t>
        </w:r>
        <w:r w:rsidR="00692B70" w:rsidRPr="002B0E14">
          <w:rPr>
            <w:b/>
            <w:bCs/>
            <w:noProof/>
            <w:webHidden/>
            <w:color w:val="1F497D" w:themeColor="text2"/>
          </w:rPr>
          <w:fldChar w:fldCharType="end"/>
        </w:r>
      </w:hyperlink>
    </w:p>
    <w:p w14:paraId="39902670" w14:textId="77777777" w:rsidR="00692B70" w:rsidRPr="002B0E14" w:rsidRDefault="00773F3D" w:rsidP="00692B70">
      <w:pPr>
        <w:pStyle w:val="TOC1"/>
        <w:tabs>
          <w:tab w:val="left" w:pos="480"/>
          <w:tab w:val="right" w:leader="dot" w:pos="9350"/>
        </w:tabs>
        <w:rPr>
          <w:rFonts w:eastAsia="Times New Roman" w:cs="Arial"/>
          <w:b/>
          <w:bCs/>
          <w:i/>
          <w:iCs/>
          <w:noProof/>
          <w:color w:val="1F497D" w:themeColor="text2"/>
        </w:rPr>
      </w:pPr>
      <w:hyperlink w:anchor="_Toc67908798" w:history="1">
        <w:r w:rsidR="00692B70" w:rsidRPr="002B0E14">
          <w:rPr>
            <w:rStyle w:val="Hyperlink"/>
            <w:rFonts w:ascii="Times New Roman" w:hAnsi="Times New Roman"/>
            <w:b/>
            <w:bCs/>
            <w:noProof/>
            <w:color w:val="1F497D" w:themeColor="text2"/>
          </w:rPr>
          <w:t>3.</w:t>
        </w:r>
        <w:r w:rsidR="00692B70" w:rsidRPr="002B0E14">
          <w:rPr>
            <w:rFonts w:eastAsia="Times New Roman" w:cs="Arial"/>
            <w:b/>
            <w:bCs/>
            <w:noProof/>
            <w:color w:val="1F497D" w:themeColor="text2"/>
          </w:rPr>
          <w:tab/>
        </w:r>
        <w:r w:rsidR="00692B70" w:rsidRPr="002B0E14">
          <w:rPr>
            <w:rStyle w:val="Hyperlink"/>
            <w:rFonts w:ascii="Times New Roman" w:hAnsi="Times New Roman"/>
            <w:b/>
            <w:bCs/>
            <w:noProof/>
            <w:color w:val="1F497D" w:themeColor="text2"/>
          </w:rPr>
          <w:t>THE FINAL ANALYSIS OF THE GIVEN CASE:</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_Toc67908798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7</w:t>
        </w:r>
        <w:r w:rsidR="00692B70" w:rsidRPr="002B0E14">
          <w:rPr>
            <w:b/>
            <w:bCs/>
            <w:i/>
            <w:iCs/>
            <w:noProof/>
            <w:webHidden/>
            <w:color w:val="1F497D" w:themeColor="text2"/>
          </w:rPr>
          <w:fldChar w:fldCharType="end"/>
        </w:r>
      </w:hyperlink>
    </w:p>
    <w:p w14:paraId="6A1F6057" w14:textId="77777777" w:rsidR="00692B70" w:rsidRPr="002B0E14" w:rsidRDefault="00773F3D" w:rsidP="00692B70">
      <w:pPr>
        <w:pStyle w:val="TOC1"/>
        <w:tabs>
          <w:tab w:val="right" w:leader="dot" w:pos="9350"/>
        </w:tabs>
        <w:rPr>
          <w:rFonts w:eastAsia="Times New Roman" w:cs="Arial"/>
          <w:b/>
          <w:bCs/>
          <w:i/>
          <w:iCs/>
          <w:noProof/>
          <w:color w:val="1F497D" w:themeColor="text2"/>
        </w:rPr>
      </w:pPr>
      <w:hyperlink w:anchor="_Toc67908799" w:history="1">
        <w:r w:rsidR="00692B70" w:rsidRPr="002B0E14">
          <w:rPr>
            <w:rStyle w:val="Hyperlink"/>
            <w:rFonts w:ascii="Times New Roman" w:hAnsi="Times New Roman"/>
            <w:b/>
            <w:bCs/>
            <w:noProof/>
            <w:color w:val="1F497D" w:themeColor="text2"/>
          </w:rPr>
          <w:t>REFERENCES:</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_Toc67908799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8</w:t>
        </w:r>
        <w:r w:rsidR="00692B70" w:rsidRPr="002B0E14">
          <w:rPr>
            <w:b/>
            <w:bCs/>
            <w:i/>
            <w:iCs/>
            <w:noProof/>
            <w:webHidden/>
            <w:color w:val="1F497D" w:themeColor="text2"/>
          </w:rPr>
          <w:fldChar w:fldCharType="end"/>
        </w:r>
      </w:hyperlink>
    </w:p>
    <w:p w14:paraId="50BFD8A6" w14:textId="77777777" w:rsidR="00692B70" w:rsidRPr="002B0E14" w:rsidRDefault="00773F3D" w:rsidP="00692B70">
      <w:pPr>
        <w:pStyle w:val="TOC1"/>
        <w:tabs>
          <w:tab w:val="right" w:leader="dot" w:pos="9350"/>
        </w:tabs>
        <w:rPr>
          <w:rFonts w:eastAsia="Times New Roman" w:cs="Arial"/>
          <w:b/>
          <w:bCs/>
          <w:i/>
          <w:iCs/>
          <w:noProof/>
          <w:color w:val="1F497D" w:themeColor="text2"/>
        </w:rPr>
      </w:pPr>
      <w:hyperlink w:anchor="_Toc67908800" w:history="1">
        <w:r w:rsidR="00692B70" w:rsidRPr="002B0E14">
          <w:rPr>
            <w:rStyle w:val="Hyperlink"/>
            <w:rFonts w:ascii="Times New Roman" w:hAnsi="Times New Roman"/>
            <w:b/>
            <w:bCs/>
            <w:noProof/>
            <w:color w:val="1F497D" w:themeColor="text2"/>
            <w:shd w:val="clear" w:color="auto" w:fill="FFFFFF"/>
          </w:rPr>
          <w:t>Case Law</w:t>
        </w:r>
        <w:r w:rsidR="00692B70" w:rsidRPr="002B0E14">
          <w:rPr>
            <w:b/>
            <w:bCs/>
            <w:noProof/>
            <w:webHidden/>
            <w:color w:val="1F497D" w:themeColor="text2"/>
          </w:rPr>
          <w:tab/>
        </w:r>
        <w:r w:rsidR="00692B70" w:rsidRPr="002B0E14">
          <w:rPr>
            <w:b/>
            <w:bCs/>
            <w:i/>
            <w:iCs/>
            <w:noProof/>
            <w:webHidden/>
            <w:color w:val="1F497D" w:themeColor="text2"/>
          </w:rPr>
          <w:fldChar w:fldCharType="begin"/>
        </w:r>
        <w:r w:rsidR="00692B70" w:rsidRPr="002B0E14">
          <w:rPr>
            <w:b/>
            <w:bCs/>
            <w:noProof/>
            <w:webHidden/>
            <w:color w:val="1F497D" w:themeColor="text2"/>
          </w:rPr>
          <w:instrText xml:space="preserve"> PAGEREF _Toc67908800 \h </w:instrText>
        </w:r>
        <w:r w:rsidR="00692B70" w:rsidRPr="002B0E14">
          <w:rPr>
            <w:b/>
            <w:bCs/>
            <w:i/>
            <w:iCs/>
            <w:noProof/>
            <w:webHidden/>
            <w:color w:val="1F497D" w:themeColor="text2"/>
          </w:rPr>
        </w:r>
        <w:r w:rsidR="00692B70" w:rsidRPr="002B0E14">
          <w:rPr>
            <w:b/>
            <w:bCs/>
            <w:i/>
            <w:iCs/>
            <w:noProof/>
            <w:webHidden/>
            <w:color w:val="1F497D" w:themeColor="text2"/>
          </w:rPr>
          <w:fldChar w:fldCharType="separate"/>
        </w:r>
        <w:r w:rsidR="00692B70" w:rsidRPr="002B0E14">
          <w:rPr>
            <w:b/>
            <w:bCs/>
            <w:noProof/>
            <w:webHidden/>
            <w:color w:val="1F497D" w:themeColor="text2"/>
          </w:rPr>
          <w:t>9</w:t>
        </w:r>
        <w:r w:rsidR="00692B70" w:rsidRPr="002B0E14">
          <w:rPr>
            <w:b/>
            <w:bCs/>
            <w:i/>
            <w:iCs/>
            <w:noProof/>
            <w:webHidden/>
            <w:color w:val="1F497D" w:themeColor="text2"/>
          </w:rPr>
          <w:fldChar w:fldCharType="end"/>
        </w:r>
      </w:hyperlink>
    </w:p>
    <w:p w14:paraId="4E63DCB2" w14:textId="6AE7397C" w:rsidR="00B61B7B" w:rsidRPr="002B0E14" w:rsidRDefault="00692B70" w:rsidP="00692B70">
      <w:pPr>
        <w:rPr>
          <w:color w:val="1F497D" w:themeColor="text2"/>
          <w:sz w:val="24"/>
          <w:szCs w:val="24"/>
        </w:rPr>
      </w:pPr>
      <w:r w:rsidRPr="002B0E14">
        <w:rPr>
          <w:noProof/>
          <w:color w:val="1F497D" w:themeColor="text2"/>
        </w:rPr>
        <w:fldChar w:fldCharType="end"/>
      </w:r>
    </w:p>
    <w:p w14:paraId="681669ED" w14:textId="411B1C0F" w:rsidR="00B61B7B" w:rsidRDefault="00B61B7B">
      <w:pPr>
        <w:jc w:val="center"/>
        <w:rPr>
          <w:color w:val="000000"/>
          <w:sz w:val="24"/>
          <w:szCs w:val="24"/>
          <w:u w:val="single"/>
        </w:rPr>
      </w:pPr>
    </w:p>
    <w:p w14:paraId="1E557585" w14:textId="18FD71BF" w:rsidR="00692B70" w:rsidRPr="00692B70" w:rsidRDefault="0036082D" w:rsidP="0036082D">
      <w:pPr>
        <w:pStyle w:val="Title"/>
        <w:rPr>
          <w:rStyle w:val="BookTitle"/>
          <w:rFonts w:ascii="Times New Roman" w:hAnsi="Times New Roman"/>
          <w:color w:val="000000"/>
          <w:sz w:val="32"/>
          <w:szCs w:val="32"/>
        </w:rPr>
      </w:pPr>
      <w:bookmarkStart w:id="3" w:name="_Toc67908787"/>
      <w:r>
        <w:rPr>
          <w:rStyle w:val="BookTitle"/>
          <w:rFonts w:ascii="Times New Roman" w:hAnsi="Times New Roman"/>
          <w:color w:val="000000"/>
          <w:sz w:val="32"/>
          <w:szCs w:val="32"/>
        </w:rPr>
        <w:t xml:space="preserve">                                        </w:t>
      </w:r>
      <w:r w:rsidR="00692B70" w:rsidRPr="00692B70">
        <w:rPr>
          <w:rStyle w:val="BookTitle"/>
          <w:rFonts w:ascii="Times New Roman" w:hAnsi="Times New Roman"/>
          <w:color w:val="000000"/>
          <w:sz w:val="32"/>
          <w:szCs w:val="32"/>
        </w:rPr>
        <w:t>Part 1</w:t>
      </w:r>
      <w:bookmarkEnd w:id="3"/>
    </w:p>
    <w:p w14:paraId="4F8A3573" w14:textId="77777777" w:rsidR="00692B70" w:rsidRPr="007D6504" w:rsidRDefault="00692B70" w:rsidP="00692B70">
      <w:pPr>
        <w:pStyle w:val="Heading1"/>
        <w:numPr>
          <w:ilvl w:val="0"/>
          <w:numId w:val="6"/>
        </w:numPr>
        <w:spacing w:before="480" w:after="0" w:line="360" w:lineRule="auto"/>
        <w:jc w:val="both"/>
        <w:rPr>
          <w:rFonts w:ascii="Times New Roman" w:hAnsi="Times New Roman"/>
          <w:b/>
          <w:bCs/>
          <w:color w:val="1F497D" w:themeColor="text2"/>
          <w:sz w:val="24"/>
          <w:szCs w:val="24"/>
          <w:u w:val="single"/>
        </w:rPr>
      </w:pPr>
      <w:bookmarkStart w:id="4" w:name="_Toc67807311"/>
      <w:bookmarkStart w:id="5" w:name="_Toc67908788"/>
      <w:r w:rsidRPr="007D6504">
        <w:rPr>
          <w:rFonts w:ascii="Times New Roman" w:hAnsi="Times New Roman"/>
          <w:b/>
          <w:bCs/>
          <w:color w:val="1F497D" w:themeColor="text2"/>
          <w:sz w:val="24"/>
          <w:szCs w:val="24"/>
          <w:u w:val="single"/>
        </w:rPr>
        <w:t>INTRODUCTION:</w:t>
      </w:r>
      <w:bookmarkEnd w:id="4"/>
      <w:bookmarkEnd w:id="5"/>
    </w:p>
    <w:p w14:paraId="04315738"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Mental Fitness is an essential criterion to be held accountable. Under UK law, it refers to the defendant's ability to participate and understand in the legal process under criminal trial, which is a preferred trial prerequisite UK law; it has been long to recognize that some criminals are not capable of participating in fair trials because of their mental capabilities. Taking these mentally unstable people under trial would not only perceive as abuse for these people, but it would also be disrespectful for the law; if a defendant is not able to defend himself, then it can result in an unjust verdict or inaccurate decision that will result in imprisonment of a person. However, the question is if defense or insanity is fit for purpose?  Or is there a need to bring reforms? The assignment is based on the previous cases to evaluate this question.</w:t>
      </w:r>
    </w:p>
    <w:p w14:paraId="73EBBC08" w14:textId="77777777" w:rsidR="00692B70" w:rsidRPr="007D6504" w:rsidRDefault="00692B70" w:rsidP="00692B70">
      <w:pPr>
        <w:pStyle w:val="Heading1"/>
        <w:numPr>
          <w:ilvl w:val="0"/>
          <w:numId w:val="6"/>
        </w:numPr>
        <w:spacing w:before="480" w:after="0" w:line="360" w:lineRule="auto"/>
        <w:jc w:val="both"/>
        <w:rPr>
          <w:rFonts w:ascii="Times New Roman" w:hAnsi="Times New Roman"/>
          <w:b/>
          <w:bCs/>
          <w:color w:val="1F497D" w:themeColor="text2"/>
          <w:sz w:val="28"/>
          <w:szCs w:val="28"/>
          <w:u w:val="single"/>
        </w:rPr>
      </w:pPr>
      <w:bookmarkStart w:id="6" w:name="_Toc67807312"/>
      <w:bookmarkStart w:id="7" w:name="_Toc67908789"/>
      <w:r w:rsidRPr="007D6504">
        <w:rPr>
          <w:rFonts w:ascii="Times New Roman" w:hAnsi="Times New Roman"/>
          <w:b/>
          <w:bCs/>
          <w:color w:val="1F497D" w:themeColor="text2"/>
          <w:sz w:val="28"/>
          <w:szCs w:val="28"/>
          <w:u w:val="single"/>
        </w:rPr>
        <w:lastRenderedPageBreak/>
        <w:t>CAPACITY BASED TEST UNDER MENTAL ACT 2005:</w:t>
      </w:r>
      <w:bookmarkEnd w:id="6"/>
      <w:bookmarkEnd w:id="7"/>
    </w:p>
    <w:p w14:paraId="72B78991" w14:textId="77777777" w:rsidR="00E63F5F" w:rsidRDefault="00E63F5F" w:rsidP="00692B70">
      <w:pPr>
        <w:spacing w:line="360" w:lineRule="auto"/>
        <w:jc w:val="both"/>
        <w:rPr>
          <w:rFonts w:ascii="Times New Roman" w:hAnsi="Times New Roman"/>
          <w:color w:val="000000"/>
          <w:sz w:val="28"/>
          <w:szCs w:val="28"/>
        </w:rPr>
      </w:pPr>
    </w:p>
    <w:p w14:paraId="3599840E" w14:textId="071011F6"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In 2008, the law commission Wales, and England announced that they would bring reforms in fitness pleases law. In 2012, they published the first paper to identify problems with the framework, including the year that seems to underestimate the abilities of the victim, which resulted in autonomous decisions against and in </w:t>
      </w:r>
      <w:r w:rsidR="00585E19" w:rsidRPr="00973826">
        <w:rPr>
          <w:rFonts w:ascii="Times New Roman" w:hAnsi="Times New Roman"/>
          <w:color w:val="000000"/>
          <w:sz w:val="28"/>
          <w:szCs w:val="28"/>
        </w:rPr>
        <w:t>favour</w:t>
      </w:r>
      <w:r w:rsidRPr="00973826">
        <w:rPr>
          <w:rFonts w:ascii="Times New Roman" w:hAnsi="Times New Roman"/>
          <w:color w:val="000000"/>
          <w:sz w:val="28"/>
          <w:szCs w:val="28"/>
        </w:rPr>
        <w:t xml:space="preserve"> of these defendants under the decision-making capacity of law under the mental test act 2005. The new capacity-based test reduced the threshold for the criteria of unfitness. The recommendations were welcomed, and they were not challenging under the human rights law. In 2008, the United Nations of conventional proposed UNCRPD rights of persons with disabilities to have an equal basis of rights for others under legal settings. Many people recommend that the fitness to plead declaration and laws must be abandoned altogether. </w:t>
      </w:r>
    </w:p>
    <w:p w14:paraId="5D6BDE62" w14:textId="77777777" w:rsidR="00692B70" w:rsidRPr="00E63F5F" w:rsidRDefault="00692B70" w:rsidP="00692B70">
      <w:pPr>
        <w:pStyle w:val="Heading2"/>
        <w:numPr>
          <w:ilvl w:val="0"/>
          <w:numId w:val="7"/>
        </w:numPr>
        <w:spacing w:before="200" w:line="360" w:lineRule="auto"/>
        <w:jc w:val="both"/>
        <w:rPr>
          <w:rFonts w:ascii="Times New Roman" w:hAnsi="Times New Roman"/>
          <w:b/>
          <w:bCs/>
          <w:color w:val="000000"/>
          <w:sz w:val="28"/>
          <w:szCs w:val="28"/>
          <w:u w:val="single"/>
        </w:rPr>
      </w:pPr>
      <w:bookmarkStart w:id="8" w:name="_Toc67807313"/>
      <w:bookmarkStart w:id="9" w:name="_Toc67908790"/>
      <w:r w:rsidRPr="00E63F5F">
        <w:rPr>
          <w:rFonts w:ascii="Times New Roman" w:hAnsi="Times New Roman"/>
          <w:b/>
          <w:bCs/>
          <w:color w:val="000000"/>
          <w:sz w:val="28"/>
          <w:szCs w:val="28"/>
          <w:u w:val="single"/>
        </w:rPr>
        <w:t>The M'Naghten Rule:</w:t>
      </w:r>
      <w:bookmarkEnd w:id="8"/>
      <w:bookmarkEnd w:id="9"/>
    </w:p>
    <w:p w14:paraId="0E3F3284" w14:textId="549B620E"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There is a various criminal </w:t>
      </w:r>
      <w:r w:rsidR="00585E19" w:rsidRPr="00973826">
        <w:rPr>
          <w:rFonts w:ascii="Times New Roman" w:hAnsi="Times New Roman"/>
          <w:color w:val="000000"/>
          <w:sz w:val="28"/>
          <w:szCs w:val="28"/>
        </w:rPr>
        <w:t>defence</w:t>
      </w:r>
      <w:r w:rsidRPr="00973826">
        <w:rPr>
          <w:rFonts w:ascii="Times New Roman" w:hAnsi="Times New Roman"/>
          <w:color w:val="000000"/>
          <w:sz w:val="28"/>
          <w:szCs w:val="28"/>
        </w:rPr>
        <w:t xml:space="preserve"> strategy that can be used by an attorney when dealing with a </w:t>
      </w:r>
      <w:r w:rsidR="00877994" w:rsidRPr="00973826">
        <w:rPr>
          <w:rFonts w:ascii="Times New Roman" w:hAnsi="Times New Roman"/>
          <w:color w:val="000000"/>
          <w:sz w:val="28"/>
          <w:szCs w:val="28"/>
        </w:rPr>
        <w:t>defence</w:t>
      </w:r>
      <w:r w:rsidRPr="00973826">
        <w:rPr>
          <w:rFonts w:ascii="Times New Roman" w:hAnsi="Times New Roman"/>
          <w:color w:val="000000"/>
          <w:sz w:val="28"/>
          <w:szCs w:val="28"/>
        </w:rPr>
        <w:t xml:space="preserve"> under criminal law. Despite, how the </w:t>
      </w:r>
      <w:r w:rsidR="00877994" w:rsidRPr="00973826">
        <w:rPr>
          <w:rFonts w:ascii="Times New Roman" w:hAnsi="Times New Roman"/>
          <w:color w:val="000000"/>
          <w:sz w:val="28"/>
          <w:szCs w:val="28"/>
        </w:rPr>
        <w:t>defence</w:t>
      </w:r>
      <w:r w:rsidRPr="00973826">
        <w:rPr>
          <w:rFonts w:ascii="Times New Roman" w:hAnsi="Times New Roman"/>
          <w:color w:val="000000"/>
          <w:sz w:val="28"/>
          <w:szCs w:val="28"/>
        </w:rPr>
        <w:t xml:space="preserve"> is portrayed in media, the defense of Insanity is challenging to use under various circumstances. The reason for insanity can be used in </w:t>
      </w:r>
      <w:r w:rsidR="005F089E" w:rsidRPr="00973826">
        <w:rPr>
          <w:rFonts w:ascii="Times New Roman" w:hAnsi="Times New Roman"/>
          <w:color w:val="000000"/>
          <w:sz w:val="28"/>
          <w:szCs w:val="28"/>
        </w:rPr>
        <w:t>favour</w:t>
      </w:r>
      <w:r w:rsidRPr="00973826">
        <w:rPr>
          <w:rFonts w:ascii="Times New Roman" w:hAnsi="Times New Roman"/>
          <w:color w:val="000000"/>
          <w:sz w:val="28"/>
          <w:szCs w:val="28"/>
        </w:rPr>
        <w:t xml:space="preserve"> of the defendant, and he would not be held guilty of the crimes, but he must meet the legal definition of jurisdiction insanity. The court can determine the legal insanity by applying one of the following tests. </w:t>
      </w:r>
    </w:p>
    <w:p w14:paraId="2981AE6C" w14:textId="77777777" w:rsidR="00692B70" w:rsidRPr="00973826" w:rsidRDefault="00692B70" w:rsidP="00692B70">
      <w:pPr>
        <w:pStyle w:val="ListParagraph"/>
        <w:numPr>
          <w:ilvl w:val="0"/>
          <w:numId w:val="5"/>
        </w:numPr>
        <w:spacing w:after="200" w:line="360" w:lineRule="auto"/>
        <w:jc w:val="both"/>
        <w:rPr>
          <w:rFonts w:ascii="Times New Roman" w:hAnsi="Times New Roman"/>
          <w:color w:val="000000"/>
          <w:sz w:val="28"/>
          <w:szCs w:val="28"/>
        </w:rPr>
      </w:pPr>
      <w:r w:rsidRPr="00973826">
        <w:rPr>
          <w:rFonts w:ascii="Times New Roman" w:hAnsi="Times New Roman"/>
          <w:color w:val="000000"/>
          <w:sz w:val="28"/>
          <w:szCs w:val="28"/>
        </w:rPr>
        <w:t>The Durham Rule;</w:t>
      </w:r>
    </w:p>
    <w:p w14:paraId="6F0D2F1C" w14:textId="77777777" w:rsidR="00692B70" w:rsidRPr="00973826" w:rsidRDefault="00692B70" w:rsidP="00692B70">
      <w:pPr>
        <w:pStyle w:val="ListParagraph"/>
        <w:numPr>
          <w:ilvl w:val="0"/>
          <w:numId w:val="5"/>
        </w:numPr>
        <w:spacing w:after="200" w:line="360" w:lineRule="auto"/>
        <w:jc w:val="both"/>
        <w:rPr>
          <w:rFonts w:ascii="Times New Roman" w:hAnsi="Times New Roman"/>
          <w:color w:val="000000"/>
          <w:sz w:val="28"/>
          <w:szCs w:val="28"/>
        </w:rPr>
      </w:pPr>
      <w:r w:rsidRPr="00973826">
        <w:rPr>
          <w:rFonts w:ascii="Times New Roman" w:hAnsi="Times New Roman"/>
          <w:color w:val="000000"/>
          <w:sz w:val="28"/>
          <w:szCs w:val="28"/>
        </w:rPr>
        <w:t>The model Penal Code Test;</w:t>
      </w:r>
    </w:p>
    <w:p w14:paraId="67D5491E" w14:textId="77777777" w:rsidR="00692B70" w:rsidRPr="00973826" w:rsidRDefault="00692B70" w:rsidP="00692B70">
      <w:pPr>
        <w:pStyle w:val="ListParagraph"/>
        <w:numPr>
          <w:ilvl w:val="0"/>
          <w:numId w:val="5"/>
        </w:numPr>
        <w:spacing w:after="200" w:line="360" w:lineRule="auto"/>
        <w:jc w:val="both"/>
        <w:rPr>
          <w:rFonts w:ascii="Times New Roman" w:hAnsi="Times New Roman"/>
          <w:color w:val="000000"/>
          <w:sz w:val="28"/>
          <w:szCs w:val="28"/>
        </w:rPr>
      </w:pPr>
      <w:r w:rsidRPr="00973826">
        <w:rPr>
          <w:rFonts w:ascii="Times New Roman" w:hAnsi="Times New Roman"/>
          <w:color w:val="000000"/>
          <w:sz w:val="28"/>
          <w:szCs w:val="28"/>
        </w:rPr>
        <w:t>the irresistible Impulse test; or</w:t>
      </w:r>
    </w:p>
    <w:p w14:paraId="7C62FF27" w14:textId="77777777" w:rsidR="00692B70" w:rsidRPr="00973826" w:rsidRDefault="00692B70" w:rsidP="00692B70">
      <w:pPr>
        <w:pStyle w:val="ListParagraph"/>
        <w:numPr>
          <w:ilvl w:val="0"/>
          <w:numId w:val="5"/>
        </w:numPr>
        <w:spacing w:after="200" w:line="360" w:lineRule="auto"/>
        <w:jc w:val="both"/>
        <w:rPr>
          <w:rFonts w:ascii="Times New Roman" w:hAnsi="Times New Roman"/>
          <w:color w:val="000000"/>
          <w:sz w:val="28"/>
          <w:szCs w:val="28"/>
        </w:rPr>
      </w:pPr>
      <w:r w:rsidRPr="00973826">
        <w:rPr>
          <w:rFonts w:ascii="Times New Roman" w:hAnsi="Times New Roman"/>
          <w:color w:val="000000"/>
          <w:sz w:val="28"/>
          <w:szCs w:val="28"/>
        </w:rPr>
        <w:t>The most famous</w:t>
      </w:r>
    </w:p>
    <w:p w14:paraId="7CE373A6"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lastRenderedPageBreak/>
        <w:t>It is not entirely up to the court to decide what test they can apply to the defendant; the test is determined under the particular state law. The assignment will only discuss the M'Naghteh Rule as the testing criteria of legal insanity, and this test is used in significant states of the world, including the UK.</w:t>
      </w:r>
    </w:p>
    <w:p w14:paraId="3CD8AA81" w14:textId="77777777" w:rsidR="00692B70" w:rsidRPr="00E63F5F" w:rsidRDefault="00692B70" w:rsidP="00692B70">
      <w:pPr>
        <w:pStyle w:val="Heading2"/>
        <w:numPr>
          <w:ilvl w:val="0"/>
          <w:numId w:val="7"/>
        </w:numPr>
        <w:spacing w:before="200" w:line="360" w:lineRule="auto"/>
        <w:jc w:val="both"/>
        <w:rPr>
          <w:rFonts w:ascii="Times New Roman" w:hAnsi="Times New Roman"/>
          <w:b/>
          <w:bCs/>
          <w:color w:val="000000"/>
          <w:sz w:val="28"/>
          <w:szCs w:val="28"/>
          <w:u w:val="single"/>
        </w:rPr>
      </w:pPr>
      <w:bookmarkStart w:id="10" w:name="_Toc67807314"/>
      <w:bookmarkStart w:id="11" w:name="_Toc67908791"/>
      <w:r w:rsidRPr="00E63F5F">
        <w:rPr>
          <w:rFonts w:ascii="Times New Roman" w:hAnsi="Times New Roman"/>
          <w:b/>
          <w:bCs/>
          <w:color w:val="000000"/>
          <w:sz w:val="28"/>
          <w:szCs w:val="28"/>
          <w:u w:val="single"/>
        </w:rPr>
        <w:t>Overview of the M'Naghten Rule</w:t>
      </w:r>
      <w:bookmarkEnd w:id="10"/>
      <w:bookmarkEnd w:id="11"/>
    </w:p>
    <w:p w14:paraId="5F11F2CC"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The M'Naghten Rule or test was established by the Lord's of English house in mid 19 century. The rule refers: each person has to be sane, and the defense can be established against the person on the ground of his insanity; it must also be proved that when the person was committing crime, he was accused with all his insanity and the act was not because of the state of his mind or any other disease. The test's primary purpose was to select whether the criminal of defense knows about the nature of the act he had committed  and if he understands what is wrong and right when he had committed the act. With the purpose to legally declare the person insane under the rest, the defendant must have two different criteria of being a misfit. When applying a test, the court offers the person to defer the legal wrong from moral wrong. Moreover, some states have already eradicated the test to define the insanity in the defendant because the rest is not very adequate. </w:t>
      </w:r>
    </w:p>
    <w:p w14:paraId="4E9C7771" w14:textId="77777777" w:rsidR="00692B70" w:rsidRPr="00E63F5F" w:rsidRDefault="00692B70" w:rsidP="00692B70">
      <w:pPr>
        <w:pStyle w:val="Heading2"/>
        <w:numPr>
          <w:ilvl w:val="0"/>
          <w:numId w:val="7"/>
        </w:numPr>
        <w:spacing w:before="200" w:line="360" w:lineRule="auto"/>
        <w:jc w:val="both"/>
        <w:rPr>
          <w:rFonts w:ascii="Times New Roman" w:hAnsi="Times New Roman"/>
          <w:b/>
          <w:bCs/>
          <w:color w:val="000000"/>
          <w:sz w:val="28"/>
          <w:szCs w:val="28"/>
          <w:u w:val="single"/>
        </w:rPr>
      </w:pPr>
      <w:bookmarkStart w:id="12" w:name="_Toc67807315"/>
      <w:bookmarkStart w:id="13" w:name="_Toc67908792"/>
      <w:r w:rsidRPr="00E63F5F">
        <w:rPr>
          <w:rFonts w:ascii="Times New Roman" w:hAnsi="Times New Roman"/>
          <w:b/>
          <w:bCs/>
          <w:color w:val="000000"/>
          <w:sz w:val="28"/>
          <w:szCs w:val="28"/>
          <w:u w:val="single"/>
        </w:rPr>
        <w:t>Previous cases: R v Johnson (2007) and R  v Windle (1953):</w:t>
      </w:r>
      <w:bookmarkEnd w:id="12"/>
      <w:bookmarkEnd w:id="13"/>
    </w:p>
    <w:p w14:paraId="639F0324"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The reason for selecting these two cases is because of the time gap between them, and the cases will give a good overview of how the situation has changed over the course of decades. </w:t>
      </w:r>
    </w:p>
    <w:p w14:paraId="664854CB" w14:textId="7077BEA0"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In R v Johnson's case, the criminal was convicted of attacking a person and intended to cause bodily harm to him</w:t>
      </w:r>
      <w:r w:rsidR="002A79D5">
        <w:rPr>
          <w:rFonts w:ascii="Times New Roman" w:hAnsi="Times New Roman"/>
          <w:color w:val="000000"/>
          <w:sz w:val="28"/>
          <w:szCs w:val="28"/>
        </w:rPr>
        <w:t>, which is calls mens rea.</w:t>
      </w:r>
      <w:r w:rsidRPr="00973826">
        <w:rPr>
          <w:rFonts w:ascii="Times New Roman" w:hAnsi="Times New Roman"/>
          <w:color w:val="000000"/>
          <w:sz w:val="28"/>
          <w:szCs w:val="28"/>
        </w:rPr>
        <w:t xml:space="preserve"> When J was arrested, he was diagnosed with Schizophrenia, and the Professionals agreed that he was in not the right state of mind when he committed the crime. However, the plead of insanity was not made available to Johnson because evidence suggested that he knew what he was doing when he attacked the person. When appealing to the court, J submitted that he was not in his right state of sanity, and he thought </w:t>
      </w:r>
      <w:r w:rsidRPr="00973826">
        <w:rPr>
          <w:rFonts w:ascii="Times New Roman" w:hAnsi="Times New Roman"/>
          <w:color w:val="000000"/>
          <w:sz w:val="28"/>
          <w:szCs w:val="28"/>
        </w:rPr>
        <w:lastRenderedPageBreak/>
        <w:t xml:space="preserve">there could be moral jurisdiction for his acts. R v Windle (1952) is similar to this act when the defendant was asked to give him defense of insanity. Still, he was refused because there was evidence that suggested that he knew what he was doing was against the law, but he kept on insisting that he believed that there is a moral justification for his crime. It is argued that the defendant in R v Windle (1952) prepared a set of restrictive tear which based the responsibility of insanity. Johnson's appeal was dismissed. The case of Windle (1952) made it very clear that the defense of insanity can be applied under the M'Naghten rule when the defendant does not know what he is doing is legally wrong or not. While there are highly persuasive arguments against the criteria of insanity and the lawmaker occasionally asks to increase the scope of defense, such as in Stapleton v. 86, the position of English law is to stick with the case of Windle. </w:t>
      </w:r>
    </w:p>
    <w:p w14:paraId="7FE9CBFB" w14:textId="77777777" w:rsidR="00692B70" w:rsidRPr="007D6504" w:rsidRDefault="00692B70" w:rsidP="00692B70">
      <w:pPr>
        <w:pStyle w:val="Heading1"/>
        <w:numPr>
          <w:ilvl w:val="0"/>
          <w:numId w:val="6"/>
        </w:numPr>
        <w:spacing w:before="480" w:after="0" w:line="360" w:lineRule="auto"/>
        <w:jc w:val="both"/>
        <w:rPr>
          <w:rFonts w:ascii="Times New Roman" w:hAnsi="Times New Roman"/>
          <w:b/>
          <w:bCs/>
          <w:color w:val="1F497D" w:themeColor="text2"/>
          <w:sz w:val="28"/>
          <w:szCs w:val="28"/>
          <w:u w:val="single"/>
        </w:rPr>
      </w:pPr>
      <w:bookmarkStart w:id="14" w:name="_Toc67807316"/>
      <w:bookmarkStart w:id="15" w:name="_Toc67908793"/>
      <w:r w:rsidRPr="007D6504">
        <w:rPr>
          <w:rFonts w:ascii="Times New Roman" w:hAnsi="Times New Roman"/>
          <w:b/>
          <w:bCs/>
          <w:color w:val="1F497D" w:themeColor="text2"/>
          <w:sz w:val="28"/>
          <w:szCs w:val="28"/>
          <w:u w:val="single"/>
        </w:rPr>
        <w:t>CONCLUSION:</w:t>
      </w:r>
      <w:bookmarkEnd w:id="14"/>
      <w:bookmarkEnd w:id="15"/>
    </w:p>
    <w:p w14:paraId="47434D07"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In conclusion, it is to be said that the criteria of insanity are unfit considering the scope of the test. There are many times when the defendant knows that what he is doing is legally wrong, but he may get influenced by many factors that stimulate the acts of crimes in him. So, there should be broader scope under the test of insanity. </w:t>
      </w:r>
    </w:p>
    <w:p w14:paraId="7BEECE4C" w14:textId="77777777" w:rsidR="00692B70" w:rsidRPr="00973826" w:rsidRDefault="00692B70" w:rsidP="00692B70">
      <w:pPr>
        <w:spacing w:line="360" w:lineRule="auto"/>
        <w:jc w:val="both"/>
        <w:rPr>
          <w:rFonts w:ascii="Times New Roman" w:hAnsi="Times New Roman"/>
          <w:color w:val="000000"/>
          <w:sz w:val="28"/>
          <w:szCs w:val="28"/>
        </w:rPr>
      </w:pPr>
    </w:p>
    <w:p w14:paraId="43624A02" w14:textId="77777777" w:rsidR="00692B70" w:rsidRPr="00692B70" w:rsidRDefault="00692B70" w:rsidP="00692B70">
      <w:pPr>
        <w:pStyle w:val="Title"/>
        <w:jc w:val="center"/>
        <w:rPr>
          <w:sz w:val="32"/>
          <w:szCs w:val="32"/>
          <w:u w:val="single"/>
        </w:rPr>
      </w:pPr>
      <w:bookmarkStart w:id="16" w:name="_Toc67908794"/>
      <w:r w:rsidRPr="00692B70">
        <w:rPr>
          <w:rStyle w:val="BookTitle"/>
          <w:rFonts w:ascii="Times New Roman" w:hAnsi="Times New Roman"/>
          <w:color w:val="000000"/>
          <w:sz w:val="32"/>
          <w:szCs w:val="32"/>
        </w:rPr>
        <w:t>Part 2</w:t>
      </w:r>
      <w:bookmarkEnd w:id="16"/>
    </w:p>
    <w:p w14:paraId="2CBE0F89" w14:textId="77777777" w:rsidR="00692B70" w:rsidRPr="007D6504" w:rsidRDefault="00692B70" w:rsidP="00692B70">
      <w:pPr>
        <w:pStyle w:val="Heading1"/>
        <w:numPr>
          <w:ilvl w:val="0"/>
          <w:numId w:val="9"/>
        </w:numPr>
        <w:spacing w:before="480" w:after="0" w:line="360" w:lineRule="auto"/>
        <w:jc w:val="both"/>
        <w:rPr>
          <w:rFonts w:ascii="Times New Roman" w:hAnsi="Times New Roman"/>
          <w:b/>
          <w:bCs/>
          <w:color w:val="1F497D" w:themeColor="text2"/>
          <w:sz w:val="28"/>
          <w:szCs w:val="28"/>
          <w:u w:val="single"/>
        </w:rPr>
      </w:pPr>
      <w:bookmarkStart w:id="17" w:name="_Toc67807317"/>
      <w:bookmarkStart w:id="18" w:name="_Toc67908795"/>
      <w:r w:rsidRPr="007D6504">
        <w:rPr>
          <w:rFonts w:ascii="Times New Roman" w:hAnsi="Times New Roman"/>
          <w:b/>
          <w:bCs/>
          <w:color w:val="1F497D" w:themeColor="text2"/>
          <w:sz w:val="28"/>
          <w:szCs w:val="28"/>
          <w:u w:val="single"/>
        </w:rPr>
        <w:t>CASE SUMMARY:</w:t>
      </w:r>
      <w:bookmarkEnd w:id="17"/>
      <w:bookmarkEnd w:id="18"/>
    </w:p>
    <w:p w14:paraId="1266C853"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In the above presented fictional case, Ali and Jenny had been in a relationship where Ali has abused Jenny in a rage of jealousy and control. In the case, Jenny and her current boyfriend Collin were sitting in a bar when Ali came in with his friends, and in the process of the fight, Ali punched the doorman and made him unconscious, who later died from the bleeding. Later, Ali stabbed Collin, and he </w:t>
      </w:r>
      <w:r w:rsidRPr="00973826">
        <w:rPr>
          <w:rFonts w:ascii="Times New Roman" w:hAnsi="Times New Roman"/>
          <w:color w:val="000000"/>
          <w:sz w:val="28"/>
          <w:szCs w:val="28"/>
        </w:rPr>
        <w:lastRenderedPageBreak/>
        <w:t xml:space="preserve">also died within few minutes because of excessive bleeding. The following case will be analyzed based on previous similar cases has discussed. </w:t>
      </w:r>
    </w:p>
    <w:p w14:paraId="0C1FCB8F" w14:textId="77777777" w:rsidR="00692B70" w:rsidRPr="007D6504" w:rsidRDefault="00692B70" w:rsidP="00692B70">
      <w:pPr>
        <w:pStyle w:val="Heading1"/>
        <w:numPr>
          <w:ilvl w:val="0"/>
          <w:numId w:val="9"/>
        </w:numPr>
        <w:spacing w:before="480" w:after="0" w:line="360" w:lineRule="auto"/>
        <w:jc w:val="both"/>
        <w:rPr>
          <w:rFonts w:ascii="Times New Roman" w:hAnsi="Times New Roman"/>
          <w:b/>
          <w:bCs/>
          <w:color w:val="1F497D" w:themeColor="text2"/>
          <w:sz w:val="28"/>
          <w:szCs w:val="28"/>
          <w:u w:val="single"/>
        </w:rPr>
      </w:pPr>
      <w:bookmarkStart w:id="19" w:name="_Toc67807318"/>
      <w:bookmarkStart w:id="20" w:name="_Toc67908796"/>
      <w:r w:rsidRPr="007D6504">
        <w:rPr>
          <w:rFonts w:ascii="Times New Roman" w:hAnsi="Times New Roman"/>
          <w:b/>
          <w:bCs/>
          <w:color w:val="1F497D" w:themeColor="text2"/>
          <w:sz w:val="28"/>
          <w:szCs w:val="28"/>
          <w:u w:val="single"/>
        </w:rPr>
        <w:t>INDIRECT INTENTION:</w:t>
      </w:r>
      <w:bookmarkEnd w:id="19"/>
      <w:bookmarkEnd w:id="20"/>
    </w:p>
    <w:p w14:paraId="3AD0D14A"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Murder is an offense in the common law. The actual Reid elements in the omission or act result in the unlawful murder of a person. The two alternatives "mend team elements are either intended to cause harm or intention to kill. While Actus Rea’s elements are easy to form, there has been a lot of debate on men's aspects because of their meaning of intention. There are many cases where the defendant tries to defend himself, saying that causing bodily harm or killing was not his intention; therefore, he is not guilty under Mens Rea’s requirements. The court has to consider other case law for oblique and indirect intention. </w:t>
      </w:r>
    </w:p>
    <w:p w14:paraId="77F9E164" w14:textId="77777777" w:rsidR="00692B70" w:rsidRPr="00E63F5F" w:rsidRDefault="00692B70" w:rsidP="00692B70">
      <w:pPr>
        <w:pStyle w:val="Heading2"/>
        <w:numPr>
          <w:ilvl w:val="0"/>
          <w:numId w:val="8"/>
        </w:numPr>
        <w:spacing w:before="200" w:line="360" w:lineRule="auto"/>
        <w:jc w:val="both"/>
        <w:rPr>
          <w:rFonts w:ascii="Times New Roman" w:hAnsi="Times New Roman"/>
          <w:b/>
          <w:bCs/>
          <w:color w:val="000000"/>
          <w:sz w:val="28"/>
          <w:szCs w:val="28"/>
          <w:u w:val="single"/>
        </w:rPr>
      </w:pPr>
      <w:bookmarkStart w:id="21" w:name="_Toc67807319"/>
      <w:bookmarkStart w:id="22" w:name="_Toc67908797"/>
      <w:r w:rsidRPr="00E63F5F">
        <w:rPr>
          <w:rFonts w:ascii="Times New Roman" w:hAnsi="Times New Roman"/>
          <w:b/>
          <w:bCs/>
          <w:color w:val="000000"/>
          <w:sz w:val="28"/>
          <w:szCs w:val="28"/>
          <w:u w:val="single"/>
        </w:rPr>
        <w:t>R v Woollin (1999) and other similar cases:</w:t>
      </w:r>
      <w:bookmarkEnd w:id="21"/>
      <w:bookmarkEnd w:id="22"/>
    </w:p>
    <w:p w14:paraId="4848AD8B"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In R v Moloney (1985), the court decided that defendant who foresaw a severe injury or death as a natural consequences is oblique if intention; however, in R v Hancock &amp; Shankland (1985) it was held by the jury that there should be a probability of consequence while establishing an intent of the defendant. Moreover, there is E V Bedrock that suggests that the court should consider multiple questions while analyzing the case, such as did the severe injury or death was certain to happen as a result of actions by the defendants? Did the defendant foresee injury or death as virtually certain? If there is a test to both questions, there will be enough evidence that the intention was inferred.</w:t>
      </w:r>
    </w:p>
    <w:p w14:paraId="27367CD9"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The reasoning mentioned above faces legal meaning to correct approach and importance of intention used as the direction for a jury; however, the position was more clarified under R v Woollin. The fact that the defendant in the case threw a three-month-old baby out of frustration because it was continuously crying, had led to the baby dying from a fractured skull. The court accepted that it was not the defendant's intention to cause harm or injury to the child, and the defendant </w:t>
      </w:r>
      <w:r w:rsidRPr="00973826">
        <w:rPr>
          <w:rFonts w:ascii="Times New Roman" w:hAnsi="Times New Roman"/>
          <w:color w:val="000000"/>
          <w:sz w:val="28"/>
          <w:szCs w:val="28"/>
        </w:rPr>
        <w:lastRenderedPageBreak/>
        <w:t xml:space="preserve">simply foresaw that there could be a risk of death or severe injury to a baby as a result of these actions.  The jury was convinced that oblique intention occurs when there is an appreciation of injury or risk of death. These criteria resulted in the jury's decision that exposing a person to some harm and risk is enough intention to cause harm to them. The case of Woollin was referred to the house of Lord's and the court appealed to analyze whether it was correct to define the concept of intention.  The court appeal treated the case as a murder conviction; however, when the court received the appeal from the defendant, the case was replaced with </w:t>
      </w:r>
      <w:r w:rsidRPr="00725C94">
        <w:rPr>
          <w:rFonts w:ascii="Times New Roman" w:hAnsi="Times New Roman"/>
          <w:sz w:val="28"/>
          <w:szCs w:val="28"/>
        </w:rPr>
        <w:t>Manslaughter,</w:t>
      </w:r>
      <w:r w:rsidRPr="00973826">
        <w:rPr>
          <w:rFonts w:ascii="Times New Roman" w:hAnsi="Times New Roman"/>
          <w:color w:val="000000"/>
          <w:sz w:val="28"/>
          <w:szCs w:val="28"/>
        </w:rPr>
        <w:t xml:space="preserve"> holding that the judge used the broader scope of </w:t>
      </w:r>
      <w:r w:rsidRPr="00725C94">
        <w:rPr>
          <w:rFonts w:ascii="Times New Roman" w:hAnsi="Times New Roman"/>
          <w:sz w:val="28"/>
          <w:szCs w:val="28"/>
        </w:rPr>
        <w:t>men's rea elements in</w:t>
      </w:r>
      <w:r w:rsidRPr="00973826">
        <w:rPr>
          <w:rFonts w:ascii="Times New Roman" w:hAnsi="Times New Roman"/>
          <w:color w:val="000000"/>
          <w:sz w:val="28"/>
          <w:szCs w:val="28"/>
        </w:rPr>
        <w:t xml:space="preserve"> the case by introducing the foresaw factor of risk. The term that is used by judges and referred to as "substantial risk" caused the blurriness in the lines between </w:t>
      </w:r>
      <w:r w:rsidRPr="00973826">
        <w:rPr>
          <w:rFonts w:ascii="Times New Roman" w:hAnsi="Times New Roman"/>
          <w:color w:val="000000"/>
          <w:sz w:val="28"/>
          <w:szCs w:val="28"/>
          <w:u w:val="single"/>
        </w:rPr>
        <w:t>recklessness and intention</w:t>
      </w:r>
      <w:r w:rsidRPr="00973826">
        <w:rPr>
          <w:rFonts w:ascii="Times New Roman" w:hAnsi="Times New Roman"/>
          <w:color w:val="000000"/>
          <w:sz w:val="28"/>
          <w:szCs w:val="28"/>
        </w:rPr>
        <w:t xml:space="preserve">, in which recklessness is referred to as a lack of state of mind that is required to convict a defendant of murder, it's essential to keep this in mind. The house of the Lord confirms that virtual certainty can be used in case of oblique intention. </w:t>
      </w:r>
    </w:p>
    <w:p w14:paraId="70605204"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There had been many cases that can help the jury to find the intention of Ali in the above case. It is also believed that even if the jury finds the definition of intention, they cannot define the defendant's intention when he commits a crime. This means that the jury must have a moral elbow room when dealing with complex cases. It has been suggested that to deal with issues of murder, the court should go with a less definition of intention. </w:t>
      </w:r>
    </w:p>
    <w:p w14:paraId="3A3764B5" w14:textId="77777777"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 xml:space="preserve">However, the house of the Lord suggested that the case of Woollin was not sufficient to provide a proper definition of intention, and the law is still unclear in this regard. In Elleyne and Matthews, Rix RJ noted that they do not regard Woollin as a defendant under the rule of law; the ruling was later criticized by Kaveny as they believed that the difficulties in the case were related to developing defendant insight on if it should focus on the defensive position or intention while carrying out the intention. There is another relevant case under the heading of </w:t>
      </w:r>
      <w:r w:rsidRPr="00973826">
        <w:rPr>
          <w:rFonts w:ascii="Times New Roman" w:hAnsi="Times New Roman"/>
          <w:color w:val="000000"/>
          <w:sz w:val="28"/>
          <w:szCs w:val="28"/>
        </w:rPr>
        <w:lastRenderedPageBreak/>
        <w:t xml:space="preserve">"Smith v criminal injuries" that suggests that when a cyclist was riding a bike in a busy area, the defendant argued that it was not his intention to cause injury to the victim. The court held him accountable by claiming that it was "virtual certainty" that there were people in a crowded pedestrian area and they could get injured while driving a bike in that congested area. The court further proceeded that the defendant saw the pedestrian crossing the road, but he did not stop; instead, he kept speeding up through the red light area. Similarly, R V Royle (2013) argued that he intended to steal the handbag not to cause the victim's death; the court held him accountable, arguing that it was Virtual certainty that hitting an older adult's head would caused his death. </w:t>
      </w:r>
    </w:p>
    <w:p w14:paraId="7A1F33F7" w14:textId="77777777" w:rsidR="00692B70" w:rsidRPr="007D6504" w:rsidRDefault="00692B70" w:rsidP="00692B70">
      <w:pPr>
        <w:pStyle w:val="Heading1"/>
        <w:numPr>
          <w:ilvl w:val="0"/>
          <w:numId w:val="9"/>
        </w:numPr>
        <w:spacing w:before="480" w:after="0" w:line="360" w:lineRule="auto"/>
        <w:jc w:val="both"/>
        <w:rPr>
          <w:rFonts w:ascii="Times New Roman" w:hAnsi="Times New Roman"/>
          <w:b/>
          <w:bCs/>
          <w:color w:val="1F497D" w:themeColor="text2"/>
          <w:sz w:val="28"/>
          <w:szCs w:val="28"/>
          <w:u w:val="single"/>
        </w:rPr>
      </w:pPr>
      <w:bookmarkStart w:id="23" w:name="_Toc67807320"/>
      <w:bookmarkStart w:id="24" w:name="_Toc67908798"/>
      <w:r w:rsidRPr="007D6504">
        <w:rPr>
          <w:rFonts w:ascii="Times New Roman" w:hAnsi="Times New Roman"/>
          <w:b/>
          <w:bCs/>
          <w:color w:val="1F497D" w:themeColor="text2"/>
          <w:sz w:val="28"/>
          <w:szCs w:val="28"/>
          <w:u w:val="single"/>
        </w:rPr>
        <w:t>THE FINAL ANALYSIS OF THE GIVEN CASE:</w:t>
      </w:r>
      <w:bookmarkEnd w:id="23"/>
      <w:bookmarkEnd w:id="24"/>
    </w:p>
    <w:p w14:paraId="1A197E1F" w14:textId="43AD6C45" w:rsidR="00692B70" w:rsidRPr="00973826" w:rsidRDefault="00692B70" w:rsidP="00692B70">
      <w:pPr>
        <w:spacing w:line="360" w:lineRule="auto"/>
        <w:jc w:val="both"/>
        <w:rPr>
          <w:rFonts w:ascii="Times New Roman" w:hAnsi="Times New Roman"/>
          <w:color w:val="000000"/>
          <w:sz w:val="28"/>
          <w:szCs w:val="28"/>
        </w:rPr>
      </w:pPr>
      <w:r w:rsidRPr="00973826">
        <w:rPr>
          <w:rFonts w:ascii="Times New Roman" w:hAnsi="Times New Roman"/>
          <w:color w:val="000000"/>
          <w:sz w:val="28"/>
          <w:szCs w:val="28"/>
        </w:rPr>
        <w:t>Based on the above fictional case, Ali can argue that it was not his intention to kill the doorman</w:t>
      </w:r>
      <w:r w:rsidR="0054574D">
        <w:rPr>
          <w:rFonts w:ascii="Times New Roman" w:hAnsi="Times New Roman"/>
          <w:color w:val="000000"/>
          <w:sz w:val="28"/>
          <w:szCs w:val="28"/>
        </w:rPr>
        <w:t xml:space="preserve"> (actus rea)</w:t>
      </w:r>
      <w:r w:rsidRPr="00973826">
        <w:rPr>
          <w:rFonts w:ascii="Times New Roman" w:hAnsi="Times New Roman"/>
          <w:color w:val="000000"/>
          <w:sz w:val="28"/>
          <w:szCs w:val="28"/>
        </w:rPr>
        <w:t>, and he just wanted to scare him or keep him out of the fight. Therefore, it can be said that he did not intend to commit an action that would result in death, though he was certainly aware that his actions would cause injury and in this case severe injury leading to death. Similarly, he can say that he was not intending to kill Collin or to cause serious injury to him. However, he would not prove his defense because in both cases, he knew, and it was "virtual certainty," that his actions could kill a person he was attacking. He certainly knew that his action of stabbing Collin</w:t>
      </w:r>
      <w:r w:rsidR="0054574D">
        <w:rPr>
          <w:rFonts w:ascii="Times New Roman" w:hAnsi="Times New Roman"/>
          <w:color w:val="000000"/>
          <w:sz w:val="28"/>
          <w:szCs w:val="28"/>
        </w:rPr>
        <w:t xml:space="preserve"> (mens rea)</w:t>
      </w:r>
      <w:r w:rsidRPr="00973826">
        <w:rPr>
          <w:rFonts w:ascii="Times New Roman" w:hAnsi="Times New Roman"/>
          <w:color w:val="000000"/>
          <w:sz w:val="28"/>
          <w:szCs w:val="28"/>
        </w:rPr>
        <w:t xml:space="preserve"> would either cause severe injury or death and he had the intention of doing so as a result of rage or fear of being held accountable for the death of the doorman. So, in both instances, Ali will be held accountable for murder. </w:t>
      </w:r>
    </w:p>
    <w:p w14:paraId="5F083A9C" w14:textId="43C51133" w:rsidR="00692B70" w:rsidRPr="00973826" w:rsidRDefault="00974EC4" w:rsidP="00692B70">
      <w:pPr>
        <w:spacing w:line="360" w:lineRule="auto"/>
        <w:jc w:val="both"/>
        <w:rPr>
          <w:rFonts w:ascii="Times New Roman" w:hAnsi="Times New Roman"/>
          <w:color w:val="000000"/>
          <w:sz w:val="28"/>
          <w:szCs w:val="28"/>
        </w:rPr>
      </w:pPr>
      <w:r>
        <w:rPr>
          <w:rFonts w:ascii="Times New Roman" w:hAnsi="Times New Roman"/>
          <w:color w:val="000000"/>
          <w:sz w:val="28"/>
          <w:szCs w:val="28"/>
        </w:rPr>
        <w:t>Here t</w:t>
      </w:r>
      <w:r w:rsidRPr="00974EC4">
        <w:rPr>
          <w:rFonts w:ascii="Times New Roman" w:hAnsi="Times New Roman"/>
          <w:color w:val="000000"/>
          <w:sz w:val="28"/>
          <w:szCs w:val="28"/>
        </w:rPr>
        <w:t>he</w:t>
      </w:r>
      <w:r>
        <w:rPr>
          <w:rFonts w:ascii="Times New Roman" w:hAnsi="Times New Roman"/>
          <w:color w:val="000000"/>
          <w:sz w:val="28"/>
          <w:szCs w:val="28"/>
        </w:rPr>
        <w:t xml:space="preserve"> case of Colin murdered the</w:t>
      </w:r>
      <w:r w:rsidRPr="00974EC4">
        <w:rPr>
          <w:rFonts w:ascii="Times New Roman" w:hAnsi="Times New Roman"/>
          <w:color w:val="000000"/>
          <w:sz w:val="28"/>
          <w:szCs w:val="28"/>
        </w:rPr>
        <w:t xml:space="preserve"> court</w:t>
      </w:r>
      <w:r>
        <w:rPr>
          <w:rFonts w:ascii="Times New Roman" w:hAnsi="Times New Roman"/>
          <w:color w:val="000000"/>
          <w:sz w:val="28"/>
          <w:szCs w:val="28"/>
        </w:rPr>
        <w:t xml:space="preserve"> would</w:t>
      </w:r>
      <w:r w:rsidRPr="00974EC4">
        <w:rPr>
          <w:rFonts w:ascii="Times New Roman" w:hAnsi="Times New Roman"/>
          <w:color w:val="000000"/>
          <w:sz w:val="28"/>
          <w:szCs w:val="28"/>
        </w:rPr>
        <w:t xml:space="preserve"> state that an intent to cause GBH was sufficient as the mens rea for murder because the infliction of the GBH was the direct cause of death</w:t>
      </w:r>
      <w:r>
        <w:rPr>
          <w:rFonts w:ascii="Times New Roman" w:hAnsi="Times New Roman"/>
          <w:color w:val="000000"/>
          <w:sz w:val="28"/>
          <w:szCs w:val="28"/>
        </w:rPr>
        <w:t>. So Ali would not have right to have defence for his conviction</w:t>
      </w:r>
      <w:r w:rsidR="0014694E">
        <w:rPr>
          <w:rFonts w:ascii="Times New Roman" w:hAnsi="Times New Roman"/>
          <w:color w:val="000000"/>
          <w:sz w:val="28"/>
          <w:szCs w:val="28"/>
        </w:rPr>
        <w:t xml:space="preserve">, because has convicted for </w:t>
      </w:r>
      <w:r w:rsidR="001C04AB">
        <w:rPr>
          <w:rFonts w:ascii="Times New Roman" w:hAnsi="Times New Roman"/>
          <w:color w:val="000000"/>
          <w:sz w:val="28"/>
          <w:szCs w:val="28"/>
        </w:rPr>
        <w:t>direct intentional murder.</w:t>
      </w:r>
    </w:p>
    <w:p w14:paraId="5DFAA3A4" w14:textId="77777777" w:rsidR="00692B70" w:rsidRPr="007D6504" w:rsidRDefault="00692B70" w:rsidP="00692B70">
      <w:pPr>
        <w:pStyle w:val="Heading1"/>
        <w:spacing w:line="360" w:lineRule="auto"/>
        <w:rPr>
          <w:rFonts w:ascii="Times New Roman" w:hAnsi="Times New Roman"/>
          <w:b/>
          <w:bCs/>
          <w:color w:val="1F497D" w:themeColor="text2"/>
          <w:sz w:val="28"/>
          <w:szCs w:val="28"/>
          <w:u w:val="single"/>
        </w:rPr>
      </w:pPr>
      <w:bookmarkStart w:id="25" w:name="_Toc67908799"/>
      <w:r w:rsidRPr="007D6504">
        <w:rPr>
          <w:rFonts w:ascii="Times New Roman" w:hAnsi="Times New Roman"/>
          <w:b/>
          <w:bCs/>
          <w:color w:val="1F497D" w:themeColor="text2"/>
          <w:sz w:val="28"/>
          <w:szCs w:val="28"/>
          <w:u w:val="single"/>
        </w:rPr>
        <w:lastRenderedPageBreak/>
        <w:t>REFERENCES:</w:t>
      </w:r>
      <w:bookmarkEnd w:id="25"/>
    </w:p>
    <w:p w14:paraId="7364A5C3"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Ashworth, A. and Horder, J., 2013. </w:t>
      </w:r>
      <w:r w:rsidRPr="00973826">
        <w:rPr>
          <w:rFonts w:ascii="Times New Roman" w:hAnsi="Times New Roman"/>
          <w:i/>
          <w:iCs/>
          <w:color w:val="000000"/>
          <w:sz w:val="28"/>
          <w:szCs w:val="28"/>
          <w:shd w:val="clear" w:color="auto" w:fill="FFFFFF"/>
        </w:rPr>
        <w:t>Principles of criminal law</w:t>
      </w:r>
      <w:r w:rsidRPr="00973826">
        <w:rPr>
          <w:rFonts w:ascii="Times New Roman" w:hAnsi="Times New Roman"/>
          <w:color w:val="000000"/>
          <w:sz w:val="28"/>
          <w:szCs w:val="28"/>
          <w:shd w:val="clear" w:color="auto" w:fill="FFFFFF"/>
        </w:rPr>
        <w:t>. Oxford University Press.</w:t>
      </w:r>
    </w:p>
    <w:p w14:paraId="77382C36"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Brown, P., Stahl, D., Appiah-Kusi, E., Brewer, R., Watts, M., Peay, J. and Blackwood, N., 2018. Fitness to plead: Development and validation of a standardised assessment instrument. </w:t>
      </w:r>
      <w:r w:rsidRPr="00973826">
        <w:rPr>
          <w:rFonts w:ascii="Times New Roman" w:hAnsi="Times New Roman"/>
          <w:i/>
          <w:iCs/>
          <w:color w:val="000000"/>
          <w:sz w:val="28"/>
          <w:szCs w:val="28"/>
          <w:shd w:val="clear" w:color="auto" w:fill="FFFFFF"/>
        </w:rPr>
        <w:t>PloS one</w:t>
      </w:r>
      <w:r w:rsidRPr="00973826">
        <w:rPr>
          <w:rFonts w:ascii="Times New Roman" w:hAnsi="Times New Roman"/>
          <w:color w:val="000000"/>
          <w:sz w:val="28"/>
          <w:szCs w:val="28"/>
          <w:shd w:val="clear" w:color="auto" w:fill="FFFFFF"/>
        </w:rPr>
        <w:t>, </w:t>
      </w:r>
      <w:r w:rsidRPr="00973826">
        <w:rPr>
          <w:rFonts w:ascii="Times New Roman" w:hAnsi="Times New Roman"/>
          <w:i/>
          <w:iCs/>
          <w:color w:val="000000"/>
          <w:sz w:val="28"/>
          <w:szCs w:val="28"/>
          <w:shd w:val="clear" w:color="auto" w:fill="FFFFFF"/>
        </w:rPr>
        <w:t>13</w:t>
      </w:r>
      <w:r w:rsidRPr="00973826">
        <w:rPr>
          <w:rFonts w:ascii="Times New Roman" w:hAnsi="Times New Roman"/>
          <w:color w:val="000000"/>
          <w:sz w:val="28"/>
          <w:szCs w:val="28"/>
          <w:shd w:val="clear" w:color="auto" w:fill="FFFFFF"/>
        </w:rPr>
        <w:t>(4), p.e0194332.</w:t>
      </w:r>
    </w:p>
    <w:p w14:paraId="410515EB"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Colvin, E. and Anand, S.S., 1986. </w:t>
      </w:r>
      <w:r w:rsidRPr="00973826">
        <w:rPr>
          <w:rFonts w:ascii="Times New Roman" w:hAnsi="Times New Roman"/>
          <w:i/>
          <w:iCs/>
          <w:color w:val="000000"/>
          <w:sz w:val="28"/>
          <w:szCs w:val="28"/>
          <w:shd w:val="clear" w:color="auto" w:fill="FFFFFF"/>
        </w:rPr>
        <w:t>Principles of criminal law</w:t>
      </w:r>
      <w:r w:rsidRPr="00973826">
        <w:rPr>
          <w:rFonts w:ascii="Times New Roman" w:hAnsi="Times New Roman"/>
          <w:color w:val="000000"/>
          <w:sz w:val="28"/>
          <w:szCs w:val="28"/>
          <w:shd w:val="clear" w:color="auto" w:fill="FFFFFF"/>
        </w:rPr>
        <w:t> (p. 22). Carswell.</w:t>
      </w:r>
    </w:p>
    <w:p w14:paraId="7B26AD69"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Hall, J., 2005. </w:t>
      </w:r>
      <w:r w:rsidRPr="00973826">
        <w:rPr>
          <w:rFonts w:ascii="Times New Roman" w:hAnsi="Times New Roman"/>
          <w:i/>
          <w:iCs/>
          <w:color w:val="000000"/>
          <w:sz w:val="28"/>
          <w:szCs w:val="28"/>
          <w:shd w:val="clear" w:color="auto" w:fill="FFFFFF"/>
        </w:rPr>
        <w:t>General principles of criminal law</w:t>
      </w:r>
      <w:r w:rsidRPr="00973826">
        <w:rPr>
          <w:rFonts w:ascii="Times New Roman" w:hAnsi="Times New Roman"/>
          <w:color w:val="000000"/>
          <w:sz w:val="28"/>
          <w:szCs w:val="28"/>
          <w:shd w:val="clear" w:color="auto" w:fill="FFFFFF"/>
        </w:rPr>
        <w:t>. The Lawbook Exchange, Ltd..</w:t>
      </w:r>
    </w:p>
    <w:p w14:paraId="15D79B92"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Hall, L., 1947. General principles of criminal law.</w:t>
      </w:r>
    </w:p>
    <w:p w14:paraId="0B77DE6C" w14:textId="77777777" w:rsidR="00692B70" w:rsidRPr="00973826" w:rsidRDefault="00692B70" w:rsidP="00692B70">
      <w:pPr>
        <w:spacing w:line="360" w:lineRule="auto"/>
        <w:ind w:left="360"/>
        <w:jc w:val="both"/>
        <w:rPr>
          <w:rFonts w:ascii="Times New Roman" w:hAnsi="Times New Roman"/>
          <w:b/>
          <w:bCs/>
          <w:color w:val="000000"/>
          <w:sz w:val="28"/>
          <w:szCs w:val="28"/>
          <w:u w:val="single"/>
        </w:rPr>
      </w:pPr>
      <w:r w:rsidRPr="00973826">
        <w:rPr>
          <w:rFonts w:ascii="Times New Roman" w:hAnsi="Times New Roman"/>
          <w:color w:val="000000"/>
          <w:sz w:val="28"/>
          <w:szCs w:val="28"/>
          <w:shd w:val="clear" w:color="auto" w:fill="FFFFFF"/>
        </w:rPr>
        <w:t>Heller, K.J. and Dubber, M. eds., 2010. </w:t>
      </w:r>
      <w:r w:rsidRPr="00973826">
        <w:rPr>
          <w:rFonts w:ascii="Times New Roman" w:hAnsi="Times New Roman"/>
          <w:i/>
          <w:iCs/>
          <w:color w:val="000000"/>
          <w:sz w:val="28"/>
          <w:szCs w:val="28"/>
          <w:shd w:val="clear" w:color="auto" w:fill="FFFFFF"/>
        </w:rPr>
        <w:t>The handbook of comparative criminal law</w:t>
      </w:r>
      <w:r w:rsidRPr="00973826">
        <w:rPr>
          <w:rFonts w:ascii="Times New Roman" w:hAnsi="Times New Roman"/>
          <w:color w:val="000000"/>
          <w:sz w:val="28"/>
          <w:szCs w:val="28"/>
          <w:shd w:val="clear" w:color="auto" w:fill="FFFFFF"/>
        </w:rPr>
        <w:t>. Stanford University Press.</w:t>
      </w:r>
    </w:p>
    <w:p w14:paraId="109C996C"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Herring, J., 2014. </w:t>
      </w:r>
      <w:r w:rsidRPr="00973826">
        <w:rPr>
          <w:rFonts w:ascii="Times New Roman" w:hAnsi="Times New Roman"/>
          <w:i/>
          <w:iCs/>
          <w:color w:val="000000"/>
          <w:sz w:val="28"/>
          <w:szCs w:val="28"/>
          <w:shd w:val="clear" w:color="auto" w:fill="FFFFFF"/>
        </w:rPr>
        <w:t>Criminal law: text, cases, and materials</w:t>
      </w:r>
      <w:r w:rsidRPr="00973826">
        <w:rPr>
          <w:rFonts w:ascii="Times New Roman" w:hAnsi="Times New Roman"/>
          <w:color w:val="000000"/>
          <w:sz w:val="28"/>
          <w:szCs w:val="28"/>
          <w:shd w:val="clear" w:color="auto" w:fill="FFFFFF"/>
        </w:rPr>
        <w:t>. Oxford University Press, USA.</w:t>
      </w:r>
    </w:p>
    <w:p w14:paraId="62B682F3"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Parsons, S., 2000. Intention in criminal law: why is it so difficult to find?. </w:t>
      </w:r>
      <w:r w:rsidRPr="00973826">
        <w:rPr>
          <w:rFonts w:ascii="Times New Roman" w:hAnsi="Times New Roman"/>
          <w:i/>
          <w:iCs/>
          <w:color w:val="000000"/>
          <w:sz w:val="28"/>
          <w:szCs w:val="28"/>
          <w:shd w:val="clear" w:color="auto" w:fill="FFFFFF"/>
        </w:rPr>
        <w:t>Mountbatten Journal of Legal Studies</w:t>
      </w:r>
      <w:r w:rsidRPr="00973826">
        <w:rPr>
          <w:rFonts w:ascii="Times New Roman" w:hAnsi="Times New Roman"/>
          <w:color w:val="000000"/>
          <w:sz w:val="28"/>
          <w:szCs w:val="28"/>
          <w:shd w:val="clear" w:color="auto" w:fill="FFFFFF"/>
        </w:rPr>
        <w:t>, </w:t>
      </w:r>
      <w:r w:rsidRPr="00973826">
        <w:rPr>
          <w:rFonts w:ascii="Times New Roman" w:hAnsi="Times New Roman"/>
          <w:i/>
          <w:iCs/>
          <w:color w:val="000000"/>
          <w:sz w:val="28"/>
          <w:szCs w:val="28"/>
          <w:shd w:val="clear" w:color="auto" w:fill="FFFFFF"/>
        </w:rPr>
        <w:t>4</w:t>
      </w:r>
      <w:r w:rsidRPr="00973826">
        <w:rPr>
          <w:rFonts w:ascii="Times New Roman" w:hAnsi="Times New Roman"/>
          <w:color w:val="000000"/>
          <w:sz w:val="28"/>
          <w:szCs w:val="28"/>
          <w:shd w:val="clear" w:color="auto" w:fill="FFFFFF"/>
        </w:rPr>
        <w:t>(1 &amp; 2), pp.5-19.</w:t>
      </w:r>
    </w:p>
    <w:p w14:paraId="0ECA7F65"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Rogers, T.P., Blackwood, N., Farnham, F., Pickup, G. and Watts, M., 2009. Reformulating fitness to plead: A qualitative study. </w:t>
      </w:r>
      <w:r w:rsidRPr="00973826">
        <w:rPr>
          <w:rFonts w:ascii="Times New Roman" w:hAnsi="Times New Roman"/>
          <w:i/>
          <w:iCs/>
          <w:color w:val="000000"/>
          <w:sz w:val="28"/>
          <w:szCs w:val="28"/>
          <w:shd w:val="clear" w:color="auto" w:fill="FFFFFF"/>
        </w:rPr>
        <w:t>The Journal of Forensic Psychiatry &amp; Psychology</w:t>
      </w:r>
      <w:r w:rsidRPr="00973826">
        <w:rPr>
          <w:rFonts w:ascii="Times New Roman" w:hAnsi="Times New Roman"/>
          <w:color w:val="000000"/>
          <w:sz w:val="28"/>
          <w:szCs w:val="28"/>
          <w:shd w:val="clear" w:color="auto" w:fill="FFFFFF"/>
        </w:rPr>
        <w:t>, </w:t>
      </w:r>
      <w:r w:rsidRPr="00973826">
        <w:rPr>
          <w:rFonts w:ascii="Times New Roman" w:hAnsi="Times New Roman"/>
          <w:i/>
          <w:iCs/>
          <w:color w:val="000000"/>
          <w:sz w:val="28"/>
          <w:szCs w:val="28"/>
          <w:shd w:val="clear" w:color="auto" w:fill="FFFFFF"/>
        </w:rPr>
        <w:t>20</w:t>
      </w:r>
      <w:r w:rsidRPr="00973826">
        <w:rPr>
          <w:rFonts w:ascii="Times New Roman" w:hAnsi="Times New Roman"/>
          <w:color w:val="000000"/>
          <w:sz w:val="28"/>
          <w:szCs w:val="28"/>
          <w:shd w:val="clear" w:color="auto" w:fill="FFFFFF"/>
        </w:rPr>
        <w:t>(6), pp.815-834.</w:t>
      </w:r>
    </w:p>
    <w:p w14:paraId="0985F460" w14:textId="77777777" w:rsidR="00692B70" w:rsidRPr="00973826" w:rsidRDefault="00692B70" w:rsidP="00692B70">
      <w:pPr>
        <w:spacing w:line="360" w:lineRule="auto"/>
        <w:ind w:left="360"/>
        <w:jc w:val="both"/>
        <w:rPr>
          <w:rFonts w:ascii="Times New Roman" w:hAnsi="Times New Roman"/>
          <w:color w:val="000000"/>
          <w:sz w:val="28"/>
          <w:szCs w:val="28"/>
          <w:shd w:val="clear" w:color="auto" w:fill="FFFFFF"/>
        </w:rPr>
      </w:pPr>
      <w:r w:rsidRPr="00973826">
        <w:rPr>
          <w:rFonts w:ascii="Times New Roman" w:hAnsi="Times New Roman"/>
          <w:color w:val="000000"/>
          <w:sz w:val="28"/>
          <w:szCs w:val="28"/>
          <w:shd w:val="clear" w:color="auto" w:fill="FFFFFF"/>
        </w:rPr>
        <w:t>Vassall-Adams, G. and Scott-Moncrieff, L., 2006. Capacity and fitness to plead: The yawning gap. </w:t>
      </w:r>
      <w:r w:rsidRPr="00973826">
        <w:rPr>
          <w:rFonts w:ascii="Times New Roman" w:hAnsi="Times New Roman"/>
          <w:i/>
          <w:iCs/>
          <w:color w:val="000000"/>
          <w:sz w:val="28"/>
          <w:szCs w:val="28"/>
          <w:shd w:val="clear" w:color="auto" w:fill="FFFFFF"/>
        </w:rPr>
        <w:t>Counsel</w:t>
      </w:r>
      <w:r w:rsidRPr="00973826">
        <w:rPr>
          <w:rFonts w:ascii="Times New Roman" w:hAnsi="Times New Roman"/>
          <w:color w:val="000000"/>
          <w:sz w:val="28"/>
          <w:szCs w:val="28"/>
          <w:shd w:val="clear" w:color="auto" w:fill="FFFFFF"/>
        </w:rPr>
        <w:t>, </w:t>
      </w:r>
      <w:r w:rsidRPr="00973826">
        <w:rPr>
          <w:rFonts w:ascii="Times New Roman" w:hAnsi="Times New Roman"/>
          <w:i/>
          <w:iCs/>
          <w:color w:val="000000"/>
          <w:sz w:val="28"/>
          <w:szCs w:val="28"/>
          <w:shd w:val="clear" w:color="auto" w:fill="FFFFFF"/>
        </w:rPr>
        <w:t>3</w:t>
      </w:r>
      <w:r w:rsidRPr="00973826">
        <w:rPr>
          <w:rFonts w:ascii="Times New Roman" w:hAnsi="Times New Roman"/>
          <w:color w:val="000000"/>
          <w:sz w:val="28"/>
          <w:szCs w:val="28"/>
          <w:shd w:val="clear" w:color="auto" w:fill="FFFFFF"/>
        </w:rPr>
        <w:t>, pp.2-3.</w:t>
      </w:r>
    </w:p>
    <w:p w14:paraId="72FCC091" w14:textId="77777777" w:rsidR="00692B70" w:rsidRPr="00973826" w:rsidRDefault="00692B70" w:rsidP="00692B70">
      <w:pPr>
        <w:pStyle w:val="Heading1"/>
        <w:spacing w:line="360" w:lineRule="auto"/>
        <w:rPr>
          <w:rFonts w:ascii="Times New Roman" w:hAnsi="Times New Roman"/>
          <w:color w:val="000000"/>
          <w:sz w:val="28"/>
          <w:szCs w:val="28"/>
          <w:u w:val="single"/>
          <w:shd w:val="clear" w:color="auto" w:fill="FFFFFF"/>
        </w:rPr>
      </w:pPr>
    </w:p>
    <w:p w14:paraId="57218F6A" w14:textId="77777777" w:rsidR="00916B55" w:rsidRDefault="00916B55" w:rsidP="00692B70">
      <w:pPr>
        <w:pStyle w:val="Heading1"/>
        <w:spacing w:line="360" w:lineRule="auto"/>
        <w:rPr>
          <w:rFonts w:ascii="Times New Roman" w:hAnsi="Times New Roman"/>
          <w:color w:val="000000"/>
          <w:sz w:val="28"/>
          <w:szCs w:val="28"/>
          <w:u w:val="single"/>
          <w:shd w:val="clear" w:color="auto" w:fill="FFFFFF"/>
        </w:rPr>
      </w:pPr>
      <w:bookmarkStart w:id="26" w:name="_Toc67908800"/>
    </w:p>
    <w:p w14:paraId="657475A2" w14:textId="64777DCA" w:rsidR="00692B70" w:rsidRPr="007D6504" w:rsidRDefault="00692B70" w:rsidP="00692B70">
      <w:pPr>
        <w:pStyle w:val="Heading1"/>
        <w:spacing w:line="360" w:lineRule="auto"/>
        <w:rPr>
          <w:rFonts w:ascii="Times New Roman" w:hAnsi="Times New Roman"/>
          <w:b/>
          <w:bCs/>
          <w:color w:val="1F497D" w:themeColor="text2"/>
          <w:sz w:val="28"/>
          <w:szCs w:val="28"/>
          <w:u w:val="single"/>
          <w:shd w:val="clear" w:color="auto" w:fill="FFFFFF"/>
        </w:rPr>
      </w:pPr>
      <w:r w:rsidRPr="007D6504">
        <w:rPr>
          <w:rFonts w:ascii="Times New Roman" w:hAnsi="Times New Roman"/>
          <w:b/>
          <w:bCs/>
          <w:color w:val="1F497D" w:themeColor="text2"/>
          <w:sz w:val="28"/>
          <w:szCs w:val="28"/>
          <w:u w:val="single"/>
          <w:shd w:val="clear" w:color="auto" w:fill="FFFFFF"/>
        </w:rPr>
        <w:t>Case Law</w:t>
      </w:r>
      <w:bookmarkEnd w:id="26"/>
    </w:p>
    <w:p w14:paraId="3FD1A48A" w14:textId="77777777" w:rsidR="00692B70" w:rsidRPr="00916B55" w:rsidRDefault="00692B70" w:rsidP="00692B70">
      <w:pPr>
        <w:autoSpaceDE w:val="0"/>
        <w:autoSpaceDN w:val="0"/>
        <w:adjustRightInd w:val="0"/>
        <w:spacing w:after="0" w:line="360" w:lineRule="auto"/>
        <w:rPr>
          <w:rFonts w:ascii="Times New Roman" w:hAnsi="Times New Roman"/>
          <w:b/>
          <w:bCs/>
          <w:color w:val="000000"/>
          <w:sz w:val="28"/>
          <w:szCs w:val="28"/>
          <w:lang w:eastAsia="en-US"/>
        </w:rPr>
      </w:pPr>
      <w:r w:rsidRPr="00916B55">
        <w:rPr>
          <w:rFonts w:ascii="Times New Roman" w:hAnsi="Times New Roman"/>
          <w:b/>
          <w:bCs/>
          <w:color w:val="000000"/>
          <w:sz w:val="28"/>
          <w:szCs w:val="28"/>
          <w:lang w:eastAsia="en-US"/>
        </w:rPr>
        <w:t>R v Johnson (2007)</w:t>
      </w:r>
    </w:p>
    <w:p w14:paraId="68A2100E" w14:textId="77777777" w:rsidR="00692B70" w:rsidRPr="00916B55" w:rsidRDefault="00692B70" w:rsidP="00692B70">
      <w:pPr>
        <w:autoSpaceDE w:val="0"/>
        <w:autoSpaceDN w:val="0"/>
        <w:adjustRightInd w:val="0"/>
        <w:spacing w:after="0" w:line="360" w:lineRule="auto"/>
        <w:rPr>
          <w:rFonts w:ascii="Times New Roman" w:hAnsi="Times New Roman"/>
          <w:b/>
          <w:bCs/>
          <w:color w:val="000000"/>
          <w:sz w:val="28"/>
          <w:szCs w:val="28"/>
          <w:lang w:eastAsia="en-US"/>
        </w:rPr>
      </w:pPr>
      <w:r w:rsidRPr="00916B55">
        <w:rPr>
          <w:rFonts w:ascii="Times New Roman" w:hAnsi="Times New Roman"/>
          <w:b/>
          <w:bCs/>
          <w:color w:val="000000"/>
          <w:sz w:val="28"/>
          <w:szCs w:val="28"/>
          <w:lang w:eastAsia="en-US"/>
        </w:rPr>
        <w:t>R v Windle (1953)</w:t>
      </w:r>
    </w:p>
    <w:p w14:paraId="2C4EE5B1" w14:textId="77777777" w:rsidR="00692B70" w:rsidRPr="00916B55" w:rsidRDefault="00692B70" w:rsidP="00692B70">
      <w:pPr>
        <w:autoSpaceDE w:val="0"/>
        <w:autoSpaceDN w:val="0"/>
        <w:adjustRightInd w:val="0"/>
        <w:spacing w:after="0" w:line="360" w:lineRule="auto"/>
        <w:rPr>
          <w:rFonts w:ascii="Times New Roman" w:hAnsi="Times New Roman"/>
          <w:b/>
          <w:bCs/>
          <w:color w:val="000000"/>
          <w:sz w:val="28"/>
          <w:szCs w:val="28"/>
          <w:lang w:eastAsia="en-US"/>
        </w:rPr>
      </w:pPr>
      <w:r w:rsidRPr="00916B55">
        <w:rPr>
          <w:rFonts w:ascii="Times New Roman" w:hAnsi="Times New Roman"/>
          <w:b/>
          <w:bCs/>
          <w:color w:val="000000"/>
          <w:sz w:val="28"/>
          <w:szCs w:val="28"/>
          <w:lang w:eastAsia="en-US"/>
        </w:rPr>
        <w:t>R v Woolin (1999)</w:t>
      </w:r>
    </w:p>
    <w:p w14:paraId="69CE93C3" w14:textId="77777777" w:rsidR="00692B70" w:rsidRPr="00916B55" w:rsidRDefault="00692B70" w:rsidP="00692B70">
      <w:pPr>
        <w:autoSpaceDE w:val="0"/>
        <w:autoSpaceDN w:val="0"/>
        <w:adjustRightInd w:val="0"/>
        <w:spacing w:after="0" w:line="360" w:lineRule="auto"/>
        <w:rPr>
          <w:rFonts w:ascii="Times New Roman" w:hAnsi="Times New Roman"/>
          <w:b/>
          <w:bCs/>
          <w:color w:val="000000"/>
          <w:sz w:val="28"/>
          <w:szCs w:val="28"/>
          <w:lang w:eastAsia="en-US"/>
        </w:rPr>
      </w:pPr>
      <w:r w:rsidRPr="00916B55">
        <w:rPr>
          <w:rFonts w:ascii="Times New Roman" w:hAnsi="Times New Roman"/>
          <w:b/>
          <w:bCs/>
          <w:color w:val="000000"/>
          <w:sz w:val="28"/>
          <w:szCs w:val="28"/>
          <w:lang w:eastAsia="en-US"/>
        </w:rPr>
        <w:t>R v Moloney (1985)</w:t>
      </w:r>
    </w:p>
    <w:p w14:paraId="35077F39" w14:textId="77777777" w:rsidR="00692B70" w:rsidRPr="00916B55" w:rsidRDefault="00692B70" w:rsidP="00692B70">
      <w:pPr>
        <w:autoSpaceDE w:val="0"/>
        <w:autoSpaceDN w:val="0"/>
        <w:adjustRightInd w:val="0"/>
        <w:spacing w:after="0" w:line="360" w:lineRule="auto"/>
        <w:rPr>
          <w:rFonts w:ascii="Times New Roman" w:hAnsi="Times New Roman"/>
          <w:b/>
          <w:bCs/>
          <w:color w:val="000000"/>
          <w:sz w:val="24"/>
          <w:szCs w:val="24"/>
          <w:lang w:eastAsia="en-US"/>
        </w:rPr>
      </w:pPr>
      <w:r w:rsidRPr="00916B55">
        <w:rPr>
          <w:rFonts w:ascii="Times New Roman" w:hAnsi="Times New Roman"/>
          <w:b/>
          <w:bCs/>
          <w:color w:val="000000"/>
          <w:sz w:val="24"/>
          <w:szCs w:val="24"/>
          <w:lang w:eastAsia="en-US"/>
        </w:rPr>
        <w:t>R v Hancock v Shankland (1985)</w:t>
      </w:r>
    </w:p>
    <w:p w14:paraId="7BA8904F" w14:textId="77777777" w:rsidR="00692B70" w:rsidRPr="00916B55" w:rsidRDefault="00692B70" w:rsidP="00692B70">
      <w:pPr>
        <w:spacing w:line="360" w:lineRule="auto"/>
        <w:jc w:val="both"/>
        <w:rPr>
          <w:rFonts w:ascii="Times New Roman" w:hAnsi="Times New Roman"/>
          <w:b/>
          <w:bCs/>
          <w:color w:val="000000"/>
          <w:sz w:val="24"/>
          <w:szCs w:val="24"/>
          <w:shd w:val="clear" w:color="auto" w:fill="FFFFFF"/>
        </w:rPr>
      </w:pPr>
      <w:r w:rsidRPr="00916B55">
        <w:rPr>
          <w:rFonts w:ascii="Times New Roman" w:hAnsi="Times New Roman"/>
          <w:b/>
          <w:bCs/>
          <w:color w:val="000000"/>
          <w:sz w:val="24"/>
          <w:szCs w:val="24"/>
          <w:lang w:eastAsia="en-US"/>
        </w:rPr>
        <w:t>R v Royle (2013)</w:t>
      </w:r>
    </w:p>
    <w:p w14:paraId="32CF5ED4" w14:textId="77777777" w:rsidR="00692B70" w:rsidRDefault="00692B70">
      <w:pPr>
        <w:jc w:val="center"/>
        <w:rPr>
          <w:color w:val="000000"/>
          <w:sz w:val="24"/>
          <w:szCs w:val="24"/>
          <w:u w:val="single"/>
        </w:rPr>
      </w:pPr>
    </w:p>
    <w:sectPr w:rsidR="00692B7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C42F0" w14:textId="77777777" w:rsidR="00773F3D" w:rsidRDefault="00773F3D" w:rsidP="00916D90">
      <w:pPr>
        <w:spacing w:after="0" w:line="240" w:lineRule="auto"/>
      </w:pPr>
      <w:r>
        <w:separator/>
      </w:r>
    </w:p>
  </w:endnote>
  <w:endnote w:type="continuationSeparator" w:id="0">
    <w:p w14:paraId="7675AFC7" w14:textId="77777777" w:rsidR="00773F3D" w:rsidRDefault="00773F3D" w:rsidP="0091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BB702" w14:textId="77777777" w:rsidR="00773F3D" w:rsidRDefault="00773F3D" w:rsidP="00916D90">
      <w:pPr>
        <w:spacing w:after="0" w:line="240" w:lineRule="auto"/>
      </w:pPr>
      <w:r>
        <w:separator/>
      </w:r>
    </w:p>
  </w:footnote>
  <w:footnote w:type="continuationSeparator" w:id="0">
    <w:p w14:paraId="0EB56491" w14:textId="77777777" w:rsidR="00773F3D" w:rsidRDefault="00773F3D" w:rsidP="00916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07C8"/>
    <w:multiLevelType w:val="hybridMultilevel"/>
    <w:tmpl w:val="8542C848"/>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56321DA"/>
    <w:multiLevelType w:val="hybridMultilevel"/>
    <w:tmpl w:val="0ECE5794"/>
    <w:lvl w:ilvl="0" w:tplc="181E88D6">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6130A7"/>
    <w:multiLevelType w:val="hybridMultilevel"/>
    <w:tmpl w:val="9E16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F1FF4"/>
    <w:multiLevelType w:val="hybridMultilevel"/>
    <w:tmpl w:val="3790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7F471C"/>
    <w:multiLevelType w:val="hybridMultilevel"/>
    <w:tmpl w:val="F946B55A"/>
    <w:lvl w:ilvl="0" w:tplc="DC7ACD0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433875D7"/>
    <w:multiLevelType w:val="hybridMultilevel"/>
    <w:tmpl w:val="276A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C14431"/>
    <w:multiLevelType w:val="hybridMultilevel"/>
    <w:tmpl w:val="AAC00998"/>
    <w:lvl w:ilvl="0" w:tplc="EB2EC71A">
      <w:start w:val="1"/>
      <w:numFmt w:val="decimal"/>
      <w:lvlText w:val="%1."/>
      <w:lvlJc w:val="left"/>
      <w:pPr>
        <w:ind w:left="502"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A22FE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915DF8"/>
    <w:multiLevelType w:val="hybridMultilevel"/>
    <w:tmpl w:val="0ECE5794"/>
    <w:lvl w:ilvl="0" w:tplc="181E88D6">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7"/>
  </w:num>
  <w:num w:numId="6">
    <w:abstractNumId w:val="6"/>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7B"/>
    <w:rsid w:val="000755B0"/>
    <w:rsid w:val="00083524"/>
    <w:rsid w:val="00087A92"/>
    <w:rsid w:val="000A5E16"/>
    <w:rsid w:val="00107D68"/>
    <w:rsid w:val="001313E1"/>
    <w:rsid w:val="0014694E"/>
    <w:rsid w:val="00150D5C"/>
    <w:rsid w:val="001C04AB"/>
    <w:rsid w:val="0021516C"/>
    <w:rsid w:val="0023529D"/>
    <w:rsid w:val="00243B5D"/>
    <w:rsid w:val="00283D63"/>
    <w:rsid w:val="002852D3"/>
    <w:rsid w:val="002A79D5"/>
    <w:rsid w:val="002B0E14"/>
    <w:rsid w:val="002E42BA"/>
    <w:rsid w:val="00310799"/>
    <w:rsid w:val="0036082D"/>
    <w:rsid w:val="003A32DE"/>
    <w:rsid w:val="003D06C4"/>
    <w:rsid w:val="00411FB3"/>
    <w:rsid w:val="00435840"/>
    <w:rsid w:val="00453E36"/>
    <w:rsid w:val="0054574D"/>
    <w:rsid w:val="00585E19"/>
    <w:rsid w:val="005F089E"/>
    <w:rsid w:val="00646B02"/>
    <w:rsid w:val="00692B70"/>
    <w:rsid w:val="006957A3"/>
    <w:rsid w:val="006E29A8"/>
    <w:rsid w:val="00725C94"/>
    <w:rsid w:val="00767B5D"/>
    <w:rsid w:val="00773F3D"/>
    <w:rsid w:val="007B78E5"/>
    <w:rsid w:val="007D1E32"/>
    <w:rsid w:val="007D6504"/>
    <w:rsid w:val="00825D28"/>
    <w:rsid w:val="0087462F"/>
    <w:rsid w:val="00877994"/>
    <w:rsid w:val="00916B55"/>
    <w:rsid w:val="00916D90"/>
    <w:rsid w:val="009529E2"/>
    <w:rsid w:val="00973826"/>
    <w:rsid w:val="00974EC4"/>
    <w:rsid w:val="009756BA"/>
    <w:rsid w:val="009D537A"/>
    <w:rsid w:val="009F0199"/>
    <w:rsid w:val="00A17F20"/>
    <w:rsid w:val="00B45B7D"/>
    <w:rsid w:val="00B61B7B"/>
    <w:rsid w:val="00B76F96"/>
    <w:rsid w:val="00BD32AB"/>
    <w:rsid w:val="00BE6CCD"/>
    <w:rsid w:val="00C052B2"/>
    <w:rsid w:val="00C17C66"/>
    <w:rsid w:val="00C637FD"/>
    <w:rsid w:val="00E63F5F"/>
    <w:rsid w:val="00E67F7F"/>
    <w:rsid w:val="00F32CAC"/>
    <w:rsid w:val="00FA7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636A"/>
  <w15:docId w15:val="{6A9A6052-AF12-445B-B754-91AFE1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BA"/>
  </w:style>
  <w:style w:type="paragraph" w:styleId="Heading1">
    <w:name w:val="heading 1"/>
    <w:basedOn w:val="Normal"/>
    <w:next w:val="Normal"/>
    <w:link w:val="Heading1Char"/>
    <w:uiPriority w:val="9"/>
    <w:qFormat/>
    <w:rsid w:val="002E42BA"/>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2E42BA"/>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E42BA"/>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E42BA"/>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2E42BA"/>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2E42BA"/>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2E42BA"/>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2E42BA"/>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2E42BA"/>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42BA"/>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2E42BA"/>
    <w:pPr>
      <w:numPr>
        <w:ilvl w:val="1"/>
      </w:numPr>
      <w:spacing w:after="240" w:line="240" w:lineRule="auto"/>
    </w:pPr>
    <w:rPr>
      <w:rFonts w:asciiTheme="majorHAnsi" w:eastAsiaTheme="majorEastAsia" w:hAnsiTheme="majorHAnsi" w:cstheme="majorBidi"/>
      <w:color w:val="4F81BD" w:themeColor="accent1"/>
      <w:sz w:val="28"/>
      <w:szCs w:val="28"/>
    </w:rPr>
  </w:style>
  <w:style w:type="table" w:customStyle="1" w:styleId="a">
    <w:basedOn w:val="TableNormal"/>
    <w:tblPr>
      <w:tblStyleRowBandSize w:val="1"/>
      <w:tblStyleColBandSize w:val="1"/>
    </w:tblPr>
  </w:style>
  <w:style w:type="paragraph" w:styleId="NoSpacing">
    <w:name w:val="No Spacing"/>
    <w:link w:val="NoSpacingChar"/>
    <w:uiPriority w:val="1"/>
    <w:qFormat/>
    <w:rsid w:val="002E42BA"/>
    <w:pPr>
      <w:spacing w:after="0" w:line="240" w:lineRule="auto"/>
    </w:pPr>
  </w:style>
  <w:style w:type="character" w:customStyle="1" w:styleId="NoSpacingChar">
    <w:name w:val="No Spacing Char"/>
    <w:basedOn w:val="DefaultParagraphFont"/>
    <w:link w:val="NoSpacing"/>
    <w:uiPriority w:val="1"/>
    <w:rsid w:val="00083524"/>
  </w:style>
  <w:style w:type="table" w:styleId="TableGrid">
    <w:name w:val="Table Grid"/>
    <w:basedOn w:val="TableNormal"/>
    <w:rsid w:val="0008352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83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83524"/>
  </w:style>
  <w:style w:type="character" w:customStyle="1" w:styleId="eop">
    <w:name w:val="eop"/>
    <w:basedOn w:val="DefaultParagraphFont"/>
    <w:rsid w:val="00083524"/>
  </w:style>
  <w:style w:type="paragraph" w:styleId="ListParagraph">
    <w:name w:val="List Paragraph"/>
    <w:basedOn w:val="Normal"/>
    <w:uiPriority w:val="34"/>
    <w:qFormat/>
    <w:rsid w:val="00083524"/>
    <w:pPr>
      <w:ind w:left="720"/>
      <w:contextualSpacing/>
    </w:pPr>
  </w:style>
  <w:style w:type="character" w:styleId="Hyperlink">
    <w:name w:val="Hyperlink"/>
    <w:basedOn w:val="DefaultParagraphFont"/>
    <w:uiPriority w:val="99"/>
    <w:unhideWhenUsed/>
    <w:rsid w:val="00083524"/>
    <w:rPr>
      <w:color w:val="0000FF" w:themeColor="hyperlink"/>
      <w:u w:val="single"/>
    </w:rPr>
  </w:style>
  <w:style w:type="paragraph" w:styleId="Header">
    <w:name w:val="header"/>
    <w:basedOn w:val="Normal"/>
    <w:link w:val="HeaderChar"/>
    <w:uiPriority w:val="99"/>
    <w:unhideWhenUsed/>
    <w:rsid w:val="00916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D90"/>
  </w:style>
  <w:style w:type="paragraph" w:styleId="Footer">
    <w:name w:val="footer"/>
    <w:basedOn w:val="Normal"/>
    <w:link w:val="FooterChar"/>
    <w:uiPriority w:val="99"/>
    <w:unhideWhenUsed/>
    <w:rsid w:val="00916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D90"/>
  </w:style>
  <w:style w:type="character" w:customStyle="1" w:styleId="Heading1Char">
    <w:name w:val="Heading 1 Char"/>
    <w:basedOn w:val="DefaultParagraphFont"/>
    <w:link w:val="Heading1"/>
    <w:uiPriority w:val="9"/>
    <w:rsid w:val="002E42BA"/>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2E42B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E42BA"/>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E42BA"/>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2E42BA"/>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2E42BA"/>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2E42BA"/>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2E42BA"/>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2E42BA"/>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2E42BA"/>
    <w:pPr>
      <w:spacing w:line="240" w:lineRule="auto"/>
    </w:pPr>
    <w:rPr>
      <w:b/>
      <w:bCs/>
      <w:smallCaps/>
      <w:color w:val="1F497D" w:themeColor="text2"/>
    </w:rPr>
  </w:style>
  <w:style w:type="character" w:customStyle="1" w:styleId="TitleChar">
    <w:name w:val="Title Char"/>
    <w:basedOn w:val="DefaultParagraphFont"/>
    <w:link w:val="Title"/>
    <w:uiPriority w:val="10"/>
    <w:rsid w:val="002E42BA"/>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2E42BA"/>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2E42BA"/>
    <w:rPr>
      <w:b/>
      <w:bCs/>
    </w:rPr>
  </w:style>
  <w:style w:type="character" w:styleId="Emphasis">
    <w:name w:val="Emphasis"/>
    <w:basedOn w:val="DefaultParagraphFont"/>
    <w:uiPriority w:val="20"/>
    <w:qFormat/>
    <w:rsid w:val="002E42BA"/>
    <w:rPr>
      <w:i/>
      <w:iCs/>
    </w:rPr>
  </w:style>
  <w:style w:type="paragraph" w:styleId="Quote">
    <w:name w:val="Quote"/>
    <w:basedOn w:val="Normal"/>
    <w:next w:val="Normal"/>
    <w:link w:val="QuoteChar"/>
    <w:uiPriority w:val="29"/>
    <w:qFormat/>
    <w:rsid w:val="002E42BA"/>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2E42BA"/>
    <w:rPr>
      <w:color w:val="1F497D" w:themeColor="text2"/>
      <w:sz w:val="24"/>
      <w:szCs w:val="24"/>
    </w:rPr>
  </w:style>
  <w:style w:type="paragraph" w:styleId="IntenseQuote">
    <w:name w:val="Intense Quote"/>
    <w:basedOn w:val="Normal"/>
    <w:next w:val="Normal"/>
    <w:link w:val="IntenseQuoteChar"/>
    <w:uiPriority w:val="30"/>
    <w:qFormat/>
    <w:rsid w:val="002E42BA"/>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2E42BA"/>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2E42BA"/>
    <w:rPr>
      <w:i/>
      <w:iCs/>
      <w:color w:val="595959" w:themeColor="text1" w:themeTint="A6"/>
    </w:rPr>
  </w:style>
  <w:style w:type="character" w:styleId="IntenseEmphasis">
    <w:name w:val="Intense Emphasis"/>
    <w:basedOn w:val="DefaultParagraphFont"/>
    <w:uiPriority w:val="21"/>
    <w:qFormat/>
    <w:rsid w:val="002E42BA"/>
    <w:rPr>
      <w:b/>
      <w:bCs/>
      <w:i/>
      <w:iCs/>
    </w:rPr>
  </w:style>
  <w:style w:type="character" w:styleId="SubtleReference">
    <w:name w:val="Subtle Reference"/>
    <w:basedOn w:val="DefaultParagraphFont"/>
    <w:uiPriority w:val="31"/>
    <w:qFormat/>
    <w:rsid w:val="002E42B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E42BA"/>
    <w:rPr>
      <w:b/>
      <w:bCs/>
      <w:smallCaps/>
      <w:color w:val="1F497D" w:themeColor="text2"/>
      <w:u w:val="single"/>
    </w:rPr>
  </w:style>
  <w:style w:type="character" w:styleId="BookTitle">
    <w:name w:val="Book Title"/>
    <w:basedOn w:val="DefaultParagraphFont"/>
    <w:uiPriority w:val="33"/>
    <w:qFormat/>
    <w:rsid w:val="002E42BA"/>
    <w:rPr>
      <w:b/>
      <w:bCs/>
      <w:smallCaps/>
      <w:spacing w:val="10"/>
    </w:rPr>
  </w:style>
  <w:style w:type="paragraph" w:styleId="TOCHeading">
    <w:name w:val="TOC Heading"/>
    <w:basedOn w:val="Heading1"/>
    <w:next w:val="Normal"/>
    <w:uiPriority w:val="39"/>
    <w:semiHidden/>
    <w:unhideWhenUsed/>
    <w:qFormat/>
    <w:rsid w:val="002E42BA"/>
    <w:pPr>
      <w:outlineLvl w:val="9"/>
    </w:pPr>
  </w:style>
  <w:style w:type="paragraph" w:styleId="TOC1">
    <w:name w:val="toc 1"/>
    <w:basedOn w:val="Normal"/>
    <w:next w:val="Normal"/>
    <w:autoRedefine/>
    <w:uiPriority w:val="39"/>
    <w:semiHidden/>
    <w:unhideWhenUsed/>
    <w:rsid w:val="00692B70"/>
    <w:pPr>
      <w:spacing w:after="100"/>
    </w:pPr>
  </w:style>
  <w:style w:type="paragraph" w:styleId="TOC2">
    <w:name w:val="toc 2"/>
    <w:basedOn w:val="Normal"/>
    <w:next w:val="Normal"/>
    <w:autoRedefine/>
    <w:uiPriority w:val="39"/>
    <w:semiHidden/>
    <w:unhideWhenUsed/>
    <w:rsid w:val="00692B7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dcterms:created xsi:type="dcterms:W3CDTF">2020-11-05T21:43:00Z</dcterms:created>
  <dcterms:modified xsi:type="dcterms:W3CDTF">2021-05-07T22:24:00Z</dcterms:modified>
</cp:coreProperties>
</file>