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DB868" w14:textId="77777777" w:rsidR="000D3D9E" w:rsidRDefault="000D3D9E" w:rsidP="00D50EF3">
      <w:pPr>
        <w:tabs>
          <w:tab w:val="num" w:pos="720"/>
        </w:tabs>
        <w:spacing w:line="360" w:lineRule="auto"/>
        <w:ind w:left="720" w:hanging="360"/>
        <w:jc w:val="center"/>
      </w:pPr>
    </w:p>
    <w:p w14:paraId="2174FA18" w14:textId="77777777" w:rsidR="000D3D9E" w:rsidRDefault="000D3D9E" w:rsidP="000D3D9E">
      <w:pPr>
        <w:pStyle w:val="NormalWeb"/>
        <w:shd w:val="clear" w:color="auto" w:fill="FFFFFF"/>
        <w:spacing w:before="0" w:beforeAutospacing="0"/>
        <w:rPr>
          <w:rFonts w:ascii="Segoe UI" w:hAnsi="Segoe UI" w:cs="Segoe UI"/>
          <w:color w:val="1D2125"/>
          <w:sz w:val="23"/>
          <w:szCs w:val="23"/>
        </w:rPr>
      </w:pPr>
      <w:r>
        <w:rPr>
          <w:rFonts w:ascii="Segoe UI" w:hAnsi="Segoe UI" w:cs="Segoe UI"/>
          <w:color w:val="1D2125"/>
          <w:sz w:val="23"/>
          <w:szCs w:val="23"/>
        </w:rPr>
        <w:br/>
        <w:t>I confirm that I have not presented any AI generated text as my own work</w:t>
      </w:r>
    </w:p>
    <w:p w14:paraId="5EBE7484" w14:textId="77777777" w:rsidR="000D3D9E" w:rsidRDefault="000D3D9E" w:rsidP="00D50EF3">
      <w:pPr>
        <w:numPr>
          <w:ilvl w:val="0"/>
          <w:numId w:val="1"/>
        </w:numPr>
        <w:spacing w:line="360" w:lineRule="auto"/>
        <w:jc w:val="center"/>
        <w:rPr>
          <w:sz w:val="24"/>
          <w:szCs w:val="24"/>
        </w:rPr>
      </w:pPr>
    </w:p>
    <w:p w14:paraId="58DC7122" w14:textId="77777777" w:rsidR="000D3D9E" w:rsidRDefault="000D3D9E" w:rsidP="00D50EF3">
      <w:pPr>
        <w:numPr>
          <w:ilvl w:val="0"/>
          <w:numId w:val="1"/>
        </w:numPr>
        <w:spacing w:line="360" w:lineRule="auto"/>
        <w:jc w:val="center"/>
        <w:rPr>
          <w:sz w:val="24"/>
          <w:szCs w:val="24"/>
        </w:rPr>
      </w:pPr>
    </w:p>
    <w:p w14:paraId="6F6E1C4E" w14:textId="77777777" w:rsidR="000D3D9E" w:rsidRDefault="000D3D9E" w:rsidP="00D50EF3">
      <w:pPr>
        <w:numPr>
          <w:ilvl w:val="0"/>
          <w:numId w:val="1"/>
        </w:numPr>
        <w:spacing w:line="360" w:lineRule="auto"/>
        <w:jc w:val="center"/>
        <w:rPr>
          <w:sz w:val="24"/>
          <w:szCs w:val="24"/>
        </w:rPr>
      </w:pPr>
    </w:p>
    <w:p w14:paraId="46D2A90E" w14:textId="77777777" w:rsidR="000D3D9E" w:rsidRDefault="000D3D9E" w:rsidP="00D50EF3">
      <w:pPr>
        <w:numPr>
          <w:ilvl w:val="0"/>
          <w:numId w:val="1"/>
        </w:numPr>
        <w:spacing w:line="360" w:lineRule="auto"/>
        <w:jc w:val="center"/>
        <w:rPr>
          <w:sz w:val="24"/>
          <w:szCs w:val="24"/>
        </w:rPr>
      </w:pPr>
    </w:p>
    <w:p w14:paraId="5DF89053" w14:textId="77777777" w:rsidR="000D3D9E" w:rsidRDefault="000D3D9E" w:rsidP="00D50EF3">
      <w:pPr>
        <w:numPr>
          <w:ilvl w:val="0"/>
          <w:numId w:val="1"/>
        </w:numPr>
        <w:spacing w:line="360" w:lineRule="auto"/>
        <w:jc w:val="center"/>
        <w:rPr>
          <w:sz w:val="24"/>
          <w:szCs w:val="24"/>
        </w:rPr>
      </w:pPr>
    </w:p>
    <w:p w14:paraId="6FD6A9C0" w14:textId="77777777" w:rsidR="000D3D9E" w:rsidRDefault="000D3D9E" w:rsidP="00D50EF3">
      <w:pPr>
        <w:numPr>
          <w:ilvl w:val="0"/>
          <w:numId w:val="1"/>
        </w:numPr>
        <w:spacing w:line="360" w:lineRule="auto"/>
        <w:jc w:val="center"/>
        <w:rPr>
          <w:sz w:val="24"/>
          <w:szCs w:val="24"/>
        </w:rPr>
      </w:pPr>
    </w:p>
    <w:p w14:paraId="0E19A252" w14:textId="77777777" w:rsidR="000D3D9E" w:rsidRDefault="000D3D9E" w:rsidP="00D50EF3">
      <w:pPr>
        <w:numPr>
          <w:ilvl w:val="0"/>
          <w:numId w:val="1"/>
        </w:numPr>
        <w:spacing w:line="360" w:lineRule="auto"/>
        <w:jc w:val="center"/>
        <w:rPr>
          <w:sz w:val="24"/>
          <w:szCs w:val="24"/>
        </w:rPr>
      </w:pPr>
    </w:p>
    <w:p w14:paraId="080B1F81" w14:textId="77777777" w:rsidR="000D3D9E" w:rsidRDefault="000D3D9E" w:rsidP="00D50EF3">
      <w:pPr>
        <w:numPr>
          <w:ilvl w:val="0"/>
          <w:numId w:val="1"/>
        </w:numPr>
        <w:spacing w:line="360" w:lineRule="auto"/>
        <w:jc w:val="center"/>
        <w:rPr>
          <w:sz w:val="24"/>
          <w:szCs w:val="24"/>
        </w:rPr>
      </w:pPr>
    </w:p>
    <w:p w14:paraId="5F8AEEC4" w14:textId="77777777" w:rsidR="000D3D9E" w:rsidRDefault="000D3D9E" w:rsidP="00D50EF3">
      <w:pPr>
        <w:numPr>
          <w:ilvl w:val="0"/>
          <w:numId w:val="1"/>
        </w:numPr>
        <w:spacing w:line="360" w:lineRule="auto"/>
        <w:jc w:val="center"/>
        <w:rPr>
          <w:sz w:val="24"/>
          <w:szCs w:val="24"/>
        </w:rPr>
      </w:pPr>
    </w:p>
    <w:p w14:paraId="681B8E58" w14:textId="77777777" w:rsidR="000D3D9E" w:rsidRDefault="000D3D9E" w:rsidP="00D50EF3">
      <w:pPr>
        <w:numPr>
          <w:ilvl w:val="0"/>
          <w:numId w:val="1"/>
        </w:numPr>
        <w:spacing w:line="360" w:lineRule="auto"/>
        <w:jc w:val="center"/>
        <w:rPr>
          <w:sz w:val="24"/>
          <w:szCs w:val="24"/>
        </w:rPr>
      </w:pPr>
    </w:p>
    <w:p w14:paraId="5B1BBB17" w14:textId="77777777" w:rsidR="000D3D9E" w:rsidRDefault="000D3D9E" w:rsidP="00D50EF3">
      <w:pPr>
        <w:numPr>
          <w:ilvl w:val="0"/>
          <w:numId w:val="1"/>
        </w:numPr>
        <w:spacing w:line="360" w:lineRule="auto"/>
        <w:jc w:val="center"/>
        <w:rPr>
          <w:sz w:val="24"/>
          <w:szCs w:val="24"/>
        </w:rPr>
      </w:pPr>
    </w:p>
    <w:p w14:paraId="6489A2E6" w14:textId="77777777" w:rsidR="000D3D9E" w:rsidRDefault="000D3D9E" w:rsidP="00D50EF3">
      <w:pPr>
        <w:numPr>
          <w:ilvl w:val="0"/>
          <w:numId w:val="1"/>
        </w:numPr>
        <w:spacing w:line="360" w:lineRule="auto"/>
        <w:jc w:val="center"/>
        <w:rPr>
          <w:sz w:val="24"/>
          <w:szCs w:val="24"/>
        </w:rPr>
      </w:pPr>
    </w:p>
    <w:p w14:paraId="70801F5F" w14:textId="77777777" w:rsidR="000D3D9E" w:rsidRDefault="000D3D9E" w:rsidP="00D50EF3">
      <w:pPr>
        <w:numPr>
          <w:ilvl w:val="0"/>
          <w:numId w:val="1"/>
        </w:numPr>
        <w:spacing w:line="360" w:lineRule="auto"/>
        <w:jc w:val="center"/>
        <w:rPr>
          <w:sz w:val="24"/>
          <w:szCs w:val="24"/>
        </w:rPr>
      </w:pPr>
    </w:p>
    <w:p w14:paraId="0A50EE2A" w14:textId="77777777" w:rsidR="000D3D9E" w:rsidRDefault="000D3D9E" w:rsidP="00D50EF3">
      <w:pPr>
        <w:numPr>
          <w:ilvl w:val="0"/>
          <w:numId w:val="1"/>
        </w:numPr>
        <w:spacing w:line="360" w:lineRule="auto"/>
        <w:jc w:val="center"/>
        <w:rPr>
          <w:sz w:val="24"/>
          <w:szCs w:val="24"/>
        </w:rPr>
      </w:pPr>
    </w:p>
    <w:p w14:paraId="2D85A7A9" w14:textId="77777777" w:rsidR="000D3D9E" w:rsidRDefault="000D3D9E" w:rsidP="00D50EF3">
      <w:pPr>
        <w:numPr>
          <w:ilvl w:val="0"/>
          <w:numId w:val="1"/>
        </w:numPr>
        <w:spacing w:line="360" w:lineRule="auto"/>
        <w:jc w:val="center"/>
        <w:rPr>
          <w:sz w:val="24"/>
          <w:szCs w:val="24"/>
        </w:rPr>
      </w:pPr>
    </w:p>
    <w:p w14:paraId="24399A5A" w14:textId="77777777" w:rsidR="000D3D9E" w:rsidRDefault="000D3D9E" w:rsidP="00D50EF3">
      <w:pPr>
        <w:numPr>
          <w:ilvl w:val="0"/>
          <w:numId w:val="1"/>
        </w:numPr>
        <w:spacing w:line="360" w:lineRule="auto"/>
        <w:jc w:val="center"/>
        <w:rPr>
          <w:sz w:val="24"/>
          <w:szCs w:val="24"/>
        </w:rPr>
      </w:pPr>
    </w:p>
    <w:p w14:paraId="387F972B" w14:textId="77777777" w:rsidR="000D3D9E" w:rsidRDefault="000D3D9E" w:rsidP="00D50EF3">
      <w:pPr>
        <w:numPr>
          <w:ilvl w:val="0"/>
          <w:numId w:val="1"/>
        </w:numPr>
        <w:spacing w:line="360" w:lineRule="auto"/>
        <w:jc w:val="center"/>
        <w:rPr>
          <w:sz w:val="24"/>
          <w:szCs w:val="24"/>
        </w:rPr>
      </w:pPr>
    </w:p>
    <w:p w14:paraId="061F0C37" w14:textId="77777777" w:rsidR="000D3D9E" w:rsidRDefault="000D3D9E" w:rsidP="00D50EF3">
      <w:pPr>
        <w:numPr>
          <w:ilvl w:val="0"/>
          <w:numId w:val="1"/>
        </w:numPr>
        <w:spacing w:line="360" w:lineRule="auto"/>
        <w:jc w:val="center"/>
        <w:rPr>
          <w:sz w:val="24"/>
          <w:szCs w:val="24"/>
        </w:rPr>
      </w:pPr>
    </w:p>
    <w:p w14:paraId="3C0CCF8E" w14:textId="77777777" w:rsidR="000D3D9E" w:rsidRDefault="000D3D9E" w:rsidP="00D50EF3">
      <w:pPr>
        <w:numPr>
          <w:ilvl w:val="0"/>
          <w:numId w:val="1"/>
        </w:numPr>
        <w:spacing w:line="360" w:lineRule="auto"/>
        <w:jc w:val="center"/>
        <w:rPr>
          <w:sz w:val="24"/>
          <w:szCs w:val="24"/>
        </w:rPr>
      </w:pPr>
    </w:p>
    <w:p w14:paraId="1333AC4F" w14:textId="77777777" w:rsidR="000D3D9E" w:rsidRDefault="000D3D9E" w:rsidP="00D50EF3">
      <w:pPr>
        <w:numPr>
          <w:ilvl w:val="0"/>
          <w:numId w:val="1"/>
        </w:numPr>
        <w:spacing w:line="360" w:lineRule="auto"/>
        <w:jc w:val="center"/>
        <w:rPr>
          <w:sz w:val="24"/>
          <w:szCs w:val="24"/>
        </w:rPr>
      </w:pPr>
    </w:p>
    <w:p w14:paraId="7ED512A9" w14:textId="77777777" w:rsidR="000D3D9E" w:rsidRPr="000D3D9E" w:rsidRDefault="000D3D9E" w:rsidP="000D3D9E">
      <w:pPr>
        <w:numPr>
          <w:ilvl w:val="0"/>
          <w:numId w:val="1"/>
        </w:numPr>
        <w:spacing w:line="360" w:lineRule="auto"/>
        <w:jc w:val="center"/>
        <w:rPr>
          <w:sz w:val="24"/>
          <w:szCs w:val="24"/>
        </w:rPr>
      </w:pPr>
    </w:p>
    <w:p w14:paraId="134C7EA1" w14:textId="1B9D5BBD" w:rsidR="00C81014" w:rsidRPr="00D50EF3" w:rsidRDefault="00C81014" w:rsidP="000D3D9E">
      <w:pPr>
        <w:spacing w:line="360" w:lineRule="auto"/>
        <w:ind w:left="360"/>
        <w:jc w:val="center"/>
        <w:rPr>
          <w:sz w:val="24"/>
          <w:szCs w:val="24"/>
        </w:rPr>
      </w:pPr>
      <w:r w:rsidRPr="00D50EF3">
        <w:rPr>
          <w:sz w:val="24"/>
          <w:szCs w:val="24"/>
        </w:rPr>
        <w:lastRenderedPageBreak/>
        <w:t>Undertake a critical evaluation of a Journal Article relevant to your discipline of study.</w:t>
      </w:r>
    </w:p>
    <w:p w14:paraId="6D2C2B87" w14:textId="61E8344A" w:rsidR="00A52366" w:rsidRPr="00D50EF3" w:rsidRDefault="00ED59F1" w:rsidP="00D50EF3">
      <w:pPr>
        <w:spacing w:line="360" w:lineRule="auto"/>
        <w:rPr>
          <w:sz w:val="24"/>
          <w:szCs w:val="24"/>
        </w:rPr>
      </w:pPr>
      <w:r w:rsidRPr="00D50EF3">
        <w:rPr>
          <w:sz w:val="24"/>
          <w:szCs w:val="24"/>
        </w:rPr>
        <w:t xml:space="preserve">The chosen journal article is Help-seeking amongst women survivors of domestic violence: a qualitative study of pathways towards formal and informal support (Evans and Feder, 2014). This article aims to answer the question of </w:t>
      </w:r>
      <w:r w:rsidR="00093840" w:rsidRPr="00D50EF3">
        <w:rPr>
          <w:sz w:val="24"/>
          <w:szCs w:val="24"/>
        </w:rPr>
        <w:t>how female survivors of domestic violence find help and which pathways of support are available</w:t>
      </w:r>
      <w:r w:rsidR="00292F98" w:rsidRPr="00D50EF3">
        <w:rPr>
          <w:sz w:val="24"/>
          <w:szCs w:val="24"/>
        </w:rPr>
        <w:t xml:space="preserve"> to them</w:t>
      </w:r>
      <w:r w:rsidR="00093840" w:rsidRPr="00D50EF3">
        <w:rPr>
          <w:sz w:val="24"/>
          <w:szCs w:val="24"/>
        </w:rPr>
        <w:t xml:space="preserve">. This is for both informal support such as family and friends and formal support such as professional services. </w:t>
      </w:r>
      <w:r w:rsidR="00EF7A5D" w:rsidRPr="00D50EF3">
        <w:rPr>
          <w:sz w:val="24"/>
          <w:szCs w:val="24"/>
        </w:rPr>
        <w:t>This critical evaluation will provide a brief literature review in connection with the chosen article to identify any knowledge gaps that may not have been addressed within the authors</w:t>
      </w:r>
      <w:r w:rsidR="005F7F62" w:rsidRPr="00D50EF3">
        <w:rPr>
          <w:sz w:val="24"/>
          <w:szCs w:val="24"/>
        </w:rPr>
        <w:t>’</w:t>
      </w:r>
      <w:r w:rsidR="00EF7A5D" w:rsidRPr="00D50EF3">
        <w:rPr>
          <w:sz w:val="24"/>
          <w:szCs w:val="24"/>
        </w:rPr>
        <w:t xml:space="preserve"> writing.  </w:t>
      </w:r>
      <w:r w:rsidR="00292F98" w:rsidRPr="00D50EF3">
        <w:rPr>
          <w:sz w:val="24"/>
          <w:szCs w:val="24"/>
        </w:rPr>
        <w:t xml:space="preserve">In addition to this, further critical analysis will be discussed around the methodology chosen by the authors and their </w:t>
      </w:r>
      <w:r w:rsidR="00FB0EC0" w:rsidRPr="00D50EF3">
        <w:rPr>
          <w:sz w:val="24"/>
          <w:szCs w:val="24"/>
        </w:rPr>
        <w:t xml:space="preserve">reliability and </w:t>
      </w:r>
      <w:r w:rsidR="00292F98" w:rsidRPr="00D50EF3">
        <w:rPr>
          <w:sz w:val="24"/>
          <w:szCs w:val="24"/>
        </w:rPr>
        <w:t xml:space="preserve">validity as well as </w:t>
      </w:r>
      <w:r w:rsidR="00FB0EC0" w:rsidRPr="00D50EF3">
        <w:rPr>
          <w:sz w:val="24"/>
          <w:szCs w:val="24"/>
        </w:rPr>
        <w:t>any perceived</w:t>
      </w:r>
      <w:r w:rsidR="00464E33" w:rsidRPr="00D50EF3">
        <w:rPr>
          <w:sz w:val="24"/>
          <w:szCs w:val="24"/>
        </w:rPr>
        <w:t xml:space="preserve"> strengths or</w:t>
      </w:r>
      <w:r w:rsidR="00FB0EC0" w:rsidRPr="00D50EF3">
        <w:rPr>
          <w:sz w:val="24"/>
          <w:szCs w:val="24"/>
        </w:rPr>
        <w:t xml:space="preserve"> weaknesses in their uses.</w:t>
      </w:r>
      <w:r w:rsidR="0027613D" w:rsidRPr="00D50EF3">
        <w:rPr>
          <w:sz w:val="24"/>
          <w:szCs w:val="24"/>
        </w:rPr>
        <w:t xml:space="preserve"> Critical analysis of data is essential within evidence-based practice to be able to scrutinise the quality, credibility and applicability of findings prior to imbedding the ideas or findings of studies into everyday practice. This is particularly pertinent for domestic violence or abuse services where the health, wellbeing and safety of survivors and their families could be affected by the support they receive. </w:t>
      </w:r>
    </w:p>
    <w:p w14:paraId="11961FD3" w14:textId="3BD5F582" w:rsidR="00425782" w:rsidRPr="00D50EF3" w:rsidRDefault="00425782" w:rsidP="00D50EF3">
      <w:pPr>
        <w:spacing w:line="360" w:lineRule="auto"/>
        <w:rPr>
          <w:sz w:val="24"/>
          <w:szCs w:val="24"/>
        </w:rPr>
      </w:pPr>
      <w:r w:rsidRPr="00D50EF3">
        <w:rPr>
          <w:sz w:val="24"/>
          <w:szCs w:val="24"/>
        </w:rPr>
        <w:t xml:space="preserve">Evans and Feder (2014) highlight in their background information or literature review that over three-quarters of women experiencing domestic violence or abuse </w:t>
      </w:r>
      <w:r w:rsidR="003B0DE2" w:rsidRPr="00D50EF3">
        <w:rPr>
          <w:sz w:val="24"/>
          <w:szCs w:val="24"/>
        </w:rPr>
        <w:t xml:space="preserve">disclose their experiences ‘at some point’. However, this may not be an accurate depiction of the volume of women who have experienced domestic violence or abuse and </w:t>
      </w:r>
      <w:r w:rsidR="00A45382" w:rsidRPr="00D50EF3">
        <w:rPr>
          <w:sz w:val="24"/>
          <w:szCs w:val="24"/>
        </w:rPr>
        <w:t xml:space="preserve">either </w:t>
      </w:r>
      <w:r w:rsidR="003B0DE2" w:rsidRPr="00D50EF3">
        <w:rPr>
          <w:sz w:val="24"/>
          <w:szCs w:val="24"/>
        </w:rPr>
        <w:t xml:space="preserve">not reported or </w:t>
      </w:r>
      <w:r w:rsidR="00A45382" w:rsidRPr="00D50EF3">
        <w:rPr>
          <w:sz w:val="24"/>
          <w:szCs w:val="24"/>
        </w:rPr>
        <w:t xml:space="preserve">not </w:t>
      </w:r>
      <w:r w:rsidR="003B0DE2" w:rsidRPr="00D50EF3">
        <w:rPr>
          <w:sz w:val="24"/>
          <w:szCs w:val="24"/>
        </w:rPr>
        <w:t>disclosed.</w:t>
      </w:r>
      <w:r w:rsidR="00DD47F9" w:rsidRPr="00D50EF3">
        <w:rPr>
          <w:sz w:val="24"/>
          <w:szCs w:val="24"/>
        </w:rPr>
        <w:t xml:space="preserve"> This also does not recognise the demographic or cultural differences of survivors of domestic violence or abuse who</w:t>
      </w:r>
      <w:r w:rsidR="00E11165" w:rsidRPr="00D50EF3">
        <w:rPr>
          <w:sz w:val="24"/>
          <w:szCs w:val="24"/>
        </w:rPr>
        <w:t xml:space="preserve"> may</w:t>
      </w:r>
      <w:r w:rsidR="00DD47F9" w:rsidRPr="00D50EF3">
        <w:rPr>
          <w:sz w:val="24"/>
          <w:szCs w:val="24"/>
        </w:rPr>
        <w:t xml:space="preserve"> not</w:t>
      </w:r>
      <w:r w:rsidR="00E11165" w:rsidRPr="00D50EF3">
        <w:rPr>
          <w:sz w:val="24"/>
          <w:szCs w:val="24"/>
        </w:rPr>
        <w:t xml:space="preserve"> necessarily</w:t>
      </w:r>
      <w:r w:rsidR="00DD47F9" w:rsidRPr="00D50EF3">
        <w:rPr>
          <w:sz w:val="24"/>
          <w:szCs w:val="24"/>
        </w:rPr>
        <w:t xml:space="preserve"> recognise that this is what they have been through</w:t>
      </w:r>
      <w:r w:rsidR="00BE5518" w:rsidRPr="00D50EF3">
        <w:rPr>
          <w:sz w:val="24"/>
          <w:szCs w:val="24"/>
        </w:rPr>
        <w:t xml:space="preserve"> or are going through</w:t>
      </w:r>
      <w:r w:rsidR="00E11165" w:rsidRPr="00D50EF3">
        <w:rPr>
          <w:sz w:val="24"/>
          <w:szCs w:val="24"/>
        </w:rPr>
        <w:t xml:space="preserve"> due to religious or cultural beliefs that may have been interwoven into their psyche as the norm</w:t>
      </w:r>
      <w:r w:rsidR="005509A2" w:rsidRPr="00D50EF3">
        <w:rPr>
          <w:sz w:val="24"/>
          <w:szCs w:val="24"/>
        </w:rPr>
        <w:t xml:space="preserve"> (Hulley, et. al., 2022)</w:t>
      </w:r>
      <w:r w:rsidR="00DD47F9" w:rsidRPr="00D50EF3">
        <w:rPr>
          <w:sz w:val="24"/>
          <w:szCs w:val="24"/>
        </w:rPr>
        <w:t>.</w:t>
      </w:r>
      <w:r w:rsidR="005509A2" w:rsidRPr="00D50EF3">
        <w:rPr>
          <w:sz w:val="24"/>
          <w:szCs w:val="24"/>
        </w:rPr>
        <w:t xml:space="preserve"> </w:t>
      </w:r>
      <w:r w:rsidR="00A45382" w:rsidRPr="00D50EF3">
        <w:rPr>
          <w:sz w:val="24"/>
          <w:szCs w:val="24"/>
        </w:rPr>
        <w:t xml:space="preserve">With this in mind, the literature review that Evans and Feder (2014) have presented may not fully demonstrate the underreporting or non-disclosure of said abuse. This is in essence why they aim to highlight the uncertainties and barriers around women seeking support. </w:t>
      </w:r>
      <w:r w:rsidR="005509A2" w:rsidRPr="00D50EF3">
        <w:rPr>
          <w:sz w:val="24"/>
          <w:szCs w:val="24"/>
        </w:rPr>
        <w:t>Further r</w:t>
      </w:r>
      <w:r w:rsidR="00A45382" w:rsidRPr="00D50EF3">
        <w:rPr>
          <w:sz w:val="24"/>
          <w:szCs w:val="24"/>
        </w:rPr>
        <w:t>esearch indicates that this non-disclosure may be due to the fear of judgement, stigma or delayed by fear of repercussions</w:t>
      </w:r>
      <w:r w:rsidR="005509A2" w:rsidRPr="00D50EF3">
        <w:rPr>
          <w:sz w:val="24"/>
          <w:szCs w:val="24"/>
        </w:rPr>
        <w:t xml:space="preserve">. There are also additional barriers for women of ethnic minorities or immigrant women to face including </w:t>
      </w:r>
      <w:r w:rsidR="005509A2" w:rsidRPr="00D50EF3">
        <w:rPr>
          <w:sz w:val="24"/>
          <w:szCs w:val="24"/>
        </w:rPr>
        <w:lastRenderedPageBreak/>
        <w:t>institutional racism, immigration laws, language barriers and lack of diversity of front-line staff which can all contribute to the survivor being reluctant or feel unable to gain much needed support.</w:t>
      </w:r>
      <w:r w:rsidR="001C1E74" w:rsidRPr="00D50EF3">
        <w:rPr>
          <w:sz w:val="24"/>
          <w:szCs w:val="24"/>
        </w:rPr>
        <w:t xml:space="preserve"> (Ting, 2010, Reina, Lohman &amp; Maldonado, 2014 and Monterrosa, 2019).</w:t>
      </w:r>
    </w:p>
    <w:p w14:paraId="0AA23B5B" w14:textId="77E60718" w:rsidR="00425782" w:rsidRPr="00D50EF3" w:rsidRDefault="00BE5518" w:rsidP="00D50EF3">
      <w:pPr>
        <w:spacing w:line="360" w:lineRule="auto"/>
        <w:rPr>
          <w:sz w:val="24"/>
          <w:szCs w:val="24"/>
        </w:rPr>
      </w:pPr>
      <w:r w:rsidRPr="00D50EF3">
        <w:rPr>
          <w:sz w:val="24"/>
          <w:szCs w:val="24"/>
        </w:rPr>
        <w:t>Furthermore, the overall study highlights a small sample of women who have sought support</w:t>
      </w:r>
      <w:r w:rsidR="00EA5A52" w:rsidRPr="00D50EF3">
        <w:rPr>
          <w:sz w:val="24"/>
          <w:szCs w:val="24"/>
        </w:rPr>
        <w:t>,</w:t>
      </w:r>
      <w:r w:rsidRPr="00D50EF3">
        <w:rPr>
          <w:sz w:val="24"/>
          <w:szCs w:val="24"/>
        </w:rPr>
        <w:t xml:space="preserve"> </w:t>
      </w:r>
      <w:r w:rsidR="00EA5A52" w:rsidRPr="00D50EF3">
        <w:rPr>
          <w:sz w:val="24"/>
          <w:szCs w:val="24"/>
        </w:rPr>
        <w:t xml:space="preserve">to </w:t>
      </w:r>
      <w:r w:rsidRPr="00D50EF3">
        <w:rPr>
          <w:sz w:val="24"/>
          <w:szCs w:val="24"/>
        </w:rPr>
        <w:t>address how or when they are able to access specialist services. However, not all survivors of domestic violence or abuse are women</w:t>
      </w:r>
      <w:r w:rsidR="004D7054" w:rsidRPr="00D50EF3">
        <w:rPr>
          <w:sz w:val="24"/>
          <w:szCs w:val="24"/>
        </w:rPr>
        <w:t xml:space="preserve">. The Crime Survey for England and Wales (2025) estimate that there 2.2 million females and </w:t>
      </w:r>
      <w:r w:rsidR="003859C9" w:rsidRPr="00D50EF3">
        <w:rPr>
          <w:sz w:val="24"/>
          <w:szCs w:val="24"/>
        </w:rPr>
        <w:t xml:space="preserve">1.5 million males aged 16 years plus experience domestic violence and abuse within the previous year. </w:t>
      </w:r>
      <w:r w:rsidR="00EA5A52" w:rsidRPr="00D50EF3">
        <w:rPr>
          <w:sz w:val="24"/>
          <w:szCs w:val="24"/>
        </w:rPr>
        <w:t>It can also be acknowledged that the study was published in 2014, and thus there is an 11-year disparity in the possible figures. The point remains, however that there is also a large number of males also experiencing domestic violence or abuse which should not be dismissed with their experiences on support services being sought and used to gain a more accurate view of formal and informal support.</w:t>
      </w:r>
      <w:r w:rsidR="00D05E04" w:rsidRPr="00D50EF3">
        <w:rPr>
          <w:sz w:val="24"/>
          <w:szCs w:val="24"/>
        </w:rPr>
        <w:t xml:space="preserve"> Shelter Cymru (2026) state that while they acknowledge that men can be subjected to domestic violence or abuse, there is less specialist housing and support services for them to be able to escape their situations easily. </w:t>
      </w:r>
      <w:r w:rsidR="00EA5A52" w:rsidRPr="00D50EF3">
        <w:rPr>
          <w:sz w:val="24"/>
          <w:szCs w:val="24"/>
        </w:rPr>
        <w:t xml:space="preserve"> </w:t>
      </w:r>
      <w:r w:rsidR="00A45382" w:rsidRPr="00D50EF3">
        <w:rPr>
          <w:sz w:val="24"/>
          <w:szCs w:val="24"/>
        </w:rPr>
        <w:t xml:space="preserve">Evans and Felder (2014) go on to suggest that the majority of women do find a way to disclose their situation, usually through being supported via informal relationships which often leads to more formal support from specialist services. </w:t>
      </w:r>
      <w:r w:rsidR="001C1E74" w:rsidRPr="00D50EF3">
        <w:rPr>
          <w:sz w:val="24"/>
          <w:szCs w:val="24"/>
        </w:rPr>
        <w:t xml:space="preserve">This statement needs to be clarified, while the women that they selected for their sample were all seeking support from professional services, non-reported cases will always exist, and this therefore </w:t>
      </w:r>
      <w:r w:rsidR="002A1E78" w:rsidRPr="00D50EF3">
        <w:rPr>
          <w:sz w:val="24"/>
          <w:szCs w:val="24"/>
        </w:rPr>
        <w:t xml:space="preserve">may </w:t>
      </w:r>
      <w:r w:rsidR="001C1E74" w:rsidRPr="00D50EF3">
        <w:rPr>
          <w:sz w:val="24"/>
          <w:szCs w:val="24"/>
        </w:rPr>
        <w:t>skew the data</w:t>
      </w:r>
      <w:r w:rsidR="002A1E78" w:rsidRPr="00D50EF3">
        <w:rPr>
          <w:sz w:val="24"/>
          <w:szCs w:val="24"/>
        </w:rPr>
        <w:t>.</w:t>
      </w:r>
      <w:r w:rsidR="001C1E74" w:rsidRPr="00D50EF3">
        <w:rPr>
          <w:sz w:val="24"/>
          <w:szCs w:val="24"/>
        </w:rPr>
        <w:t xml:space="preserve"> </w:t>
      </w:r>
      <w:r w:rsidR="002A1E78" w:rsidRPr="00D50EF3">
        <w:rPr>
          <w:sz w:val="24"/>
          <w:szCs w:val="24"/>
        </w:rPr>
        <w:t>F</w:t>
      </w:r>
      <w:r w:rsidR="001C1E74" w:rsidRPr="00D50EF3">
        <w:rPr>
          <w:sz w:val="24"/>
          <w:szCs w:val="24"/>
        </w:rPr>
        <w:t>urther data recording differences over the years and through differing police forces or support services can also affect accurate data collection. For example, the Crime Survey for England and Wales</w:t>
      </w:r>
      <w:r w:rsidR="00D62DFC" w:rsidRPr="00D50EF3">
        <w:rPr>
          <w:sz w:val="24"/>
          <w:szCs w:val="24"/>
        </w:rPr>
        <w:t xml:space="preserve"> (2025)</w:t>
      </w:r>
      <w:r w:rsidR="001C1E74" w:rsidRPr="00D50EF3">
        <w:rPr>
          <w:sz w:val="24"/>
          <w:szCs w:val="24"/>
        </w:rPr>
        <w:t xml:space="preserve"> </w:t>
      </w:r>
      <w:r w:rsidR="00D62DFC" w:rsidRPr="00D50EF3">
        <w:rPr>
          <w:sz w:val="24"/>
          <w:szCs w:val="24"/>
        </w:rPr>
        <w:t>provide</w:t>
      </w:r>
      <w:r w:rsidR="001C1E74" w:rsidRPr="00D50EF3">
        <w:rPr>
          <w:sz w:val="24"/>
          <w:szCs w:val="24"/>
        </w:rPr>
        <w:t xml:space="preserve"> a disclaimer on their website stating ‘Police recorded crime data do not provide a measure of domestic abuse prevalence. Caution should be taken when comparing domestic abuse-related police recorded crime data with previous years because of changes in police recording practice’ </w:t>
      </w:r>
      <w:r w:rsidR="00D62DFC" w:rsidRPr="00D50EF3">
        <w:rPr>
          <w:sz w:val="24"/>
          <w:szCs w:val="24"/>
        </w:rPr>
        <w:t>(ONS Crime and Justice, 2025</w:t>
      </w:r>
      <w:r w:rsidR="00D850CF" w:rsidRPr="00D50EF3">
        <w:rPr>
          <w:sz w:val="24"/>
          <w:szCs w:val="24"/>
        </w:rPr>
        <w:t>)</w:t>
      </w:r>
    </w:p>
    <w:p w14:paraId="53BF6AA1" w14:textId="0A6A57DF" w:rsidR="00A9034E" w:rsidRDefault="00A9034E" w:rsidP="00D50EF3">
      <w:pPr>
        <w:spacing w:line="360" w:lineRule="auto"/>
        <w:rPr>
          <w:sz w:val="24"/>
          <w:szCs w:val="24"/>
        </w:rPr>
      </w:pPr>
      <w:r w:rsidRPr="00D50EF3">
        <w:rPr>
          <w:sz w:val="24"/>
          <w:szCs w:val="24"/>
        </w:rPr>
        <w:t xml:space="preserve">To enable a full critical evaluation of the chosen article, a brief overview is relevant to ensure clarity over what is being evaluated.  Evans and Feder (2014) analyse qualitative data through participant interviews of thirty-one women all of whom were seeking </w:t>
      </w:r>
      <w:r w:rsidRPr="00D50EF3">
        <w:rPr>
          <w:sz w:val="24"/>
          <w:szCs w:val="24"/>
        </w:rPr>
        <w:lastRenderedPageBreak/>
        <w:t xml:space="preserve">support from domestic abuse services. They were each interviewed twice in a period of five months to ‘explore their pathways to support and their experiences of barriers and facilitators to disclosure and help-seeking’ (Evans and Feder, 2014). In their conclusions, they argue that many of the women needed an additional person to support them with disclosures as well as highlighting that support services should be safely accessible with appropriate responses needed from health and social care professionals. The aim of the study seems to be to highlight how domestic violence or abuse services can improve their availability to survivors. They also highlight that the visibility of services </w:t>
      </w:r>
      <w:r w:rsidR="001A10A2" w:rsidRPr="00D50EF3">
        <w:rPr>
          <w:sz w:val="24"/>
          <w:szCs w:val="24"/>
        </w:rPr>
        <w:t>needs</w:t>
      </w:r>
      <w:r w:rsidRPr="00D50EF3">
        <w:rPr>
          <w:sz w:val="24"/>
          <w:szCs w:val="24"/>
        </w:rPr>
        <w:t xml:space="preserve"> to clear </w:t>
      </w:r>
      <w:r w:rsidR="001A10A2" w:rsidRPr="00D50EF3">
        <w:rPr>
          <w:sz w:val="24"/>
          <w:szCs w:val="24"/>
        </w:rPr>
        <w:t xml:space="preserve">in order for people to know how and where to access </w:t>
      </w:r>
      <w:r w:rsidR="00D50EF3" w:rsidRPr="00D50EF3">
        <w:rPr>
          <w:sz w:val="24"/>
          <w:szCs w:val="24"/>
        </w:rPr>
        <w:t>s</w:t>
      </w:r>
      <w:r w:rsidR="00D50EF3">
        <w:rPr>
          <w:sz w:val="24"/>
          <w:szCs w:val="24"/>
        </w:rPr>
        <w:t>u</w:t>
      </w:r>
      <w:r w:rsidR="00D50EF3" w:rsidRPr="00D50EF3">
        <w:rPr>
          <w:sz w:val="24"/>
          <w:szCs w:val="24"/>
        </w:rPr>
        <w:t>pport</w:t>
      </w:r>
      <w:r w:rsidR="001A10A2" w:rsidRPr="00D50EF3">
        <w:rPr>
          <w:sz w:val="24"/>
          <w:szCs w:val="24"/>
        </w:rPr>
        <w:t xml:space="preserve"> in their own time. </w:t>
      </w:r>
    </w:p>
    <w:p w14:paraId="674098D1" w14:textId="4CAD9895" w:rsidR="00C45636" w:rsidRDefault="002965FE"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As discussed, the methodology for the study was through interviews of a purposive sample</w:t>
      </w:r>
      <w:r w:rsidR="00306BBE" w:rsidRPr="00D50EF3">
        <w:rPr>
          <w:rFonts w:eastAsia="Times New Roman" w:cs="Times New Roman"/>
          <w:bCs/>
          <w:color w:val="000000"/>
          <w:kern w:val="0"/>
          <w:sz w:val="24"/>
          <w:szCs w:val="24"/>
          <w:lang w:eastAsia="en-GB"/>
          <w14:ligatures w14:val="none"/>
        </w:rPr>
        <w:t xml:space="preserve"> who were recruited through the Psychological Advocacy Towards Healing (PATH) trail (Ferrari, et. al., 2018). Unfortunately, only gaining the sample of women from the aforementioned trial, would inevitably provide a sample of similar experiences</w:t>
      </w:r>
      <w:r w:rsidR="00D462B5" w:rsidRPr="00D50EF3">
        <w:rPr>
          <w:rFonts w:eastAsia="Times New Roman" w:cs="Times New Roman"/>
          <w:bCs/>
          <w:color w:val="000000"/>
          <w:kern w:val="0"/>
          <w:sz w:val="24"/>
          <w:szCs w:val="24"/>
          <w:lang w:eastAsia="en-GB"/>
          <w14:ligatures w14:val="none"/>
        </w:rPr>
        <w:t xml:space="preserve"> of women gaining support</w:t>
      </w:r>
      <w:r w:rsidR="00306BBE" w:rsidRPr="00D50EF3">
        <w:rPr>
          <w:rFonts w:eastAsia="Times New Roman" w:cs="Times New Roman"/>
          <w:bCs/>
          <w:color w:val="000000"/>
          <w:kern w:val="0"/>
          <w:sz w:val="24"/>
          <w:szCs w:val="24"/>
          <w:lang w:eastAsia="en-GB"/>
          <w14:ligatures w14:val="none"/>
        </w:rPr>
        <w:t xml:space="preserve"> which could contain a bias in the results. </w:t>
      </w:r>
      <w:r w:rsidR="001A751E" w:rsidRPr="00D50EF3">
        <w:rPr>
          <w:rFonts w:eastAsia="Times New Roman" w:cs="Times New Roman"/>
          <w:bCs/>
          <w:color w:val="000000"/>
          <w:kern w:val="0"/>
          <w:sz w:val="24"/>
          <w:szCs w:val="24"/>
          <w:lang w:eastAsia="en-GB"/>
          <w14:ligatures w14:val="none"/>
        </w:rPr>
        <w:t xml:space="preserve">The overall sample, although small was confirmed to involve a range of demographics including age, ethnicity, socio-economic background and type of support that they had received. </w:t>
      </w:r>
      <w:r w:rsidR="00DE04A1" w:rsidRPr="00D50EF3">
        <w:rPr>
          <w:rFonts w:eastAsia="Times New Roman" w:cs="Times New Roman"/>
          <w:bCs/>
          <w:color w:val="000000"/>
          <w:kern w:val="0"/>
          <w:sz w:val="24"/>
          <w:szCs w:val="24"/>
          <w:lang w:eastAsia="en-GB"/>
          <w14:ligatures w14:val="none"/>
        </w:rPr>
        <w:t>However,</w:t>
      </w:r>
      <w:r w:rsidR="00490482" w:rsidRPr="00D50EF3">
        <w:rPr>
          <w:rFonts w:eastAsia="Times New Roman" w:cs="Times New Roman"/>
          <w:bCs/>
          <w:color w:val="000000"/>
          <w:kern w:val="0"/>
          <w:sz w:val="24"/>
          <w:szCs w:val="24"/>
          <w:lang w:eastAsia="en-GB"/>
          <w14:ligatures w14:val="none"/>
        </w:rPr>
        <w:t xml:space="preserve"> while</w:t>
      </w:r>
      <w:r w:rsidR="00DE04A1" w:rsidRPr="00D50EF3">
        <w:rPr>
          <w:rFonts w:eastAsia="Times New Roman" w:cs="Times New Roman"/>
          <w:bCs/>
          <w:color w:val="000000"/>
          <w:kern w:val="0"/>
          <w:sz w:val="24"/>
          <w:szCs w:val="24"/>
          <w:lang w:eastAsia="en-GB"/>
          <w14:ligatures w14:val="none"/>
        </w:rPr>
        <w:t xml:space="preserve"> there is clarification on numbers </w:t>
      </w:r>
      <w:r w:rsidR="00490482" w:rsidRPr="00D50EF3">
        <w:rPr>
          <w:rFonts w:eastAsia="Times New Roman" w:cs="Times New Roman"/>
          <w:bCs/>
          <w:color w:val="000000"/>
          <w:kern w:val="0"/>
          <w:sz w:val="24"/>
          <w:szCs w:val="24"/>
          <w:lang w:eastAsia="en-GB"/>
          <w14:ligatures w14:val="none"/>
        </w:rPr>
        <w:t>with regard to the diversity of the sample, it is noted in table 1 (see appendices) that the vast majority of participants were classified as white British with only 5 differing ethnicities. A further bias could also be established via the location of the two domestic violence and abuse services that the sample were sourced through</w:t>
      </w:r>
      <w:r w:rsidR="00C45636" w:rsidRPr="00D50EF3">
        <w:rPr>
          <w:rFonts w:eastAsia="Times New Roman" w:cs="Times New Roman"/>
          <w:bCs/>
          <w:color w:val="000000"/>
          <w:kern w:val="0"/>
          <w:sz w:val="24"/>
          <w:szCs w:val="24"/>
          <w:lang w:eastAsia="en-GB"/>
          <w14:ligatures w14:val="none"/>
        </w:rPr>
        <w:t>,</w:t>
      </w:r>
      <w:r w:rsidR="00490482" w:rsidRPr="00D50EF3">
        <w:rPr>
          <w:rFonts w:eastAsia="Times New Roman" w:cs="Times New Roman"/>
          <w:bCs/>
          <w:color w:val="000000"/>
          <w:kern w:val="0"/>
          <w:sz w:val="24"/>
          <w:szCs w:val="24"/>
          <w:lang w:eastAsia="en-GB"/>
          <w14:ligatures w14:val="none"/>
        </w:rPr>
        <w:t xml:space="preserve"> which both offered refuge accommodation and outreach support based in the south-west of England. </w:t>
      </w:r>
    </w:p>
    <w:p w14:paraId="772E359D" w14:textId="77777777" w:rsidR="00D50EF3" w:rsidRPr="00D50EF3" w:rsidRDefault="00D50EF3" w:rsidP="00D50EF3">
      <w:pPr>
        <w:spacing w:after="0" w:line="360" w:lineRule="auto"/>
        <w:rPr>
          <w:rFonts w:eastAsia="Times New Roman" w:cs="Times New Roman"/>
          <w:bCs/>
          <w:color w:val="000000"/>
          <w:kern w:val="0"/>
          <w:sz w:val="24"/>
          <w:szCs w:val="24"/>
          <w:lang w:eastAsia="en-GB"/>
          <w14:ligatures w14:val="none"/>
        </w:rPr>
      </w:pPr>
    </w:p>
    <w:p w14:paraId="36611B84" w14:textId="3D069E9E" w:rsidR="00C45636" w:rsidRPr="00D50EF3" w:rsidRDefault="00C45636"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Evans and Feder (2014) may have seen the purposive sample as individuals with their own set of individual experiences and disclosure stories with statistics and figures not</w:t>
      </w:r>
      <w:r w:rsidR="0064246C" w:rsidRPr="00D50EF3">
        <w:rPr>
          <w:rFonts w:eastAsia="Times New Roman" w:cs="Times New Roman"/>
          <w:bCs/>
          <w:color w:val="000000"/>
          <w:kern w:val="0"/>
          <w:sz w:val="24"/>
          <w:szCs w:val="24"/>
          <w:lang w:eastAsia="en-GB"/>
          <w14:ligatures w14:val="none"/>
        </w:rPr>
        <w:t xml:space="preserve"> necessarily</w:t>
      </w:r>
      <w:r w:rsidRPr="00D50EF3">
        <w:rPr>
          <w:rFonts w:eastAsia="Times New Roman" w:cs="Times New Roman"/>
          <w:bCs/>
          <w:color w:val="000000"/>
          <w:kern w:val="0"/>
          <w:sz w:val="24"/>
          <w:szCs w:val="24"/>
          <w:lang w:eastAsia="en-GB"/>
          <w14:ligatures w14:val="none"/>
        </w:rPr>
        <w:t xml:space="preserve"> needed in a qualit</w:t>
      </w:r>
      <w:r w:rsidR="0064246C" w:rsidRPr="00D50EF3">
        <w:rPr>
          <w:rFonts w:eastAsia="Times New Roman" w:cs="Times New Roman"/>
          <w:bCs/>
          <w:color w:val="000000"/>
          <w:kern w:val="0"/>
          <w:sz w:val="24"/>
          <w:szCs w:val="24"/>
          <w:lang w:eastAsia="en-GB"/>
          <w14:ligatures w14:val="none"/>
        </w:rPr>
        <w:t>at</w:t>
      </w:r>
      <w:r w:rsidRPr="00D50EF3">
        <w:rPr>
          <w:rFonts w:eastAsia="Times New Roman" w:cs="Times New Roman"/>
          <w:bCs/>
          <w:color w:val="000000"/>
          <w:kern w:val="0"/>
          <w:sz w:val="24"/>
          <w:szCs w:val="24"/>
          <w:lang w:eastAsia="en-GB"/>
          <w14:ligatures w14:val="none"/>
        </w:rPr>
        <w:t>ive study. Instead, the information they aim to generate should provide an in-depth understanding of the survivor’s stories of escape and the support they gained and experienced</w:t>
      </w:r>
      <w:r w:rsidR="00B73D4E" w:rsidRPr="00D50EF3">
        <w:rPr>
          <w:rFonts w:eastAsia="Times New Roman" w:cs="Times New Roman"/>
          <w:bCs/>
          <w:color w:val="000000"/>
          <w:kern w:val="0"/>
          <w:sz w:val="24"/>
          <w:szCs w:val="24"/>
          <w:lang w:eastAsia="en-GB"/>
          <w14:ligatures w14:val="none"/>
        </w:rPr>
        <w:t xml:space="preserve"> as well as the responses of those that they made disclosures to</w:t>
      </w:r>
      <w:r w:rsidRPr="00D50EF3">
        <w:rPr>
          <w:rFonts w:eastAsia="Times New Roman" w:cs="Times New Roman"/>
          <w:bCs/>
          <w:color w:val="000000"/>
          <w:kern w:val="0"/>
          <w:sz w:val="24"/>
          <w:szCs w:val="24"/>
          <w:lang w:eastAsia="en-GB"/>
          <w14:ligatures w14:val="none"/>
        </w:rPr>
        <w:t xml:space="preserve">. </w:t>
      </w:r>
      <w:r w:rsidR="0064246C" w:rsidRPr="00D50EF3">
        <w:rPr>
          <w:rFonts w:eastAsia="Times New Roman" w:cs="Times New Roman"/>
          <w:bCs/>
          <w:color w:val="000000"/>
          <w:kern w:val="0"/>
          <w:sz w:val="24"/>
          <w:szCs w:val="24"/>
          <w:lang w:eastAsia="en-GB"/>
          <w14:ligatures w14:val="none"/>
        </w:rPr>
        <w:t>The results of the study suggest that the</w:t>
      </w:r>
      <w:r w:rsidR="00D462B5" w:rsidRPr="00D50EF3">
        <w:rPr>
          <w:rFonts w:eastAsia="Times New Roman" w:cs="Times New Roman"/>
          <w:bCs/>
          <w:color w:val="000000"/>
          <w:kern w:val="0"/>
          <w:sz w:val="24"/>
          <w:szCs w:val="24"/>
          <w:lang w:eastAsia="en-GB"/>
          <w14:ligatures w14:val="none"/>
        </w:rPr>
        <w:t xml:space="preserve"> chosen</w:t>
      </w:r>
      <w:r w:rsidR="0064246C" w:rsidRPr="00D50EF3">
        <w:rPr>
          <w:rFonts w:eastAsia="Times New Roman" w:cs="Times New Roman"/>
          <w:bCs/>
          <w:color w:val="000000"/>
          <w:kern w:val="0"/>
          <w:sz w:val="24"/>
          <w:szCs w:val="24"/>
          <w:lang w:eastAsia="en-GB"/>
          <w14:ligatures w14:val="none"/>
        </w:rPr>
        <w:t xml:space="preserve"> sample was for </w:t>
      </w:r>
      <w:r w:rsidR="00B73D4E" w:rsidRPr="00D50EF3">
        <w:rPr>
          <w:rFonts w:eastAsia="Times New Roman" w:cs="Times New Roman"/>
          <w:bCs/>
          <w:color w:val="000000"/>
          <w:kern w:val="0"/>
          <w:sz w:val="24"/>
          <w:szCs w:val="24"/>
          <w:lang w:eastAsia="en-GB"/>
          <w14:ligatures w14:val="none"/>
        </w:rPr>
        <w:t>the convenience</w:t>
      </w:r>
      <w:r w:rsidR="0064246C" w:rsidRPr="00D50EF3">
        <w:rPr>
          <w:rFonts w:eastAsia="Times New Roman" w:cs="Times New Roman"/>
          <w:bCs/>
          <w:color w:val="000000"/>
          <w:kern w:val="0"/>
          <w:sz w:val="24"/>
          <w:szCs w:val="24"/>
          <w:lang w:eastAsia="en-GB"/>
          <w14:ligatures w14:val="none"/>
        </w:rPr>
        <w:t xml:space="preserve"> of </w:t>
      </w:r>
      <w:r w:rsidR="00B73D4E" w:rsidRPr="00D50EF3">
        <w:rPr>
          <w:rFonts w:eastAsia="Times New Roman" w:cs="Times New Roman"/>
          <w:bCs/>
          <w:color w:val="000000"/>
          <w:kern w:val="0"/>
          <w:sz w:val="24"/>
          <w:szCs w:val="24"/>
          <w:lang w:eastAsia="en-GB"/>
          <w14:ligatures w14:val="none"/>
        </w:rPr>
        <w:t xml:space="preserve">the researcher who gained a wide variety of narratives from </w:t>
      </w:r>
      <w:r w:rsidR="00D462B5" w:rsidRPr="00D50EF3">
        <w:rPr>
          <w:rFonts w:eastAsia="Times New Roman" w:cs="Times New Roman"/>
          <w:bCs/>
          <w:color w:val="000000"/>
          <w:kern w:val="0"/>
          <w:sz w:val="24"/>
          <w:szCs w:val="24"/>
          <w:lang w:eastAsia="en-GB"/>
          <w14:ligatures w14:val="none"/>
        </w:rPr>
        <w:t>them</w:t>
      </w:r>
      <w:r w:rsidR="00B73D4E" w:rsidRPr="00D50EF3">
        <w:rPr>
          <w:rFonts w:eastAsia="Times New Roman" w:cs="Times New Roman"/>
          <w:bCs/>
          <w:color w:val="000000"/>
          <w:kern w:val="0"/>
          <w:sz w:val="24"/>
          <w:szCs w:val="24"/>
          <w:lang w:eastAsia="en-GB"/>
          <w14:ligatures w14:val="none"/>
        </w:rPr>
        <w:t xml:space="preserve">. </w:t>
      </w:r>
      <w:r w:rsidR="002A1E78" w:rsidRPr="00D50EF3">
        <w:rPr>
          <w:rFonts w:eastAsia="Times New Roman" w:cs="Times New Roman"/>
          <w:bCs/>
          <w:color w:val="000000"/>
          <w:kern w:val="0"/>
          <w:sz w:val="24"/>
          <w:szCs w:val="24"/>
          <w:lang w:eastAsia="en-GB"/>
          <w14:ligatures w14:val="none"/>
        </w:rPr>
        <w:lastRenderedPageBreak/>
        <w:t>However, a</w:t>
      </w:r>
      <w:r w:rsidR="00B73D4E" w:rsidRPr="00D50EF3">
        <w:rPr>
          <w:rFonts w:eastAsia="Times New Roman" w:cs="Times New Roman"/>
          <w:bCs/>
          <w:color w:val="000000"/>
          <w:kern w:val="0"/>
          <w:sz w:val="24"/>
          <w:szCs w:val="24"/>
          <w:lang w:eastAsia="en-GB"/>
          <w14:ligatures w14:val="none"/>
        </w:rPr>
        <w:t xml:space="preserve">s the study concentrates on the help seeking survivor, they do not capture the </w:t>
      </w:r>
      <w:r w:rsidR="00DB21C4" w:rsidRPr="00D50EF3">
        <w:rPr>
          <w:rFonts w:eastAsia="Times New Roman" w:cs="Times New Roman"/>
          <w:bCs/>
          <w:color w:val="000000"/>
          <w:kern w:val="0"/>
          <w:sz w:val="24"/>
          <w:szCs w:val="24"/>
          <w:lang w:eastAsia="en-GB"/>
          <w14:ligatures w14:val="none"/>
        </w:rPr>
        <w:t>viewpoints</w:t>
      </w:r>
      <w:r w:rsidR="00D462B5" w:rsidRPr="00D50EF3">
        <w:rPr>
          <w:rFonts w:eastAsia="Times New Roman" w:cs="Times New Roman"/>
          <w:bCs/>
          <w:color w:val="000000"/>
          <w:kern w:val="0"/>
          <w:sz w:val="24"/>
          <w:szCs w:val="24"/>
          <w:lang w:eastAsia="en-GB"/>
          <w14:ligatures w14:val="none"/>
        </w:rPr>
        <w:t xml:space="preserve"> or gain an understanding of the barriers to disclosure</w:t>
      </w:r>
      <w:r w:rsidR="00B73D4E" w:rsidRPr="00D50EF3">
        <w:rPr>
          <w:rFonts w:eastAsia="Times New Roman" w:cs="Times New Roman"/>
          <w:bCs/>
          <w:color w:val="000000"/>
          <w:kern w:val="0"/>
          <w:sz w:val="24"/>
          <w:szCs w:val="24"/>
          <w:lang w:eastAsia="en-GB"/>
          <w14:ligatures w14:val="none"/>
        </w:rPr>
        <w:t xml:space="preserve"> of the survivor who </w:t>
      </w:r>
      <w:r w:rsidR="00DB21C4" w:rsidRPr="00D50EF3">
        <w:rPr>
          <w:rFonts w:eastAsia="Times New Roman" w:cs="Times New Roman"/>
          <w:bCs/>
          <w:color w:val="000000"/>
          <w:kern w:val="0"/>
          <w:sz w:val="24"/>
          <w:szCs w:val="24"/>
          <w:lang w:eastAsia="en-GB"/>
          <w14:ligatures w14:val="none"/>
        </w:rPr>
        <w:t>has not gained the same support or made full disclosures</w:t>
      </w:r>
      <w:r w:rsidR="002A1E78" w:rsidRPr="00D50EF3">
        <w:rPr>
          <w:rFonts w:eastAsia="Times New Roman" w:cs="Times New Roman"/>
          <w:bCs/>
          <w:color w:val="000000"/>
          <w:kern w:val="0"/>
          <w:sz w:val="24"/>
          <w:szCs w:val="24"/>
          <w:lang w:eastAsia="en-GB"/>
          <w14:ligatures w14:val="none"/>
        </w:rPr>
        <w:t xml:space="preserve"> possibly</w:t>
      </w:r>
      <w:r w:rsidR="00DB21C4" w:rsidRPr="00D50EF3">
        <w:rPr>
          <w:rFonts w:eastAsia="Times New Roman" w:cs="Times New Roman"/>
          <w:bCs/>
          <w:color w:val="000000"/>
          <w:kern w:val="0"/>
          <w:sz w:val="24"/>
          <w:szCs w:val="24"/>
          <w:lang w:eastAsia="en-GB"/>
          <w14:ligatures w14:val="none"/>
        </w:rPr>
        <w:t xml:space="preserve"> staying in the domestic violence or abusive relationship</w:t>
      </w:r>
      <w:r w:rsidR="00A76E97" w:rsidRPr="00D50EF3">
        <w:rPr>
          <w:rFonts w:eastAsia="Times New Roman" w:cs="Times New Roman"/>
          <w:bCs/>
          <w:color w:val="000000"/>
          <w:kern w:val="0"/>
          <w:sz w:val="24"/>
          <w:szCs w:val="24"/>
          <w:lang w:eastAsia="en-GB"/>
          <w14:ligatures w14:val="none"/>
        </w:rPr>
        <w:t>.</w:t>
      </w:r>
      <w:r w:rsidR="002A1E78" w:rsidRPr="00D50EF3">
        <w:rPr>
          <w:rFonts w:eastAsia="Times New Roman" w:cs="Times New Roman"/>
          <w:bCs/>
          <w:color w:val="000000"/>
          <w:kern w:val="0"/>
          <w:sz w:val="24"/>
          <w:szCs w:val="24"/>
          <w:lang w:eastAsia="en-GB"/>
          <w14:ligatures w14:val="none"/>
        </w:rPr>
        <w:t xml:space="preserve"> While the credibility of the sample is not in question,</w:t>
      </w:r>
      <w:r w:rsidR="00A76E97" w:rsidRPr="00D50EF3">
        <w:rPr>
          <w:rFonts w:eastAsia="Times New Roman" w:cs="Times New Roman"/>
          <w:bCs/>
          <w:color w:val="000000"/>
          <w:kern w:val="0"/>
          <w:sz w:val="24"/>
          <w:szCs w:val="24"/>
          <w:lang w:eastAsia="en-GB"/>
          <w14:ligatures w14:val="none"/>
        </w:rPr>
        <w:t xml:space="preserve"> </w:t>
      </w:r>
      <w:r w:rsidR="002A1E78" w:rsidRPr="00D50EF3">
        <w:rPr>
          <w:rFonts w:eastAsia="Times New Roman" w:cs="Times New Roman"/>
          <w:bCs/>
          <w:color w:val="000000"/>
          <w:kern w:val="0"/>
          <w:sz w:val="24"/>
          <w:szCs w:val="24"/>
          <w:lang w:eastAsia="en-GB"/>
          <w14:ligatures w14:val="none"/>
        </w:rPr>
        <w:t>it</w:t>
      </w:r>
      <w:r w:rsidR="00A76E97" w:rsidRPr="00D50EF3">
        <w:rPr>
          <w:rFonts w:eastAsia="Times New Roman" w:cs="Times New Roman"/>
          <w:bCs/>
          <w:color w:val="000000"/>
          <w:kern w:val="0"/>
          <w:sz w:val="24"/>
          <w:szCs w:val="24"/>
          <w:lang w:eastAsia="en-GB"/>
          <w14:ligatures w14:val="none"/>
        </w:rPr>
        <w:t xml:space="preserve"> then may call into question the transferability of the findings and only highlight the experiences of those who gained support from a particular service</w:t>
      </w:r>
      <w:r w:rsidR="002A1E78" w:rsidRPr="00D50EF3">
        <w:rPr>
          <w:rFonts w:eastAsia="Times New Roman" w:cs="Times New Roman"/>
          <w:bCs/>
          <w:color w:val="000000"/>
          <w:kern w:val="0"/>
          <w:sz w:val="24"/>
          <w:szCs w:val="24"/>
          <w:lang w:eastAsia="en-GB"/>
          <w14:ligatures w14:val="none"/>
        </w:rPr>
        <w:t xml:space="preserve"> and not that of survivors of domestic violence or abuse as a whole</w:t>
      </w:r>
      <w:r w:rsidR="00545C37" w:rsidRPr="00D50EF3">
        <w:rPr>
          <w:rFonts w:eastAsia="Times New Roman" w:cs="Times New Roman"/>
          <w:bCs/>
          <w:color w:val="000000"/>
          <w:kern w:val="0"/>
          <w:sz w:val="24"/>
          <w:szCs w:val="24"/>
          <w:lang w:eastAsia="en-GB"/>
          <w14:ligatures w14:val="none"/>
        </w:rPr>
        <w:t xml:space="preserve"> demographic.</w:t>
      </w:r>
    </w:p>
    <w:p w14:paraId="59558368" w14:textId="77777777" w:rsidR="00696BD2" w:rsidRPr="00D50EF3" w:rsidRDefault="00696BD2" w:rsidP="00D50EF3">
      <w:pPr>
        <w:spacing w:after="0" w:line="360" w:lineRule="auto"/>
        <w:rPr>
          <w:rFonts w:eastAsia="Times New Roman" w:cs="Times New Roman"/>
          <w:bCs/>
          <w:color w:val="000000"/>
          <w:kern w:val="0"/>
          <w:sz w:val="24"/>
          <w:szCs w:val="24"/>
          <w:lang w:eastAsia="en-GB"/>
          <w14:ligatures w14:val="none"/>
        </w:rPr>
      </w:pPr>
    </w:p>
    <w:p w14:paraId="506687D4" w14:textId="2DEDE497" w:rsidR="00696BD2" w:rsidRPr="00D50EF3" w:rsidRDefault="00696BD2"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 xml:space="preserve">The method of data capture was through two in-person guided interviews which were five months apart. </w:t>
      </w:r>
      <w:r w:rsidR="00464162" w:rsidRPr="00D50EF3">
        <w:rPr>
          <w:rFonts w:eastAsia="Times New Roman" w:cs="Times New Roman"/>
          <w:bCs/>
          <w:color w:val="000000"/>
          <w:kern w:val="0"/>
          <w:sz w:val="24"/>
          <w:szCs w:val="24"/>
          <w:lang w:eastAsia="en-GB"/>
          <w14:ligatures w14:val="none"/>
        </w:rPr>
        <w:t>The qualitative methodology of using a purposive sample provided an opportunity for</w:t>
      </w:r>
      <w:r w:rsidR="00545C37" w:rsidRPr="00D50EF3">
        <w:rPr>
          <w:rFonts w:eastAsia="Times New Roman" w:cs="Times New Roman"/>
          <w:bCs/>
          <w:color w:val="000000"/>
          <w:kern w:val="0"/>
          <w:sz w:val="24"/>
          <w:szCs w:val="24"/>
          <w:lang w:eastAsia="en-GB"/>
          <w14:ligatures w14:val="none"/>
        </w:rPr>
        <w:t xml:space="preserve"> the researchers to</w:t>
      </w:r>
      <w:r w:rsidR="00464162" w:rsidRPr="00D50EF3">
        <w:rPr>
          <w:rFonts w:eastAsia="Times New Roman" w:cs="Times New Roman"/>
          <w:bCs/>
          <w:color w:val="000000"/>
          <w:kern w:val="0"/>
          <w:sz w:val="24"/>
          <w:szCs w:val="24"/>
          <w:lang w:eastAsia="en-GB"/>
          <w14:ligatures w14:val="none"/>
        </w:rPr>
        <w:t xml:space="preserve"> </w:t>
      </w:r>
      <w:r w:rsidR="00545C37" w:rsidRPr="00D50EF3">
        <w:rPr>
          <w:rFonts w:eastAsia="Times New Roman" w:cs="Times New Roman"/>
          <w:bCs/>
          <w:color w:val="000000"/>
          <w:kern w:val="0"/>
          <w:sz w:val="24"/>
          <w:szCs w:val="24"/>
          <w:lang w:eastAsia="en-GB"/>
          <w14:ligatures w14:val="none"/>
        </w:rPr>
        <w:t xml:space="preserve">partake in </w:t>
      </w:r>
      <w:r w:rsidR="00464162" w:rsidRPr="00D50EF3">
        <w:rPr>
          <w:rFonts w:eastAsia="Times New Roman" w:cs="Times New Roman"/>
          <w:bCs/>
          <w:color w:val="000000"/>
          <w:kern w:val="0"/>
          <w:sz w:val="24"/>
          <w:szCs w:val="24"/>
          <w:lang w:eastAsia="en-GB"/>
          <w14:ligatures w14:val="none"/>
        </w:rPr>
        <w:t xml:space="preserve">in-depth analysis of the conversations with trust being gained to </w:t>
      </w:r>
      <w:r w:rsidR="00545C37" w:rsidRPr="00D50EF3">
        <w:rPr>
          <w:rFonts w:eastAsia="Times New Roman" w:cs="Times New Roman"/>
          <w:bCs/>
          <w:color w:val="000000"/>
          <w:kern w:val="0"/>
          <w:sz w:val="24"/>
          <w:szCs w:val="24"/>
          <w:lang w:eastAsia="en-GB"/>
          <w14:ligatures w14:val="none"/>
        </w:rPr>
        <w:t xml:space="preserve">have </w:t>
      </w:r>
      <w:r w:rsidR="00464162" w:rsidRPr="00D50EF3">
        <w:rPr>
          <w:rFonts w:eastAsia="Times New Roman" w:cs="Times New Roman"/>
          <w:bCs/>
          <w:color w:val="000000"/>
          <w:kern w:val="0"/>
          <w:sz w:val="24"/>
          <w:szCs w:val="24"/>
          <w:lang w:eastAsia="en-GB"/>
          <w14:ligatures w14:val="none"/>
        </w:rPr>
        <w:t xml:space="preserve">open and honest conversations. </w:t>
      </w:r>
      <w:r w:rsidR="00613B54" w:rsidRPr="00D50EF3">
        <w:rPr>
          <w:rFonts w:eastAsia="Times New Roman" w:cs="Times New Roman"/>
          <w:bCs/>
          <w:color w:val="000000"/>
          <w:kern w:val="0"/>
          <w:sz w:val="24"/>
          <w:szCs w:val="24"/>
          <w:lang w:eastAsia="en-GB"/>
          <w14:ligatures w14:val="none"/>
        </w:rPr>
        <w:t xml:space="preserve">This allowed for the researchers to gain valuable data that quantitative research would not have been able to capture. </w:t>
      </w:r>
      <w:r w:rsidRPr="00D50EF3">
        <w:rPr>
          <w:rFonts w:eastAsia="Times New Roman" w:cs="Times New Roman"/>
          <w:bCs/>
          <w:color w:val="000000"/>
          <w:kern w:val="0"/>
          <w:sz w:val="24"/>
          <w:szCs w:val="24"/>
          <w:lang w:eastAsia="en-GB"/>
          <w14:ligatures w14:val="none"/>
        </w:rPr>
        <w:t>The locale of where the interviews were conducted also went a long way to establish rapport with the study participants</w:t>
      </w:r>
      <w:r w:rsidR="00D462B5" w:rsidRPr="00D50EF3">
        <w:rPr>
          <w:rFonts w:eastAsia="Times New Roman" w:cs="Times New Roman"/>
          <w:bCs/>
          <w:color w:val="000000"/>
          <w:kern w:val="0"/>
          <w:sz w:val="24"/>
          <w:szCs w:val="24"/>
          <w:lang w:eastAsia="en-GB"/>
          <w14:ligatures w14:val="none"/>
        </w:rPr>
        <w:t>,</w:t>
      </w:r>
      <w:r w:rsidRPr="00D50EF3">
        <w:rPr>
          <w:rFonts w:eastAsia="Times New Roman" w:cs="Times New Roman"/>
          <w:bCs/>
          <w:color w:val="000000"/>
          <w:kern w:val="0"/>
          <w:sz w:val="24"/>
          <w:szCs w:val="24"/>
          <w:lang w:eastAsia="en-GB"/>
          <w14:ligatures w14:val="none"/>
        </w:rPr>
        <w:t xml:space="preserve"> which were either situated in the refuge or in their own homes, for example to </w:t>
      </w:r>
      <w:r w:rsidR="00D462B5" w:rsidRPr="00D50EF3">
        <w:rPr>
          <w:rFonts w:eastAsia="Times New Roman" w:cs="Times New Roman"/>
          <w:bCs/>
          <w:color w:val="000000"/>
          <w:kern w:val="0"/>
          <w:sz w:val="24"/>
          <w:szCs w:val="24"/>
          <w:lang w:eastAsia="en-GB"/>
          <w14:ligatures w14:val="none"/>
        </w:rPr>
        <w:t>foster</w:t>
      </w:r>
      <w:r w:rsidRPr="00D50EF3">
        <w:rPr>
          <w:rFonts w:eastAsia="Times New Roman" w:cs="Times New Roman"/>
          <w:bCs/>
          <w:color w:val="000000"/>
          <w:kern w:val="0"/>
          <w:sz w:val="24"/>
          <w:szCs w:val="24"/>
          <w:lang w:eastAsia="en-GB"/>
          <w14:ligatures w14:val="none"/>
        </w:rPr>
        <w:t xml:space="preserve"> a feeling of safety. As all of the participants were women, a female researcher conducted the interviews who also, with permission, audio recorded them to enable ongoing analysis of the conversations</w:t>
      </w:r>
      <w:r w:rsidR="00D462B5" w:rsidRPr="00D50EF3">
        <w:rPr>
          <w:rFonts w:eastAsia="Times New Roman" w:cs="Times New Roman"/>
          <w:bCs/>
          <w:color w:val="000000"/>
          <w:kern w:val="0"/>
          <w:sz w:val="24"/>
          <w:szCs w:val="24"/>
          <w:lang w:eastAsia="en-GB"/>
          <w14:ligatures w14:val="none"/>
        </w:rPr>
        <w:t xml:space="preserve"> and also prepare for the follow up interviews whereby</w:t>
      </w:r>
      <w:r w:rsidR="005002C4" w:rsidRPr="00D50EF3">
        <w:rPr>
          <w:rFonts w:eastAsia="Times New Roman" w:cs="Times New Roman"/>
          <w:bCs/>
          <w:color w:val="000000"/>
          <w:kern w:val="0"/>
          <w:sz w:val="24"/>
          <w:szCs w:val="24"/>
          <w:lang w:eastAsia="en-GB"/>
          <w14:ligatures w14:val="none"/>
        </w:rPr>
        <w:t xml:space="preserve"> if not for the recording,</w:t>
      </w:r>
      <w:r w:rsidR="00D462B5" w:rsidRPr="00D50EF3">
        <w:rPr>
          <w:rFonts w:eastAsia="Times New Roman" w:cs="Times New Roman"/>
          <w:bCs/>
          <w:color w:val="000000"/>
          <w:kern w:val="0"/>
          <w:sz w:val="24"/>
          <w:szCs w:val="24"/>
          <w:lang w:eastAsia="en-GB"/>
          <w14:ligatures w14:val="none"/>
        </w:rPr>
        <w:t xml:space="preserve"> the information shared may have been lost</w:t>
      </w:r>
      <w:r w:rsidR="005002C4" w:rsidRPr="00D50EF3">
        <w:rPr>
          <w:rFonts w:eastAsia="Times New Roman" w:cs="Times New Roman"/>
          <w:bCs/>
          <w:color w:val="000000"/>
          <w:kern w:val="0"/>
          <w:sz w:val="24"/>
          <w:szCs w:val="24"/>
          <w:lang w:eastAsia="en-GB"/>
          <w14:ligatures w14:val="none"/>
        </w:rPr>
        <w:t>,</w:t>
      </w:r>
      <w:r w:rsidR="00D462B5" w:rsidRPr="00D50EF3">
        <w:rPr>
          <w:rFonts w:eastAsia="Times New Roman" w:cs="Times New Roman"/>
          <w:bCs/>
          <w:color w:val="000000"/>
          <w:kern w:val="0"/>
          <w:sz w:val="24"/>
          <w:szCs w:val="24"/>
          <w:lang w:eastAsia="en-GB"/>
          <w14:ligatures w14:val="none"/>
        </w:rPr>
        <w:t xml:space="preserve"> forgotten</w:t>
      </w:r>
      <w:r w:rsidR="005002C4" w:rsidRPr="00D50EF3">
        <w:rPr>
          <w:rFonts w:eastAsia="Times New Roman" w:cs="Times New Roman"/>
          <w:bCs/>
          <w:color w:val="000000"/>
          <w:kern w:val="0"/>
          <w:sz w:val="24"/>
          <w:szCs w:val="24"/>
          <w:lang w:eastAsia="en-GB"/>
          <w14:ligatures w14:val="none"/>
        </w:rPr>
        <w:t xml:space="preserve"> or misunderstood if in paper format only</w:t>
      </w:r>
      <w:r w:rsidR="00D462B5" w:rsidRPr="00D50EF3">
        <w:rPr>
          <w:rFonts w:eastAsia="Times New Roman" w:cs="Times New Roman"/>
          <w:bCs/>
          <w:color w:val="000000"/>
          <w:kern w:val="0"/>
          <w:sz w:val="24"/>
          <w:szCs w:val="24"/>
          <w:lang w:eastAsia="en-GB"/>
          <w14:ligatures w14:val="none"/>
        </w:rPr>
        <w:t>.</w:t>
      </w:r>
    </w:p>
    <w:p w14:paraId="5047EDE8" w14:textId="355201C8" w:rsidR="006705EB" w:rsidRPr="00D50EF3" w:rsidRDefault="006705EB"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 xml:space="preserve">Nowell, et. al. (2017) align with Lincoln and Guba (1985) whereby they argue that qualitative research should be evaluated through the principles of credibility, transferability, dependability and confirmability.  By conducting two interviews per participant over a five-month period, Evans and Feder (2014) increased the trustworthiness of their analysis, allowing narratives to be explored in depth. </w:t>
      </w:r>
      <w:r w:rsidR="0050231B" w:rsidRPr="00D50EF3">
        <w:rPr>
          <w:rFonts w:eastAsia="Times New Roman" w:cs="Times New Roman"/>
          <w:bCs/>
          <w:color w:val="000000"/>
          <w:kern w:val="0"/>
          <w:sz w:val="24"/>
          <w:szCs w:val="24"/>
          <w:lang w:eastAsia="en-GB"/>
          <w14:ligatures w14:val="none"/>
        </w:rPr>
        <w:t xml:space="preserve">However, as the sample was small and from women already receiving support from specialist services, the transferability of the data to account for women who are still in the abusive relationship or have not sought support may not reflect their views or experiences, therefore care should be taken before widening these findings to larger groups. </w:t>
      </w:r>
    </w:p>
    <w:p w14:paraId="7C49BD96" w14:textId="77777777" w:rsidR="002F6375" w:rsidRPr="00D50EF3" w:rsidRDefault="002F6375" w:rsidP="00D50EF3">
      <w:pPr>
        <w:spacing w:after="0" w:line="360" w:lineRule="auto"/>
        <w:rPr>
          <w:rFonts w:eastAsia="Times New Roman" w:cs="Times New Roman"/>
          <w:bCs/>
          <w:color w:val="000000"/>
          <w:kern w:val="0"/>
          <w:sz w:val="24"/>
          <w:szCs w:val="24"/>
          <w:lang w:eastAsia="en-GB"/>
          <w14:ligatures w14:val="none"/>
        </w:rPr>
      </w:pPr>
    </w:p>
    <w:p w14:paraId="33407F46" w14:textId="5511930E" w:rsidR="005B3491" w:rsidRPr="00D50EF3" w:rsidRDefault="0057030A"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lastRenderedPageBreak/>
        <w:t xml:space="preserve">Evans and Feder (2014) collected the data and </w:t>
      </w:r>
      <w:r w:rsidR="00A14BEA" w:rsidRPr="00D50EF3">
        <w:rPr>
          <w:rFonts w:eastAsia="Times New Roman" w:cs="Times New Roman"/>
          <w:bCs/>
          <w:color w:val="000000"/>
          <w:kern w:val="0"/>
          <w:sz w:val="24"/>
          <w:szCs w:val="24"/>
          <w:lang w:eastAsia="en-GB"/>
          <w14:ligatures w14:val="none"/>
        </w:rPr>
        <w:t>studied</w:t>
      </w:r>
      <w:r w:rsidRPr="00D50EF3">
        <w:rPr>
          <w:rFonts w:eastAsia="Times New Roman" w:cs="Times New Roman"/>
          <w:bCs/>
          <w:color w:val="000000"/>
          <w:kern w:val="0"/>
          <w:sz w:val="24"/>
          <w:szCs w:val="24"/>
          <w:lang w:eastAsia="en-GB"/>
          <w14:ligatures w14:val="none"/>
        </w:rPr>
        <w:t xml:space="preserve"> </w:t>
      </w:r>
      <w:r w:rsidR="00A14BEA" w:rsidRPr="00D50EF3">
        <w:rPr>
          <w:rFonts w:eastAsia="Times New Roman" w:cs="Times New Roman"/>
          <w:bCs/>
          <w:color w:val="000000"/>
          <w:kern w:val="0"/>
          <w:sz w:val="24"/>
          <w:szCs w:val="24"/>
          <w:lang w:eastAsia="en-GB"/>
          <w14:ligatures w14:val="none"/>
        </w:rPr>
        <w:t>it through a</w:t>
      </w:r>
      <w:r w:rsidR="00633B02" w:rsidRPr="00D50EF3">
        <w:rPr>
          <w:rFonts w:eastAsia="Times New Roman" w:cs="Times New Roman"/>
          <w:bCs/>
          <w:color w:val="000000"/>
          <w:kern w:val="0"/>
          <w:sz w:val="24"/>
          <w:szCs w:val="24"/>
          <w:lang w:eastAsia="en-GB"/>
          <w14:ligatures w14:val="none"/>
        </w:rPr>
        <w:t>n</w:t>
      </w:r>
      <w:r w:rsidR="00A14BEA" w:rsidRPr="00D50EF3">
        <w:rPr>
          <w:rFonts w:eastAsia="Times New Roman" w:cs="Times New Roman"/>
          <w:bCs/>
          <w:color w:val="000000"/>
          <w:kern w:val="0"/>
          <w:sz w:val="24"/>
          <w:szCs w:val="24"/>
          <w:lang w:eastAsia="en-GB"/>
          <w14:ligatures w14:val="none"/>
        </w:rPr>
        <w:t xml:space="preserve"> interpretivist lens to develop a</w:t>
      </w:r>
      <w:r w:rsidR="002F6375" w:rsidRPr="00D50EF3">
        <w:rPr>
          <w:rFonts w:eastAsia="Times New Roman" w:cs="Times New Roman"/>
          <w:bCs/>
          <w:color w:val="000000"/>
          <w:kern w:val="0"/>
          <w:sz w:val="24"/>
          <w:szCs w:val="24"/>
          <w:lang w:eastAsia="en-GB"/>
          <w14:ligatures w14:val="none"/>
        </w:rPr>
        <w:t xml:space="preserve"> </w:t>
      </w:r>
      <w:r w:rsidR="00A14BEA" w:rsidRPr="00D50EF3">
        <w:rPr>
          <w:rFonts w:eastAsia="Times New Roman" w:cs="Times New Roman"/>
          <w:bCs/>
          <w:color w:val="000000"/>
          <w:kern w:val="0"/>
          <w:sz w:val="24"/>
          <w:szCs w:val="24"/>
          <w:lang w:eastAsia="en-GB"/>
          <w14:ligatures w14:val="none"/>
        </w:rPr>
        <w:t xml:space="preserve">‘narrative </w:t>
      </w:r>
      <w:r w:rsidR="002F6375" w:rsidRPr="00D50EF3">
        <w:rPr>
          <w:rFonts w:eastAsia="Times New Roman" w:cs="Times New Roman"/>
          <w:bCs/>
          <w:color w:val="000000"/>
          <w:kern w:val="0"/>
          <w:sz w:val="24"/>
          <w:szCs w:val="24"/>
          <w:lang w:eastAsia="en-GB"/>
          <w14:ligatures w14:val="none"/>
        </w:rPr>
        <w:t xml:space="preserve">thematic </w:t>
      </w:r>
      <w:r w:rsidR="00A14BEA" w:rsidRPr="00D50EF3">
        <w:rPr>
          <w:rFonts w:eastAsia="Times New Roman" w:cs="Times New Roman"/>
          <w:bCs/>
          <w:color w:val="000000"/>
          <w:kern w:val="0"/>
          <w:sz w:val="24"/>
          <w:szCs w:val="24"/>
          <w:lang w:eastAsia="en-GB"/>
          <w14:ligatures w14:val="none"/>
        </w:rPr>
        <w:t xml:space="preserve">analysis’ to code the data and discover the emerging themes. To ensure the interpretation was correct, double coding was </w:t>
      </w:r>
      <w:r w:rsidR="00633B02" w:rsidRPr="00D50EF3">
        <w:rPr>
          <w:rFonts w:eastAsia="Times New Roman" w:cs="Times New Roman"/>
          <w:bCs/>
          <w:color w:val="000000"/>
          <w:kern w:val="0"/>
          <w:sz w:val="24"/>
          <w:szCs w:val="24"/>
          <w:lang w:eastAsia="en-GB"/>
          <w14:ligatures w14:val="none"/>
        </w:rPr>
        <w:t>used,</w:t>
      </w:r>
      <w:r w:rsidR="00A14BEA" w:rsidRPr="00D50EF3">
        <w:rPr>
          <w:rFonts w:eastAsia="Times New Roman" w:cs="Times New Roman"/>
          <w:bCs/>
          <w:color w:val="000000"/>
          <w:kern w:val="0"/>
          <w:sz w:val="24"/>
          <w:szCs w:val="24"/>
          <w:lang w:eastAsia="en-GB"/>
          <w14:ligatures w14:val="none"/>
        </w:rPr>
        <w:t xml:space="preserve"> and </w:t>
      </w:r>
      <w:r w:rsidR="00633B02" w:rsidRPr="00D50EF3">
        <w:rPr>
          <w:rFonts w:eastAsia="Times New Roman" w:cs="Times New Roman"/>
          <w:bCs/>
          <w:color w:val="000000"/>
          <w:kern w:val="0"/>
          <w:sz w:val="24"/>
          <w:szCs w:val="24"/>
          <w:lang w:eastAsia="en-GB"/>
          <w14:ligatures w14:val="none"/>
        </w:rPr>
        <w:t xml:space="preserve">five themes were </w:t>
      </w:r>
      <w:r w:rsidR="00A14BEA" w:rsidRPr="00D50EF3">
        <w:rPr>
          <w:rFonts w:eastAsia="Times New Roman" w:cs="Times New Roman"/>
          <w:bCs/>
          <w:color w:val="000000"/>
          <w:kern w:val="0"/>
          <w:sz w:val="24"/>
          <w:szCs w:val="24"/>
          <w:lang w:eastAsia="en-GB"/>
          <w14:ligatures w14:val="none"/>
        </w:rPr>
        <w:t xml:space="preserve">identified </w:t>
      </w:r>
      <w:r w:rsidR="00DE5C16" w:rsidRPr="00D50EF3">
        <w:rPr>
          <w:rFonts w:eastAsia="Times New Roman" w:cs="Times New Roman"/>
          <w:bCs/>
          <w:color w:val="000000"/>
          <w:kern w:val="0"/>
          <w:sz w:val="24"/>
          <w:szCs w:val="24"/>
          <w:lang w:eastAsia="en-GB"/>
          <w14:ligatures w14:val="none"/>
        </w:rPr>
        <w:t>from the</w:t>
      </w:r>
      <w:r w:rsidR="002F6375" w:rsidRPr="00D50EF3">
        <w:rPr>
          <w:rFonts w:eastAsia="Times New Roman" w:cs="Times New Roman"/>
          <w:bCs/>
          <w:color w:val="000000"/>
          <w:kern w:val="0"/>
          <w:sz w:val="24"/>
          <w:szCs w:val="24"/>
          <w:lang w:eastAsia="en-GB"/>
          <w14:ligatures w14:val="none"/>
        </w:rPr>
        <w:t xml:space="preserve"> capture</w:t>
      </w:r>
      <w:r w:rsidR="00DE5C16" w:rsidRPr="00D50EF3">
        <w:rPr>
          <w:rFonts w:eastAsia="Times New Roman" w:cs="Times New Roman"/>
          <w:bCs/>
          <w:color w:val="000000"/>
          <w:kern w:val="0"/>
          <w:sz w:val="24"/>
          <w:szCs w:val="24"/>
          <w:lang w:eastAsia="en-GB"/>
          <w14:ligatures w14:val="none"/>
        </w:rPr>
        <w:t xml:space="preserve"> of</w:t>
      </w:r>
      <w:r w:rsidR="002F6375" w:rsidRPr="00D50EF3">
        <w:rPr>
          <w:rFonts w:eastAsia="Times New Roman" w:cs="Times New Roman"/>
          <w:bCs/>
          <w:color w:val="000000"/>
          <w:kern w:val="0"/>
          <w:sz w:val="24"/>
          <w:szCs w:val="24"/>
          <w:lang w:eastAsia="en-GB"/>
          <w14:ligatures w14:val="none"/>
        </w:rPr>
        <w:t xml:space="preserve"> the lived experiences of the participants</w:t>
      </w:r>
      <w:r w:rsidR="00A14BEA" w:rsidRPr="00D50EF3">
        <w:rPr>
          <w:rFonts w:eastAsia="Times New Roman" w:cs="Times New Roman"/>
          <w:bCs/>
          <w:color w:val="000000"/>
          <w:kern w:val="0"/>
          <w:sz w:val="24"/>
          <w:szCs w:val="24"/>
          <w:lang w:eastAsia="en-GB"/>
          <w14:ligatures w14:val="none"/>
        </w:rPr>
        <w:t xml:space="preserve">. </w:t>
      </w:r>
      <w:r w:rsidR="00633B02" w:rsidRPr="00D50EF3">
        <w:rPr>
          <w:rFonts w:eastAsia="Times New Roman" w:cs="Times New Roman"/>
          <w:bCs/>
          <w:color w:val="000000"/>
          <w:kern w:val="0"/>
          <w:sz w:val="24"/>
          <w:szCs w:val="24"/>
          <w:lang w:eastAsia="en-GB"/>
          <w14:ligatures w14:val="none"/>
        </w:rPr>
        <w:t>A thematic approach is widely seen as the most appropriate method for qualitative research as it allows for the researchers to identify common themes across a range of sample narratives</w:t>
      </w:r>
      <w:r w:rsidR="00D52422" w:rsidRPr="00D50EF3">
        <w:rPr>
          <w:rFonts w:eastAsia="Times New Roman" w:cs="Times New Roman"/>
          <w:bCs/>
          <w:color w:val="000000"/>
          <w:kern w:val="0"/>
          <w:sz w:val="24"/>
          <w:szCs w:val="24"/>
          <w:lang w:eastAsia="en-GB"/>
          <w14:ligatures w14:val="none"/>
        </w:rPr>
        <w:t xml:space="preserve"> (</w:t>
      </w:r>
      <w:proofErr w:type="spellStart"/>
      <w:r w:rsidR="00D52422" w:rsidRPr="00D50EF3">
        <w:rPr>
          <w:rFonts w:eastAsia="Times New Roman" w:cs="Times New Roman"/>
          <w:bCs/>
          <w:color w:val="000000"/>
          <w:kern w:val="0"/>
          <w:sz w:val="24"/>
          <w:szCs w:val="24"/>
          <w:lang w:eastAsia="en-GB"/>
          <w14:ligatures w14:val="none"/>
        </w:rPr>
        <w:t>Sundler</w:t>
      </w:r>
      <w:proofErr w:type="spellEnd"/>
      <w:r w:rsidR="00D52422" w:rsidRPr="00D50EF3">
        <w:rPr>
          <w:rFonts w:eastAsia="Times New Roman" w:cs="Times New Roman"/>
          <w:bCs/>
          <w:color w:val="000000"/>
          <w:kern w:val="0"/>
          <w:sz w:val="24"/>
          <w:szCs w:val="24"/>
          <w:lang w:eastAsia="en-GB"/>
          <w14:ligatures w14:val="none"/>
        </w:rPr>
        <w:t xml:space="preserve"> et al., 2019,</w:t>
      </w:r>
      <w:r w:rsidR="00D52422" w:rsidRPr="00D50EF3">
        <w:rPr>
          <w:rFonts w:ascii="Arial" w:hAnsi="Arial" w:cs="Arial"/>
          <w:color w:val="040102"/>
          <w:sz w:val="24"/>
          <w:szCs w:val="24"/>
          <w:shd w:val="clear" w:color="auto" w:fill="FFFFFF"/>
        </w:rPr>
        <w:t xml:space="preserve"> </w:t>
      </w:r>
      <w:r w:rsidR="00D52422" w:rsidRPr="00D50EF3">
        <w:rPr>
          <w:rFonts w:cs="Arial"/>
          <w:color w:val="040102"/>
          <w:sz w:val="24"/>
          <w:szCs w:val="24"/>
          <w:shd w:val="clear" w:color="auto" w:fill="FFFFFF"/>
        </w:rPr>
        <w:t>Ahmed et al., 2025)</w:t>
      </w:r>
      <w:r w:rsidR="005B3491" w:rsidRPr="00D50EF3">
        <w:rPr>
          <w:rFonts w:cs="Arial"/>
          <w:color w:val="040102"/>
          <w:sz w:val="24"/>
          <w:szCs w:val="24"/>
          <w:shd w:val="clear" w:color="auto" w:fill="FFFFFF"/>
        </w:rPr>
        <w:t xml:space="preserve"> However, as researchers are analysing the information, their unconscious bias can inevitably play a part in the scrutiny of the data that has been captured. Evans and Feder (2014) describe the analytical process, however, fail to provide information with regard to the mitigation of their own experiences or the reflexivity of the data. Further discussion around this in the journal article would have provided additional validity to the findings. </w:t>
      </w:r>
      <w:r w:rsidR="005B3491" w:rsidRPr="00D50EF3">
        <w:rPr>
          <w:rFonts w:eastAsia="Times New Roman" w:cs="Times New Roman"/>
          <w:bCs/>
          <w:color w:val="000000"/>
          <w:kern w:val="0"/>
          <w:sz w:val="24"/>
          <w:szCs w:val="24"/>
          <w:lang w:eastAsia="en-GB"/>
          <w14:ligatures w14:val="none"/>
        </w:rPr>
        <w:t xml:space="preserve">Nowell et al. (2017) argue that for qualitative data to be recognised and valued, the researchers must be transparent and consistent in their data collection and analysis. </w:t>
      </w:r>
      <w:r w:rsidR="002957C1" w:rsidRPr="00D50EF3">
        <w:rPr>
          <w:rFonts w:eastAsia="Times New Roman" w:cs="Times New Roman"/>
          <w:bCs/>
          <w:color w:val="000000"/>
          <w:kern w:val="0"/>
          <w:sz w:val="24"/>
          <w:szCs w:val="24"/>
          <w:lang w:eastAsia="en-GB"/>
          <w14:ligatures w14:val="none"/>
        </w:rPr>
        <w:t>They argue that a ‘purposeful approach to thematic analysis in order to systematize and increase the traceability and verification of the analysis’ is essential for the findings of a study to be seen as trustworthy data</w:t>
      </w:r>
      <w:r w:rsidR="00635106" w:rsidRPr="00D50EF3">
        <w:rPr>
          <w:rFonts w:eastAsia="Times New Roman" w:cs="Times New Roman"/>
          <w:bCs/>
          <w:color w:val="000000"/>
          <w:kern w:val="0"/>
          <w:sz w:val="24"/>
          <w:szCs w:val="24"/>
          <w:lang w:eastAsia="en-GB"/>
          <w14:ligatures w14:val="none"/>
        </w:rPr>
        <w:t xml:space="preserve"> (Nowell et al., 2017)</w:t>
      </w:r>
      <w:r w:rsidR="002957C1" w:rsidRPr="00D50EF3">
        <w:rPr>
          <w:rFonts w:eastAsia="Times New Roman" w:cs="Times New Roman"/>
          <w:bCs/>
          <w:color w:val="000000"/>
          <w:kern w:val="0"/>
          <w:sz w:val="24"/>
          <w:szCs w:val="24"/>
          <w:lang w:eastAsia="en-GB"/>
          <w14:ligatures w14:val="none"/>
        </w:rPr>
        <w:t xml:space="preserve">. </w:t>
      </w:r>
    </w:p>
    <w:p w14:paraId="108097D9" w14:textId="77777777" w:rsidR="000B5F9C" w:rsidRPr="00D50EF3" w:rsidRDefault="000B5F9C" w:rsidP="00D50EF3">
      <w:pPr>
        <w:spacing w:after="0" w:line="360" w:lineRule="auto"/>
        <w:rPr>
          <w:rFonts w:eastAsia="Times New Roman" w:cs="Times New Roman"/>
          <w:bCs/>
          <w:color w:val="000000"/>
          <w:kern w:val="0"/>
          <w:sz w:val="24"/>
          <w:szCs w:val="24"/>
          <w:lang w:eastAsia="en-GB"/>
          <w14:ligatures w14:val="none"/>
        </w:rPr>
      </w:pPr>
    </w:p>
    <w:p w14:paraId="53FBB519" w14:textId="61D1D5CA" w:rsidR="006A211D" w:rsidRPr="00D50EF3" w:rsidRDefault="000B5F9C"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 xml:space="preserve">The traumatic events these women experienced may also have influenced their memories, with research suggesting that eyewitness testimony is not always accurate and can be vulnerable to factors such as stress and trauma. These memories may be susceptible to distortion, fragmentation or struggles with recall (Brewin, 2018). </w:t>
      </w:r>
      <w:r w:rsidR="00471EB3" w:rsidRPr="00D50EF3">
        <w:rPr>
          <w:rFonts w:eastAsia="Times New Roman" w:cs="Times New Roman"/>
          <w:bCs/>
          <w:color w:val="000000"/>
          <w:kern w:val="0"/>
          <w:sz w:val="24"/>
          <w:szCs w:val="24"/>
          <w:lang w:eastAsia="en-GB"/>
          <w14:ligatures w14:val="none"/>
        </w:rPr>
        <w:t>The study does not express any post-event diagnoses such as Post Traumatic Stress Disorder (PTSD). However, studies have found that the rate of PTSD and Complex PTSD (</w:t>
      </w:r>
      <w:r w:rsidR="00000D2B" w:rsidRPr="00D50EF3">
        <w:rPr>
          <w:rFonts w:eastAsia="Times New Roman" w:cs="Times New Roman"/>
          <w:bCs/>
          <w:color w:val="000000"/>
          <w:kern w:val="0"/>
          <w:sz w:val="24"/>
          <w:szCs w:val="24"/>
          <w:lang w:eastAsia="en-GB"/>
          <w14:ligatures w14:val="none"/>
        </w:rPr>
        <w:t>C</w:t>
      </w:r>
      <w:r w:rsidR="00471EB3" w:rsidRPr="00D50EF3">
        <w:rPr>
          <w:rFonts w:eastAsia="Times New Roman" w:cs="Times New Roman"/>
          <w:bCs/>
          <w:color w:val="000000"/>
          <w:kern w:val="0"/>
          <w:sz w:val="24"/>
          <w:szCs w:val="24"/>
          <w:lang w:eastAsia="en-GB"/>
          <w14:ligatures w14:val="none"/>
        </w:rPr>
        <w:t xml:space="preserve">PTSD) in survivors of interpersonal violence by a partner or ex-partner is one of the most common mental health disorders recorded. </w:t>
      </w:r>
      <w:r w:rsidR="00000D2B" w:rsidRPr="00D50EF3">
        <w:rPr>
          <w:rFonts w:eastAsia="Times New Roman" w:cs="Times New Roman"/>
          <w:bCs/>
          <w:color w:val="000000"/>
          <w:kern w:val="0"/>
          <w:sz w:val="24"/>
          <w:szCs w:val="24"/>
          <w:lang w:eastAsia="en-GB"/>
          <w14:ligatures w14:val="none"/>
        </w:rPr>
        <w:t>(</w:t>
      </w:r>
      <w:proofErr w:type="spellStart"/>
      <w:r w:rsidR="00000D2B" w:rsidRPr="00D50EF3">
        <w:rPr>
          <w:rFonts w:eastAsia="Times New Roman" w:cs="Times New Roman"/>
          <w:bCs/>
          <w:color w:val="000000"/>
          <w:kern w:val="0"/>
          <w:sz w:val="24"/>
          <w:szCs w:val="24"/>
          <w:lang w:eastAsia="en-GB"/>
          <w14:ligatures w14:val="none"/>
        </w:rPr>
        <w:t>Kastello</w:t>
      </w:r>
      <w:proofErr w:type="spellEnd"/>
      <w:r w:rsidR="00000D2B" w:rsidRPr="00D50EF3">
        <w:rPr>
          <w:rFonts w:eastAsia="Times New Roman" w:cs="Times New Roman"/>
          <w:bCs/>
          <w:color w:val="000000"/>
          <w:kern w:val="0"/>
          <w:sz w:val="24"/>
          <w:szCs w:val="24"/>
          <w:lang w:eastAsia="en-GB"/>
          <w14:ligatures w14:val="none"/>
        </w:rPr>
        <w:t xml:space="preserve"> et al., 2015).</w:t>
      </w:r>
      <w:r w:rsidR="00000D2B" w:rsidRPr="00D50EF3">
        <w:rPr>
          <w:rFonts w:ascii="Arial" w:hAnsi="Arial" w:cs="Arial"/>
          <w:color w:val="040102"/>
          <w:sz w:val="24"/>
          <w:szCs w:val="24"/>
          <w:shd w:val="clear" w:color="auto" w:fill="FFFFFF"/>
        </w:rPr>
        <w:t xml:space="preserve"> </w:t>
      </w:r>
      <w:r w:rsidR="00000D2B" w:rsidRPr="00D50EF3">
        <w:rPr>
          <w:rFonts w:eastAsia="Times New Roman" w:cs="Times New Roman"/>
          <w:bCs/>
          <w:color w:val="000000"/>
          <w:kern w:val="0"/>
          <w:sz w:val="24"/>
          <w:szCs w:val="24"/>
          <w:lang w:eastAsia="en-GB"/>
          <w14:ligatures w14:val="none"/>
        </w:rPr>
        <w:t>Fernández -</w:t>
      </w:r>
      <w:proofErr w:type="spellStart"/>
      <w:r w:rsidR="00000D2B" w:rsidRPr="00D50EF3">
        <w:rPr>
          <w:rFonts w:eastAsia="Times New Roman" w:cs="Times New Roman"/>
          <w:bCs/>
          <w:color w:val="000000"/>
          <w:kern w:val="0"/>
          <w:sz w:val="24"/>
          <w:szCs w:val="24"/>
          <w:lang w:eastAsia="en-GB"/>
          <w14:ligatures w14:val="none"/>
        </w:rPr>
        <w:t>Fillol</w:t>
      </w:r>
      <w:proofErr w:type="spellEnd"/>
      <w:r w:rsidR="00000D2B" w:rsidRPr="00D50EF3">
        <w:rPr>
          <w:rFonts w:eastAsia="Times New Roman" w:cs="Times New Roman"/>
          <w:bCs/>
          <w:color w:val="000000"/>
          <w:kern w:val="0"/>
          <w:sz w:val="24"/>
          <w:szCs w:val="24"/>
          <w:lang w:eastAsia="en-GB"/>
          <w14:ligatures w14:val="none"/>
        </w:rPr>
        <w:t xml:space="preserve"> et al. (2021) have also argued that women who are survivors of interpersonal violence tend to seek support from specialised services who are equipped to manage the issues related with emotional regulation, self-esteem and resilience, which are all associated with CPTSD. This, therefore, could </w:t>
      </w:r>
      <w:r w:rsidR="000C5155" w:rsidRPr="00D50EF3">
        <w:rPr>
          <w:rFonts w:eastAsia="Times New Roman" w:cs="Times New Roman"/>
          <w:bCs/>
          <w:color w:val="000000"/>
          <w:kern w:val="0"/>
          <w:sz w:val="24"/>
          <w:szCs w:val="24"/>
          <w:lang w:eastAsia="en-GB"/>
          <w14:ligatures w14:val="none"/>
        </w:rPr>
        <w:t xml:space="preserve">call into question the validity of the participants testimony which Evans and Feder (2014) have mitigated to the best of their ability by audio recording their interviews. </w:t>
      </w:r>
      <w:r w:rsidR="006A211D" w:rsidRPr="00D50EF3">
        <w:rPr>
          <w:rFonts w:eastAsia="Times New Roman" w:cs="Times New Roman"/>
          <w:bCs/>
          <w:color w:val="000000"/>
          <w:kern w:val="0"/>
          <w:sz w:val="24"/>
          <w:szCs w:val="24"/>
          <w:lang w:eastAsia="en-GB"/>
          <w14:ligatures w14:val="none"/>
        </w:rPr>
        <w:t xml:space="preserve">Brewin, Andrews and Mickes (2020) argue </w:t>
      </w:r>
      <w:r w:rsidR="006A211D" w:rsidRPr="00D50EF3">
        <w:rPr>
          <w:rFonts w:eastAsia="Times New Roman" w:cs="Times New Roman"/>
          <w:bCs/>
          <w:color w:val="000000"/>
          <w:kern w:val="0"/>
          <w:sz w:val="24"/>
          <w:szCs w:val="24"/>
          <w:lang w:eastAsia="en-GB"/>
          <w14:ligatures w14:val="none"/>
        </w:rPr>
        <w:lastRenderedPageBreak/>
        <w:t>that eyewitness memory is reconstructive, and that recollection of events can change over time and be influenced by stress, post-event information, and the conditions under which memories are recalled</w:t>
      </w:r>
      <w:r w:rsidR="005002C4" w:rsidRPr="00D50EF3">
        <w:rPr>
          <w:rFonts w:eastAsia="Times New Roman" w:cs="Times New Roman"/>
          <w:bCs/>
          <w:color w:val="000000"/>
          <w:kern w:val="0"/>
          <w:sz w:val="24"/>
          <w:szCs w:val="24"/>
          <w:lang w:eastAsia="en-GB"/>
          <w14:ligatures w14:val="none"/>
        </w:rPr>
        <w:t xml:space="preserve"> and as such the researchers aimed to make the participants feel comfortable and safe to share their stories. </w:t>
      </w:r>
    </w:p>
    <w:p w14:paraId="43BAD625" w14:textId="7A5F618F" w:rsidR="000B5F9C" w:rsidRPr="00D50EF3" w:rsidRDefault="000B5F9C" w:rsidP="00D50EF3">
      <w:pPr>
        <w:spacing w:after="0" w:line="360" w:lineRule="auto"/>
        <w:rPr>
          <w:rFonts w:eastAsia="Times New Roman" w:cs="Times New Roman"/>
          <w:bCs/>
          <w:color w:val="000000"/>
          <w:kern w:val="0"/>
          <w:sz w:val="24"/>
          <w:szCs w:val="24"/>
          <w:lang w:eastAsia="en-GB"/>
          <w14:ligatures w14:val="none"/>
        </w:rPr>
      </w:pPr>
    </w:p>
    <w:p w14:paraId="3953E7B4" w14:textId="64F9CCF3" w:rsidR="007D3E74" w:rsidRPr="00D50EF3" w:rsidRDefault="00E83716" w:rsidP="00D50EF3">
      <w:pPr>
        <w:spacing w:line="360" w:lineRule="auto"/>
        <w:jc w:val="both"/>
        <w:rPr>
          <w:rFonts w:eastAsia="Calibri" w:cs="Times New Roman"/>
          <w:bCs/>
          <w:kern w:val="0"/>
          <w:sz w:val="24"/>
          <w:szCs w:val="24"/>
          <w14:ligatures w14:val="none"/>
        </w:rPr>
      </w:pPr>
      <w:r w:rsidRPr="00D50EF3">
        <w:rPr>
          <w:rFonts w:eastAsia="Calibri" w:cs="Times New Roman"/>
          <w:bCs/>
          <w:kern w:val="0"/>
          <w:sz w:val="24"/>
          <w:szCs w:val="24"/>
          <w14:ligatures w14:val="none"/>
        </w:rPr>
        <w:t>Within any study, ethical considerations must be made</w:t>
      </w:r>
      <w:r w:rsidR="006B6963" w:rsidRPr="00D50EF3">
        <w:rPr>
          <w:rFonts w:eastAsia="Calibri" w:cs="Times New Roman"/>
          <w:bCs/>
          <w:kern w:val="0"/>
          <w:sz w:val="24"/>
          <w:szCs w:val="24"/>
          <w14:ligatures w14:val="none"/>
        </w:rPr>
        <w:t>. In</w:t>
      </w:r>
      <w:r w:rsidR="0038121E" w:rsidRPr="00D50EF3">
        <w:rPr>
          <w:rFonts w:eastAsia="Calibri" w:cs="Times New Roman"/>
          <w:bCs/>
          <w:kern w:val="0"/>
          <w:sz w:val="24"/>
          <w:szCs w:val="24"/>
          <w14:ligatures w14:val="none"/>
        </w:rPr>
        <w:t xml:space="preserve"> all cases, but particularly pertinent for survivors of domestic violence or abuse</w:t>
      </w:r>
      <w:r w:rsidR="00776ED5" w:rsidRPr="00D50EF3">
        <w:rPr>
          <w:rFonts w:eastAsia="Calibri" w:cs="Times New Roman"/>
          <w:bCs/>
          <w:kern w:val="0"/>
          <w:sz w:val="24"/>
          <w:szCs w:val="24"/>
          <w14:ligatures w14:val="none"/>
        </w:rPr>
        <w:t xml:space="preserve"> who </w:t>
      </w:r>
      <w:r w:rsidR="008A5EA1" w:rsidRPr="00D50EF3">
        <w:rPr>
          <w:rFonts w:eastAsia="Calibri" w:cs="Times New Roman"/>
          <w:bCs/>
          <w:kern w:val="0"/>
          <w:sz w:val="24"/>
          <w:szCs w:val="24"/>
          <w14:ligatures w14:val="none"/>
        </w:rPr>
        <w:t>could be considered</w:t>
      </w:r>
      <w:r w:rsidR="00776ED5" w:rsidRPr="00D50EF3">
        <w:rPr>
          <w:rFonts w:eastAsia="Calibri" w:cs="Times New Roman"/>
          <w:bCs/>
          <w:kern w:val="0"/>
          <w:sz w:val="24"/>
          <w:szCs w:val="24"/>
          <w14:ligatures w14:val="none"/>
        </w:rPr>
        <w:t xml:space="preserve"> </w:t>
      </w:r>
      <w:r w:rsidR="008A5EA1" w:rsidRPr="00D50EF3">
        <w:rPr>
          <w:rFonts w:eastAsia="Calibri" w:cs="Times New Roman"/>
          <w:bCs/>
          <w:kern w:val="0"/>
          <w:sz w:val="24"/>
          <w:szCs w:val="24"/>
          <w14:ligatures w14:val="none"/>
        </w:rPr>
        <w:t>a</w:t>
      </w:r>
      <w:r w:rsidR="00776ED5" w:rsidRPr="00D50EF3">
        <w:rPr>
          <w:rFonts w:eastAsia="Calibri" w:cs="Times New Roman"/>
          <w:bCs/>
          <w:kern w:val="0"/>
          <w:sz w:val="24"/>
          <w:szCs w:val="24"/>
          <w14:ligatures w14:val="none"/>
        </w:rPr>
        <w:t xml:space="preserve"> vulnerable </w:t>
      </w:r>
      <w:r w:rsidR="008A5EA1" w:rsidRPr="00D50EF3">
        <w:rPr>
          <w:rFonts w:eastAsia="Calibri" w:cs="Times New Roman"/>
          <w:bCs/>
          <w:kern w:val="0"/>
          <w:sz w:val="24"/>
          <w:szCs w:val="24"/>
          <w14:ligatures w14:val="none"/>
        </w:rPr>
        <w:t>population</w:t>
      </w:r>
      <w:r w:rsidR="00776ED5" w:rsidRPr="00D50EF3">
        <w:rPr>
          <w:rFonts w:eastAsia="Calibri" w:cs="Times New Roman"/>
          <w:bCs/>
          <w:kern w:val="0"/>
          <w:sz w:val="24"/>
          <w:szCs w:val="24"/>
          <w14:ligatures w14:val="none"/>
        </w:rPr>
        <w:t xml:space="preserve"> who</w:t>
      </w:r>
      <w:r w:rsidR="008A5EA1" w:rsidRPr="00D50EF3">
        <w:rPr>
          <w:rFonts w:eastAsia="Calibri" w:cs="Times New Roman"/>
          <w:bCs/>
          <w:kern w:val="0"/>
          <w:sz w:val="24"/>
          <w:szCs w:val="24"/>
          <w14:ligatures w14:val="none"/>
        </w:rPr>
        <w:t xml:space="preserve">, by participating, </w:t>
      </w:r>
      <w:r w:rsidR="00776ED5" w:rsidRPr="00D50EF3">
        <w:rPr>
          <w:rFonts w:eastAsia="Calibri" w:cs="Times New Roman"/>
          <w:bCs/>
          <w:kern w:val="0"/>
          <w:sz w:val="24"/>
          <w:szCs w:val="24"/>
          <w14:ligatures w14:val="none"/>
        </w:rPr>
        <w:t>could</w:t>
      </w:r>
      <w:r w:rsidR="008A5EA1" w:rsidRPr="00D50EF3">
        <w:rPr>
          <w:rFonts w:eastAsia="Calibri" w:cs="Times New Roman"/>
          <w:bCs/>
          <w:kern w:val="0"/>
          <w:sz w:val="24"/>
          <w:szCs w:val="24"/>
          <w14:ligatures w14:val="none"/>
        </w:rPr>
        <w:t xml:space="preserve"> also</w:t>
      </w:r>
      <w:r w:rsidR="00776ED5" w:rsidRPr="00D50EF3">
        <w:rPr>
          <w:rFonts w:eastAsia="Calibri" w:cs="Times New Roman"/>
          <w:bCs/>
          <w:kern w:val="0"/>
          <w:sz w:val="24"/>
          <w:szCs w:val="24"/>
          <w14:ligatures w14:val="none"/>
        </w:rPr>
        <w:t xml:space="preserve"> be at </w:t>
      </w:r>
      <w:r w:rsidR="008A5EA1" w:rsidRPr="00D50EF3">
        <w:rPr>
          <w:rFonts w:eastAsia="Calibri" w:cs="Times New Roman"/>
          <w:bCs/>
          <w:kern w:val="0"/>
          <w:sz w:val="24"/>
          <w:szCs w:val="24"/>
          <w14:ligatures w14:val="none"/>
        </w:rPr>
        <w:t xml:space="preserve">an increased </w:t>
      </w:r>
      <w:r w:rsidR="00776ED5" w:rsidRPr="00D50EF3">
        <w:rPr>
          <w:rFonts w:eastAsia="Calibri" w:cs="Times New Roman"/>
          <w:bCs/>
          <w:kern w:val="0"/>
          <w:sz w:val="24"/>
          <w:szCs w:val="24"/>
          <w14:ligatures w14:val="none"/>
        </w:rPr>
        <w:t xml:space="preserve">risk of </w:t>
      </w:r>
      <w:r w:rsidR="008A5EA1" w:rsidRPr="00D50EF3">
        <w:rPr>
          <w:rFonts w:eastAsia="Calibri" w:cs="Times New Roman"/>
          <w:bCs/>
          <w:kern w:val="0"/>
          <w:sz w:val="24"/>
          <w:szCs w:val="24"/>
          <w14:ligatures w14:val="none"/>
        </w:rPr>
        <w:t xml:space="preserve">emotional or psychological </w:t>
      </w:r>
      <w:r w:rsidR="00776ED5" w:rsidRPr="00D50EF3">
        <w:rPr>
          <w:rFonts w:eastAsia="Calibri" w:cs="Times New Roman"/>
          <w:bCs/>
          <w:kern w:val="0"/>
          <w:sz w:val="24"/>
          <w:szCs w:val="24"/>
          <w14:ligatures w14:val="none"/>
        </w:rPr>
        <w:t xml:space="preserve">harm. Providing the participants of the mitigation factors </w:t>
      </w:r>
      <w:r w:rsidR="006B6963" w:rsidRPr="00D50EF3">
        <w:rPr>
          <w:rFonts w:eastAsia="Calibri" w:cs="Times New Roman"/>
          <w:bCs/>
          <w:kern w:val="0"/>
          <w:sz w:val="24"/>
          <w:szCs w:val="24"/>
          <w14:ligatures w14:val="none"/>
        </w:rPr>
        <w:t>allow</w:t>
      </w:r>
      <w:r w:rsidR="00776ED5" w:rsidRPr="00D50EF3">
        <w:rPr>
          <w:rFonts w:eastAsia="Calibri" w:cs="Times New Roman"/>
          <w:bCs/>
          <w:kern w:val="0"/>
          <w:sz w:val="24"/>
          <w:szCs w:val="24"/>
          <w14:ligatures w14:val="none"/>
        </w:rPr>
        <w:t>s</w:t>
      </w:r>
      <w:r w:rsidR="006B6963" w:rsidRPr="00D50EF3">
        <w:rPr>
          <w:rFonts w:eastAsia="Calibri" w:cs="Times New Roman"/>
          <w:bCs/>
          <w:kern w:val="0"/>
          <w:sz w:val="24"/>
          <w:szCs w:val="24"/>
          <w14:ligatures w14:val="none"/>
        </w:rPr>
        <w:t xml:space="preserve"> them to feel safe enough to participate</w:t>
      </w:r>
      <w:r w:rsidR="0038121E" w:rsidRPr="00D50EF3">
        <w:rPr>
          <w:rFonts w:eastAsia="Calibri" w:cs="Times New Roman"/>
          <w:bCs/>
          <w:kern w:val="0"/>
          <w:sz w:val="24"/>
          <w:szCs w:val="24"/>
          <w14:ligatures w14:val="none"/>
        </w:rPr>
        <w:t xml:space="preserve"> openly and honestly</w:t>
      </w:r>
      <w:r w:rsidR="00776ED5" w:rsidRPr="00D50EF3">
        <w:rPr>
          <w:rFonts w:eastAsia="Calibri" w:cs="Times New Roman"/>
          <w:bCs/>
          <w:kern w:val="0"/>
          <w:sz w:val="24"/>
          <w:szCs w:val="24"/>
          <w14:ligatures w14:val="none"/>
        </w:rPr>
        <w:t xml:space="preserve"> in the study with a reassurance on how their information will be used and protected to keep the participants and their stories safe</w:t>
      </w:r>
      <w:r w:rsidR="006B6963" w:rsidRPr="00D50EF3">
        <w:rPr>
          <w:rFonts w:eastAsia="Calibri" w:cs="Times New Roman"/>
          <w:bCs/>
          <w:kern w:val="0"/>
          <w:sz w:val="24"/>
          <w:szCs w:val="24"/>
          <w14:ligatures w14:val="none"/>
        </w:rPr>
        <w:t>.</w:t>
      </w:r>
      <w:r w:rsidR="00414241" w:rsidRPr="00D50EF3">
        <w:rPr>
          <w:rFonts w:eastAsia="Calibri" w:cs="Times New Roman"/>
          <w:bCs/>
          <w:kern w:val="0"/>
          <w:sz w:val="24"/>
          <w:szCs w:val="24"/>
          <w14:ligatures w14:val="none"/>
        </w:rPr>
        <w:t xml:space="preserve"> Evans and Feder (2014) highlighted that they requested consent to be contacted for the participants via the PATH trial that they were involved in (Ferrari, et. al., 2018). The second stage of consent was informed consent of the participants </w:t>
      </w:r>
      <w:r w:rsidR="0038121E" w:rsidRPr="00D50EF3">
        <w:rPr>
          <w:rFonts w:eastAsia="Calibri" w:cs="Times New Roman"/>
          <w:bCs/>
          <w:kern w:val="0"/>
          <w:sz w:val="24"/>
          <w:szCs w:val="24"/>
          <w14:ligatures w14:val="none"/>
        </w:rPr>
        <w:t>in order for them to be interviewed, in person and audio recorded.</w:t>
      </w:r>
      <w:r w:rsidR="009E223F" w:rsidRPr="00D50EF3">
        <w:rPr>
          <w:rFonts w:eastAsia="Calibri" w:cs="Times New Roman"/>
          <w:bCs/>
          <w:kern w:val="0"/>
          <w:sz w:val="24"/>
          <w:szCs w:val="24"/>
          <w14:ligatures w14:val="none"/>
        </w:rPr>
        <w:t xml:space="preserve"> This should provide the participants with clear information regarding the purpose of the study, the procedures and any perceived risks or benefits of participation. Alongside this clear withdrawal information should also be provided. </w:t>
      </w:r>
      <w:r w:rsidR="00CA03AF" w:rsidRPr="00D50EF3">
        <w:rPr>
          <w:rFonts w:eastAsia="Calibri" w:cs="Times New Roman"/>
          <w:bCs/>
          <w:kern w:val="0"/>
          <w:sz w:val="24"/>
          <w:szCs w:val="24"/>
          <w14:ligatures w14:val="none"/>
        </w:rPr>
        <w:t xml:space="preserve">This two-stage consent process demonstrates the researchers' commitment to respecting participant autonomy and adhering to ethical research principles. This is confirmed by the researchers emphasising that </w:t>
      </w:r>
      <w:r w:rsidR="007D3E74" w:rsidRPr="00D50EF3">
        <w:rPr>
          <w:rFonts w:eastAsia="Calibri" w:cs="Times New Roman"/>
          <w:bCs/>
          <w:kern w:val="0"/>
          <w:sz w:val="24"/>
          <w:szCs w:val="24"/>
          <w14:ligatures w14:val="none"/>
        </w:rPr>
        <w:t>thirty-one</w:t>
      </w:r>
      <w:r w:rsidR="00CA03AF" w:rsidRPr="00D50EF3">
        <w:rPr>
          <w:rFonts w:eastAsia="Calibri" w:cs="Times New Roman"/>
          <w:bCs/>
          <w:kern w:val="0"/>
          <w:sz w:val="24"/>
          <w:szCs w:val="24"/>
          <w14:ligatures w14:val="none"/>
        </w:rPr>
        <w:t xml:space="preserve"> women were recruited with an additional four who gave consent to be contacted but were unreachable. </w:t>
      </w:r>
      <w:r w:rsidR="007D3E74" w:rsidRPr="00D50EF3">
        <w:rPr>
          <w:rFonts w:eastAsia="Calibri" w:cs="Times New Roman"/>
          <w:bCs/>
          <w:kern w:val="0"/>
          <w:sz w:val="24"/>
          <w:szCs w:val="24"/>
          <w14:ligatures w14:val="none"/>
        </w:rPr>
        <w:t xml:space="preserve">However, while the study clearly outlines the consent procedures, there is very little information with regard to the ongoing support that may be available to the participants who may have experienced distress due to recounting what could very well have been traumatic experiences. Due to the nature of the study, further consideration and discussion of safeguarding procedures and ongoing support pathways for the participants would have strengthened the studies ethical meticulousness. </w:t>
      </w:r>
    </w:p>
    <w:p w14:paraId="77DB7074" w14:textId="7165631D" w:rsidR="00321C3E" w:rsidRPr="00D50EF3" w:rsidRDefault="00191D00" w:rsidP="00D50EF3">
      <w:pPr>
        <w:spacing w:line="360" w:lineRule="auto"/>
        <w:jc w:val="both"/>
        <w:rPr>
          <w:rFonts w:eastAsia="Calibri" w:cs="Times New Roman"/>
          <w:bCs/>
          <w:kern w:val="0"/>
          <w:sz w:val="24"/>
          <w:szCs w:val="24"/>
          <w14:ligatures w14:val="none"/>
        </w:rPr>
      </w:pPr>
      <w:r w:rsidRPr="00D50EF3">
        <w:rPr>
          <w:rFonts w:eastAsia="Calibri" w:cs="Times New Roman"/>
          <w:bCs/>
          <w:kern w:val="0"/>
          <w:sz w:val="24"/>
          <w:szCs w:val="24"/>
          <w14:ligatures w14:val="none"/>
        </w:rPr>
        <w:t xml:space="preserve">To ensure participant safety, </w:t>
      </w:r>
      <w:r w:rsidR="000561CE" w:rsidRPr="00D50EF3">
        <w:rPr>
          <w:rFonts w:eastAsia="Calibri" w:cs="Times New Roman"/>
          <w:bCs/>
          <w:kern w:val="0"/>
          <w:sz w:val="24"/>
          <w:szCs w:val="24"/>
          <w14:ligatures w14:val="none"/>
        </w:rPr>
        <w:t>researchers must adhere to GDPR (General Data Protection Regulation, 20</w:t>
      </w:r>
      <w:r w:rsidR="00B9269A" w:rsidRPr="00D50EF3">
        <w:rPr>
          <w:rFonts w:eastAsia="Calibri" w:cs="Times New Roman"/>
          <w:bCs/>
          <w:kern w:val="0"/>
          <w:sz w:val="24"/>
          <w:szCs w:val="24"/>
          <w14:ligatures w14:val="none"/>
        </w:rPr>
        <w:t xml:space="preserve">18) and the Data Protection Act 2018 (The National Archives, 2018). </w:t>
      </w:r>
      <w:r w:rsidR="00613C7E" w:rsidRPr="00D50EF3">
        <w:rPr>
          <w:rFonts w:eastAsia="Calibri" w:cs="Times New Roman"/>
          <w:bCs/>
          <w:kern w:val="0"/>
          <w:sz w:val="24"/>
          <w:szCs w:val="24"/>
          <w14:ligatures w14:val="none"/>
        </w:rPr>
        <w:t>With the sensitive nature of the participants narratives and the potential for</w:t>
      </w:r>
      <w:r w:rsidR="006D1CA3" w:rsidRPr="00D50EF3">
        <w:rPr>
          <w:rFonts w:eastAsia="Calibri" w:cs="Times New Roman"/>
          <w:bCs/>
          <w:kern w:val="0"/>
          <w:sz w:val="24"/>
          <w:szCs w:val="24"/>
          <w14:ligatures w14:val="none"/>
        </w:rPr>
        <w:t xml:space="preserve"> further</w:t>
      </w:r>
      <w:r w:rsidR="00613C7E" w:rsidRPr="00D50EF3">
        <w:rPr>
          <w:rFonts w:eastAsia="Calibri" w:cs="Times New Roman"/>
          <w:bCs/>
          <w:kern w:val="0"/>
          <w:sz w:val="24"/>
          <w:szCs w:val="24"/>
          <w14:ligatures w14:val="none"/>
        </w:rPr>
        <w:t xml:space="preserve"> physical, </w:t>
      </w:r>
      <w:r w:rsidR="00613C7E" w:rsidRPr="00D50EF3">
        <w:rPr>
          <w:rFonts w:eastAsia="Calibri" w:cs="Times New Roman"/>
          <w:bCs/>
          <w:kern w:val="0"/>
          <w:sz w:val="24"/>
          <w:szCs w:val="24"/>
          <w14:ligatures w14:val="none"/>
        </w:rPr>
        <w:lastRenderedPageBreak/>
        <w:t>emotional or psychological harm from abuser</w:t>
      </w:r>
      <w:r w:rsidR="006D1CA3" w:rsidRPr="00D50EF3">
        <w:rPr>
          <w:rFonts w:eastAsia="Calibri" w:cs="Times New Roman"/>
          <w:bCs/>
          <w:kern w:val="0"/>
          <w:sz w:val="24"/>
          <w:szCs w:val="24"/>
          <w14:ligatures w14:val="none"/>
        </w:rPr>
        <w:t>s, t</w:t>
      </w:r>
      <w:r w:rsidR="00613C7E" w:rsidRPr="00D50EF3">
        <w:rPr>
          <w:rFonts w:eastAsia="Calibri" w:cs="Times New Roman"/>
          <w:bCs/>
          <w:kern w:val="0"/>
          <w:sz w:val="24"/>
          <w:szCs w:val="24"/>
          <w14:ligatures w14:val="none"/>
        </w:rPr>
        <w:t xml:space="preserve">he participants information must be kept safe which includes that the </w:t>
      </w:r>
      <w:r w:rsidR="006D1CA3" w:rsidRPr="00D50EF3">
        <w:rPr>
          <w:rFonts w:eastAsia="Calibri" w:cs="Times New Roman"/>
          <w:bCs/>
          <w:kern w:val="0"/>
          <w:sz w:val="24"/>
          <w:szCs w:val="24"/>
          <w14:ligatures w14:val="none"/>
        </w:rPr>
        <w:t xml:space="preserve">participants are </w:t>
      </w:r>
      <w:r w:rsidR="00614BDF" w:rsidRPr="00D50EF3">
        <w:rPr>
          <w:rFonts w:eastAsia="Calibri" w:cs="Times New Roman"/>
          <w:bCs/>
          <w:kern w:val="0"/>
          <w:sz w:val="24"/>
          <w:szCs w:val="24"/>
          <w14:ligatures w14:val="none"/>
        </w:rPr>
        <w:t>taking part in the survey</w:t>
      </w:r>
      <w:r w:rsidR="00BB183F" w:rsidRPr="00D50EF3">
        <w:rPr>
          <w:rFonts w:eastAsia="Calibri" w:cs="Times New Roman"/>
          <w:bCs/>
          <w:kern w:val="0"/>
          <w:sz w:val="24"/>
          <w:szCs w:val="24"/>
          <w14:ligatures w14:val="none"/>
        </w:rPr>
        <w:t xml:space="preserve"> to minimise any former abusers becoming aware of the victim’s participation</w:t>
      </w:r>
      <w:r w:rsidR="00614BDF" w:rsidRPr="00D50EF3">
        <w:rPr>
          <w:rFonts w:eastAsia="Calibri" w:cs="Times New Roman"/>
          <w:bCs/>
          <w:kern w:val="0"/>
          <w:sz w:val="24"/>
          <w:szCs w:val="24"/>
          <w14:ligatures w14:val="none"/>
        </w:rPr>
        <w:t>. Alongside this, the refuges and support services that were supporting the survivors will also have their own policies and procedures to protect their residents such as ‘The addresses are kept secret to protect the women who live there, and male visitors are not usually allowed’ (Shelter Cymru, 2026)</w:t>
      </w:r>
      <w:r w:rsidR="00EC21ED" w:rsidRPr="00D50EF3">
        <w:rPr>
          <w:rFonts w:eastAsia="Calibri" w:cs="Times New Roman"/>
          <w:bCs/>
          <w:kern w:val="0"/>
          <w:sz w:val="24"/>
          <w:szCs w:val="24"/>
          <w14:ligatures w14:val="none"/>
        </w:rPr>
        <w:t xml:space="preserve">. </w:t>
      </w:r>
      <w:r w:rsidR="00321C3E" w:rsidRPr="00D50EF3">
        <w:rPr>
          <w:rFonts w:eastAsia="Calibri" w:cs="Times New Roman"/>
          <w:bCs/>
          <w:kern w:val="0"/>
          <w:sz w:val="24"/>
          <w:szCs w:val="24"/>
          <w14:ligatures w14:val="none"/>
        </w:rPr>
        <w:t xml:space="preserve">To protect the participants further, there should be protocols in place to </w:t>
      </w:r>
      <w:r w:rsidR="003264F8" w:rsidRPr="00D50EF3">
        <w:rPr>
          <w:rFonts w:eastAsia="Calibri" w:cs="Times New Roman"/>
          <w:bCs/>
          <w:kern w:val="0"/>
          <w:sz w:val="24"/>
          <w:szCs w:val="24"/>
          <w14:ligatures w14:val="none"/>
        </w:rPr>
        <w:t>ensure that any possible disclosures of further abuse can be reported. This would include providing the information to participants so that they are aware of the procedures in place</w:t>
      </w:r>
      <w:r w:rsidR="000D6ABA" w:rsidRPr="00D50EF3">
        <w:rPr>
          <w:rFonts w:eastAsia="Calibri" w:cs="Times New Roman"/>
          <w:bCs/>
          <w:kern w:val="0"/>
          <w:sz w:val="24"/>
          <w:szCs w:val="24"/>
          <w14:ligatures w14:val="none"/>
        </w:rPr>
        <w:t xml:space="preserve"> around the safeguarding of children or vulnerable</w:t>
      </w:r>
      <w:r w:rsidR="003264F8" w:rsidRPr="00D50EF3">
        <w:rPr>
          <w:rFonts w:eastAsia="Calibri" w:cs="Times New Roman"/>
          <w:bCs/>
          <w:kern w:val="0"/>
          <w:sz w:val="24"/>
          <w:szCs w:val="24"/>
          <w14:ligatures w14:val="none"/>
        </w:rPr>
        <w:t xml:space="preserve"> </w:t>
      </w:r>
      <w:r w:rsidR="000D6ABA" w:rsidRPr="00D50EF3">
        <w:rPr>
          <w:rFonts w:eastAsia="Calibri" w:cs="Times New Roman"/>
          <w:bCs/>
          <w:kern w:val="0"/>
          <w:sz w:val="24"/>
          <w:szCs w:val="24"/>
          <w14:ligatures w14:val="none"/>
        </w:rPr>
        <w:t xml:space="preserve">adults as well as any limitations to confidentiality </w:t>
      </w:r>
      <w:r w:rsidR="003264F8" w:rsidRPr="00D50EF3">
        <w:rPr>
          <w:rFonts w:eastAsia="Calibri" w:cs="Times New Roman"/>
          <w:bCs/>
          <w:kern w:val="0"/>
          <w:sz w:val="24"/>
          <w:szCs w:val="24"/>
          <w14:ligatures w14:val="none"/>
        </w:rPr>
        <w:t>prior to agreeing to partake in the study</w:t>
      </w:r>
      <w:r w:rsidR="000D6ABA" w:rsidRPr="00D50EF3">
        <w:rPr>
          <w:rFonts w:eastAsia="Calibri" w:cs="Times New Roman"/>
          <w:bCs/>
          <w:kern w:val="0"/>
          <w:sz w:val="24"/>
          <w:szCs w:val="24"/>
          <w14:ligatures w14:val="none"/>
        </w:rPr>
        <w:t xml:space="preserve"> or data collection takes place</w:t>
      </w:r>
      <w:r w:rsidR="003264F8" w:rsidRPr="00D50EF3">
        <w:rPr>
          <w:rFonts w:eastAsia="Calibri" w:cs="Times New Roman"/>
          <w:bCs/>
          <w:kern w:val="0"/>
          <w:sz w:val="24"/>
          <w:szCs w:val="24"/>
          <w14:ligatures w14:val="none"/>
        </w:rPr>
        <w:t xml:space="preserve">. </w:t>
      </w:r>
      <w:r w:rsidR="000D6ABA" w:rsidRPr="00D50EF3">
        <w:rPr>
          <w:rFonts w:eastAsia="Calibri" w:cs="Times New Roman"/>
          <w:bCs/>
          <w:kern w:val="0"/>
          <w:sz w:val="24"/>
          <w:szCs w:val="24"/>
          <w14:ligatures w14:val="none"/>
        </w:rPr>
        <w:t xml:space="preserve"> Due to the sensitive and possibly traumatic data being collected by the researchers, their wellbeing should also be prioritised. This can be through professional supervision, lone working and risk assessment procedures. Further vicarious trauma training can also support the researcher’s wellbeing. </w:t>
      </w:r>
      <w:r w:rsidR="00054BAC" w:rsidRPr="00D50EF3">
        <w:rPr>
          <w:rFonts w:eastAsia="Calibri" w:cs="Times New Roman"/>
          <w:bCs/>
          <w:kern w:val="0"/>
          <w:sz w:val="24"/>
          <w:szCs w:val="24"/>
          <w14:ligatures w14:val="none"/>
        </w:rPr>
        <w:t xml:space="preserve"> The</w:t>
      </w:r>
      <w:r w:rsidR="00054BAC" w:rsidRPr="00D50EF3">
        <w:rPr>
          <w:sz w:val="24"/>
          <w:szCs w:val="24"/>
        </w:rPr>
        <w:t xml:space="preserve"> </w:t>
      </w:r>
      <w:r w:rsidR="00054BAC" w:rsidRPr="00D50EF3">
        <w:rPr>
          <w:rFonts w:eastAsia="Calibri" w:cs="Times New Roman"/>
          <w:bCs/>
          <w:kern w:val="0"/>
          <w:sz w:val="24"/>
          <w:szCs w:val="24"/>
          <w14:ligatures w14:val="none"/>
        </w:rPr>
        <w:t xml:space="preserve">Office for Victims of Crime (2020) state that ‘work-related trauma exposure can occur from such experiences as listening to individual clients recount their victimization’ and therefore education and support </w:t>
      </w:r>
      <w:r w:rsidR="004A5058" w:rsidRPr="00D50EF3">
        <w:rPr>
          <w:rFonts w:eastAsia="Calibri" w:cs="Times New Roman"/>
          <w:bCs/>
          <w:kern w:val="0"/>
          <w:sz w:val="24"/>
          <w:szCs w:val="24"/>
          <w14:ligatures w14:val="none"/>
        </w:rPr>
        <w:t xml:space="preserve">for the researchers on vicarious trauma is relevant. </w:t>
      </w:r>
      <w:r w:rsidR="003264F8" w:rsidRPr="00D50EF3">
        <w:rPr>
          <w:rFonts w:eastAsia="Calibri" w:cs="Times New Roman"/>
          <w:bCs/>
          <w:kern w:val="0"/>
          <w:sz w:val="24"/>
          <w:szCs w:val="24"/>
          <w14:ligatures w14:val="none"/>
        </w:rPr>
        <w:t xml:space="preserve">While there is no mention in the journal article of the protocols that Evans and Feder (2014) had in place to protect either the researchers or the participants, they do state that </w:t>
      </w:r>
      <w:r w:rsidR="004A6541" w:rsidRPr="00D50EF3">
        <w:rPr>
          <w:rFonts w:eastAsia="Calibri" w:cs="Times New Roman"/>
          <w:bCs/>
          <w:kern w:val="0"/>
          <w:sz w:val="24"/>
          <w:szCs w:val="24"/>
          <w14:ligatures w14:val="none"/>
        </w:rPr>
        <w:t xml:space="preserve">they had ethics approval from the National Ethics Service, South-West committee (Evans and Feder (2014).  </w:t>
      </w:r>
    </w:p>
    <w:p w14:paraId="0A6633E1" w14:textId="11AD9EB1" w:rsidR="009C40FA" w:rsidRPr="00D50EF3" w:rsidRDefault="009C40FA" w:rsidP="00D50EF3">
      <w:pPr>
        <w:spacing w:line="360" w:lineRule="auto"/>
        <w:jc w:val="both"/>
        <w:rPr>
          <w:rFonts w:eastAsia="Calibri" w:cs="Times New Roman"/>
          <w:bCs/>
          <w:kern w:val="0"/>
          <w:sz w:val="24"/>
          <w:szCs w:val="24"/>
          <w14:ligatures w14:val="none"/>
        </w:rPr>
      </w:pPr>
      <w:r w:rsidRPr="00D50EF3">
        <w:rPr>
          <w:rFonts w:eastAsia="Calibri" w:cs="Times New Roman"/>
          <w:bCs/>
          <w:kern w:val="0"/>
          <w:sz w:val="24"/>
          <w:szCs w:val="24"/>
          <w14:ligatures w14:val="none"/>
        </w:rPr>
        <w:t xml:space="preserve">Although there are limitations to the study, as discussed throughout, Evans and Feder (2014) validate their findings by using the qualitative methods. Using two interviews per participant allows for the build up of a trusting relationship between the participant and the researcher. This time apart allows for reflection for both participants and researchers to be able to home in on the depth of details that could be shared. It also allowed for participants to possibly adapt their perspective once the healing and support had started. This demonstrates the credibility of the data that has been captured as well as the integrity of the researchers in being sensitive to the difficult disclosures that are made. </w:t>
      </w:r>
      <w:r w:rsidR="00D2563F" w:rsidRPr="00D50EF3">
        <w:rPr>
          <w:rFonts w:eastAsia="Calibri" w:cs="Times New Roman"/>
          <w:bCs/>
          <w:kern w:val="0"/>
          <w:sz w:val="24"/>
          <w:szCs w:val="24"/>
          <w14:ligatures w14:val="none"/>
        </w:rPr>
        <w:t xml:space="preserve">A further benefit of the study is the highlighting of how important early intervention can be ensuring that professionals understand the slow nature of disclosure which are </w:t>
      </w:r>
      <w:r w:rsidR="00D2563F" w:rsidRPr="00D50EF3">
        <w:rPr>
          <w:rFonts w:eastAsia="Calibri" w:cs="Times New Roman"/>
          <w:bCs/>
          <w:kern w:val="0"/>
          <w:sz w:val="24"/>
          <w:szCs w:val="24"/>
          <w14:ligatures w14:val="none"/>
        </w:rPr>
        <w:lastRenderedPageBreak/>
        <w:t xml:space="preserve">often reiterated to professionals such as teachers, family support workers and healthcare professionals, among others. The research highlights the importance of professional curiosity, active listening and appropriate responses to disclosures, as negative experiences can discourage future help-seeking. Furthermore, the research also highlights that a multi-disciplinary approach is often required as survivors often need support with housing, health and social care services as well as legal support. This inter-connected approach of formal and informal support demonstrates </w:t>
      </w:r>
      <w:r w:rsidR="00D50EF3" w:rsidRPr="00D50EF3">
        <w:rPr>
          <w:rFonts w:eastAsia="Calibri" w:cs="Times New Roman"/>
          <w:bCs/>
          <w:kern w:val="0"/>
          <w:sz w:val="24"/>
          <w:szCs w:val="24"/>
          <w14:ligatures w14:val="none"/>
        </w:rPr>
        <w:t>how important and relevant the research findings still are despite the changes in technology, legislation and policy.</w:t>
      </w:r>
    </w:p>
    <w:p w14:paraId="77D43348" w14:textId="27F88498" w:rsidR="002C4F5F" w:rsidRPr="00D50EF3" w:rsidRDefault="0050231B" w:rsidP="00D50EF3">
      <w:pPr>
        <w:spacing w:line="360" w:lineRule="auto"/>
        <w:jc w:val="both"/>
        <w:rPr>
          <w:rFonts w:eastAsia="Calibri" w:cs="Times New Roman"/>
          <w:bCs/>
          <w:kern w:val="0"/>
          <w:sz w:val="24"/>
          <w:szCs w:val="24"/>
          <w14:ligatures w14:val="none"/>
        </w:rPr>
      </w:pPr>
      <w:r w:rsidRPr="00D50EF3">
        <w:rPr>
          <w:rFonts w:eastAsia="Calibri" w:cs="Times New Roman"/>
          <w:bCs/>
          <w:kern w:val="0"/>
          <w:sz w:val="24"/>
          <w:szCs w:val="24"/>
          <w14:ligatures w14:val="none"/>
        </w:rPr>
        <w:t>Within current practice of family support or social care settings, Evans and Feder’s (2014) findings are particularly pertinent. The study highlights that disclosure is often a multiple step process with informal support often leading to more formal support</w:t>
      </w:r>
      <w:r w:rsidR="00FC5E0B" w:rsidRPr="00D50EF3">
        <w:rPr>
          <w:rFonts w:eastAsia="Calibri" w:cs="Times New Roman"/>
          <w:bCs/>
          <w:kern w:val="0"/>
          <w:sz w:val="24"/>
          <w:szCs w:val="24"/>
          <w14:ligatures w14:val="none"/>
        </w:rPr>
        <w:t xml:space="preserve"> over a period of time</w:t>
      </w:r>
      <w:r w:rsidRPr="00D50EF3">
        <w:rPr>
          <w:rFonts w:eastAsia="Calibri" w:cs="Times New Roman"/>
          <w:bCs/>
          <w:kern w:val="0"/>
          <w:sz w:val="24"/>
          <w:szCs w:val="24"/>
          <w14:ligatures w14:val="none"/>
        </w:rPr>
        <w:t xml:space="preserve">. </w:t>
      </w:r>
      <w:r w:rsidR="00FC5E0B" w:rsidRPr="00D50EF3">
        <w:rPr>
          <w:rFonts w:eastAsia="Calibri" w:cs="Times New Roman"/>
          <w:bCs/>
          <w:kern w:val="0"/>
          <w:sz w:val="24"/>
          <w:szCs w:val="24"/>
          <w14:ligatures w14:val="none"/>
        </w:rPr>
        <w:t>This supports the trauma informed approach whereby how the effects of trauma can affect a person, including their communication styles, behaviours, demeanour and decision making. Professionals should be adopting this trauma informed approach and keep in mind that the lack communication or disclosure is not necessarily due to a lack of engagement, but more likely to be a sign of trauma. This allows for relationship building which is essential for relationship-based practice allowing survivors to build their support network to reach more specialist services and more formal interventions.</w:t>
      </w:r>
      <w:r w:rsidR="002C4F5F" w:rsidRPr="00D50EF3">
        <w:rPr>
          <w:rFonts w:eastAsia="Calibri" w:cs="Times New Roman"/>
          <w:bCs/>
          <w:kern w:val="0"/>
          <w:sz w:val="24"/>
          <w:szCs w:val="24"/>
          <w14:ligatures w14:val="none"/>
        </w:rPr>
        <w:t xml:space="preserve"> As discussed throughout, there are limitations to Evans and Feder’s (2014) research. Since the publication, there has been a significant evolution of legislation with the introduction of</w:t>
      </w:r>
      <w:r w:rsidR="0027613D" w:rsidRPr="00D50EF3">
        <w:rPr>
          <w:rFonts w:eastAsia="Calibri" w:cs="Times New Roman"/>
          <w:bCs/>
          <w:kern w:val="0"/>
          <w:sz w:val="24"/>
          <w:szCs w:val="24"/>
          <w14:ligatures w14:val="none"/>
        </w:rPr>
        <w:t xml:space="preserve"> the</w:t>
      </w:r>
      <w:r w:rsidR="0027613D" w:rsidRPr="00D50EF3">
        <w:rPr>
          <w:i/>
          <w:iCs/>
          <w:sz w:val="24"/>
          <w:szCs w:val="24"/>
        </w:rPr>
        <w:t xml:space="preserve"> </w:t>
      </w:r>
      <w:r w:rsidR="0027613D" w:rsidRPr="00D50EF3">
        <w:rPr>
          <w:rFonts w:eastAsia="Calibri" w:cs="Times New Roman"/>
          <w:bCs/>
          <w:kern w:val="0"/>
          <w:sz w:val="24"/>
          <w:szCs w:val="24"/>
          <w14:ligatures w14:val="none"/>
        </w:rPr>
        <w:t xml:space="preserve">Domestic Violence Disclosure Scheme in </w:t>
      </w:r>
      <w:r w:rsidR="002C4F5F" w:rsidRPr="00D50EF3">
        <w:rPr>
          <w:rFonts w:eastAsia="Calibri" w:cs="Times New Roman"/>
          <w:bCs/>
          <w:kern w:val="0"/>
          <w:sz w:val="24"/>
          <w:szCs w:val="24"/>
          <w14:ligatures w14:val="none"/>
        </w:rPr>
        <w:t>2014</w:t>
      </w:r>
      <w:r w:rsidR="0027613D" w:rsidRPr="00D50EF3">
        <w:rPr>
          <w:rFonts w:eastAsia="Calibri" w:cs="Times New Roman"/>
          <w:bCs/>
          <w:kern w:val="0"/>
          <w:sz w:val="24"/>
          <w:szCs w:val="24"/>
          <w14:ligatures w14:val="none"/>
        </w:rPr>
        <w:t>, also known as Clares Law,</w:t>
      </w:r>
      <w:r w:rsidR="002C4F5F" w:rsidRPr="00D50EF3">
        <w:rPr>
          <w:rFonts w:eastAsia="Calibri" w:cs="Times New Roman"/>
          <w:bCs/>
          <w:kern w:val="0"/>
          <w:sz w:val="24"/>
          <w:szCs w:val="24"/>
          <w14:ligatures w14:val="none"/>
        </w:rPr>
        <w:t xml:space="preserve"> which allows people to gain information on their current or former partner with relation to domestic violence or abuse. A further introduction of the Domestic Abuse Act, 2021</w:t>
      </w:r>
      <w:r w:rsidR="002C4F5F" w:rsidRPr="00D50EF3">
        <w:rPr>
          <w:sz w:val="24"/>
          <w:szCs w:val="24"/>
        </w:rPr>
        <w:t xml:space="preserve"> (</w:t>
      </w:r>
      <w:r w:rsidR="002C4F5F" w:rsidRPr="00D50EF3">
        <w:rPr>
          <w:rFonts w:eastAsia="Calibri" w:cs="Times New Roman"/>
          <w:bCs/>
          <w:kern w:val="0"/>
          <w:sz w:val="24"/>
          <w:szCs w:val="24"/>
          <w14:ligatures w14:val="none"/>
        </w:rPr>
        <w:t>The National Archives, 2021)</w:t>
      </w:r>
      <w:r w:rsidR="00AF7C14" w:rsidRPr="00D50EF3">
        <w:rPr>
          <w:rFonts w:eastAsia="Calibri" w:cs="Times New Roman"/>
          <w:bCs/>
          <w:kern w:val="0"/>
          <w:sz w:val="24"/>
          <w:szCs w:val="24"/>
          <w14:ligatures w14:val="none"/>
        </w:rPr>
        <w:t xml:space="preserve"> also provides further protection for survivors of domestic violence or abuse</w:t>
      </w:r>
      <w:r w:rsidR="002C4F5F" w:rsidRPr="00D50EF3">
        <w:rPr>
          <w:rFonts w:eastAsia="Calibri" w:cs="Times New Roman"/>
          <w:bCs/>
          <w:kern w:val="0"/>
          <w:sz w:val="24"/>
          <w:szCs w:val="24"/>
          <w14:ligatures w14:val="none"/>
        </w:rPr>
        <w:t>. While the finding</w:t>
      </w:r>
      <w:r w:rsidR="0027613D" w:rsidRPr="00D50EF3">
        <w:rPr>
          <w:rFonts w:eastAsia="Calibri" w:cs="Times New Roman"/>
          <w:bCs/>
          <w:kern w:val="0"/>
          <w:sz w:val="24"/>
          <w:szCs w:val="24"/>
          <w14:ligatures w14:val="none"/>
        </w:rPr>
        <w:t>s of the study</w:t>
      </w:r>
      <w:r w:rsidR="002C4F5F" w:rsidRPr="00D50EF3">
        <w:rPr>
          <w:rFonts w:eastAsia="Calibri" w:cs="Times New Roman"/>
          <w:bCs/>
          <w:kern w:val="0"/>
          <w:sz w:val="24"/>
          <w:szCs w:val="24"/>
          <w14:ligatures w14:val="none"/>
        </w:rPr>
        <w:t xml:space="preserve"> </w:t>
      </w:r>
      <w:r w:rsidR="0027613D" w:rsidRPr="00D50EF3">
        <w:rPr>
          <w:rFonts w:eastAsia="Calibri" w:cs="Times New Roman"/>
          <w:bCs/>
          <w:kern w:val="0"/>
          <w:sz w:val="24"/>
          <w:szCs w:val="24"/>
          <w14:ligatures w14:val="none"/>
        </w:rPr>
        <w:t>are</w:t>
      </w:r>
      <w:r w:rsidR="002C4F5F" w:rsidRPr="00D50EF3">
        <w:rPr>
          <w:rFonts w:eastAsia="Calibri" w:cs="Times New Roman"/>
          <w:bCs/>
          <w:kern w:val="0"/>
          <w:sz w:val="24"/>
          <w:szCs w:val="24"/>
          <w14:ligatures w14:val="none"/>
        </w:rPr>
        <w:t xml:space="preserve"> still relevant in </w:t>
      </w:r>
      <w:r w:rsidR="0027613D" w:rsidRPr="00D50EF3">
        <w:rPr>
          <w:rFonts w:eastAsia="Calibri" w:cs="Times New Roman"/>
          <w:bCs/>
          <w:kern w:val="0"/>
          <w:sz w:val="24"/>
          <w:szCs w:val="24"/>
          <w14:ligatures w14:val="none"/>
        </w:rPr>
        <w:t>today’s</w:t>
      </w:r>
      <w:r w:rsidR="002C4F5F" w:rsidRPr="00D50EF3">
        <w:rPr>
          <w:rFonts w:eastAsia="Calibri" w:cs="Times New Roman"/>
          <w:bCs/>
          <w:kern w:val="0"/>
          <w:sz w:val="24"/>
          <w:szCs w:val="24"/>
          <w14:ligatures w14:val="none"/>
        </w:rPr>
        <w:t xml:space="preserve"> practice, it must be noted that there may now be additional ways for survivors of domestic violence</w:t>
      </w:r>
      <w:r w:rsidR="00AF7C14" w:rsidRPr="00D50EF3">
        <w:rPr>
          <w:rFonts w:eastAsia="Calibri" w:cs="Times New Roman"/>
          <w:bCs/>
          <w:kern w:val="0"/>
          <w:sz w:val="24"/>
          <w:szCs w:val="24"/>
          <w14:ligatures w14:val="none"/>
        </w:rPr>
        <w:t xml:space="preserve"> or abuse</w:t>
      </w:r>
      <w:r w:rsidR="002C4F5F" w:rsidRPr="00D50EF3">
        <w:rPr>
          <w:rFonts w:eastAsia="Calibri" w:cs="Times New Roman"/>
          <w:bCs/>
          <w:kern w:val="0"/>
          <w:sz w:val="24"/>
          <w:szCs w:val="24"/>
          <w14:ligatures w14:val="none"/>
        </w:rPr>
        <w:t xml:space="preserve"> to gain support. This could be via electronic </w:t>
      </w:r>
      <w:r w:rsidR="0027613D" w:rsidRPr="00D50EF3">
        <w:rPr>
          <w:rFonts w:eastAsia="Calibri" w:cs="Times New Roman"/>
          <w:bCs/>
          <w:kern w:val="0"/>
          <w:sz w:val="24"/>
          <w:szCs w:val="24"/>
          <w14:ligatures w14:val="none"/>
        </w:rPr>
        <w:t>means such as mobile</w:t>
      </w:r>
      <w:r w:rsidR="00AF7C14" w:rsidRPr="00D50EF3">
        <w:rPr>
          <w:rFonts w:eastAsia="Calibri" w:cs="Times New Roman"/>
          <w:bCs/>
          <w:kern w:val="0"/>
          <w:sz w:val="24"/>
          <w:szCs w:val="24"/>
          <w14:ligatures w14:val="none"/>
        </w:rPr>
        <w:t xml:space="preserve"> telephone</w:t>
      </w:r>
      <w:r w:rsidR="0027613D" w:rsidRPr="00D50EF3">
        <w:rPr>
          <w:rFonts w:eastAsia="Calibri" w:cs="Times New Roman"/>
          <w:bCs/>
          <w:kern w:val="0"/>
          <w:sz w:val="24"/>
          <w:szCs w:val="24"/>
          <w14:ligatures w14:val="none"/>
        </w:rPr>
        <w:t xml:space="preserve"> applications, increased awareness</w:t>
      </w:r>
      <w:r w:rsidR="00AF7C14" w:rsidRPr="00D50EF3">
        <w:rPr>
          <w:rFonts w:eastAsia="Calibri" w:cs="Times New Roman"/>
          <w:bCs/>
          <w:kern w:val="0"/>
          <w:sz w:val="24"/>
          <w:szCs w:val="24"/>
          <w14:ligatures w14:val="none"/>
        </w:rPr>
        <w:t xml:space="preserve"> through social media campaigns</w:t>
      </w:r>
      <w:r w:rsidR="0027613D" w:rsidRPr="00D50EF3">
        <w:rPr>
          <w:rFonts w:eastAsia="Calibri" w:cs="Times New Roman"/>
          <w:bCs/>
          <w:kern w:val="0"/>
          <w:sz w:val="24"/>
          <w:szCs w:val="24"/>
          <w14:ligatures w14:val="none"/>
        </w:rPr>
        <w:t xml:space="preserve"> and internet chatlines. Due to the development and growth of </w:t>
      </w:r>
      <w:r w:rsidR="0027613D" w:rsidRPr="00D50EF3">
        <w:rPr>
          <w:rFonts w:eastAsia="Calibri" w:cs="Times New Roman"/>
          <w:bCs/>
          <w:kern w:val="0"/>
          <w:sz w:val="24"/>
          <w:szCs w:val="24"/>
          <w14:ligatures w14:val="none"/>
        </w:rPr>
        <w:lastRenderedPageBreak/>
        <w:t>additional support services, the findings of this study may not be as relevant</w:t>
      </w:r>
      <w:r w:rsidR="00AF7C14" w:rsidRPr="00D50EF3">
        <w:rPr>
          <w:rFonts w:eastAsia="Calibri" w:cs="Times New Roman"/>
          <w:bCs/>
          <w:kern w:val="0"/>
          <w:sz w:val="24"/>
          <w:szCs w:val="24"/>
          <w14:ligatures w14:val="none"/>
        </w:rPr>
        <w:t xml:space="preserve"> today</w:t>
      </w:r>
      <w:r w:rsidR="0027613D" w:rsidRPr="00D50EF3">
        <w:rPr>
          <w:rFonts w:eastAsia="Calibri" w:cs="Times New Roman"/>
          <w:bCs/>
          <w:kern w:val="0"/>
          <w:sz w:val="24"/>
          <w:szCs w:val="24"/>
          <w14:ligatures w14:val="none"/>
        </w:rPr>
        <w:t xml:space="preserve"> compared to the support that may have been available in 2014. </w:t>
      </w:r>
    </w:p>
    <w:p w14:paraId="755B876F" w14:textId="5320D511" w:rsidR="00AF7C14" w:rsidRDefault="00AF7C14" w:rsidP="00D50EF3">
      <w:pPr>
        <w:spacing w:line="360" w:lineRule="auto"/>
        <w:rPr>
          <w:rFonts w:eastAsia="Calibri" w:cs="Times New Roman"/>
          <w:bCs/>
          <w:kern w:val="0"/>
          <w:sz w:val="24"/>
          <w:szCs w:val="24"/>
          <w14:ligatures w14:val="none"/>
        </w:rPr>
      </w:pPr>
      <w:r w:rsidRPr="00D50EF3">
        <w:rPr>
          <w:rFonts w:eastAsia="Calibri" w:cs="Times New Roman"/>
          <w:bCs/>
          <w:kern w:val="0"/>
          <w:sz w:val="24"/>
          <w:szCs w:val="24"/>
          <w14:ligatures w14:val="none"/>
        </w:rPr>
        <w:t xml:space="preserve">In conclusion, Evans and Feder’s, 2014 study provides a valuable insight into the help-seeking behaviours of women who have been affected by domestic violence or abuse. The methodology the researchers used and the data they retrieved via qualitative methods, provide a rich narrative of the support services that are available and the survivors journeys in reaching these. The study's findings contribute meaningfully to understanding the role of both informal and formal support networks and remain relevant to professionals working within health, social care and community services. As discussed, there are limitations to the study which relate to the minimal sampling, diversity, </w:t>
      </w:r>
      <w:r w:rsidR="009C40FA" w:rsidRPr="00D50EF3">
        <w:rPr>
          <w:rFonts w:eastAsia="Calibri" w:cs="Times New Roman"/>
          <w:bCs/>
          <w:kern w:val="0"/>
          <w:sz w:val="24"/>
          <w:szCs w:val="24"/>
          <w14:ligatures w14:val="none"/>
        </w:rPr>
        <w:t xml:space="preserve">transferability and reflexivity. </w:t>
      </w:r>
    </w:p>
    <w:p w14:paraId="14181A28" w14:textId="77777777" w:rsidR="00EF3A64" w:rsidRPr="00D50EF3" w:rsidRDefault="00EF3A64" w:rsidP="00D50EF3">
      <w:pPr>
        <w:spacing w:line="360" w:lineRule="auto"/>
        <w:rPr>
          <w:rFonts w:eastAsia="Calibri" w:cs="Times New Roman"/>
          <w:bCs/>
          <w:kern w:val="0"/>
          <w:sz w:val="24"/>
          <w:szCs w:val="24"/>
          <w14:ligatures w14:val="none"/>
        </w:rPr>
      </w:pPr>
    </w:p>
    <w:p w14:paraId="48D34B75" w14:textId="77606D42" w:rsidR="00EF3A64" w:rsidRPr="00EF3A64" w:rsidRDefault="00EF3A64" w:rsidP="00EF3A64">
      <w:pPr>
        <w:spacing w:line="360" w:lineRule="auto"/>
        <w:jc w:val="center"/>
        <w:rPr>
          <w:rFonts w:eastAsia="Calibri" w:cs="Times New Roman"/>
          <w:b/>
          <w:kern w:val="0"/>
          <w14:ligatures w14:val="none"/>
        </w:rPr>
      </w:pPr>
      <w:r w:rsidRPr="00EF3A64">
        <w:rPr>
          <w:rFonts w:eastAsia="Calibri" w:cs="Times New Roman"/>
          <w:b/>
          <w:kern w:val="0"/>
          <w14:ligatures w14:val="none"/>
        </w:rPr>
        <w:t>Assignment 1 Referencing</w:t>
      </w:r>
    </w:p>
    <w:p w14:paraId="6D02A217"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 xml:space="preserve">Ahmed, S.K., Mohammed, R.A., Nashwan, A.J., Ibrahim, R.H., Abdalla, A.Q., Ameen, B.M.M. and </w:t>
      </w:r>
      <w:proofErr w:type="spellStart"/>
      <w:r w:rsidRPr="00EF3A64">
        <w:rPr>
          <w:rFonts w:eastAsia="Calibri" w:cs="Times New Roman"/>
          <w:bCs/>
          <w:kern w:val="0"/>
          <w14:ligatures w14:val="none"/>
        </w:rPr>
        <w:t>Khidhir</w:t>
      </w:r>
      <w:proofErr w:type="spellEnd"/>
      <w:r w:rsidRPr="00EF3A64">
        <w:rPr>
          <w:rFonts w:eastAsia="Calibri" w:cs="Times New Roman"/>
          <w:bCs/>
          <w:kern w:val="0"/>
          <w14:ligatures w14:val="none"/>
        </w:rPr>
        <w:t>, R.M. (2025). Using Thematic Analysis in Qualitative Research. </w:t>
      </w:r>
      <w:r w:rsidRPr="00EF3A64">
        <w:rPr>
          <w:rFonts w:eastAsia="Calibri" w:cs="Times New Roman"/>
          <w:bCs/>
          <w:i/>
          <w:iCs/>
          <w:kern w:val="0"/>
          <w14:ligatures w14:val="none"/>
        </w:rPr>
        <w:t>Journal of Medicine, Surgery, and Public Health</w:t>
      </w:r>
      <w:r w:rsidRPr="00EF3A64">
        <w:rPr>
          <w:rFonts w:eastAsia="Calibri" w:cs="Times New Roman"/>
          <w:bCs/>
          <w:kern w:val="0"/>
          <w14:ligatures w14:val="none"/>
        </w:rPr>
        <w:t xml:space="preserve">, [online] 6(6), p.100198. </w:t>
      </w:r>
      <w:proofErr w:type="spellStart"/>
      <w:r w:rsidRPr="00EF3A64">
        <w:rPr>
          <w:rFonts w:eastAsia="Calibri" w:cs="Times New Roman"/>
          <w:bCs/>
          <w:kern w:val="0"/>
          <w14:ligatures w14:val="none"/>
        </w:rPr>
        <w:t>doi:https</w:t>
      </w:r>
      <w:proofErr w:type="spellEnd"/>
      <w:r w:rsidRPr="00EF3A64">
        <w:rPr>
          <w:rFonts w:eastAsia="Calibri" w:cs="Times New Roman"/>
          <w:bCs/>
          <w:kern w:val="0"/>
          <w14:ligatures w14:val="none"/>
        </w:rPr>
        <w:t>://doi.org/10.1016/j.glmedi.2025.100198.</w:t>
      </w:r>
    </w:p>
    <w:p w14:paraId="19113D5A" w14:textId="77777777" w:rsidR="00EF3A64" w:rsidRPr="00EF3A64" w:rsidRDefault="00EF3A64" w:rsidP="00EF3A64">
      <w:pPr>
        <w:spacing w:line="360" w:lineRule="auto"/>
        <w:rPr>
          <w:rFonts w:eastAsia="Calibri" w:cs="Times New Roman"/>
          <w:bCs/>
          <w:kern w:val="0"/>
          <w14:ligatures w14:val="none"/>
        </w:rPr>
      </w:pPr>
    </w:p>
    <w:p w14:paraId="456B55E0"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 xml:space="preserve">Brewin, C. R. (2014). </w:t>
      </w:r>
      <w:r w:rsidRPr="00EF3A64">
        <w:rPr>
          <w:rFonts w:eastAsia="Calibri" w:cs="Times New Roman"/>
          <w:bCs/>
          <w:i/>
          <w:iCs/>
          <w:kern w:val="0"/>
          <w14:ligatures w14:val="none"/>
        </w:rPr>
        <w:t>Episodic memory, perceptual memory, and their interaction: Foundations for a theory of posttraumatic stress disorder.</w:t>
      </w:r>
      <w:r w:rsidRPr="00EF3A64">
        <w:rPr>
          <w:rFonts w:eastAsia="Calibri" w:cs="Times New Roman"/>
          <w:bCs/>
          <w:kern w:val="0"/>
          <w14:ligatures w14:val="none"/>
        </w:rPr>
        <w:t xml:space="preserve"> </w:t>
      </w:r>
      <w:r w:rsidRPr="00EF3A64">
        <w:rPr>
          <w:rFonts w:eastAsia="Calibri" w:cs="Times New Roman"/>
          <w:bCs/>
          <w:i/>
          <w:iCs/>
          <w:kern w:val="0"/>
          <w14:ligatures w14:val="none"/>
        </w:rPr>
        <w:t>Psychological Bulletin, 140(1), 69–97.</w:t>
      </w:r>
    </w:p>
    <w:p w14:paraId="41CA4459" w14:textId="77777777" w:rsidR="00EF3A64" w:rsidRPr="00EF3A64" w:rsidRDefault="00EF3A64" w:rsidP="00EF3A64">
      <w:pPr>
        <w:spacing w:line="360" w:lineRule="auto"/>
        <w:rPr>
          <w:rFonts w:eastAsia="Calibri" w:cs="Times New Roman"/>
          <w:bCs/>
          <w:kern w:val="0"/>
          <w14:ligatures w14:val="none"/>
        </w:rPr>
      </w:pPr>
    </w:p>
    <w:p w14:paraId="07ACD93C"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 xml:space="preserve">Brewin, C. R., &amp; Field, A. P. (2024). Meta-analysis shows trauma memories in posttraumatic stress disorder lack coherence: A response to Taylor et al. (2022). Clinical Psychological Science, 12(5), 1027–1033. </w:t>
      </w:r>
      <w:hyperlink r:id="rId7" w:history="1">
        <w:r w:rsidRPr="00EF3A64">
          <w:rPr>
            <w:rStyle w:val="Hyperlink"/>
            <w:rFonts w:eastAsia="Calibri" w:cs="Times New Roman"/>
            <w:bCs/>
            <w:kern w:val="0"/>
            <w14:ligatures w14:val="none"/>
          </w:rPr>
          <w:t>https://doi.org/10.1177/21677026241240456</w:t>
        </w:r>
      </w:hyperlink>
      <w:r w:rsidRPr="00EF3A64">
        <w:rPr>
          <w:rFonts w:eastAsia="Calibri" w:cs="Times New Roman"/>
          <w:bCs/>
          <w:kern w:val="0"/>
          <w14:ligatures w14:val="none"/>
        </w:rPr>
        <w:t xml:space="preserve"> </w:t>
      </w:r>
    </w:p>
    <w:p w14:paraId="0D16908B" w14:textId="77777777" w:rsidR="00EF3A64" w:rsidRPr="00EF3A64" w:rsidRDefault="00EF3A64" w:rsidP="00EF3A64">
      <w:pPr>
        <w:spacing w:line="360" w:lineRule="auto"/>
        <w:rPr>
          <w:rFonts w:eastAsia="Calibri" w:cs="Times New Roman"/>
          <w:bCs/>
          <w:kern w:val="0"/>
          <w14:ligatures w14:val="none"/>
        </w:rPr>
      </w:pPr>
    </w:p>
    <w:p w14:paraId="35B3CB63"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 xml:space="preserve">Brewin, C. R., Andrews, B., &amp; Mickes, L. (2020). </w:t>
      </w:r>
      <w:r w:rsidRPr="00EF3A64">
        <w:rPr>
          <w:rFonts w:eastAsia="Calibri" w:cs="Times New Roman"/>
          <w:bCs/>
          <w:i/>
          <w:iCs/>
          <w:kern w:val="0"/>
          <w14:ligatures w14:val="none"/>
        </w:rPr>
        <w:t>Regaining Consensus on the Reliability of Memory</w:t>
      </w:r>
      <w:r w:rsidRPr="00EF3A64">
        <w:rPr>
          <w:rFonts w:eastAsia="Calibri" w:cs="Times New Roman"/>
          <w:bCs/>
          <w:kern w:val="0"/>
          <w14:ligatures w14:val="none"/>
        </w:rPr>
        <w:t xml:space="preserve">. </w:t>
      </w:r>
      <w:r w:rsidRPr="00EF3A64">
        <w:rPr>
          <w:rFonts w:eastAsia="Calibri" w:cs="Times New Roman"/>
          <w:bCs/>
          <w:i/>
          <w:iCs/>
          <w:kern w:val="0"/>
          <w14:ligatures w14:val="none"/>
        </w:rPr>
        <w:t>Current Directions in Psychological Science</w:t>
      </w:r>
      <w:r w:rsidRPr="00EF3A64">
        <w:rPr>
          <w:rFonts w:eastAsia="Calibri" w:cs="Times New Roman"/>
          <w:bCs/>
          <w:kern w:val="0"/>
          <w14:ligatures w14:val="none"/>
        </w:rPr>
        <w:t xml:space="preserve">. </w:t>
      </w:r>
      <w:hyperlink r:id="rId8" w:history="1">
        <w:r w:rsidRPr="00EF3A64">
          <w:rPr>
            <w:rStyle w:val="Hyperlink"/>
            <w:rFonts w:eastAsia="Calibri" w:cs="Times New Roman"/>
            <w:bCs/>
            <w:kern w:val="0"/>
            <w14:ligatures w14:val="none"/>
          </w:rPr>
          <w:t>[research-i...bris.ac.uk]</w:t>
        </w:r>
      </w:hyperlink>
    </w:p>
    <w:p w14:paraId="4D8E52DB" w14:textId="77777777" w:rsidR="00EF3A64" w:rsidRPr="00EF3A64" w:rsidRDefault="00EF3A64" w:rsidP="00EF3A64">
      <w:pPr>
        <w:spacing w:line="360" w:lineRule="auto"/>
        <w:rPr>
          <w:rFonts w:eastAsia="Calibri" w:cs="Times New Roman"/>
          <w:bCs/>
          <w:kern w:val="0"/>
          <w14:ligatures w14:val="none"/>
        </w:rPr>
      </w:pPr>
    </w:p>
    <w:p w14:paraId="680D76BF"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lastRenderedPageBreak/>
        <w:t>Brewin, C.R. (2018). Memory and Forgetting. </w:t>
      </w:r>
      <w:r w:rsidRPr="00EF3A64">
        <w:rPr>
          <w:rFonts w:eastAsia="Calibri" w:cs="Times New Roman"/>
          <w:bCs/>
          <w:i/>
          <w:iCs/>
          <w:kern w:val="0"/>
          <w14:ligatures w14:val="none"/>
        </w:rPr>
        <w:t>Current Psychiatry Reports</w:t>
      </w:r>
      <w:r w:rsidRPr="00EF3A64">
        <w:rPr>
          <w:rFonts w:eastAsia="Calibri" w:cs="Times New Roman"/>
          <w:bCs/>
          <w:kern w:val="0"/>
          <w14:ligatures w14:val="none"/>
        </w:rPr>
        <w:t>, 20(10). doi:10.1007/s11920-018-0950-7.</w:t>
      </w:r>
    </w:p>
    <w:p w14:paraId="67915966" w14:textId="77777777" w:rsidR="00EF3A64" w:rsidRPr="00EF3A64" w:rsidRDefault="00EF3A64" w:rsidP="00EF3A64">
      <w:pPr>
        <w:spacing w:line="360" w:lineRule="auto"/>
        <w:rPr>
          <w:rFonts w:eastAsia="Calibri" w:cs="Times New Roman"/>
          <w:bCs/>
          <w:kern w:val="0"/>
          <w14:ligatures w14:val="none"/>
        </w:rPr>
      </w:pPr>
    </w:p>
    <w:p w14:paraId="4E1F79FE"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Evans, M.A. and Feder, G.S. (2015). Help-seeking Amongst Women Survivors of Domestic violence: a Qualitative Study of Pathways Towards Formal and Informal Support. </w:t>
      </w:r>
      <w:r w:rsidRPr="00EF3A64">
        <w:rPr>
          <w:rFonts w:eastAsia="Calibri" w:cs="Times New Roman"/>
          <w:bCs/>
          <w:i/>
          <w:iCs/>
          <w:kern w:val="0"/>
          <w14:ligatures w14:val="none"/>
        </w:rPr>
        <w:t>Health Expectations</w:t>
      </w:r>
      <w:r w:rsidRPr="00EF3A64">
        <w:rPr>
          <w:rFonts w:eastAsia="Calibri" w:cs="Times New Roman"/>
          <w:bCs/>
          <w:kern w:val="0"/>
          <w14:ligatures w14:val="none"/>
        </w:rPr>
        <w:t xml:space="preserve">, [online] 19(1), pp.62–73. </w:t>
      </w:r>
      <w:proofErr w:type="spellStart"/>
      <w:r w:rsidRPr="00EF3A64">
        <w:rPr>
          <w:rFonts w:eastAsia="Calibri" w:cs="Times New Roman"/>
          <w:bCs/>
          <w:kern w:val="0"/>
          <w14:ligatures w14:val="none"/>
        </w:rPr>
        <w:t>doi</w:t>
      </w:r>
      <w:proofErr w:type="spellEnd"/>
      <w:r w:rsidRPr="00EF3A64">
        <w:rPr>
          <w:rFonts w:eastAsia="Calibri" w:cs="Times New Roman"/>
          <w:bCs/>
          <w:kern w:val="0"/>
          <w14:ligatures w14:val="none"/>
        </w:rPr>
        <w:t xml:space="preserve">: </w:t>
      </w:r>
      <w:hyperlink r:id="rId9" w:history="1">
        <w:r w:rsidRPr="00EF3A64">
          <w:rPr>
            <w:rStyle w:val="Hyperlink"/>
            <w:rFonts w:eastAsia="Calibri" w:cs="Times New Roman"/>
            <w:bCs/>
            <w:kern w:val="0"/>
            <w14:ligatures w14:val="none"/>
          </w:rPr>
          <w:t>https://doi.org/10.1111/hex.12330</w:t>
        </w:r>
      </w:hyperlink>
      <w:r w:rsidRPr="00EF3A64">
        <w:rPr>
          <w:rFonts w:eastAsia="Calibri" w:cs="Times New Roman"/>
          <w:bCs/>
          <w:kern w:val="0"/>
          <w14:ligatures w14:val="none"/>
        </w:rPr>
        <w:t>.</w:t>
      </w:r>
    </w:p>
    <w:p w14:paraId="2897DA3E" w14:textId="77777777" w:rsidR="00EF3A64" w:rsidRPr="00EF3A64" w:rsidRDefault="00EF3A64" w:rsidP="00EF3A64">
      <w:pPr>
        <w:spacing w:line="360" w:lineRule="auto"/>
        <w:rPr>
          <w:rFonts w:eastAsia="Calibri" w:cs="Times New Roman"/>
          <w:bCs/>
          <w:kern w:val="0"/>
          <w14:ligatures w14:val="none"/>
        </w:rPr>
      </w:pPr>
    </w:p>
    <w:p w14:paraId="649C559C"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Fernández -</w:t>
      </w:r>
      <w:proofErr w:type="spellStart"/>
      <w:r w:rsidRPr="00EF3A64">
        <w:rPr>
          <w:rFonts w:eastAsia="Calibri" w:cs="Times New Roman"/>
          <w:bCs/>
          <w:kern w:val="0"/>
          <w14:ligatures w14:val="none"/>
        </w:rPr>
        <w:t>Fillol</w:t>
      </w:r>
      <w:proofErr w:type="spellEnd"/>
      <w:r w:rsidRPr="00EF3A64">
        <w:rPr>
          <w:rFonts w:eastAsia="Calibri" w:cs="Times New Roman"/>
          <w:bCs/>
          <w:kern w:val="0"/>
          <w14:ligatures w14:val="none"/>
        </w:rPr>
        <w:t xml:space="preserve">, C., </w:t>
      </w:r>
      <w:proofErr w:type="spellStart"/>
      <w:r w:rsidRPr="00EF3A64">
        <w:rPr>
          <w:rFonts w:eastAsia="Calibri" w:cs="Times New Roman"/>
          <w:bCs/>
          <w:kern w:val="0"/>
          <w14:ligatures w14:val="none"/>
        </w:rPr>
        <w:t>Pitsiakou</w:t>
      </w:r>
      <w:proofErr w:type="spellEnd"/>
      <w:r w:rsidRPr="00EF3A64">
        <w:rPr>
          <w:rFonts w:eastAsia="Calibri" w:cs="Times New Roman"/>
          <w:bCs/>
          <w:kern w:val="0"/>
          <w14:ligatures w14:val="none"/>
        </w:rPr>
        <w:t xml:space="preserve">, C., Perez -Garcia, M., Teva, I. and Hidalgo- </w:t>
      </w:r>
      <w:proofErr w:type="spellStart"/>
      <w:r w:rsidRPr="00EF3A64">
        <w:rPr>
          <w:rFonts w:eastAsia="Calibri" w:cs="Times New Roman"/>
          <w:bCs/>
          <w:kern w:val="0"/>
          <w14:ligatures w14:val="none"/>
        </w:rPr>
        <w:t>Ruzzante</w:t>
      </w:r>
      <w:proofErr w:type="spellEnd"/>
      <w:r w:rsidRPr="00EF3A64">
        <w:rPr>
          <w:rFonts w:eastAsia="Calibri" w:cs="Times New Roman"/>
          <w:bCs/>
          <w:kern w:val="0"/>
          <w14:ligatures w14:val="none"/>
        </w:rPr>
        <w:t>, N. (2021). Complex PTSD in survivors of intimate partner violence: risk factors related to symptoms and diagnoses. </w:t>
      </w:r>
      <w:r w:rsidRPr="00EF3A64">
        <w:rPr>
          <w:rFonts w:eastAsia="Calibri" w:cs="Times New Roman"/>
          <w:bCs/>
          <w:i/>
          <w:iCs/>
          <w:kern w:val="0"/>
          <w14:ligatures w14:val="none"/>
        </w:rPr>
        <w:t xml:space="preserve">European Journal of </w:t>
      </w:r>
      <w:proofErr w:type="spellStart"/>
      <w:r w:rsidRPr="00EF3A64">
        <w:rPr>
          <w:rFonts w:eastAsia="Calibri" w:cs="Times New Roman"/>
          <w:bCs/>
          <w:i/>
          <w:iCs/>
          <w:kern w:val="0"/>
          <w14:ligatures w14:val="none"/>
        </w:rPr>
        <w:t>Psychotraumatology</w:t>
      </w:r>
      <w:proofErr w:type="spellEnd"/>
      <w:r w:rsidRPr="00EF3A64">
        <w:rPr>
          <w:rFonts w:eastAsia="Calibri" w:cs="Times New Roman"/>
          <w:bCs/>
          <w:kern w:val="0"/>
          <w14:ligatures w14:val="none"/>
        </w:rPr>
        <w:t>, [online] 12(1), p.2003616. doi:10.1080/20008198.2021.2003616.</w:t>
      </w:r>
    </w:p>
    <w:p w14:paraId="5C8D40C0" w14:textId="77777777" w:rsidR="00EF3A64" w:rsidRPr="00EF3A64" w:rsidRDefault="00EF3A64" w:rsidP="00EF3A64">
      <w:pPr>
        <w:spacing w:line="360" w:lineRule="auto"/>
        <w:rPr>
          <w:rFonts w:eastAsia="Calibri" w:cs="Times New Roman"/>
          <w:bCs/>
          <w:kern w:val="0"/>
          <w14:ligatures w14:val="none"/>
        </w:rPr>
      </w:pPr>
    </w:p>
    <w:p w14:paraId="31F9E1FD"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Ferrari, G., Feder, G., Agnew-Davies, R., Bailey, J.E., Hollinghurst, S., Howard, L., Howarth, E., Sardinha, L., Sharp, D. and Peters, T.J. (2018). Psychological advocacy towards healing (PATH): A randomized controlled trial of a psychological intervention in a domestic violence service setting. </w:t>
      </w:r>
      <w:r w:rsidRPr="00EF3A64">
        <w:rPr>
          <w:rFonts w:eastAsia="Calibri" w:cs="Times New Roman"/>
          <w:bCs/>
          <w:i/>
          <w:iCs/>
          <w:kern w:val="0"/>
          <w14:ligatures w14:val="none"/>
        </w:rPr>
        <w:t>PLOS ONE</w:t>
      </w:r>
      <w:r w:rsidRPr="00EF3A64">
        <w:rPr>
          <w:rFonts w:eastAsia="Calibri" w:cs="Times New Roman"/>
          <w:bCs/>
          <w:kern w:val="0"/>
          <w14:ligatures w14:val="none"/>
        </w:rPr>
        <w:t>, 13(11), p.e0205485. doi:10.1371/journal.pone.0205485.</w:t>
      </w:r>
    </w:p>
    <w:p w14:paraId="5A5F7163"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GDPR (2018). </w:t>
      </w:r>
      <w:r w:rsidRPr="00EF3A64">
        <w:rPr>
          <w:rFonts w:eastAsia="Calibri" w:cs="Times New Roman"/>
          <w:bCs/>
          <w:i/>
          <w:iCs/>
          <w:kern w:val="0"/>
          <w14:ligatures w14:val="none"/>
        </w:rPr>
        <w:t>General Data Protection Regulation (GDPR)</w:t>
      </w:r>
      <w:r w:rsidRPr="00EF3A64">
        <w:rPr>
          <w:rFonts w:eastAsia="Calibri" w:cs="Times New Roman"/>
          <w:bCs/>
          <w:kern w:val="0"/>
          <w14:ligatures w14:val="none"/>
        </w:rPr>
        <w:t>. [online] GDPR. Available at: https://gdpr-info.eu/ [Accessed Jul. 2026].</w:t>
      </w:r>
    </w:p>
    <w:p w14:paraId="1A8DD1F0" w14:textId="77777777" w:rsidR="00EF3A64" w:rsidRPr="00EF3A64" w:rsidRDefault="00EF3A64" w:rsidP="00EF3A64">
      <w:pPr>
        <w:spacing w:line="360" w:lineRule="auto"/>
        <w:rPr>
          <w:rFonts w:eastAsia="Calibri" w:cs="Times New Roman"/>
          <w:bCs/>
          <w:kern w:val="0"/>
          <w14:ligatures w14:val="none"/>
        </w:rPr>
      </w:pPr>
    </w:p>
    <w:p w14:paraId="4DBB980A"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Home Office (2024). </w:t>
      </w:r>
      <w:r w:rsidRPr="00EF3A64">
        <w:rPr>
          <w:rFonts w:eastAsia="Calibri" w:cs="Times New Roman"/>
          <w:bCs/>
          <w:i/>
          <w:iCs/>
          <w:kern w:val="0"/>
          <w14:ligatures w14:val="none"/>
        </w:rPr>
        <w:t>Domestic Violence Disclosure Scheme factsheet</w:t>
      </w:r>
      <w:r w:rsidRPr="00EF3A64">
        <w:rPr>
          <w:rFonts w:eastAsia="Calibri" w:cs="Times New Roman"/>
          <w:bCs/>
          <w:kern w:val="0"/>
          <w14:ligatures w14:val="none"/>
        </w:rPr>
        <w:t>. [online] GOV.UK. Available at: https://www.gov.uk/government/publications/domestic-abuse-bill-2020-factsheets/domestic-violence-disclosure-scheme-factsheet [Accessed Jul. 2026].</w:t>
      </w:r>
    </w:p>
    <w:p w14:paraId="30C485C9" w14:textId="77777777" w:rsidR="00EF3A64" w:rsidRPr="00EF3A64" w:rsidRDefault="00EF3A64" w:rsidP="00EF3A64">
      <w:pPr>
        <w:spacing w:line="360" w:lineRule="auto"/>
        <w:rPr>
          <w:rFonts w:eastAsia="Calibri" w:cs="Times New Roman"/>
          <w:bCs/>
          <w:kern w:val="0"/>
          <w14:ligatures w14:val="none"/>
        </w:rPr>
      </w:pPr>
    </w:p>
    <w:p w14:paraId="7E4D34CD"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 xml:space="preserve">Hulley, J., Bailey, L., Kirkman, G., Gibbs, G.R., Gomersall, T., Latif, A. and Jones, A. (2022). Intimate partner violence and barriers to help-seeking among Black, Asian, minority ethnic and immigrant women: A qualitative </w:t>
      </w:r>
      <w:proofErr w:type="spellStart"/>
      <w:r w:rsidRPr="00EF3A64">
        <w:rPr>
          <w:rFonts w:eastAsia="Calibri" w:cs="Times New Roman"/>
          <w:bCs/>
          <w:kern w:val="0"/>
          <w14:ligatures w14:val="none"/>
        </w:rPr>
        <w:t>metasynthesis</w:t>
      </w:r>
      <w:proofErr w:type="spellEnd"/>
      <w:r w:rsidRPr="00EF3A64">
        <w:rPr>
          <w:rFonts w:eastAsia="Calibri" w:cs="Times New Roman"/>
          <w:bCs/>
          <w:kern w:val="0"/>
          <w14:ligatures w14:val="none"/>
        </w:rPr>
        <w:t xml:space="preserve"> of global research. </w:t>
      </w:r>
      <w:r w:rsidRPr="00EF3A64">
        <w:rPr>
          <w:rFonts w:eastAsia="Calibri" w:cs="Times New Roman"/>
          <w:bCs/>
          <w:i/>
          <w:iCs/>
          <w:kern w:val="0"/>
          <w14:ligatures w14:val="none"/>
        </w:rPr>
        <w:t>Trauma, Violence, &amp; Abuse</w:t>
      </w:r>
      <w:r w:rsidRPr="00EF3A64">
        <w:rPr>
          <w:rFonts w:eastAsia="Calibri" w:cs="Times New Roman"/>
          <w:bCs/>
          <w:kern w:val="0"/>
          <w14:ligatures w14:val="none"/>
        </w:rPr>
        <w:t>, [online] 24(2), pp.1001–1015. doi:10.1177/15248380211050590.</w:t>
      </w:r>
    </w:p>
    <w:p w14:paraId="72EF92EE" w14:textId="77777777" w:rsidR="00EF3A64" w:rsidRPr="00EF3A64" w:rsidRDefault="00EF3A64" w:rsidP="00EF3A64">
      <w:pPr>
        <w:spacing w:line="360" w:lineRule="auto"/>
        <w:rPr>
          <w:rFonts w:eastAsia="Calibri" w:cs="Times New Roman"/>
          <w:bCs/>
          <w:kern w:val="0"/>
          <w14:ligatures w14:val="none"/>
        </w:rPr>
      </w:pPr>
    </w:p>
    <w:p w14:paraId="6BE4BB68" w14:textId="77777777" w:rsidR="00EF3A64" w:rsidRPr="00EF3A64" w:rsidRDefault="00EF3A64" w:rsidP="00EF3A64">
      <w:pPr>
        <w:spacing w:line="360" w:lineRule="auto"/>
        <w:rPr>
          <w:rFonts w:eastAsia="Calibri" w:cs="Times New Roman"/>
          <w:bCs/>
          <w:kern w:val="0"/>
          <w14:ligatures w14:val="none"/>
        </w:rPr>
      </w:pPr>
      <w:proofErr w:type="spellStart"/>
      <w:r w:rsidRPr="00EF3A64">
        <w:rPr>
          <w:rFonts w:eastAsia="Calibri" w:cs="Times New Roman"/>
          <w:bCs/>
          <w:kern w:val="0"/>
          <w14:ligatures w14:val="none"/>
        </w:rPr>
        <w:lastRenderedPageBreak/>
        <w:t>Kastello</w:t>
      </w:r>
      <w:proofErr w:type="spellEnd"/>
      <w:r w:rsidRPr="00EF3A64">
        <w:rPr>
          <w:rFonts w:eastAsia="Calibri" w:cs="Times New Roman"/>
          <w:bCs/>
          <w:kern w:val="0"/>
          <w14:ligatures w14:val="none"/>
        </w:rPr>
        <w:t>, J.C., Jacobsen, K.H., Gaffney, K.F., Kodadek, M.P., Bullock, L.C. and Sharps, P.W. (2015). Posttraumatic stress disorder among low-income women exposed to perinatal intimate partner violence. </w:t>
      </w:r>
      <w:r w:rsidRPr="00EF3A64">
        <w:rPr>
          <w:rFonts w:eastAsia="Calibri" w:cs="Times New Roman"/>
          <w:bCs/>
          <w:i/>
          <w:iCs/>
          <w:kern w:val="0"/>
          <w14:ligatures w14:val="none"/>
        </w:rPr>
        <w:t>Archives of Women’s Mental Health</w:t>
      </w:r>
      <w:r w:rsidRPr="00EF3A64">
        <w:rPr>
          <w:rFonts w:eastAsia="Calibri" w:cs="Times New Roman"/>
          <w:bCs/>
          <w:kern w:val="0"/>
          <w14:ligatures w14:val="none"/>
        </w:rPr>
        <w:t>, 19(3), pp.521–528. doi:10.1007/s00737-015-0594-0.</w:t>
      </w:r>
    </w:p>
    <w:p w14:paraId="40F663DE" w14:textId="77777777" w:rsidR="00EF3A64" w:rsidRPr="00EF3A64" w:rsidRDefault="00EF3A64" w:rsidP="00EF3A64">
      <w:pPr>
        <w:spacing w:line="360" w:lineRule="auto"/>
        <w:rPr>
          <w:rFonts w:eastAsia="Calibri" w:cs="Times New Roman"/>
          <w:bCs/>
          <w:kern w:val="0"/>
          <w14:ligatures w14:val="none"/>
        </w:rPr>
      </w:pPr>
    </w:p>
    <w:p w14:paraId="47620275"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Lincoln, Y.S. and Guba, E.G. (1985). </w:t>
      </w:r>
      <w:r w:rsidRPr="00EF3A64">
        <w:rPr>
          <w:rFonts w:eastAsia="Calibri" w:cs="Times New Roman"/>
          <w:bCs/>
          <w:i/>
          <w:iCs/>
          <w:kern w:val="0"/>
          <w14:ligatures w14:val="none"/>
        </w:rPr>
        <w:t>Organizational theory and inquiry: The paradigm revolution</w:t>
      </w:r>
      <w:r w:rsidRPr="00EF3A64">
        <w:rPr>
          <w:rFonts w:eastAsia="Calibri" w:cs="Times New Roman"/>
          <w:bCs/>
          <w:kern w:val="0"/>
          <w14:ligatures w14:val="none"/>
        </w:rPr>
        <w:t>. Beverly Hills: Sage Publications.</w:t>
      </w:r>
    </w:p>
    <w:p w14:paraId="16050EEF" w14:textId="77777777" w:rsidR="00EF3A64" w:rsidRPr="00EF3A64" w:rsidRDefault="00EF3A64" w:rsidP="00EF3A64">
      <w:pPr>
        <w:spacing w:line="360" w:lineRule="auto"/>
        <w:rPr>
          <w:rFonts w:eastAsia="Calibri" w:cs="Times New Roman"/>
          <w:bCs/>
          <w:kern w:val="0"/>
          <w14:ligatures w14:val="none"/>
        </w:rPr>
      </w:pPr>
    </w:p>
    <w:p w14:paraId="5B1AA4CA"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MIND (2022). </w:t>
      </w:r>
      <w:r w:rsidRPr="00EF3A64">
        <w:rPr>
          <w:rFonts w:eastAsia="Calibri" w:cs="Times New Roman"/>
          <w:bCs/>
          <w:i/>
          <w:iCs/>
          <w:kern w:val="0"/>
          <w14:ligatures w14:val="none"/>
        </w:rPr>
        <w:t>A guide for journalists and newsrooms to recognise vicarious trauma and mitigate against it Vicarious Trauma WITH SUPPORT FROM</w:t>
      </w:r>
      <w:r w:rsidRPr="00EF3A64">
        <w:rPr>
          <w:rFonts w:eastAsia="Calibri" w:cs="Times New Roman"/>
          <w:bCs/>
          <w:kern w:val="0"/>
          <w14:ligatures w14:val="none"/>
        </w:rPr>
        <w:t>. [online] Available at: https://www.mind.org.uk/media/4tybnie0/headlines-guide-to-vicarious-trauma.pdf [Accessed Jul. 2026].</w:t>
      </w:r>
    </w:p>
    <w:p w14:paraId="2830BB8A" w14:textId="77777777" w:rsidR="00EF3A64" w:rsidRPr="00EF3A64" w:rsidRDefault="00EF3A64" w:rsidP="00EF3A64">
      <w:pPr>
        <w:spacing w:line="360" w:lineRule="auto"/>
        <w:rPr>
          <w:rFonts w:eastAsia="Calibri" w:cs="Times New Roman"/>
          <w:bCs/>
          <w:kern w:val="0"/>
          <w14:ligatures w14:val="none"/>
        </w:rPr>
      </w:pPr>
    </w:p>
    <w:p w14:paraId="70977505"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Monterrosa, A. E. (2019). How race and gender stereotypes influence help-seeking for intimate partner violence. Journal of Inter personal Violence, 36(17–18), 1–22. https://doi.org/10.1177/ 0886260519853403.</w:t>
      </w:r>
    </w:p>
    <w:p w14:paraId="7D71437D" w14:textId="77777777" w:rsidR="00EF3A64" w:rsidRPr="00EF3A64" w:rsidRDefault="00EF3A64" w:rsidP="00EF3A64">
      <w:pPr>
        <w:spacing w:line="360" w:lineRule="auto"/>
        <w:rPr>
          <w:rFonts w:eastAsia="Calibri" w:cs="Times New Roman"/>
          <w:bCs/>
          <w:kern w:val="0"/>
          <w14:ligatures w14:val="none"/>
        </w:rPr>
      </w:pPr>
    </w:p>
    <w:p w14:paraId="7D370A38"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Nowell, L.S., Norris, J.M., White, D.E. and Moules, N.J. (2017). Thematic Analysis: Striving to Meet the Trustworthiness Criteria. </w:t>
      </w:r>
      <w:r w:rsidRPr="00EF3A64">
        <w:rPr>
          <w:rFonts w:eastAsia="Calibri" w:cs="Times New Roman"/>
          <w:bCs/>
          <w:i/>
          <w:iCs/>
          <w:kern w:val="0"/>
          <w14:ligatures w14:val="none"/>
        </w:rPr>
        <w:t>International Journal of Qualitative Methods</w:t>
      </w:r>
      <w:r w:rsidRPr="00EF3A64">
        <w:rPr>
          <w:rFonts w:eastAsia="Calibri" w:cs="Times New Roman"/>
          <w:bCs/>
          <w:kern w:val="0"/>
          <w14:ligatures w14:val="none"/>
        </w:rPr>
        <w:t xml:space="preserve">, [online] 16(1). </w:t>
      </w:r>
      <w:proofErr w:type="spellStart"/>
      <w:r w:rsidRPr="00EF3A64">
        <w:rPr>
          <w:rFonts w:eastAsia="Calibri" w:cs="Times New Roman"/>
          <w:bCs/>
          <w:kern w:val="0"/>
          <w14:ligatures w14:val="none"/>
        </w:rPr>
        <w:t>doi:https</w:t>
      </w:r>
      <w:proofErr w:type="spellEnd"/>
      <w:r w:rsidRPr="00EF3A64">
        <w:rPr>
          <w:rFonts w:eastAsia="Calibri" w:cs="Times New Roman"/>
          <w:bCs/>
          <w:kern w:val="0"/>
          <w14:ligatures w14:val="none"/>
        </w:rPr>
        <w:t>://doi.org/10.1177/1609406917733847.</w:t>
      </w:r>
    </w:p>
    <w:p w14:paraId="438FF144"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Office for Victims of Crime (2020). </w:t>
      </w:r>
      <w:r w:rsidRPr="00EF3A64">
        <w:rPr>
          <w:rFonts w:eastAsia="Calibri" w:cs="Times New Roman"/>
          <w:bCs/>
          <w:i/>
          <w:iCs/>
          <w:kern w:val="0"/>
          <w14:ligatures w14:val="none"/>
        </w:rPr>
        <w:t>The Vicarious Trauma Toolkit | What Is Vicarious Trauma?</w:t>
      </w:r>
      <w:r w:rsidRPr="00EF3A64">
        <w:rPr>
          <w:rFonts w:eastAsia="Calibri" w:cs="Times New Roman"/>
          <w:bCs/>
          <w:kern w:val="0"/>
          <w14:ligatures w14:val="none"/>
        </w:rPr>
        <w:t> [online] Office for Victims of Crime. Available at: https://ovc.ojp.gov/program/vtt/what-is-vicarious-trauma [Accessed Jul. 2026].</w:t>
      </w:r>
    </w:p>
    <w:p w14:paraId="04279F57" w14:textId="77777777" w:rsidR="00EF3A64" w:rsidRPr="00EF3A64" w:rsidRDefault="00EF3A64" w:rsidP="00EF3A64">
      <w:pPr>
        <w:spacing w:line="360" w:lineRule="auto"/>
        <w:rPr>
          <w:rFonts w:eastAsia="Calibri" w:cs="Times New Roman"/>
          <w:bCs/>
          <w:kern w:val="0"/>
          <w14:ligatures w14:val="none"/>
        </w:rPr>
      </w:pPr>
    </w:p>
    <w:p w14:paraId="7F1873B7"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 xml:space="preserve">ONS Crime and Justice (2025) </w:t>
      </w:r>
      <w:r w:rsidRPr="00EF3A64">
        <w:rPr>
          <w:rFonts w:eastAsia="Calibri" w:cs="Times New Roman"/>
          <w:bCs/>
          <w:i/>
          <w:iCs/>
          <w:kern w:val="0"/>
          <w14:ligatures w14:val="none"/>
        </w:rPr>
        <w:t xml:space="preserve">Domestic abuse victim characteristics, England and Wales: year ending March 2025. </w:t>
      </w:r>
      <w:r w:rsidRPr="00EF3A64">
        <w:rPr>
          <w:rFonts w:eastAsia="Calibri" w:cs="Times New Roman"/>
          <w:bCs/>
          <w:kern w:val="0"/>
          <w14:ligatures w14:val="none"/>
        </w:rPr>
        <w:t xml:space="preserve">Available at: </w:t>
      </w:r>
      <w:hyperlink r:id="rId10" w:history="1">
        <w:r w:rsidRPr="00EF3A64">
          <w:rPr>
            <w:rStyle w:val="Hyperlink"/>
            <w:rFonts w:eastAsia="Calibri" w:cs="Times New Roman"/>
            <w:bCs/>
            <w:kern w:val="0"/>
            <w14:ligatures w14:val="none"/>
          </w:rPr>
          <w:t>https://www.ons.gov.uk/peoplepopulationandcommunity/crimeandjustice/articles/domesticabusevictimcharacteristicsengland</w:t>
        </w:r>
      </w:hyperlink>
      <w:r w:rsidRPr="00EF3A64">
        <w:rPr>
          <w:rFonts w:eastAsia="Calibri" w:cs="Times New Roman"/>
          <w:bCs/>
          <w:kern w:val="0"/>
          <w14:ligatures w14:val="none"/>
        </w:rPr>
        <w:t xml:space="preserve">. </w:t>
      </w:r>
    </w:p>
    <w:p w14:paraId="681C2CA3" w14:textId="77777777" w:rsidR="00EF3A64" w:rsidRPr="00EF3A64" w:rsidRDefault="00EF3A64" w:rsidP="00EF3A64">
      <w:pPr>
        <w:spacing w:line="360" w:lineRule="auto"/>
        <w:rPr>
          <w:rFonts w:eastAsia="Calibri" w:cs="Times New Roman"/>
          <w:bCs/>
          <w:kern w:val="0"/>
          <w14:ligatures w14:val="none"/>
        </w:rPr>
      </w:pPr>
    </w:p>
    <w:p w14:paraId="1BE95E7B"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lastRenderedPageBreak/>
        <w:t xml:space="preserve">Reina, A. S., Lohman, B. J., &amp; Maldonado, M. M. (2014). “He said they’d deport me”. Journal of Interpersonal Violence, 29(4), 593–615. </w:t>
      </w:r>
      <w:hyperlink r:id="rId11" w:history="1">
        <w:r w:rsidRPr="00EF3A64">
          <w:rPr>
            <w:rStyle w:val="Hyperlink"/>
            <w:rFonts w:eastAsia="Calibri" w:cs="Times New Roman"/>
            <w:bCs/>
            <w:kern w:val="0"/>
            <w14:ligatures w14:val="none"/>
          </w:rPr>
          <w:t>https://doi.org/10.1177/0886260513505214</w:t>
        </w:r>
      </w:hyperlink>
      <w:r w:rsidRPr="00EF3A64">
        <w:rPr>
          <w:rFonts w:eastAsia="Calibri" w:cs="Times New Roman"/>
          <w:bCs/>
          <w:kern w:val="0"/>
          <w14:ligatures w14:val="none"/>
        </w:rPr>
        <w:t>.</w:t>
      </w:r>
    </w:p>
    <w:p w14:paraId="62DA526C" w14:textId="77777777" w:rsidR="00EF3A64" w:rsidRPr="00EF3A64" w:rsidRDefault="00EF3A64" w:rsidP="00EF3A64">
      <w:pPr>
        <w:spacing w:line="360" w:lineRule="auto"/>
        <w:rPr>
          <w:rFonts w:eastAsia="Calibri" w:cs="Times New Roman"/>
          <w:bCs/>
          <w:kern w:val="0"/>
          <w14:ligatures w14:val="none"/>
        </w:rPr>
      </w:pPr>
    </w:p>
    <w:p w14:paraId="6C98ECD9"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Shelter Cymru (2026). </w:t>
      </w:r>
      <w:r w:rsidRPr="00EF3A64">
        <w:rPr>
          <w:rFonts w:eastAsia="Calibri" w:cs="Times New Roman"/>
          <w:bCs/>
          <w:i/>
          <w:iCs/>
          <w:kern w:val="0"/>
          <w14:ligatures w14:val="none"/>
        </w:rPr>
        <w:t>Women’s refuge</w:t>
      </w:r>
      <w:r w:rsidRPr="00EF3A64">
        <w:rPr>
          <w:rFonts w:eastAsia="Calibri" w:cs="Times New Roman"/>
          <w:bCs/>
          <w:kern w:val="0"/>
          <w14:ligatures w14:val="none"/>
        </w:rPr>
        <w:t>. [online] Available at: https://sheltercymru.org.uk/housing-advice/finding-a-place-to-live/emergency-accommodation/womens-refuge/ [Accessed Jul. 2026].</w:t>
      </w:r>
    </w:p>
    <w:p w14:paraId="41C32516" w14:textId="77777777" w:rsidR="00EF3A64" w:rsidRPr="00EF3A64" w:rsidRDefault="00EF3A64" w:rsidP="00EF3A64">
      <w:pPr>
        <w:spacing w:line="360" w:lineRule="auto"/>
        <w:rPr>
          <w:rFonts w:eastAsia="Calibri" w:cs="Times New Roman"/>
          <w:bCs/>
          <w:kern w:val="0"/>
          <w14:ligatures w14:val="none"/>
        </w:rPr>
      </w:pPr>
    </w:p>
    <w:p w14:paraId="76729854" w14:textId="77777777" w:rsidR="00EF3A64" w:rsidRPr="00EF3A64" w:rsidRDefault="00EF3A64" w:rsidP="00EF3A64">
      <w:pPr>
        <w:spacing w:line="360" w:lineRule="auto"/>
        <w:rPr>
          <w:rFonts w:eastAsia="Calibri" w:cs="Times New Roman"/>
          <w:bCs/>
          <w:kern w:val="0"/>
          <w14:ligatures w14:val="none"/>
        </w:rPr>
      </w:pPr>
      <w:proofErr w:type="spellStart"/>
      <w:r w:rsidRPr="00EF3A64">
        <w:rPr>
          <w:rFonts w:eastAsia="Calibri" w:cs="Times New Roman"/>
          <w:bCs/>
          <w:kern w:val="0"/>
          <w14:ligatures w14:val="none"/>
        </w:rPr>
        <w:t>Sundler</w:t>
      </w:r>
      <w:proofErr w:type="spellEnd"/>
      <w:r w:rsidRPr="00EF3A64">
        <w:rPr>
          <w:rFonts w:eastAsia="Calibri" w:cs="Times New Roman"/>
          <w:bCs/>
          <w:kern w:val="0"/>
          <w14:ligatures w14:val="none"/>
        </w:rPr>
        <w:t xml:space="preserve">, A.J., Lindberg, E., Nilsson, C. and </w:t>
      </w:r>
      <w:proofErr w:type="spellStart"/>
      <w:r w:rsidRPr="00EF3A64">
        <w:rPr>
          <w:rFonts w:eastAsia="Calibri" w:cs="Times New Roman"/>
          <w:bCs/>
          <w:kern w:val="0"/>
          <w14:ligatures w14:val="none"/>
        </w:rPr>
        <w:t>Palmér</w:t>
      </w:r>
      <w:proofErr w:type="spellEnd"/>
      <w:r w:rsidRPr="00EF3A64">
        <w:rPr>
          <w:rFonts w:eastAsia="Calibri" w:cs="Times New Roman"/>
          <w:bCs/>
          <w:kern w:val="0"/>
          <w14:ligatures w14:val="none"/>
        </w:rPr>
        <w:t>, L. (2019). Qualitative Thematic Analysis Based on Descriptive Phenomenology. </w:t>
      </w:r>
      <w:r w:rsidRPr="00EF3A64">
        <w:rPr>
          <w:rFonts w:eastAsia="Calibri" w:cs="Times New Roman"/>
          <w:bCs/>
          <w:i/>
          <w:iCs/>
          <w:kern w:val="0"/>
          <w14:ligatures w14:val="none"/>
        </w:rPr>
        <w:t>Nursing Open</w:t>
      </w:r>
      <w:r w:rsidRPr="00EF3A64">
        <w:rPr>
          <w:rFonts w:eastAsia="Calibri" w:cs="Times New Roman"/>
          <w:bCs/>
          <w:kern w:val="0"/>
          <w14:ligatures w14:val="none"/>
        </w:rPr>
        <w:t>, 6(3), pp.733–739. doi:10.1002/nop2.275.</w:t>
      </w:r>
    </w:p>
    <w:p w14:paraId="254AB877" w14:textId="77777777" w:rsidR="00EF3A64" w:rsidRPr="00EF3A64" w:rsidRDefault="00EF3A64" w:rsidP="00EF3A64">
      <w:pPr>
        <w:spacing w:line="360" w:lineRule="auto"/>
        <w:rPr>
          <w:rFonts w:eastAsia="Calibri" w:cs="Times New Roman"/>
          <w:bCs/>
          <w:kern w:val="0"/>
          <w14:ligatures w14:val="none"/>
        </w:rPr>
      </w:pPr>
    </w:p>
    <w:p w14:paraId="3E938113"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The National Archives (2018). </w:t>
      </w:r>
      <w:r w:rsidRPr="00EF3A64">
        <w:rPr>
          <w:rFonts w:eastAsia="Calibri" w:cs="Times New Roman"/>
          <w:bCs/>
          <w:i/>
          <w:iCs/>
          <w:kern w:val="0"/>
          <w14:ligatures w14:val="none"/>
        </w:rPr>
        <w:t>Data Protection Act 2018</w:t>
      </w:r>
      <w:r w:rsidRPr="00EF3A64">
        <w:rPr>
          <w:rFonts w:eastAsia="Calibri" w:cs="Times New Roman"/>
          <w:bCs/>
          <w:kern w:val="0"/>
          <w14:ligatures w14:val="none"/>
        </w:rPr>
        <w:t>. [online] legislation.gov.uk. Available at: https://www.legislation.gov.uk/ukpga/2018/12/contents [Accessed Jul. 2026].</w:t>
      </w:r>
    </w:p>
    <w:p w14:paraId="3BCB998F" w14:textId="77777777" w:rsidR="00EF3A64" w:rsidRPr="00EF3A64" w:rsidRDefault="00EF3A64" w:rsidP="00EF3A64">
      <w:pPr>
        <w:spacing w:line="360" w:lineRule="auto"/>
        <w:rPr>
          <w:rFonts w:eastAsia="Calibri" w:cs="Times New Roman"/>
          <w:bCs/>
          <w:kern w:val="0"/>
          <w14:ligatures w14:val="none"/>
        </w:rPr>
      </w:pPr>
    </w:p>
    <w:p w14:paraId="0CCECCC2"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The National Archives (2021). </w:t>
      </w:r>
      <w:r w:rsidRPr="00EF3A64">
        <w:rPr>
          <w:rFonts w:eastAsia="Calibri" w:cs="Times New Roman"/>
          <w:bCs/>
          <w:i/>
          <w:iCs/>
          <w:kern w:val="0"/>
          <w14:ligatures w14:val="none"/>
        </w:rPr>
        <w:t>Domestic Abuse Act 2021</w:t>
      </w:r>
      <w:r w:rsidRPr="00EF3A64">
        <w:rPr>
          <w:rFonts w:eastAsia="Calibri" w:cs="Times New Roman"/>
          <w:bCs/>
          <w:kern w:val="0"/>
          <w14:ligatures w14:val="none"/>
        </w:rPr>
        <w:t>. [online] Legislation.gov.uk. Available at: https://www.legislation.gov.uk/ukpga/2021/17/contents [Accessed Jul. 2026].</w:t>
      </w:r>
    </w:p>
    <w:p w14:paraId="7491DEBA" w14:textId="77777777" w:rsidR="00EF3A64" w:rsidRPr="00EF3A64" w:rsidRDefault="00EF3A64" w:rsidP="00EF3A64">
      <w:pPr>
        <w:spacing w:line="360" w:lineRule="auto"/>
        <w:rPr>
          <w:rFonts w:eastAsia="Calibri" w:cs="Times New Roman"/>
          <w:bCs/>
          <w:kern w:val="0"/>
          <w14:ligatures w14:val="none"/>
        </w:rPr>
      </w:pPr>
    </w:p>
    <w:p w14:paraId="1B1A84E0" w14:textId="77777777" w:rsidR="00EF3A64" w:rsidRPr="00EF3A64" w:rsidRDefault="00EF3A64" w:rsidP="00EF3A64">
      <w:pPr>
        <w:spacing w:line="360" w:lineRule="auto"/>
        <w:rPr>
          <w:rFonts w:eastAsia="Calibri" w:cs="Times New Roman"/>
          <w:bCs/>
          <w:kern w:val="0"/>
          <w14:ligatures w14:val="none"/>
        </w:rPr>
      </w:pPr>
      <w:r w:rsidRPr="00EF3A64">
        <w:rPr>
          <w:rFonts w:eastAsia="Calibri" w:cs="Times New Roman"/>
          <w:bCs/>
          <w:kern w:val="0"/>
          <w14:ligatures w14:val="none"/>
        </w:rPr>
        <w:t xml:space="preserve">Ting, L. (2010). Out of Africa: Coping strategies of African </w:t>
      </w:r>
      <w:proofErr w:type="spellStart"/>
      <w:r w:rsidRPr="00EF3A64">
        <w:rPr>
          <w:rFonts w:eastAsia="Calibri" w:cs="Times New Roman"/>
          <w:bCs/>
          <w:kern w:val="0"/>
          <w14:ligatures w14:val="none"/>
        </w:rPr>
        <w:t>immi</w:t>
      </w:r>
      <w:proofErr w:type="spellEnd"/>
      <w:r w:rsidRPr="00EF3A64">
        <w:rPr>
          <w:rFonts w:eastAsia="Calibri" w:cs="Times New Roman"/>
          <w:bCs/>
          <w:kern w:val="0"/>
          <w14:ligatures w14:val="none"/>
        </w:rPr>
        <w:t xml:space="preserve"> grant women survivors of intimate partner violence. Health Care for Women International, 31(4), 345–364. https://doi.org/ 10.1080/07399330903348741.</w:t>
      </w:r>
    </w:p>
    <w:p w14:paraId="3BE391BB" w14:textId="53679E51" w:rsidR="00BB183F" w:rsidRDefault="00BB183F" w:rsidP="00D50EF3">
      <w:pPr>
        <w:spacing w:line="360" w:lineRule="auto"/>
        <w:rPr>
          <w:rFonts w:eastAsia="Calibri" w:cs="Times New Roman"/>
          <w:bCs/>
          <w:kern w:val="0"/>
          <w14:ligatures w14:val="none"/>
        </w:rPr>
      </w:pPr>
    </w:p>
    <w:p w14:paraId="304C5844" w14:textId="2A413389" w:rsidR="00E83716" w:rsidRPr="00627781" w:rsidRDefault="00AF7C14" w:rsidP="00AF7C14">
      <w:pPr>
        <w:tabs>
          <w:tab w:val="left" w:pos="6816"/>
        </w:tabs>
        <w:spacing w:line="360" w:lineRule="auto"/>
        <w:rPr>
          <w:rFonts w:eastAsia="Calibri" w:cs="Times New Roman"/>
          <w:bCs/>
          <w:kern w:val="0"/>
          <w14:ligatures w14:val="none"/>
        </w:rPr>
      </w:pPr>
      <w:r>
        <w:rPr>
          <w:rFonts w:eastAsia="Calibri" w:cs="Times New Roman"/>
          <w:bCs/>
          <w:kern w:val="0"/>
          <w14:ligatures w14:val="none"/>
        </w:rPr>
        <w:tab/>
      </w:r>
    </w:p>
    <w:p w14:paraId="375970A8" w14:textId="77777777" w:rsidR="00FB0EC0" w:rsidRPr="00627781" w:rsidRDefault="00FB0EC0" w:rsidP="00AF7C14"/>
    <w:sectPr w:rsidR="00FB0EC0" w:rsidRPr="0062778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25B83" w14:textId="77777777" w:rsidR="00593C42" w:rsidRDefault="00593C42" w:rsidP="00C81014">
      <w:pPr>
        <w:spacing w:after="0" w:line="240" w:lineRule="auto"/>
      </w:pPr>
      <w:r>
        <w:separator/>
      </w:r>
    </w:p>
  </w:endnote>
  <w:endnote w:type="continuationSeparator" w:id="0">
    <w:p w14:paraId="09A7B715" w14:textId="77777777" w:rsidR="00593C42" w:rsidRDefault="00593C42" w:rsidP="00C81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68632"/>
      <w:docPartObj>
        <w:docPartGallery w:val="Page Numbers (Bottom of Page)"/>
        <w:docPartUnique/>
      </w:docPartObj>
    </w:sdtPr>
    <w:sdtEndPr>
      <w:rPr>
        <w:noProof/>
      </w:rPr>
    </w:sdtEndPr>
    <w:sdtContent>
      <w:p w14:paraId="581C2CD3" w14:textId="7835CF46" w:rsidR="005002C4" w:rsidRDefault="005002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4B5994" w14:textId="77777777" w:rsidR="005002C4" w:rsidRDefault="00500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15925" w14:textId="77777777" w:rsidR="00593C42" w:rsidRDefault="00593C42" w:rsidP="00C81014">
      <w:pPr>
        <w:spacing w:after="0" w:line="240" w:lineRule="auto"/>
      </w:pPr>
      <w:r>
        <w:separator/>
      </w:r>
    </w:p>
  </w:footnote>
  <w:footnote w:type="continuationSeparator" w:id="0">
    <w:p w14:paraId="75EA29E5" w14:textId="77777777" w:rsidR="00593C42" w:rsidRDefault="00593C42" w:rsidP="00C81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08BB1" w14:textId="0FB12B68" w:rsidR="00C81014" w:rsidRPr="00D50EF3" w:rsidRDefault="00C81014">
    <w:pPr>
      <w:pStyle w:val="Header"/>
    </w:pPr>
    <w:r w:rsidRPr="00D50EF3">
      <w:t>2306600</w:t>
    </w:r>
    <w:r w:rsidR="00D50EF3" w:rsidRPr="00D50EF3">
      <w:tab/>
    </w:r>
    <w:r w:rsidR="00D50EF3" w:rsidRPr="00D50EF3">
      <w:rPr>
        <w:rFonts w:eastAsia="Calibri" w:cs="Times New Roman"/>
        <w:bCs/>
        <w:kern w:val="0"/>
        <w14:ligatures w14:val="none"/>
      </w:rPr>
      <w:t>ECGE7008Q</w:t>
    </w:r>
    <w:r w:rsidRPr="00D50EF3">
      <w:tab/>
      <w:t xml:space="preserve">Word Count: </w:t>
    </w:r>
    <w:r w:rsidR="00D50EF3" w:rsidRPr="00D50EF3">
      <w:t>3241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8203C"/>
    <w:multiLevelType w:val="hybridMultilevel"/>
    <w:tmpl w:val="CD4A34E0"/>
    <w:lvl w:ilvl="0" w:tplc="E8C8DCE0">
      <w:start w:val="1"/>
      <w:numFmt w:val="bullet"/>
      <w:lvlText w:val=" "/>
      <w:lvlJc w:val="left"/>
      <w:pPr>
        <w:tabs>
          <w:tab w:val="num" w:pos="720"/>
        </w:tabs>
        <w:ind w:left="720" w:hanging="360"/>
      </w:pPr>
      <w:rPr>
        <w:rFonts w:ascii="Calibri" w:hAnsi="Calibri" w:hint="default"/>
      </w:rPr>
    </w:lvl>
    <w:lvl w:ilvl="1" w:tplc="21366096" w:tentative="1">
      <w:start w:val="1"/>
      <w:numFmt w:val="bullet"/>
      <w:lvlText w:val=" "/>
      <w:lvlJc w:val="left"/>
      <w:pPr>
        <w:tabs>
          <w:tab w:val="num" w:pos="1440"/>
        </w:tabs>
        <w:ind w:left="1440" w:hanging="360"/>
      </w:pPr>
      <w:rPr>
        <w:rFonts w:ascii="Calibri" w:hAnsi="Calibri" w:hint="default"/>
      </w:rPr>
    </w:lvl>
    <w:lvl w:ilvl="2" w:tplc="F3A0DCCE" w:tentative="1">
      <w:start w:val="1"/>
      <w:numFmt w:val="bullet"/>
      <w:lvlText w:val=" "/>
      <w:lvlJc w:val="left"/>
      <w:pPr>
        <w:tabs>
          <w:tab w:val="num" w:pos="2160"/>
        </w:tabs>
        <w:ind w:left="2160" w:hanging="360"/>
      </w:pPr>
      <w:rPr>
        <w:rFonts w:ascii="Calibri" w:hAnsi="Calibri" w:hint="default"/>
      </w:rPr>
    </w:lvl>
    <w:lvl w:ilvl="3" w:tplc="5FC458A6" w:tentative="1">
      <w:start w:val="1"/>
      <w:numFmt w:val="bullet"/>
      <w:lvlText w:val=" "/>
      <w:lvlJc w:val="left"/>
      <w:pPr>
        <w:tabs>
          <w:tab w:val="num" w:pos="2880"/>
        </w:tabs>
        <w:ind w:left="2880" w:hanging="360"/>
      </w:pPr>
      <w:rPr>
        <w:rFonts w:ascii="Calibri" w:hAnsi="Calibri" w:hint="default"/>
      </w:rPr>
    </w:lvl>
    <w:lvl w:ilvl="4" w:tplc="70F26B20" w:tentative="1">
      <w:start w:val="1"/>
      <w:numFmt w:val="bullet"/>
      <w:lvlText w:val=" "/>
      <w:lvlJc w:val="left"/>
      <w:pPr>
        <w:tabs>
          <w:tab w:val="num" w:pos="3600"/>
        </w:tabs>
        <w:ind w:left="3600" w:hanging="360"/>
      </w:pPr>
      <w:rPr>
        <w:rFonts w:ascii="Calibri" w:hAnsi="Calibri" w:hint="default"/>
      </w:rPr>
    </w:lvl>
    <w:lvl w:ilvl="5" w:tplc="0A7A5852" w:tentative="1">
      <w:start w:val="1"/>
      <w:numFmt w:val="bullet"/>
      <w:lvlText w:val=" "/>
      <w:lvlJc w:val="left"/>
      <w:pPr>
        <w:tabs>
          <w:tab w:val="num" w:pos="4320"/>
        </w:tabs>
        <w:ind w:left="4320" w:hanging="360"/>
      </w:pPr>
      <w:rPr>
        <w:rFonts w:ascii="Calibri" w:hAnsi="Calibri" w:hint="default"/>
      </w:rPr>
    </w:lvl>
    <w:lvl w:ilvl="6" w:tplc="B24C9472" w:tentative="1">
      <w:start w:val="1"/>
      <w:numFmt w:val="bullet"/>
      <w:lvlText w:val=" "/>
      <w:lvlJc w:val="left"/>
      <w:pPr>
        <w:tabs>
          <w:tab w:val="num" w:pos="5040"/>
        </w:tabs>
        <w:ind w:left="5040" w:hanging="360"/>
      </w:pPr>
      <w:rPr>
        <w:rFonts w:ascii="Calibri" w:hAnsi="Calibri" w:hint="default"/>
      </w:rPr>
    </w:lvl>
    <w:lvl w:ilvl="7" w:tplc="66403968" w:tentative="1">
      <w:start w:val="1"/>
      <w:numFmt w:val="bullet"/>
      <w:lvlText w:val=" "/>
      <w:lvlJc w:val="left"/>
      <w:pPr>
        <w:tabs>
          <w:tab w:val="num" w:pos="5760"/>
        </w:tabs>
        <w:ind w:left="5760" w:hanging="360"/>
      </w:pPr>
      <w:rPr>
        <w:rFonts w:ascii="Calibri" w:hAnsi="Calibri" w:hint="default"/>
      </w:rPr>
    </w:lvl>
    <w:lvl w:ilvl="8" w:tplc="D6F4DE6A" w:tentative="1">
      <w:start w:val="1"/>
      <w:numFmt w:val="bullet"/>
      <w:lvlText w:val=" "/>
      <w:lvlJc w:val="left"/>
      <w:pPr>
        <w:tabs>
          <w:tab w:val="num" w:pos="6480"/>
        </w:tabs>
        <w:ind w:left="6480" w:hanging="360"/>
      </w:pPr>
      <w:rPr>
        <w:rFonts w:ascii="Calibri" w:hAnsi="Calibri" w:hint="default"/>
      </w:rPr>
    </w:lvl>
  </w:abstractNum>
  <w:num w:numId="1" w16cid:durableId="532697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014"/>
    <w:rsid w:val="00000D2B"/>
    <w:rsid w:val="000011B2"/>
    <w:rsid w:val="00054BAC"/>
    <w:rsid w:val="000561CE"/>
    <w:rsid w:val="00093840"/>
    <w:rsid w:val="000B5F9C"/>
    <w:rsid w:val="000C5155"/>
    <w:rsid w:val="000D3D9E"/>
    <w:rsid w:val="000D6ABA"/>
    <w:rsid w:val="00122449"/>
    <w:rsid w:val="00191D00"/>
    <w:rsid w:val="001A10A2"/>
    <w:rsid w:val="001A751E"/>
    <w:rsid w:val="001C1E74"/>
    <w:rsid w:val="001E29FB"/>
    <w:rsid w:val="00250404"/>
    <w:rsid w:val="0027613D"/>
    <w:rsid w:val="00292F98"/>
    <w:rsid w:val="002957C1"/>
    <w:rsid w:val="002965FE"/>
    <w:rsid w:val="002A1E78"/>
    <w:rsid w:val="002C4F5F"/>
    <w:rsid w:val="002F05ED"/>
    <w:rsid w:val="002F6375"/>
    <w:rsid w:val="00306BBE"/>
    <w:rsid w:val="00321C3E"/>
    <w:rsid w:val="00324C8F"/>
    <w:rsid w:val="003264F8"/>
    <w:rsid w:val="0038121E"/>
    <w:rsid w:val="003859C9"/>
    <w:rsid w:val="003B0DE2"/>
    <w:rsid w:val="00414241"/>
    <w:rsid w:val="00425782"/>
    <w:rsid w:val="00430164"/>
    <w:rsid w:val="00464162"/>
    <w:rsid w:val="00464E33"/>
    <w:rsid w:val="00471EB3"/>
    <w:rsid w:val="0047436D"/>
    <w:rsid w:val="00490482"/>
    <w:rsid w:val="004A5058"/>
    <w:rsid w:val="004A6541"/>
    <w:rsid w:val="004D7054"/>
    <w:rsid w:val="005002C4"/>
    <w:rsid w:val="0050231B"/>
    <w:rsid w:val="00542747"/>
    <w:rsid w:val="00545C37"/>
    <w:rsid w:val="005509A2"/>
    <w:rsid w:val="0057030A"/>
    <w:rsid w:val="00573B79"/>
    <w:rsid w:val="005842C7"/>
    <w:rsid w:val="00593C42"/>
    <w:rsid w:val="005B3491"/>
    <w:rsid w:val="005B6357"/>
    <w:rsid w:val="005F7F62"/>
    <w:rsid w:val="00613B54"/>
    <w:rsid w:val="00613C7E"/>
    <w:rsid w:val="00614BDF"/>
    <w:rsid w:val="00627781"/>
    <w:rsid w:val="00633B02"/>
    <w:rsid w:val="00635106"/>
    <w:rsid w:val="0064246C"/>
    <w:rsid w:val="0065367A"/>
    <w:rsid w:val="006705EB"/>
    <w:rsid w:val="00675CBE"/>
    <w:rsid w:val="00696BD2"/>
    <w:rsid w:val="006A211D"/>
    <w:rsid w:val="006B6963"/>
    <w:rsid w:val="006D1CA3"/>
    <w:rsid w:val="006D3694"/>
    <w:rsid w:val="007715B2"/>
    <w:rsid w:val="00776ED5"/>
    <w:rsid w:val="007D3E74"/>
    <w:rsid w:val="008A5EA1"/>
    <w:rsid w:val="008F33BD"/>
    <w:rsid w:val="00905455"/>
    <w:rsid w:val="009A5AC7"/>
    <w:rsid w:val="009C40FA"/>
    <w:rsid w:val="009E223F"/>
    <w:rsid w:val="00A14BEA"/>
    <w:rsid w:val="00A45382"/>
    <w:rsid w:val="00A51FEC"/>
    <w:rsid w:val="00A52366"/>
    <w:rsid w:val="00A76E97"/>
    <w:rsid w:val="00A82300"/>
    <w:rsid w:val="00A9034E"/>
    <w:rsid w:val="00AD2123"/>
    <w:rsid w:val="00AF7C14"/>
    <w:rsid w:val="00B73D4E"/>
    <w:rsid w:val="00B9269A"/>
    <w:rsid w:val="00BB183F"/>
    <w:rsid w:val="00BE5518"/>
    <w:rsid w:val="00C126AB"/>
    <w:rsid w:val="00C45636"/>
    <w:rsid w:val="00C53200"/>
    <w:rsid w:val="00C53582"/>
    <w:rsid w:val="00C81014"/>
    <w:rsid w:val="00CA03AF"/>
    <w:rsid w:val="00CA4E39"/>
    <w:rsid w:val="00CD6C37"/>
    <w:rsid w:val="00D05E04"/>
    <w:rsid w:val="00D2563F"/>
    <w:rsid w:val="00D462B5"/>
    <w:rsid w:val="00D50EF3"/>
    <w:rsid w:val="00D52422"/>
    <w:rsid w:val="00D62DFC"/>
    <w:rsid w:val="00D850CF"/>
    <w:rsid w:val="00DB21C4"/>
    <w:rsid w:val="00DD47F9"/>
    <w:rsid w:val="00DE04A1"/>
    <w:rsid w:val="00DE1556"/>
    <w:rsid w:val="00DE5C16"/>
    <w:rsid w:val="00E11165"/>
    <w:rsid w:val="00E83716"/>
    <w:rsid w:val="00EA5A52"/>
    <w:rsid w:val="00EC21ED"/>
    <w:rsid w:val="00EC6AB0"/>
    <w:rsid w:val="00ED0964"/>
    <w:rsid w:val="00ED59F1"/>
    <w:rsid w:val="00EF3A64"/>
    <w:rsid w:val="00EF7A5D"/>
    <w:rsid w:val="00F02C83"/>
    <w:rsid w:val="00F25425"/>
    <w:rsid w:val="00F524D1"/>
    <w:rsid w:val="00F56AE5"/>
    <w:rsid w:val="00F75047"/>
    <w:rsid w:val="00FB0EC0"/>
    <w:rsid w:val="00FC5E0B"/>
    <w:rsid w:val="00FF73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0EC9F"/>
  <w15:chartTrackingRefBased/>
  <w15:docId w15:val="{FC40BD50-6DB2-49F0-B155-695350CF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0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0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0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0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0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0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0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0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0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0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0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0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0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0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0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0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0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014"/>
    <w:rPr>
      <w:rFonts w:eastAsiaTheme="majorEastAsia" w:cstheme="majorBidi"/>
      <w:color w:val="272727" w:themeColor="text1" w:themeTint="D8"/>
    </w:rPr>
  </w:style>
  <w:style w:type="paragraph" w:styleId="Title">
    <w:name w:val="Title"/>
    <w:basedOn w:val="Normal"/>
    <w:next w:val="Normal"/>
    <w:link w:val="TitleChar"/>
    <w:uiPriority w:val="10"/>
    <w:qFormat/>
    <w:rsid w:val="00C810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0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0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0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014"/>
    <w:pPr>
      <w:spacing w:before="160"/>
      <w:jc w:val="center"/>
    </w:pPr>
    <w:rPr>
      <w:i/>
      <w:iCs/>
      <w:color w:val="404040" w:themeColor="text1" w:themeTint="BF"/>
    </w:rPr>
  </w:style>
  <w:style w:type="character" w:customStyle="1" w:styleId="QuoteChar">
    <w:name w:val="Quote Char"/>
    <w:basedOn w:val="DefaultParagraphFont"/>
    <w:link w:val="Quote"/>
    <w:uiPriority w:val="29"/>
    <w:rsid w:val="00C81014"/>
    <w:rPr>
      <w:i/>
      <w:iCs/>
      <w:color w:val="404040" w:themeColor="text1" w:themeTint="BF"/>
    </w:rPr>
  </w:style>
  <w:style w:type="paragraph" w:styleId="ListParagraph">
    <w:name w:val="List Paragraph"/>
    <w:basedOn w:val="Normal"/>
    <w:uiPriority w:val="34"/>
    <w:qFormat/>
    <w:rsid w:val="00C81014"/>
    <w:pPr>
      <w:ind w:left="720"/>
      <w:contextualSpacing/>
    </w:pPr>
  </w:style>
  <w:style w:type="character" w:styleId="IntenseEmphasis">
    <w:name w:val="Intense Emphasis"/>
    <w:basedOn w:val="DefaultParagraphFont"/>
    <w:uiPriority w:val="21"/>
    <w:qFormat/>
    <w:rsid w:val="00C81014"/>
    <w:rPr>
      <w:i/>
      <w:iCs/>
      <w:color w:val="0F4761" w:themeColor="accent1" w:themeShade="BF"/>
    </w:rPr>
  </w:style>
  <w:style w:type="paragraph" w:styleId="IntenseQuote">
    <w:name w:val="Intense Quote"/>
    <w:basedOn w:val="Normal"/>
    <w:next w:val="Normal"/>
    <w:link w:val="IntenseQuoteChar"/>
    <w:uiPriority w:val="30"/>
    <w:qFormat/>
    <w:rsid w:val="00C810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014"/>
    <w:rPr>
      <w:i/>
      <w:iCs/>
      <w:color w:val="0F4761" w:themeColor="accent1" w:themeShade="BF"/>
    </w:rPr>
  </w:style>
  <w:style w:type="character" w:styleId="IntenseReference">
    <w:name w:val="Intense Reference"/>
    <w:basedOn w:val="DefaultParagraphFont"/>
    <w:uiPriority w:val="32"/>
    <w:qFormat/>
    <w:rsid w:val="00C81014"/>
    <w:rPr>
      <w:b/>
      <w:bCs/>
      <w:smallCaps/>
      <w:color w:val="0F4761" w:themeColor="accent1" w:themeShade="BF"/>
      <w:spacing w:val="5"/>
    </w:rPr>
  </w:style>
  <w:style w:type="paragraph" w:styleId="Header">
    <w:name w:val="header"/>
    <w:basedOn w:val="Normal"/>
    <w:link w:val="HeaderChar"/>
    <w:uiPriority w:val="99"/>
    <w:unhideWhenUsed/>
    <w:rsid w:val="00C810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014"/>
  </w:style>
  <w:style w:type="paragraph" w:styleId="Footer">
    <w:name w:val="footer"/>
    <w:basedOn w:val="Normal"/>
    <w:link w:val="FooterChar"/>
    <w:uiPriority w:val="99"/>
    <w:unhideWhenUsed/>
    <w:rsid w:val="00C810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014"/>
  </w:style>
  <w:style w:type="paragraph" w:styleId="NormalWeb">
    <w:name w:val="Normal (Web)"/>
    <w:basedOn w:val="Normal"/>
    <w:uiPriority w:val="99"/>
    <w:semiHidden/>
    <w:unhideWhenUsed/>
    <w:rsid w:val="000D3D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F3A64"/>
    <w:rPr>
      <w:color w:val="467886" w:themeColor="hyperlink"/>
      <w:u w:val="single"/>
    </w:rPr>
  </w:style>
  <w:style w:type="character" w:styleId="UnresolvedMention">
    <w:name w:val="Unresolved Mention"/>
    <w:basedOn w:val="DefaultParagraphFont"/>
    <w:uiPriority w:val="99"/>
    <w:semiHidden/>
    <w:unhideWhenUsed/>
    <w:rsid w:val="00EF3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information.bris.ac.uk/ws/portalfiles/portal/213770594/Brewin_et_al_CDiPS2019Accepted.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77/21677026241240456"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88626051350521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ns.gov.uk/peoplepopulationandcommunity/crimeandjustice/articles/domesticabusevictimcharacteristicsengland" TargetMode="External"/><Relationship Id="rId4" Type="http://schemas.openxmlformats.org/officeDocument/2006/relationships/webSettings" Target="webSettings.xml"/><Relationship Id="rId9" Type="http://schemas.openxmlformats.org/officeDocument/2006/relationships/hyperlink" Target="https://doi.org/10.1111/hex.123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4025</Words>
  <Characters>22945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Darrel Williams</cp:lastModifiedBy>
  <cp:revision>2</cp:revision>
  <dcterms:created xsi:type="dcterms:W3CDTF">2026-07-21T08:46:00Z</dcterms:created>
  <dcterms:modified xsi:type="dcterms:W3CDTF">2026-07-21T08:46:00Z</dcterms:modified>
</cp:coreProperties>
</file>