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C8F0F" w14:textId="77777777" w:rsidR="00696D48" w:rsidRDefault="00696D48" w:rsidP="00696D48">
      <w:pPr>
        <w:spacing w:after="0" w:line="480" w:lineRule="auto"/>
        <w:jc w:val="center"/>
        <w:rPr>
          <w:rFonts w:ascii="Times New Roman" w:eastAsiaTheme="minorHAnsi" w:hAnsi="Times New Roman"/>
          <w:b/>
          <w:kern w:val="0"/>
          <w:szCs w:val="22"/>
          <w:lang w:val="bg-BG"/>
          <w14:ligatures w14:val="none"/>
        </w:rPr>
      </w:pPr>
    </w:p>
    <w:p w14:paraId="1E1FD18C" w14:textId="77777777" w:rsidR="00696D48" w:rsidRDefault="00696D48" w:rsidP="00696D48">
      <w:pPr>
        <w:spacing w:after="0" w:line="480" w:lineRule="auto"/>
        <w:jc w:val="center"/>
        <w:rPr>
          <w:rFonts w:ascii="Times New Roman" w:eastAsiaTheme="minorHAnsi" w:hAnsi="Times New Roman"/>
          <w:b/>
          <w:kern w:val="0"/>
          <w:szCs w:val="22"/>
          <w:lang w:val="bg-BG"/>
          <w14:ligatures w14:val="none"/>
        </w:rPr>
      </w:pPr>
    </w:p>
    <w:p w14:paraId="0A9456DB" w14:textId="77777777" w:rsidR="00696D48" w:rsidRDefault="00696D48" w:rsidP="00696D48">
      <w:pPr>
        <w:spacing w:after="0" w:line="480" w:lineRule="auto"/>
        <w:jc w:val="center"/>
        <w:rPr>
          <w:rFonts w:ascii="Times New Roman" w:eastAsiaTheme="minorHAnsi" w:hAnsi="Times New Roman"/>
          <w:b/>
          <w:kern w:val="0"/>
          <w:szCs w:val="22"/>
          <w:lang w:val="bg-BG"/>
          <w14:ligatures w14:val="none"/>
        </w:rPr>
      </w:pPr>
    </w:p>
    <w:p w14:paraId="51AD0931" w14:textId="3012B593" w:rsidR="0053730E" w:rsidRPr="0053730E" w:rsidRDefault="0053730E" w:rsidP="00696D48">
      <w:pPr>
        <w:spacing w:after="0" w:line="480" w:lineRule="auto"/>
        <w:jc w:val="center"/>
        <w:rPr>
          <w:rFonts w:ascii="Times New Roman" w:eastAsiaTheme="minorHAnsi" w:hAnsi="Times New Roman"/>
          <w:b/>
          <w:kern w:val="0"/>
          <w:sz w:val="36"/>
          <w:szCs w:val="36"/>
          <w:lang w:val="en-US"/>
          <w14:ligatures w14:val="none"/>
        </w:rPr>
      </w:pPr>
      <w:r w:rsidRPr="0053730E">
        <w:rPr>
          <w:rFonts w:ascii="Times New Roman" w:eastAsiaTheme="minorHAnsi" w:hAnsi="Times New Roman"/>
          <w:b/>
          <w:kern w:val="0"/>
          <w:sz w:val="36"/>
          <w:szCs w:val="36"/>
          <w:lang w:val="en-US"/>
          <w14:ligatures w14:val="none"/>
        </w:rPr>
        <w:t xml:space="preserve">Evaluating France as a Potential Market for </w:t>
      </w:r>
      <w:proofErr w:type="spellStart"/>
      <w:r w:rsidRPr="0053730E">
        <w:rPr>
          <w:rFonts w:ascii="Times New Roman" w:eastAsiaTheme="minorHAnsi" w:hAnsi="Times New Roman"/>
          <w:b/>
          <w:kern w:val="0"/>
          <w:sz w:val="36"/>
          <w:szCs w:val="36"/>
          <w:lang w:val="en-US"/>
          <w14:ligatures w14:val="none"/>
        </w:rPr>
        <w:t>Waitrose's</w:t>
      </w:r>
      <w:proofErr w:type="spellEnd"/>
      <w:r w:rsidRPr="0053730E">
        <w:rPr>
          <w:rFonts w:ascii="Times New Roman" w:eastAsiaTheme="minorHAnsi" w:hAnsi="Times New Roman"/>
          <w:b/>
          <w:kern w:val="0"/>
          <w:sz w:val="36"/>
          <w:szCs w:val="36"/>
          <w:lang w:val="en-US"/>
          <w14:ligatures w14:val="none"/>
        </w:rPr>
        <w:t xml:space="preserve"> EU Expansion</w:t>
      </w:r>
    </w:p>
    <w:p w14:paraId="0A7889C7" w14:textId="77777777" w:rsidR="0053730E" w:rsidRPr="0053730E" w:rsidRDefault="0053730E" w:rsidP="00696D48">
      <w:pPr>
        <w:spacing w:after="0" w:line="480" w:lineRule="auto"/>
        <w:jc w:val="center"/>
        <w:rPr>
          <w:rFonts w:ascii="Times New Roman" w:eastAsiaTheme="minorHAnsi" w:hAnsi="Times New Roman"/>
          <w:kern w:val="0"/>
          <w:sz w:val="36"/>
          <w:szCs w:val="36"/>
          <w:lang w:val="en-US"/>
          <w14:ligatures w14:val="none"/>
        </w:rPr>
      </w:pPr>
    </w:p>
    <w:p w14:paraId="4D4A442D" w14:textId="77777777" w:rsidR="0053730E" w:rsidRPr="0053730E" w:rsidRDefault="0053730E" w:rsidP="00696D48">
      <w:pPr>
        <w:spacing w:after="0" w:line="480" w:lineRule="auto"/>
        <w:jc w:val="center"/>
        <w:rPr>
          <w:rFonts w:ascii="Times New Roman" w:eastAsiaTheme="minorHAnsi" w:hAnsi="Times New Roman"/>
          <w:kern w:val="0"/>
          <w:sz w:val="36"/>
          <w:szCs w:val="36"/>
          <w:lang w:val="en-US"/>
          <w14:ligatures w14:val="none"/>
        </w:rPr>
      </w:pPr>
    </w:p>
    <w:p w14:paraId="3526449F" w14:textId="77777777" w:rsidR="0053730E" w:rsidRPr="0053730E" w:rsidRDefault="0053730E" w:rsidP="00696D48">
      <w:pPr>
        <w:spacing w:after="0" w:line="480" w:lineRule="auto"/>
        <w:jc w:val="center"/>
        <w:rPr>
          <w:rFonts w:ascii="Times New Roman" w:eastAsiaTheme="minorHAnsi" w:hAnsi="Times New Roman"/>
          <w:kern w:val="0"/>
          <w:sz w:val="36"/>
          <w:szCs w:val="36"/>
          <w:lang w:val="en-US"/>
          <w14:ligatures w14:val="none"/>
        </w:rPr>
      </w:pPr>
    </w:p>
    <w:p w14:paraId="1A0B57E5" w14:textId="2A4986C8" w:rsidR="0053730E" w:rsidRPr="00C13FB5" w:rsidRDefault="00696D48" w:rsidP="00696D48">
      <w:pPr>
        <w:spacing w:after="0" w:line="480" w:lineRule="auto"/>
        <w:jc w:val="center"/>
        <w:rPr>
          <w:rFonts w:ascii="Times New Roman" w:eastAsiaTheme="minorHAnsi" w:hAnsi="Times New Roman"/>
          <w:kern w:val="0"/>
          <w:sz w:val="36"/>
          <w:szCs w:val="36"/>
          <w:lang w:val="en-US"/>
          <w14:ligatures w14:val="none"/>
        </w:rPr>
      </w:pPr>
      <w:r w:rsidRPr="00C13FB5">
        <w:rPr>
          <w:rFonts w:ascii="Times New Roman" w:eastAsiaTheme="minorHAnsi" w:hAnsi="Times New Roman"/>
          <w:kern w:val="0"/>
          <w:sz w:val="36"/>
          <w:szCs w:val="36"/>
          <w:lang w:val="en-US"/>
          <w14:ligatures w14:val="none"/>
        </w:rPr>
        <w:t>By Nikolay Uchkunov</w:t>
      </w:r>
    </w:p>
    <w:p w14:paraId="63767CF8" w14:textId="70BD9D66" w:rsidR="00CD7D29" w:rsidRPr="00C13FB5" w:rsidRDefault="00C13FB5" w:rsidP="00696D48">
      <w:pPr>
        <w:spacing w:after="0" w:line="480" w:lineRule="auto"/>
        <w:jc w:val="center"/>
        <w:rPr>
          <w:rFonts w:ascii="Times New Roman" w:eastAsiaTheme="minorHAnsi" w:hAnsi="Times New Roman"/>
          <w:kern w:val="0"/>
          <w:sz w:val="36"/>
          <w:szCs w:val="36"/>
          <w:lang w:val="en-US"/>
          <w14:ligatures w14:val="none"/>
        </w:rPr>
      </w:pPr>
      <w:r w:rsidRPr="00C13FB5">
        <w:rPr>
          <w:rFonts w:ascii="Times New Roman" w:eastAsiaTheme="minorHAnsi" w:hAnsi="Times New Roman"/>
          <w:kern w:val="0"/>
          <w:sz w:val="36"/>
          <w:szCs w:val="36"/>
          <w:lang w:val="en-US"/>
          <w14:ligatures w14:val="none"/>
        </w:rPr>
        <w:t>2030588</w:t>
      </w:r>
    </w:p>
    <w:p w14:paraId="4A687AF9" w14:textId="735ECFDF" w:rsidR="00696D48" w:rsidRPr="0053730E" w:rsidRDefault="00696D48" w:rsidP="00696D48">
      <w:pPr>
        <w:spacing w:after="0" w:line="480" w:lineRule="auto"/>
        <w:jc w:val="center"/>
        <w:rPr>
          <w:rFonts w:ascii="Times New Roman" w:eastAsiaTheme="minorHAnsi" w:hAnsi="Times New Roman"/>
          <w:kern w:val="0"/>
          <w:sz w:val="36"/>
          <w:szCs w:val="36"/>
          <w:lang w:val="en-US"/>
          <w14:ligatures w14:val="none"/>
        </w:rPr>
      </w:pPr>
      <w:r w:rsidRPr="00C13FB5">
        <w:rPr>
          <w:rFonts w:ascii="Times New Roman" w:eastAsiaTheme="minorHAnsi" w:hAnsi="Times New Roman"/>
          <w:kern w:val="0"/>
          <w:sz w:val="36"/>
          <w:szCs w:val="36"/>
          <w:lang w:val="en-US"/>
          <w14:ligatures w14:val="none"/>
        </w:rPr>
        <w:t>LCBB</w:t>
      </w:r>
      <w:r w:rsidR="00CD7D29" w:rsidRPr="00C13FB5">
        <w:rPr>
          <w:rFonts w:ascii="Times New Roman" w:eastAsiaTheme="minorHAnsi" w:hAnsi="Times New Roman"/>
          <w:kern w:val="0"/>
          <w:sz w:val="36"/>
          <w:szCs w:val="36"/>
          <w:lang w:val="en-US"/>
          <w14:ligatures w14:val="none"/>
        </w:rPr>
        <w:t xml:space="preserve">6001 International Business Communications </w:t>
      </w:r>
    </w:p>
    <w:p w14:paraId="4037A968" w14:textId="77777777" w:rsidR="0053730E" w:rsidRPr="0053730E" w:rsidRDefault="0053730E" w:rsidP="0053730E">
      <w:pPr>
        <w:spacing w:after="0" w:line="480" w:lineRule="auto"/>
        <w:ind w:firstLine="720"/>
        <w:rPr>
          <w:rFonts w:ascii="Times New Roman" w:eastAsiaTheme="minorHAnsi" w:hAnsi="Times New Roman"/>
          <w:kern w:val="0"/>
          <w:sz w:val="36"/>
          <w:szCs w:val="36"/>
          <w:lang w:val="en-US"/>
          <w14:ligatures w14:val="none"/>
        </w:rPr>
      </w:pPr>
    </w:p>
    <w:p w14:paraId="326AE3FB"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49B8EEEC" w14:textId="77777777" w:rsid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065F2F98" w14:textId="77777777" w:rsidR="00F568C6" w:rsidRDefault="00F568C6" w:rsidP="0053730E">
      <w:pPr>
        <w:spacing w:after="0" w:line="480" w:lineRule="auto"/>
        <w:ind w:firstLine="720"/>
        <w:rPr>
          <w:rFonts w:ascii="Times New Roman" w:eastAsiaTheme="minorHAnsi" w:hAnsi="Times New Roman"/>
          <w:kern w:val="0"/>
          <w:szCs w:val="22"/>
          <w:lang w:val="en-US"/>
          <w14:ligatures w14:val="none"/>
        </w:rPr>
      </w:pPr>
    </w:p>
    <w:p w14:paraId="1295B757" w14:textId="77777777" w:rsidR="00F568C6" w:rsidRPr="0053730E" w:rsidRDefault="00F568C6" w:rsidP="0053730E">
      <w:pPr>
        <w:spacing w:after="0" w:line="480" w:lineRule="auto"/>
        <w:ind w:firstLine="720"/>
        <w:rPr>
          <w:rFonts w:ascii="Times New Roman" w:eastAsiaTheme="minorHAnsi" w:hAnsi="Times New Roman"/>
          <w:kern w:val="0"/>
          <w:szCs w:val="22"/>
          <w:lang w:val="en-US"/>
          <w14:ligatures w14:val="none"/>
        </w:rPr>
      </w:pPr>
    </w:p>
    <w:p w14:paraId="56B2AC4C"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391718C3" w14:textId="77777777" w:rsidR="00696D48" w:rsidRDefault="00696D48" w:rsidP="00C13FB5">
      <w:pPr>
        <w:spacing w:after="0" w:line="480" w:lineRule="auto"/>
        <w:rPr>
          <w:rFonts w:ascii="Times New Roman" w:eastAsiaTheme="minorHAnsi" w:hAnsi="Times New Roman"/>
          <w:kern w:val="0"/>
          <w:szCs w:val="22"/>
          <w:lang w:val="en-US"/>
          <w14:ligatures w14:val="none"/>
        </w:rPr>
      </w:pPr>
    </w:p>
    <w:p w14:paraId="4887278E" w14:textId="77777777" w:rsidR="00C13FB5" w:rsidRPr="00C13FB5" w:rsidRDefault="00C13FB5" w:rsidP="00C13FB5">
      <w:pPr>
        <w:spacing w:after="0" w:line="480" w:lineRule="auto"/>
        <w:rPr>
          <w:rFonts w:ascii="Times New Roman" w:eastAsiaTheme="minorHAnsi" w:hAnsi="Times New Roman"/>
          <w:kern w:val="0"/>
          <w:szCs w:val="22"/>
          <w14:ligatures w14:val="none"/>
        </w:rPr>
      </w:pPr>
    </w:p>
    <w:p w14:paraId="729E4BC5" w14:textId="0CCFB7D5" w:rsidR="0053730E" w:rsidRPr="0053730E" w:rsidRDefault="0053730E" w:rsidP="00696D48">
      <w:pPr>
        <w:spacing w:after="0" w:line="480" w:lineRule="auto"/>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lastRenderedPageBreak/>
        <w:t xml:space="preserve">Evaluating France as a Potential Market for </w:t>
      </w:r>
      <w:proofErr w:type="spellStart"/>
      <w:r w:rsidRPr="0053730E">
        <w:rPr>
          <w:rFonts w:ascii="Times New Roman" w:eastAsiaTheme="minorHAnsi" w:hAnsi="Times New Roman"/>
          <w:b/>
          <w:kern w:val="0"/>
          <w:szCs w:val="22"/>
          <w:lang w:val="en-US"/>
          <w14:ligatures w14:val="none"/>
        </w:rPr>
        <w:t>Waitrose's</w:t>
      </w:r>
      <w:proofErr w:type="spellEnd"/>
      <w:r w:rsidRPr="0053730E">
        <w:rPr>
          <w:rFonts w:ascii="Times New Roman" w:eastAsiaTheme="minorHAnsi" w:hAnsi="Times New Roman"/>
          <w:b/>
          <w:kern w:val="0"/>
          <w:szCs w:val="22"/>
          <w:lang w:val="en-US"/>
          <w14:ligatures w14:val="none"/>
        </w:rPr>
        <w:t xml:space="preserve"> EU Expansion</w:t>
      </w:r>
    </w:p>
    <w:p w14:paraId="3DCDB363" w14:textId="77777777" w:rsidR="0053730E" w:rsidRPr="0053730E" w:rsidRDefault="0053730E" w:rsidP="00696D48">
      <w:pPr>
        <w:spacing w:after="0" w:line="480" w:lineRule="auto"/>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t>Introduction to British Business Communications</w:t>
      </w:r>
    </w:p>
    <w:p w14:paraId="1767A952"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British business communication is unique in its formal, polite, and subtly indirect character, which parallels the country's cultural norms and historical influences. The British are typical of being diplomatic, not to overstate anything, and to build up relations before getting into business. Probably the most distinct characteristic of British business communication is humor, usually self-deprecating, which otherwise has various functions in professional contexts. It may diffuse tension or build rapport but can subtly convey messages without offending the recipient. This is another aspect of British communication that has misfired occasionally, with overseas partners not being aware of the subtleties of British wit (World Business Culture, 2020).</w:t>
      </w:r>
    </w:p>
    <w:p w14:paraId="7ED765C8"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The British use more indirect language, especially regarding suggestions, than direct orders. In a cultural eagerness to stay out of trouble and to avoid confrontation, a British manager might say, "I wonder if we could have that report by the end of the week?" instead of "You must complete this report by Friday." Such indirectness can cause misunderstandings in cross-cultural situations. Other defining features of British business communication are politeness and respect for formality. This includes using titles, formal introductions, and avoiding fighting words. Other characteristics of British business communication are punctuality, structured meeting agendas, and respect for time usage and efficiency (Business Culture, 2019).</w:t>
      </w:r>
    </w:p>
    <w:p w14:paraId="2868B64C"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Cross-cultural communication has become an issue of worry as British firms extend their operations to the European Union. This entails knowledge of business etiquette, language, and culture within these markets of operation. Fluency in modifying communication strategies while preserving the essence of proper British business etiquette is now one of the critical factors for British companies that are interacting with the EU and other countries (Business Culture, 2019).</w:t>
      </w:r>
    </w:p>
    <w:p w14:paraId="54265933" w14:textId="77777777" w:rsidR="0053730E" w:rsidRPr="0053730E" w:rsidRDefault="0053730E" w:rsidP="0053730E">
      <w:pPr>
        <w:spacing w:after="0" w:line="480" w:lineRule="auto"/>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lastRenderedPageBreak/>
        <w:t xml:space="preserve">Brief Introduction to </w:t>
      </w:r>
      <w:proofErr w:type="spellStart"/>
      <w:r w:rsidRPr="0053730E">
        <w:rPr>
          <w:rFonts w:ascii="Times New Roman" w:eastAsiaTheme="minorHAnsi" w:hAnsi="Times New Roman"/>
          <w:b/>
          <w:kern w:val="0"/>
          <w:szCs w:val="22"/>
          <w:lang w:val="en-US"/>
          <w14:ligatures w14:val="none"/>
        </w:rPr>
        <w:t>Waitrose</w:t>
      </w:r>
      <w:proofErr w:type="spellEnd"/>
    </w:p>
    <w:p w14:paraId="5E38E054"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&amp; Partners, more popularly known as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is a chain of supermarkets in the UK that epitomizes excellence and represents the best example of ethical retailing. It has grown over the years. It was founded by Reading in Berkshire in 1904, from a small grocery shop into a national brand. It is now part of the John Lewis Partnership—the United Kingdom's most prominent business to be owned by its staff. For over a century,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has built a brand reputation as a grocery retailer of high standards, with a tight focus on quality, respectable sourcing, and customer service excellence. The company operates more than 300 shops across the UK—supermarkets and smaller convenience shops in towns and cities (</w:t>
      </w:r>
      <w:proofErr w:type="spellStart"/>
      <w:r w:rsidRPr="0053730E">
        <w:rPr>
          <w:rFonts w:ascii="Times New Roman" w:eastAsiaTheme="minorHAnsi" w:hAnsi="Times New Roman"/>
          <w:kern w:val="0"/>
          <w:szCs w:val="22"/>
          <w:lang w:val="en-US"/>
          <w14:ligatures w14:val="none"/>
        </w:rPr>
        <w:t>Storrie</w:t>
      </w:r>
      <w:proofErr w:type="spellEnd"/>
      <w:r w:rsidRPr="0053730E">
        <w:rPr>
          <w:rFonts w:ascii="Times New Roman" w:eastAsiaTheme="minorHAnsi" w:hAnsi="Times New Roman"/>
          <w:kern w:val="0"/>
          <w:szCs w:val="22"/>
          <w:lang w:val="en-US"/>
          <w14:ligatures w14:val="none"/>
        </w:rPr>
        <w:t>, 2024).</w:t>
      </w:r>
    </w:p>
    <w:p w14:paraId="4702D872"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The most critical areas that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focuses on are sustainability and ethical trading, which also help the company set itself apart from others. This involves engagement in solving plastic pollution, backing British farmers to ensure better prices for their produce, and ensuring higher animal welfare.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was the foremost chain of supermarkets in the UK to sell organic foods and has maintained itself at the top with regard to this line of dispensation of sustainable and fairly sourced foods. The company has recently adopted online selling strategies, home delivery, and click-and-collect to address the needs of consumers of the new generation (Ross, 2024). This paved the way for reaching out to a broader market and working efficiently in the digitalized retail environment.</w:t>
      </w:r>
    </w:p>
    <w:p w14:paraId="533676C3"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The target market for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is the prosperous and highly selective consumer group that pays much attention to the quality of the products. These customers are usually highly educated and interested in health and environmental issues. Consumers do not mind spending more on products that are sourced correctly and like the select shopping that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offers them.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has to deal with opportunities and threats while expanding into the EU (</w:t>
      </w:r>
      <w:proofErr w:type="spellStart"/>
      <w:r w:rsidRPr="0053730E">
        <w:rPr>
          <w:rFonts w:ascii="Times New Roman" w:eastAsiaTheme="minorHAnsi" w:hAnsi="Times New Roman"/>
          <w:kern w:val="0"/>
          <w:szCs w:val="22"/>
          <w:lang w:val="en-US"/>
          <w14:ligatures w14:val="none"/>
        </w:rPr>
        <w:t>Storrie</w:t>
      </w:r>
      <w:proofErr w:type="spellEnd"/>
      <w:r w:rsidRPr="0053730E">
        <w:rPr>
          <w:rFonts w:ascii="Times New Roman" w:eastAsiaTheme="minorHAnsi" w:hAnsi="Times New Roman"/>
          <w:kern w:val="0"/>
          <w:szCs w:val="22"/>
          <w:lang w:val="en-US"/>
          <w14:ligatures w14:val="none"/>
        </w:rPr>
        <w:t xml:space="preserve">, </w:t>
      </w:r>
      <w:r w:rsidRPr="0053730E">
        <w:rPr>
          <w:rFonts w:ascii="Times New Roman" w:eastAsiaTheme="minorHAnsi" w:hAnsi="Times New Roman"/>
          <w:kern w:val="0"/>
          <w:szCs w:val="22"/>
          <w:lang w:val="en-US"/>
          <w14:ligatures w14:val="none"/>
        </w:rPr>
        <w:lastRenderedPageBreak/>
        <w:t xml:space="preserve">2024). The reputation the company has cultivated for quality and trading with a conscience could, therefore, become a great strength in markets where consumers are becoming increasingly willing to pay premiums for companies that reflect these values. On the other hand,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will face major challenges in unfamiliar and labyrinthine regulatory environments, localizing its offer to suit foreign tastes and preferences, and competing against well-entrenched local and international grocery retail competitors.</w:t>
      </w:r>
    </w:p>
    <w:p w14:paraId="6B76FF83" w14:textId="77777777" w:rsidR="0053730E" w:rsidRPr="0053730E" w:rsidRDefault="0053730E" w:rsidP="0053730E">
      <w:pPr>
        <w:spacing w:after="0" w:line="480" w:lineRule="auto"/>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t>Evaluation of Two EU Countries: France and Germany</w:t>
      </w:r>
    </w:p>
    <w:p w14:paraId="4F353B47"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To assess the potential for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expansion, we will evaluate two prominent EU countries: France and Germany. While both of these countries hold several potential markets, they present hassles and benefits that should be highly regarded. France has a population of about 67 million people and is well known for its cultural legacy, love for fine cuisine, and high standard of living (</w:t>
      </w:r>
      <w:proofErr w:type="spellStart"/>
      <w:r w:rsidRPr="0053730E">
        <w:rPr>
          <w:rFonts w:ascii="Times New Roman" w:eastAsiaTheme="minorHAnsi" w:hAnsi="Times New Roman"/>
          <w:kern w:val="0"/>
          <w:szCs w:val="22"/>
          <w:lang w:val="en-US"/>
          <w14:ligatures w14:val="none"/>
        </w:rPr>
        <w:t>Allain</w:t>
      </w:r>
      <w:proofErr w:type="spellEnd"/>
      <w:r w:rsidRPr="0053730E">
        <w:rPr>
          <w:rFonts w:ascii="Times New Roman" w:eastAsiaTheme="minorHAnsi" w:hAnsi="Times New Roman"/>
          <w:kern w:val="0"/>
          <w:szCs w:val="22"/>
          <w:lang w:val="en-US"/>
          <w14:ligatures w14:val="none"/>
        </w:rPr>
        <w:t xml:space="preserve"> et al., 2024). The market of French consumers is one of the most sophisticated, with very strong emphasis on quality, particularly about food and drink. This may therefore be very fertile ground for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expansion, due to its premium positioning. French is the official language, and business will have to be conducted with the French speaking population.</w:t>
      </w:r>
    </w:p>
    <w:p w14:paraId="482FE1D8"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With its GDP of $2.94 trillion as of 2023, the economy of France offers a vast potential for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to spread its operations (International Trade Administration, n.d). Entry is not easy at all with stiff competition from local French supermarket chains with strong roots in the local market and splendid brand loyalty from their consumers. Moreover, it is widely known that France has the most cumbersome labor laws and regulations that really impede the operation of any foreign company in this country.</w:t>
      </w:r>
    </w:p>
    <w:p w14:paraId="6FF7E725"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lastRenderedPageBreak/>
        <w:t xml:space="preserve">From a cultural point of view, France scores relatively high in </w:t>
      </w:r>
      <w:proofErr w:type="spellStart"/>
      <w:r w:rsidRPr="0053730E">
        <w:rPr>
          <w:rFonts w:ascii="Times New Roman" w:eastAsiaTheme="minorHAnsi" w:hAnsi="Times New Roman"/>
          <w:kern w:val="0"/>
          <w:szCs w:val="22"/>
          <w:lang w:val="en-US"/>
          <w14:ligatures w14:val="none"/>
        </w:rPr>
        <w:t>Hofstede's</w:t>
      </w:r>
      <w:proofErr w:type="spellEnd"/>
      <w:r w:rsidRPr="0053730E">
        <w:rPr>
          <w:rFonts w:ascii="Times New Roman" w:eastAsiaTheme="minorHAnsi" w:hAnsi="Times New Roman"/>
          <w:kern w:val="0"/>
          <w:szCs w:val="22"/>
          <w:lang w:val="en-US"/>
          <w14:ligatures w14:val="none"/>
        </w:rPr>
        <w:t xml:space="preserve"> Power Distance Index and would therefore infer acceptance of hierarchical order in society and business. Moreover, France is among the highly individualistic cultures, and that would align well with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strategy of appealing to the individual consumer's needs. The above-average score on the Masculinity index depicts society as less masculine. It takes time to embrace quality life and care for others, which would benefit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ethical and quality-oriented brand image (</w:t>
      </w:r>
      <w:proofErr w:type="spellStart"/>
      <w:r w:rsidRPr="0053730E">
        <w:rPr>
          <w:rFonts w:ascii="Times New Roman" w:eastAsiaTheme="minorHAnsi" w:hAnsi="Times New Roman"/>
          <w:kern w:val="0"/>
          <w:szCs w:val="22"/>
          <w:lang w:val="en-US"/>
          <w14:ligatures w14:val="none"/>
        </w:rPr>
        <w:t>Allain</w:t>
      </w:r>
      <w:proofErr w:type="spellEnd"/>
      <w:r w:rsidRPr="0053730E">
        <w:rPr>
          <w:rFonts w:ascii="Times New Roman" w:eastAsiaTheme="minorHAnsi" w:hAnsi="Times New Roman"/>
          <w:kern w:val="0"/>
          <w:szCs w:val="22"/>
          <w:lang w:val="en-US"/>
          <w14:ligatures w14:val="none"/>
        </w:rPr>
        <w:t xml:space="preserve"> et al., 2024).</w:t>
      </w:r>
    </w:p>
    <w:p w14:paraId="146B61D1"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Germany is a different matter, a whole of other opportunities and challenges. With approximately 83 million people and an approximate GDP of $4.26 trillion in 2023, Germany would offer more significant potential than France (Kwon, 2024). Credited for a strong economy, technological innovations, and efficiency, Germany represents a consumer who values quality, reliability, and concern for the environment, which is quite in tune with what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stands for. The German retail market is competitive and, therefore, hard to conquer; this is seeded by well-run discount chains that firmly control a significant market share. This could pose challenges for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premium positioning and pricing strategy. The regulatory environment in Germany is also complex, requiring careful navigation for foreign businesses.</w:t>
      </w:r>
    </w:p>
    <w:p w14:paraId="76944DA3"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Culturally, Germany scores low on the Power Distance Index, indicating a preference for decentralization and participative management styles. Germany is also an individualistic society, similar to France, which could be favorable for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personalized approach to customer service. Unlike France, Germany scores high on the Masculinity index, suggesting a society that values competition, achievement, and success (</w:t>
      </w:r>
      <w:proofErr w:type="spellStart"/>
      <w:r w:rsidRPr="0053730E">
        <w:rPr>
          <w:rFonts w:ascii="Times New Roman" w:eastAsiaTheme="minorHAnsi" w:hAnsi="Times New Roman"/>
          <w:kern w:val="0"/>
          <w:szCs w:val="22"/>
          <w:lang w:val="en-US"/>
          <w14:ligatures w14:val="none"/>
        </w:rPr>
        <w:t>Omrane</w:t>
      </w:r>
      <w:proofErr w:type="spellEnd"/>
      <w:r w:rsidRPr="0053730E">
        <w:rPr>
          <w:rFonts w:ascii="Times New Roman" w:eastAsiaTheme="minorHAnsi" w:hAnsi="Times New Roman"/>
          <w:kern w:val="0"/>
          <w:szCs w:val="22"/>
          <w:lang w:val="en-US"/>
          <w14:ligatures w14:val="none"/>
        </w:rPr>
        <w:t xml:space="preserve"> &amp; Khan, 2024).</w:t>
      </w:r>
    </w:p>
    <w:p w14:paraId="327367B1"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The labor outlook shared by both countries is one of challenges and opportunities. France has a varied workforce, with an overall mix of local and immigrant populations, and it has strong </w:t>
      </w:r>
      <w:r w:rsidRPr="0053730E">
        <w:rPr>
          <w:rFonts w:ascii="Times New Roman" w:eastAsiaTheme="minorHAnsi" w:hAnsi="Times New Roman"/>
          <w:kern w:val="0"/>
          <w:szCs w:val="22"/>
          <w:lang w:val="en-US"/>
          <w14:ligatures w14:val="none"/>
        </w:rPr>
        <w:lastRenderedPageBreak/>
        <w:t>labor unions along with strong labor protection laws. Germany's workforce is similarly skilled and varied; it also falls under very powerful labor laws, with a tradition of workers' participation in company decision making through works councils.</w:t>
      </w:r>
    </w:p>
    <w:p w14:paraId="105DC659" w14:textId="77777777" w:rsidR="0053730E" w:rsidRPr="0053730E" w:rsidRDefault="0053730E" w:rsidP="0053730E">
      <w:pPr>
        <w:spacing w:after="0" w:line="480" w:lineRule="auto"/>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t>Communication Barriers for British Business in France and Germany</w:t>
      </w:r>
    </w:p>
    <w:p w14:paraId="788EFE06"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As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contemplates expansion into the European Union, understanding and addressing potential communication barriers in France and Germany is crucial for success. These barriers stem from linguistic differences, cultural nuances, and varying business practices. In France, the most significant communication barrier for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is language differences. While English is increasingly used in international business settings, French remains the dominant language in daily operations and customer interactions. This linguistic divide could lead to misunderstandings in internal communications with French employees and external communications with customers and suppliers (Barrett, 2024).</w:t>
      </w:r>
    </w:p>
    <w:p w14:paraId="20B42724"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Beyond the language, cultural differences in communication style pose another significant challenge in France. French business culture tends to be more formal and hierarchical than the British style. The French often prefer lengthy discussions and may view British communication's direct, time-efficient approach as abrupt or impolite (</w:t>
      </w:r>
      <w:proofErr w:type="spellStart"/>
      <w:r w:rsidRPr="0053730E">
        <w:rPr>
          <w:rFonts w:ascii="Times New Roman" w:eastAsiaTheme="minorHAnsi" w:hAnsi="Times New Roman"/>
          <w:kern w:val="0"/>
          <w:szCs w:val="22"/>
          <w:lang w:val="en-US"/>
          <w14:ligatures w14:val="none"/>
        </w:rPr>
        <w:t>Riess</w:t>
      </w:r>
      <w:proofErr w:type="spellEnd"/>
      <w:r w:rsidRPr="0053730E">
        <w:rPr>
          <w:rFonts w:ascii="Times New Roman" w:eastAsiaTheme="minorHAnsi" w:hAnsi="Times New Roman"/>
          <w:kern w:val="0"/>
          <w:szCs w:val="22"/>
          <w:lang w:val="en-US"/>
          <w14:ligatures w14:val="none"/>
        </w:rPr>
        <w:t>). Non-verbal behavior is also crucial in French business dealings, and differences in this respect may lead to miscommunication as well. For example, the French maintain eye contact more when speaking; this can be a bit pressuring or even threatening for some British people. In French business etiquette, personal relationships and face-to-face meetings are considered very important. The British tendency to rely more on email communication might be perceived as impersonal or ineffective in building trust with French partners and customers.</w:t>
      </w:r>
    </w:p>
    <w:p w14:paraId="3A4E4667"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lastRenderedPageBreak/>
        <w:t>In Germany, where people are generally more fluent in English than in most other countries, language is still a barrier in its complete sense. Rational communication, legal contracts, and customer interactions would most probably demand knowledge of the German language. Another observed conflict between the British and German communication styles is the degree of politeness or, instead, the lack of it (World Business Culture, 2020). The language used by Germans is said to be blunter and to the point than that of the British, who use humor to conceal the truth. Such discrepancies may cause conflicts resulting from the failure of understanding where Germans might feel that the British colleagues are somewhat unclear. On the other hand, the British might think that the Germans are rather rude.</w:t>
      </w:r>
    </w:p>
    <w:p w14:paraId="67EFAB57"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Another aspect in which British and German business cultures go separate ways is formality and the use of titles. For example, German business culture is rigorous regarding formal titles and addressing people accordingly (World Business Culture, 2020). What would seem to be a tendency to be informal, especially in e-mail writing with the British, might be viewed as disrespect or lack of professionalism in a German setting. Furthermore, holding and heading meetings is much different in both cultures. The Germans generally like highly structured meetings with fixed agendas and predetermined outcomes. In a business context, this sort of relaxed behavior of the British during meetings could present an image of a lack of efficiency or focus to a German.</w:t>
      </w:r>
    </w:p>
    <w:p w14:paraId="708D2535" w14:textId="77777777" w:rsidR="0053730E" w:rsidRPr="0053730E" w:rsidRDefault="0053730E" w:rsidP="0053730E">
      <w:pPr>
        <w:spacing w:after="0" w:line="480" w:lineRule="auto"/>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t>Recommendations for Expansion and Overcoming Communication Challenges</w:t>
      </w:r>
    </w:p>
    <w:p w14:paraId="71D96513"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After carefully assessing France and Germany, I recommend it be France where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should spread its wings. Key drivers behind this recommendation include factors that positively translate to the brand, its products, and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expected market success rate. First, the French market's appreciation for high-quality food and beverages resonates very well with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w:t>
      </w:r>
      <w:r w:rsidRPr="0053730E">
        <w:rPr>
          <w:rFonts w:ascii="Times New Roman" w:eastAsiaTheme="minorHAnsi" w:hAnsi="Times New Roman"/>
          <w:kern w:val="0"/>
          <w:szCs w:val="22"/>
          <w:lang w:val="en-US"/>
          <w14:ligatures w14:val="none"/>
        </w:rPr>
        <w:lastRenderedPageBreak/>
        <w:t xml:space="preserve">quality positioning. Moreover, France has a great history of gastronomy and rich culinary traditions, which will easily accommodate the gourmet offerings and ethically sourced products that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deals with. The French are known to have sophisticated tastes and are ready to pay top dollar for them, especially in food and beverage categories, which align with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pricing strategy and product offerings (</w:t>
      </w:r>
      <w:proofErr w:type="spellStart"/>
      <w:r w:rsidRPr="0053730E">
        <w:rPr>
          <w:rFonts w:ascii="Times New Roman" w:eastAsiaTheme="minorHAnsi" w:hAnsi="Times New Roman"/>
          <w:kern w:val="0"/>
          <w:szCs w:val="22"/>
          <w:lang w:val="en-US"/>
          <w14:ligatures w14:val="none"/>
        </w:rPr>
        <w:t>Allain</w:t>
      </w:r>
      <w:proofErr w:type="spellEnd"/>
      <w:r w:rsidRPr="0053730E">
        <w:rPr>
          <w:rFonts w:ascii="Times New Roman" w:eastAsiaTheme="minorHAnsi" w:hAnsi="Times New Roman"/>
          <w:kern w:val="0"/>
          <w:szCs w:val="22"/>
          <w:lang w:val="en-US"/>
          <w14:ligatures w14:val="none"/>
        </w:rPr>
        <w:t xml:space="preserve"> et al., 2024).</w:t>
      </w:r>
    </w:p>
    <w:p w14:paraId="3C078FA6"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To succeed in the French market and achieve a positive growth setting,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has to adopt strategies that will enable it to overcome the communication challenges that characterize cross-cultural expansion. The plan should be aimed at bridging linguistic and cultural gaps between the British and the French styles of doing business while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retains its core brand identity. The critical point of departure will be handling the language barrier.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needs to give full-scale training in French to the relevant British staff involved with the French operations. The company must hire bilingual staff in customer-facing roles and critical management positions. All corporate communications, marketing material, and product labels need to be professionally translated into French and localized to appeal to French cultural norms and expectations of consumers (Barrett, 2024).</w:t>
      </w:r>
    </w:p>
    <w:p w14:paraId="091EB5FD"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Another imperative part of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market entry plan is cross-cultural training. The company should provide full-fledged cross-cultural training programs to enable British and French employees to understand each other's communication styles, business etiquette, and cultural norms. These programs must contain modules on French business culture, negotiation styles, and how relationships are built. One of the main issues for success in the French market concerns adapting communication styles. Training of the British managers to modify their communication style to meet French expectations is required. It involves being formal in the early stages of interaction and prioritizing relationship-building before getting to business.</w:t>
      </w:r>
    </w:p>
    <w:p w14:paraId="7A3866D9"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lastRenderedPageBreak/>
        <w:t xml:space="preserve">Marketing and customer communication strategies must be localized to connect with the French consumer. It is imperative to develop marketing strategies in line with French customers, considering the local taste, cultural nuances, and consumer behaviors of the time. It has to be mentioned here that the customer service protocols must be modified to adjust to France's etiquette and formality expectations. Building resilient partnerships locally will be integral to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overall success in France. It needs to establish partnerships with local suppliers, business associations, and likely French retailers to realize the reason and relevance of the company remaining in the French market with great clarity. Indeed, such partnerships would be a valuable source of knowledge on local business practices, consumer preference trends, and regulatory requirements.</w:t>
      </w:r>
    </w:p>
    <w:p w14:paraId="60CE9F05"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A hybrid management approach will help bridge British and French business cultures.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should have a management team consisting of British and French executives to ensure a balance when it comes to perspective and style of communication. Cross-cultural exchange programs and team-building activities should be a regular feature to build understanding and cooperation between the British and French teams. Understanding that face-to-face interaction is integral to French business culture,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should invest in regular personal contact with French partners, suppliers, and colleagues. This will undoubtedly take more time and financial resources than the reliance on digital communication. Still, it has the upside of building stronger relationships and trust with the French stakeholders.</w:t>
      </w:r>
    </w:p>
    <w:p w14:paraId="71B77D52"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Adapting HR policies will be necessary to allow for French labor law and cultural expectations regarding work-life balance, holidays, and other employee benefits. A comprehensive induction program focusing on British expatriates' cultural differences and </w:t>
      </w:r>
      <w:r w:rsidRPr="0053730E">
        <w:rPr>
          <w:rFonts w:ascii="Times New Roman" w:eastAsiaTheme="minorHAnsi" w:hAnsi="Times New Roman"/>
          <w:kern w:val="0"/>
          <w:szCs w:val="22"/>
          <w:lang w:val="en-US"/>
          <w14:ligatures w14:val="none"/>
        </w:rPr>
        <w:lastRenderedPageBreak/>
        <w:t xml:space="preserve">communication styles and local French recruitment will be paramount in seamlessly integrating new staff members into the organization. </w:t>
      </w:r>
    </w:p>
    <w:p w14:paraId="274FB252"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Clear communication protocols should be established to help in the day-to-day running. This is where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should establish clearly defined procedures for internal and external communications, including directions on the use of e-mail, structures for meetings, and reporting arrangements that reflect British and French preferences. Finally,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should establish regular feedback to know and fix any issues that will develop with the communication. The company must be prepared to revise its strategies, considering real-life experience and feedback from British and French team members.</w:t>
      </w:r>
    </w:p>
    <w:p w14:paraId="3778AD1C" w14:textId="77777777" w:rsidR="0053730E" w:rsidRPr="0053730E" w:rsidRDefault="0053730E" w:rsidP="0053730E">
      <w:pPr>
        <w:spacing w:after="0" w:line="480" w:lineRule="auto"/>
        <w:jc w:val="center"/>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t>Conclusion</w:t>
      </w:r>
    </w:p>
    <w:p w14:paraId="2B95E34A"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potential expansion into France represents a significant growth and international diversification opportunity. The French market's appreciation for quality, culinary traditions, and conscious consumerism aligns well with </w:t>
      </w:r>
      <w:proofErr w:type="spellStart"/>
      <w:r w:rsidRPr="0053730E">
        <w:rPr>
          <w:rFonts w:ascii="Times New Roman" w:eastAsiaTheme="minorHAnsi" w:hAnsi="Times New Roman"/>
          <w:kern w:val="0"/>
          <w:szCs w:val="22"/>
          <w:lang w:val="en-US"/>
          <w14:ligatures w14:val="none"/>
        </w:rPr>
        <w:t>Waitrose's</w:t>
      </w:r>
      <w:proofErr w:type="spellEnd"/>
      <w:r w:rsidRPr="0053730E">
        <w:rPr>
          <w:rFonts w:ascii="Times New Roman" w:eastAsiaTheme="minorHAnsi" w:hAnsi="Times New Roman"/>
          <w:kern w:val="0"/>
          <w:szCs w:val="22"/>
          <w:lang w:val="en-US"/>
          <w14:ligatures w14:val="none"/>
        </w:rPr>
        <w:t xml:space="preserve"> brand values and product offerings, providing a solid foundation for the company to establish itself as a premium retailer in the French grocery sector.</w:t>
      </w:r>
    </w:p>
    <w:p w14:paraId="303D58BD"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The business venture must be careful about the cultural differences between British and French business practices to succeed. If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is to bridge such gaps, proper investment should target language training, cross-cultural education, and adaptive communication strategies. This will further increase its credibility with French stakeholders by forming local partnerships, a hybrid management approach, and localization of marketing and customer service strategies. While challenges will exist among them, the rivalry from established local players and adaptation to French regulatory requirements, the potential benefits outweigh the risks. With </w:t>
      </w:r>
      <w:r w:rsidRPr="0053730E">
        <w:rPr>
          <w:rFonts w:ascii="Times New Roman" w:eastAsiaTheme="minorHAnsi" w:hAnsi="Times New Roman"/>
          <w:kern w:val="0"/>
          <w:szCs w:val="22"/>
          <w:lang w:val="en-US"/>
          <w14:ligatures w14:val="none"/>
        </w:rPr>
        <w:lastRenderedPageBreak/>
        <w:t xml:space="preserve">solid values of quality, sustainability, and flexibility in responding to local market conditions,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places itself in a good position for success.</w:t>
      </w:r>
    </w:p>
    <w:p w14:paraId="3C820FBF"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As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expands, it should be open to learning from its experiences and flexible enough to evaluate and adjust the chosen strategies regularly. By opening a culture of mutual understanding and respect between its British heritage and French operations,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will be well on its way to creating a truly global brand with relevance across cultural boundaries. In conclusion, if all the recommended strategies are carefully implemented, it can be said with a commitment to continuous adaptation, </w:t>
      </w:r>
      <w:proofErr w:type="spellStart"/>
      <w:r w:rsidRPr="0053730E">
        <w:rPr>
          <w:rFonts w:ascii="Times New Roman" w:eastAsiaTheme="minorHAnsi" w:hAnsi="Times New Roman"/>
          <w:kern w:val="0"/>
          <w:szCs w:val="22"/>
          <w:lang w:val="en-US"/>
          <w14:ligatures w14:val="none"/>
        </w:rPr>
        <w:t>Waitrose</w:t>
      </w:r>
      <w:proofErr w:type="spellEnd"/>
      <w:r w:rsidRPr="0053730E">
        <w:rPr>
          <w:rFonts w:ascii="Times New Roman" w:eastAsiaTheme="minorHAnsi" w:hAnsi="Times New Roman"/>
          <w:kern w:val="0"/>
          <w:szCs w:val="22"/>
          <w:lang w:val="en-US"/>
          <w14:ligatures w14:val="none"/>
        </w:rPr>
        <w:t xml:space="preserve"> is well placed to build a successful presence in France, setting the company in an extreme position to expand its presence within the European Union further.</w:t>
      </w:r>
    </w:p>
    <w:p w14:paraId="64A2D7FE"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564521A9"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352929EF"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073A91FD"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6CFF5A6B"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1B3CADF7" w14:textId="77777777" w:rsidR="0053730E" w:rsidRPr="0053730E" w:rsidRDefault="0053730E" w:rsidP="0053730E">
      <w:pPr>
        <w:spacing w:after="0" w:line="480" w:lineRule="auto"/>
        <w:ind w:firstLine="720"/>
        <w:rPr>
          <w:rFonts w:ascii="Times New Roman" w:eastAsiaTheme="minorHAnsi" w:hAnsi="Times New Roman"/>
          <w:kern w:val="0"/>
          <w:szCs w:val="22"/>
          <w:lang w:val="en-US"/>
          <w14:ligatures w14:val="none"/>
        </w:rPr>
      </w:pPr>
    </w:p>
    <w:p w14:paraId="01EA9036" w14:textId="77777777" w:rsidR="0053730E" w:rsidRPr="0053730E" w:rsidRDefault="0053730E" w:rsidP="0053730E">
      <w:pPr>
        <w:spacing w:after="0" w:line="480" w:lineRule="auto"/>
        <w:rPr>
          <w:rFonts w:ascii="Times New Roman" w:eastAsiaTheme="minorHAnsi" w:hAnsi="Times New Roman"/>
          <w:kern w:val="0"/>
          <w:szCs w:val="22"/>
          <w:lang w:val="en-US"/>
          <w14:ligatures w14:val="none"/>
        </w:rPr>
      </w:pPr>
    </w:p>
    <w:p w14:paraId="1EAB12EE" w14:textId="77777777" w:rsidR="0053730E" w:rsidRPr="0053730E" w:rsidRDefault="0053730E" w:rsidP="0053730E">
      <w:pPr>
        <w:spacing w:after="0" w:line="480" w:lineRule="auto"/>
        <w:rPr>
          <w:rFonts w:ascii="Times New Roman" w:eastAsiaTheme="minorHAnsi" w:hAnsi="Times New Roman"/>
          <w:kern w:val="0"/>
          <w:szCs w:val="22"/>
          <w:lang w:val="en-US"/>
          <w14:ligatures w14:val="none"/>
        </w:rPr>
      </w:pPr>
    </w:p>
    <w:p w14:paraId="2401E77E" w14:textId="77777777" w:rsidR="0053730E" w:rsidRPr="0053730E" w:rsidRDefault="0053730E" w:rsidP="0053730E">
      <w:pPr>
        <w:spacing w:after="0" w:line="480" w:lineRule="auto"/>
        <w:rPr>
          <w:rFonts w:ascii="Times New Roman" w:eastAsiaTheme="minorHAnsi" w:hAnsi="Times New Roman"/>
          <w:kern w:val="0"/>
          <w:szCs w:val="22"/>
          <w:lang w:val="en-US"/>
          <w14:ligatures w14:val="none"/>
        </w:rPr>
      </w:pPr>
    </w:p>
    <w:p w14:paraId="781A8BA3" w14:textId="77777777" w:rsidR="0053730E" w:rsidRPr="0053730E" w:rsidRDefault="0053730E" w:rsidP="0053730E">
      <w:pPr>
        <w:spacing w:after="0" w:line="480" w:lineRule="auto"/>
        <w:rPr>
          <w:rFonts w:ascii="Times New Roman" w:eastAsiaTheme="minorHAnsi" w:hAnsi="Times New Roman"/>
          <w:kern w:val="0"/>
          <w:szCs w:val="22"/>
          <w:lang w:val="en-US"/>
          <w14:ligatures w14:val="none"/>
        </w:rPr>
      </w:pPr>
    </w:p>
    <w:p w14:paraId="45BE6FE5" w14:textId="77777777" w:rsidR="0053730E" w:rsidRDefault="0053730E" w:rsidP="0053730E">
      <w:pPr>
        <w:spacing w:after="0" w:line="480" w:lineRule="auto"/>
        <w:rPr>
          <w:rFonts w:ascii="Times New Roman" w:eastAsiaTheme="minorHAnsi" w:hAnsi="Times New Roman"/>
          <w:kern w:val="0"/>
          <w:szCs w:val="22"/>
          <w:lang w:val="en-US"/>
          <w14:ligatures w14:val="none"/>
        </w:rPr>
      </w:pPr>
    </w:p>
    <w:p w14:paraId="4B644315" w14:textId="77777777" w:rsidR="00F568C6" w:rsidRPr="00F568C6" w:rsidRDefault="00F568C6" w:rsidP="0053730E">
      <w:pPr>
        <w:spacing w:after="0" w:line="480" w:lineRule="auto"/>
        <w:rPr>
          <w:rFonts w:ascii="Times New Roman" w:eastAsiaTheme="minorHAnsi" w:hAnsi="Times New Roman"/>
          <w:kern w:val="0"/>
          <w:szCs w:val="22"/>
          <w14:ligatures w14:val="none"/>
        </w:rPr>
      </w:pPr>
    </w:p>
    <w:p w14:paraId="293E313B" w14:textId="77777777" w:rsidR="0053730E" w:rsidRPr="0053730E" w:rsidRDefault="0053730E" w:rsidP="0053730E">
      <w:pPr>
        <w:spacing w:after="0" w:line="480" w:lineRule="auto"/>
        <w:rPr>
          <w:rFonts w:ascii="Times New Roman" w:eastAsiaTheme="minorHAnsi" w:hAnsi="Times New Roman"/>
          <w:kern w:val="0"/>
          <w:szCs w:val="22"/>
          <w:lang w:val="bg-BG"/>
          <w14:ligatures w14:val="none"/>
        </w:rPr>
      </w:pPr>
    </w:p>
    <w:p w14:paraId="6F10A308" w14:textId="77777777" w:rsidR="0053730E" w:rsidRPr="0053730E" w:rsidRDefault="0053730E" w:rsidP="0053730E">
      <w:pPr>
        <w:spacing w:after="0" w:line="480" w:lineRule="auto"/>
        <w:ind w:firstLine="720"/>
        <w:jc w:val="center"/>
        <w:rPr>
          <w:rFonts w:ascii="Times New Roman" w:eastAsiaTheme="minorHAnsi" w:hAnsi="Times New Roman"/>
          <w:b/>
          <w:kern w:val="0"/>
          <w:szCs w:val="22"/>
          <w:lang w:val="en-US"/>
          <w14:ligatures w14:val="none"/>
        </w:rPr>
      </w:pPr>
      <w:r w:rsidRPr="0053730E">
        <w:rPr>
          <w:rFonts w:ascii="Times New Roman" w:eastAsiaTheme="minorHAnsi" w:hAnsi="Times New Roman"/>
          <w:b/>
          <w:kern w:val="0"/>
          <w:szCs w:val="22"/>
          <w:lang w:val="en-US"/>
          <w14:ligatures w14:val="none"/>
        </w:rPr>
        <w:lastRenderedPageBreak/>
        <w:t>References</w:t>
      </w:r>
    </w:p>
    <w:p w14:paraId="6C4B6A08"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proofErr w:type="spellStart"/>
      <w:r w:rsidRPr="0053730E">
        <w:rPr>
          <w:rFonts w:ascii="Times New Roman" w:eastAsiaTheme="minorHAnsi" w:hAnsi="Times New Roman"/>
          <w:kern w:val="0"/>
          <w:szCs w:val="22"/>
          <w:lang w:val="en-US"/>
          <w14:ligatures w14:val="none"/>
        </w:rPr>
        <w:t>Allain</w:t>
      </w:r>
      <w:proofErr w:type="spellEnd"/>
      <w:r w:rsidRPr="0053730E">
        <w:rPr>
          <w:rFonts w:ascii="Times New Roman" w:eastAsiaTheme="minorHAnsi" w:hAnsi="Times New Roman"/>
          <w:kern w:val="0"/>
          <w:szCs w:val="22"/>
          <w:lang w:val="en-US"/>
          <w14:ligatures w14:val="none"/>
        </w:rPr>
        <w:t xml:space="preserve">, S., </w:t>
      </w:r>
      <w:proofErr w:type="spellStart"/>
      <w:r w:rsidRPr="0053730E">
        <w:rPr>
          <w:rFonts w:ascii="Times New Roman" w:eastAsiaTheme="minorHAnsi" w:hAnsi="Times New Roman"/>
          <w:kern w:val="0"/>
          <w:szCs w:val="22"/>
          <w:lang w:val="en-US"/>
          <w14:ligatures w14:val="none"/>
        </w:rPr>
        <w:t>Naouri</w:t>
      </w:r>
      <w:proofErr w:type="spellEnd"/>
      <w:r w:rsidRPr="0053730E">
        <w:rPr>
          <w:rFonts w:ascii="Times New Roman" w:eastAsiaTheme="minorHAnsi" w:hAnsi="Times New Roman"/>
          <w:kern w:val="0"/>
          <w:szCs w:val="22"/>
          <w:lang w:val="en-US"/>
          <w14:ligatures w14:val="none"/>
        </w:rPr>
        <w:t xml:space="preserve">, D., </w:t>
      </w:r>
      <w:proofErr w:type="spellStart"/>
      <w:r w:rsidRPr="0053730E">
        <w:rPr>
          <w:rFonts w:ascii="Times New Roman" w:eastAsiaTheme="minorHAnsi" w:hAnsi="Times New Roman"/>
          <w:kern w:val="0"/>
          <w:szCs w:val="22"/>
          <w:lang w:val="en-US"/>
          <w14:ligatures w14:val="none"/>
        </w:rPr>
        <w:t>Deroyon</w:t>
      </w:r>
      <w:proofErr w:type="spellEnd"/>
      <w:r w:rsidRPr="0053730E">
        <w:rPr>
          <w:rFonts w:ascii="Times New Roman" w:eastAsiaTheme="minorHAnsi" w:hAnsi="Times New Roman"/>
          <w:kern w:val="0"/>
          <w:szCs w:val="22"/>
          <w:lang w:val="en-US"/>
          <w14:ligatures w14:val="none"/>
        </w:rPr>
        <w:t xml:space="preserve">, T., </w:t>
      </w:r>
      <w:proofErr w:type="spellStart"/>
      <w:r w:rsidRPr="0053730E">
        <w:rPr>
          <w:rFonts w:ascii="Times New Roman" w:eastAsiaTheme="minorHAnsi" w:hAnsi="Times New Roman"/>
          <w:kern w:val="0"/>
          <w:szCs w:val="22"/>
          <w:lang w:val="en-US"/>
          <w14:ligatures w14:val="none"/>
        </w:rPr>
        <w:t>Costemalle</w:t>
      </w:r>
      <w:proofErr w:type="spellEnd"/>
      <w:r w:rsidRPr="0053730E">
        <w:rPr>
          <w:rFonts w:ascii="Times New Roman" w:eastAsiaTheme="minorHAnsi" w:hAnsi="Times New Roman"/>
          <w:kern w:val="0"/>
          <w:szCs w:val="22"/>
          <w:lang w:val="en-US"/>
          <w14:ligatures w14:val="none"/>
        </w:rPr>
        <w:t xml:space="preserve">, V. and </w:t>
      </w:r>
      <w:proofErr w:type="spellStart"/>
      <w:r w:rsidRPr="0053730E">
        <w:rPr>
          <w:rFonts w:ascii="Times New Roman" w:eastAsiaTheme="minorHAnsi" w:hAnsi="Times New Roman"/>
          <w:kern w:val="0"/>
          <w:szCs w:val="22"/>
          <w:lang w:val="en-US"/>
          <w14:ligatures w14:val="none"/>
        </w:rPr>
        <w:t>Hazo</w:t>
      </w:r>
      <w:proofErr w:type="spellEnd"/>
      <w:r w:rsidRPr="0053730E">
        <w:rPr>
          <w:rFonts w:ascii="Times New Roman" w:eastAsiaTheme="minorHAnsi" w:hAnsi="Times New Roman"/>
          <w:kern w:val="0"/>
          <w:szCs w:val="22"/>
          <w:lang w:val="en-US"/>
          <w14:ligatures w14:val="none"/>
        </w:rPr>
        <w:t>, J.B., 2024. Income and professional inequalities in chronic diseases: prevalence and incidence in France. </w:t>
      </w:r>
      <w:r w:rsidRPr="0053730E">
        <w:rPr>
          <w:rFonts w:ascii="Times New Roman" w:eastAsiaTheme="minorHAnsi" w:hAnsi="Times New Roman"/>
          <w:i/>
          <w:iCs/>
          <w:kern w:val="0"/>
          <w:szCs w:val="22"/>
          <w:lang w:val="en-US"/>
          <w14:ligatures w14:val="none"/>
        </w:rPr>
        <w:t>Public Health</w:t>
      </w:r>
      <w:r w:rsidRPr="0053730E">
        <w:rPr>
          <w:rFonts w:ascii="Times New Roman" w:eastAsiaTheme="minorHAnsi" w:hAnsi="Times New Roman"/>
          <w:kern w:val="0"/>
          <w:szCs w:val="22"/>
          <w:lang w:val="en-US"/>
          <w14:ligatures w14:val="none"/>
        </w:rPr>
        <w:t>, </w:t>
      </w:r>
      <w:r w:rsidRPr="0053730E">
        <w:rPr>
          <w:rFonts w:ascii="Times New Roman" w:eastAsiaTheme="minorHAnsi" w:hAnsi="Times New Roman"/>
          <w:i/>
          <w:iCs/>
          <w:kern w:val="0"/>
          <w:szCs w:val="22"/>
          <w:lang w:val="en-US"/>
          <w14:ligatures w14:val="none"/>
        </w:rPr>
        <w:t>228</w:t>
      </w:r>
      <w:r w:rsidRPr="0053730E">
        <w:rPr>
          <w:rFonts w:ascii="Times New Roman" w:eastAsiaTheme="minorHAnsi" w:hAnsi="Times New Roman"/>
          <w:kern w:val="0"/>
          <w:szCs w:val="22"/>
          <w:lang w:val="en-US"/>
          <w14:ligatures w14:val="none"/>
        </w:rPr>
        <w:t>, pp.55-64.</w:t>
      </w:r>
    </w:p>
    <w:p w14:paraId="242FA5FA"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Barrett, E., 2024. </w:t>
      </w:r>
      <w:r w:rsidRPr="0053730E">
        <w:rPr>
          <w:rFonts w:ascii="Times New Roman" w:eastAsiaTheme="minorHAnsi" w:hAnsi="Times New Roman"/>
          <w:i/>
          <w:iCs/>
          <w:kern w:val="0"/>
          <w:szCs w:val="22"/>
          <w:lang w:val="en-US"/>
          <w14:ligatures w14:val="none"/>
        </w:rPr>
        <w:t xml:space="preserve">‘Survival </w:t>
      </w:r>
      <w:proofErr w:type="spellStart"/>
      <w:r w:rsidRPr="0053730E">
        <w:rPr>
          <w:rFonts w:ascii="Times New Roman" w:eastAsiaTheme="minorHAnsi" w:hAnsi="Times New Roman"/>
          <w:i/>
          <w:iCs/>
          <w:kern w:val="0"/>
          <w:szCs w:val="22"/>
          <w:lang w:val="en-US"/>
          <w14:ligatures w14:val="none"/>
        </w:rPr>
        <w:t>capitalism’and</w:t>
      </w:r>
      <w:proofErr w:type="spellEnd"/>
      <w:r w:rsidRPr="0053730E">
        <w:rPr>
          <w:rFonts w:ascii="Times New Roman" w:eastAsiaTheme="minorHAnsi" w:hAnsi="Times New Roman"/>
          <w:i/>
          <w:iCs/>
          <w:kern w:val="0"/>
          <w:szCs w:val="22"/>
          <w:lang w:val="en-US"/>
          <w14:ligatures w14:val="none"/>
        </w:rPr>
        <w:t xml:space="preserve"> the Big Bang: Culture, contingency and capital in the making of the 1980s financial revolution</w:t>
      </w:r>
      <w:r w:rsidRPr="0053730E">
        <w:rPr>
          <w:rFonts w:ascii="Times New Roman" w:eastAsiaTheme="minorHAnsi" w:hAnsi="Times New Roman"/>
          <w:kern w:val="0"/>
          <w:szCs w:val="22"/>
          <w:lang w:val="en-US"/>
          <w14:ligatures w14:val="none"/>
        </w:rPr>
        <w:t> (Vol. 17). Manchester University Press.</w:t>
      </w:r>
    </w:p>
    <w:p w14:paraId="52FF1F0B"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 xml:space="preserve">Business Culture, (2019, October 23). </w:t>
      </w:r>
      <w:r w:rsidRPr="0053730E">
        <w:rPr>
          <w:rFonts w:ascii="Times New Roman" w:eastAsiaTheme="minorHAnsi" w:hAnsi="Times New Roman"/>
          <w:i/>
          <w:iCs/>
          <w:kern w:val="0"/>
          <w:szCs w:val="22"/>
          <w:lang w:val="en-US"/>
          <w14:ligatures w14:val="none"/>
        </w:rPr>
        <w:t xml:space="preserve"> Business communication</w:t>
      </w:r>
      <w:r w:rsidRPr="0053730E">
        <w:rPr>
          <w:rFonts w:ascii="Times New Roman" w:eastAsiaTheme="minorHAnsi" w:hAnsi="Times New Roman"/>
          <w:kern w:val="0"/>
          <w:szCs w:val="22"/>
          <w:lang w:val="en-US"/>
          <w14:ligatures w14:val="none"/>
        </w:rPr>
        <w:t>. </w:t>
      </w:r>
      <w:hyperlink r:id="rId5" w:history="1">
        <w:r w:rsidRPr="0053730E">
          <w:rPr>
            <w:rFonts w:ascii="Times New Roman" w:eastAsiaTheme="minorHAnsi" w:hAnsi="Times New Roman"/>
            <w:color w:val="467886" w:themeColor="hyperlink"/>
            <w:kern w:val="0"/>
            <w:szCs w:val="22"/>
            <w:u w:val="single"/>
            <w:lang w:val="en-US"/>
            <w14:ligatures w14:val="none"/>
          </w:rPr>
          <w:t>https://businessculture.org/northern-europe/united-kingdom-business-culture/business-communication/</w:t>
        </w:r>
      </w:hyperlink>
    </w:p>
    <w:p w14:paraId="2056BDD1"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International Trade Administration | Trade.gov. (n.d.). </w:t>
      </w:r>
      <w:r w:rsidRPr="0053730E">
        <w:rPr>
          <w:rFonts w:ascii="Times New Roman" w:eastAsiaTheme="minorHAnsi" w:hAnsi="Times New Roman"/>
          <w:i/>
          <w:iCs/>
          <w:kern w:val="0"/>
          <w:szCs w:val="22"/>
          <w:lang w:val="en-US"/>
          <w14:ligatures w14:val="none"/>
        </w:rPr>
        <w:t>France - Market overview</w:t>
      </w:r>
      <w:r w:rsidRPr="0053730E">
        <w:rPr>
          <w:rFonts w:ascii="Times New Roman" w:eastAsiaTheme="minorHAnsi" w:hAnsi="Times New Roman"/>
          <w:kern w:val="0"/>
          <w:szCs w:val="22"/>
          <w:lang w:val="en-US"/>
          <w14:ligatures w14:val="none"/>
        </w:rPr>
        <w:t xml:space="preserve">. </w:t>
      </w:r>
      <w:hyperlink r:id="rId6" w:history="1">
        <w:r w:rsidRPr="0053730E">
          <w:rPr>
            <w:rFonts w:ascii="Times New Roman" w:eastAsiaTheme="minorHAnsi" w:hAnsi="Times New Roman"/>
            <w:color w:val="467886" w:themeColor="hyperlink"/>
            <w:kern w:val="0"/>
            <w:szCs w:val="22"/>
            <w:u w:val="single"/>
            <w:lang w:val="en-US"/>
            <w14:ligatures w14:val="none"/>
          </w:rPr>
          <w:t>https://www.trade.gov/country-commercial-guides/france-market-overview</w:t>
        </w:r>
      </w:hyperlink>
    </w:p>
    <w:p w14:paraId="3ABCC614"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Kwon, H.K., 2024. </w:t>
      </w:r>
      <w:r w:rsidRPr="0053730E">
        <w:rPr>
          <w:rFonts w:ascii="Times New Roman" w:eastAsiaTheme="minorHAnsi" w:hAnsi="Times New Roman"/>
          <w:i/>
          <w:iCs/>
          <w:kern w:val="0"/>
          <w:szCs w:val="22"/>
          <w:lang w:val="en-US"/>
          <w14:ligatures w14:val="none"/>
        </w:rPr>
        <w:t>Openness and Coordination: National Economies of the US, Japan, and Germany in a Globalized World</w:t>
      </w:r>
      <w:r w:rsidRPr="0053730E">
        <w:rPr>
          <w:rFonts w:ascii="Times New Roman" w:eastAsiaTheme="minorHAnsi" w:hAnsi="Times New Roman"/>
          <w:kern w:val="0"/>
          <w:szCs w:val="22"/>
          <w:lang w:val="en-US"/>
          <w14:ligatures w14:val="none"/>
        </w:rPr>
        <w:t>. Springer Nature.</w:t>
      </w:r>
    </w:p>
    <w:p w14:paraId="7707CE38"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proofErr w:type="spellStart"/>
      <w:r w:rsidRPr="0053730E">
        <w:rPr>
          <w:rFonts w:ascii="Times New Roman" w:eastAsiaTheme="minorHAnsi" w:hAnsi="Times New Roman"/>
          <w:kern w:val="0"/>
          <w:szCs w:val="22"/>
          <w:lang w:val="en-US"/>
          <w14:ligatures w14:val="none"/>
        </w:rPr>
        <w:t>Omrane</w:t>
      </w:r>
      <w:proofErr w:type="spellEnd"/>
      <w:r w:rsidRPr="0053730E">
        <w:rPr>
          <w:rFonts w:ascii="Times New Roman" w:eastAsiaTheme="minorHAnsi" w:hAnsi="Times New Roman"/>
          <w:kern w:val="0"/>
          <w:szCs w:val="22"/>
          <w:lang w:val="en-US"/>
          <w14:ligatures w14:val="none"/>
        </w:rPr>
        <w:t xml:space="preserve">, A. and Khan, M.A., 2024. A comparative analysis of six national cultures under the umbrella of the </w:t>
      </w:r>
      <w:proofErr w:type="spellStart"/>
      <w:r w:rsidRPr="0053730E">
        <w:rPr>
          <w:rFonts w:ascii="Times New Roman" w:eastAsiaTheme="minorHAnsi" w:hAnsi="Times New Roman"/>
          <w:kern w:val="0"/>
          <w:szCs w:val="22"/>
          <w:lang w:val="en-US"/>
          <w14:ligatures w14:val="none"/>
        </w:rPr>
        <w:t>Hofstede’s</w:t>
      </w:r>
      <w:proofErr w:type="spellEnd"/>
      <w:r w:rsidRPr="0053730E">
        <w:rPr>
          <w:rFonts w:ascii="Times New Roman" w:eastAsiaTheme="minorHAnsi" w:hAnsi="Times New Roman"/>
          <w:kern w:val="0"/>
          <w:szCs w:val="22"/>
          <w:lang w:val="en-US"/>
          <w14:ligatures w14:val="none"/>
        </w:rPr>
        <w:t xml:space="preserve"> model. </w:t>
      </w:r>
      <w:r w:rsidRPr="0053730E">
        <w:rPr>
          <w:rFonts w:ascii="Times New Roman" w:eastAsiaTheme="minorHAnsi" w:hAnsi="Times New Roman"/>
          <w:i/>
          <w:iCs/>
          <w:kern w:val="0"/>
          <w:szCs w:val="22"/>
          <w:lang w:val="en-US"/>
          <w14:ligatures w14:val="none"/>
        </w:rPr>
        <w:t>Environment and Social Psychology</w:t>
      </w:r>
      <w:r w:rsidRPr="0053730E">
        <w:rPr>
          <w:rFonts w:ascii="Times New Roman" w:eastAsiaTheme="minorHAnsi" w:hAnsi="Times New Roman"/>
          <w:kern w:val="0"/>
          <w:szCs w:val="22"/>
          <w:lang w:val="en-US"/>
          <w14:ligatures w14:val="none"/>
        </w:rPr>
        <w:t>, </w:t>
      </w:r>
      <w:r w:rsidRPr="0053730E">
        <w:rPr>
          <w:rFonts w:ascii="Times New Roman" w:eastAsiaTheme="minorHAnsi" w:hAnsi="Times New Roman"/>
          <w:i/>
          <w:iCs/>
          <w:kern w:val="0"/>
          <w:szCs w:val="22"/>
          <w:lang w:val="en-US"/>
          <w14:ligatures w14:val="none"/>
        </w:rPr>
        <w:t>9</w:t>
      </w:r>
      <w:r w:rsidRPr="0053730E">
        <w:rPr>
          <w:rFonts w:ascii="Times New Roman" w:eastAsiaTheme="minorHAnsi" w:hAnsi="Times New Roman"/>
          <w:kern w:val="0"/>
          <w:szCs w:val="22"/>
          <w:lang w:val="en-US"/>
          <w14:ligatures w14:val="none"/>
        </w:rPr>
        <w:t>(3).</w:t>
      </w:r>
    </w:p>
    <w:p w14:paraId="017F3C33"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proofErr w:type="spellStart"/>
      <w:r w:rsidRPr="0053730E">
        <w:rPr>
          <w:rFonts w:ascii="Times New Roman" w:eastAsiaTheme="minorHAnsi" w:hAnsi="Times New Roman"/>
          <w:kern w:val="0"/>
          <w:szCs w:val="22"/>
          <w:lang w:val="en-US"/>
          <w14:ligatures w14:val="none"/>
        </w:rPr>
        <w:t>Riess</w:t>
      </w:r>
      <w:proofErr w:type="spellEnd"/>
      <w:r w:rsidRPr="0053730E">
        <w:rPr>
          <w:rFonts w:ascii="Times New Roman" w:eastAsiaTheme="minorHAnsi" w:hAnsi="Times New Roman"/>
          <w:kern w:val="0"/>
          <w:szCs w:val="22"/>
          <w:lang w:val="en-US"/>
          <w14:ligatures w14:val="none"/>
        </w:rPr>
        <w:t>, V., French managerial practices and its cultural roots.</w:t>
      </w:r>
    </w:p>
    <w:p w14:paraId="09351BC4"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r w:rsidRPr="0053730E">
        <w:rPr>
          <w:rFonts w:ascii="Times New Roman" w:eastAsiaTheme="minorHAnsi" w:hAnsi="Times New Roman"/>
          <w:kern w:val="0"/>
          <w:szCs w:val="22"/>
          <w:lang w:val="en-US"/>
          <w14:ligatures w14:val="none"/>
        </w:rPr>
        <w:t>Ross, E., 2024. Food and Communicating Sustainability: How Climate Action Can Be Understood in the Home. In </w:t>
      </w:r>
      <w:r w:rsidRPr="0053730E">
        <w:rPr>
          <w:rFonts w:ascii="Times New Roman" w:eastAsiaTheme="minorHAnsi" w:hAnsi="Times New Roman"/>
          <w:i/>
          <w:iCs/>
          <w:kern w:val="0"/>
          <w:szCs w:val="22"/>
          <w:lang w:val="en-US"/>
          <w14:ligatures w14:val="none"/>
        </w:rPr>
        <w:t>Communicating Climate</w:t>
      </w:r>
      <w:r w:rsidRPr="0053730E">
        <w:rPr>
          <w:rFonts w:ascii="Times New Roman" w:eastAsiaTheme="minorHAnsi" w:hAnsi="Times New Roman"/>
          <w:kern w:val="0"/>
          <w:szCs w:val="22"/>
          <w:lang w:val="en-US"/>
          <w14:ligatures w14:val="none"/>
        </w:rPr>
        <w:t> (pp. 145-157). Emerald Group Publishing Limited.</w:t>
      </w:r>
    </w:p>
    <w:p w14:paraId="5576DA43" w14:textId="77777777" w:rsidR="0053730E" w:rsidRPr="0053730E" w:rsidRDefault="0053730E" w:rsidP="0053730E">
      <w:pPr>
        <w:spacing w:after="0" w:line="480" w:lineRule="auto"/>
        <w:ind w:left="720" w:hanging="720"/>
        <w:rPr>
          <w:rFonts w:ascii="Times New Roman" w:eastAsiaTheme="minorHAnsi" w:hAnsi="Times New Roman"/>
          <w:kern w:val="0"/>
          <w:szCs w:val="22"/>
          <w:lang w:val="en-US"/>
          <w14:ligatures w14:val="none"/>
        </w:rPr>
      </w:pPr>
      <w:proofErr w:type="spellStart"/>
      <w:r w:rsidRPr="0053730E">
        <w:rPr>
          <w:rFonts w:ascii="Times New Roman" w:eastAsiaTheme="minorHAnsi" w:hAnsi="Times New Roman"/>
          <w:kern w:val="0"/>
          <w:szCs w:val="22"/>
          <w:lang w:val="en-US"/>
          <w14:ligatures w14:val="none"/>
        </w:rPr>
        <w:t>Storrie</w:t>
      </w:r>
      <w:proofErr w:type="spellEnd"/>
      <w:r w:rsidRPr="0053730E">
        <w:rPr>
          <w:rFonts w:ascii="Times New Roman" w:eastAsiaTheme="minorHAnsi" w:hAnsi="Times New Roman"/>
          <w:kern w:val="0"/>
          <w:szCs w:val="22"/>
          <w:lang w:val="en-US"/>
          <w14:ligatures w14:val="none"/>
        </w:rPr>
        <w:t>, J., 2024. Partnership renewal: The work of the internal change agent. In </w:t>
      </w:r>
      <w:r w:rsidRPr="0053730E">
        <w:rPr>
          <w:rFonts w:ascii="Times New Roman" w:eastAsiaTheme="minorHAnsi" w:hAnsi="Times New Roman"/>
          <w:i/>
          <w:iCs/>
          <w:kern w:val="0"/>
          <w:szCs w:val="22"/>
          <w:lang w:val="en-US"/>
          <w14:ligatures w14:val="none"/>
        </w:rPr>
        <w:t>Agency, Change and Learning</w:t>
      </w:r>
      <w:r w:rsidRPr="0053730E">
        <w:rPr>
          <w:rFonts w:ascii="Times New Roman" w:eastAsiaTheme="minorHAnsi" w:hAnsi="Times New Roman"/>
          <w:kern w:val="0"/>
          <w:szCs w:val="22"/>
          <w:lang w:val="en-US"/>
          <w14:ligatures w14:val="none"/>
        </w:rPr>
        <w:t xml:space="preserve"> (pp. 167-174). </w:t>
      </w:r>
      <w:proofErr w:type="spellStart"/>
      <w:r w:rsidRPr="0053730E">
        <w:rPr>
          <w:rFonts w:ascii="Times New Roman" w:eastAsiaTheme="minorHAnsi" w:hAnsi="Times New Roman"/>
          <w:kern w:val="0"/>
          <w:szCs w:val="22"/>
          <w:lang w:val="en-US"/>
          <w14:ligatures w14:val="none"/>
        </w:rPr>
        <w:t>Routledge</w:t>
      </w:r>
      <w:proofErr w:type="spellEnd"/>
      <w:r w:rsidRPr="0053730E">
        <w:rPr>
          <w:rFonts w:ascii="Times New Roman" w:eastAsiaTheme="minorHAnsi" w:hAnsi="Times New Roman"/>
          <w:kern w:val="0"/>
          <w:szCs w:val="22"/>
          <w:lang w:val="en-US"/>
          <w14:ligatures w14:val="none"/>
        </w:rPr>
        <w:t>.</w:t>
      </w:r>
    </w:p>
    <w:p w14:paraId="38195685" w14:textId="64D5DE79" w:rsidR="0053730E" w:rsidRPr="0053730E" w:rsidRDefault="0053730E" w:rsidP="0053730E">
      <w:pPr>
        <w:spacing w:after="0" w:line="480" w:lineRule="auto"/>
        <w:ind w:left="720" w:hanging="720"/>
        <w:rPr>
          <w:rFonts w:ascii="Times New Roman" w:eastAsiaTheme="minorHAnsi" w:hAnsi="Times New Roman"/>
          <w:kern w:val="0"/>
          <w:szCs w:val="22"/>
          <w:lang w:val="bg-BG"/>
          <w14:ligatures w14:val="none"/>
        </w:rPr>
      </w:pPr>
      <w:r w:rsidRPr="0053730E">
        <w:rPr>
          <w:rFonts w:ascii="Times New Roman" w:eastAsiaTheme="minorHAnsi" w:hAnsi="Times New Roman"/>
          <w:kern w:val="0"/>
          <w:szCs w:val="22"/>
          <w:lang w:val="en-US"/>
          <w14:ligatures w14:val="none"/>
        </w:rPr>
        <w:lastRenderedPageBreak/>
        <w:t>World Business Culture, (2020, January 14). </w:t>
      </w:r>
      <w:r w:rsidRPr="0053730E">
        <w:rPr>
          <w:rFonts w:ascii="Times New Roman" w:eastAsiaTheme="minorHAnsi" w:hAnsi="Times New Roman"/>
          <w:i/>
          <w:iCs/>
          <w:kern w:val="0"/>
          <w:szCs w:val="22"/>
          <w:lang w:val="en-US"/>
          <w14:ligatures w14:val="none"/>
        </w:rPr>
        <w:t>British communication styles</w:t>
      </w:r>
      <w:r w:rsidRPr="0053730E">
        <w:rPr>
          <w:rFonts w:ascii="Times New Roman" w:eastAsiaTheme="minorHAnsi" w:hAnsi="Times New Roman"/>
          <w:kern w:val="0"/>
          <w:szCs w:val="22"/>
          <w:lang w:val="en-US"/>
          <w14:ligatures w14:val="none"/>
        </w:rPr>
        <w:t xml:space="preserve">. </w:t>
      </w:r>
      <w:hyperlink r:id="rId7" w:history="1">
        <w:r w:rsidRPr="0053730E">
          <w:rPr>
            <w:rFonts w:ascii="Times New Roman" w:eastAsiaTheme="minorHAnsi" w:hAnsi="Times New Roman"/>
            <w:color w:val="467886" w:themeColor="hyperlink"/>
            <w:kern w:val="0"/>
            <w:szCs w:val="22"/>
            <w:u w:val="single"/>
            <w:lang w:val="en-US"/>
            <w14:ligatures w14:val="none"/>
          </w:rPr>
          <w:t>https://www.worldbusinessculture.com/country-profiles/great-britain/business-communication-style/</w:t>
        </w:r>
      </w:hyperlink>
    </w:p>
    <w:sectPr w:rsidR="0053730E" w:rsidRPr="0053730E" w:rsidSect="0053730E">
      <w:headerReference w:type="default" r:id="rId8"/>
      <w:pgSz w:w="12240" w:h="15840"/>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3474848"/>
      <w:docPartObj>
        <w:docPartGallery w:val="Page Numbers (Top of Page)"/>
        <w:docPartUnique/>
      </w:docPartObj>
    </w:sdtPr>
    <w:sdtEndPr>
      <w:rPr>
        <w:noProof/>
      </w:rPr>
    </w:sdtEndPr>
    <w:sdtContent>
      <w:p w14:paraId="4E2CFED7" w14:textId="77777777" w:rsidR="0071552A" w:rsidRDefault="007155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3950AE" w14:textId="77777777" w:rsidR="0071552A" w:rsidRDefault="007155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F2EE9"/>
    <w:multiLevelType w:val="hybridMultilevel"/>
    <w:tmpl w:val="BB94B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3380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30E"/>
    <w:rsid w:val="003918E2"/>
    <w:rsid w:val="0053730E"/>
    <w:rsid w:val="00696D48"/>
    <w:rsid w:val="0071552A"/>
    <w:rsid w:val="00C13FB5"/>
    <w:rsid w:val="00CD7D29"/>
    <w:rsid w:val="00F56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AA9B28"/>
  <w15:chartTrackingRefBased/>
  <w15:docId w15:val="{760F0E05-F29F-0D4A-A833-18396ED87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3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73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3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3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3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3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3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3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3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3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73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3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3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3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3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3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3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30E"/>
    <w:rPr>
      <w:rFonts w:eastAsiaTheme="majorEastAsia" w:cstheme="majorBidi"/>
      <w:color w:val="272727" w:themeColor="text1" w:themeTint="D8"/>
    </w:rPr>
  </w:style>
  <w:style w:type="paragraph" w:styleId="Title">
    <w:name w:val="Title"/>
    <w:basedOn w:val="Normal"/>
    <w:next w:val="Normal"/>
    <w:link w:val="TitleChar"/>
    <w:uiPriority w:val="10"/>
    <w:qFormat/>
    <w:rsid w:val="005373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3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3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3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30E"/>
    <w:pPr>
      <w:spacing w:before="160"/>
      <w:jc w:val="center"/>
    </w:pPr>
    <w:rPr>
      <w:i/>
      <w:iCs/>
      <w:color w:val="404040" w:themeColor="text1" w:themeTint="BF"/>
    </w:rPr>
  </w:style>
  <w:style w:type="character" w:customStyle="1" w:styleId="QuoteChar">
    <w:name w:val="Quote Char"/>
    <w:basedOn w:val="DefaultParagraphFont"/>
    <w:link w:val="Quote"/>
    <w:uiPriority w:val="29"/>
    <w:rsid w:val="0053730E"/>
    <w:rPr>
      <w:i/>
      <w:iCs/>
      <w:color w:val="404040" w:themeColor="text1" w:themeTint="BF"/>
    </w:rPr>
  </w:style>
  <w:style w:type="paragraph" w:styleId="ListParagraph">
    <w:name w:val="List Paragraph"/>
    <w:basedOn w:val="Normal"/>
    <w:uiPriority w:val="34"/>
    <w:qFormat/>
    <w:rsid w:val="0053730E"/>
    <w:pPr>
      <w:ind w:left="720"/>
      <w:contextualSpacing/>
    </w:pPr>
  </w:style>
  <w:style w:type="character" w:styleId="IntenseEmphasis">
    <w:name w:val="Intense Emphasis"/>
    <w:basedOn w:val="DefaultParagraphFont"/>
    <w:uiPriority w:val="21"/>
    <w:qFormat/>
    <w:rsid w:val="0053730E"/>
    <w:rPr>
      <w:i/>
      <w:iCs/>
      <w:color w:val="0F4761" w:themeColor="accent1" w:themeShade="BF"/>
    </w:rPr>
  </w:style>
  <w:style w:type="paragraph" w:styleId="IntenseQuote">
    <w:name w:val="Intense Quote"/>
    <w:basedOn w:val="Normal"/>
    <w:next w:val="Normal"/>
    <w:link w:val="IntenseQuoteChar"/>
    <w:uiPriority w:val="30"/>
    <w:qFormat/>
    <w:rsid w:val="005373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30E"/>
    <w:rPr>
      <w:i/>
      <w:iCs/>
      <w:color w:val="0F4761" w:themeColor="accent1" w:themeShade="BF"/>
    </w:rPr>
  </w:style>
  <w:style w:type="character" w:styleId="IntenseReference">
    <w:name w:val="Intense Reference"/>
    <w:basedOn w:val="DefaultParagraphFont"/>
    <w:uiPriority w:val="32"/>
    <w:qFormat/>
    <w:rsid w:val="0053730E"/>
    <w:rPr>
      <w:b/>
      <w:bCs/>
      <w:smallCaps/>
      <w:color w:val="0F4761" w:themeColor="accent1" w:themeShade="BF"/>
      <w:spacing w:val="5"/>
    </w:rPr>
  </w:style>
  <w:style w:type="paragraph" w:styleId="Header">
    <w:name w:val="header"/>
    <w:basedOn w:val="Normal"/>
    <w:link w:val="HeaderChar"/>
    <w:uiPriority w:val="99"/>
    <w:unhideWhenUsed/>
    <w:rsid w:val="0053730E"/>
    <w:pPr>
      <w:tabs>
        <w:tab w:val="center" w:pos="4680"/>
        <w:tab w:val="right" w:pos="9360"/>
      </w:tabs>
      <w:spacing w:after="0" w:line="240" w:lineRule="auto"/>
      <w:ind w:firstLine="720"/>
    </w:pPr>
    <w:rPr>
      <w:rFonts w:ascii="Times New Roman" w:eastAsiaTheme="minorHAnsi" w:hAnsi="Times New Roman"/>
      <w:kern w:val="0"/>
      <w:szCs w:val="22"/>
      <w:lang w:val="en-US"/>
      <w14:ligatures w14:val="none"/>
    </w:rPr>
  </w:style>
  <w:style w:type="character" w:customStyle="1" w:styleId="HeaderChar">
    <w:name w:val="Header Char"/>
    <w:basedOn w:val="DefaultParagraphFont"/>
    <w:link w:val="Header"/>
    <w:uiPriority w:val="99"/>
    <w:rsid w:val="0053730E"/>
    <w:rPr>
      <w:rFonts w:ascii="Times New Roman" w:eastAsiaTheme="minorHAnsi" w:hAnsi="Times New Roman"/>
      <w:kern w:val="0"/>
      <w:szCs w:val="22"/>
      <w:lang w:val="en-US"/>
      <w14:ligatures w14:val="none"/>
    </w:rPr>
  </w:style>
  <w:style w:type="character" w:styleId="Hyperlink">
    <w:name w:val="Hyperlink"/>
    <w:basedOn w:val="DefaultParagraphFont"/>
    <w:uiPriority w:val="99"/>
    <w:unhideWhenUsed/>
    <w:rsid w:val="005373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worldbusinessculture.com/country-profiles/great-britain/business-communication-sty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rade.gov/country-commercial-guides/france-market-overview" TargetMode="External"/><Relationship Id="rId5" Type="http://schemas.openxmlformats.org/officeDocument/2006/relationships/hyperlink" Target="https://businessculture.org/northern-europe/united-kingdom-business-culture/business-communica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3058</Words>
  <Characters>17433</Characters>
  <Application>Microsoft Office Word</Application>
  <DocSecurity>0</DocSecurity>
  <Lines>145</Lines>
  <Paragraphs>40</Paragraphs>
  <ScaleCrop>false</ScaleCrop>
  <Company/>
  <LinksUpToDate>false</LinksUpToDate>
  <CharactersWithSpaces>20451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Anastasov Uchkunov (2030588)</dc:creator>
  <cp:keywords/>
  <dc:description/>
  <cp:lastModifiedBy>Nikolay Anastasov Uchkunov (2030588)</cp:lastModifiedBy>
  <cp:revision>2</cp:revision>
  <dcterms:created xsi:type="dcterms:W3CDTF">2024-08-27T14:33:00Z</dcterms:created>
  <dcterms:modified xsi:type="dcterms:W3CDTF">2024-08-27T14:33:00Z</dcterms:modified>
</cp:coreProperties>
</file>