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Fonts w:ascii="Times New Roman" w:cs="Times New Roman" w:eastAsia="Times New Roman" w:hAnsi="Times New Roman"/>
          <w:b w:val="1"/>
          <w:bCs w:val="1"/>
          <w:sz w:val="40"/>
          <w:szCs w:val="40"/>
          <w:rtl w:val="0"/>
        </w:rPr>
        <w:t xml:space="preserve">University of Wales Trinity Saint David</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rFonts w:ascii="Times New Roman" w:cs="Times New Roman" w:eastAsia="Times New Roman" w:hAnsi="Times New Roman"/>
          <w:b w:val="1"/>
          <w:bCs w:val="1"/>
          <w:sz w:val="32"/>
          <w:szCs w:val="32"/>
          <w:rtl w:val="0"/>
        </w:rPr>
        <w:t xml:space="preserve">Data Security and Compliance (ACCA5034)</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left"/>
        <w:rPr/>
      </w:pPr>
      <w:r w:rsidDel="00000000" w:rsidR="00000000" w:rsidRPr="00000000">
        <w:rPr>
          <w:rFonts w:ascii="Times New Roman" w:cs="Times New Roman" w:eastAsia="Times New Roman" w:hAnsi="Times New Roman"/>
          <w:b w:val="1"/>
          <w:bCs w:val="1"/>
          <w:sz w:val="28"/>
          <w:szCs w:val="28"/>
          <w:rtl w:val="0"/>
        </w:rPr>
        <w:t xml:space="preserve">Student name: </w:t>
      </w:r>
      <w:r w:rsidDel="00000000" w:rsidR="00000000" w:rsidRPr="00000000">
        <w:rPr>
          <w:rFonts w:ascii="Times New Roman" w:cs="Times New Roman" w:eastAsia="Times New Roman" w:hAnsi="Times New Roman"/>
          <w:sz w:val="28"/>
          <w:szCs w:val="28"/>
          <w:rtl w:val="0"/>
        </w:rPr>
        <w:t xml:space="preserve">Khadar Hassan</w:t>
      </w:r>
      <w:r w:rsidDel="00000000" w:rsidR="00000000" w:rsidRPr="00000000">
        <w:rPr>
          <w:rtl w:val="0"/>
        </w:rPr>
      </w:r>
    </w:p>
    <w:p w:rsidR="00000000" w:rsidDel="00000000" w:rsidP="00000000" w:rsidRDefault="00000000" w:rsidRPr="00000000" w14:paraId="00000006">
      <w:pPr>
        <w:jc w:val="left"/>
        <w:rPr/>
      </w:pPr>
      <w:r w:rsidDel="00000000" w:rsidR="00000000" w:rsidRPr="00000000">
        <w:rPr>
          <w:rFonts w:ascii="Times New Roman" w:cs="Times New Roman" w:eastAsia="Times New Roman" w:hAnsi="Times New Roman"/>
          <w:b w:val="1"/>
          <w:bCs w:val="1"/>
          <w:sz w:val="28"/>
          <w:szCs w:val="28"/>
          <w:rtl w:val="0"/>
        </w:rPr>
        <w:t xml:space="preserve">Programme: </w:t>
      </w:r>
      <w:r w:rsidDel="00000000" w:rsidR="00000000" w:rsidRPr="00000000">
        <w:rPr>
          <w:rFonts w:ascii="Times New Roman" w:cs="Times New Roman" w:eastAsia="Times New Roman" w:hAnsi="Times New Roman"/>
          <w:sz w:val="28"/>
          <w:szCs w:val="28"/>
          <w:rtl w:val="0"/>
        </w:rPr>
        <w:t xml:space="preserve">Computing Portfolio</w:t>
      </w:r>
      <w:r w:rsidDel="00000000" w:rsidR="00000000" w:rsidRPr="00000000">
        <w:rPr>
          <w:rtl w:val="0"/>
        </w:rPr>
      </w:r>
    </w:p>
    <w:p w:rsidR="00000000" w:rsidDel="00000000" w:rsidP="00000000" w:rsidRDefault="00000000" w:rsidRPr="00000000" w14:paraId="00000007">
      <w:pPr>
        <w:jc w:val="left"/>
        <w:rPr/>
      </w:pPr>
      <w:r w:rsidDel="00000000" w:rsidR="00000000" w:rsidRPr="00000000">
        <w:rPr>
          <w:rFonts w:ascii="Times New Roman" w:cs="Times New Roman" w:eastAsia="Times New Roman" w:hAnsi="Times New Roman"/>
          <w:b w:val="1"/>
          <w:bCs w:val="1"/>
          <w:sz w:val="28"/>
          <w:szCs w:val="28"/>
          <w:rtl w:val="0"/>
        </w:rPr>
        <w:t xml:space="preserve">Module: </w:t>
      </w:r>
      <w:r w:rsidDel="00000000" w:rsidR="00000000" w:rsidRPr="00000000">
        <w:rPr>
          <w:rFonts w:ascii="Times New Roman" w:cs="Times New Roman" w:eastAsia="Times New Roman" w:hAnsi="Times New Roman"/>
          <w:sz w:val="28"/>
          <w:szCs w:val="28"/>
          <w:rtl w:val="0"/>
        </w:rPr>
        <w:t xml:space="preserve">Data Security and Compliance</w:t>
      </w:r>
      <w:r w:rsidDel="00000000" w:rsidR="00000000" w:rsidRPr="00000000">
        <w:rPr>
          <w:rtl w:val="0"/>
        </w:rPr>
      </w:r>
    </w:p>
    <w:p w:rsidR="00000000" w:rsidDel="00000000" w:rsidP="00000000" w:rsidRDefault="00000000" w:rsidRPr="00000000" w14:paraId="00000008">
      <w:pPr>
        <w:jc w:val="left"/>
        <w:rPr/>
      </w:pPr>
      <w:r w:rsidDel="00000000" w:rsidR="00000000" w:rsidRPr="00000000">
        <w:rPr>
          <w:rFonts w:ascii="Times New Roman" w:cs="Times New Roman" w:eastAsia="Times New Roman" w:hAnsi="Times New Roman"/>
          <w:b w:val="1"/>
          <w:bCs w:val="1"/>
          <w:sz w:val="28"/>
          <w:szCs w:val="28"/>
          <w:rtl w:val="0"/>
        </w:rPr>
        <w:t xml:space="preserve">Module code: </w:t>
      </w:r>
      <w:r w:rsidDel="00000000" w:rsidR="00000000" w:rsidRPr="00000000">
        <w:rPr>
          <w:rFonts w:ascii="Times New Roman" w:cs="Times New Roman" w:eastAsia="Times New Roman" w:hAnsi="Times New Roman"/>
          <w:sz w:val="28"/>
          <w:szCs w:val="28"/>
          <w:rtl w:val="0"/>
        </w:rPr>
        <w:t xml:space="preserve">ACCA5034</w:t>
      </w:r>
      <w:r w:rsidDel="00000000" w:rsidR="00000000" w:rsidRPr="00000000">
        <w:rPr>
          <w:rtl w:val="0"/>
        </w:rPr>
      </w:r>
    </w:p>
    <w:p w:rsidR="00000000" w:rsidDel="00000000" w:rsidP="00000000" w:rsidRDefault="00000000" w:rsidRPr="00000000" w14:paraId="00000009">
      <w:pPr>
        <w:jc w:val="left"/>
        <w:rPr/>
      </w:pPr>
      <w:r w:rsidDel="00000000" w:rsidR="00000000" w:rsidRPr="00000000">
        <w:rPr>
          <w:rFonts w:ascii="Times New Roman" w:cs="Times New Roman" w:eastAsia="Times New Roman" w:hAnsi="Times New Roman"/>
          <w:b w:val="1"/>
          <w:bCs w:val="1"/>
          <w:sz w:val="28"/>
          <w:szCs w:val="28"/>
          <w:rtl w:val="0"/>
        </w:rPr>
        <w:t xml:space="preserve">Lecturer: </w:t>
      </w:r>
      <w:r w:rsidDel="00000000" w:rsidR="00000000" w:rsidRPr="00000000">
        <w:rPr>
          <w:rFonts w:ascii="Times New Roman" w:cs="Times New Roman" w:eastAsia="Times New Roman" w:hAnsi="Times New Roman"/>
          <w:sz w:val="28"/>
          <w:szCs w:val="28"/>
          <w:rtl w:val="0"/>
        </w:rPr>
        <w:t xml:space="preserve">Dr Mohamed Ben Farah</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left"/>
        <w:rPr/>
      </w:pPr>
      <w:r w:rsidDel="00000000" w:rsidR="00000000" w:rsidRPr="00000000">
        <w:rPr>
          <w:rFonts w:ascii="Times New Roman" w:cs="Times New Roman" w:eastAsia="Times New Roman" w:hAnsi="Times New Roman"/>
          <w:i w:val="1"/>
          <w:iCs w:val="1"/>
          <w:sz w:val="22"/>
          <w:szCs w:val="22"/>
          <w:rtl w:val="0"/>
        </w:rPr>
        <w:t xml:space="preserve">Note: This draft reshapes Task 1 around one approved title and begins Task 2 with a structured, evidence-based security programme aligned to the specification.</w:t>
      </w: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jc w:val="left"/>
        <w:rPr/>
      </w:pPr>
      <w:r w:rsidDel="00000000" w:rsidR="00000000" w:rsidRPr="00000000">
        <w:rPr>
          <w:rFonts w:ascii="Times New Roman" w:cs="Times New Roman" w:eastAsia="Times New Roman" w:hAnsi="Times New Roman"/>
          <w:rtl w:val="0"/>
        </w:rPr>
        <w:t xml:space="preserve">Task 1: The Zero Trust Architecture: A Critical Analysis of Its Principles, Implementation Challenges, and Efficacy Compared to Traditional Models</w:t>
      </w:r>
      <w:r w:rsidDel="00000000" w:rsidR="00000000" w:rsidRPr="00000000">
        <w:rPr>
          <w:rtl w:val="0"/>
        </w:rPr>
      </w:r>
    </w:p>
    <w:p w:rsidR="00000000" w:rsidDel="00000000" w:rsidP="00000000" w:rsidRDefault="00000000" w:rsidRPr="00000000" w14:paraId="0000000E">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Abstract— Zero Trust Architecture (ZTA) has moved from a specialist security concept to a mainstream response to hybrid work, cloud adoption and the collapse of the traditional network perimeter. This paper critically evaluates the principles behind zero trust and assesses whether it offers a meaningful improvement over legacy perimeter-based models. The discussion argues that zero trust is strongest when treated as a strategic operating model rather than a single product. Its main advantages are tighter identity assurance, policy-based access, reduced lateral movement and improved visibility across users, devices and workloads. However, implementation is costly and often uneven. Many organisations still depend on legacy applications, fragmented identity stores and third-party platforms that make continuous verification difficult. The paper concludes that zero trust is more effective than traditional perimeter security for modern distributed environments, but only when supported by strong governance, phased implementation, and realistic alignment with business priorities.</w:t>
      </w:r>
      <w:r w:rsidDel="00000000" w:rsidR="00000000" w:rsidRPr="00000000">
        <w:rPr>
          <w:rtl w:val="0"/>
        </w:rPr>
      </w:r>
    </w:p>
    <w:p w:rsidR="00000000" w:rsidDel="00000000" w:rsidP="00000000" w:rsidRDefault="00000000" w:rsidRPr="00000000" w14:paraId="0000000F">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Keywords— Zero Trust Architecture, hybrid workforce, identity security, least privilege, micro-segmentation, continuous verification</w:t>
      </w:r>
      <w:r w:rsidDel="00000000" w:rsidR="00000000" w:rsidRPr="00000000">
        <w:rPr>
          <w:rtl w:val="0"/>
        </w:rPr>
      </w:r>
    </w:p>
    <w:p w:rsidR="00000000" w:rsidDel="00000000" w:rsidP="00000000" w:rsidRDefault="00000000" w:rsidRPr="00000000" w14:paraId="00000010">
      <w:pPr>
        <w:pStyle w:val="Heading2"/>
        <w:jc w:val="left"/>
        <w:rPr/>
      </w:pPr>
      <w:r w:rsidDel="00000000" w:rsidR="00000000" w:rsidRPr="00000000">
        <w:rPr>
          <w:rFonts w:ascii="Times New Roman" w:cs="Times New Roman" w:eastAsia="Times New Roman" w:hAnsi="Times New Roman"/>
          <w:rtl w:val="0"/>
        </w:rPr>
        <w:t xml:space="preserve">Introduction</w:t>
      </w:r>
      <w:r w:rsidDel="00000000" w:rsidR="00000000" w:rsidRPr="00000000">
        <w:rPr>
          <w:rtl w:val="0"/>
        </w:rPr>
      </w:r>
    </w:p>
    <w:p w:rsidR="00000000" w:rsidDel="00000000" w:rsidP="00000000" w:rsidRDefault="00000000" w:rsidRPr="00000000" w14:paraId="00000011">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conventional idea of cybersecurity was built around a defendable inside and a hostile outside. That logic made sense when staff worked mainly from corporate offices, applications sat in on-premises data centres, and security teams could route most traffic through a small number of trusted gateways. That environment no longer describes many organisations. Work is now distributed, data is spread across cloud services, and suppliers often connect directly into core systems. In practice, the perimeter has become blurred rather than clearly removed. This is the setting in which zero trust has gained traction [1], [2].</w:t>
      </w:r>
      <w:r w:rsidDel="00000000" w:rsidR="00000000" w:rsidRPr="00000000">
        <w:rPr>
          <w:rtl w:val="0"/>
        </w:rPr>
      </w:r>
    </w:p>
    <w:p w:rsidR="00000000" w:rsidDel="00000000" w:rsidP="00000000" w:rsidRDefault="00000000" w:rsidRPr="00000000" w14:paraId="00000012">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Zero trust is often summarised as “never trust, always verify”, but that phrase can be misleading because it sounds like a slogan rather than an architecture. NIST defines zero trust as a shift away from static, network-based trust toward decisions focused on users, assets and resources [1]. In other words, access should not be granted simply because a request originates from the internal network. Instead, the organisation should evaluate identity, device posture, policy context and the sensitivity of the requested resource each time access is sought. This is particularly relevant in hybrid organisations where staff use unmanaged networks, personal devices and software-as-a-service platforms on a daily basis.</w:t>
      </w:r>
      <w:r w:rsidDel="00000000" w:rsidR="00000000" w:rsidRPr="00000000">
        <w:rPr>
          <w:rtl w:val="0"/>
        </w:rPr>
      </w:r>
    </w:p>
    <w:p w:rsidR="00000000" w:rsidDel="00000000" w:rsidP="00000000" w:rsidRDefault="00000000" w:rsidRPr="00000000" w14:paraId="00000013">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This paper argues that ZTA is not merely a technical upgrade to perimeter security. It represents a different security assumption: breach is possible, trust must be explicit, and access should be narrow, monitored and revisable. The analysis below evaluates its core principles, the reasons organisations adopt it, the operational difficulties involved in implementation, and its comparative effectiveness against traditional models.</w:t>
      </w:r>
      <w:r w:rsidDel="00000000" w:rsidR="00000000" w:rsidRPr="00000000">
        <w:rPr>
          <w:rtl w:val="0"/>
        </w:rPr>
      </w:r>
    </w:p>
    <w:p w:rsidR="00000000" w:rsidDel="00000000" w:rsidP="00000000" w:rsidRDefault="00000000" w:rsidRPr="00000000" w14:paraId="00000014">
      <w:pPr>
        <w:pStyle w:val="Heading2"/>
        <w:jc w:val="left"/>
        <w:rPr/>
      </w:pPr>
      <w:r w:rsidDel="00000000" w:rsidR="00000000" w:rsidRPr="00000000">
        <w:rPr>
          <w:rFonts w:ascii="Times New Roman" w:cs="Times New Roman" w:eastAsia="Times New Roman" w:hAnsi="Times New Roman"/>
          <w:rtl w:val="0"/>
        </w:rPr>
        <w:t xml:space="preserve">Core principles of zero trust</w:t>
      </w:r>
      <w:r w:rsidDel="00000000" w:rsidR="00000000" w:rsidRPr="00000000">
        <w:rPr>
          <w:rtl w:val="0"/>
        </w:rPr>
      </w:r>
    </w:p>
    <w:p w:rsidR="00000000" w:rsidDel="00000000" w:rsidP="00000000" w:rsidRDefault="00000000" w:rsidRPr="00000000" w14:paraId="00000015">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Although zero trust programmes vary, several principles appear consistently. First, identity becomes the primary control point. Strong authentication, ideally supported by phishing-resistant multi-factor methods, reduces reliance on passwords alone and makes access decisions more precise [1], [4]. Second, least-privilege access limits users, services and devices to the minimum permissions required for a defined task. Third, continuous verification means that access decisions are not one-off events. Signals such as device health, location anomalies, session risk and behavioural indicators can change whether access is allowed, challenged or blocked [1].</w:t>
      </w:r>
      <w:r w:rsidDel="00000000" w:rsidR="00000000" w:rsidRPr="00000000">
        <w:rPr>
          <w:rtl w:val="0"/>
        </w:rPr>
      </w:r>
    </w:p>
    <w:p w:rsidR="00000000" w:rsidDel="00000000" w:rsidP="00000000" w:rsidRDefault="00000000" w:rsidRPr="00000000" w14:paraId="00000016">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A further principle is micro-segmentation. Traditional flat networks allow attackers who compromise one account or server to move laterally with relative ease. Zero trust seeks to reduce this by separating applications, workloads and data zones into smaller trust boundaries governed by policy. Closely related to this is the assumption of breach: the design accepts that an attacker may already be present and focuses on constraining blast radius rather than assuming preventive controls will always succeed [1], [3].</w:t>
      </w:r>
      <w:r w:rsidDel="00000000" w:rsidR="00000000" w:rsidRPr="00000000">
        <w:rPr>
          <w:rtl w:val="0"/>
        </w:rPr>
      </w:r>
    </w:p>
    <w:p w:rsidR="00000000" w:rsidDel="00000000" w:rsidP="00000000" w:rsidRDefault="00000000" w:rsidRPr="00000000" w14:paraId="00000017">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These principles matter because they align better with how modern systems are actually used. A clinician, analyst or developer may access sensitive resources from home, from a managed laptop, through a cloud platform, while also collaborating with external partners. Location alone says little about the legitimacy of the request. Zero trust therefore offers a more granular answer to a more fragmented operating environment.</w:t>
      </w:r>
      <w:r w:rsidDel="00000000" w:rsidR="00000000" w:rsidRPr="00000000">
        <w:rPr>
          <w:rtl w:val="0"/>
        </w:rPr>
      </w:r>
    </w:p>
    <w:p w:rsidR="00000000" w:rsidDel="00000000" w:rsidP="00000000" w:rsidRDefault="00000000" w:rsidRPr="00000000" w14:paraId="00000018">
      <w:pPr>
        <w:pStyle w:val="Heading2"/>
        <w:jc w:val="left"/>
        <w:rPr/>
      </w:pPr>
      <w:r w:rsidDel="00000000" w:rsidR="00000000" w:rsidRPr="00000000">
        <w:rPr>
          <w:rFonts w:ascii="Times New Roman" w:cs="Times New Roman" w:eastAsia="Times New Roman" w:hAnsi="Times New Roman"/>
          <w:rtl w:val="0"/>
        </w:rPr>
        <w:t xml:space="preserve">Why traditional perimeter models are no longer enough</w:t>
      </w:r>
      <w:r w:rsidDel="00000000" w:rsidR="00000000" w:rsidRPr="00000000">
        <w:rPr>
          <w:rtl w:val="0"/>
        </w:rPr>
      </w:r>
    </w:p>
    <w:p w:rsidR="00000000" w:rsidDel="00000000" w:rsidP="00000000" w:rsidRDefault="00000000" w:rsidRPr="00000000" w14:paraId="00000019">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Perimeter security is not obsolete in the sense that firewalls, gateways and network controls still matter. The weakness lies in treating them as the main basis for trust. Once an internal connection is treated as broadly trustworthy, attackers benefit from the same assumption after compromise. This model becomes especially fragile in hybrid work settings, where organisations rely on VPNs to recreate a trusted internal network. VPN access can be useful, but it may also extend broad network-level reach to devices and users that should only need application-level access.</w:t>
      </w:r>
      <w:r w:rsidDel="00000000" w:rsidR="00000000" w:rsidRPr="00000000">
        <w:rPr>
          <w:rtl w:val="0"/>
        </w:rPr>
      </w:r>
    </w:p>
    <w:p w:rsidR="00000000" w:rsidDel="00000000" w:rsidP="00000000" w:rsidRDefault="00000000" w:rsidRPr="00000000" w14:paraId="0000001A">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Traditional models also struggle with cloud-native systems. Data and services are no longer tied to a single corporate network, and many critical functions run on SaaS or multi-cloud platforms. In this context, security decisions must travel with the resource, not stay at the old network edge. Zero trust is more compatible with this reality because it centres policy around identities, assets and sessions rather than assuming that traffic coming from an internal range is low risk [3].</w:t>
      </w:r>
      <w:r w:rsidDel="00000000" w:rsidR="00000000" w:rsidRPr="00000000">
        <w:rPr>
          <w:rtl w:val="0"/>
        </w:rPr>
      </w:r>
    </w:p>
    <w:p w:rsidR="00000000" w:rsidDel="00000000" w:rsidP="00000000" w:rsidRDefault="00000000" w:rsidRPr="00000000" w14:paraId="0000001B">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There is also an accountability issue. Perimeter-led environments often produce uneven visibility, particularly where unmanaged software, shadow IT and third-party access accumulate over time. Zero trust does not solve governance weaknesses by itself, but it does force organisations to identify protected assets, define access policies and examine where trust is currently implicit. That discipline is one reason many organisations see ZTA as a governance improvement as well as a security one.</w:t>
      </w:r>
      <w:r w:rsidDel="00000000" w:rsidR="00000000" w:rsidRPr="00000000">
        <w:rPr>
          <w:rtl w:val="0"/>
        </w:rPr>
      </w:r>
    </w:p>
    <w:p w:rsidR="00000000" w:rsidDel="00000000" w:rsidP="00000000" w:rsidRDefault="00000000" w:rsidRPr="00000000" w14:paraId="0000001C">
      <w:pPr>
        <w:pStyle w:val="Heading2"/>
        <w:jc w:val="left"/>
        <w:rPr/>
      </w:pPr>
      <w:r w:rsidDel="00000000" w:rsidR="00000000" w:rsidRPr="00000000">
        <w:rPr>
          <w:rFonts w:ascii="Times New Roman" w:cs="Times New Roman" w:eastAsia="Times New Roman" w:hAnsi="Times New Roman"/>
          <w:rtl w:val="0"/>
        </w:rPr>
        <w:t xml:space="preserve">Implementation challenges and critical limitations</w:t>
      </w: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The case for zero trust is strong, but the implementation burden is often understated. One weakness in much of the professional discussion is that zero trust is sometimes presented as if it were a clean architectural swap. Real organisations are messier than that. They inherit duplicate identities, over-privileged service accounts and legacy systems that were never designed for modern policy enforcement. If the identity layer is weak, the access decision is weak too [11], [12].</w:t>
      </w:r>
    </w:p>
    <w:p w:rsidR="00000000" w:rsidDel="00000000" w:rsidP="00000000" w:rsidRDefault="00000000" w:rsidRPr="00000000" w14:paraId="0000001E">
      <w:pPr>
        <w:rPr/>
      </w:pPr>
      <w:r w:rsidDel="00000000" w:rsidR="00000000" w:rsidRPr="00000000">
        <w:rPr>
          <w:rtl w:val="0"/>
        </w:rPr>
        <w:t xml:space="preserve">A further limitation is that some high-impact attacks do not disappear just because MFA has been enabled. Phishing-resistant MFA is a major improvement and should be preferred over weaker methods such as SMS or basic push prompts [15]. Even so, an attacker who steals an authenticated web session cookie may still ride an already-approved session and bypass the original login step [16], [17]. That does not make zero trust useless, but it does mean post-login controls matter: re-authentication, short-lived tokens, device checks and session monitoring still have to do real work.</w:t>
      </w:r>
    </w:p>
    <w:p w:rsidR="00000000" w:rsidDel="00000000" w:rsidP="00000000" w:rsidRDefault="00000000" w:rsidRPr="00000000" w14:paraId="0000001F">
      <w:pPr>
        <w:jc w:val="both"/>
        <w:rPr/>
      </w:pPr>
      <w:r w:rsidDel="00000000" w:rsidR="00000000" w:rsidRPr="00000000">
        <w:rPr>
          <w:rtl w:val="0"/>
        </w:rPr>
        <w:t xml:space="preserve">Legacy technology creates the next serious obstacle. Older applications may not support conditional access, fine-grained authorisation or modern federation standards. In practice, organisations end up building wrappers, proxy layers and exception lists. Those exceptions are understandable, but they also create blind spots. A zero trust programme can look convincing on paper while the systems people worry about most are still relying on inherited trust relationships underneath [1], [3].</w:t>
      </w:r>
    </w:p>
    <w:p w:rsidR="00000000" w:rsidDel="00000000" w:rsidP="00000000" w:rsidRDefault="00000000" w:rsidRPr="00000000" w14:paraId="00000020">
      <w:pPr>
        <w:jc w:val="both"/>
        <w:rPr/>
      </w:pPr>
      <w:r w:rsidDel="00000000" w:rsidR="00000000" w:rsidRPr="00000000">
        <w:rPr>
          <w:rtl w:val="0"/>
        </w:rPr>
        <w:t xml:space="preserve">Operational complexity is another genuine limitation. Continuous verification sounds simple in principle, yet it depends on telemetry pipelines, policy engines, endpoint assurance, monitoring rules and staff who can interpret risk signals sensibly. If those pieces are badly tuned, the organisation gets the worst of both worlds: more friction for users and no real improvement in security decisions. Recent reviews note that implementation maturity, orchestration and policy consistency remain difficult in hybrid and multi-cloud estates [12], [13], [14].</w:t>
      </w:r>
    </w:p>
    <w:p w:rsidR="00000000" w:rsidDel="00000000" w:rsidP="00000000" w:rsidRDefault="00000000" w:rsidRPr="00000000" w14:paraId="00000021">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Cost is another limitation. Identity modernisation, endpoint management, segmentation, logging, and cloud security tooling all demand investment. For smaller organisations, the ideal zero trust model may be financially unrealistic in the short term. This does not invalidate the architecture, but it does mean the maturity path must be prioritised. High-value assets, privileged accounts and remote access flows should be addressed first rather than attempting an enterprise-wide transformation all at once [2], [4].</w:t>
      </w: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Finally, zero trust can be oversold. Some vendors package it as a product category, when the stronger academic view is that it is a design approach and a set of assumptions rather than a single tool [11], [12]. That distinction matters. Buying a 'zero trust' platform without fixing privileges, asset visibility, logging and governance is mostly branding. The hard work is still organisational.</w:t>
      </w:r>
    </w:p>
    <w:p w:rsidR="00000000" w:rsidDel="00000000" w:rsidP="00000000" w:rsidRDefault="00000000" w:rsidRPr="00000000" w14:paraId="00000023">
      <w:pPr>
        <w:pStyle w:val="Heading2"/>
        <w:jc w:val="left"/>
        <w:rPr/>
      </w:pPr>
      <w:r w:rsidDel="00000000" w:rsidR="00000000" w:rsidRPr="00000000">
        <w:rPr>
          <w:rFonts w:ascii="Times New Roman" w:cs="Times New Roman" w:eastAsia="Times New Roman" w:hAnsi="Times New Roman"/>
          <w:rtl w:val="0"/>
        </w:rPr>
        <w:t xml:space="preserve">Comparative efficacy: zero trust versus traditional security</w:t>
      </w: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t xml:space="preserve">Compared with perimeter-based security, ZTA offers a clearer fit for hybrid and cloud-heavy organisations. It reduces standing privilege, narrows lateral movement and supports more context-aware access decisions. Those are meaningful gains. But the strongest conclusion from the literature is not that zero trust makes compromise unlikely; it is that it makes compromise harder to scale. Traditional perimeter models often fail badly after the first foothold, whereas zero trust tries to constrain the blast radius after that foothold appears [4], [11], [14].</w:t>
      </w:r>
    </w:p>
    <w:p w:rsidR="00000000" w:rsidDel="00000000" w:rsidP="00000000" w:rsidRDefault="00000000" w:rsidRPr="00000000" w14:paraId="00000025">
      <w:pPr>
        <w:jc w:val="both"/>
        <w:rPr/>
      </w:pPr>
      <w:r w:rsidDel="00000000" w:rsidR="00000000" w:rsidRPr="00000000">
        <w:rPr>
          <w:rtl w:val="0"/>
        </w:rPr>
        <w:t xml:space="preserve">Traditional approaches still have practical strengths. They are easier to operate in stable environments, and in smaller organisations with limited cloud exposure they may still be proportionate. So the argument is not that firewalls, VPNs and network controls suddenly became useless. It is that they no longer carry the whole security model. In a business with remote users, SaaS platforms, APIs and third-party development dependencies, perimeter trust becomes too generous for the level of exposure involved [1], [3], [13].</w:t>
      </w:r>
    </w:p>
    <w:p w:rsidR="00000000" w:rsidDel="00000000" w:rsidP="00000000" w:rsidRDefault="00000000" w:rsidRPr="00000000" w14:paraId="00000026">
      <w:pPr>
        <w:jc w:val="both"/>
        <w:rPr/>
      </w:pPr>
      <w:r w:rsidDel="00000000" w:rsidR="00000000" w:rsidRPr="00000000">
        <w:rPr>
          <w:rtl w:val="0"/>
        </w:rPr>
        <w:t xml:space="preserve">The better conclusion is not that zero trust replaces all earlier controls, but that it reorganises them. Firewalls, endpoint controls, encryption and monitoring still matter. What changes is the logic of trust. Access becomes narrower, more explicit and more revisable. On balance, ZTA is more effective than traditional perimeter-led security for modern distributed environments, but only where implementation is disciplined enough to deal with identity quality, session security, operational complexity and legacy exceptions. That is a stronger and more realistic conclusion than simply claiming zero trust is 'better' in every setting.</w:t>
      </w:r>
    </w:p>
    <w:p w:rsidR="00000000" w:rsidDel="00000000" w:rsidP="00000000" w:rsidRDefault="00000000" w:rsidRPr="00000000" w14:paraId="00000027">
      <w:pPr>
        <w:pStyle w:val="Heading2"/>
        <w:jc w:val="left"/>
        <w:rPr/>
      </w:pPr>
      <w:r w:rsidDel="00000000" w:rsidR="00000000" w:rsidRPr="00000000">
        <w:rPr>
          <w:rFonts w:ascii="Times New Roman" w:cs="Times New Roman" w:eastAsia="Times New Roman" w:hAnsi="Times New Roman"/>
          <w:rtl w:val="0"/>
        </w:rPr>
        <w:t xml:space="preserve">Conclusion</w:t>
      </w:r>
      <w:r w:rsidDel="00000000" w:rsidR="00000000" w:rsidRPr="00000000">
        <w:rPr>
          <w:rtl w:val="0"/>
        </w:rPr>
      </w:r>
    </w:p>
    <w:p w:rsidR="00000000" w:rsidDel="00000000" w:rsidP="00000000" w:rsidRDefault="00000000" w:rsidRPr="00000000" w14:paraId="00000028">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Zero Trust Architecture is best understood as a strategic response to the limitations of inherited perimeter thinking. Its importance has grown because organisations now operate across hybrid work patterns, cloud platforms and complex partner ecosystems where location is a weak indicator of legitimacy. The strongest elements of ZTA are identity-centred access, least privilege, segmentation and continuous verification. Together, these reduce implicit trust and improve containment when compromise occurs.</w:t>
      </w:r>
      <w:r w:rsidDel="00000000" w:rsidR="00000000" w:rsidRPr="00000000">
        <w:rPr>
          <w:rtl w:val="0"/>
        </w:rPr>
      </w:r>
    </w:p>
    <w:p w:rsidR="00000000" w:rsidDel="00000000" w:rsidP="00000000" w:rsidRDefault="00000000" w:rsidRPr="00000000" w14:paraId="00000029">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At the same time, the model is demanding. Weak identity governance, legacy systems, fragmented tooling and poor change management can all dilute its benefits. Organisations therefore need a phased and business-led implementation plan rather than a vendor-led rollout. Overall, the evidence supports the view that zero trust is more effective than traditional perimeter-based security for modern organisations, provided it is implemented as a disciplined programme of governance, architecture and operational improvement rather than as a simple technology purchase.</w:t>
      </w:r>
      <w:r w:rsidDel="00000000" w:rsidR="00000000" w:rsidRPr="00000000">
        <w:rPr>
          <w:rtl w:val="0"/>
        </w:rPr>
      </w:r>
    </w:p>
    <w:p w:rsidR="00000000" w:rsidDel="00000000" w:rsidP="00000000" w:rsidRDefault="00000000" w:rsidRPr="00000000" w14:paraId="0000002A">
      <w:pPr>
        <w:pStyle w:val="Heading2"/>
        <w:jc w:val="left"/>
        <w:rPr/>
      </w:pPr>
      <w:r w:rsidDel="00000000" w:rsidR="00000000" w:rsidRPr="00000000">
        <w:rPr>
          <w:rFonts w:ascii="Times New Roman" w:cs="Times New Roman" w:eastAsia="Times New Roman" w:hAnsi="Times New Roman"/>
          <w:rtl w:val="0"/>
        </w:rPr>
        <w:t xml:space="preserve">References</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[1] S. Rose, O. Borchert, S. Mitchell and S. Connelly, Zero Trust Architecture, NIST SP 800-207, National Institute of Standards and Technology, 2020.</w:t>
      </w:r>
    </w:p>
    <w:p w:rsidR="00000000" w:rsidDel="00000000" w:rsidP="00000000" w:rsidRDefault="00000000" w:rsidRPr="00000000" w14:paraId="0000002C">
      <w:pPr>
        <w:rPr/>
      </w:pPr>
      <w:r w:rsidDel="00000000" w:rsidR="00000000" w:rsidRPr="00000000">
        <w:rPr>
          <w:rtl w:val="0"/>
        </w:rPr>
        <w:t xml:space="preserve">[2] National Institute of Standards and Technology, Cybersecurity Framework (CSF) 2.0, 2024.</w:t>
      </w:r>
    </w:p>
    <w:p w:rsidR="00000000" w:rsidDel="00000000" w:rsidP="00000000" w:rsidRDefault="00000000" w:rsidRPr="00000000" w14:paraId="0000002D">
      <w:pPr>
        <w:rPr/>
      </w:pPr>
      <w:r w:rsidDel="00000000" w:rsidR="00000000" w:rsidRPr="00000000">
        <w:rPr>
          <w:rtl w:val="0"/>
        </w:rPr>
        <w:t xml:space="preserve">[3] R. Chandramouli and C. Wright, A Zero Trust Architecture Model for Access Control in Cloud-Native Applications in Multi-Location Environments, NIST SP 800-207A, 2023.</w:t>
      </w:r>
    </w:p>
    <w:p w:rsidR="00000000" w:rsidDel="00000000" w:rsidP="00000000" w:rsidRDefault="00000000" w:rsidRPr="00000000" w14:paraId="0000002E">
      <w:pPr>
        <w:rPr/>
      </w:pPr>
      <w:r w:rsidDel="00000000" w:rsidR="00000000" w:rsidRPr="00000000">
        <w:rPr>
          <w:rtl w:val="0"/>
        </w:rPr>
        <w:t xml:space="preserve">[4] Cybersecurity and Infrastructure Security Agency, Zero Trust Maturity Model Version 2.0, 2023.</w:t>
      </w:r>
    </w:p>
    <w:p w:rsidR="00000000" w:rsidDel="00000000" w:rsidP="00000000" w:rsidRDefault="00000000" w:rsidRPr="00000000" w14:paraId="0000002F">
      <w:pPr>
        <w:rPr/>
      </w:pPr>
      <w:r w:rsidDel="00000000" w:rsidR="00000000" w:rsidRPr="00000000">
        <w:rPr>
          <w:rtl w:val="0"/>
        </w:rPr>
        <w:t xml:space="preserve">[5] European Union, Directive (EU) 2022/2555 on measures for a high common level of cybersecurity across the Union (NIS2 Directive), 2022.</w:t>
      </w:r>
    </w:p>
    <w:p w:rsidR="00000000" w:rsidDel="00000000" w:rsidP="00000000" w:rsidRDefault="00000000" w:rsidRPr="00000000" w14:paraId="00000030">
      <w:pPr>
        <w:rPr/>
      </w:pPr>
      <w:r w:rsidDel="00000000" w:rsidR="00000000" w:rsidRPr="00000000">
        <w:rPr>
          <w:rtl w:val="0"/>
        </w:rPr>
        <w:t xml:space="preserve">[6] European Commission, NIS2 Directive: securing network and information systems, 2026.</w:t>
      </w:r>
    </w:p>
    <w:p w:rsidR="00000000" w:rsidDel="00000000" w:rsidP="00000000" w:rsidRDefault="00000000" w:rsidRPr="00000000" w14:paraId="00000031">
      <w:pPr>
        <w:rPr/>
      </w:pPr>
      <w:r w:rsidDel="00000000" w:rsidR="00000000" w:rsidRPr="00000000">
        <w:rPr>
          <w:rtl w:val="0"/>
        </w:rPr>
        <w:t xml:space="preserve">[7] European Union, Regulation (EU) 2022/2554 on digital operational resilience for the financial sector (DORA), 2022.</w:t>
      </w:r>
    </w:p>
    <w:p w:rsidR="00000000" w:rsidDel="00000000" w:rsidP="00000000" w:rsidRDefault="00000000" w:rsidRPr="00000000" w14:paraId="00000032">
      <w:pPr>
        <w:rPr/>
      </w:pPr>
      <w:r w:rsidDel="00000000" w:rsidR="00000000" w:rsidRPr="00000000">
        <w:rPr>
          <w:rtl w:val="0"/>
        </w:rPr>
        <w:t xml:space="preserve">[8] European Securities and Markets Authority, Digital Operational Resilience Act (DORA), 2025.</w:t>
      </w:r>
    </w:p>
    <w:p w:rsidR="00000000" w:rsidDel="00000000" w:rsidP="00000000" w:rsidRDefault="00000000" w:rsidRPr="00000000" w14:paraId="00000033">
      <w:pPr>
        <w:rPr/>
      </w:pPr>
      <w:r w:rsidDel="00000000" w:rsidR="00000000" w:rsidRPr="00000000">
        <w:rPr>
          <w:rtl w:val="0"/>
        </w:rPr>
        <w:t xml:space="preserve">[9] European Union, Regulation (EU) 2016/679 (General Data Protection Regulation), 2016.</w:t>
      </w:r>
    </w:p>
    <w:p w:rsidR="00000000" w:rsidDel="00000000" w:rsidP="00000000" w:rsidRDefault="00000000" w:rsidRPr="00000000" w14:paraId="00000034">
      <w:pPr>
        <w:rPr/>
      </w:pPr>
      <w:r w:rsidDel="00000000" w:rsidR="00000000" w:rsidRPr="00000000">
        <w:rPr>
          <w:rtl w:val="0"/>
        </w:rPr>
        <w:t xml:space="preserve">[10] Information Commissioner's Office, What is special category data?, 2024.</w:t>
      </w:r>
    </w:p>
    <w:p w:rsidR="00000000" w:rsidDel="00000000" w:rsidP="00000000" w:rsidRDefault="00000000" w:rsidRPr="00000000" w14:paraId="00000035">
      <w:pPr>
        <w:rPr/>
      </w:pPr>
      <w:r w:rsidDel="00000000" w:rsidR="00000000" w:rsidRPr="00000000">
        <w:rPr>
          <w:rtl w:val="0"/>
        </w:rPr>
        <w:t xml:space="preserve">[11] E. B. Fernandez, M. Hamdi and A. Hashizume, "A critical analysis of Zero Trust Architecture (ZTA)," Computers &amp; Security, vol. 139, 2024.</w:t>
      </w:r>
    </w:p>
    <w:p w:rsidR="00000000" w:rsidDel="00000000" w:rsidP="00000000" w:rsidRDefault="00000000" w:rsidRPr="00000000" w14:paraId="00000036">
      <w:pPr>
        <w:rPr/>
      </w:pPr>
      <w:r w:rsidDel="00000000" w:rsidR="00000000" w:rsidRPr="00000000">
        <w:rPr>
          <w:rtl w:val="0"/>
        </w:rPr>
        <w:t xml:space="preserve">[12] C. Liu, J. Li and Y. Zhang, "Dissecting zero trust: research landscape and its directions," Cybersecurity, vol. 7, no. 1, 2024.</w:t>
      </w:r>
    </w:p>
    <w:p w:rsidR="00000000" w:rsidDel="00000000" w:rsidP="00000000" w:rsidRDefault="00000000" w:rsidRPr="00000000" w14:paraId="00000037">
      <w:pPr>
        <w:rPr/>
      </w:pPr>
      <w:r w:rsidDel="00000000" w:rsidR="00000000" w:rsidRPr="00000000">
        <w:rPr>
          <w:rtl w:val="0"/>
        </w:rPr>
        <w:t xml:space="preserve">[13] P. Dhiman, M. K. Yadav and A. Sharma, "A Review and Comparative Analysis of Relevant Zero-Trust Architecture Implementations," Sensors, vol. 24, no. 4, 2024.</w:t>
      </w:r>
    </w:p>
    <w:p w:rsidR="00000000" w:rsidDel="00000000" w:rsidP="00000000" w:rsidRDefault="00000000" w:rsidRPr="00000000" w14:paraId="00000038">
      <w:pPr>
        <w:rPr/>
      </w:pPr>
      <w:r w:rsidDel="00000000" w:rsidR="00000000" w:rsidRPr="00000000">
        <w:rPr>
          <w:rtl w:val="0"/>
        </w:rPr>
        <w:t xml:space="preserve">[14] S. Mushtaq et al., "A Systematic Literature Review on the Implementation and Evaluation of Zero Trust Architecture," Sensors, vol. 25, no. 19, 2025.</w:t>
      </w:r>
    </w:p>
    <w:p w:rsidR="00000000" w:rsidDel="00000000" w:rsidP="00000000" w:rsidRDefault="00000000" w:rsidRPr="00000000" w14:paraId="00000039">
      <w:pPr>
        <w:rPr/>
      </w:pPr>
      <w:r w:rsidDel="00000000" w:rsidR="00000000" w:rsidRPr="00000000">
        <w:rPr>
          <w:rtl w:val="0"/>
        </w:rPr>
        <w:t xml:space="preserve">[15] Cybersecurity and Infrastructure Security Agency, Implementing Phishing-Resistant MFA, 2022.</w:t>
      </w:r>
    </w:p>
    <w:p w:rsidR="00000000" w:rsidDel="00000000" w:rsidP="00000000" w:rsidRDefault="00000000" w:rsidRPr="00000000" w14:paraId="0000003A">
      <w:pPr>
        <w:rPr/>
      </w:pPr>
      <w:r w:rsidDel="00000000" w:rsidR="00000000" w:rsidRPr="00000000">
        <w:rPr>
          <w:rtl w:val="0"/>
        </w:rPr>
        <w:t xml:space="preserve">[16] MITRE ATT&amp;CK, Steal Web Session Cookie (T1539), 2019.</w:t>
      </w:r>
    </w:p>
    <w:p w:rsidR="00000000" w:rsidDel="00000000" w:rsidP="00000000" w:rsidRDefault="00000000" w:rsidRPr="00000000" w14:paraId="0000003B">
      <w:pPr>
        <w:rPr/>
        <w:sectPr>
          <w:pgSz w:h="16838" w:w="11906" w:orient="portrait"/>
          <w:pgMar w:bottom="1247" w:top="1247" w:left="1134" w:right="1134" w:header="720" w:footer="720"/>
          <w:pgNumType w:start="1"/>
          <w:cols w:equalWidth="0" w:num="2">
            <w:col w:space="720" w:w="4458.999999999999"/>
            <w:col w:space="0" w:w="4458.999999999999"/>
          </w:cols>
        </w:sectPr>
      </w:pPr>
      <w:r w:rsidDel="00000000" w:rsidR="00000000" w:rsidRPr="00000000">
        <w:rPr>
          <w:rtl w:val="0"/>
        </w:rPr>
        <w:t xml:space="preserve">[17] OWASP Foundation, Session Management Cheat Sheet, 2024.</w:t>
      </w:r>
    </w:p>
    <w:p w:rsidR="00000000" w:rsidDel="00000000" w:rsidP="00000000" w:rsidRDefault="00000000" w:rsidRPr="00000000" w14:paraId="0000003C">
      <w:pPr>
        <w:pStyle w:val="Heading1"/>
        <w:jc w:val="left"/>
        <w:rPr/>
      </w:pPr>
      <w:r w:rsidDel="00000000" w:rsidR="00000000" w:rsidRPr="00000000">
        <w:rPr>
          <w:rFonts w:ascii="Times New Roman" w:cs="Times New Roman" w:eastAsia="Times New Roman" w:hAnsi="Times New Roman"/>
          <w:rtl w:val="0"/>
        </w:rPr>
        <w:t xml:space="preserve">Task 2: Zero-Trust-Aligned Security Programme for MediTrust Analytics Ltd</w:t>
      </w:r>
      <w:r w:rsidDel="00000000" w:rsidR="00000000" w:rsidRPr="00000000">
        <w:rPr>
          <w:rtl w:val="0"/>
        </w:rPr>
      </w:r>
    </w:p>
    <w:p w:rsidR="00000000" w:rsidDel="00000000" w:rsidP="00000000" w:rsidRDefault="00000000" w:rsidRPr="00000000" w14:paraId="0000003D">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Abstract— This section proposes a practical starter design for MediTrust’s new security unit. The design is intentionally strategic rather than excessively technical so that it meets the brief, supports later expansion, and can be justified with the research carried out in Task 1.</w:t>
      </w:r>
      <w:r w:rsidDel="00000000" w:rsidR="00000000" w:rsidRPr="00000000">
        <w:rPr>
          <w:rtl w:val="0"/>
        </w:rPr>
      </w:r>
    </w:p>
    <w:p w:rsidR="00000000" w:rsidDel="00000000" w:rsidP="00000000" w:rsidRDefault="00000000" w:rsidRPr="00000000" w14:paraId="0000003E">
      <w:pPr>
        <w:pStyle w:val="Heading2"/>
        <w:jc w:val="left"/>
        <w:rPr/>
      </w:pPr>
      <w:r w:rsidDel="00000000" w:rsidR="00000000" w:rsidRPr="00000000">
        <w:rPr>
          <w:rFonts w:ascii="Times New Roman" w:cs="Times New Roman" w:eastAsia="Times New Roman" w:hAnsi="Times New Roman"/>
          <w:rtl w:val="0"/>
        </w:rPr>
        <w:t xml:space="preserve">Introduction</w:t>
      </w:r>
      <w:r w:rsidDel="00000000" w:rsidR="00000000" w:rsidRPr="00000000">
        <w:rPr>
          <w:rtl w:val="0"/>
        </w:rPr>
      </w:r>
    </w:p>
    <w:p w:rsidR="00000000" w:rsidDel="00000000" w:rsidP="00000000" w:rsidRDefault="00000000" w:rsidRPr="00000000" w14:paraId="0000003F">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MediTrust Analytics Ltd operates in a high-risk environment. It develops AI-enabled clinical decision support systems, stores sensitive health-related data, works with hospitals and research partners, and relies on a hybrid workforce and multi-cloud platforms. The scenario also points to growing regulatory pressure as the organisation expands into the EU. This combination means security cannot be treated as a technical support function. It has to become part of corporate governance, service delivery and product development.</w:t>
      </w: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t xml:space="preserve">The programme proposed below is designed around zero trust principles because the company cannot safely rely on network location, informal trust between teams, or supplier assurances alone. Every material access path into patient data, development pipelines, SaaS platforms and cloud workloads should be governed through strong identity, policy-based access, device assurance and continuous monitoring. The design uses NIST CSF 2.0 as the governance backbone because it connects security work to business outcomes such as patient safety, service availability, compliance evidence and client confidence [2].</w:t>
      </w:r>
    </w:p>
    <w:p w:rsidR="00000000" w:rsidDel="00000000" w:rsidP="00000000" w:rsidRDefault="00000000" w:rsidRPr="00000000" w14:paraId="00000041">
      <w:pPr>
        <w:pStyle w:val="Heading2"/>
        <w:jc w:val="left"/>
        <w:rPr/>
      </w:pPr>
      <w:r w:rsidDel="00000000" w:rsidR="00000000" w:rsidRPr="00000000">
        <w:rPr>
          <w:rFonts w:ascii="Times New Roman" w:cs="Times New Roman" w:eastAsia="Times New Roman" w:hAnsi="Times New Roman"/>
          <w:rtl w:val="0"/>
        </w:rPr>
        <w:t xml:space="preserve">Strategic design principles</w:t>
      </w:r>
      <w:r w:rsidDel="00000000" w:rsidR="00000000" w:rsidRPr="00000000">
        <w:rPr>
          <w:rtl w:val="0"/>
        </w:rPr>
      </w:r>
    </w:p>
    <w:p w:rsidR="00000000" w:rsidDel="00000000" w:rsidP="00000000" w:rsidRDefault="00000000" w:rsidRPr="00000000" w14:paraId="00000042">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programme is based on five principles. First, protect the most sensitive assets first: clinical data, AI training data, source code, model repositories, identity systems and cloud control planes. Second, make identity the centre of trust decisions through phishing-resistant MFA, conditional access and privileged access controls. Third, minimise implicit trust between users, devices, workloads and third parties through segmentation and application-level access. Fourth, build resilience into operations by treating cyber incidents as inevitable and planning for detection, containment and recovery. Fifth, align controls to legal and contractual duties, especially around health data handling, incident reporting, resilience testing and third-party risk [5], [6], [7].</w:t>
      </w:r>
      <w:r w:rsidDel="00000000" w:rsidR="00000000" w:rsidRPr="00000000">
        <w:rPr>
          <w:rtl w:val="0"/>
        </w:rPr>
      </w:r>
    </w:p>
    <w:p w:rsidR="00000000" w:rsidDel="00000000" w:rsidP="00000000" w:rsidRDefault="00000000" w:rsidRPr="00000000" w14:paraId="00000043">
      <w:pPr>
        <w:pStyle w:val="Heading2"/>
        <w:jc w:val="left"/>
        <w:rPr/>
      </w:pPr>
      <w:r w:rsidDel="00000000" w:rsidR="00000000" w:rsidRPr="00000000">
        <w:rPr>
          <w:rFonts w:ascii="Times New Roman" w:cs="Times New Roman" w:eastAsia="Times New Roman" w:hAnsi="Times New Roman"/>
          <w:rtl w:val="0"/>
        </w:rPr>
        <w:t xml:space="preserve">Proposed organisation structure</w:t>
      </w:r>
      <w:r w:rsidDel="00000000" w:rsidR="00000000" w:rsidRPr="00000000">
        <w:rPr>
          <w:rtl w:val="0"/>
        </w:rPr>
      </w:r>
    </w:p>
    <w:p w:rsidR="00000000" w:rsidDel="00000000" w:rsidP="00000000" w:rsidRDefault="00000000" w:rsidRPr="00000000" w14:paraId="00000044">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new information security unit should report to executive leadership through a Chief Information Security Officer or, if that role does not yet exist, a Head of Security with board access. This avoids the common problem of security being buried too deeply inside IT operations. Two specialist roles should be added immediately.</w:t>
      </w:r>
      <w:r w:rsidDel="00000000" w:rsidR="00000000" w:rsidRPr="00000000">
        <w:rPr>
          <w:rtl w:val="0"/>
        </w:rPr>
      </w:r>
    </w:p>
    <w:p w:rsidR="00000000" w:rsidDel="00000000" w:rsidP="00000000" w:rsidRDefault="00000000" w:rsidRPr="00000000" w14:paraId="00000045">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Cloud Security Architect should own secure cloud patterns, landing zones, identity integration, workload segmentation, key management and cloud posture baselines across providers. This role is essential because MediTrust depends on multi-cloud services and cannot afford inconsistent controls between environments.</w:t>
      </w:r>
      <w:r w:rsidDel="00000000" w:rsidR="00000000" w:rsidRPr="00000000">
        <w:rPr>
          <w:rtl w:val="0"/>
        </w:rPr>
      </w:r>
    </w:p>
    <w:p w:rsidR="00000000" w:rsidDel="00000000" w:rsidP="00000000" w:rsidRDefault="00000000" w:rsidRPr="00000000" w14:paraId="00000046">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DevSecOps Lead should embed security into the software and model development lifecycle. This includes secure coding standards, dependency scanning, infrastructure-as-code reviews, secrets management, software bill of materials practices and release gate criteria. For a company building AI-supported healthcare software, this role also becomes important for model provenance and supply-chain assurance.</w:t>
      </w:r>
      <w:r w:rsidDel="00000000" w:rsidR="00000000" w:rsidRPr="00000000">
        <w:rPr>
          <w:rtl w:val="0"/>
        </w:rPr>
      </w:r>
    </w:p>
    <w:p w:rsidR="00000000" w:rsidDel="00000000" w:rsidP="00000000" w:rsidRDefault="00000000" w:rsidRPr="00000000" w14:paraId="00000047">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These roles should work alongside Data Protection, Legal/Compliance, Engineering and Business Continuity representatives in a small governance forum that meets monthly and escalates major issues to leadership.</w:t>
      </w:r>
      <w:r w:rsidDel="00000000" w:rsidR="00000000" w:rsidRPr="00000000">
        <w:rPr>
          <w:rtl w:val="0"/>
        </w:rPr>
      </w:r>
    </w:p>
    <w:p w:rsidR="00000000" w:rsidDel="00000000" w:rsidP="00000000" w:rsidRDefault="00000000" w:rsidRPr="00000000" w14:paraId="00000048">
      <w:pPr>
        <w:spacing w:after="80" w:before="80" w:lineRule="auto"/>
        <w:jc w:val="center"/>
        <w:rPr/>
      </w:pPr>
      <w:r w:rsidDel="00000000" w:rsidR="00000000" w:rsidRPr="00000000">
        <w:rPr>
          <w:rFonts w:ascii="Times New Roman" w:cs="Times New Roman" w:eastAsia="Times New Roman" w:hAnsi="Times New Roman"/>
          <w:i w:val="1"/>
          <w:iCs w:val="1"/>
          <w:sz w:val="18"/>
          <w:szCs w:val="18"/>
          <w:rtl w:val="0"/>
        </w:rPr>
        <w:t xml:space="preserve">Table 1. Proposed security roles for MediTrust’s new unit</w:t>
      </w:r>
      <w:r w:rsidDel="00000000" w:rsidR="00000000" w:rsidRPr="00000000">
        <w:rPr>
          <w:rtl w:val="0"/>
        </w:rPr>
      </w:r>
    </w:p>
    <w:p w:rsidR="00000000" w:rsidDel="00000000" w:rsidP="00000000" w:rsidRDefault="00000000" w:rsidRPr="00000000" w14:paraId="00000049">
      <w:pPr>
        <w:jc w:val="center"/>
        <w:rPr/>
      </w:pPr>
      <w:r w:rsidDel="00000000" w:rsidR="00000000" w:rsidRPr="00000000">
        <w:rPr/>
        <w:drawing>
          <wp:inline distB="0" distT="0" distL="114300" distR="114300">
            <wp:extent cx="2926080" cy="1666029"/>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926080" cy="1666029"/>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jc w:val="center"/>
        <w:rPr/>
      </w:pPr>
      <w:r w:rsidDel="00000000" w:rsidR="00000000" w:rsidRPr="00000000">
        <w:rPr>
          <w:rtl w:val="0"/>
        </w:rPr>
        <w:t xml:space="preserve">Figure 1. Zero-trust-aligned operating model for MediTrust.</w:t>
      </w:r>
    </w:p>
    <w:tbl>
      <w:tblPr>
        <w:tblStyle w:val="Table1"/>
        <w:tblW w:w="96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13"/>
        <w:gridCol w:w="3213"/>
        <w:gridCol w:w="3213"/>
        <w:tblGridChange w:id="0">
          <w:tblGrid>
            <w:gridCol w:w="3213"/>
            <w:gridCol w:w="3213"/>
            <w:gridCol w:w="3213"/>
          </w:tblGrid>
        </w:tblGridChange>
      </w:tblGrid>
      <w:tr>
        <w:trPr>
          <w:cantSplit w:val="0"/>
          <w:tblHeader w:val="0"/>
        </w:trPr>
        <w:tc>
          <w:tcPr>
            <w:vAlign w:val="center"/>
          </w:tcPr>
          <w:p w:rsidR="00000000" w:rsidDel="00000000" w:rsidP="00000000" w:rsidRDefault="00000000" w:rsidRPr="00000000" w14:paraId="0000004B">
            <w:pPr>
              <w:jc w:val="left"/>
              <w:rPr/>
            </w:pPr>
            <w:r w:rsidDel="00000000" w:rsidR="00000000" w:rsidRPr="00000000">
              <w:rPr>
                <w:rFonts w:ascii="Times New Roman" w:cs="Times New Roman" w:eastAsia="Times New Roman" w:hAnsi="Times New Roman"/>
                <w:b w:val="1"/>
                <w:bCs w:val="1"/>
                <w:sz w:val="17"/>
                <w:szCs w:val="17"/>
                <w:rtl w:val="0"/>
              </w:rPr>
              <w:t xml:space="preserve">Role</w:t>
            </w:r>
            <w:r w:rsidDel="00000000" w:rsidR="00000000" w:rsidRPr="00000000">
              <w:rPr>
                <w:rtl w:val="0"/>
              </w:rPr>
            </w:r>
          </w:p>
        </w:tc>
        <w:tc>
          <w:tcPr>
            <w:vAlign w:val="center"/>
          </w:tcPr>
          <w:p w:rsidR="00000000" w:rsidDel="00000000" w:rsidP="00000000" w:rsidRDefault="00000000" w:rsidRPr="00000000" w14:paraId="0000004C">
            <w:pPr>
              <w:jc w:val="left"/>
              <w:rPr/>
            </w:pPr>
            <w:r w:rsidDel="00000000" w:rsidR="00000000" w:rsidRPr="00000000">
              <w:rPr>
                <w:rFonts w:ascii="Times New Roman" w:cs="Times New Roman" w:eastAsia="Times New Roman" w:hAnsi="Times New Roman"/>
                <w:b w:val="1"/>
                <w:bCs w:val="1"/>
                <w:sz w:val="17"/>
                <w:szCs w:val="17"/>
                <w:rtl w:val="0"/>
              </w:rPr>
              <w:t xml:space="preserve">Core responsibilities</w:t>
            </w:r>
            <w:r w:rsidDel="00000000" w:rsidR="00000000" w:rsidRPr="00000000">
              <w:rPr>
                <w:rtl w:val="0"/>
              </w:rPr>
            </w:r>
          </w:p>
        </w:tc>
        <w:tc>
          <w:tcPr>
            <w:vAlign w:val="center"/>
          </w:tcPr>
          <w:p w:rsidR="00000000" w:rsidDel="00000000" w:rsidP="00000000" w:rsidRDefault="00000000" w:rsidRPr="00000000" w14:paraId="0000004D">
            <w:pPr>
              <w:jc w:val="left"/>
              <w:rPr/>
            </w:pPr>
            <w:r w:rsidDel="00000000" w:rsidR="00000000" w:rsidRPr="00000000">
              <w:rPr>
                <w:rFonts w:ascii="Times New Roman" w:cs="Times New Roman" w:eastAsia="Times New Roman" w:hAnsi="Times New Roman"/>
                <w:b w:val="1"/>
                <w:bCs w:val="1"/>
                <w:sz w:val="17"/>
                <w:szCs w:val="17"/>
                <w:rtl w:val="0"/>
              </w:rPr>
              <w:t xml:space="preserve">Why it matters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E">
            <w:pPr>
              <w:jc w:val="left"/>
              <w:rPr/>
            </w:pPr>
            <w:r w:rsidDel="00000000" w:rsidR="00000000" w:rsidRPr="00000000">
              <w:rPr>
                <w:rFonts w:ascii="Times New Roman" w:cs="Times New Roman" w:eastAsia="Times New Roman" w:hAnsi="Times New Roman"/>
                <w:b w:val="0"/>
                <w:bCs w:val="0"/>
                <w:sz w:val="17"/>
                <w:szCs w:val="17"/>
                <w:rtl w:val="0"/>
              </w:rPr>
              <w:t xml:space="preserve">Head of Security / CISO</w:t>
            </w:r>
            <w:r w:rsidDel="00000000" w:rsidR="00000000" w:rsidRPr="00000000">
              <w:rPr>
                <w:rtl w:val="0"/>
              </w:rPr>
            </w:r>
          </w:p>
        </w:tc>
        <w:tc>
          <w:tcPr>
            <w:vAlign w:val="center"/>
          </w:tcPr>
          <w:p w:rsidR="00000000" w:rsidDel="00000000" w:rsidP="00000000" w:rsidRDefault="00000000" w:rsidRPr="00000000" w14:paraId="0000004F">
            <w:pPr>
              <w:jc w:val="left"/>
              <w:rPr/>
            </w:pPr>
            <w:r w:rsidDel="00000000" w:rsidR="00000000" w:rsidRPr="00000000">
              <w:rPr>
                <w:rFonts w:ascii="Times New Roman" w:cs="Times New Roman" w:eastAsia="Times New Roman" w:hAnsi="Times New Roman"/>
                <w:b w:val="0"/>
                <w:bCs w:val="0"/>
                <w:sz w:val="17"/>
                <w:szCs w:val="17"/>
                <w:rtl w:val="0"/>
              </w:rPr>
              <w:t xml:space="preserve">Board reporting, risk ownership, oversight of policy, incident governance and regulatory coordination.</w:t>
            </w:r>
            <w:r w:rsidDel="00000000" w:rsidR="00000000" w:rsidRPr="00000000">
              <w:rPr>
                <w:rtl w:val="0"/>
              </w:rPr>
            </w:r>
          </w:p>
        </w:tc>
        <w:tc>
          <w:tcPr>
            <w:vAlign w:val="center"/>
          </w:tcPr>
          <w:p w:rsidR="00000000" w:rsidDel="00000000" w:rsidP="00000000" w:rsidRDefault="00000000" w:rsidRPr="00000000" w14:paraId="00000050">
            <w:pPr>
              <w:jc w:val="left"/>
              <w:rPr/>
            </w:pPr>
            <w:r w:rsidDel="00000000" w:rsidR="00000000" w:rsidRPr="00000000">
              <w:rPr>
                <w:rFonts w:ascii="Times New Roman" w:cs="Times New Roman" w:eastAsia="Times New Roman" w:hAnsi="Times New Roman"/>
                <w:b w:val="0"/>
                <w:bCs w:val="0"/>
                <w:sz w:val="17"/>
                <w:szCs w:val="17"/>
                <w:rtl w:val="0"/>
              </w:rPr>
              <w:t xml:space="preserve">Gives security authority beyond day-to-day IT operations.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1">
            <w:pPr>
              <w:jc w:val="left"/>
              <w:rPr/>
            </w:pPr>
            <w:r w:rsidDel="00000000" w:rsidR="00000000" w:rsidRPr="00000000">
              <w:rPr>
                <w:rFonts w:ascii="Times New Roman" w:cs="Times New Roman" w:eastAsia="Times New Roman" w:hAnsi="Times New Roman"/>
                <w:b w:val="0"/>
                <w:bCs w:val="0"/>
                <w:sz w:val="17"/>
                <w:szCs w:val="17"/>
                <w:rtl w:val="0"/>
              </w:rPr>
              <w:t xml:space="preserve">Cloud Security Architect</w:t>
            </w:r>
            <w:r w:rsidDel="00000000" w:rsidR="00000000" w:rsidRPr="00000000">
              <w:rPr>
                <w:rtl w:val="0"/>
              </w:rPr>
            </w:r>
          </w:p>
        </w:tc>
        <w:tc>
          <w:tcPr>
            <w:vAlign w:val="center"/>
          </w:tcPr>
          <w:p w:rsidR="00000000" w:rsidDel="00000000" w:rsidP="00000000" w:rsidRDefault="00000000" w:rsidRPr="00000000" w14:paraId="00000052">
            <w:pPr>
              <w:jc w:val="left"/>
              <w:rPr/>
            </w:pPr>
            <w:r w:rsidDel="00000000" w:rsidR="00000000" w:rsidRPr="00000000">
              <w:rPr>
                <w:rFonts w:ascii="Times New Roman" w:cs="Times New Roman" w:eastAsia="Times New Roman" w:hAnsi="Times New Roman"/>
                <w:b w:val="0"/>
                <w:bCs w:val="0"/>
                <w:sz w:val="17"/>
                <w:szCs w:val="17"/>
                <w:rtl w:val="0"/>
              </w:rPr>
              <w:t xml:space="preserve">Designs landing zones, IAM patterns, segmentation, encryption, key management and cloud posture baselines.</w:t>
            </w:r>
            <w:r w:rsidDel="00000000" w:rsidR="00000000" w:rsidRPr="00000000">
              <w:rPr>
                <w:rtl w:val="0"/>
              </w:rPr>
            </w:r>
          </w:p>
        </w:tc>
        <w:tc>
          <w:tcPr>
            <w:vAlign w:val="center"/>
          </w:tcPr>
          <w:p w:rsidR="00000000" w:rsidDel="00000000" w:rsidP="00000000" w:rsidRDefault="00000000" w:rsidRPr="00000000" w14:paraId="00000053">
            <w:pPr>
              <w:jc w:val="left"/>
              <w:rPr/>
            </w:pPr>
            <w:r w:rsidDel="00000000" w:rsidR="00000000" w:rsidRPr="00000000">
              <w:rPr>
                <w:rFonts w:ascii="Times New Roman" w:cs="Times New Roman" w:eastAsia="Times New Roman" w:hAnsi="Times New Roman"/>
                <w:b w:val="0"/>
                <w:bCs w:val="0"/>
                <w:sz w:val="17"/>
                <w:szCs w:val="17"/>
                <w:rtl w:val="0"/>
              </w:rPr>
              <w:t xml:space="preserve">Ensures multi-cloud controls are consistent and secure by design.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4">
            <w:pPr>
              <w:jc w:val="left"/>
              <w:rPr/>
            </w:pPr>
            <w:r w:rsidDel="00000000" w:rsidR="00000000" w:rsidRPr="00000000">
              <w:rPr>
                <w:rFonts w:ascii="Times New Roman" w:cs="Times New Roman" w:eastAsia="Times New Roman" w:hAnsi="Times New Roman"/>
                <w:b w:val="0"/>
                <w:bCs w:val="0"/>
                <w:sz w:val="17"/>
                <w:szCs w:val="17"/>
                <w:rtl w:val="0"/>
              </w:rPr>
              <w:t xml:space="preserve">DevSecOps Lead</w:t>
            </w:r>
            <w:r w:rsidDel="00000000" w:rsidR="00000000" w:rsidRPr="00000000">
              <w:rPr>
                <w:rtl w:val="0"/>
              </w:rPr>
            </w:r>
          </w:p>
        </w:tc>
        <w:tc>
          <w:tcPr>
            <w:vAlign w:val="center"/>
          </w:tcPr>
          <w:p w:rsidR="00000000" w:rsidDel="00000000" w:rsidP="00000000" w:rsidRDefault="00000000" w:rsidRPr="00000000" w14:paraId="00000055">
            <w:pPr>
              <w:jc w:val="left"/>
              <w:rPr/>
            </w:pPr>
            <w:r w:rsidDel="00000000" w:rsidR="00000000" w:rsidRPr="00000000">
              <w:rPr>
                <w:rFonts w:ascii="Times New Roman" w:cs="Times New Roman" w:eastAsia="Times New Roman" w:hAnsi="Times New Roman"/>
                <w:b w:val="0"/>
                <w:bCs w:val="0"/>
                <w:sz w:val="17"/>
                <w:szCs w:val="17"/>
                <w:rtl w:val="0"/>
              </w:rPr>
              <w:t xml:space="preserve">Integrates security into CI/CD, code review, dependency scanning, secrets handling and release gates.</w:t>
            </w:r>
            <w:r w:rsidDel="00000000" w:rsidR="00000000" w:rsidRPr="00000000">
              <w:rPr>
                <w:rtl w:val="0"/>
              </w:rPr>
            </w:r>
          </w:p>
        </w:tc>
        <w:tc>
          <w:tcPr>
            <w:vAlign w:val="center"/>
          </w:tcPr>
          <w:p w:rsidR="00000000" w:rsidDel="00000000" w:rsidP="00000000" w:rsidRDefault="00000000" w:rsidRPr="00000000" w14:paraId="00000056">
            <w:pPr>
              <w:jc w:val="left"/>
              <w:rPr/>
            </w:pPr>
            <w:r w:rsidDel="00000000" w:rsidR="00000000" w:rsidRPr="00000000">
              <w:rPr>
                <w:rFonts w:ascii="Times New Roman" w:cs="Times New Roman" w:eastAsia="Times New Roman" w:hAnsi="Times New Roman"/>
                <w:b w:val="0"/>
                <w:bCs w:val="0"/>
                <w:sz w:val="17"/>
                <w:szCs w:val="17"/>
                <w:rtl w:val="0"/>
              </w:rPr>
              <w:t xml:space="preserve">Reduces software supply-chain risk and supports secure product delivery.</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7">
            <w:pPr>
              <w:jc w:val="left"/>
              <w:rPr/>
            </w:pPr>
            <w:r w:rsidDel="00000000" w:rsidR="00000000" w:rsidRPr="00000000">
              <w:rPr>
                <w:rFonts w:ascii="Times New Roman" w:cs="Times New Roman" w:eastAsia="Times New Roman" w:hAnsi="Times New Roman"/>
                <w:b w:val="0"/>
                <w:bCs w:val="0"/>
                <w:sz w:val="17"/>
                <w:szCs w:val="17"/>
                <w:rtl w:val="0"/>
              </w:rPr>
              <w:t xml:space="preserve">Data Protection / Compliance Lead</w:t>
            </w:r>
            <w:r w:rsidDel="00000000" w:rsidR="00000000" w:rsidRPr="00000000">
              <w:rPr>
                <w:rtl w:val="0"/>
              </w:rPr>
            </w:r>
          </w:p>
        </w:tc>
        <w:tc>
          <w:tcPr>
            <w:vAlign w:val="center"/>
          </w:tcPr>
          <w:p w:rsidR="00000000" w:rsidDel="00000000" w:rsidP="00000000" w:rsidRDefault="00000000" w:rsidRPr="00000000" w14:paraId="00000058">
            <w:pPr>
              <w:jc w:val="left"/>
              <w:rPr/>
            </w:pPr>
            <w:r w:rsidDel="00000000" w:rsidR="00000000" w:rsidRPr="00000000">
              <w:rPr>
                <w:rFonts w:ascii="Times New Roman" w:cs="Times New Roman" w:eastAsia="Times New Roman" w:hAnsi="Times New Roman"/>
                <w:b w:val="0"/>
                <w:bCs w:val="0"/>
                <w:sz w:val="17"/>
                <w:szCs w:val="17"/>
                <w:rtl w:val="0"/>
              </w:rPr>
              <w:t xml:space="preserve">Coordinates GDPR, DPIAs, records of processing, supplier assurance and breach obligations.</w:t>
            </w:r>
            <w:r w:rsidDel="00000000" w:rsidR="00000000" w:rsidRPr="00000000">
              <w:rPr>
                <w:rtl w:val="0"/>
              </w:rPr>
            </w:r>
          </w:p>
        </w:tc>
        <w:tc>
          <w:tcPr>
            <w:vAlign w:val="center"/>
          </w:tcPr>
          <w:p w:rsidR="00000000" w:rsidDel="00000000" w:rsidP="00000000" w:rsidRDefault="00000000" w:rsidRPr="00000000" w14:paraId="00000059">
            <w:pPr>
              <w:jc w:val="left"/>
              <w:rPr/>
            </w:pPr>
            <w:r w:rsidDel="00000000" w:rsidR="00000000" w:rsidRPr="00000000">
              <w:rPr>
                <w:rFonts w:ascii="Times New Roman" w:cs="Times New Roman" w:eastAsia="Times New Roman" w:hAnsi="Times New Roman"/>
                <w:b w:val="0"/>
                <w:bCs w:val="0"/>
                <w:sz w:val="17"/>
                <w:szCs w:val="17"/>
                <w:rtl w:val="0"/>
              </w:rPr>
              <w:t xml:space="preserve">Important because MediTrust handles sensitive health-related data.</w:t>
            </w:r>
            <w:r w:rsidDel="00000000" w:rsidR="00000000" w:rsidRPr="00000000">
              <w:rPr>
                <w:rtl w:val="0"/>
              </w:rPr>
            </w:r>
          </w:p>
        </w:tc>
      </w:tr>
    </w:tbl>
    <w:p w:rsidR="00000000" w:rsidDel="00000000" w:rsidP="00000000" w:rsidRDefault="00000000" w:rsidRPr="00000000" w14:paraId="0000005A">
      <w:pPr>
        <w:pStyle w:val="Heading2"/>
        <w:jc w:val="left"/>
        <w:rPr/>
      </w:pPr>
      <w:r w:rsidDel="00000000" w:rsidR="00000000" w:rsidRPr="00000000">
        <w:rPr>
          <w:rFonts w:ascii="Times New Roman" w:cs="Times New Roman" w:eastAsia="Times New Roman" w:hAnsi="Times New Roman"/>
          <w:rtl w:val="0"/>
        </w:rPr>
        <w:t xml:space="preserve">Core policies and procedures</w:t>
      </w:r>
      <w:r w:rsidDel="00000000" w:rsidR="00000000" w:rsidRPr="00000000">
        <w:rPr>
          <w:rtl w:val="0"/>
        </w:rPr>
      </w:r>
    </w:p>
    <w:p w:rsidR="00000000" w:rsidDel="00000000" w:rsidP="00000000" w:rsidRDefault="00000000" w:rsidRPr="00000000" w14:paraId="0000005B">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Three policies should be prioritised.</w:t>
      </w:r>
      <w:r w:rsidDel="00000000" w:rsidR="00000000" w:rsidRPr="00000000">
        <w:rPr>
          <w:rtl w:val="0"/>
        </w:rPr>
      </w:r>
    </w:p>
    <w:p w:rsidR="00000000" w:rsidDel="00000000" w:rsidP="00000000" w:rsidRDefault="00000000" w:rsidRPr="00000000" w14:paraId="0000005C">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1. AI Usage Policy. This should define approved AI tools, acceptable training data sources, human oversight requirements, model validation, prompt and output handling rules, and restrictions on entering identifiable patient data into external AI services. It should also require traceability for training datasets and model versions.</w:t>
      </w:r>
      <w:r w:rsidDel="00000000" w:rsidR="00000000" w:rsidRPr="00000000">
        <w:rPr>
          <w:rtl w:val="0"/>
        </w:rPr>
      </w:r>
    </w:p>
    <w:p w:rsidR="00000000" w:rsidDel="00000000" w:rsidP="00000000" w:rsidRDefault="00000000" w:rsidRPr="00000000" w14:paraId="0000005D">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2. Secure SaaS Configuration Policy. This should set mandatory controls for cloud and SaaS platforms, including single sign-on, MFA enforcement, role-based access, logging, retention settings, data residency review, tenant configuration baselines and formal approval of third-party integrations.</w:t>
      </w:r>
      <w:r w:rsidDel="00000000" w:rsidR="00000000" w:rsidRPr="00000000">
        <w:rPr>
          <w:rtl w:val="0"/>
        </w:rPr>
      </w:r>
    </w:p>
    <w:p w:rsidR="00000000" w:rsidDel="00000000" w:rsidP="00000000" w:rsidRDefault="00000000" w:rsidRPr="00000000" w14:paraId="0000005E">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3. BYOD and Hybrid Working Policy. This should distinguish clearly between managed and unmanaged devices. Access to clinical, source-code and administrative systems should only be permitted from managed devices meeting security posture requirements. Personal devices may be limited to low-risk collaboration tools through browser isolation or virtual desktop controls.</w:t>
      </w:r>
      <w:r w:rsidDel="00000000" w:rsidR="00000000" w:rsidRPr="00000000">
        <w:rPr>
          <w:rtl w:val="0"/>
        </w:rPr>
      </w:r>
    </w:p>
    <w:p w:rsidR="00000000" w:rsidDel="00000000" w:rsidP="00000000" w:rsidRDefault="00000000" w:rsidRPr="00000000" w14:paraId="0000005F">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Each policy should be supported by procedures, not left as a high-level statement. For example, the BYOD policy needs an enrolment process, posture checks, lost-device reporting steps and clear sanctions for non-compliance.</w:t>
      </w:r>
      <w:r w:rsidDel="00000000" w:rsidR="00000000" w:rsidRPr="00000000">
        <w:rPr>
          <w:rtl w:val="0"/>
        </w:rPr>
      </w:r>
    </w:p>
    <w:p w:rsidR="00000000" w:rsidDel="00000000" w:rsidP="00000000" w:rsidRDefault="00000000" w:rsidRPr="00000000" w14:paraId="00000060">
      <w:pPr>
        <w:pStyle w:val="Heading2"/>
        <w:jc w:val="left"/>
        <w:rPr/>
      </w:pPr>
      <w:r w:rsidDel="00000000" w:rsidR="00000000" w:rsidRPr="00000000">
        <w:rPr>
          <w:rFonts w:ascii="Times New Roman" w:cs="Times New Roman" w:eastAsia="Times New Roman" w:hAnsi="Times New Roman"/>
          <w:rtl w:val="0"/>
        </w:rPr>
        <w:t xml:space="preserve">Governance model using NIST CSF 2.0</w:t>
      </w:r>
      <w:r w:rsidDel="00000000" w:rsidR="00000000" w:rsidRPr="00000000">
        <w:rPr>
          <w:rtl w:val="0"/>
        </w:rPr>
      </w:r>
    </w:p>
    <w:p w:rsidR="00000000" w:rsidDel="00000000" w:rsidP="00000000" w:rsidRDefault="00000000" w:rsidRPr="00000000" w14:paraId="00000061">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NIST CSF 2.0 is a suitable governance model because it begins with Govern rather than treating security only as a technical control set [2]. For MediTrust, the framework can be translated into the following operating model.</w:t>
      </w:r>
      <w:r w:rsidDel="00000000" w:rsidR="00000000" w:rsidRPr="00000000">
        <w:rPr>
          <w:rtl w:val="0"/>
        </w:rPr>
      </w:r>
    </w:p>
    <w:p w:rsidR="00000000" w:rsidDel="00000000" w:rsidP="00000000" w:rsidRDefault="00000000" w:rsidRPr="00000000" w14:paraId="00000062">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Govern: define risk appetite, security responsibilities, supplier oversight, AI accountability and board reporting. The board should receive quarterly reporting on cyber risk, major incidents, third-party exposure and resilience testing.</w:t>
      </w:r>
      <w:r w:rsidDel="00000000" w:rsidR="00000000" w:rsidRPr="00000000">
        <w:rPr>
          <w:rtl w:val="0"/>
        </w:rPr>
      </w:r>
    </w:p>
    <w:p w:rsidR="00000000" w:rsidDel="00000000" w:rsidP="00000000" w:rsidRDefault="00000000" w:rsidRPr="00000000" w14:paraId="00000063">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Identify: maintain asset inventories for patient data stores, AI models, repositories, cloud assets, SaaS applications and critical suppliers. Data classification must distinguish research data, production health data, and intellectual property.</w:t>
      </w:r>
      <w:r w:rsidDel="00000000" w:rsidR="00000000" w:rsidRPr="00000000">
        <w:rPr>
          <w:rtl w:val="0"/>
        </w:rPr>
      </w:r>
    </w:p>
    <w:p w:rsidR="00000000" w:rsidDel="00000000" w:rsidP="00000000" w:rsidRDefault="00000000" w:rsidRPr="00000000" w14:paraId="00000064">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Protect: enforce MFA, conditional access, encryption, secure configuration baselines, privileged access management, endpoint hardening and secure development controls.</w:t>
      </w:r>
      <w:r w:rsidDel="00000000" w:rsidR="00000000" w:rsidRPr="00000000">
        <w:rPr>
          <w:rtl w:val="0"/>
        </w:rPr>
      </w:r>
    </w:p>
    <w:p w:rsidR="00000000" w:rsidDel="00000000" w:rsidP="00000000" w:rsidRDefault="00000000" w:rsidRPr="00000000" w14:paraId="00000065">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Detect: centralise logs from identity providers, endpoints, SaaS platforms, code repositories and cloud environments into a SIEM with alerting for suspicious access, privilege misuse, impossible travel, anomalous model changes and cloud misconfiguration.</w:t>
      </w:r>
      <w:r w:rsidDel="00000000" w:rsidR="00000000" w:rsidRPr="00000000">
        <w:rPr>
          <w:rtl w:val="0"/>
        </w:rPr>
      </w:r>
    </w:p>
    <w:p w:rsidR="00000000" w:rsidDel="00000000" w:rsidP="00000000" w:rsidRDefault="00000000" w:rsidRPr="00000000" w14:paraId="00000066">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Respond: maintain incident playbooks for ransomware, data breach, supplier compromise and model poisoning. Roles, decision rights and communication paths should be pre-agreed.</w:t>
      </w:r>
      <w:r w:rsidDel="00000000" w:rsidR="00000000" w:rsidRPr="00000000">
        <w:rPr>
          <w:rtl w:val="0"/>
        </w:rPr>
      </w:r>
    </w:p>
    <w:p w:rsidR="00000000" w:rsidDel="00000000" w:rsidP="00000000" w:rsidRDefault="00000000" w:rsidRPr="00000000" w14:paraId="00000067">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Recover: define recovery time and recovery point targets for critical systems, maintain immutable backups, and test restoration of code repositories, training datasets and cloud infrastructure regularly.</w:t>
      </w:r>
      <w:r w:rsidDel="00000000" w:rsidR="00000000" w:rsidRPr="00000000">
        <w:rPr>
          <w:rtl w:val="0"/>
        </w:rPr>
      </w:r>
    </w:p>
    <w:p w:rsidR="00000000" w:rsidDel="00000000" w:rsidP="00000000" w:rsidRDefault="00000000" w:rsidRPr="00000000" w14:paraId="00000068">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This governance approach links security activity directly to business outcomes. For MediTrust, those outcomes are safe service delivery, evidence of compliance, continuity of software development and preservation of trust with healthcare clients.</w:t>
      </w:r>
      <w:r w:rsidDel="00000000" w:rsidR="00000000" w:rsidRPr="00000000">
        <w:rPr>
          <w:rtl w:val="0"/>
        </w:rPr>
      </w:r>
    </w:p>
    <w:p w:rsidR="00000000" w:rsidDel="00000000" w:rsidP="00000000" w:rsidRDefault="00000000" w:rsidRPr="00000000" w14:paraId="00000069">
      <w:pPr>
        <w:pStyle w:val="Heading2"/>
        <w:jc w:val="left"/>
        <w:rPr/>
      </w:pPr>
      <w:r w:rsidDel="00000000" w:rsidR="00000000" w:rsidRPr="00000000">
        <w:rPr>
          <w:rFonts w:ascii="Times New Roman" w:cs="Times New Roman" w:eastAsia="Times New Roman" w:hAnsi="Times New Roman"/>
          <w:rtl w:val="0"/>
        </w:rPr>
        <w:t xml:space="preserve">Compliance approach for GDPR, DORA and NIS2</w:t>
      </w: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GDPR is clearly relevant because MediTrust handles health-related personal data, which falls within special category data and therefore requires a lawful basis, an appropriate Article 9 condition, and stronger safeguards than ordinary personal data [9], [10]. The company should apply data minimisation, role-based access, encryption, retention controls, data protection impact assessments for high-risk processing and stricter processor due diligence for cloud and analytics suppliers.</w:t>
      </w:r>
    </w:p>
    <w:p w:rsidR="00000000" w:rsidDel="00000000" w:rsidP="00000000" w:rsidRDefault="00000000" w:rsidRPr="00000000" w14:paraId="0000006B">
      <w:pPr>
        <w:jc w:val="both"/>
        <w:rPr/>
      </w:pPr>
      <w:r w:rsidDel="00000000" w:rsidR="00000000" w:rsidRPr="00000000">
        <w:rPr>
          <w:rtl w:val="0"/>
        </w:rPr>
        <w:t xml:space="preserve">NIS2 should be treated as a direct design constraint for this scenario because the brief places MediTrust in the EU healthcare market, where cybersecurity governance, supply-chain assurance and incident reporting expectations are materially higher than older baseline practice [5], [6]. The security programme should therefore support management accountability, documented risk measures, supplier controls and a reporting workflow capable of escalating a significant incident quickly and consistently across affected jurisdictions.</w:t>
      </w:r>
    </w:p>
    <w:p w:rsidR="00000000" w:rsidDel="00000000" w:rsidP="00000000" w:rsidRDefault="00000000" w:rsidRPr="00000000" w14:paraId="0000006C">
      <w:pPr>
        <w:jc w:val="both"/>
        <w:rPr/>
      </w:pPr>
      <w:r w:rsidDel="00000000" w:rsidR="00000000" w:rsidRPr="00000000">
        <w:rPr>
          <w:rtl w:val="0"/>
        </w:rPr>
        <w:t xml:space="preserve">DORA is sector-specific in law, but for this assignment it should be treated as a mandatory operational resilience benchmark rather than an optional reference point. MediTrust should therefore build controls that mirror DORA's expectations for ICT risk management, resilience testing, backup and restoration assurance, incident handling and oversight of critical third-party ICT providers [7], [8]. That is the safer interpretation of the brief, and it produces a more resilient design anyway.</w:t>
      </w:r>
    </w:p>
    <w:p w:rsidR="00000000" w:rsidDel="00000000" w:rsidP="00000000" w:rsidRDefault="00000000" w:rsidRPr="00000000" w14:paraId="0000006D">
      <w:pPr>
        <w:jc w:val="both"/>
        <w:rPr/>
      </w:pPr>
      <w:r w:rsidDel="00000000" w:rsidR="00000000" w:rsidRPr="00000000">
        <w:rPr>
          <w:rtl w:val="0"/>
        </w:rPr>
        <w:t xml:space="preserve">The practical implication is that MediTrust should build one integrated compliance model rather than separate parallel programmes. A single control library mapped to GDPR, NIS2, DORA and internal policy would reduce duplication and make assurance work more manageable. In practical terms, the incident process should be written to meet NIS2-style staged reporting expectations, while resilience testing, failover evidence and third-party oversight should be documented to a DORA-aligned standard [5], [7], [8].</w:t>
      </w:r>
    </w:p>
    <w:p w:rsidR="00000000" w:rsidDel="00000000" w:rsidP="00000000" w:rsidRDefault="00000000" w:rsidRPr="00000000" w14:paraId="0000006E">
      <w:pPr>
        <w:spacing w:after="80" w:before="80" w:lineRule="auto"/>
        <w:jc w:val="center"/>
        <w:rPr/>
      </w:pPr>
      <w:r w:rsidDel="00000000" w:rsidR="00000000" w:rsidRPr="00000000">
        <w:rPr>
          <w:rFonts w:ascii="Times New Roman" w:cs="Times New Roman" w:eastAsia="Times New Roman" w:hAnsi="Times New Roman"/>
          <w:i w:val="1"/>
          <w:iCs w:val="1"/>
          <w:sz w:val="18"/>
          <w:szCs w:val="18"/>
          <w:rtl w:val="0"/>
        </w:rPr>
        <w:t xml:space="preserve">Table 2. Indicative compliance mapping</w:t>
      </w:r>
      <w:r w:rsidDel="00000000" w:rsidR="00000000" w:rsidRPr="00000000">
        <w:rPr>
          <w:rtl w:val="0"/>
        </w:rPr>
      </w:r>
    </w:p>
    <w:tbl>
      <w:tblPr>
        <w:tblStyle w:val="Table2"/>
        <w:tblW w:w="96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13"/>
        <w:gridCol w:w="3213"/>
        <w:gridCol w:w="3213"/>
        <w:tblGridChange w:id="0">
          <w:tblGrid>
            <w:gridCol w:w="3213"/>
            <w:gridCol w:w="3213"/>
            <w:gridCol w:w="3213"/>
          </w:tblGrid>
        </w:tblGridChange>
      </w:tblGrid>
      <w:tr>
        <w:trPr>
          <w:cantSplit w:val="0"/>
          <w:tblHeader w:val="0"/>
        </w:trPr>
        <w:tc>
          <w:tcPr>
            <w:vAlign w:val="center"/>
          </w:tcPr>
          <w:p w:rsidR="00000000" w:rsidDel="00000000" w:rsidP="00000000" w:rsidRDefault="00000000" w:rsidRPr="00000000" w14:paraId="0000006F">
            <w:pPr>
              <w:jc w:val="left"/>
              <w:rPr/>
            </w:pPr>
            <w:r w:rsidDel="00000000" w:rsidR="00000000" w:rsidRPr="00000000">
              <w:rPr>
                <w:rFonts w:ascii="Times New Roman" w:cs="Times New Roman" w:eastAsia="Times New Roman" w:hAnsi="Times New Roman"/>
                <w:b w:val="1"/>
                <w:bCs w:val="1"/>
                <w:sz w:val="17"/>
                <w:szCs w:val="17"/>
                <w:rtl w:val="0"/>
              </w:rPr>
              <w:t xml:space="preserve">Regulation / standard</w:t>
            </w:r>
            <w:r w:rsidDel="00000000" w:rsidR="00000000" w:rsidRPr="00000000">
              <w:rPr>
                <w:rtl w:val="0"/>
              </w:rPr>
            </w:r>
          </w:p>
        </w:tc>
        <w:tc>
          <w:tcPr>
            <w:vAlign w:val="center"/>
          </w:tcPr>
          <w:p w:rsidR="00000000" w:rsidDel="00000000" w:rsidP="00000000" w:rsidRDefault="00000000" w:rsidRPr="00000000" w14:paraId="00000070">
            <w:pPr>
              <w:jc w:val="left"/>
              <w:rPr/>
            </w:pPr>
            <w:r w:rsidDel="00000000" w:rsidR="00000000" w:rsidRPr="00000000">
              <w:rPr>
                <w:rFonts w:ascii="Times New Roman" w:cs="Times New Roman" w:eastAsia="Times New Roman" w:hAnsi="Times New Roman"/>
                <w:b w:val="1"/>
                <w:bCs w:val="1"/>
                <w:sz w:val="17"/>
                <w:szCs w:val="17"/>
                <w:rtl w:val="0"/>
              </w:rPr>
              <w:t xml:space="preserve">Main concern for MediTrust</w:t>
            </w:r>
            <w:r w:rsidDel="00000000" w:rsidR="00000000" w:rsidRPr="00000000">
              <w:rPr>
                <w:rtl w:val="0"/>
              </w:rPr>
            </w:r>
          </w:p>
        </w:tc>
        <w:tc>
          <w:tcPr>
            <w:vAlign w:val="center"/>
          </w:tcPr>
          <w:p w:rsidR="00000000" w:rsidDel="00000000" w:rsidP="00000000" w:rsidRDefault="00000000" w:rsidRPr="00000000" w14:paraId="00000071">
            <w:pPr>
              <w:jc w:val="left"/>
              <w:rPr/>
            </w:pPr>
            <w:r w:rsidDel="00000000" w:rsidR="00000000" w:rsidRPr="00000000">
              <w:rPr>
                <w:rFonts w:ascii="Times New Roman" w:cs="Times New Roman" w:eastAsia="Times New Roman" w:hAnsi="Times New Roman"/>
                <w:b w:val="1"/>
                <w:bCs w:val="1"/>
                <w:sz w:val="17"/>
                <w:szCs w:val="17"/>
                <w:rtl w:val="0"/>
              </w:rPr>
              <w:t xml:space="preserve">Suggested response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2">
            <w:pPr>
              <w:jc w:val="left"/>
              <w:rPr/>
            </w:pPr>
            <w:r w:rsidDel="00000000" w:rsidR="00000000" w:rsidRPr="00000000">
              <w:rPr>
                <w:rFonts w:ascii="Times New Roman" w:cs="Times New Roman" w:eastAsia="Times New Roman" w:hAnsi="Times New Roman"/>
                <w:b w:val="0"/>
                <w:bCs w:val="0"/>
                <w:sz w:val="17"/>
                <w:szCs w:val="17"/>
                <w:rtl w:val="0"/>
              </w:rPr>
              <w:t xml:space="preserve">GDPR</w:t>
            </w:r>
            <w:r w:rsidDel="00000000" w:rsidR="00000000" w:rsidRPr="00000000">
              <w:rPr>
                <w:rtl w:val="0"/>
              </w:rPr>
            </w:r>
          </w:p>
        </w:tc>
        <w:tc>
          <w:tcPr>
            <w:vAlign w:val="center"/>
          </w:tcPr>
          <w:p w:rsidR="00000000" w:rsidDel="00000000" w:rsidP="00000000" w:rsidRDefault="00000000" w:rsidRPr="00000000" w14:paraId="00000073">
            <w:pPr>
              <w:jc w:val="left"/>
              <w:rPr/>
            </w:pPr>
            <w:r w:rsidDel="00000000" w:rsidR="00000000" w:rsidRPr="00000000">
              <w:rPr>
                <w:rFonts w:ascii="Times New Roman" w:cs="Times New Roman" w:eastAsia="Times New Roman" w:hAnsi="Times New Roman"/>
                <w:b w:val="0"/>
                <w:bCs w:val="0"/>
                <w:sz w:val="17"/>
                <w:szCs w:val="17"/>
                <w:rtl w:val="0"/>
              </w:rPr>
              <w:t xml:space="preserve">Lawful processing of health data, minimisation, security and accountability.</w:t>
            </w:r>
            <w:r w:rsidDel="00000000" w:rsidR="00000000" w:rsidRPr="00000000">
              <w:rPr>
                <w:rtl w:val="0"/>
              </w:rPr>
            </w:r>
          </w:p>
        </w:tc>
        <w:tc>
          <w:tcPr>
            <w:vAlign w:val="center"/>
          </w:tcPr>
          <w:p w:rsidR="00000000" w:rsidDel="00000000" w:rsidP="00000000" w:rsidRDefault="00000000" w:rsidRPr="00000000" w14:paraId="00000074">
            <w:pPr>
              <w:jc w:val="left"/>
              <w:rPr/>
            </w:pPr>
            <w:r w:rsidDel="00000000" w:rsidR="00000000" w:rsidRPr="00000000">
              <w:rPr>
                <w:rFonts w:ascii="Times New Roman" w:cs="Times New Roman" w:eastAsia="Times New Roman" w:hAnsi="Times New Roman"/>
                <w:b w:val="0"/>
                <w:bCs w:val="0"/>
                <w:sz w:val="17"/>
                <w:szCs w:val="17"/>
                <w:rtl w:val="0"/>
              </w:rPr>
              <w:t xml:space="preserve">Use DPIAs, encryption, access control, retention rules and processor due diligence.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5">
            <w:pPr>
              <w:jc w:val="left"/>
              <w:rPr/>
            </w:pPr>
            <w:r w:rsidDel="00000000" w:rsidR="00000000" w:rsidRPr="00000000">
              <w:rPr>
                <w:rFonts w:ascii="Times New Roman" w:cs="Times New Roman" w:eastAsia="Times New Roman" w:hAnsi="Times New Roman"/>
                <w:b w:val="0"/>
                <w:bCs w:val="0"/>
                <w:sz w:val="17"/>
                <w:szCs w:val="17"/>
                <w:rtl w:val="0"/>
              </w:rPr>
              <w:t xml:space="preserve">NIS2</w:t>
            </w:r>
            <w:r w:rsidDel="00000000" w:rsidR="00000000" w:rsidRPr="00000000">
              <w:rPr>
                <w:rtl w:val="0"/>
              </w:rPr>
            </w:r>
          </w:p>
        </w:tc>
        <w:tc>
          <w:tcPr>
            <w:vAlign w:val="center"/>
          </w:tcPr>
          <w:p w:rsidR="00000000" w:rsidDel="00000000" w:rsidP="00000000" w:rsidRDefault="00000000" w:rsidRPr="00000000" w14:paraId="00000076">
            <w:pPr>
              <w:jc w:val="left"/>
              <w:rPr/>
            </w:pPr>
            <w:r w:rsidDel="00000000" w:rsidR="00000000" w:rsidRPr="00000000">
              <w:rPr>
                <w:rFonts w:ascii="Times New Roman" w:cs="Times New Roman" w:eastAsia="Times New Roman" w:hAnsi="Times New Roman"/>
                <w:b w:val="0"/>
                <w:bCs w:val="0"/>
                <w:sz w:val="17"/>
                <w:szCs w:val="17"/>
                <w:rtl w:val="0"/>
              </w:rPr>
              <w:t xml:space="preserve">Cyber risk management, governance, reporting and supply-chain security.</w:t>
            </w:r>
            <w:r w:rsidDel="00000000" w:rsidR="00000000" w:rsidRPr="00000000">
              <w:rPr>
                <w:rtl w:val="0"/>
              </w:rPr>
            </w:r>
          </w:p>
        </w:tc>
        <w:tc>
          <w:tcPr>
            <w:vAlign w:val="center"/>
          </w:tcPr>
          <w:p w:rsidR="00000000" w:rsidDel="00000000" w:rsidP="00000000" w:rsidRDefault="00000000" w:rsidRPr="00000000" w14:paraId="00000077">
            <w:pPr>
              <w:jc w:val="left"/>
              <w:rPr/>
            </w:pPr>
            <w:r w:rsidDel="00000000" w:rsidR="00000000" w:rsidRPr="00000000">
              <w:rPr>
                <w:rFonts w:ascii="Times New Roman" w:cs="Times New Roman" w:eastAsia="Times New Roman" w:hAnsi="Times New Roman"/>
                <w:b w:val="0"/>
                <w:bCs w:val="0"/>
                <w:sz w:val="17"/>
                <w:szCs w:val="17"/>
                <w:rtl w:val="0"/>
              </w:rPr>
              <w:t xml:space="preserve">Maintain incident playbooks, board oversight, supplier assurance and monitoring.</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8">
            <w:pPr>
              <w:jc w:val="left"/>
              <w:rPr/>
            </w:pPr>
            <w:r w:rsidDel="00000000" w:rsidR="00000000" w:rsidRPr="00000000">
              <w:rPr>
                <w:rFonts w:ascii="Times New Roman" w:cs="Times New Roman" w:eastAsia="Times New Roman" w:hAnsi="Times New Roman"/>
                <w:b w:val="0"/>
                <w:bCs w:val="0"/>
                <w:sz w:val="17"/>
                <w:szCs w:val="17"/>
                <w:rtl w:val="0"/>
              </w:rPr>
              <w:t xml:space="preserve">DORA-aligned resilience</w:t>
            </w:r>
            <w:r w:rsidDel="00000000" w:rsidR="00000000" w:rsidRPr="00000000">
              <w:rPr>
                <w:rtl w:val="0"/>
              </w:rPr>
            </w:r>
          </w:p>
        </w:tc>
        <w:tc>
          <w:tcPr>
            <w:vAlign w:val="center"/>
          </w:tcPr>
          <w:p w:rsidR="00000000" w:rsidDel="00000000" w:rsidP="00000000" w:rsidRDefault="00000000" w:rsidRPr="00000000" w14:paraId="00000079">
            <w:pPr>
              <w:jc w:val="left"/>
              <w:rPr/>
            </w:pPr>
            <w:r w:rsidDel="00000000" w:rsidR="00000000" w:rsidRPr="00000000">
              <w:rPr>
                <w:rFonts w:ascii="Times New Roman" w:cs="Times New Roman" w:eastAsia="Times New Roman" w:hAnsi="Times New Roman"/>
                <w:b w:val="0"/>
                <w:bCs w:val="0"/>
                <w:sz w:val="17"/>
                <w:szCs w:val="17"/>
                <w:rtl w:val="0"/>
              </w:rPr>
              <w:t xml:space="preserve">Operational resilience, testing and ICT third-party oversight.</w:t>
            </w:r>
            <w:r w:rsidDel="00000000" w:rsidR="00000000" w:rsidRPr="00000000">
              <w:rPr>
                <w:rtl w:val="0"/>
              </w:rPr>
            </w:r>
          </w:p>
        </w:tc>
        <w:tc>
          <w:tcPr>
            <w:vAlign w:val="center"/>
          </w:tcPr>
          <w:p w:rsidR="00000000" w:rsidDel="00000000" w:rsidP="00000000" w:rsidRDefault="00000000" w:rsidRPr="00000000" w14:paraId="0000007A">
            <w:pPr>
              <w:jc w:val="left"/>
              <w:rPr/>
            </w:pPr>
            <w:r w:rsidDel="00000000" w:rsidR="00000000" w:rsidRPr="00000000">
              <w:rPr>
                <w:rFonts w:ascii="Times New Roman" w:cs="Times New Roman" w:eastAsia="Times New Roman" w:hAnsi="Times New Roman"/>
                <w:b w:val="0"/>
                <w:bCs w:val="0"/>
                <w:sz w:val="17"/>
                <w:szCs w:val="17"/>
                <w:rtl w:val="0"/>
              </w:rPr>
              <w:t xml:space="preserve">Adopt resilience testing, backup assurance and formal cloud provider review.</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B">
            <w:pPr>
              <w:jc w:val="left"/>
              <w:rPr/>
            </w:pPr>
            <w:r w:rsidDel="00000000" w:rsidR="00000000" w:rsidRPr="00000000">
              <w:rPr>
                <w:rFonts w:ascii="Times New Roman" w:cs="Times New Roman" w:eastAsia="Times New Roman" w:hAnsi="Times New Roman"/>
                <w:b w:val="0"/>
                <w:bCs w:val="0"/>
                <w:sz w:val="17"/>
                <w:szCs w:val="17"/>
                <w:rtl w:val="0"/>
              </w:rPr>
              <w:t xml:space="preserve">NIST CSF 2.0</w:t>
            </w:r>
            <w:r w:rsidDel="00000000" w:rsidR="00000000" w:rsidRPr="00000000">
              <w:rPr>
                <w:rtl w:val="0"/>
              </w:rPr>
            </w:r>
          </w:p>
        </w:tc>
        <w:tc>
          <w:tcPr>
            <w:vAlign w:val="center"/>
          </w:tcPr>
          <w:p w:rsidR="00000000" w:rsidDel="00000000" w:rsidP="00000000" w:rsidRDefault="00000000" w:rsidRPr="00000000" w14:paraId="0000007C">
            <w:pPr>
              <w:jc w:val="left"/>
              <w:rPr/>
            </w:pPr>
            <w:r w:rsidDel="00000000" w:rsidR="00000000" w:rsidRPr="00000000">
              <w:rPr>
                <w:rFonts w:ascii="Times New Roman" w:cs="Times New Roman" w:eastAsia="Times New Roman" w:hAnsi="Times New Roman"/>
                <w:b w:val="0"/>
                <w:bCs w:val="0"/>
                <w:sz w:val="17"/>
                <w:szCs w:val="17"/>
                <w:rtl w:val="0"/>
              </w:rPr>
              <w:t xml:space="preserve">Governance model linking controls to business goals.</w:t>
            </w:r>
            <w:r w:rsidDel="00000000" w:rsidR="00000000" w:rsidRPr="00000000">
              <w:rPr>
                <w:rtl w:val="0"/>
              </w:rPr>
            </w:r>
          </w:p>
        </w:tc>
        <w:tc>
          <w:tcPr>
            <w:vAlign w:val="center"/>
          </w:tcPr>
          <w:p w:rsidR="00000000" w:rsidDel="00000000" w:rsidP="00000000" w:rsidRDefault="00000000" w:rsidRPr="00000000" w14:paraId="0000007D">
            <w:pPr>
              <w:jc w:val="left"/>
              <w:rPr/>
            </w:pPr>
            <w:r w:rsidDel="00000000" w:rsidR="00000000" w:rsidRPr="00000000">
              <w:rPr>
                <w:rFonts w:ascii="Times New Roman" w:cs="Times New Roman" w:eastAsia="Times New Roman" w:hAnsi="Times New Roman"/>
                <w:b w:val="0"/>
                <w:bCs w:val="0"/>
                <w:sz w:val="17"/>
                <w:szCs w:val="17"/>
                <w:rtl w:val="0"/>
              </w:rPr>
              <w:t xml:space="preserve">Use Govern-Identify-Protect-Detect-Respond-Recover as the programme structure.</w:t>
            </w:r>
            <w:r w:rsidDel="00000000" w:rsidR="00000000" w:rsidRPr="00000000">
              <w:rPr>
                <w:rtl w:val="0"/>
              </w:rPr>
            </w:r>
          </w:p>
        </w:tc>
      </w:tr>
    </w:tbl>
    <w:p w:rsidR="00000000" w:rsidDel="00000000" w:rsidP="00000000" w:rsidRDefault="00000000" w:rsidRPr="00000000" w14:paraId="0000007E">
      <w:pPr>
        <w:pStyle w:val="Heading2"/>
        <w:jc w:val="left"/>
        <w:rPr/>
      </w:pPr>
      <w:r w:rsidDel="00000000" w:rsidR="00000000" w:rsidRPr="00000000">
        <w:rPr>
          <w:rFonts w:ascii="Times New Roman" w:cs="Times New Roman" w:eastAsia="Times New Roman" w:hAnsi="Times New Roman"/>
          <w:rtl w:val="0"/>
        </w:rPr>
        <w:t xml:space="preserve">High-level risk assessment</w:t>
      </w:r>
      <w:r w:rsidDel="00000000" w:rsidR="00000000" w:rsidRPr="00000000">
        <w:rPr>
          <w:rtl w:val="0"/>
        </w:rPr>
      </w:r>
    </w:p>
    <w:p w:rsidR="00000000" w:rsidDel="00000000" w:rsidP="00000000" w:rsidRDefault="00000000" w:rsidRPr="00000000" w14:paraId="0000007F">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most significant risks in the scenario are software supply-chain compromise, poisoned or tampered AI models, cloud misconfiguration, privileged account abuse, ransomware affecting development assets, and data leakage through insecure SaaS or unmanaged devices. These risks are serious because they can affect both confidentiality and patient safety. For example, manipulated model artefacts may not only expose data but also degrade clinical recommendations.</w:t>
      </w:r>
      <w:r w:rsidDel="00000000" w:rsidR="00000000" w:rsidRPr="00000000">
        <w:rPr>
          <w:rtl w:val="0"/>
        </w:rPr>
      </w:r>
    </w:p>
    <w:p w:rsidR="00000000" w:rsidDel="00000000" w:rsidP="00000000" w:rsidRDefault="00000000" w:rsidRPr="00000000" w14:paraId="00000080">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A high-level assessment suggests that cloud misconfiguration and dependency risk are the most likely near-term issues, while ransomware and model poisoning are lower-frequency but potentially severe events. This justifies prioritising identity controls, secure configuration monitoring, dependency management and immutable backups before more advanced optimisation work.</w:t>
      </w:r>
      <w:r w:rsidDel="00000000" w:rsidR="00000000" w:rsidRPr="00000000">
        <w:rPr>
          <w:rtl w:val="0"/>
        </w:rPr>
      </w:r>
    </w:p>
    <w:p w:rsidR="00000000" w:rsidDel="00000000" w:rsidP="00000000" w:rsidRDefault="00000000" w:rsidRPr="00000000" w14:paraId="00000081">
      <w:pPr>
        <w:spacing w:after="80" w:before="80" w:lineRule="auto"/>
        <w:jc w:val="center"/>
        <w:rPr/>
      </w:pPr>
      <w:r w:rsidDel="00000000" w:rsidR="00000000" w:rsidRPr="00000000">
        <w:rPr>
          <w:rFonts w:ascii="Times New Roman" w:cs="Times New Roman" w:eastAsia="Times New Roman" w:hAnsi="Times New Roman"/>
          <w:i w:val="1"/>
          <w:iCs w:val="1"/>
          <w:sz w:val="18"/>
          <w:szCs w:val="18"/>
          <w:rtl w:val="0"/>
        </w:rPr>
        <w:t xml:space="preserve">Table 3. High-level risk snapshot</w:t>
      </w:r>
      <w:r w:rsidDel="00000000" w:rsidR="00000000" w:rsidRPr="00000000">
        <w:rPr>
          <w:rtl w:val="0"/>
        </w:rPr>
      </w:r>
    </w:p>
    <w:tbl>
      <w:tblPr>
        <w:tblStyle w:val="Table3"/>
        <w:tblW w:w="96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9"/>
        <w:gridCol w:w="2409"/>
        <w:gridCol w:w="2409"/>
        <w:gridCol w:w="2409"/>
        <w:tblGridChange w:id="0">
          <w:tblGrid>
            <w:gridCol w:w="2409"/>
            <w:gridCol w:w="2409"/>
            <w:gridCol w:w="2409"/>
            <w:gridCol w:w="2409"/>
          </w:tblGrid>
        </w:tblGridChange>
      </w:tblGrid>
      <w:tr>
        <w:trPr>
          <w:cantSplit w:val="0"/>
          <w:tblHeader w:val="0"/>
        </w:trPr>
        <w:tc>
          <w:tcPr>
            <w:vAlign w:val="center"/>
          </w:tcPr>
          <w:p w:rsidR="00000000" w:rsidDel="00000000" w:rsidP="00000000" w:rsidRDefault="00000000" w:rsidRPr="00000000" w14:paraId="00000082">
            <w:pPr>
              <w:jc w:val="left"/>
              <w:rPr/>
            </w:pPr>
            <w:r w:rsidDel="00000000" w:rsidR="00000000" w:rsidRPr="00000000">
              <w:rPr>
                <w:rFonts w:ascii="Times New Roman" w:cs="Times New Roman" w:eastAsia="Times New Roman" w:hAnsi="Times New Roman"/>
                <w:b w:val="1"/>
                <w:bCs w:val="1"/>
                <w:sz w:val="16"/>
                <w:szCs w:val="16"/>
                <w:rtl w:val="0"/>
              </w:rPr>
              <w:t xml:space="preserve">Risk</w:t>
            </w:r>
            <w:r w:rsidDel="00000000" w:rsidR="00000000" w:rsidRPr="00000000">
              <w:rPr>
                <w:rtl w:val="0"/>
              </w:rPr>
            </w:r>
          </w:p>
        </w:tc>
        <w:tc>
          <w:tcPr>
            <w:vAlign w:val="center"/>
          </w:tcPr>
          <w:p w:rsidR="00000000" w:rsidDel="00000000" w:rsidP="00000000" w:rsidRDefault="00000000" w:rsidRPr="00000000" w14:paraId="00000083">
            <w:pPr>
              <w:jc w:val="left"/>
              <w:rPr/>
            </w:pPr>
            <w:r w:rsidDel="00000000" w:rsidR="00000000" w:rsidRPr="00000000">
              <w:rPr>
                <w:rFonts w:ascii="Times New Roman" w:cs="Times New Roman" w:eastAsia="Times New Roman" w:hAnsi="Times New Roman"/>
                <w:b w:val="1"/>
                <w:bCs w:val="1"/>
                <w:sz w:val="16"/>
                <w:szCs w:val="16"/>
                <w:rtl w:val="0"/>
              </w:rPr>
              <w:t xml:space="preserve">Likelihood</w:t>
            </w:r>
            <w:r w:rsidDel="00000000" w:rsidR="00000000" w:rsidRPr="00000000">
              <w:rPr>
                <w:rtl w:val="0"/>
              </w:rPr>
            </w:r>
          </w:p>
        </w:tc>
        <w:tc>
          <w:tcPr>
            <w:vAlign w:val="center"/>
          </w:tcPr>
          <w:p w:rsidR="00000000" w:rsidDel="00000000" w:rsidP="00000000" w:rsidRDefault="00000000" w:rsidRPr="00000000" w14:paraId="00000084">
            <w:pPr>
              <w:jc w:val="left"/>
              <w:rPr/>
            </w:pPr>
            <w:r w:rsidDel="00000000" w:rsidR="00000000" w:rsidRPr="00000000">
              <w:rPr>
                <w:rFonts w:ascii="Times New Roman" w:cs="Times New Roman" w:eastAsia="Times New Roman" w:hAnsi="Times New Roman"/>
                <w:b w:val="1"/>
                <w:bCs w:val="1"/>
                <w:sz w:val="16"/>
                <w:szCs w:val="16"/>
                <w:rtl w:val="0"/>
              </w:rPr>
              <w:t xml:space="preserve">Impact</w:t>
            </w:r>
            <w:r w:rsidDel="00000000" w:rsidR="00000000" w:rsidRPr="00000000">
              <w:rPr>
                <w:rtl w:val="0"/>
              </w:rPr>
            </w:r>
          </w:p>
        </w:tc>
        <w:tc>
          <w:tcPr>
            <w:vAlign w:val="center"/>
          </w:tcPr>
          <w:p w:rsidR="00000000" w:rsidDel="00000000" w:rsidP="00000000" w:rsidRDefault="00000000" w:rsidRPr="00000000" w14:paraId="00000085">
            <w:pPr>
              <w:jc w:val="left"/>
              <w:rPr/>
            </w:pPr>
            <w:r w:rsidDel="00000000" w:rsidR="00000000" w:rsidRPr="00000000">
              <w:rPr>
                <w:rFonts w:ascii="Times New Roman" w:cs="Times New Roman" w:eastAsia="Times New Roman" w:hAnsi="Times New Roman"/>
                <w:b w:val="1"/>
                <w:bCs w:val="1"/>
                <w:sz w:val="16"/>
                <w:szCs w:val="16"/>
                <w:rtl w:val="0"/>
              </w:rPr>
              <w:t xml:space="preserve">Priority response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6">
            <w:pPr>
              <w:jc w:val="left"/>
              <w:rPr/>
            </w:pPr>
            <w:r w:rsidDel="00000000" w:rsidR="00000000" w:rsidRPr="00000000">
              <w:rPr>
                <w:rFonts w:ascii="Times New Roman" w:cs="Times New Roman" w:eastAsia="Times New Roman" w:hAnsi="Times New Roman"/>
                <w:b w:val="0"/>
                <w:bCs w:val="0"/>
                <w:sz w:val="17"/>
                <w:szCs w:val="17"/>
                <w:rtl w:val="0"/>
              </w:rPr>
              <w:t xml:space="preserve">Cloud misconfiguration</w:t>
            </w:r>
            <w:r w:rsidDel="00000000" w:rsidR="00000000" w:rsidRPr="00000000">
              <w:rPr>
                <w:rtl w:val="0"/>
              </w:rPr>
            </w:r>
          </w:p>
        </w:tc>
        <w:tc>
          <w:tcPr>
            <w:vAlign w:val="center"/>
          </w:tcPr>
          <w:p w:rsidR="00000000" w:rsidDel="00000000" w:rsidP="00000000" w:rsidRDefault="00000000" w:rsidRPr="00000000" w14:paraId="00000087">
            <w:pPr>
              <w:jc w:val="left"/>
              <w:rPr/>
            </w:pPr>
            <w:r w:rsidDel="00000000" w:rsidR="00000000" w:rsidRPr="00000000">
              <w:rPr>
                <w:rFonts w:ascii="Times New Roman" w:cs="Times New Roman" w:eastAsia="Times New Roman" w:hAnsi="Times New Roman"/>
                <w:b w:val="0"/>
                <w:bCs w:val="0"/>
                <w:sz w:val="17"/>
                <w:szCs w:val="17"/>
                <w:rtl w:val="0"/>
              </w:rPr>
              <w:t xml:space="preserve">High</w:t>
            </w:r>
            <w:r w:rsidDel="00000000" w:rsidR="00000000" w:rsidRPr="00000000">
              <w:rPr>
                <w:rtl w:val="0"/>
              </w:rPr>
            </w:r>
          </w:p>
        </w:tc>
        <w:tc>
          <w:tcPr>
            <w:vAlign w:val="center"/>
          </w:tcPr>
          <w:p w:rsidR="00000000" w:rsidDel="00000000" w:rsidP="00000000" w:rsidRDefault="00000000" w:rsidRPr="00000000" w14:paraId="00000088">
            <w:pPr>
              <w:jc w:val="left"/>
              <w:rPr/>
            </w:pPr>
            <w:r w:rsidDel="00000000" w:rsidR="00000000" w:rsidRPr="00000000">
              <w:rPr>
                <w:rFonts w:ascii="Times New Roman" w:cs="Times New Roman" w:eastAsia="Times New Roman" w:hAnsi="Times New Roman"/>
                <w:b w:val="0"/>
                <w:bCs w:val="0"/>
                <w:sz w:val="17"/>
                <w:szCs w:val="17"/>
                <w:rtl w:val="0"/>
              </w:rPr>
              <w:t xml:space="preserve">High</w:t>
            </w:r>
            <w:r w:rsidDel="00000000" w:rsidR="00000000" w:rsidRPr="00000000">
              <w:rPr>
                <w:rtl w:val="0"/>
              </w:rPr>
            </w:r>
          </w:p>
        </w:tc>
        <w:tc>
          <w:tcPr>
            <w:vAlign w:val="center"/>
          </w:tcPr>
          <w:p w:rsidR="00000000" w:rsidDel="00000000" w:rsidP="00000000" w:rsidRDefault="00000000" w:rsidRPr="00000000" w14:paraId="00000089">
            <w:pPr>
              <w:jc w:val="left"/>
              <w:rPr/>
            </w:pPr>
            <w:r w:rsidDel="00000000" w:rsidR="00000000" w:rsidRPr="00000000">
              <w:rPr>
                <w:rFonts w:ascii="Times New Roman" w:cs="Times New Roman" w:eastAsia="Times New Roman" w:hAnsi="Times New Roman"/>
                <w:b w:val="0"/>
                <w:bCs w:val="0"/>
                <w:sz w:val="17"/>
                <w:szCs w:val="17"/>
                <w:rtl w:val="0"/>
              </w:rPr>
              <w:t xml:space="preserve">CSPM, hardened baselines, peer review of IaC.</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A">
            <w:pPr>
              <w:jc w:val="left"/>
              <w:rPr/>
            </w:pPr>
            <w:r w:rsidDel="00000000" w:rsidR="00000000" w:rsidRPr="00000000">
              <w:rPr>
                <w:rFonts w:ascii="Times New Roman" w:cs="Times New Roman" w:eastAsia="Times New Roman" w:hAnsi="Times New Roman"/>
                <w:b w:val="0"/>
                <w:bCs w:val="0"/>
                <w:sz w:val="17"/>
                <w:szCs w:val="17"/>
                <w:rtl w:val="0"/>
              </w:rPr>
              <w:t xml:space="preserve">Vulnerable dependencies</w:t>
            </w:r>
            <w:r w:rsidDel="00000000" w:rsidR="00000000" w:rsidRPr="00000000">
              <w:rPr>
                <w:rtl w:val="0"/>
              </w:rPr>
            </w:r>
          </w:p>
        </w:tc>
        <w:tc>
          <w:tcPr>
            <w:vAlign w:val="center"/>
          </w:tcPr>
          <w:p w:rsidR="00000000" w:rsidDel="00000000" w:rsidP="00000000" w:rsidRDefault="00000000" w:rsidRPr="00000000" w14:paraId="0000008B">
            <w:pPr>
              <w:jc w:val="left"/>
              <w:rPr/>
            </w:pPr>
            <w:r w:rsidDel="00000000" w:rsidR="00000000" w:rsidRPr="00000000">
              <w:rPr>
                <w:rFonts w:ascii="Times New Roman" w:cs="Times New Roman" w:eastAsia="Times New Roman" w:hAnsi="Times New Roman"/>
                <w:b w:val="0"/>
                <w:bCs w:val="0"/>
                <w:sz w:val="17"/>
                <w:szCs w:val="17"/>
                <w:rtl w:val="0"/>
              </w:rPr>
              <w:t xml:space="preserve">High</w:t>
            </w:r>
            <w:r w:rsidDel="00000000" w:rsidR="00000000" w:rsidRPr="00000000">
              <w:rPr>
                <w:rtl w:val="0"/>
              </w:rPr>
            </w:r>
          </w:p>
        </w:tc>
        <w:tc>
          <w:tcPr>
            <w:vAlign w:val="center"/>
          </w:tcPr>
          <w:p w:rsidR="00000000" w:rsidDel="00000000" w:rsidP="00000000" w:rsidRDefault="00000000" w:rsidRPr="00000000" w14:paraId="0000008C">
            <w:pPr>
              <w:jc w:val="left"/>
              <w:rPr/>
            </w:pPr>
            <w:r w:rsidDel="00000000" w:rsidR="00000000" w:rsidRPr="00000000">
              <w:rPr>
                <w:rFonts w:ascii="Times New Roman" w:cs="Times New Roman" w:eastAsia="Times New Roman" w:hAnsi="Times New Roman"/>
                <w:b w:val="0"/>
                <w:bCs w:val="0"/>
                <w:sz w:val="17"/>
                <w:szCs w:val="17"/>
                <w:rtl w:val="0"/>
              </w:rPr>
              <w:t xml:space="preserve">High</w:t>
            </w:r>
            <w:r w:rsidDel="00000000" w:rsidR="00000000" w:rsidRPr="00000000">
              <w:rPr>
                <w:rtl w:val="0"/>
              </w:rPr>
            </w:r>
          </w:p>
        </w:tc>
        <w:tc>
          <w:tcPr>
            <w:vAlign w:val="center"/>
          </w:tcPr>
          <w:p w:rsidR="00000000" w:rsidDel="00000000" w:rsidP="00000000" w:rsidRDefault="00000000" w:rsidRPr="00000000" w14:paraId="0000008D">
            <w:pPr>
              <w:jc w:val="left"/>
              <w:rPr/>
            </w:pPr>
            <w:r w:rsidDel="00000000" w:rsidR="00000000" w:rsidRPr="00000000">
              <w:rPr>
                <w:rFonts w:ascii="Times New Roman" w:cs="Times New Roman" w:eastAsia="Times New Roman" w:hAnsi="Times New Roman"/>
                <w:b w:val="0"/>
                <w:bCs w:val="0"/>
                <w:sz w:val="17"/>
                <w:szCs w:val="17"/>
                <w:rtl w:val="0"/>
              </w:rPr>
              <w:t xml:space="preserve">SCA, patch governance, signed builds and SBOM practices.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E">
            <w:pPr>
              <w:jc w:val="left"/>
              <w:rPr/>
            </w:pPr>
            <w:r w:rsidDel="00000000" w:rsidR="00000000" w:rsidRPr="00000000">
              <w:rPr>
                <w:rFonts w:ascii="Times New Roman" w:cs="Times New Roman" w:eastAsia="Times New Roman" w:hAnsi="Times New Roman"/>
                <w:b w:val="0"/>
                <w:bCs w:val="0"/>
                <w:sz w:val="17"/>
                <w:szCs w:val="17"/>
                <w:rtl w:val="0"/>
              </w:rPr>
              <w:t xml:space="preserve">Model poisoning / tampering</w:t>
            </w:r>
            <w:r w:rsidDel="00000000" w:rsidR="00000000" w:rsidRPr="00000000">
              <w:rPr>
                <w:rtl w:val="0"/>
              </w:rPr>
            </w:r>
          </w:p>
        </w:tc>
        <w:tc>
          <w:tcPr>
            <w:vAlign w:val="center"/>
          </w:tcPr>
          <w:p w:rsidR="00000000" w:rsidDel="00000000" w:rsidP="00000000" w:rsidRDefault="00000000" w:rsidRPr="00000000" w14:paraId="0000008F">
            <w:pPr>
              <w:jc w:val="left"/>
              <w:rPr/>
            </w:pPr>
            <w:r w:rsidDel="00000000" w:rsidR="00000000" w:rsidRPr="00000000">
              <w:rPr>
                <w:rFonts w:ascii="Times New Roman" w:cs="Times New Roman" w:eastAsia="Times New Roman" w:hAnsi="Times New Roman"/>
                <w:b w:val="0"/>
                <w:bCs w:val="0"/>
                <w:sz w:val="17"/>
                <w:szCs w:val="17"/>
                <w:rtl w:val="0"/>
              </w:rPr>
              <w:t xml:space="preserve">Medium</w:t>
            </w:r>
            <w:r w:rsidDel="00000000" w:rsidR="00000000" w:rsidRPr="00000000">
              <w:rPr>
                <w:rtl w:val="0"/>
              </w:rPr>
            </w:r>
          </w:p>
        </w:tc>
        <w:tc>
          <w:tcPr>
            <w:vAlign w:val="center"/>
          </w:tcPr>
          <w:p w:rsidR="00000000" w:rsidDel="00000000" w:rsidP="00000000" w:rsidRDefault="00000000" w:rsidRPr="00000000" w14:paraId="00000090">
            <w:pPr>
              <w:jc w:val="left"/>
              <w:rPr/>
            </w:pPr>
            <w:r w:rsidDel="00000000" w:rsidR="00000000" w:rsidRPr="00000000">
              <w:rPr>
                <w:rFonts w:ascii="Times New Roman" w:cs="Times New Roman" w:eastAsia="Times New Roman" w:hAnsi="Times New Roman"/>
                <w:b w:val="0"/>
                <w:bCs w:val="0"/>
                <w:sz w:val="17"/>
                <w:szCs w:val="17"/>
                <w:rtl w:val="0"/>
              </w:rPr>
              <w:t xml:space="preserve">High</w:t>
            </w:r>
            <w:r w:rsidDel="00000000" w:rsidR="00000000" w:rsidRPr="00000000">
              <w:rPr>
                <w:rtl w:val="0"/>
              </w:rPr>
            </w:r>
          </w:p>
        </w:tc>
        <w:tc>
          <w:tcPr>
            <w:vAlign w:val="center"/>
          </w:tcPr>
          <w:p w:rsidR="00000000" w:rsidDel="00000000" w:rsidP="00000000" w:rsidRDefault="00000000" w:rsidRPr="00000000" w14:paraId="00000091">
            <w:pPr>
              <w:jc w:val="left"/>
              <w:rPr/>
            </w:pPr>
            <w:r w:rsidDel="00000000" w:rsidR="00000000" w:rsidRPr="00000000">
              <w:rPr>
                <w:rFonts w:ascii="Times New Roman" w:cs="Times New Roman" w:eastAsia="Times New Roman" w:hAnsi="Times New Roman"/>
                <w:b w:val="0"/>
                <w:bCs w:val="0"/>
                <w:sz w:val="17"/>
                <w:szCs w:val="17"/>
                <w:rtl w:val="0"/>
              </w:rPr>
              <w:t xml:space="preserve">Dataset provenance, controlled promotion and integrity checks.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2">
            <w:pPr>
              <w:jc w:val="left"/>
              <w:rPr/>
            </w:pPr>
            <w:r w:rsidDel="00000000" w:rsidR="00000000" w:rsidRPr="00000000">
              <w:rPr>
                <w:rFonts w:ascii="Times New Roman" w:cs="Times New Roman" w:eastAsia="Times New Roman" w:hAnsi="Times New Roman"/>
                <w:b w:val="0"/>
                <w:bCs w:val="0"/>
                <w:sz w:val="17"/>
                <w:szCs w:val="17"/>
                <w:rtl w:val="0"/>
              </w:rPr>
              <w:t xml:space="preserve">Ransomware in code and data repos</w:t>
            </w:r>
            <w:r w:rsidDel="00000000" w:rsidR="00000000" w:rsidRPr="00000000">
              <w:rPr>
                <w:rtl w:val="0"/>
              </w:rPr>
            </w:r>
          </w:p>
        </w:tc>
        <w:tc>
          <w:tcPr>
            <w:vAlign w:val="center"/>
          </w:tcPr>
          <w:p w:rsidR="00000000" w:rsidDel="00000000" w:rsidP="00000000" w:rsidRDefault="00000000" w:rsidRPr="00000000" w14:paraId="00000093">
            <w:pPr>
              <w:jc w:val="left"/>
              <w:rPr/>
            </w:pPr>
            <w:r w:rsidDel="00000000" w:rsidR="00000000" w:rsidRPr="00000000">
              <w:rPr>
                <w:rFonts w:ascii="Times New Roman" w:cs="Times New Roman" w:eastAsia="Times New Roman" w:hAnsi="Times New Roman"/>
                <w:b w:val="0"/>
                <w:bCs w:val="0"/>
                <w:sz w:val="17"/>
                <w:szCs w:val="17"/>
                <w:rtl w:val="0"/>
              </w:rPr>
              <w:t xml:space="preserve">Medium</w:t>
            </w:r>
            <w:r w:rsidDel="00000000" w:rsidR="00000000" w:rsidRPr="00000000">
              <w:rPr>
                <w:rtl w:val="0"/>
              </w:rPr>
            </w:r>
          </w:p>
        </w:tc>
        <w:tc>
          <w:tcPr>
            <w:vAlign w:val="center"/>
          </w:tcPr>
          <w:p w:rsidR="00000000" w:rsidDel="00000000" w:rsidP="00000000" w:rsidRDefault="00000000" w:rsidRPr="00000000" w14:paraId="00000094">
            <w:pPr>
              <w:jc w:val="left"/>
              <w:rPr/>
            </w:pPr>
            <w:r w:rsidDel="00000000" w:rsidR="00000000" w:rsidRPr="00000000">
              <w:rPr>
                <w:rFonts w:ascii="Times New Roman" w:cs="Times New Roman" w:eastAsia="Times New Roman" w:hAnsi="Times New Roman"/>
                <w:b w:val="0"/>
                <w:bCs w:val="0"/>
                <w:sz w:val="17"/>
                <w:szCs w:val="17"/>
                <w:rtl w:val="0"/>
              </w:rPr>
              <w:t xml:space="preserve">Very high</w:t>
            </w:r>
            <w:r w:rsidDel="00000000" w:rsidR="00000000" w:rsidRPr="00000000">
              <w:rPr>
                <w:rtl w:val="0"/>
              </w:rPr>
            </w:r>
          </w:p>
        </w:tc>
        <w:tc>
          <w:tcPr>
            <w:vAlign w:val="center"/>
          </w:tcPr>
          <w:p w:rsidR="00000000" w:rsidDel="00000000" w:rsidP="00000000" w:rsidRDefault="00000000" w:rsidRPr="00000000" w14:paraId="00000095">
            <w:pPr>
              <w:jc w:val="left"/>
              <w:rPr/>
            </w:pPr>
            <w:r w:rsidDel="00000000" w:rsidR="00000000" w:rsidRPr="00000000">
              <w:rPr>
                <w:rFonts w:ascii="Times New Roman" w:cs="Times New Roman" w:eastAsia="Times New Roman" w:hAnsi="Times New Roman"/>
                <w:b w:val="0"/>
                <w:bCs w:val="0"/>
                <w:sz w:val="17"/>
                <w:szCs w:val="17"/>
                <w:rtl w:val="0"/>
              </w:rPr>
              <w:t xml:space="preserve">Immutable backups, EDR, segregation of admin accounts and tested recovery.</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6">
            <w:pPr>
              <w:jc w:val="left"/>
              <w:rPr/>
            </w:pPr>
            <w:r w:rsidDel="00000000" w:rsidR="00000000" w:rsidRPr="00000000">
              <w:rPr>
                <w:rFonts w:ascii="Times New Roman" w:cs="Times New Roman" w:eastAsia="Times New Roman" w:hAnsi="Times New Roman"/>
                <w:b w:val="0"/>
                <w:bCs w:val="0"/>
                <w:sz w:val="17"/>
                <w:szCs w:val="17"/>
                <w:rtl w:val="0"/>
              </w:rPr>
              <w:t xml:space="preserve">Data leakage via SaaS / BYOD</w:t>
            </w:r>
            <w:r w:rsidDel="00000000" w:rsidR="00000000" w:rsidRPr="00000000">
              <w:rPr>
                <w:rtl w:val="0"/>
              </w:rPr>
            </w:r>
          </w:p>
        </w:tc>
        <w:tc>
          <w:tcPr>
            <w:vAlign w:val="center"/>
          </w:tcPr>
          <w:p w:rsidR="00000000" w:rsidDel="00000000" w:rsidP="00000000" w:rsidRDefault="00000000" w:rsidRPr="00000000" w14:paraId="00000097">
            <w:pPr>
              <w:jc w:val="left"/>
              <w:rPr/>
            </w:pPr>
            <w:r w:rsidDel="00000000" w:rsidR="00000000" w:rsidRPr="00000000">
              <w:rPr>
                <w:rFonts w:ascii="Times New Roman" w:cs="Times New Roman" w:eastAsia="Times New Roman" w:hAnsi="Times New Roman"/>
                <w:b w:val="0"/>
                <w:bCs w:val="0"/>
                <w:sz w:val="17"/>
                <w:szCs w:val="17"/>
                <w:rtl w:val="0"/>
              </w:rPr>
              <w:t xml:space="preserve">Medium</w:t>
            </w:r>
            <w:r w:rsidDel="00000000" w:rsidR="00000000" w:rsidRPr="00000000">
              <w:rPr>
                <w:rtl w:val="0"/>
              </w:rPr>
            </w:r>
          </w:p>
        </w:tc>
        <w:tc>
          <w:tcPr>
            <w:vAlign w:val="center"/>
          </w:tcPr>
          <w:p w:rsidR="00000000" w:rsidDel="00000000" w:rsidP="00000000" w:rsidRDefault="00000000" w:rsidRPr="00000000" w14:paraId="00000098">
            <w:pPr>
              <w:jc w:val="left"/>
              <w:rPr/>
            </w:pPr>
            <w:r w:rsidDel="00000000" w:rsidR="00000000" w:rsidRPr="00000000">
              <w:rPr>
                <w:rFonts w:ascii="Times New Roman" w:cs="Times New Roman" w:eastAsia="Times New Roman" w:hAnsi="Times New Roman"/>
                <w:b w:val="0"/>
                <w:bCs w:val="0"/>
                <w:sz w:val="17"/>
                <w:szCs w:val="17"/>
                <w:rtl w:val="0"/>
              </w:rPr>
              <w:t xml:space="preserve">High</w:t>
            </w:r>
            <w:r w:rsidDel="00000000" w:rsidR="00000000" w:rsidRPr="00000000">
              <w:rPr>
                <w:rtl w:val="0"/>
              </w:rPr>
            </w:r>
          </w:p>
        </w:tc>
        <w:tc>
          <w:tcPr>
            <w:vAlign w:val="center"/>
          </w:tcPr>
          <w:p w:rsidR="00000000" w:rsidDel="00000000" w:rsidP="00000000" w:rsidRDefault="00000000" w:rsidRPr="00000000" w14:paraId="00000099">
            <w:pPr>
              <w:jc w:val="left"/>
              <w:rPr/>
            </w:pPr>
            <w:r w:rsidDel="00000000" w:rsidR="00000000" w:rsidRPr="00000000">
              <w:rPr>
                <w:rFonts w:ascii="Times New Roman" w:cs="Times New Roman" w:eastAsia="Times New Roman" w:hAnsi="Times New Roman"/>
                <w:b w:val="0"/>
                <w:bCs w:val="0"/>
                <w:sz w:val="17"/>
                <w:szCs w:val="17"/>
                <w:rtl w:val="0"/>
              </w:rPr>
              <w:t xml:space="preserve">DLP, SSO, device posture checks and tighter sharing rules.</w:t>
            </w:r>
            <w:r w:rsidDel="00000000" w:rsidR="00000000" w:rsidRPr="00000000">
              <w:rPr>
                <w:rtl w:val="0"/>
              </w:rPr>
            </w:r>
          </w:p>
        </w:tc>
      </w:tr>
    </w:tbl>
    <w:p w:rsidR="00000000" w:rsidDel="00000000" w:rsidP="00000000" w:rsidRDefault="00000000" w:rsidRPr="00000000" w14:paraId="0000009A">
      <w:pPr>
        <w:pStyle w:val="Heading2"/>
        <w:jc w:val="left"/>
        <w:rPr/>
      </w:pPr>
      <w:r w:rsidDel="00000000" w:rsidR="00000000" w:rsidRPr="00000000">
        <w:rPr>
          <w:rFonts w:ascii="Times New Roman" w:cs="Times New Roman" w:eastAsia="Times New Roman" w:hAnsi="Times New Roman"/>
          <w:rtl w:val="0"/>
        </w:rPr>
        <w:t xml:space="preserve">Disaster recovery and ransomware contingency plan</w:t>
      </w:r>
      <w:r w:rsidDel="00000000" w:rsidR="00000000" w:rsidRPr="00000000">
        <w:rPr>
          <w:rtl w:val="0"/>
        </w:rPr>
      </w:r>
    </w:p>
    <w:p w:rsidR="00000000" w:rsidDel="00000000" w:rsidP="00000000" w:rsidRDefault="00000000" w:rsidRPr="00000000" w14:paraId="0000009B">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If ransomware encrypts AI training data and source code repositories, MediTrust should follow a disciplined recovery sequence. First, isolate affected endpoints, repositories and cloud workloads to stop further spread. Second, preserve forensic evidence and confirm whether backups are intact before beginning restoration. Third, activate crisis management with defined business, legal, technical and communications leads. Fourth, restore identity services, clean administrative workstations, source-code repositories and critical build systems in a trusted order. Fifth, recover training datasets from immutable backups and verify integrity through checksums and provenance records before they are reused.</w:t>
      </w:r>
      <w:r w:rsidDel="00000000" w:rsidR="00000000" w:rsidRPr="00000000">
        <w:rPr>
          <w:rtl w:val="0"/>
        </w:rPr>
      </w:r>
    </w:p>
    <w:p w:rsidR="00000000" w:rsidDel="00000000" w:rsidP="00000000" w:rsidRDefault="00000000" w:rsidRPr="00000000" w14:paraId="0000009C">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 recovery plan should include offline or immutable backups, tested infrastructure-as-code rebuilds, predefined alternate collaboration channels, and criteria for returning services to operation. Table-based exercises should be run at least twice a year, with one scenario focused specifically on ransomware in the development and ML pipeline environment.</w:t>
      </w:r>
      <w:r w:rsidDel="00000000" w:rsidR="00000000" w:rsidRPr="00000000">
        <w:rPr>
          <w:rtl w:val="0"/>
        </w:rPr>
      </w:r>
    </w:p>
    <w:p w:rsidR="00000000" w:rsidDel="00000000" w:rsidP="00000000" w:rsidRDefault="00000000" w:rsidRPr="00000000" w14:paraId="0000009D">
      <w:pPr>
        <w:pStyle w:val="Heading2"/>
        <w:jc w:val="left"/>
        <w:rPr/>
      </w:pPr>
      <w:r w:rsidDel="00000000" w:rsidR="00000000" w:rsidRPr="00000000">
        <w:rPr>
          <w:rFonts w:ascii="Times New Roman" w:cs="Times New Roman" w:eastAsia="Times New Roman" w:hAnsi="Times New Roman"/>
          <w:rtl w:val="0"/>
        </w:rPr>
        <w:t xml:space="preserve">Recommended protection mechanisms</w:t>
      </w: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The following controls should be implemented as programme priorities: phishing-resistant MFA for all staff and privileged users; privileged access management for admin accounts and service identities; CSPM and CIEM for multi-cloud visibility; EDR/XDR with automated containment for managed endpoints; central SIEM monitoring; secure web gateway or SASE capabilities for hybrid access; software composition analysis and container scanning in CI/CD; secrets management; signed code and artefact validation; DLP for sensitive exports; MDM or endpoint compliance checks for device trust; and tighter session controls such as token lifetime limits and step-up authentication for sensitive actions. This last point matters because a zero-trust programme can still be weakened by session theft if post-login controls are too loose [15], [16], [17].</w:t>
      </w:r>
    </w:p>
    <w:p w:rsidR="00000000" w:rsidDel="00000000" w:rsidP="00000000" w:rsidRDefault="00000000" w:rsidRPr="00000000" w14:paraId="0000009F">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These controls support the zero trust model because they improve identity assurance, reduce standing privilege, increase visibility and make policy enforcement more context-aware. Importantly, they should be introduced in a staged roadmap rather than as disconnected purchases.</w:t>
      </w:r>
      <w:r w:rsidDel="00000000" w:rsidR="00000000" w:rsidRPr="00000000">
        <w:rPr>
          <w:rtl w:val="0"/>
        </w:rPr>
      </w:r>
    </w:p>
    <w:p w:rsidR="00000000" w:rsidDel="00000000" w:rsidP="00000000" w:rsidRDefault="00000000" w:rsidRPr="00000000" w14:paraId="000000A0">
      <w:pPr>
        <w:pStyle w:val="Heading2"/>
        <w:jc w:val="left"/>
        <w:rPr/>
      </w:pPr>
      <w:r w:rsidDel="00000000" w:rsidR="00000000" w:rsidRPr="00000000">
        <w:rPr>
          <w:rFonts w:ascii="Times New Roman" w:cs="Times New Roman" w:eastAsia="Times New Roman" w:hAnsi="Times New Roman"/>
          <w:rtl w:val="0"/>
        </w:rPr>
        <w:t xml:space="preserve">Conclusion</w:t>
      </w:r>
      <w:r w:rsidDel="00000000" w:rsidR="00000000" w:rsidRPr="00000000">
        <w:rPr>
          <w:rtl w:val="0"/>
        </w:rPr>
      </w:r>
    </w:p>
    <w:p w:rsidR="00000000" w:rsidDel="00000000" w:rsidP="00000000" w:rsidRDefault="00000000" w:rsidRPr="00000000" w14:paraId="000000A1">
      <w:pPr>
        <w:jc w:val="both"/>
        <w:rPr/>
      </w:pPr>
      <w:r w:rsidDel="00000000" w:rsidR="00000000" w:rsidRPr="00000000">
        <w:rPr>
          <w:rFonts w:ascii="Times New Roman" w:cs="Times New Roman" w:eastAsia="Times New Roman" w:hAnsi="Times New Roman"/>
          <w:b w:val="0"/>
          <w:bCs w:val="0"/>
          <w:i w:val="0"/>
          <w:iCs w:val="0"/>
          <w:sz w:val="20"/>
          <w:szCs w:val="20"/>
          <w:rtl w:val="0"/>
        </w:rPr>
        <w:t xml:space="preserve">MediTrust needs a security programme that treats cyber risk as a business and clinical trust issue rather than a narrow IT matter. A zero-trust-aligned model is appropriate because the company relies on hybrid work, cloud platforms, external partners and sensitive health-related data. The proposed design establishes a governance structure, core policies, regulatory alignment, risk priorities, disaster recovery logic and modern technical controls. Even at this draft stage, the central message is clear: MediTrust should build security around explicit trust decisions, resilient operations and integrated compliance rather than relying on inherited perimeter assumptions.</w:t>
      </w:r>
      <w:r w:rsidDel="00000000" w:rsidR="00000000" w:rsidRPr="00000000">
        <w:rPr>
          <w:rtl w:val="0"/>
        </w:rPr>
      </w:r>
    </w:p>
    <w:p w:rsidR="00000000" w:rsidDel="00000000" w:rsidP="00000000" w:rsidRDefault="00000000" w:rsidRPr="00000000" w14:paraId="000000A2">
      <w:pPr>
        <w:pStyle w:val="Heading2"/>
        <w:jc w:val="left"/>
        <w:rPr/>
      </w:pPr>
      <w:r w:rsidDel="00000000" w:rsidR="00000000" w:rsidRPr="00000000">
        <w:rPr>
          <w:rFonts w:ascii="Times New Roman" w:cs="Times New Roman" w:eastAsia="Times New Roman" w:hAnsi="Times New Roman"/>
          <w:rtl w:val="0"/>
        </w:rPr>
        <w:t xml:space="preserve">Selected references for Tasks 1 and 2</w:t>
      </w: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[1] S. Rose, O. Borchert, S. Mitchell and S. Connelly, Zero Trust Architecture, NIST SP 800-207, National Institute of Standards and Technology, 2020.</w:t>
      </w:r>
    </w:p>
    <w:p w:rsidR="00000000" w:rsidDel="00000000" w:rsidP="00000000" w:rsidRDefault="00000000" w:rsidRPr="00000000" w14:paraId="000000A4">
      <w:pPr>
        <w:rPr/>
      </w:pPr>
      <w:r w:rsidDel="00000000" w:rsidR="00000000" w:rsidRPr="00000000">
        <w:rPr>
          <w:rtl w:val="0"/>
        </w:rPr>
        <w:t xml:space="preserve">[2] National Institute of Standards and Technology, Cybersecurity Framework (CSF) 2.0, 2024.</w:t>
      </w:r>
    </w:p>
    <w:p w:rsidR="00000000" w:rsidDel="00000000" w:rsidP="00000000" w:rsidRDefault="00000000" w:rsidRPr="00000000" w14:paraId="000000A5">
      <w:pPr>
        <w:rPr/>
      </w:pPr>
      <w:r w:rsidDel="00000000" w:rsidR="00000000" w:rsidRPr="00000000">
        <w:rPr>
          <w:rtl w:val="0"/>
        </w:rPr>
        <w:t xml:space="preserve">[3] R. Chandramouli and C. Wright, A Zero Trust Architecture Model for Access Control in Cloud-Native Applications in Multi-Location Environments, NIST SP 800-207A, 2023.</w:t>
      </w:r>
    </w:p>
    <w:p w:rsidR="00000000" w:rsidDel="00000000" w:rsidP="00000000" w:rsidRDefault="00000000" w:rsidRPr="00000000" w14:paraId="000000A6">
      <w:pPr>
        <w:rPr/>
      </w:pPr>
      <w:r w:rsidDel="00000000" w:rsidR="00000000" w:rsidRPr="00000000">
        <w:rPr>
          <w:rtl w:val="0"/>
        </w:rPr>
        <w:t xml:space="preserve">[4] Cybersecurity and Infrastructure Security Agency, Zero Trust Maturity Model Version 2.0, 2023.</w:t>
      </w:r>
    </w:p>
    <w:p w:rsidR="00000000" w:rsidDel="00000000" w:rsidP="00000000" w:rsidRDefault="00000000" w:rsidRPr="00000000" w14:paraId="000000A7">
      <w:pPr>
        <w:rPr/>
      </w:pPr>
      <w:r w:rsidDel="00000000" w:rsidR="00000000" w:rsidRPr="00000000">
        <w:rPr>
          <w:rtl w:val="0"/>
        </w:rPr>
        <w:t xml:space="preserve">[5] European Union, Directive (EU) 2022/2555 on measures for a high common level of cybersecurity across the Union (NIS2 Directive), 2022.</w:t>
      </w:r>
    </w:p>
    <w:p w:rsidR="00000000" w:rsidDel="00000000" w:rsidP="00000000" w:rsidRDefault="00000000" w:rsidRPr="00000000" w14:paraId="000000A8">
      <w:pPr>
        <w:rPr/>
      </w:pPr>
      <w:r w:rsidDel="00000000" w:rsidR="00000000" w:rsidRPr="00000000">
        <w:rPr>
          <w:rtl w:val="0"/>
        </w:rPr>
        <w:t xml:space="preserve">[6] European Commission, NIS2 Directive: securing network and information systems, 2026.</w:t>
      </w:r>
    </w:p>
    <w:p w:rsidR="00000000" w:rsidDel="00000000" w:rsidP="00000000" w:rsidRDefault="00000000" w:rsidRPr="00000000" w14:paraId="000000A9">
      <w:pPr>
        <w:rPr/>
      </w:pPr>
      <w:r w:rsidDel="00000000" w:rsidR="00000000" w:rsidRPr="00000000">
        <w:rPr>
          <w:rtl w:val="0"/>
        </w:rPr>
        <w:t xml:space="preserve">[7] European Union, Regulation (EU) 2022/2554 on digital operational resilience for the financial sector (DORA), 2022.</w:t>
      </w:r>
    </w:p>
    <w:p w:rsidR="00000000" w:rsidDel="00000000" w:rsidP="00000000" w:rsidRDefault="00000000" w:rsidRPr="00000000" w14:paraId="000000AA">
      <w:pPr>
        <w:rPr/>
      </w:pPr>
      <w:r w:rsidDel="00000000" w:rsidR="00000000" w:rsidRPr="00000000">
        <w:rPr>
          <w:rtl w:val="0"/>
        </w:rPr>
        <w:t xml:space="preserve">[8] European Securities and Markets Authority, Digital Operational Resilience Act (DORA), 2025.</w:t>
      </w:r>
    </w:p>
    <w:p w:rsidR="00000000" w:rsidDel="00000000" w:rsidP="00000000" w:rsidRDefault="00000000" w:rsidRPr="00000000" w14:paraId="000000AB">
      <w:pPr>
        <w:rPr/>
      </w:pPr>
      <w:r w:rsidDel="00000000" w:rsidR="00000000" w:rsidRPr="00000000">
        <w:rPr>
          <w:rtl w:val="0"/>
        </w:rPr>
        <w:t xml:space="preserve">[9] European Union, Regulation (EU) 2016/679 (General Data Protection Regulation), 2016.</w:t>
      </w:r>
    </w:p>
    <w:p w:rsidR="00000000" w:rsidDel="00000000" w:rsidP="00000000" w:rsidRDefault="00000000" w:rsidRPr="00000000" w14:paraId="000000AC">
      <w:pPr>
        <w:rPr/>
      </w:pPr>
      <w:r w:rsidDel="00000000" w:rsidR="00000000" w:rsidRPr="00000000">
        <w:rPr>
          <w:rtl w:val="0"/>
        </w:rPr>
        <w:t xml:space="preserve">[10] Information Commissioner's Office, What is special category data?, 2024.</w:t>
      </w:r>
    </w:p>
    <w:p w:rsidR="00000000" w:rsidDel="00000000" w:rsidP="00000000" w:rsidRDefault="00000000" w:rsidRPr="00000000" w14:paraId="000000AD">
      <w:pPr>
        <w:rPr/>
      </w:pPr>
      <w:r w:rsidDel="00000000" w:rsidR="00000000" w:rsidRPr="00000000">
        <w:rPr>
          <w:rtl w:val="0"/>
        </w:rPr>
        <w:t xml:space="preserve">[11] E. B. Fernandez, M. Hamdi and A. Hashizume, "A critical analysis of Zero Trust Architecture (ZTA)," Computers &amp; Security, vol. 139, 2024.</w:t>
      </w:r>
    </w:p>
    <w:p w:rsidR="00000000" w:rsidDel="00000000" w:rsidP="00000000" w:rsidRDefault="00000000" w:rsidRPr="00000000" w14:paraId="000000AE">
      <w:pPr>
        <w:rPr/>
      </w:pPr>
      <w:r w:rsidDel="00000000" w:rsidR="00000000" w:rsidRPr="00000000">
        <w:rPr>
          <w:rtl w:val="0"/>
        </w:rPr>
        <w:t xml:space="preserve">[12] C. Liu, J. Li and Y. Zhang, "Dissecting zero trust: research landscape and its directions," Cybersecurity, vol. 7, no. 1, 2024.</w:t>
      </w:r>
    </w:p>
    <w:p w:rsidR="00000000" w:rsidDel="00000000" w:rsidP="00000000" w:rsidRDefault="00000000" w:rsidRPr="00000000" w14:paraId="000000AF">
      <w:pPr>
        <w:rPr/>
      </w:pPr>
      <w:r w:rsidDel="00000000" w:rsidR="00000000" w:rsidRPr="00000000">
        <w:rPr>
          <w:rtl w:val="0"/>
        </w:rPr>
        <w:t xml:space="preserve">[13] P. Dhiman, M. K. Yadav and A. Sharma, "A Review and Comparative Analysis of Relevant Zero-Trust Architecture Implementations," Sensors, vol. 24, no. 4, 2024.</w:t>
      </w:r>
    </w:p>
    <w:p w:rsidR="00000000" w:rsidDel="00000000" w:rsidP="00000000" w:rsidRDefault="00000000" w:rsidRPr="00000000" w14:paraId="000000B0">
      <w:pPr>
        <w:rPr/>
      </w:pPr>
      <w:r w:rsidDel="00000000" w:rsidR="00000000" w:rsidRPr="00000000">
        <w:rPr>
          <w:rtl w:val="0"/>
        </w:rPr>
        <w:t xml:space="preserve">[14] S. Mushtaq et al., "A Systematic Literature Review on the Implementation and Evaluation of Zero Trust Architecture," Sensors, vol. 25, no. 19, 2025.</w:t>
      </w:r>
    </w:p>
    <w:p w:rsidR="00000000" w:rsidDel="00000000" w:rsidP="00000000" w:rsidRDefault="00000000" w:rsidRPr="00000000" w14:paraId="000000B1">
      <w:pPr>
        <w:rPr/>
      </w:pPr>
      <w:r w:rsidDel="00000000" w:rsidR="00000000" w:rsidRPr="00000000">
        <w:rPr>
          <w:rtl w:val="0"/>
        </w:rPr>
        <w:t xml:space="preserve">[15] Cybersecurity and Infrastructure Security Agency, Implementing Phishing-Resistant MFA, 2022.</w:t>
      </w:r>
    </w:p>
    <w:p w:rsidR="00000000" w:rsidDel="00000000" w:rsidP="00000000" w:rsidRDefault="00000000" w:rsidRPr="00000000" w14:paraId="000000B2">
      <w:pPr>
        <w:rPr/>
      </w:pPr>
      <w:r w:rsidDel="00000000" w:rsidR="00000000" w:rsidRPr="00000000">
        <w:rPr>
          <w:rtl w:val="0"/>
        </w:rPr>
        <w:t xml:space="preserve">[16] MITRE ATT&amp;CK, Steal Web Session Cookie (T1539), 2019.</w:t>
      </w:r>
    </w:p>
    <w:p w:rsidR="00000000" w:rsidDel="00000000" w:rsidP="00000000" w:rsidRDefault="00000000" w:rsidRPr="00000000" w14:paraId="000000B3">
      <w:pPr>
        <w:rPr/>
      </w:pPr>
      <w:r w:rsidDel="00000000" w:rsidR="00000000" w:rsidRPr="00000000">
        <w:rPr>
          <w:rtl w:val="0"/>
        </w:rPr>
        <w:t xml:space="preserve">[17] OWASP Foundation, Session Management Cheat Sheet, 2024.</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sectPr>
      <w:type w:val="nextPage"/>
      <w:pgSz w:h="16838" w:w="11906" w:orient="portrait"/>
      <w:pgMar w:bottom="1247" w:top="1247" w:left="1134"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before="160" w:lineRule="auto"/>
    </w:pPr>
    <w:rPr>
      <w:rFonts w:ascii="Times New Roman" w:cs="Times New Roman" w:eastAsia="Times New Roman" w:hAnsi="Times New Roman"/>
      <w:b w:val="1"/>
      <w:bCs w:val="1"/>
      <w:color w:val="366091"/>
      <w:sz w:val="22"/>
      <w:szCs w:val="22"/>
    </w:rPr>
  </w:style>
  <w:style w:type="paragraph" w:styleId="Heading2">
    <w:name w:val="heading 2"/>
    <w:basedOn w:val="Normal"/>
    <w:next w:val="Normal"/>
    <w:pPr>
      <w:keepNext w:val="1"/>
      <w:keepLines w:val="1"/>
      <w:spacing w:after="60" w:before="120" w:lineRule="auto"/>
    </w:pPr>
    <w:rPr>
      <w:rFonts w:ascii="Times New Roman" w:cs="Times New Roman" w:eastAsia="Times New Roman" w:hAnsi="Times New Roman"/>
      <w:b w:val="1"/>
      <w:bCs w:val="1"/>
      <w:color w:val="4f81bd"/>
      <w:sz w:val="20"/>
      <w:szCs w:val="20"/>
    </w:rPr>
  </w:style>
  <w:style w:type="paragraph" w:styleId="Heading3">
    <w:name w:val="heading 3"/>
    <w:basedOn w:val="Normal"/>
    <w:next w:val="Normal"/>
    <w:pPr>
      <w:keepNext w:val="1"/>
      <w:keepLines w:val="1"/>
      <w:spacing w:after="0" w:before="200" w:lineRule="auto"/>
    </w:pPr>
    <w:rPr>
      <w:rFonts w:ascii="Times New Roman" w:cs="Times New Roman" w:eastAsia="Times New Roman" w:hAnsi="Times New Roman"/>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200" w:line="240" w:lineRule="auto"/>
    </w:pPr>
    <w:rPr>
      <w:rFonts w:ascii="Times New Roman" w:cs="Times New Roman" w:eastAsia="Times New Roman" w:hAnsi="Times New Roman"/>
      <w:b w:val="1"/>
      <w:bCs w:val="1"/>
      <w:color w:val="17365d"/>
      <w:sz w:val="36"/>
      <w:szCs w:val="36"/>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Times New Roman" w:cs="Times New Roman" w:eastAsia="Times New Roman" w:hAnsi="Times New Roman"/>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cR0amW71v4u+uyGJF5iisTY5qg==">CgMxLjA4AHIhMS1IaXNTMHlNUDZWYkJGbnpzTEg2Q1lqZFRNWl9TV21Y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