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F5398" w14:textId="46334BD3" w:rsidR="00197236" w:rsidRDefault="00D573AA" w:rsidP="0048586D">
      <w:pPr>
        <w:spacing w:line="360" w:lineRule="auto"/>
        <w:rPr>
          <w:rFonts w:ascii="Arial" w:hAnsi="Arial" w:cs="Arial"/>
          <w:i/>
          <w:iCs/>
          <w:color w:val="202020"/>
          <w:sz w:val="22"/>
          <w:szCs w:val="22"/>
        </w:rPr>
      </w:pPr>
      <w:r>
        <w:rPr>
          <w:rFonts w:ascii="Arial" w:hAnsi="Arial" w:cs="Arial"/>
          <w:i/>
          <w:iCs/>
          <w:noProof/>
          <w:color w:val="202020"/>
          <w:sz w:val="22"/>
          <w:szCs w:val="22"/>
        </w:rPr>
        <w:drawing>
          <wp:inline distT="0" distB="0" distL="0" distR="0" wp14:anchorId="336AECC8" wp14:editId="347D18AD">
            <wp:extent cx="4584700" cy="2882900"/>
            <wp:effectExtent l="0" t="0" r="0" b="0"/>
            <wp:docPr id="2965922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592275" name="Picture 296592275"/>
                    <pic:cNvPicPr/>
                  </pic:nvPicPr>
                  <pic:blipFill>
                    <a:blip r:embed="rId8">
                      <a:extLst>
                        <a:ext uri="{28A0092B-C50C-407E-A947-70E740481C1C}">
                          <a14:useLocalDpi xmlns:a14="http://schemas.microsoft.com/office/drawing/2010/main" val="0"/>
                        </a:ext>
                      </a:extLst>
                    </a:blip>
                    <a:stretch>
                      <a:fillRect/>
                    </a:stretch>
                  </pic:blipFill>
                  <pic:spPr>
                    <a:xfrm>
                      <a:off x="0" y="0"/>
                      <a:ext cx="4584700" cy="2882900"/>
                    </a:xfrm>
                    <a:prstGeom prst="rect">
                      <a:avLst/>
                    </a:prstGeom>
                  </pic:spPr>
                </pic:pic>
              </a:graphicData>
            </a:graphic>
          </wp:inline>
        </w:drawing>
      </w:r>
    </w:p>
    <w:p w14:paraId="7AC6F89D" w14:textId="77777777" w:rsidR="00343590" w:rsidRDefault="00343590" w:rsidP="0048586D">
      <w:pPr>
        <w:spacing w:line="360" w:lineRule="auto"/>
        <w:rPr>
          <w:rFonts w:ascii="Arial" w:hAnsi="Arial" w:cs="Arial"/>
          <w:b/>
          <w:bCs/>
          <w:i/>
          <w:iCs/>
          <w:color w:val="202020"/>
          <w:sz w:val="32"/>
          <w:szCs w:val="32"/>
        </w:rPr>
      </w:pPr>
    </w:p>
    <w:p w14:paraId="34687358" w14:textId="77777777" w:rsidR="00343590" w:rsidRDefault="00343590" w:rsidP="0048586D">
      <w:pPr>
        <w:spacing w:line="360" w:lineRule="auto"/>
        <w:rPr>
          <w:rFonts w:ascii="Arial" w:hAnsi="Arial" w:cs="Arial"/>
          <w:b/>
          <w:bCs/>
          <w:i/>
          <w:iCs/>
          <w:color w:val="202020"/>
          <w:sz w:val="32"/>
          <w:szCs w:val="32"/>
        </w:rPr>
      </w:pPr>
    </w:p>
    <w:p w14:paraId="5C1C2984" w14:textId="3E3C8FE1" w:rsidR="00E91556" w:rsidRDefault="00C51BD9" w:rsidP="0048586D">
      <w:pPr>
        <w:spacing w:line="360" w:lineRule="auto"/>
        <w:rPr>
          <w:rFonts w:ascii="Arial" w:hAnsi="Arial" w:cs="Arial"/>
          <w:b/>
          <w:bCs/>
          <w:i/>
          <w:iCs/>
          <w:color w:val="202020"/>
          <w:sz w:val="32"/>
          <w:szCs w:val="32"/>
        </w:rPr>
      </w:pPr>
      <w:r>
        <w:rPr>
          <w:rFonts w:ascii="Arial" w:hAnsi="Arial" w:cs="Arial"/>
          <w:b/>
          <w:bCs/>
          <w:i/>
          <w:iCs/>
          <w:color w:val="202020"/>
          <w:sz w:val="32"/>
          <w:szCs w:val="32"/>
        </w:rPr>
        <w:t>Programme: M</w:t>
      </w:r>
      <w:r w:rsidR="00E91556">
        <w:rPr>
          <w:rFonts w:ascii="Arial" w:hAnsi="Arial" w:cs="Arial"/>
          <w:b/>
          <w:bCs/>
          <w:i/>
          <w:iCs/>
          <w:color w:val="202020"/>
          <w:sz w:val="32"/>
          <w:szCs w:val="32"/>
        </w:rPr>
        <w:t xml:space="preserve">BA – Master of Business Administration </w:t>
      </w:r>
    </w:p>
    <w:p w14:paraId="1D3542E5" w14:textId="1ED13CF4" w:rsidR="00197236" w:rsidRDefault="00C51BD9" w:rsidP="0048586D">
      <w:pPr>
        <w:spacing w:line="360" w:lineRule="auto"/>
        <w:rPr>
          <w:rFonts w:ascii="Arial" w:hAnsi="Arial" w:cs="Arial"/>
          <w:b/>
          <w:bCs/>
          <w:i/>
          <w:iCs/>
          <w:color w:val="202020"/>
          <w:sz w:val="32"/>
          <w:szCs w:val="32"/>
        </w:rPr>
      </w:pPr>
      <w:r>
        <w:rPr>
          <w:rFonts w:ascii="Arial" w:hAnsi="Arial" w:cs="Arial"/>
          <w:b/>
          <w:bCs/>
          <w:i/>
          <w:iCs/>
          <w:color w:val="202020"/>
          <w:sz w:val="32"/>
          <w:szCs w:val="32"/>
        </w:rPr>
        <w:t>Student name: Alina Jubea</w:t>
      </w:r>
    </w:p>
    <w:p w14:paraId="3315F6F3" w14:textId="107F1561" w:rsidR="00C51BD9" w:rsidRDefault="00C51BD9" w:rsidP="0048586D">
      <w:pPr>
        <w:spacing w:line="360" w:lineRule="auto"/>
        <w:rPr>
          <w:rFonts w:ascii="Arial" w:hAnsi="Arial" w:cs="Arial"/>
          <w:b/>
          <w:bCs/>
          <w:i/>
          <w:iCs/>
          <w:color w:val="202020"/>
          <w:sz w:val="32"/>
          <w:szCs w:val="32"/>
        </w:rPr>
      </w:pPr>
      <w:r>
        <w:rPr>
          <w:rFonts w:ascii="Arial" w:hAnsi="Arial" w:cs="Arial"/>
          <w:b/>
          <w:bCs/>
          <w:i/>
          <w:iCs/>
          <w:color w:val="202020"/>
          <w:sz w:val="32"/>
          <w:szCs w:val="32"/>
        </w:rPr>
        <w:t>Student number: 2023149</w:t>
      </w:r>
    </w:p>
    <w:p w14:paraId="0363935E" w14:textId="2BEEBA6E" w:rsidR="00E91556" w:rsidRDefault="00E91556" w:rsidP="0048586D">
      <w:pPr>
        <w:spacing w:line="360" w:lineRule="auto"/>
        <w:rPr>
          <w:rFonts w:ascii="Arial" w:hAnsi="Arial" w:cs="Arial"/>
          <w:b/>
          <w:bCs/>
          <w:i/>
          <w:iCs/>
          <w:color w:val="202020"/>
          <w:sz w:val="32"/>
          <w:szCs w:val="32"/>
        </w:rPr>
      </w:pPr>
      <w:r>
        <w:rPr>
          <w:rFonts w:ascii="Arial" w:hAnsi="Arial" w:cs="Arial"/>
          <w:b/>
          <w:bCs/>
          <w:i/>
          <w:iCs/>
          <w:color w:val="202020"/>
          <w:sz w:val="32"/>
          <w:szCs w:val="32"/>
        </w:rPr>
        <w:t xml:space="preserve">Module name: </w:t>
      </w:r>
      <w:r w:rsidR="00E50168">
        <w:rPr>
          <w:rFonts w:ascii="Arial" w:hAnsi="Arial" w:cs="Arial"/>
          <w:b/>
          <w:bCs/>
          <w:i/>
          <w:iCs/>
          <w:color w:val="202020"/>
          <w:sz w:val="32"/>
          <w:szCs w:val="32"/>
        </w:rPr>
        <w:t>Banking and Financial Economics</w:t>
      </w:r>
    </w:p>
    <w:p w14:paraId="51398BE8" w14:textId="5E521067" w:rsidR="00E50168" w:rsidRDefault="00E50168" w:rsidP="0048586D">
      <w:pPr>
        <w:spacing w:line="360" w:lineRule="auto"/>
        <w:rPr>
          <w:rFonts w:ascii="Arial" w:hAnsi="Arial" w:cs="Arial"/>
          <w:b/>
          <w:bCs/>
          <w:i/>
          <w:iCs/>
          <w:color w:val="202020"/>
          <w:sz w:val="32"/>
          <w:szCs w:val="32"/>
        </w:rPr>
      </w:pPr>
      <w:r>
        <w:rPr>
          <w:rFonts w:ascii="Arial" w:hAnsi="Arial" w:cs="Arial"/>
          <w:b/>
          <w:bCs/>
          <w:i/>
          <w:iCs/>
          <w:color w:val="202020"/>
          <w:sz w:val="32"/>
          <w:szCs w:val="32"/>
        </w:rPr>
        <w:t>Module Code: LCMB7032</w:t>
      </w:r>
    </w:p>
    <w:p w14:paraId="0F441A80" w14:textId="269BAB9B" w:rsidR="004E7883" w:rsidRDefault="004E7883" w:rsidP="0048586D">
      <w:pPr>
        <w:spacing w:line="360" w:lineRule="auto"/>
        <w:rPr>
          <w:rFonts w:ascii="Arial" w:hAnsi="Arial" w:cs="Arial"/>
          <w:b/>
          <w:bCs/>
          <w:i/>
          <w:iCs/>
          <w:color w:val="202020"/>
          <w:sz w:val="32"/>
          <w:szCs w:val="32"/>
        </w:rPr>
      </w:pPr>
      <w:r>
        <w:rPr>
          <w:rFonts w:ascii="Arial" w:hAnsi="Arial" w:cs="Arial"/>
          <w:b/>
          <w:bCs/>
          <w:i/>
          <w:iCs/>
          <w:color w:val="202020"/>
          <w:sz w:val="32"/>
          <w:szCs w:val="32"/>
        </w:rPr>
        <w:t xml:space="preserve">Lecturer name: Isaiah </w:t>
      </w:r>
      <w:proofErr w:type="spellStart"/>
      <w:r>
        <w:rPr>
          <w:rFonts w:ascii="Arial" w:hAnsi="Arial" w:cs="Arial"/>
          <w:b/>
          <w:bCs/>
          <w:i/>
          <w:iCs/>
          <w:color w:val="202020"/>
          <w:sz w:val="32"/>
          <w:szCs w:val="32"/>
        </w:rPr>
        <w:t>Oino</w:t>
      </w:r>
      <w:proofErr w:type="spellEnd"/>
    </w:p>
    <w:p w14:paraId="066CBFD0" w14:textId="77777777" w:rsidR="00343590" w:rsidRDefault="00343590" w:rsidP="0048586D">
      <w:pPr>
        <w:spacing w:line="360" w:lineRule="auto"/>
        <w:rPr>
          <w:rFonts w:ascii="Arial" w:hAnsi="Arial" w:cs="Arial"/>
          <w:b/>
          <w:bCs/>
          <w:i/>
          <w:iCs/>
          <w:color w:val="202020"/>
          <w:sz w:val="32"/>
          <w:szCs w:val="32"/>
        </w:rPr>
      </w:pPr>
    </w:p>
    <w:p w14:paraId="51C273B6" w14:textId="77777777" w:rsidR="00343590" w:rsidRDefault="00343590" w:rsidP="0048586D">
      <w:pPr>
        <w:spacing w:line="360" w:lineRule="auto"/>
        <w:rPr>
          <w:rFonts w:ascii="Arial" w:hAnsi="Arial" w:cs="Arial"/>
          <w:b/>
          <w:bCs/>
          <w:i/>
          <w:iCs/>
          <w:color w:val="202020"/>
          <w:sz w:val="32"/>
          <w:szCs w:val="32"/>
        </w:rPr>
      </w:pPr>
    </w:p>
    <w:p w14:paraId="20DDF5AC" w14:textId="77777777" w:rsidR="004E7883" w:rsidRDefault="004E7883" w:rsidP="0048586D">
      <w:pPr>
        <w:spacing w:line="360" w:lineRule="auto"/>
        <w:rPr>
          <w:rFonts w:ascii="Arial" w:hAnsi="Arial" w:cs="Arial"/>
          <w:b/>
          <w:bCs/>
          <w:i/>
          <w:iCs/>
          <w:color w:val="202020"/>
          <w:sz w:val="32"/>
          <w:szCs w:val="32"/>
        </w:rPr>
      </w:pPr>
    </w:p>
    <w:p w14:paraId="086BADAC" w14:textId="45372123" w:rsidR="00066BE3" w:rsidRPr="00C51BD9" w:rsidRDefault="00066BE3" w:rsidP="00343590">
      <w:pPr>
        <w:spacing w:line="360" w:lineRule="auto"/>
        <w:jc w:val="center"/>
        <w:rPr>
          <w:rFonts w:ascii="Arial" w:hAnsi="Arial" w:cs="Arial"/>
          <w:b/>
          <w:bCs/>
          <w:i/>
          <w:iCs/>
          <w:color w:val="202020"/>
          <w:sz w:val="32"/>
          <w:szCs w:val="32"/>
        </w:rPr>
      </w:pPr>
      <w:r>
        <w:rPr>
          <w:rFonts w:ascii="Arial" w:hAnsi="Arial" w:cs="Arial"/>
          <w:b/>
          <w:bCs/>
          <w:i/>
          <w:iCs/>
          <w:color w:val="202020"/>
          <w:sz w:val="32"/>
          <w:szCs w:val="32"/>
        </w:rPr>
        <w:t xml:space="preserve">Report: Banking Financial </w:t>
      </w:r>
      <w:r w:rsidR="00343590">
        <w:rPr>
          <w:rFonts w:ascii="Arial" w:hAnsi="Arial" w:cs="Arial"/>
          <w:b/>
          <w:bCs/>
          <w:i/>
          <w:iCs/>
          <w:color w:val="202020"/>
          <w:sz w:val="32"/>
          <w:szCs w:val="32"/>
        </w:rPr>
        <w:t>Management and Financial Markets</w:t>
      </w:r>
    </w:p>
    <w:p w14:paraId="784EAA65" w14:textId="77777777" w:rsidR="00197236" w:rsidRDefault="00197236" w:rsidP="0048586D">
      <w:pPr>
        <w:spacing w:line="360" w:lineRule="auto"/>
        <w:rPr>
          <w:rFonts w:ascii="Arial" w:hAnsi="Arial" w:cs="Arial"/>
          <w:i/>
          <w:iCs/>
          <w:color w:val="202020"/>
          <w:sz w:val="22"/>
          <w:szCs w:val="22"/>
        </w:rPr>
      </w:pPr>
    </w:p>
    <w:p w14:paraId="0259C41D" w14:textId="77777777" w:rsidR="00197236" w:rsidRDefault="00197236" w:rsidP="0048586D">
      <w:pPr>
        <w:spacing w:line="360" w:lineRule="auto"/>
        <w:rPr>
          <w:rFonts w:ascii="Arial" w:hAnsi="Arial" w:cs="Arial"/>
          <w:i/>
          <w:iCs/>
          <w:color w:val="202020"/>
          <w:sz w:val="22"/>
          <w:szCs w:val="22"/>
        </w:rPr>
      </w:pPr>
    </w:p>
    <w:p w14:paraId="5496E959" w14:textId="77777777" w:rsidR="00197236" w:rsidRDefault="00197236" w:rsidP="0048586D">
      <w:pPr>
        <w:spacing w:line="360" w:lineRule="auto"/>
        <w:rPr>
          <w:rFonts w:ascii="Arial" w:hAnsi="Arial" w:cs="Arial"/>
          <w:i/>
          <w:iCs/>
          <w:color w:val="202020"/>
          <w:sz w:val="22"/>
          <w:szCs w:val="22"/>
        </w:rPr>
      </w:pPr>
    </w:p>
    <w:p w14:paraId="0127B6F2" w14:textId="77777777" w:rsidR="00197236" w:rsidRDefault="00197236" w:rsidP="0048586D">
      <w:pPr>
        <w:spacing w:line="360" w:lineRule="auto"/>
        <w:rPr>
          <w:rFonts w:ascii="Arial" w:hAnsi="Arial" w:cs="Arial"/>
          <w:i/>
          <w:iCs/>
          <w:color w:val="202020"/>
          <w:sz w:val="22"/>
          <w:szCs w:val="22"/>
        </w:rPr>
      </w:pPr>
    </w:p>
    <w:p w14:paraId="45380233" w14:textId="77777777" w:rsidR="00197236" w:rsidRDefault="00197236" w:rsidP="0048586D">
      <w:pPr>
        <w:spacing w:line="360" w:lineRule="auto"/>
        <w:rPr>
          <w:rFonts w:ascii="Arial" w:hAnsi="Arial" w:cs="Arial"/>
          <w:i/>
          <w:iCs/>
          <w:color w:val="202020"/>
          <w:sz w:val="22"/>
          <w:szCs w:val="22"/>
        </w:rPr>
      </w:pPr>
    </w:p>
    <w:sdt>
      <w:sdtPr>
        <w:id w:val="-118505484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08FBE28" w14:textId="5E040E8C" w:rsidR="005B479A" w:rsidRDefault="005B479A">
          <w:pPr>
            <w:pStyle w:val="TOCHeading"/>
          </w:pPr>
          <w:r>
            <w:t>Table of Contents</w:t>
          </w:r>
        </w:p>
        <w:p w14:paraId="2E172EAD" w14:textId="5933614E" w:rsidR="005B479A" w:rsidRDefault="005B479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5604824" w:history="1">
            <w:r w:rsidRPr="00D00C9A">
              <w:rPr>
                <w:rStyle w:val="Hyperlink"/>
                <w:noProof/>
              </w:rPr>
              <w:t>Introduction</w:t>
            </w:r>
            <w:r>
              <w:rPr>
                <w:noProof/>
                <w:webHidden/>
              </w:rPr>
              <w:tab/>
            </w:r>
            <w:r>
              <w:rPr>
                <w:noProof/>
                <w:webHidden/>
              </w:rPr>
              <w:fldChar w:fldCharType="begin"/>
            </w:r>
            <w:r>
              <w:rPr>
                <w:noProof/>
                <w:webHidden/>
              </w:rPr>
              <w:instrText xml:space="preserve"> PAGEREF _Toc175604824 \h </w:instrText>
            </w:r>
            <w:r>
              <w:rPr>
                <w:noProof/>
                <w:webHidden/>
              </w:rPr>
            </w:r>
            <w:r>
              <w:rPr>
                <w:noProof/>
                <w:webHidden/>
              </w:rPr>
              <w:fldChar w:fldCharType="separate"/>
            </w:r>
            <w:r>
              <w:rPr>
                <w:noProof/>
                <w:webHidden/>
              </w:rPr>
              <w:t>3</w:t>
            </w:r>
            <w:r>
              <w:rPr>
                <w:noProof/>
                <w:webHidden/>
              </w:rPr>
              <w:fldChar w:fldCharType="end"/>
            </w:r>
          </w:hyperlink>
        </w:p>
        <w:p w14:paraId="4A66695B" w14:textId="2904705D" w:rsidR="005B479A" w:rsidRDefault="005B479A">
          <w:pPr>
            <w:pStyle w:val="TOC1"/>
            <w:tabs>
              <w:tab w:val="right" w:leader="dot" w:pos="9016"/>
            </w:tabs>
            <w:rPr>
              <w:noProof/>
            </w:rPr>
          </w:pPr>
          <w:hyperlink w:anchor="_Toc175604825" w:history="1">
            <w:r w:rsidRPr="00D00C9A">
              <w:rPr>
                <w:rStyle w:val="Hyperlink"/>
                <w:noProof/>
              </w:rPr>
              <w:t>Airbnb's business model and long-term plan</w:t>
            </w:r>
            <w:r>
              <w:rPr>
                <w:noProof/>
                <w:webHidden/>
              </w:rPr>
              <w:tab/>
            </w:r>
            <w:r>
              <w:rPr>
                <w:noProof/>
                <w:webHidden/>
              </w:rPr>
              <w:fldChar w:fldCharType="begin"/>
            </w:r>
            <w:r>
              <w:rPr>
                <w:noProof/>
                <w:webHidden/>
              </w:rPr>
              <w:instrText xml:space="preserve"> PAGEREF _Toc175604825 \h </w:instrText>
            </w:r>
            <w:r>
              <w:rPr>
                <w:noProof/>
                <w:webHidden/>
              </w:rPr>
            </w:r>
            <w:r>
              <w:rPr>
                <w:noProof/>
                <w:webHidden/>
              </w:rPr>
              <w:fldChar w:fldCharType="separate"/>
            </w:r>
            <w:r>
              <w:rPr>
                <w:noProof/>
                <w:webHidden/>
              </w:rPr>
              <w:t>3</w:t>
            </w:r>
            <w:r>
              <w:rPr>
                <w:noProof/>
                <w:webHidden/>
              </w:rPr>
              <w:fldChar w:fldCharType="end"/>
            </w:r>
          </w:hyperlink>
        </w:p>
        <w:p w14:paraId="55E49EF9" w14:textId="590FE11C" w:rsidR="005B479A" w:rsidRDefault="005B479A">
          <w:pPr>
            <w:pStyle w:val="TOC1"/>
            <w:tabs>
              <w:tab w:val="right" w:leader="dot" w:pos="9016"/>
            </w:tabs>
            <w:rPr>
              <w:noProof/>
            </w:rPr>
          </w:pPr>
          <w:hyperlink w:anchor="_Toc175604826" w:history="1">
            <w:r w:rsidRPr="00D00C9A">
              <w:rPr>
                <w:rStyle w:val="Hyperlink"/>
                <w:noProof/>
              </w:rPr>
              <w:t>Reasons to go public</w:t>
            </w:r>
            <w:r>
              <w:rPr>
                <w:noProof/>
                <w:webHidden/>
              </w:rPr>
              <w:tab/>
            </w:r>
            <w:r>
              <w:rPr>
                <w:noProof/>
                <w:webHidden/>
              </w:rPr>
              <w:fldChar w:fldCharType="begin"/>
            </w:r>
            <w:r>
              <w:rPr>
                <w:noProof/>
                <w:webHidden/>
              </w:rPr>
              <w:instrText xml:space="preserve"> PAGEREF _Toc175604826 \h </w:instrText>
            </w:r>
            <w:r>
              <w:rPr>
                <w:noProof/>
                <w:webHidden/>
              </w:rPr>
            </w:r>
            <w:r>
              <w:rPr>
                <w:noProof/>
                <w:webHidden/>
              </w:rPr>
              <w:fldChar w:fldCharType="separate"/>
            </w:r>
            <w:r>
              <w:rPr>
                <w:noProof/>
                <w:webHidden/>
              </w:rPr>
              <w:t>4</w:t>
            </w:r>
            <w:r>
              <w:rPr>
                <w:noProof/>
                <w:webHidden/>
              </w:rPr>
              <w:fldChar w:fldCharType="end"/>
            </w:r>
          </w:hyperlink>
        </w:p>
        <w:p w14:paraId="3EB3AB45" w14:textId="3D459035" w:rsidR="005B479A" w:rsidRDefault="005B479A">
          <w:pPr>
            <w:pStyle w:val="TOC1"/>
            <w:tabs>
              <w:tab w:val="right" w:leader="dot" w:pos="9016"/>
            </w:tabs>
            <w:rPr>
              <w:noProof/>
            </w:rPr>
          </w:pPr>
          <w:hyperlink w:anchor="_Toc175604827" w:history="1">
            <w:r w:rsidRPr="00D00C9A">
              <w:rPr>
                <w:rStyle w:val="Hyperlink"/>
                <w:noProof/>
              </w:rPr>
              <w:t>Problems and risks that Airbnb's S-1 filing lists</w:t>
            </w:r>
            <w:r>
              <w:rPr>
                <w:noProof/>
                <w:webHidden/>
              </w:rPr>
              <w:tab/>
            </w:r>
            <w:r>
              <w:rPr>
                <w:noProof/>
                <w:webHidden/>
              </w:rPr>
              <w:fldChar w:fldCharType="begin"/>
            </w:r>
            <w:r>
              <w:rPr>
                <w:noProof/>
                <w:webHidden/>
              </w:rPr>
              <w:instrText xml:space="preserve"> PAGEREF _Toc175604827 \h </w:instrText>
            </w:r>
            <w:r>
              <w:rPr>
                <w:noProof/>
                <w:webHidden/>
              </w:rPr>
            </w:r>
            <w:r>
              <w:rPr>
                <w:noProof/>
                <w:webHidden/>
              </w:rPr>
              <w:fldChar w:fldCharType="separate"/>
            </w:r>
            <w:r>
              <w:rPr>
                <w:noProof/>
                <w:webHidden/>
              </w:rPr>
              <w:t>5</w:t>
            </w:r>
            <w:r>
              <w:rPr>
                <w:noProof/>
                <w:webHidden/>
              </w:rPr>
              <w:fldChar w:fldCharType="end"/>
            </w:r>
          </w:hyperlink>
        </w:p>
        <w:p w14:paraId="0DBE56BA" w14:textId="00252466" w:rsidR="005B479A" w:rsidRDefault="005B479A">
          <w:pPr>
            <w:pStyle w:val="TOC1"/>
            <w:tabs>
              <w:tab w:val="right" w:leader="dot" w:pos="9016"/>
            </w:tabs>
            <w:rPr>
              <w:noProof/>
            </w:rPr>
          </w:pPr>
          <w:hyperlink w:anchor="_Toc175604828" w:history="1">
            <w:r w:rsidRPr="00D00C9A">
              <w:rPr>
                <w:rStyle w:val="Hyperlink"/>
                <w:noProof/>
              </w:rPr>
              <w:t>Value and how the market is doing</w:t>
            </w:r>
            <w:r>
              <w:rPr>
                <w:noProof/>
                <w:webHidden/>
              </w:rPr>
              <w:tab/>
            </w:r>
            <w:r>
              <w:rPr>
                <w:noProof/>
                <w:webHidden/>
              </w:rPr>
              <w:fldChar w:fldCharType="begin"/>
            </w:r>
            <w:r>
              <w:rPr>
                <w:noProof/>
                <w:webHidden/>
              </w:rPr>
              <w:instrText xml:space="preserve"> PAGEREF _Toc175604828 \h </w:instrText>
            </w:r>
            <w:r>
              <w:rPr>
                <w:noProof/>
                <w:webHidden/>
              </w:rPr>
            </w:r>
            <w:r>
              <w:rPr>
                <w:noProof/>
                <w:webHidden/>
              </w:rPr>
              <w:fldChar w:fldCharType="separate"/>
            </w:r>
            <w:r>
              <w:rPr>
                <w:noProof/>
                <w:webHidden/>
              </w:rPr>
              <w:t>5</w:t>
            </w:r>
            <w:r>
              <w:rPr>
                <w:noProof/>
                <w:webHidden/>
              </w:rPr>
              <w:fldChar w:fldCharType="end"/>
            </w:r>
          </w:hyperlink>
        </w:p>
        <w:p w14:paraId="5A11DD2F" w14:textId="7B1AA350" w:rsidR="005B479A" w:rsidRDefault="005B479A">
          <w:pPr>
            <w:pStyle w:val="TOC1"/>
            <w:tabs>
              <w:tab w:val="right" w:leader="dot" w:pos="9016"/>
            </w:tabs>
            <w:rPr>
              <w:noProof/>
            </w:rPr>
          </w:pPr>
          <w:hyperlink w:anchor="_Toc175604829" w:history="1">
            <w:r w:rsidRPr="00D00C9A">
              <w:rPr>
                <w:rStyle w:val="Hyperlink"/>
                <w:noProof/>
              </w:rPr>
              <w:t>CAGR for Airbnb from 2020-2024 and for Booking.com for the year 2024</w:t>
            </w:r>
            <w:r>
              <w:rPr>
                <w:noProof/>
                <w:webHidden/>
              </w:rPr>
              <w:tab/>
            </w:r>
            <w:r>
              <w:rPr>
                <w:noProof/>
                <w:webHidden/>
              </w:rPr>
              <w:fldChar w:fldCharType="begin"/>
            </w:r>
            <w:r>
              <w:rPr>
                <w:noProof/>
                <w:webHidden/>
              </w:rPr>
              <w:instrText xml:space="preserve"> PAGEREF _Toc175604829 \h </w:instrText>
            </w:r>
            <w:r>
              <w:rPr>
                <w:noProof/>
                <w:webHidden/>
              </w:rPr>
            </w:r>
            <w:r>
              <w:rPr>
                <w:noProof/>
                <w:webHidden/>
              </w:rPr>
              <w:fldChar w:fldCharType="separate"/>
            </w:r>
            <w:r>
              <w:rPr>
                <w:noProof/>
                <w:webHidden/>
              </w:rPr>
              <w:t>6</w:t>
            </w:r>
            <w:r>
              <w:rPr>
                <w:noProof/>
                <w:webHidden/>
              </w:rPr>
              <w:fldChar w:fldCharType="end"/>
            </w:r>
          </w:hyperlink>
        </w:p>
        <w:p w14:paraId="7A5F3614" w14:textId="4D714863" w:rsidR="005B479A" w:rsidRDefault="005B479A">
          <w:pPr>
            <w:pStyle w:val="TOC1"/>
            <w:tabs>
              <w:tab w:val="right" w:leader="dot" w:pos="9016"/>
            </w:tabs>
            <w:rPr>
              <w:noProof/>
            </w:rPr>
          </w:pPr>
          <w:hyperlink w:anchor="_Toc175604830" w:history="1">
            <w:r w:rsidRPr="00D00C9A">
              <w:rPr>
                <w:rStyle w:val="Hyperlink"/>
                <w:noProof/>
              </w:rPr>
              <w:t>Sharpe and Treynor Ratio for AIRNBN, 2022 and 2023.</w:t>
            </w:r>
            <w:r>
              <w:rPr>
                <w:noProof/>
                <w:webHidden/>
              </w:rPr>
              <w:tab/>
            </w:r>
            <w:r>
              <w:rPr>
                <w:noProof/>
                <w:webHidden/>
              </w:rPr>
              <w:fldChar w:fldCharType="begin"/>
            </w:r>
            <w:r>
              <w:rPr>
                <w:noProof/>
                <w:webHidden/>
              </w:rPr>
              <w:instrText xml:space="preserve"> PAGEREF _Toc175604830 \h </w:instrText>
            </w:r>
            <w:r>
              <w:rPr>
                <w:noProof/>
                <w:webHidden/>
              </w:rPr>
            </w:r>
            <w:r>
              <w:rPr>
                <w:noProof/>
                <w:webHidden/>
              </w:rPr>
              <w:fldChar w:fldCharType="separate"/>
            </w:r>
            <w:r>
              <w:rPr>
                <w:noProof/>
                <w:webHidden/>
              </w:rPr>
              <w:t>9</w:t>
            </w:r>
            <w:r>
              <w:rPr>
                <w:noProof/>
                <w:webHidden/>
              </w:rPr>
              <w:fldChar w:fldCharType="end"/>
            </w:r>
          </w:hyperlink>
        </w:p>
        <w:p w14:paraId="31AA8D96" w14:textId="1BC34DD5" w:rsidR="005B479A" w:rsidRDefault="005B479A">
          <w:pPr>
            <w:pStyle w:val="TOC1"/>
            <w:tabs>
              <w:tab w:val="right" w:leader="dot" w:pos="9016"/>
            </w:tabs>
            <w:rPr>
              <w:noProof/>
            </w:rPr>
          </w:pPr>
          <w:hyperlink w:anchor="_Toc175604831" w:history="1">
            <w:r w:rsidRPr="00D00C9A">
              <w:rPr>
                <w:rStyle w:val="Hyperlink"/>
                <w:noProof/>
              </w:rPr>
              <w:t>At-the-Money Call Option Payoff</w:t>
            </w:r>
            <w:r>
              <w:rPr>
                <w:noProof/>
                <w:webHidden/>
              </w:rPr>
              <w:tab/>
            </w:r>
            <w:r>
              <w:rPr>
                <w:noProof/>
                <w:webHidden/>
              </w:rPr>
              <w:fldChar w:fldCharType="begin"/>
            </w:r>
            <w:r>
              <w:rPr>
                <w:noProof/>
                <w:webHidden/>
              </w:rPr>
              <w:instrText xml:space="preserve"> PAGEREF _Toc175604831 \h </w:instrText>
            </w:r>
            <w:r>
              <w:rPr>
                <w:noProof/>
                <w:webHidden/>
              </w:rPr>
            </w:r>
            <w:r>
              <w:rPr>
                <w:noProof/>
                <w:webHidden/>
              </w:rPr>
              <w:fldChar w:fldCharType="separate"/>
            </w:r>
            <w:r>
              <w:rPr>
                <w:noProof/>
                <w:webHidden/>
              </w:rPr>
              <w:t>11</w:t>
            </w:r>
            <w:r>
              <w:rPr>
                <w:noProof/>
                <w:webHidden/>
              </w:rPr>
              <w:fldChar w:fldCharType="end"/>
            </w:r>
          </w:hyperlink>
        </w:p>
        <w:p w14:paraId="770671C1" w14:textId="55BF0CE1" w:rsidR="005B479A" w:rsidRDefault="005B479A">
          <w:pPr>
            <w:pStyle w:val="TOC1"/>
            <w:tabs>
              <w:tab w:val="right" w:leader="dot" w:pos="9016"/>
            </w:tabs>
            <w:rPr>
              <w:noProof/>
            </w:rPr>
          </w:pPr>
          <w:hyperlink w:anchor="_Toc175604832" w:history="1">
            <w:r w:rsidRPr="00D00C9A">
              <w:rPr>
                <w:rStyle w:val="Hyperlink"/>
                <w:noProof/>
              </w:rPr>
              <w:t>At-the-Money Put Option Payoff</w:t>
            </w:r>
            <w:r>
              <w:rPr>
                <w:noProof/>
                <w:webHidden/>
              </w:rPr>
              <w:tab/>
            </w:r>
            <w:r>
              <w:rPr>
                <w:noProof/>
                <w:webHidden/>
              </w:rPr>
              <w:fldChar w:fldCharType="begin"/>
            </w:r>
            <w:r>
              <w:rPr>
                <w:noProof/>
                <w:webHidden/>
              </w:rPr>
              <w:instrText xml:space="preserve"> PAGEREF _Toc175604832 \h </w:instrText>
            </w:r>
            <w:r>
              <w:rPr>
                <w:noProof/>
                <w:webHidden/>
              </w:rPr>
            </w:r>
            <w:r>
              <w:rPr>
                <w:noProof/>
                <w:webHidden/>
              </w:rPr>
              <w:fldChar w:fldCharType="separate"/>
            </w:r>
            <w:r>
              <w:rPr>
                <w:noProof/>
                <w:webHidden/>
              </w:rPr>
              <w:t>13</w:t>
            </w:r>
            <w:r>
              <w:rPr>
                <w:noProof/>
                <w:webHidden/>
              </w:rPr>
              <w:fldChar w:fldCharType="end"/>
            </w:r>
          </w:hyperlink>
        </w:p>
        <w:p w14:paraId="4D46F724" w14:textId="334B9B43" w:rsidR="005B479A" w:rsidRDefault="005B479A">
          <w:pPr>
            <w:pStyle w:val="TOC1"/>
            <w:tabs>
              <w:tab w:val="right" w:leader="dot" w:pos="9016"/>
            </w:tabs>
            <w:rPr>
              <w:noProof/>
            </w:rPr>
          </w:pPr>
          <w:hyperlink w:anchor="_Toc175604833" w:history="1">
            <w:r w:rsidRPr="00D00C9A">
              <w:rPr>
                <w:rStyle w:val="Hyperlink"/>
                <w:noProof/>
              </w:rPr>
              <w:t>Straddle Strategy</w:t>
            </w:r>
            <w:r>
              <w:rPr>
                <w:noProof/>
                <w:webHidden/>
              </w:rPr>
              <w:tab/>
            </w:r>
            <w:r>
              <w:rPr>
                <w:noProof/>
                <w:webHidden/>
              </w:rPr>
              <w:fldChar w:fldCharType="begin"/>
            </w:r>
            <w:r>
              <w:rPr>
                <w:noProof/>
                <w:webHidden/>
              </w:rPr>
              <w:instrText xml:space="preserve"> PAGEREF _Toc175604833 \h </w:instrText>
            </w:r>
            <w:r>
              <w:rPr>
                <w:noProof/>
                <w:webHidden/>
              </w:rPr>
            </w:r>
            <w:r>
              <w:rPr>
                <w:noProof/>
                <w:webHidden/>
              </w:rPr>
              <w:fldChar w:fldCharType="separate"/>
            </w:r>
            <w:r>
              <w:rPr>
                <w:noProof/>
                <w:webHidden/>
              </w:rPr>
              <w:t>14</w:t>
            </w:r>
            <w:r>
              <w:rPr>
                <w:noProof/>
                <w:webHidden/>
              </w:rPr>
              <w:fldChar w:fldCharType="end"/>
            </w:r>
          </w:hyperlink>
        </w:p>
        <w:p w14:paraId="36840DD9" w14:textId="54D3A2F4" w:rsidR="005B479A" w:rsidRDefault="005B479A">
          <w:pPr>
            <w:pStyle w:val="TOC1"/>
            <w:tabs>
              <w:tab w:val="right" w:leader="dot" w:pos="9016"/>
            </w:tabs>
            <w:rPr>
              <w:noProof/>
            </w:rPr>
          </w:pPr>
          <w:hyperlink w:anchor="_Toc175604834" w:history="1">
            <w:r w:rsidRPr="00D00C9A">
              <w:rPr>
                <w:rStyle w:val="Hyperlink"/>
                <w:noProof/>
              </w:rPr>
              <w:t>Performance of the 10Y note</w:t>
            </w:r>
            <w:r>
              <w:rPr>
                <w:noProof/>
                <w:webHidden/>
              </w:rPr>
              <w:tab/>
            </w:r>
            <w:r>
              <w:rPr>
                <w:noProof/>
                <w:webHidden/>
              </w:rPr>
              <w:fldChar w:fldCharType="begin"/>
            </w:r>
            <w:r>
              <w:rPr>
                <w:noProof/>
                <w:webHidden/>
              </w:rPr>
              <w:instrText xml:space="preserve"> PAGEREF _Toc175604834 \h </w:instrText>
            </w:r>
            <w:r>
              <w:rPr>
                <w:noProof/>
                <w:webHidden/>
              </w:rPr>
            </w:r>
            <w:r>
              <w:rPr>
                <w:noProof/>
                <w:webHidden/>
              </w:rPr>
              <w:fldChar w:fldCharType="separate"/>
            </w:r>
            <w:r>
              <w:rPr>
                <w:noProof/>
                <w:webHidden/>
              </w:rPr>
              <w:t>15</w:t>
            </w:r>
            <w:r>
              <w:rPr>
                <w:noProof/>
                <w:webHidden/>
              </w:rPr>
              <w:fldChar w:fldCharType="end"/>
            </w:r>
          </w:hyperlink>
        </w:p>
        <w:p w14:paraId="03141BA5" w14:textId="2FD6F7B0" w:rsidR="005B479A" w:rsidRDefault="005B479A">
          <w:pPr>
            <w:pStyle w:val="TOC1"/>
            <w:tabs>
              <w:tab w:val="right" w:leader="dot" w:pos="9016"/>
            </w:tabs>
            <w:rPr>
              <w:noProof/>
            </w:rPr>
          </w:pPr>
          <w:hyperlink w:anchor="_Toc175604835" w:history="1">
            <w:r w:rsidRPr="00D00C9A">
              <w:rPr>
                <w:rStyle w:val="Hyperlink"/>
                <w:noProof/>
              </w:rPr>
              <w:t>Conclusion</w:t>
            </w:r>
            <w:r>
              <w:rPr>
                <w:noProof/>
                <w:webHidden/>
              </w:rPr>
              <w:tab/>
            </w:r>
            <w:r>
              <w:rPr>
                <w:noProof/>
                <w:webHidden/>
              </w:rPr>
              <w:fldChar w:fldCharType="begin"/>
            </w:r>
            <w:r>
              <w:rPr>
                <w:noProof/>
                <w:webHidden/>
              </w:rPr>
              <w:instrText xml:space="preserve"> PAGEREF _Toc175604835 \h </w:instrText>
            </w:r>
            <w:r>
              <w:rPr>
                <w:noProof/>
                <w:webHidden/>
              </w:rPr>
            </w:r>
            <w:r>
              <w:rPr>
                <w:noProof/>
                <w:webHidden/>
              </w:rPr>
              <w:fldChar w:fldCharType="separate"/>
            </w:r>
            <w:r>
              <w:rPr>
                <w:noProof/>
                <w:webHidden/>
              </w:rPr>
              <w:t>17</w:t>
            </w:r>
            <w:r>
              <w:rPr>
                <w:noProof/>
                <w:webHidden/>
              </w:rPr>
              <w:fldChar w:fldCharType="end"/>
            </w:r>
          </w:hyperlink>
        </w:p>
        <w:p w14:paraId="35754C4E" w14:textId="031FF740" w:rsidR="005B479A" w:rsidRDefault="005B479A">
          <w:pPr>
            <w:pStyle w:val="TOC1"/>
            <w:tabs>
              <w:tab w:val="right" w:leader="dot" w:pos="9016"/>
            </w:tabs>
            <w:rPr>
              <w:noProof/>
            </w:rPr>
          </w:pPr>
          <w:hyperlink w:anchor="_Toc175604836" w:history="1">
            <w:r w:rsidRPr="00D00C9A">
              <w:rPr>
                <w:rStyle w:val="Hyperlink"/>
                <w:noProof/>
              </w:rPr>
              <w:t>List of references:</w:t>
            </w:r>
            <w:r>
              <w:rPr>
                <w:noProof/>
                <w:webHidden/>
              </w:rPr>
              <w:tab/>
            </w:r>
            <w:r>
              <w:rPr>
                <w:noProof/>
                <w:webHidden/>
              </w:rPr>
              <w:fldChar w:fldCharType="begin"/>
            </w:r>
            <w:r>
              <w:rPr>
                <w:noProof/>
                <w:webHidden/>
              </w:rPr>
              <w:instrText xml:space="preserve"> PAGEREF _Toc175604836 \h </w:instrText>
            </w:r>
            <w:r>
              <w:rPr>
                <w:noProof/>
                <w:webHidden/>
              </w:rPr>
            </w:r>
            <w:r>
              <w:rPr>
                <w:noProof/>
                <w:webHidden/>
              </w:rPr>
              <w:fldChar w:fldCharType="separate"/>
            </w:r>
            <w:r>
              <w:rPr>
                <w:noProof/>
                <w:webHidden/>
              </w:rPr>
              <w:t>19</w:t>
            </w:r>
            <w:r>
              <w:rPr>
                <w:noProof/>
                <w:webHidden/>
              </w:rPr>
              <w:fldChar w:fldCharType="end"/>
            </w:r>
          </w:hyperlink>
        </w:p>
        <w:p w14:paraId="6FFD0B20" w14:textId="063CE37E" w:rsidR="005B479A" w:rsidRDefault="005B479A">
          <w:pPr>
            <w:pStyle w:val="TOC1"/>
            <w:tabs>
              <w:tab w:val="right" w:leader="dot" w:pos="9016"/>
            </w:tabs>
            <w:rPr>
              <w:noProof/>
            </w:rPr>
          </w:pPr>
          <w:hyperlink w:anchor="_Toc175604837" w:history="1">
            <w:r w:rsidRPr="00D00C9A">
              <w:rPr>
                <w:rStyle w:val="Hyperlink"/>
                <w:noProof/>
              </w:rPr>
              <w:t>Appendix:</w:t>
            </w:r>
            <w:r>
              <w:rPr>
                <w:noProof/>
                <w:webHidden/>
              </w:rPr>
              <w:tab/>
            </w:r>
            <w:r>
              <w:rPr>
                <w:noProof/>
                <w:webHidden/>
              </w:rPr>
              <w:fldChar w:fldCharType="begin"/>
            </w:r>
            <w:r>
              <w:rPr>
                <w:noProof/>
                <w:webHidden/>
              </w:rPr>
              <w:instrText xml:space="preserve"> PAGEREF _Toc175604837 \h </w:instrText>
            </w:r>
            <w:r>
              <w:rPr>
                <w:noProof/>
                <w:webHidden/>
              </w:rPr>
            </w:r>
            <w:r>
              <w:rPr>
                <w:noProof/>
                <w:webHidden/>
              </w:rPr>
              <w:fldChar w:fldCharType="separate"/>
            </w:r>
            <w:r>
              <w:rPr>
                <w:noProof/>
                <w:webHidden/>
              </w:rPr>
              <w:t>21</w:t>
            </w:r>
            <w:r>
              <w:rPr>
                <w:noProof/>
                <w:webHidden/>
              </w:rPr>
              <w:fldChar w:fldCharType="end"/>
            </w:r>
          </w:hyperlink>
        </w:p>
        <w:p w14:paraId="357ED874" w14:textId="68F01936" w:rsidR="005B479A" w:rsidRDefault="005B479A">
          <w:r>
            <w:rPr>
              <w:b/>
              <w:bCs/>
              <w:noProof/>
            </w:rPr>
            <w:fldChar w:fldCharType="end"/>
          </w:r>
        </w:p>
      </w:sdtContent>
    </w:sdt>
    <w:p w14:paraId="2AB496D8" w14:textId="77777777" w:rsidR="00197236" w:rsidRDefault="00197236" w:rsidP="0048586D">
      <w:pPr>
        <w:spacing w:line="360" w:lineRule="auto"/>
        <w:rPr>
          <w:rFonts w:ascii="Arial" w:hAnsi="Arial" w:cs="Arial"/>
          <w:i/>
          <w:iCs/>
          <w:color w:val="202020"/>
          <w:sz w:val="22"/>
          <w:szCs w:val="22"/>
        </w:rPr>
      </w:pPr>
    </w:p>
    <w:p w14:paraId="703F0157" w14:textId="77777777" w:rsidR="00197236" w:rsidRDefault="00197236" w:rsidP="0048586D">
      <w:pPr>
        <w:spacing w:line="360" w:lineRule="auto"/>
        <w:rPr>
          <w:rFonts w:ascii="Arial" w:hAnsi="Arial" w:cs="Arial"/>
          <w:i/>
          <w:iCs/>
          <w:color w:val="202020"/>
          <w:sz w:val="22"/>
          <w:szCs w:val="22"/>
        </w:rPr>
      </w:pPr>
    </w:p>
    <w:p w14:paraId="3503A6C2" w14:textId="77777777" w:rsidR="00197236" w:rsidRDefault="00197236" w:rsidP="0048586D">
      <w:pPr>
        <w:spacing w:line="360" w:lineRule="auto"/>
        <w:rPr>
          <w:rFonts w:ascii="Arial" w:hAnsi="Arial" w:cs="Arial"/>
          <w:i/>
          <w:iCs/>
          <w:color w:val="202020"/>
          <w:sz w:val="22"/>
          <w:szCs w:val="22"/>
        </w:rPr>
      </w:pPr>
    </w:p>
    <w:p w14:paraId="5BE6FCB2" w14:textId="77777777" w:rsidR="00197236" w:rsidRDefault="00197236" w:rsidP="0048586D">
      <w:pPr>
        <w:spacing w:line="360" w:lineRule="auto"/>
        <w:rPr>
          <w:rFonts w:ascii="Arial" w:hAnsi="Arial" w:cs="Arial"/>
          <w:i/>
          <w:iCs/>
          <w:color w:val="202020"/>
          <w:sz w:val="22"/>
          <w:szCs w:val="22"/>
        </w:rPr>
      </w:pPr>
    </w:p>
    <w:p w14:paraId="0A5D5553" w14:textId="77777777" w:rsidR="00197236" w:rsidRDefault="00197236" w:rsidP="0048586D">
      <w:pPr>
        <w:spacing w:line="360" w:lineRule="auto"/>
        <w:rPr>
          <w:rFonts w:ascii="Arial" w:hAnsi="Arial" w:cs="Arial"/>
          <w:i/>
          <w:iCs/>
          <w:color w:val="202020"/>
          <w:sz w:val="22"/>
          <w:szCs w:val="22"/>
        </w:rPr>
      </w:pPr>
    </w:p>
    <w:p w14:paraId="244AC89F" w14:textId="77777777" w:rsidR="00197236" w:rsidRDefault="00197236" w:rsidP="0048586D">
      <w:pPr>
        <w:spacing w:line="360" w:lineRule="auto"/>
        <w:rPr>
          <w:rFonts w:ascii="Arial" w:hAnsi="Arial" w:cs="Arial"/>
          <w:i/>
          <w:iCs/>
          <w:color w:val="202020"/>
          <w:sz w:val="22"/>
          <w:szCs w:val="22"/>
        </w:rPr>
      </w:pPr>
    </w:p>
    <w:p w14:paraId="4FEF26E4" w14:textId="77777777" w:rsidR="00197236" w:rsidRDefault="00197236" w:rsidP="0048586D">
      <w:pPr>
        <w:spacing w:line="360" w:lineRule="auto"/>
        <w:rPr>
          <w:rFonts w:ascii="Arial" w:hAnsi="Arial" w:cs="Arial"/>
          <w:i/>
          <w:iCs/>
          <w:color w:val="202020"/>
          <w:sz w:val="22"/>
          <w:szCs w:val="22"/>
        </w:rPr>
      </w:pPr>
    </w:p>
    <w:p w14:paraId="23D082D6" w14:textId="77777777" w:rsidR="00197236" w:rsidRDefault="00197236" w:rsidP="0048586D">
      <w:pPr>
        <w:spacing w:line="360" w:lineRule="auto"/>
        <w:rPr>
          <w:rFonts w:ascii="Arial" w:hAnsi="Arial" w:cs="Arial"/>
          <w:i/>
          <w:iCs/>
          <w:color w:val="202020"/>
          <w:sz w:val="22"/>
          <w:szCs w:val="22"/>
        </w:rPr>
      </w:pPr>
    </w:p>
    <w:p w14:paraId="2DBF6813" w14:textId="77777777" w:rsidR="00197236" w:rsidRDefault="00197236" w:rsidP="0048586D">
      <w:pPr>
        <w:spacing w:line="360" w:lineRule="auto"/>
        <w:rPr>
          <w:rFonts w:ascii="Arial" w:hAnsi="Arial" w:cs="Arial"/>
          <w:i/>
          <w:iCs/>
          <w:color w:val="202020"/>
          <w:sz w:val="22"/>
          <w:szCs w:val="22"/>
        </w:rPr>
      </w:pPr>
    </w:p>
    <w:p w14:paraId="16DE0242" w14:textId="77777777" w:rsidR="00197236" w:rsidRDefault="00197236" w:rsidP="0048586D">
      <w:pPr>
        <w:spacing w:line="360" w:lineRule="auto"/>
        <w:rPr>
          <w:rFonts w:ascii="Arial" w:hAnsi="Arial" w:cs="Arial"/>
          <w:i/>
          <w:iCs/>
          <w:color w:val="202020"/>
          <w:sz w:val="22"/>
          <w:szCs w:val="22"/>
        </w:rPr>
      </w:pPr>
    </w:p>
    <w:p w14:paraId="2A049898" w14:textId="77777777" w:rsidR="00197236" w:rsidRDefault="00197236" w:rsidP="0048586D">
      <w:pPr>
        <w:spacing w:line="360" w:lineRule="auto"/>
        <w:rPr>
          <w:rFonts w:ascii="Arial" w:hAnsi="Arial" w:cs="Arial"/>
          <w:i/>
          <w:iCs/>
          <w:color w:val="202020"/>
          <w:sz w:val="22"/>
          <w:szCs w:val="22"/>
        </w:rPr>
      </w:pPr>
    </w:p>
    <w:p w14:paraId="084FE1EE" w14:textId="77777777" w:rsidR="00197236" w:rsidRDefault="00197236" w:rsidP="0048586D">
      <w:pPr>
        <w:spacing w:line="360" w:lineRule="auto"/>
        <w:rPr>
          <w:rFonts w:ascii="Arial" w:hAnsi="Arial" w:cs="Arial"/>
          <w:i/>
          <w:iCs/>
          <w:color w:val="202020"/>
          <w:sz w:val="22"/>
          <w:szCs w:val="22"/>
        </w:rPr>
      </w:pPr>
    </w:p>
    <w:p w14:paraId="08E0D54D" w14:textId="77777777" w:rsidR="00197236" w:rsidRDefault="00197236" w:rsidP="0048586D">
      <w:pPr>
        <w:spacing w:line="360" w:lineRule="auto"/>
        <w:rPr>
          <w:rFonts w:ascii="Arial" w:hAnsi="Arial" w:cs="Arial"/>
          <w:i/>
          <w:iCs/>
          <w:color w:val="202020"/>
          <w:sz w:val="22"/>
          <w:szCs w:val="22"/>
        </w:rPr>
      </w:pPr>
    </w:p>
    <w:p w14:paraId="6EE49AE0" w14:textId="77777777" w:rsidR="00197236" w:rsidRDefault="00197236" w:rsidP="0048586D">
      <w:pPr>
        <w:spacing w:line="360" w:lineRule="auto"/>
        <w:rPr>
          <w:rFonts w:ascii="Arial" w:hAnsi="Arial" w:cs="Arial"/>
          <w:i/>
          <w:iCs/>
          <w:color w:val="202020"/>
          <w:sz w:val="22"/>
          <w:szCs w:val="22"/>
        </w:rPr>
      </w:pPr>
    </w:p>
    <w:p w14:paraId="1F55B273" w14:textId="77777777" w:rsidR="00197236" w:rsidRDefault="00197236" w:rsidP="0048586D">
      <w:pPr>
        <w:spacing w:line="360" w:lineRule="auto"/>
        <w:rPr>
          <w:rFonts w:ascii="Arial" w:hAnsi="Arial" w:cs="Arial"/>
          <w:i/>
          <w:iCs/>
          <w:color w:val="202020"/>
          <w:sz w:val="22"/>
          <w:szCs w:val="22"/>
        </w:rPr>
      </w:pPr>
    </w:p>
    <w:p w14:paraId="15482B96" w14:textId="77777777" w:rsidR="00197236" w:rsidRDefault="00197236" w:rsidP="0048586D">
      <w:pPr>
        <w:spacing w:line="360" w:lineRule="auto"/>
        <w:rPr>
          <w:rFonts w:ascii="Arial" w:hAnsi="Arial" w:cs="Arial"/>
          <w:i/>
          <w:iCs/>
          <w:color w:val="202020"/>
          <w:sz w:val="22"/>
          <w:szCs w:val="22"/>
        </w:rPr>
      </w:pPr>
    </w:p>
    <w:p w14:paraId="44C4D899" w14:textId="77777777" w:rsidR="00197236" w:rsidRDefault="00197236" w:rsidP="0048586D">
      <w:pPr>
        <w:spacing w:line="360" w:lineRule="auto"/>
        <w:rPr>
          <w:rFonts w:ascii="Arial" w:hAnsi="Arial" w:cs="Arial"/>
          <w:i/>
          <w:iCs/>
          <w:color w:val="202020"/>
          <w:sz w:val="22"/>
          <w:szCs w:val="22"/>
        </w:rPr>
      </w:pPr>
    </w:p>
    <w:p w14:paraId="413E7D50" w14:textId="77777777" w:rsidR="00197236" w:rsidRDefault="00197236" w:rsidP="0048586D">
      <w:pPr>
        <w:spacing w:line="360" w:lineRule="auto"/>
        <w:rPr>
          <w:rFonts w:ascii="Arial" w:hAnsi="Arial" w:cs="Arial"/>
          <w:i/>
          <w:iCs/>
          <w:color w:val="202020"/>
          <w:sz w:val="22"/>
          <w:szCs w:val="22"/>
        </w:rPr>
      </w:pPr>
    </w:p>
    <w:p w14:paraId="216B2952" w14:textId="77777777" w:rsidR="007C32A1" w:rsidRPr="007C32A1" w:rsidRDefault="007C32A1" w:rsidP="007C32A1"/>
    <w:p w14:paraId="22F992CD" w14:textId="05B16F39" w:rsidR="004F65FF" w:rsidRPr="004F65FF" w:rsidRDefault="004F65FF" w:rsidP="007C32A1">
      <w:pPr>
        <w:pStyle w:val="Heading1"/>
      </w:pPr>
      <w:bookmarkStart w:id="0" w:name="_Toc175604824"/>
      <w:r w:rsidRPr="004F65FF">
        <w:t>Introduction</w:t>
      </w:r>
      <w:bookmarkEnd w:id="0"/>
      <w:r w:rsidRPr="004F65FF">
        <w:t xml:space="preserve"> </w:t>
      </w:r>
    </w:p>
    <w:p w14:paraId="22EF4242" w14:textId="661687E3" w:rsidR="004F65FF" w:rsidRDefault="004F65FF" w:rsidP="0048586D">
      <w:pPr>
        <w:spacing w:line="360" w:lineRule="auto"/>
        <w:rPr>
          <w:rFonts w:ascii="Arial" w:hAnsi="Arial" w:cs="Arial"/>
          <w:color w:val="202020"/>
          <w:sz w:val="22"/>
          <w:szCs w:val="22"/>
        </w:rPr>
      </w:pPr>
      <w:r w:rsidRPr="004F65FF">
        <w:rPr>
          <w:rFonts w:ascii="Arial" w:hAnsi="Arial" w:cs="Arial"/>
          <w:color w:val="202020"/>
          <w:sz w:val="22"/>
          <w:szCs w:val="22"/>
        </w:rPr>
        <w:t>This report will discuss how Airbnb, the world's biggest platform for short-term rentals, has grown, as well as its business plan and strategic problems. The report's primary goal is to look at Airbnb's growth from its start in 2008 to its successful IPO in 2020, worth more than $100 billion</w:t>
      </w:r>
      <w:r w:rsidR="00543BBF">
        <w:rPr>
          <w:rFonts w:ascii="Arial" w:hAnsi="Arial" w:cs="Arial"/>
          <w:color w:val="202020"/>
          <w:sz w:val="22"/>
          <w:szCs w:val="22"/>
        </w:rPr>
        <w:t xml:space="preserve"> </w:t>
      </w:r>
      <w:r w:rsidR="00543BBF" w:rsidRPr="00543BBF">
        <w:rPr>
          <w:rFonts w:ascii="Arial" w:hAnsi="Arial" w:cs="Arial"/>
          <w:color w:val="202020"/>
          <w:sz w:val="22"/>
          <w:szCs w:val="22"/>
        </w:rPr>
        <w:t>(Airbnb, 2024)</w:t>
      </w:r>
      <w:r w:rsidRPr="004F65FF">
        <w:rPr>
          <w:rFonts w:ascii="Arial" w:hAnsi="Arial" w:cs="Arial"/>
          <w:color w:val="202020"/>
          <w:sz w:val="22"/>
          <w:szCs w:val="22"/>
        </w:rPr>
        <w:t xml:space="preserve">. It will look at the company's business plan, specifically how Airbnb makes money from its platform and the steps it has taken to protect users and ensure they can trust it. The report will also discuss the strategic choices that led Airbnb to add luxury options and the company's problems, such as regulatory risks and the ongoing effects of the COVID-19 pandemic. The report's goal with this analysis is to give a complete picture of Airbnb's place in the global travel business and its </w:t>
      </w:r>
      <w:proofErr w:type="gramStart"/>
      <w:r w:rsidRPr="004F65FF">
        <w:rPr>
          <w:rFonts w:ascii="Arial" w:hAnsi="Arial" w:cs="Arial"/>
          <w:color w:val="202020"/>
          <w:sz w:val="22"/>
          <w:szCs w:val="22"/>
        </w:rPr>
        <w:t>plans for the future</w:t>
      </w:r>
      <w:proofErr w:type="gramEnd"/>
      <w:r w:rsidRPr="004F65FF">
        <w:rPr>
          <w:rFonts w:ascii="Arial" w:hAnsi="Arial" w:cs="Arial"/>
          <w:color w:val="202020"/>
          <w:sz w:val="22"/>
          <w:szCs w:val="22"/>
        </w:rPr>
        <w:t>.</w:t>
      </w:r>
    </w:p>
    <w:p w14:paraId="20E3CC2E" w14:textId="77777777" w:rsidR="004F65FF" w:rsidRDefault="004F65FF" w:rsidP="0048586D">
      <w:pPr>
        <w:spacing w:line="360" w:lineRule="auto"/>
        <w:rPr>
          <w:rFonts w:ascii="Arial" w:hAnsi="Arial" w:cs="Arial"/>
          <w:color w:val="202020"/>
          <w:sz w:val="22"/>
          <w:szCs w:val="22"/>
        </w:rPr>
      </w:pPr>
    </w:p>
    <w:p w14:paraId="26AFD242" w14:textId="270CA4E3" w:rsidR="0048586D" w:rsidRPr="0048586D" w:rsidRDefault="0048586D" w:rsidP="0048586D">
      <w:pPr>
        <w:spacing w:line="360" w:lineRule="auto"/>
        <w:rPr>
          <w:rFonts w:ascii="Arial" w:hAnsi="Arial" w:cs="Arial"/>
          <w:color w:val="202020"/>
          <w:sz w:val="22"/>
          <w:szCs w:val="22"/>
        </w:rPr>
      </w:pPr>
      <w:r w:rsidRPr="0048586D">
        <w:rPr>
          <w:rFonts w:ascii="Arial" w:hAnsi="Arial" w:cs="Arial"/>
          <w:color w:val="202020"/>
          <w:sz w:val="22"/>
          <w:szCs w:val="22"/>
        </w:rPr>
        <w:t xml:space="preserve">Airbnb is a website that pairs hosts with travellers who need short-term lodging. The company was started by Brian </w:t>
      </w:r>
      <w:proofErr w:type="spellStart"/>
      <w:r w:rsidRPr="0048586D">
        <w:rPr>
          <w:rFonts w:ascii="Arial" w:hAnsi="Arial" w:cs="Arial"/>
          <w:color w:val="202020"/>
          <w:sz w:val="22"/>
          <w:szCs w:val="22"/>
        </w:rPr>
        <w:t>Chesky</w:t>
      </w:r>
      <w:proofErr w:type="spellEnd"/>
      <w:r w:rsidRPr="0048586D">
        <w:rPr>
          <w:rFonts w:ascii="Arial" w:hAnsi="Arial" w:cs="Arial"/>
          <w:color w:val="202020"/>
          <w:sz w:val="22"/>
          <w:szCs w:val="22"/>
        </w:rPr>
        <w:t xml:space="preserve">, Joe </w:t>
      </w:r>
      <w:proofErr w:type="spellStart"/>
      <w:r w:rsidRPr="0048586D">
        <w:rPr>
          <w:rFonts w:ascii="Arial" w:hAnsi="Arial" w:cs="Arial"/>
          <w:color w:val="202020"/>
          <w:sz w:val="22"/>
          <w:szCs w:val="22"/>
        </w:rPr>
        <w:t>Gebbia</w:t>
      </w:r>
      <w:proofErr w:type="spellEnd"/>
      <w:r w:rsidRPr="0048586D">
        <w:rPr>
          <w:rFonts w:ascii="Arial" w:hAnsi="Arial" w:cs="Arial"/>
          <w:color w:val="202020"/>
          <w:sz w:val="22"/>
          <w:szCs w:val="22"/>
        </w:rPr>
        <w:t xml:space="preserve">, and Nathan </w:t>
      </w:r>
      <w:proofErr w:type="spellStart"/>
      <w:r w:rsidRPr="0048586D">
        <w:rPr>
          <w:rFonts w:ascii="Arial" w:hAnsi="Arial" w:cs="Arial"/>
          <w:color w:val="202020"/>
          <w:sz w:val="22"/>
          <w:szCs w:val="22"/>
        </w:rPr>
        <w:t>Blecharczyk</w:t>
      </w:r>
      <w:proofErr w:type="spellEnd"/>
      <w:r w:rsidRPr="0048586D">
        <w:rPr>
          <w:rFonts w:ascii="Arial" w:hAnsi="Arial" w:cs="Arial"/>
          <w:color w:val="202020"/>
          <w:sz w:val="22"/>
          <w:szCs w:val="22"/>
        </w:rPr>
        <w:t xml:space="preserve"> in 2008. It has since grown into a global travel giant with over 7 million ads in more than 220 countries</w:t>
      </w:r>
      <w:r w:rsidR="00543BBF">
        <w:rPr>
          <w:rFonts w:ascii="Arial" w:hAnsi="Arial" w:cs="Arial"/>
          <w:color w:val="202020"/>
          <w:sz w:val="22"/>
          <w:szCs w:val="22"/>
        </w:rPr>
        <w:t xml:space="preserve"> </w:t>
      </w:r>
      <w:r w:rsidR="00543BBF" w:rsidRPr="00543BBF">
        <w:rPr>
          <w:rFonts w:ascii="Arial" w:hAnsi="Arial" w:cs="Arial"/>
          <w:color w:val="202020"/>
          <w:sz w:val="22"/>
          <w:szCs w:val="22"/>
        </w:rPr>
        <w:t>(Airbnb, 2024)</w:t>
      </w:r>
      <w:r w:rsidRPr="0048586D">
        <w:rPr>
          <w:rFonts w:ascii="Arial" w:hAnsi="Arial" w:cs="Arial"/>
          <w:color w:val="202020"/>
          <w:sz w:val="22"/>
          <w:szCs w:val="22"/>
        </w:rPr>
        <w:t xml:space="preserve">. Airbnb started out </w:t>
      </w:r>
      <w:proofErr w:type="gramStart"/>
      <w:r w:rsidRPr="0048586D">
        <w:rPr>
          <w:rFonts w:ascii="Arial" w:hAnsi="Arial" w:cs="Arial"/>
          <w:color w:val="202020"/>
          <w:sz w:val="22"/>
          <w:szCs w:val="22"/>
        </w:rPr>
        <w:t>as a way to</w:t>
      </w:r>
      <w:proofErr w:type="gramEnd"/>
      <w:r w:rsidRPr="0048586D">
        <w:rPr>
          <w:rFonts w:ascii="Arial" w:hAnsi="Arial" w:cs="Arial"/>
          <w:color w:val="202020"/>
          <w:sz w:val="22"/>
          <w:szCs w:val="22"/>
        </w:rPr>
        <w:t xml:space="preserve"> rent air mattresses for conferences, but it quickly grew to include a wide range of places to stay and one-of-a-kind events. Airbnb had a great initial public offering (IPO) in December 2020, and the company was valued at more than $100 billion. This achievement showed how strong the company was, especially during </w:t>
      </w:r>
      <w:r w:rsidRPr="0048586D">
        <w:rPr>
          <w:rFonts w:ascii="Arial" w:hAnsi="Arial" w:cs="Arial"/>
          <w:color w:val="202020"/>
          <w:sz w:val="22"/>
          <w:szCs w:val="22"/>
        </w:rPr>
        <w:lastRenderedPageBreak/>
        <w:t>the COVID-19 pandemic, which made people look for safer ways to travel and led to a change towards private and extended stays (</w:t>
      </w:r>
      <w:proofErr w:type="spellStart"/>
      <w:r w:rsidRPr="0048586D">
        <w:rPr>
          <w:rFonts w:ascii="Arial" w:hAnsi="Arial" w:cs="Arial"/>
          <w:color w:val="202020"/>
          <w:sz w:val="22"/>
          <w:szCs w:val="22"/>
        </w:rPr>
        <w:t>Sarath</w:t>
      </w:r>
      <w:proofErr w:type="spellEnd"/>
      <w:r w:rsidRPr="0048586D">
        <w:rPr>
          <w:rFonts w:ascii="Arial" w:hAnsi="Arial" w:cs="Arial"/>
          <w:color w:val="202020"/>
          <w:sz w:val="22"/>
          <w:szCs w:val="22"/>
        </w:rPr>
        <w:t>, 2021).</w:t>
      </w:r>
    </w:p>
    <w:p w14:paraId="4221EA38" w14:textId="77777777" w:rsidR="0048586D" w:rsidRPr="0048586D" w:rsidRDefault="0048586D" w:rsidP="0048586D">
      <w:pPr>
        <w:spacing w:line="360" w:lineRule="auto"/>
        <w:rPr>
          <w:rFonts w:ascii="Arial" w:hAnsi="Arial" w:cs="Arial"/>
          <w:color w:val="202020"/>
          <w:sz w:val="22"/>
          <w:szCs w:val="22"/>
        </w:rPr>
      </w:pPr>
    </w:p>
    <w:p w14:paraId="2A2341AF" w14:textId="77777777" w:rsidR="0048586D" w:rsidRPr="004F65FF" w:rsidRDefault="0048586D" w:rsidP="005E211F">
      <w:pPr>
        <w:pStyle w:val="Heading1"/>
      </w:pPr>
      <w:bookmarkStart w:id="1" w:name="_Toc175604825"/>
      <w:r w:rsidRPr="004F65FF">
        <w:t>Airbnb's business model and long-term plan</w:t>
      </w:r>
      <w:bookmarkEnd w:id="1"/>
    </w:p>
    <w:p w14:paraId="259B9A29" w14:textId="77777777" w:rsidR="0048586D" w:rsidRPr="0048586D" w:rsidRDefault="0048586D" w:rsidP="0048586D">
      <w:pPr>
        <w:spacing w:line="360" w:lineRule="auto"/>
        <w:rPr>
          <w:rFonts w:ascii="Arial" w:hAnsi="Arial" w:cs="Arial"/>
          <w:color w:val="202020"/>
          <w:sz w:val="22"/>
          <w:szCs w:val="22"/>
        </w:rPr>
      </w:pPr>
      <w:r w:rsidRPr="0048586D">
        <w:rPr>
          <w:rFonts w:ascii="Arial" w:hAnsi="Arial" w:cs="Arial"/>
          <w:color w:val="202020"/>
          <w:sz w:val="22"/>
          <w:szCs w:val="22"/>
        </w:rPr>
        <w:t>Airbnb's business model is based on its platform, where hosts can add different places to stay, like private stays, apartments, and houses. Guests see this when they go to Airbnb's website or mobile app to look around, book, and pay for their stays. Both owners and guests pay service fees to the company, which makes money. Guests pay a fee ranging from 10% to 20%, based on the length of stay and where the listing is located. Hosts usually pay a service fee of about 3% of the booking amount. This fee system ensures that Airbnb makes money and makes things easy for its users (Hostaway.com, 2020).</w:t>
      </w:r>
    </w:p>
    <w:p w14:paraId="5D75EA97" w14:textId="77777777" w:rsidR="0048586D" w:rsidRPr="0048586D" w:rsidRDefault="0048586D" w:rsidP="0048586D">
      <w:pPr>
        <w:spacing w:line="360" w:lineRule="auto"/>
        <w:rPr>
          <w:rFonts w:ascii="Arial" w:hAnsi="Arial" w:cs="Arial"/>
          <w:color w:val="202020"/>
          <w:sz w:val="22"/>
          <w:szCs w:val="22"/>
        </w:rPr>
      </w:pPr>
    </w:p>
    <w:p w14:paraId="5B2D75CB" w14:textId="77777777" w:rsidR="003F4ED3" w:rsidRPr="003F4ED3" w:rsidRDefault="0048586D" w:rsidP="003F4ED3">
      <w:pPr>
        <w:spacing w:line="360" w:lineRule="auto"/>
        <w:rPr>
          <w:rFonts w:ascii="Arial" w:hAnsi="Arial" w:cs="Arial"/>
          <w:color w:val="202020"/>
          <w:sz w:val="22"/>
          <w:szCs w:val="22"/>
        </w:rPr>
      </w:pPr>
      <w:r w:rsidRPr="0048586D">
        <w:rPr>
          <w:rFonts w:ascii="Arial" w:hAnsi="Arial" w:cs="Arial"/>
          <w:color w:val="202020"/>
          <w:sz w:val="22"/>
          <w:szCs w:val="22"/>
        </w:rPr>
        <w:t xml:space="preserve">The site's success depends on ensuring that transactions can be done safely and reliably. Airbnb has put vital safety steps in place to ensure hosts and guests are happy and safe. This includes ensuring users are who they say they are, secure ways to pay, and a complete review system where users can rate their experiences. </w:t>
      </w:r>
      <w:r w:rsidR="003F4ED3" w:rsidRPr="003F4ED3">
        <w:rPr>
          <w:rFonts w:ascii="Arial" w:hAnsi="Arial" w:cs="Arial"/>
          <w:color w:val="202020"/>
          <w:sz w:val="22"/>
          <w:szCs w:val="22"/>
        </w:rPr>
        <w:t>There is another reason for Airbnb's success: its host model works. Hosts are motivated to maintain high standards to become "</w:t>
      </w:r>
      <w:proofErr w:type="spellStart"/>
      <w:r w:rsidR="003F4ED3" w:rsidRPr="003F4ED3">
        <w:rPr>
          <w:rFonts w:ascii="Arial" w:hAnsi="Arial" w:cs="Arial"/>
          <w:color w:val="202020"/>
          <w:sz w:val="22"/>
          <w:szCs w:val="22"/>
        </w:rPr>
        <w:t>Superhosts</w:t>
      </w:r>
      <w:proofErr w:type="spellEnd"/>
      <w:r w:rsidR="003F4ED3" w:rsidRPr="003F4ED3">
        <w:rPr>
          <w:rFonts w:ascii="Arial" w:hAnsi="Arial" w:cs="Arial"/>
          <w:color w:val="202020"/>
          <w:sz w:val="22"/>
          <w:szCs w:val="22"/>
        </w:rPr>
        <w:t>," which has been linked to better performance and happier guests (Gunter, 2018). </w:t>
      </w:r>
    </w:p>
    <w:p w14:paraId="0FB57894" w14:textId="7A0CC9BB" w:rsidR="0048586D" w:rsidRPr="0048586D" w:rsidRDefault="0048586D" w:rsidP="0048586D">
      <w:pPr>
        <w:spacing w:line="360" w:lineRule="auto"/>
        <w:rPr>
          <w:rFonts w:ascii="Arial" w:hAnsi="Arial" w:cs="Arial"/>
          <w:color w:val="202020"/>
          <w:sz w:val="22"/>
          <w:szCs w:val="22"/>
        </w:rPr>
      </w:pPr>
      <w:r w:rsidRPr="0048586D">
        <w:rPr>
          <w:rFonts w:ascii="Arial" w:hAnsi="Arial" w:cs="Arial"/>
          <w:color w:val="202020"/>
          <w:sz w:val="22"/>
          <w:szCs w:val="22"/>
        </w:rPr>
        <w:t>The company also puts a lot of money into customer service to settle conflicts and fix problems quickly, which gives users a reliable experience. Because of these efforts, Airbnb now has over 7 million listings in more than 220 countries, making it one of the biggest names in the travel business worldwide. Airbnb has also expanded its services to include high-end listings and luxury experiences to serve a wider group of customers (SEC, 2020).</w:t>
      </w:r>
      <w:r w:rsidR="00ED08EB" w:rsidRPr="00ED08EB">
        <w:t xml:space="preserve"> </w:t>
      </w:r>
    </w:p>
    <w:p w14:paraId="3FDF7173" w14:textId="77777777" w:rsidR="0048586D" w:rsidRPr="0048586D" w:rsidRDefault="0048586D" w:rsidP="0048586D">
      <w:pPr>
        <w:spacing w:line="360" w:lineRule="auto"/>
        <w:rPr>
          <w:rFonts w:ascii="Arial" w:hAnsi="Arial" w:cs="Arial"/>
          <w:color w:val="202020"/>
          <w:sz w:val="22"/>
          <w:szCs w:val="22"/>
        </w:rPr>
      </w:pPr>
    </w:p>
    <w:p w14:paraId="7A101EA4" w14:textId="416574B9" w:rsidR="0048586D" w:rsidRPr="005E51E3" w:rsidRDefault="0048586D" w:rsidP="005E211F">
      <w:pPr>
        <w:pStyle w:val="Heading1"/>
      </w:pPr>
      <w:bookmarkStart w:id="2" w:name="_Toc175604826"/>
      <w:r w:rsidRPr="005E51E3">
        <w:t>Reasons to go public</w:t>
      </w:r>
      <w:bookmarkEnd w:id="2"/>
      <w:r w:rsidRPr="005E51E3">
        <w:t xml:space="preserve"> </w:t>
      </w:r>
    </w:p>
    <w:p w14:paraId="1A1EDC0F" w14:textId="77777777" w:rsidR="008043FA" w:rsidRDefault="0048586D" w:rsidP="0048586D">
      <w:pPr>
        <w:spacing w:line="360" w:lineRule="auto"/>
        <w:rPr>
          <w:rFonts w:ascii="Arial" w:hAnsi="Arial" w:cs="Arial"/>
          <w:color w:val="202020"/>
          <w:sz w:val="22"/>
          <w:szCs w:val="22"/>
        </w:rPr>
      </w:pPr>
      <w:r w:rsidRPr="0048586D">
        <w:rPr>
          <w:rFonts w:ascii="Arial" w:hAnsi="Arial" w:cs="Arial"/>
          <w:color w:val="202020"/>
          <w:sz w:val="22"/>
          <w:szCs w:val="22"/>
        </w:rPr>
        <w:t>Several strategic factors led Airbnb to decide to go public in December 2020. In the first place, the IPO gave Airbnb access to a lot of money, which it could use to grow in essential areas like technology, marketing, and entering new markets. The IPO raised a lot of money that helped the company build a solid financial base for future growth, especially as it tried to get back on its feet after the COVID-19 pandemic hit the economy. The pandemic greatly affected Airbnb's business, and bookings and income dropped sharply. However, the company quickly changed its focus to local and long-stay stays, which helped lessen some of the pandemic's harmful effects (SEC, 2020).</w:t>
      </w:r>
    </w:p>
    <w:p w14:paraId="7BD1358E" w14:textId="77777777" w:rsidR="00410B87" w:rsidRDefault="00410B87" w:rsidP="0048586D">
      <w:pPr>
        <w:spacing w:line="360" w:lineRule="auto"/>
        <w:rPr>
          <w:rFonts w:ascii="Arial" w:hAnsi="Arial" w:cs="Arial"/>
          <w:color w:val="202020"/>
          <w:sz w:val="22"/>
          <w:szCs w:val="22"/>
        </w:rPr>
      </w:pPr>
    </w:p>
    <w:p w14:paraId="3A45C8A0" w14:textId="7E7C262B" w:rsidR="00690B15" w:rsidRDefault="00690B15" w:rsidP="0048586D">
      <w:pPr>
        <w:spacing w:line="360" w:lineRule="auto"/>
        <w:rPr>
          <w:rFonts w:ascii="Arial" w:hAnsi="Arial" w:cs="Arial"/>
          <w:color w:val="202020"/>
          <w:sz w:val="22"/>
          <w:szCs w:val="22"/>
        </w:rPr>
      </w:pPr>
      <w:r>
        <w:rPr>
          <w:rFonts w:ascii="Arial" w:hAnsi="Arial" w:cs="Arial"/>
          <w:noProof/>
          <w:color w:val="202020"/>
          <w:sz w:val="22"/>
          <w:szCs w:val="22"/>
        </w:rPr>
        <w:drawing>
          <wp:inline distT="0" distB="0" distL="0" distR="0" wp14:anchorId="45B072C9" wp14:editId="511A0DEA">
            <wp:extent cx="5731510" cy="1841500"/>
            <wp:effectExtent l="0" t="0" r="0" b="0"/>
            <wp:docPr id="1341152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152795" name="Picture 134115279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841500"/>
                    </a:xfrm>
                    <a:prstGeom prst="rect">
                      <a:avLst/>
                    </a:prstGeom>
                  </pic:spPr>
                </pic:pic>
              </a:graphicData>
            </a:graphic>
          </wp:inline>
        </w:drawing>
      </w:r>
    </w:p>
    <w:p w14:paraId="576F5C98" w14:textId="54625A02" w:rsidR="00A51471" w:rsidRDefault="00A51471" w:rsidP="00BE1D12">
      <w:pPr>
        <w:spacing w:line="360" w:lineRule="auto"/>
        <w:rPr>
          <w:rFonts w:ascii="Arial" w:hAnsi="Arial" w:cs="Arial"/>
          <w:color w:val="202020"/>
          <w:sz w:val="22"/>
          <w:szCs w:val="22"/>
        </w:rPr>
      </w:pPr>
      <w:r>
        <w:rPr>
          <w:rFonts w:ascii="Arial" w:hAnsi="Arial" w:cs="Arial"/>
          <w:i/>
          <w:iCs/>
          <w:color w:val="202020"/>
          <w:sz w:val="22"/>
          <w:szCs w:val="22"/>
        </w:rPr>
        <w:t xml:space="preserve">Source: </w:t>
      </w:r>
      <w:r>
        <w:rPr>
          <w:rFonts w:ascii="Arial" w:hAnsi="Arial" w:cs="Arial"/>
          <w:color w:val="202020"/>
          <w:sz w:val="22"/>
          <w:szCs w:val="22"/>
        </w:rPr>
        <w:t>(</w:t>
      </w:r>
      <w:r w:rsidRPr="00F744D3">
        <w:rPr>
          <w:rFonts w:ascii="Arial" w:hAnsi="Arial" w:cs="Arial"/>
          <w:color w:val="202020"/>
          <w:sz w:val="22"/>
          <w:szCs w:val="22"/>
        </w:rPr>
        <w:t>SEC</w:t>
      </w:r>
      <w:r>
        <w:rPr>
          <w:rFonts w:ascii="Arial" w:hAnsi="Arial" w:cs="Arial"/>
          <w:color w:val="202020"/>
          <w:sz w:val="22"/>
          <w:szCs w:val="22"/>
        </w:rPr>
        <w:t xml:space="preserve">, </w:t>
      </w:r>
      <w:r w:rsidRPr="00F744D3">
        <w:rPr>
          <w:rFonts w:ascii="Arial" w:hAnsi="Arial" w:cs="Arial"/>
          <w:color w:val="202020"/>
          <w:sz w:val="22"/>
          <w:szCs w:val="22"/>
        </w:rPr>
        <w:t>2020)</w:t>
      </w:r>
      <w:r w:rsidRPr="00BE1D12">
        <w:rPr>
          <w:rFonts w:ascii="Arial" w:hAnsi="Arial" w:cs="Arial"/>
          <w:color w:val="202020"/>
          <w:sz w:val="22"/>
          <w:szCs w:val="22"/>
        </w:rPr>
        <w:t>.</w:t>
      </w:r>
    </w:p>
    <w:p w14:paraId="4972DAA4" w14:textId="77777777" w:rsidR="0042390A" w:rsidRPr="0042390A" w:rsidRDefault="0042390A" w:rsidP="0042390A">
      <w:pPr>
        <w:spacing w:line="360" w:lineRule="auto"/>
        <w:rPr>
          <w:rFonts w:ascii="Arial" w:hAnsi="Arial" w:cs="Arial"/>
          <w:color w:val="202020"/>
          <w:sz w:val="22"/>
          <w:szCs w:val="22"/>
        </w:rPr>
      </w:pPr>
    </w:p>
    <w:p w14:paraId="563A917B" w14:textId="77777777" w:rsidR="0042390A" w:rsidRPr="0042390A" w:rsidRDefault="0042390A" w:rsidP="0042390A">
      <w:pPr>
        <w:spacing w:line="360" w:lineRule="auto"/>
        <w:rPr>
          <w:rFonts w:ascii="Arial" w:hAnsi="Arial" w:cs="Arial"/>
          <w:color w:val="202020"/>
          <w:sz w:val="22"/>
          <w:szCs w:val="22"/>
        </w:rPr>
      </w:pPr>
      <w:r w:rsidRPr="0042390A">
        <w:rPr>
          <w:rFonts w:ascii="Arial" w:hAnsi="Arial" w:cs="Arial"/>
          <w:color w:val="202020"/>
          <w:sz w:val="22"/>
          <w:szCs w:val="22"/>
        </w:rPr>
        <w:t>In addition to getting money, Airbnb was able to give its early investors and workers cash through the IPO. Many of these people had stock options or private shares in the company that could be turned into cash when the business went public. This move paid employees who had been with the company from the start and helped Airbnb keep and hire top talent by tying employees' pay to the company's success (SEC, 2020).</w:t>
      </w:r>
    </w:p>
    <w:p w14:paraId="1FEBF59A" w14:textId="77777777" w:rsidR="0042390A" w:rsidRPr="005E51E3" w:rsidRDefault="0042390A" w:rsidP="0042390A">
      <w:pPr>
        <w:spacing w:line="360" w:lineRule="auto"/>
        <w:rPr>
          <w:rFonts w:ascii="Arial" w:hAnsi="Arial" w:cs="Arial"/>
          <w:i/>
          <w:iCs/>
          <w:color w:val="202020"/>
          <w:sz w:val="22"/>
          <w:szCs w:val="22"/>
        </w:rPr>
      </w:pPr>
    </w:p>
    <w:p w14:paraId="3A39C739" w14:textId="77777777" w:rsidR="0042390A" w:rsidRPr="005E51E3" w:rsidRDefault="0042390A" w:rsidP="005E211F">
      <w:pPr>
        <w:pStyle w:val="Heading1"/>
      </w:pPr>
      <w:bookmarkStart w:id="3" w:name="_Toc175604827"/>
      <w:r w:rsidRPr="005E51E3">
        <w:t>Problems and risks that Airbnb's S-1 filing lists</w:t>
      </w:r>
      <w:bookmarkEnd w:id="3"/>
    </w:p>
    <w:p w14:paraId="559CAAF9" w14:textId="77777777" w:rsidR="0042390A" w:rsidRPr="0042390A" w:rsidRDefault="0042390A" w:rsidP="0042390A">
      <w:pPr>
        <w:spacing w:line="360" w:lineRule="auto"/>
        <w:rPr>
          <w:rFonts w:ascii="Arial" w:hAnsi="Arial" w:cs="Arial"/>
          <w:color w:val="202020"/>
          <w:sz w:val="22"/>
          <w:szCs w:val="22"/>
        </w:rPr>
      </w:pPr>
      <w:r w:rsidRPr="0042390A">
        <w:rPr>
          <w:rFonts w:ascii="Arial" w:hAnsi="Arial" w:cs="Arial"/>
          <w:color w:val="202020"/>
          <w:sz w:val="22"/>
          <w:szCs w:val="22"/>
        </w:rPr>
        <w:t>Even though its IPO went well, Airbnb faces several significant risks, as described in its S-1 filing. One of the most important things to worry about is how the COVID-19 outbreak still affects people. Because of the pandemic, bookings and income dropped significantly. Airbnb has changed its strategy to focus on domestic and extended stays. However, the pandemic's unpredictability still threatens the company's recovery and future growth. Travel limits, the distribution of vaccines, and changes in how people behave could all affect Airbnb's ability to recover from the pandemic (SEC, 2020).</w:t>
      </w:r>
    </w:p>
    <w:p w14:paraId="7658076B" w14:textId="77777777" w:rsidR="0042390A" w:rsidRPr="0042390A" w:rsidRDefault="0042390A" w:rsidP="0042390A">
      <w:pPr>
        <w:spacing w:line="360" w:lineRule="auto"/>
        <w:rPr>
          <w:rFonts w:ascii="Arial" w:hAnsi="Arial" w:cs="Arial"/>
          <w:color w:val="202020"/>
          <w:sz w:val="22"/>
          <w:szCs w:val="22"/>
        </w:rPr>
      </w:pPr>
    </w:p>
    <w:p w14:paraId="17C3A4CA" w14:textId="2A218278" w:rsidR="007F7DE7" w:rsidRDefault="0042390A" w:rsidP="0042390A">
      <w:pPr>
        <w:spacing w:line="360" w:lineRule="auto"/>
        <w:rPr>
          <w:rFonts w:ascii="Arial" w:hAnsi="Arial" w:cs="Arial"/>
          <w:color w:val="202020"/>
          <w:sz w:val="22"/>
          <w:szCs w:val="22"/>
        </w:rPr>
      </w:pPr>
      <w:r w:rsidRPr="0042390A">
        <w:rPr>
          <w:rFonts w:ascii="Arial" w:hAnsi="Arial" w:cs="Arial"/>
          <w:color w:val="202020"/>
          <w:sz w:val="22"/>
          <w:szCs w:val="22"/>
        </w:rPr>
        <w:t>Another big problem for Airbnb is that it faces regulatory risks. The business works in many countries, each with its own rules about short-term renting. In its S-1 filing, Airbnb talked about how stricter enforcement or passing new laws could make it harder for the company to do business in key countries. These unknowns about regulations could make it more expensive to run Airbnb and slow its growth, especially in places where local governments are cracking down on short-term rentals. It can be expensive to follow these rules because of fines, the need for compliance workers, and the time it takes for employees to learn and follow the new rules. According to Cassini (2023), these things could significantly affect Airbnb's ability to make money and grow.</w:t>
      </w:r>
    </w:p>
    <w:p w14:paraId="0B020971" w14:textId="77777777" w:rsidR="00CD09FB" w:rsidRDefault="00CD09FB" w:rsidP="00FC46B4">
      <w:pPr>
        <w:spacing w:line="360" w:lineRule="auto"/>
        <w:rPr>
          <w:rFonts w:ascii="Arial" w:hAnsi="Arial" w:cs="Arial"/>
          <w:color w:val="202020"/>
          <w:sz w:val="22"/>
          <w:szCs w:val="22"/>
        </w:rPr>
      </w:pPr>
    </w:p>
    <w:p w14:paraId="359C89D2" w14:textId="77777777" w:rsidR="00CD09FB" w:rsidRPr="00BE1D12" w:rsidRDefault="00CD09FB" w:rsidP="00FC46B4">
      <w:pPr>
        <w:spacing w:line="360" w:lineRule="auto"/>
        <w:rPr>
          <w:rFonts w:ascii="Arial" w:hAnsi="Arial" w:cs="Arial"/>
          <w:color w:val="202020"/>
          <w:sz w:val="22"/>
          <w:szCs w:val="22"/>
        </w:rPr>
      </w:pPr>
    </w:p>
    <w:p w14:paraId="50C8C259" w14:textId="4B0CC38E" w:rsidR="00BE1D12" w:rsidRPr="00CC3B51" w:rsidRDefault="00CD09FB" w:rsidP="00CC3B51">
      <w:pPr>
        <w:spacing w:line="360" w:lineRule="auto"/>
        <w:rPr>
          <w:rFonts w:ascii="Arial" w:hAnsi="Arial" w:cs="Arial"/>
          <w:color w:val="202020"/>
          <w:sz w:val="22"/>
          <w:szCs w:val="22"/>
        </w:rPr>
      </w:pPr>
      <w:r>
        <w:rPr>
          <w:rFonts w:ascii="Arial" w:hAnsi="Arial" w:cs="Arial"/>
          <w:noProof/>
          <w:color w:val="202020"/>
          <w:sz w:val="22"/>
          <w:szCs w:val="22"/>
        </w:rPr>
        <w:drawing>
          <wp:inline distT="0" distB="0" distL="0" distR="0" wp14:anchorId="43B6EFF5" wp14:editId="5160182D">
            <wp:extent cx="5731510" cy="1860550"/>
            <wp:effectExtent l="0" t="0" r="0" b="6350"/>
            <wp:docPr id="3321394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39433" name="Picture 33213943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860550"/>
                    </a:xfrm>
                    <a:prstGeom prst="rect">
                      <a:avLst/>
                    </a:prstGeom>
                  </pic:spPr>
                </pic:pic>
              </a:graphicData>
            </a:graphic>
          </wp:inline>
        </w:drawing>
      </w:r>
    </w:p>
    <w:p w14:paraId="7840D407" w14:textId="77777777" w:rsidR="00CC3B51" w:rsidRDefault="00CC3B51" w:rsidP="00CC3B51">
      <w:pPr>
        <w:spacing w:line="360" w:lineRule="auto"/>
        <w:rPr>
          <w:rFonts w:ascii="Arial" w:hAnsi="Arial" w:cs="Arial"/>
          <w:color w:val="202020"/>
          <w:sz w:val="22"/>
          <w:szCs w:val="22"/>
        </w:rPr>
      </w:pPr>
    </w:p>
    <w:p w14:paraId="101628CE" w14:textId="75653C14" w:rsidR="009A5535" w:rsidRDefault="00787E8D" w:rsidP="00CC3B51">
      <w:pPr>
        <w:spacing w:line="360" w:lineRule="auto"/>
        <w:rPr>
          <w:rFonts w:ascii="Arial" w:hAnsi="Arial" w:cs="Arial"/>
          <w:color w:val="202020"/>
          <w:sz w:val="22"/>
          <w:szCs w:val="22"/>
        </w:rPr>
      </w:pPr>
      <w:r>
        <w:rPr>
          <w:rFonts w:ascii="Arial" w:hAnsi="Arial" w:cs="Arial"/>
          <w:color w:val="202020"/>
          <w:sz w:val="22"/>
          <w:szCs w:val="22"/>
        </w:rPr>
        <w:t xml:space="preserve">Source: </w:t>
      </w:r>
      <w:r w:rsidR="009A5535">
        <w:rPr>
          <w:rFonts w:ascii="Arial" w:hAnsi="Arial" w:cs="Arial"/>
          <w:color w:val="202020"/>
          <w:sz w:val="22"/>
          <w:szCs w:val="22"/>
        </w:rPr>
        <w:t>(Yahoo Finance, n.d.)</w:t>
      </w:r>
    </w:p>
    <w:p w14:paraId="7D542EFA" w14:textId="77777777" w:rsidR="005E51E3" w:rsidRDefault="005E51E3" w:rsidP="00CC3B51">
      <w:pPr>
        <w:spacing w:line="360" w:lineRule="auto"/>
        <w:rPr>
          <w:rFonts w:ascii="Arial" w:hAnsi="Arial" w:cs="Arial"/>
          <w:color w:val="202020"/>
          <w:sz w:val="22"/>
          <w:szCs w:val="22"/>
        </w:rPr>
      </w:pPr>
    </w:p>
    <w:p w14:paraId="7BD7E2C5" w14:textId="77777777" w:rsidR="00C95EDF" w:rsidRPr="005E51E3" w:rsidRDefault="00C95EDF" w:rsidP="005E211F">
      <w:pPr>
        <w:pStyle w:val="Heading1"/>
      </w:pPr>
      <w:bookmarkStart w:id="4" w:name="_Toc175604828"/>
      <w:r w:rsidRPr="005E51E3">
        <w:t>Value and how the market is doing</w:t>
      </w:r>
      <w:bookmarkEnd w:id="4"/>
    </w:p>
    <w:p w14:paraId="2423A876" w14:textId="77777777" w:rsidR="00C95EDF" w:rsidRPr="00C95EDF" w:rsidRDefault="00C95EDF" w:rsidP="00C95EDF">
      <w:pPr>
        <w:spacing w:line="360" w:lineRule="auto"/>
        <w:rPr>
          <w:rFonts w:ascii="Arial" w:hAnsi="Arial" w:cs="Arial"/>
          <w:color w:val="202020"/>
          <w:sz w:val="22"/>
          <w:szCs w:val="22"/>
        </w:rPr>
      </w:pPr>
      <w:r w:rsidRPr="00C95EDF">
        <w:rPr>
          <w:rFonts w:ascii="Arial" w:hAnsi="Arial" w:cs="Arial"/>
          <w:color w:val="202020"/>
          <w:sz w:val="22"/>
          <w:szCs w:val="22"/>
        </w:rPr>
        <w:t>Airbnb's shares were sold for $68 when the company went public. The stock price rose to $144.71 by the end of the first business day. This shows that investors were very interested in the company and were optimistic about its future (</w:t>
      </w:r>
      <w:proofErr w:type="spellStart"/>
      <w:r w:rsidRPr="00C95EDF">
        <w:rPr>
          <w:rFonts w:ascii="Arial" w:hAnsi="Arial" w:cs="Arial"/>
          <w:color w:val="202020"/>
          <w:sz w:val="22"/>
          <w:szCs w:val="22"/>
        </w:rPr>
        <w:t>Sigalos</w:t>
      </w:r>
      <w:proofErr w:type="spellEnd"/>
      <w:r w:rsidRPr="00C95EDF">
        <w:rPr>
          <w:rFonts w:ascii="Arial" w:hAnsi="Arial" w:cs="Arial"/>
          <w:color w:val="202020"/>
          <w:sz w:val="22"/>
          <w:szCs w:val="22"/>
        </w:rPr>
        <w:t>, Smith &amp; Berger, 2020; Yahoo Finance, n.d.). However, since its IPO, Airbnb's price has been everywhere. For example, by July 2022, the stock price had dropped to $89.08, showing that the market didn't believe Airbnb would be able to keep growing at the same rate before the pandemic. This instability brings to light the problems that Airbnb is facing, such as the ongoing effects of the COVID-19 pandemic and the legal risks that come with doing business in more than one market (Yahoo Finance, n.d.).</w:t>
      </w:r>
    </w:p>
    <w:p w14:paraId="07028B51" w14:textId="77777777" w:rsidR="00C95EDF" w:rsidRPr="00C95EDF" w:rsidRDefault="00C95EDF" w:rsidP="00C95EDF">
      <w:pPr>
        <w:spacing w:line="360" w:lineRule="auto"/>
        <w:rPr>
          <w:rFonts w:ascii="Arial" w:hAnsi="Arial" w:cs="Arial"/>
          <w:color w:val="202020"/>
          <w:sz w:val="22"/>
          <w:szCs w:val="22"/>
        </w:rPr>
      </w:pPr>
    </w:p>
    <w:p w14:paraId="07A74ABE" w14:textId="77777777" w:rsidR="00C95EDF" w:rsidRPr="00C95EDF" w:rsidRDefault="00C95EDF" w:rsidP="00C95EDF">
      <w:pPr>
        <w:spacing w:line="360" w:lineRule="auto"/>
        <w:rPr>
          <w:rFonts w:ascii="Arial" w:hAnsi="Arial" w:cs="Arial"/>
          <w:color w:val="202020"/>
          <w:sz w:val="22"/>
          <w:szCs w:val="22"/>
        </w:rPr>
      </w:pPr>
      <w:r w:rsidRPr="00C95EDF">
        <w:rPr>
          <w:rFonts w:ascii="Arial" w:hAnsi="Arial" w:cs="Arial"/>
          <w:color w:val="202020"/>
          <w:sz w:val="22"/>
          <w:szCs w:val="22"/>
        </w:rPr>
        <w:t>When the company went public, it was valued very highly. Part of this was because people thought Airbnb would quickly recover from the pandemic and continue to grow. However, the business faces significant risks, such as future pandemics, regulation changes, and reliance on a vast network of hosts and guests. When investors consider adding Airbnb to their portfolio, they must weigh these risks against the possible benefits. How long the company can keep growing and making money will rest on how well it handles these problems in the coming years (SEC, 2020).</w:t>
      </w:r>
    </w:p>
    <w:p w14:paraId="37EB03DC" w14:textId="77777777" w:rsidR="00C95EDF" w:rsidRPr="00C95EDF" w:rsidRDefault="00C95EDF" w:rsidP="00C95EDF">
      <w:pPr>
        <w:spacing w:line="360" w:lineRule="auto"/>
        <w:rPr>
          <w:rFonts w:ascii="Arial" w:hAnsi="Arial" w:cs="Arial"/>
          <w:color w:val="202020"/>
          <w:sz w:val="22"/>
          <w:szCs w:val="22"/>
        </w:rPr>
      </w:pPr>
    </w:p>
    <w:p w14:paraId="6A6635CF" w14:textId="4C0012F2" w:rsidR="00827749" w:rsidRDefault="00C95EDF" w:rsidP="00C95EDF">
      <w:pPr>
        <w:spacing w:line="360" w:lineRule="auto"/>
        <w:rPr>
          <w:rFonts w:ascii="Arial" w:hAnsi="Arial" w:cs="Arial"/>
          <w:color w:val="202020"/>
          <w:sz w:val="22"/>
          <w:szCs w:val="22"/>
        </w:rPr>
      </w:pPr>
      <w:r w:rsidRPr="00C95EDF">
        <w:rPr>
          <w:rFonts w:ascii="Arial" w:hAnsi="Arial" w:cs="Arial"/>
          <w:color w:val="202020"/>
          <w:sz w:val="22"/>
          <w:szCs w:val="22"/>
        </w:rPr>
        <w:t>Airbnb has grown from a small business renting out air mattresses to a global travel giant worth more than $100 billion</w:t>
      </w:r>
      <w:r w:rsidR="007E0C75">
        <w:rPr>
          <w:rFonts w:ascii="Arial" w:hAnsi="Arial" w:cs="Arial"/>
          <w:color w:val="202020"/>
          <w:sz w:val="22"/>
          <w:szCs w:val="22"/>
        </w:rPr>
        <w:t xml:space="preserve"> </w:t>
      </w:r>
      <w:r w:rsidR="007E0C75" w:rsidRPr="005D5048">
        <w:rPr>
          <w:rFonts w:ascii="Arial" w:hAnsi="Arial" w:cs="Arial"/>
          <w:color w:val="202020"/>
          <w:sz w:val="22"/>
          <w:szCs w:val="22"/>
        </w:rPr>
        <w:t>(Yahoo Finance, n.d.)</w:t>
      </w:r>
      <w:r w:rsidRPr="00C95EDF">
        <w:rPr>
          <w:rFonts w:ascii="Arial" w:hAnsi="Arial" w:cs="Arial"/>
          <w:color w:val="202020"/>
          <w:sz w:val="22"/>
          <w:szCs w:val="22"/>
        </w:rPr>
        <w:t xml:space="preserve">. This is due to its creative business plan and long-term vision. However, the company faces significant risks, such as the ongoing </w:t>
      </w:r>
      <w:r w:rsidRPr="00C95EDF">
        <w:rPr>
          <w:rFonts w:ascii="Arial" w:hAnsi="Arial" w:cs="Arial"/>
          <w:color w:val="202020"/>
          <w:sz w:val="22"/>
          <w:szCs w:val="22"/>
        </w:rPr>
        <w:lastRenderedPageBreak/>
        <w:t>effects of the COVID-19 pandemic and problems with regulations in several countries. Airbnb got the money it needed to grow through the IPO, but the company needs to be careful to avoid these risks if it wants to be successful in the long run. When investors look at Airbnb's chances for future growth and profit, they should think about these things.</w:t>
      </w:r>
    </w:p>
    <w:p w14:paraId="62DB47C7" w14:textId="77777777" w:rsidR="00C56AF8" w:rsidRDefault="00C56AF8" w:rsidP="00431E3F">
      <w:pPr>
        <w:spacing w:line="360" w:lineRule="auto"/>
        <w:rPr>
          <w:rFonts w:ascii="Arial" w:hAnsi="Arial" w:cs="Arial"/>
          <w:color w:val="202020"/>
          <w:sz w:val="22"/>
          <w:szCs w:val="22"/>
        </w:rPr>
      </w:pPr>
    </w:p>
    <w:p w14:paraId="50E14E22" w14:textId="17815889" w:rsidR="006543FF" w:rsidRDefault="006E3689" w:rsidP="00E74032">
      <w:pPr>
        <w:pStyle w:val="Heading1"/>
      </w:pPr>
      <w:bookmarkStart w:id="5" w:name="_Toc175604829"/>
      <w:r>
        <w:t>CAGR</w:t>
      </w:r>
      <w:r w:rsidR="00942740">
        <w:t xml:space="preserve"> for Airbnb from 2020</w:t>
      </w:r>
      <w:r w:rsidR="00E74032">
        <w:t>-2024 and for Booking.com for the year 2024</w:t>
      </w:r>
      <w:bookmarkEnd w:id="5"/>
    </w:p>
    <w:p w14:paraId="4CCCCFD8" w14:textId="77777777" w:rsidR="00E74032" w:rsidRDefault="00E74032" w:rsidP="00431E3F">
      <w:pPr>
        <w:spacing w:line="360" w:lineRule="auto"/>
        <w:rPr>
          <w:rFonts w:ascii="Arial" w:hAnsi="Arial" w:cs="Arial"/>
          <w:b/>
          <w:bCs/>
          <w:i/>
          <w:iCs/>
          <w:color w:val="202020"/>
          <w:sz w:val="22"/>
          <w:szCs w:val="22"/>
        </w:rPr>
      </w:pPr>
    </w:p>
    <w:p w14:paraId="3D904CBE" w14:textId="7608C3EE" w:rsidR="00942740" w:rsidRPr="00942740" w:rsidRDefault="00E74032" w:rsidP="00431E3F">
      <w:pPr>
        <w:spacing w:line="360" w:lineRule="auto"/>
        <w:rPr>
          <w:rFonts w:ascii="Arial" w:hAnsi="Arial" w:cs="Arial"/>
          <w:color w:val="202020"/>
          <w:sz w:val="22"/>
          <w:szCs w:val="22"/>
        </w:rPr>
      </w:pPr>
      <w:r w:rsidRPr="00E74032">
        <w:rPr>
          <w:rFonts w:ascii="Arial" w:hAnsi="Arial" w:cs="Arial"/>
          <w:color w:val="202020"/>
          <w:sz w:val="22"/>
          <w:szCs w:val="22"/>
        </w:rPr>
        <w:t>The compound annual growth rate (CAGR) shows the average yearly growth rate of an investment over a period longer than one year. It gives a smoothed rate of return that removes volatility. The CAGR is especially helpful for comparing the growth rates of various stocks or businesses, as it gives a clear picture of how well they did over time.</w:t>
      </w:r>
    </w:p>
    <w:p w14:paraId="132D9E53" w14:textId="77777777" w:rsidR="00942740" w:rsidRDefault="00942740" w:rsidP="00431E3F">
      <w:pPr>
        <w:spacing w:line="360" w:lineRule="auto"/>
        <w:rPr>
          <w:rFonts w:ascii="Arial" w:hAnsi="Arial" w:cs="Arial"/>
          <w:b/>
          <w:bCs/>
          <w:i/>
          <w:iCs/>
          <w:color w:val="202020"/>
          <w:sz w:val="22"/>
          <w:szCs w:val="22"/>
        </w:rPr>
      </w:pPr>
    </w:p>
    <w:p w14:paraId="742C555B" w14:textId="77777777" w:rsidR="002F1F7F" w:rsidRDefault="002F1F7F" w:rsidP="002F1F7F">
      <w:pPr>
        <w:spacing w:line="360" w:lineRule="auto"/>
        <w:jc w:val="center"/>
        <w:rPr>
          <w:rFonts w:ascii="Arial" w:hAnsi="Arial" w:cs="Arial"/>
          <w:b/>
          <w:bCs/>
          <w:i/>
          <w:iCs/>
          <w:color w:val="202020"/>
          <w:sz w:val="22"/>
          <w:szCs w:val="22"/>
        </w:rPr>
      </w:pPr>
    </w:p>
    <w:tbl>
      <w:tblPr>
        <w:tblStyle w:val="TableGrid"/>
        <w:tblW w:w="0" w:type="auto"/>
        <w:tblInd w:w="1740" w:type="dxa"/>
        <w:tblLook w:val="04A0" w:firstRow="1" w:lastRow="0" w:firstColumn="1" w:lastColumn="0" w:noHBand="0" w:noVBand="1"/>
      </w:tblPr>
      <w:tblGrid>
        <w:gridCol w:w="1640"/>
        <w:gridCol w:w="1300"/>
        <w:gridCol w:w="1300"/>
        <w:gridCol w:w="1300"/>
      </w:tblGrid>
      <w:tr w:rsidR="002F1F7F" w:rsidRPr="002F1F7F" w14:paraId="27C30A89" w14:textId="77777777" w:rsidTr="002F1F7F">
        <w:trPr>
          <w:trHeight w:val="320"/>
        </w:trPr>
        <w:tc>
          <w:tcPr>
            <w:tcW w:w="1640" w:type="dxa"/>
            <w:noWrap/>
            <w:hideMark/>
          </w:tcPr>
          <w:p w14:paraId="2733765A" w14:textId="77777777" w:rsidR="002F1F7F" w:rsidRPr="002F1F7F" w:rsidRDefault="002F1F7F" w:rsidP="002F1F7F">
            <w:pPr>
              <w:spacing w:line="360" w:lineRule="auto"/>
              <w:rPr>
                <w:rFonts w:ascii="Arial" w:hAnsi="Arial" w:cs="Arial"/>
                <w:b/>
                <w:bCs/>
                <w:color w:val="202020"/>
                <w:sz w:val="22"/>
                <w:szCs w:val="22"/>
              </w:rPr>
            </w:pPr>
            <w:r w:rsidRPr="002F1F7F">
              <w:rPr>
                <w:rFonts w:ascii="Arial" w:hAnsi="Arial" w:cs="Arial"/>
                <w:b/>
                <w:bCs/>
                <w:color w:val="202020"/>
                <w:sz w:val="22"/>
                <w:szCs w:val="22"/>
              </w:rPr>
              <w:t>Year</w:t>
            </w:r>
          </w:p>
        </w:tc>
        <w:tc>
          <w:tcPr>
            <w:tcW w:w="1300" w:type="dxa"/>
            <w:noWrap/>
            <w:hideMark/>
          </w:tcPr>
          <w:p w14:paraId="7C502EC3" w14:textId="77777777" w:rsidR="002F1F7F" w:rsidRPr="002F1F7F" w:rsidRDefault="002F1F7F" w:rsidP="002F1F7F">
            <w:pPr>
              <w:spacing w:line="360" w:lineRule="auto"/>
              <w:rPr>
                <w:rFonts w:ascii="Arial" w:hAnsi="Arial" w:cs="Arial"/>
                <w:b/>
                <w:bCs/>
                <w:color w:val="202020"/>
                <w:sz w:val="22"/>
                <w:szCs w:val="22"/>
              </w:rPr>
            </w:pPr>
            <w:r w:rsidRPr="002F1F7F">
              <w:rPr>
                <w:rFonts w:ascii="Arial" w:hAnsi="Arial" w:cs="Arial"/>
                <w:b/>
                <w:bCs/>
                <w:color w:val="202020"/>
                <w:sz w:val="22"/>
                <w:szCs w:val="22"/>
              </w:rPr>
              <w:t>Start Price</w:t>
            </w:r>
          </w:p>
        </w:tc>
        <w:tc>
          <w:tcPr>
            <w:tcW w:w="1300" w:type="dxa"/>
            <w:noWrap/>
            <w:hideMark/>
          </w:tcPr>
          <w:p w14:paraId="2B1EE767" w14:textId="77777777" w:rsidR="002F1F7F" w:rsidRPr="002F1F7F" w:rsidRDefault="002F1F7F" w:rsidP="002F1F7F">
            <w:pPr>
              <w:spacing w:line="360" w:lineRule="auto"/>
              <w:rPr>
                <w:rFonts w:ascii="Arial" w:hAnsi="Arial" w:cs="Arial"/>
                <w:b/>
                <w:bCs/>
                <w:color w:val="202020"/>
                <w:sz w:val="22"/>
                <w:szCs w:val="22"/>
              </w:rPr>
            </w:pPr>
            <w:r w:rsidRPr="002F1F7F">
              <w:rPr>
                <w:rFonts w:ascii="Arial" w:hAnsi="Arial" w:cs="Arial"/>
                <w:b/>
                <w:bCs/>
                <w:color w:val="202020"/>
                <w:sz w:val="22"/>
                <w:szCs w:val="22"/>
              </w:rPr>
              <w:t>End Price</w:t>
            </w:r>
          </w:p>
        </w:tc>
        <w:tc>
          <w:tcPr>
            <w:tcW w:w="1300" w:type="dxa"/>
            <w:noWrap/>
            <w:hideMark/>
          </w:tcPr>
          <w:p w14:paraId="5BA017EF" w14:textId="77777777" w:rsidR="002F1F7F" w:rsidRPr="002F1F7F" w:rsidRDefault="002F1F7F" w:rsidP="002F1F7F">
            <w:pPr>
              <w:spacing w:line="360" w:lineRule="auto"/>
              <w:rPr>
                <w:rFonts w:ascii="Arial" w:hAnsi="Arial" w:cs="Arial"/>
                <w:b/>
                <w:bCs/>
                <w:color w:val="202020"/>
                <w:sz w:val="22"/>
                <w:szCs w:val="22"/>
              </w:rPr>
            </w:pPr>
            <w:r w:rsidRPr="002F1F7F">
              <w:rPr>
                <w:rFonts w:ascii="Arial" w:hAnsi="Arial" w:cs="Arial"/>
                <w:b/>
                <w:bCs/>
                <w:color w:val="202020"/>
                <w:sz w:val="22"/>
                <w:szCs w:val="22"/>
              </w:rPr>
              <w:t>CAGR (%)</w:t>
            </w:r>
          </w:p>
        </w:tc>
      </w:tr>
      <w:tr w:rsidR="002F1F7F" w:rsidRPr="002F1F7F" w14:paraId="4C4D447E" w14:textId="77777777" w:rsidTr="002F1F7F">
        <w:trPr>
          <w:trHeight w:val="320"/>
        </w:trPr>
        <w:tc>
          <w:tcPr>
            <w:tcW w:w="1640" w:type="dxa"/>
            <w:noWrap/>
            <w:hideMark/>
          </w:tcPr>
          <w:p w14:paraId="0077F407"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2020</w:t>
            </w:r>
          </w:p>
        </w:tc>
        <w:tc>
          <w:tcPr>
            <w:tcW w:w="1300" w:type="dxa"/>
            <w:noWrap/>
            <w:hideMark/>
          </w:tcPr>
          <w:p w14:paraId="14D9643F"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$144.71</w:t>
            </w:r>
          </w:p>
        </w:tc>
        <w:tc>
          <w:tcPr>
            <w:tcW w:w="1300" w:type="dxa"/>
            <w:noWrap/>
            <w:hideMark/>
          </w:tcPr>
          <w:p w14:paraId="72E78519"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$146.70</w:t>
            </w:r>
          </w:p>
        </w:tc>
        <w:tc>
          <w:tcPr>
            <w:tcW w:w="1300" w:type="dxa"/>
            <w:noWrap/>
            <w:hideMark/>
          </w:tcPr>
          <w:p w14:paraId="36EA0EF9"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1.37%</w:t>
            </w:r>
          </w:p>
        </w:tc>
      </w:tr>
      <w:tr w:rsidR="002F1F7F" w:rsidRPr="002F1F7F" w14:paraId="121EEE34" w14:textId="77777777" w:rsidTr="002F1F7F">
        <w:trPr>
          <w:trHeight w:val="320"/>
        </w:trPr>
        <w:tc>
          <w:tcPr>
            <w:tcW w:w="1640" w:type="dxa"/>
            <w:noWrap/>
            <w:hideMark/>
          </w:tcPr>
          <w:p w14:paraId="4B496E0A"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2021</w:t>
            </w:r>
          </w:p>
        </w:tc>
        <w:tc>
          <w:tcPr>
            <w:tcW w:w="1300" w:type="dxa"/>
            <w:noWrap/>
            <w:hideMark/>
          </w:tcPr>
          <w:p w14:paraId="5B0F4E6C"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$146.70</w:t>
            </w:r>
          </w:p>
        </w:tc>
        <w:tc>
          <w:tcPr>
            <w:tcW w:w="1300" w:type="dxa"/>
            <w:noWrap/>
            <w:hideMark/>
          </w:tcPr>
          <w:p w14:paraId="75406870"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$175.18</w:t>
            </w:r>
          </w:p>
        </w:tc>
        <w:tc>
          <w:tcPr>
            <w:tcW w:w="1300" w:type="dxa"/>
            <w:noWrap/>
            <w:hideMark/>
          </w:tcPr>
          <w:p w14:paraId="42F37D69"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19.44%</w:t>
            </w:r>
          </w:p>
        </w:tc>
      </w:tr>
      <w:tr w:rsidR="002F1F7F" w:rsidRPr="002F1F7F" w14:paraId="591C8955" w14:textId="77777777" w:rsidTr="002F1F7F">
        <w:trPr>
          <w:trHeight w:val="320"/>
        </w:trPr>
        <w:tc>
          <w:tcPr>
            <w:tcW w:w="1640" w:type="dxa"/>
            <w:noWrap/>
            <w:hideMark/>
          </w:tcPr>
          <w:p w14:paraId="47A4F830"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2022</w:t>
            </w:r>
          </w:p>
        </w:tc>
        <w:tc>
          <w:tcPr>
            <w:tcW w:w="1300" w:type="dxa"/>
            <w:noWrap/>
            <w:hideMark/>
          </w:tcPr>
          <w:p w14:paraId="1ED2253A"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$175.18</w:t>
            </w:r>
          </w:p>
        </w:tc>
        <w:tc>
          <w:tcPr>
            <w:tcW w:w="1300" w:type="dxa"/>
            <w:noWrap/>
            <w:hideMark/>
          </w:tcPr>
          <w:p w14:paraId="7EEAE919"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$85.46</w:t>
            </w:r>
          </w:p>
        </w:tc>
        <w:tc>
          <w:tcPr>
            <w:tcW w:w="1300" w:type="dxa"/>
            <w:noWrap/>
            <w:hideMark/>
          </w:tcPr>
          <w:p w14:paraId="14FD6BC8"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-51.22%</w:t>
            </w:r>
          </w:p>
        </w:tc>
      </w:tr>
      <w:tr w:rsidR="002F1F7F" w:rsidRPr="002F1F7F" w14:paraId="3C7B8CBB" w14:textId="77777777" w:rsidTr="002F1F7F">
        <w:trPr>
          <w:trHeight w:val="320"/>
        </w:trPr>
        <w:tc>
          <w:tcPr>
            <w:tcW w:w="1640" w:type="dxa"/>
            <w:noWrap/>
            <w:hideMark/>
          </w:tcPr>
          <w:p w14:paraId="36CD6C21"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2023</w:t>
            </w:r>
          </w:p>
        </w:tc>
        <w:tc>
          <w:tcPr>
            <w:tcW w:w="1300" w:type="dxa"/>
            <w:noWrap/>
            <w:hideMark/>
          </w:tcPr>
          <w:p w14:paraId="01B9F733"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$85.46</w:t>
            </w:r>
          </w:p>
        </w:tc>
        <w:tc>
          <w:tcPr>
            <w:tcW w:w="1300" w:type="dxa"/>
            <w:noWrap/>
            <w:hideMark/>
          </w:tcPr>
          <w:p w14:paraId="564CFE66"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$137.21</w:t>
            </w:r>
          </w:p>
        </w:tc>
        <w:tc>
          <w:tcPr>
            <w:tcW w:w="1300" w:type="dxa"/>
            <w:noWrap/>
            <w:hideMark/>
          </w:tcPr>
          <w:p w14:paraId="62C8629A"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60.52%</w:t>
            </w:r>
          </w:p>
        </w:tc>
      </w:tr>
      <w:tr w:rsidR="002F1F7F" w:rsidRPr="002F1F7F" w14:paraId="7FB1EFCD" w14:textId="77777777" w:rsidTr="002F1F7F">
        <w:trPr>
          <w:trHeight w:val="320"/>
        </w:trPr>
        <w:tc>
          <w:tcPr>
            <w:tcW w:w="1640" w:type="dxa"/>
            <w:noWrap/>
            <w:hideMark/>
          </w:tcPr>
          <w:p w14:paraId="6AD2B327"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2024 (Jan to Jul)</w:t>
            </w:r>
          </w:p>
        </w:tc>
        <w:tc>
          <w:tcPr>
            <w:tcW w:w="1300" w:type="dxa"/>
            <w:noWrap/>
            <w:hideMark/>
          </w:tcPr>
          <w:p w14:paraId="302FDB7A"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$137.21</w:t>
            </w:r>
          </w:p>
        </w:tc>
        <w:tc>
          <w:tcPr>
            <w:tcW w:w="1300" w:type="dxa"/>
            <w:noWrap/>
            <w:hideMark/>
          </w:tcPr>
          <w:p w14:paraId="370397FC"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$142.39</w:t>
            </w:r>
          </w:p>
        </w:tc>
        <w:tc>
          <w:tcPr>
            <w:tcW w:w="1300" w:type="dxa"/>
            <w:noWrap/>
            <w:hideMark/>
          </w:tcPr>
          <w:p w14:paraId="1FEA6F06" w14:textId="77777777" w:rsidR="002F1F7F" w:rsidRPr="002F1F7F" w:rsidRDefault="002F1F7F" w:rsidP="002F1F7F">
            <w:pPr>
              <w:spacing w:line="360" w:lineRule="auto"/>
              <w:rPr>
                <w:rFonts w:ascii="Arial" w:hAnsi="Arial" w:cs="Arial"/>
                <w:color w:val="202020"/>
                <w:sz w:val="22"/>
                <w:szCs w:val="22"/>
              </w:rPr>
            </w:pPr>
            <w:r w:rsidRPr="002F1F7F">
              <w:rPr>
                <w:rFonts w:ascii="Arial" w:hAnsi="Arial" w:cs="Arial"/>
                <w:color w:val="202020"/>
                <w:sz w:val="22"/>
                <w:szCs w:val="22"/>
              </w:rPr>
              <w:t>3.78%</w:t>
            </w:r>
          </w:p>
        </w:tc>
      </w:tr>
    </w:tbl>
    <w:p w14:paraId="73E8D5A6" w14:textId="77777777" w:rsidR="002F1F7F" w:rsidRDefault="002F1F7F" w:rsidP="00431E3F">
      <w:pPr>
        <w:spacing w:line="360" w:lineRule="auto"/>
        <w:rPr>
          <w:rFonts w:ascii="Arial" w:hAnsi="Arial" w:cs="Arial"/>
          <w:color w:val="202020"/>
          <w:sz w:val="22"/>
          <w:szCs w:val="22"/>
        </w:rPr>
      </w:pPr>
    </w:p>
    <w:p w14:paraId="6C91BB0A" w14:textId="195BC4B6" w:rsidR="0072783D" w:rsidRPr="0078660A" w:rsidRDefault="0072783D" w:rsidP="00431E3F">
      <w:pPr>
        <w:spacing w:line="360" w:lineRule="auto"/>
        <w:rPr>
          <w:rFonts w:ascii="Arial" w:hAnsi="Arial" w:cs="Arial"/>
          <w:i/>
          <w:iCs/>
          <w:color w:val="202020"/>
          <w:sz w:val="22"/>
          <w:szCs w:val="22"/>
        </w:rPr>
      </w:pPr>
      <w:r>
        <w:rPr>
          <w:rFonts w:ascii="Arial" w:hAnsi="Arial" w:cs="Arial"/>
          <w:color w:val="202020"/>
          <w:sz w:val="22"/>
          <w:szCs w:val="22"/>
        </w:rPr>
        <w:t xml:space="preserve">Source: </w:t>
      </w:r>
      <w:r w:rsidRPr="0078660A">
        <w:rPr>
          <w:rFonts w:ascii="Arial" w:hAnsi="Arial" w:cs="Arial"/>
          <w:i/>
          <w:iCs/>
          <w:color w:val="202020"/>
          <w:sz w:val="22"/>
          <w:szCs w:val="22"/>
        </w:rPr>
        <w:t xml:space="preserve">Authors </w:t>
      </w:r>
      <w:r w:rsidR="0078660A" w:rsidRPr="0078660A">
        <w:rPr>
          <w:rFonts w:ascii="Arial" w:hAnsi="Arial" w:cs="Arial"/>
          <w:i/>
          <w:iCs/>
          <w:color w:val="202020"/>
          <w:sz w:val="22"/>
          <w:szCs w:val="22"/>
        </w:rPr>
        <w:t>Calculations based on Yahoo Finance</w:t>
      </w:r>
      <w:r w:rsidR="0078660A">
        <w:rPr>
          <w:rFonts w:ascii="Arial" w:hAnsi="Arial" w:cs="Arial"/>
          <w:i/>
          <w:iCs/>
          <w:color w:val="202020"/>
          <w:sz w:val="22"/>
          <w:szCs w:val="22"/>
        </w:rPr>
        <w:t xml:space="preserve"> (Yahoo Finance, n.d.)</w:t>
      </w:r>
    </w:p>
    <w:p w14:paraId="1EBBE1FB" w14:textId="77777777" w:rsidR="0072783D" w:rsidRPr="0072783D" w:rsidRDefault="0072783D" w:rsidP="00431E3F">
      <w:pPr>
        <w:spacing w:line="360" w:lineRule="auto"/>
        <w:rPr>
          <w:rFonts w:ascii="Arial" w:hAnsi="Arial" w:cs="Arial"/>
          <w:i/>
          <w:iCs/>
          <w:color w:val="202020"/>
          <w:sz w:val="22"/>
          <w:szCs w:val="22"/>
        </w:rPr>
      </w:pPr>
    </w:p>
    <w:p w14:paraId="39F4EE03" w14:textId="37C1D11D"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2020 (CAGR: 1.37%)</w:t>
      </w:r>
    </w:p>
    <w:p w14:paraId="045BBCCA" w14:textId="64C5F4CA"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Airbnb went public for the first time on December 10, 2020, at a price of $144.71. By the end of 2020, the stock price had gone up slightly to $146.70</w:t>
      </w:r>
      <w:r w:rsidR="007570D2">
        <w:rPr>
          <w:rFonts w:ascii="Arial" w:hAnsi="Arial" w:cs="Arial"/>
          <w:color w:val="202020"/>
          <w:sz w:val="22"/>
          <w:szCs w:val="22"/>
        </w:rPr>
        <w:t xml:space="preserve"> </w:t>
      </w:r>
      <w:r w:rsidR="007570D2" w:rsidRPr="005D5048">
        <w:rPr>
          <w:rFonts w:ascii="Arial" w:hAnsi="Arial" w:cs="Arial"/>
          <w:color w:val="202020"/>
          <w:sz w:val="22"/>
          <w:szCs w:val="22"/>
        </w:rPr>
        <w:t>(Yahoo Finance, n.d.)</w:t>
      </w:r>
      <w:r w:rsidRPr="0072783D">
        <w:rPr>
          <w:rFonts w:ascii="Arial" w:hAnsi="Arial" w:cs="Arial"/>
          <w:color w:val="202020"/>
          <w:sz w:val="22"/>
          <w:szCs w:val="22"/>
        </w:rPr>
        <w:t>.</w:t>
      </w:r>
    </w:p>
    <w:p w14:paraId="4E6640BD" w14:textId="77777777"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 xml:space="preserve">The stock price initially went up, as shown by the CAGR of 1.37 per cent from the IPO date to the end of the year. This small increase shows how excited people were about the IPO initially, but it also indicates that the stock price stayed </w:t>
      </w:r>
      <w:proofErr w:type="gramStart"/>
      <w:r w:rsidRPr="0072783D">
        <w:rPr>
          <w:rFonts w:ascii="Arial" w:hAnsi="Arial" w:cs="Arial"/>
          <w:color w:val="202020"/>
          <w:sz w:val="22"/>
          <w:szCs w:val="22"/>
        </w:rPr>
        <w:t>pretty steady</w:t>
      </w:r>
      <w:proofErr w:type="gramEnd"/>
      <w:r w:rsidRPr="0072783D">
        <w:rPr>
          <w:rFonts w:ascii="Arial" w:hAnsi="Arial" w:cs="Arial"/>
          <w:color w:val="202020"/>
          <w:sz w:val="22"/>
          <w:szCs w:val="22"/>
        </w:rPr>
        <w:t xml:space="preserve"> soon after the company went public.</w:t>
      </w:r>
    </w:p>
    <w:p w14:paraId="43CE64B5" w14:textId="77777777" w:rsidR="0072783D" w:rsidRPr="0072783D" w:rsidRDefault="0072783D" w:rsidP="0072783D">
      <w:pPr>
        <w:spacing w:line="360" w:lineRule="auto"/>
        <w:rPr>
          <w:rFonts w:ascii="Arial" w:hAnsi="Arial" w:cs="Arial"/>
          <w:color w:val="202020"/>
          <w:sz w:val="22"/>
          <w:szCs w:val="22"/>
        </w:rPr>
      </w:pPr>
    </w:p>
    <w:p w14:paraId="1FE738BF" w14:textId="7D224098"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2021 by 2021 (CAGR: 19.44%)</w:t>
      </w:r>
    </w:p>
    <w:p w14:paraId="0478C504" w14:textId="354E2C47"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lastRenderedPageBreak/>
        <w:t>Airbnb's stock price went from $146.70 at the start of the year to $175.18 by the end of the year, showing how much the company grew</w:t>
      </w:r>
      <w:r w:rsidR="007570D2">
        <w:rPr>
          <w:rFonts w:ascii="Arial" w:hAnsi="Arial" w:cs="Arial"/>
          <w:color w:val="202020"/>
          <w:sz w:val="22"/>
          <w:szCs w:val="22"/>
        </w:rPr>
        <w:t xml:space="preserve"> </w:t>
      </w:r>
      <w:r w:rsidR="007570D2" w:rsidRPr="005D5048">
        <w:rPr>
          <w:rFonts w:ascii="Arial" w:hAnsi="Arial" w:cs="Arial"/>
          <w:color w:val="202020"/>
          <w:sz w:val="22"/>
          <w:szCs w:val="22"/>
        </w:rPr>
        <w:t>(Yahoo Finance, n.d.)</w:t>
      </w:r>
      <w:r w:rsidRPr="0072783D">
        <w:rPr>
          <w:rFonts w:ascii="Arial" w:hAnsi="Arial" w:cs="Arial"/>
          <w:color w:val="202020"/>
          <w:sz w:val="22"/>
          <w:szCs w:val="22"/>
        </w:rPr>
        <w:t>.</w:t>
      </w:r>
    </w:p>
    <w:p w14:paraId="282AE4D3" w14:textId="77777777"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The 19.44% CAGR shows the market's strong success in 2021. This rise is because the market felt good as the economy started to recover from the pandemic, which made more people want to travel. The big rise in Airbnb's stock price shows that investors were likely confident in the company's ability to benefit from the comeback in global travel.</w:t>
      </w:r>
    </w:p>
    <w:p w14:paraId="1099393D" w14:textId="77777777" w:rsidR="0072783D" w:rsidRPr="0072783D" w:rsidRDefault="0072783D" w:rsidP="0072783D">
      <w:pPr>
        <w:spacing w:line="360" w:lineRule="auto"/>
        <w:rPr>
          <w:rFonts w:ascii="Arial" w:hAnsi="Arial" w:cs="Arial"/>
          <w:color w:val="202020"/>
          <w:sz w:val="22"/>
          <w:szCs w:val="22"/>
        </w:rPr>
      </w:pPr>
    </w:p>
    <w:p w14:paraId="5EFC53E7" w14:textId="0774205C"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In 2022, the CAGR was -51.22%.</w:t>
      </w:r>
    </w:p>
    <w:p w14:paraId="112BA5F4" w14:textId="52D05C44"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Airbnb's stock price fell from $175.18 at the start of the year to $85.46 by the end of the year</w:t>
      </w:r>
      <w:r w:rsidR="007570D2">
        <w:rPr>
          <w:rFonts w:ascii="Arial" w:hAnsi="Arial" w:cs="Arial"/>
          <w:color w:val="202020"/>
          <w:sz w:val="22"/>
          <w:szCs w:val="22"/>
        </w:rPr>
        <w:t xml:space="preserve"> </w:t>
      </w:r>
      <w:r w:rsidR="007570D2" w:rsidRPr="005D5048">
        <w:rPr>
          <w:rFonts w:ascii="Arial" w:hAnsi="Arial" w:cs="Arial"/>
          <w:color w:val="202020"/>
          <w:sz w:val="22"/>
          <w:szCs w:val="22"/>
        </w:rPr>
        <w:t>(Yahoo Finance, n.d.)</w:t>
      </w:r>
      <w:r w:rsidRPr="0072783D">
        <w:rPr>
          <w:rFonts w:ascii="Arial" w:hAnsi="Arial" w:cs="Arial"/>
          <w:color w:val="202020"/>
          <w:sz w:val="22"/>
          <w:szCs w:val="22"/>
        </w:rPr>
        <w:t>. It was a tough year for the company.</w:t>
      </w:r>
    </w:p>
    <w:p w14:paraId="528A3DBB" w14:textId="77777777"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The big drop in 2022, which led to a negative CAGR of -51.22%, shows how hard things were for Airbnb during a general market slowdown. This big drop was probably caused by several things, such as rising prices, higher interest rates, and a general correction in the market that hurt high-growth tech stocks the most. Investors may have needed to be more confident because they are still worried about how COVID-19 variants will affect travel and shopper spending.</w:t>
      </w:r>
    </w:p>
    <w:p w14:paraId="1C6F22B3" w14:textId="77777777" w:rsidR="0072783D" w:rsidRPr="0072783D" w:rsidRDefault="0072783D" w:rsidP="0072783D">
      <w:pPr>
        <w:spacing w:line="360" w:lineRule="auto"/>
        <w:rPr>
          <w:rFonts w:ascii="Arial" w:hAnsi="Arial" w:cs="Arial"/>
          <w:color w:val="202020"/>
          <w:sz w:val="22"/>
          <w:szCs w:val="22"/>
        </w:rPr>
      </w:pPr>
    </w:p>
    <w:p w14:paraId="1761BC82" w14:textId="2E039AA8"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2023 (CAGR: 60.52%)</w:t>
      </w:r>
    </w:p>
    <w:p w14:paraId="1B897DB4" w14:textId="5CD974A6"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The price of Airbnb stock rose sharply in 2023, from $85.46 to $137.21 by the end of the year</w:t>
      </w:r>
      <w:r w:rsidR="007570D2">
        <w:rPr>
          <w:rFonts w:ascii="Arial" w:hAnsi="Arial" w:cs="Arial"/>
          <w:color w:val="202020"/>
          <w:sz w:val="22"/>
          <w:szCs w:val="22"/>
        </w:rPr>
        <w:t xml:space="preserve"> </w:t>
      </w:r>
      <w:r w:rsidR="007570D2" w:rsidRPr="005D5048">
        <w:rPr>
          <w:rFonts w:ascii="Arial" w:hAnsi="Arial" w:cs="Arial"/>
          <w:color w:val="202020"/>
          <w:sz w:val="22"/>
          <w:szCs w:val="22"/>
        </w:rPr>
        <w:t>(Yahoo Finance, n.d.)</w:t>
      </w:r>
      <w:r w:rsidRPr="0072783D">
        <w:rPr>
          <w:rFonts w:ascii="Arial" w:hAnsi="Arial" w:cs="Arial"/>
          <w:color w:val="202020"/>
          <w:sz w:val="22"/>
          <w:szCs w:val="22"/>
        </w:rPr>
        <w:t>.</w:t>
      </w:r>
    </w:p>
    <w:p w14:paraId="04A817E5" w14:textId="77777777"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The impressive CAGR of 60.52% in 2023 shows a strong rebound. The continued recovery in the travel and hospitality sector led to this bounce back. This happened because global travel restrictions were eased, and customer confidence returned. Airbnb's flexibility, such as its focus on more extended stays and good choices for people who work from home, also helped it do well this year.</w:t>
      </w:r>
    </w:p>
    <w:p w14:paraId="3FA953D4" w14:textId="77777777" w:rsidR="0072783D" w:rsidRPr="0072783D" w:rsidRDefault="0072783D" w:rsidP="0072783D">
      <w:pPr>
        <w:spacing w:line="360" w:lineRule="auto"/>
        <w:rPr>
          <w:rFonts w:ascii="Arial" w:hAnsi="Arial" w:cs="Arial"/>
          <w:color w:val="202020"/>
          <w:sz w:val="22"/>
          <w:szCs w:val="22"/>
        </w:rPr>
      </w:pPr>
    </w:p>
    <w:p w14:paraId="05918E6A" w14:textId="6C0ABD73"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2024 (January to July) (CAGR: 3.78%)</w:t>
      </w:r>
    </w:p>
    <w:p w14:paraId="3C1131E7" w14:textId="0F52BCA6"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Airbnb's stock price increased from $137.21 to $142.39 in the first seven months of 2024</w:t>
      </w:r>
      <w:r w:rsidR="007570D2">
        <w:rPr>
          <w:rFonts w:ascii="Arial" w:hAnsi="Arial" w:cs="Arial"/>
          <w:color w:val="202020"/>
          <w:sz w:val="22"/>
          <w:szCs w:val="22"/>
        </w:rPr>
        <w:t xml:space="preserve"> </w:t>
      </w:r>
      <w:r w:rsidR="007570D2" w:rsidRPr="005D5048">
        <w:rPr>
          <w:rFonts w:ascii="Arial" w:hAnsi="Arial" w:cs="Arial"/>
          <w:color w:val="202020"/>
          <w:sz w:val="22"/>
          <w:szCs w:val="22"/>
        </w:rPr>
        <w:t>(Yahoo Finance, n.d.)</w:t>
      </w:r>
      <w:r w:rsidRPr="0072783D">
        <w:rPr>
          <w:rFonts w:ascii="Arial" w:hAnsi="Arial" w:cs="Arial"/>
          <w:color w:val="202020"/>
          <w:sz w:val="22"/>
          <w:szCs w:val="22"/>
        </w:rPr>
        <w:t>.</w:t>
      </w:r>
    </w:p>
    <w:p w14:paraId="7AB44A00" w14:textId="77777777"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The modest CAGR of 3.78% in 2024 shows a time of more stable growth after years of being more volatile. This growth suggests that Airbnb is still doing well, but the rate at which the rising stock price has slowed. This could mean the market is stabilising or investors are becoming more wary. Outside factors, such as the economy, competition, and what the market thinks will happen, can also affect the stock price.</w:t>
      </w:r>
    </w:p>
    <w:p w14:paraId="7187CF18" w14:textId="77777777" w:rsidR="0072783D" w:rsidRPr="0072783D" w:rsidRDefault="0072783D" w:rsidP="0072783D">
      <w:pPr>
        <w:spacing w:line="360" w:lineRule="auto"/>
        <w:rPr>
          <w:rFonts w:ascii="Arial" w:hAnsi="Arial" w:cs="Arial"/>
          <w:color w:val="202020"/>
          <w:sz w:val="22"/>
          <w:szCs w:val="22"/>
        </w:rPr>
      </w:pPr>
    </w:p>
    <w:p w14:paraId="0220B78B" w14:textId="77777777" w:rsidR="0072783D" w:rsidRPr="0072783D"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 xml:space="preserve">Since its initial public offering (IPO), Airbnb's stock has experienced many ups and downs. There have been years of strong growth followed by sharp drops and then rebounds. This </w:t>
      </w:r>
      <w:r w:rsidRPr="0072783D">
        <w:rPr>
          <w:rFonts w:ascii="Arial" w:hAnsi="Arial" w:cs="Arial"/>
          <w:color w:val="202020"/>
          <w:sz w:val="22"/>
          <w:szCs w:val="22"/>
        </w:rPr>
        <w:lastRenderedPageBreak/>
        <w:t>fluctuation shows both the company's chance to make a lot of money and the risks associated with the economy as a whole and the market.</w:t>
      </w:r>
    </w:p>
    <w:p w14:paraId="7465A479" w14:textId="3C2E11A9" w:rsidR="0047767B" w:rsidRDefault="0072783D" w:rsidP="0072783D">
      <w:pPr>
        <w:spacing w:line="360" w:lineRule="auto"/>
        <w:rPr>
          <w:rFonts w:ascii="Arial" w:hAnsi="Arial" w:cs="Arial"/>
          <w:color w:val="202020"/>
          <w:sz w:val="22"/>
          <w:szCs w:val="22"/>
        </w:rPr>
      </w:pPr>
      <w:r w:rsidRPr="0072783D">
        <w:rPr>
          <w:rFonts w:ascii="Arial" w:hAnsi="Arial" w:cs="Arial"/>
          <w:color w:val="202020"/>
          <w:sz w:val="22"/>
          <w:szCs w:val="22"/>
        </w:rPr>
        <w:t>Even though Airbnb had problems in 2022, its strong comeback in 2023 and steady growth in early 2024 show that it is resilient and can take advantage of good market conditions. People thinking about investing in Airbnb should know the pros and cons, especially since the price has been very volatile in the past.</w:t>
      </w:r>
    </w:p>
    <w:p w14:paraId="179E2FA9" w14:textId="77777777" w:rsidR="0080087C" w:rsidRDefault="0080087C" w:rsidP="0072783D">
      <w:pPr>
        <w:spacing w:line="360" w:lineRule="auto"/>
        <w:rPr>
          <w:rFonts w:ascii="Arial" w:hAnsi="Arial" w:cs="Arial"/>
          <w:color w:val="202020"/>
          <w:sz w:val="22"/>
          <w:szCs w:val="22"/>
        </w:rPr>
      </w:pPr>
    </w:p>
    <w:tbl>
      <w:tblPr>
        <w:tblStyle w:val="TableGrid"/>
        <w:tblW w:w="0" w:type="auto"/>
        <w:tblLook w:val="04A0" w:firstRow="1" w:lastRow="0" w:firstColumn="1" w:lastColumn="0" w:noHBand="0" w:noVBand="1"/>
      </w:tblPr>
      <w:tblGrid>
        <w:gridCol w:w="1640"/>
        <w:gridCol w:w="1300"/>
        <w:gridCol w:w="1300"/>
        <w:gridCol w:w="1300"/>
      </w:tblGrid>
      <w:tr w:rsidR="0080087C" w:rsidRPr="0080087C" w14:paraId="45B26517" w14:textId="77777777" w:rsidTr="0080087C">
        <w:trPr>
          <w:trHeight w:val="320"/>
        </w:trPr>
        <w:tc>
          <w:tcPr>
            <w:tcW w:w="1640" w:type="dxa"/>
            <w:noWrap/>
            <w:hideMark/>
          </w:tcPr>
          <w:p w14:paraId="3C627446" w14:textId="77777777" w:rsidR="0080087C" w:rsidRPr="0080087C" w:rsidRDefault="0080087C" w:rsidP="0080087C">
            <w:pPr>
              <w:spacing w:line="360" w:lineRule="auto"/>
              <w:rPr>
                <w:rFonts w:ascii="Arial" w:hAnsi="Arial" w:cs="Arial"/>
                <w:b/>
                <w:bCs/>
                <w:color w:val="202020"/>
                <w:sz w:val="22"/>
                <w:szCs w:val="22"/>
              </w:rPr>
            </w:pPr>
            <w:r w:rsidRPr="0080087C">
              <w:rPr>
                <w:rFonts w:ascii="Arial" w:hAnsi="Arial" w:cs="Arial"/>
                <w:b/>
                <w:bCs/>
                <w:color w:val="202020"/>
                <w:sz w:val="22"/>
                <w:szCs w:val="22"/>
              </w:rPr>
              <w:t>Company</w:t>
            </w:r>
          </w:p>
        </w:tc>
        <w:tc>
          <w:tcPr>
            <w:tcW w:w="1300" w:type="dxa"/>
            <w:noWrap/>
            <w:hideMark/>
          </w:tcPr>
          <w:p w14:paraId="28138490" w14:textId="77777777" w:rsidR="0080087C" w:rsidRPr="0080087C" w:rsidRDefault="0080087C" w:rsidP="0080087C">
            <w:pPr>
              <w:spacing w:line="360" w:lineRule="auto"/>
              <w:rPr>
                <w:rFonts w:ascii="Arial" w:hAnsi="Arial" w:cs="Arial"/>
                <w:b/>
                <w:bCs/>
                <w:color w:val="202020"/>
                <w:sz w:val="22"/>
                <w:szCs w:val="22"/>
              </w:rPr>
            </w:pPr>
            <w:r w:rsidRPr="0080087C">
              <w:rPr>
                <w:rFonts w:ascii="Arial" w:hAnsi="Arial" w:cs="Arial"/>
                <w:b/>
                <w:bCs/>
                <w:color w:val="202020"/>
                <w:sz w:val="22"/>
                <w:szCs w:val="22"/>
              </w:rPr>
              <w:t>Start Price (2023)</w:t>
            </w:r>
          </w:p>
        </w:tc>
        <w:tc>
          <w:tcPr>
            <w:tcW w:w="1300" w:type="dxa"/>
            <w:noWrap/>
            <w:hideMark/>
          </w:tcPr>
          <w:p w14:paraId="0FD147B5" w14:textId="77777777" w:rsidR="0080087C" w:rsidRPr="0080087C" w:rsidRDefault="0080087C" w:rsidP="0080087C">
            <w:pPr>
              <w:spacing w:line="360" w:lineRule="auto"/>
              <w:rPr>
                <w:rFonts w:ascii="Arial" w:hAnsi="Arial" w:cs="Arial"/>
                <w:b/>
                <w:bCs/>
                <w:color w:val="202020"/>
                <w:sz w:val="22"/>
                <w:szCs w:val="22"/>
              </w:rPr>
            </w:pPr>
            <w:r w:rsidRPr="0080087C">
              <w:rPr>
                <w:rFonts w:ascii="Arial" w:hAnsi="Arial" w:cs="Arial"/>
                <w:b/>
                <w:bCs/>
                <w:color w:val="202020"/>
                <w:sz w:val="22"/>
                <w:szCs w:val="22"/>
              </w:rPr>
              <w:t>End Price (2023)</w:t>
            </w:r>
          </w:p>
        </w:tc>
        <w:tc>
          <w:tcPr>
            <w:tcW w:w="1300" w:type="dxa"/>
            <w:noWrap/>
            <w:hideMark/>
          </w:tcPr>
          <w:p w14:paraId="6AB8917D" w14:textId="77777777" w:rsidR="0080087C" w:rsidRPr="0080087C" w:rsidRDefault="0080087C" w:rsidP="0080087C">
            <w:pPr>
              <w:spacing w:line="360" w:lineRule="auto"/>
              <w:rPr>
                <w:rFonts w:ascii="Arial" w:hAnsi="Arial" w:cs="Arial"/>
                <w:b/>
                <w:bCs/>
                <w:color w:val="202020"/>
                <w:sz w:val="22"/>
                <w:szCs w:val="22"/>
              </w:rPr>
            </w:pPr>
            <w:r w:rsidRPr="0080087C">
              <w:rPr>
                <w:rFonts w:ascii="Arial" w:hAnsi="Arial" w:cs="Arial"/>
                <w:b/>
                <w:bCs/>
                <w:color w:val="202020"/>
                <w:sz w:val="22"/>
                <w:szCs w:val="22"/>
              </w:rPr>
              <w:t>CAGR (2023)</w:t>
            </w:r>
          </w:p>
        </w:tc>
      </w:tr>
      <w:tr w:rsidR="0080087C" w:rsidRPr="0080087C" w14:paraId="1549D1C1" w14:textId="77777777" w:rsidTr="0080087C">
        <w:trPr>
          <w:trHeight w:val="320"/>
        </w:trPr>
        <w:tc>
          <w:tcPr>
            <w:tcW w:w="1640" w:type="dxa"/>
            <w:noWrap/>
            <w:hideMark/>
          </w:tcPr>
          <w:p w14:paraId="67DD06C9" w14:textId="77777777" w:rsidR="0080087C" w:rsidRPr="0080087C" w:rsidRDefault="0080087C" w:rsidP="0080087C">
            <w:pPr>
              <w:spacing w:line="360" w:lineRule="auto"/>
              <w:rPr>
                <w:rFonts w:ascii="Arial" w:hAnsi="Arial" w:cs="Arial"/>
                <w:b/>
                <w:bCs/>
                <w:color w:val="202020"/>
                <w:sz w:val="22"/>
                <w:szCs w:val="22"/>
              </w:rPr>
            </w:pPr>
            <w:r w:rsidRPr="0080087C">
              <w:rPr>
                <w:rFonts w:ascii="Arial" w:hAnsi="Arial" w:cs="Arial"/>
                <w:b/>
                <w:bCs/>
                <w:color w:val="202020"/>
                <w:sz w:val="22"/>
                <w:szCs w:val="22"/>
              </w:rPr>
              <w:t>Booking.com</w:t>
            </w:r>
          </w:p>
        </w:tc>
        <w:tc>
          <w:tcPr>
            <w:tcW w:w="1300" w:type="dxa"/>
            <w:noWrap/>
            <w:hideMark/>
          </w:tcPr>
          <w:p w14:paraId="255A2849" w14:textId="77777777" w:rsidR="0080087C" w:rsidRPr="0080087C" w:rsidRDefault="0080087C" w:rsidP="0080087C">
            <w:pPr>
              <w:spacing w:line="360" w:lineRule="auto"/>
              <w:rPr>
                <w:rFonts w:ascii="Arial" w:hAnsi="Arial" w:cs="Arial"/>
                <w:color w:val="202020"/>
                <w:sz w:val="22"/>
                <w:szCs w:val="22"/>
              </w:rPr>
            </w:pPr>
            <w:r w:rsidRPr="0080087C">
              <w:rPr>
                <w:rFonts w:ascii="Arial" w:hAnsi="Arial" w:cs="Arial"/>
                <w:color w:val="202020"/>
                <w:sz w:val="22"/>
                <w:szCs w:val="22"/>
              </w:rPr>
              <w:t>$1,889.61</w:t>
            </w:r>
          </w:p>
        </w:tc>
        <w:tc>
          <w:tcPr>
            <w:tcW w:w="1300" w:type="dxa"/>
            <w:noWrap/>
            <w:hideMark/>
          </w:tcPr>
          <w:p w14:paraId="0EC83524" w14:textId="77777777" w:rsidR="0080087C" w:rsidRPr="0080087C" w:rsidRDefault="0080087C" w:rsidP="0080087C">
            <w:pPr>
              <w:spacing w:line="360" w:lineRule="auto"/>
              <w:rPr>
                <w:rFonts w:ascii="Arial" w:hAnsi="Arial" w:cs="Arial"/>
                <w:color w:val="202020"/>
                <w:sz w:val="22"/>
                <w:szCs w:val="22"/>
              </w:rPr>
            </w:pPr>
            <w:r w:rsidRPr="0080087C">
              <w:rPr>
                <w:rFonts w:ascii="Arial" w:hAnsi="Arial" w:cs="Arial"/>
                <w:color w:val="202020"/>
                <w:sz w:val="22"/>
                <w:szCs w:val="22"/>
              </w:rPr>
              <w:t>$3,178.19</w:t>
            </w:r>
          </w:p>
        </w:tc>
        <w:tc>
          <w:tcPr>
            <w:tcW w:w="1300" w:type="dxa"/>
            <w:noWrap/>
            <w:hideMark/>
          </w:tcPr>
          <w:p w14:paraId="31AB5788" w14:textId="77777777" w:rsidR="0080087C" w:rsidRPr="0080087C" w:rsidRDefault="0080087C" w:rsidP="0080087C">
            <w:pPr>
              <w:spacing w:line="360" w:lineRule="auto"/>
              <w:rPr>
                <w:rFonts w:ascii="Arial" w:hAnsi="Arial" w:cs="Arial"/>
                <w:color w:val="202020"/>
                <w:sz w:val="22"/>
                <w:szCs w:val="22"/>
              </w:rPr>
            </w:pPr>
            <w:r w:rsidRPr="0080087C">
              <w:rPr>
                <w:rFonts w:ascii="Arial" w:hAnsi="Arial" w:cs="Arial"/>
                <w:color w:val="202020"/>
                <w:sz w:val="22"/>
                <w:szCs w:val="22"/>
              </w:rPr>
              <w:t>68.27%</w:t>
            </w:r>
          </w:p>
        </w:tc>
      </w:tr>
      <w:tr w:rsidR="0080087C" w:rsidRPr="0080087C" w14:paraId="71E7E2F1" w14:textId="77777777" w:rsidTr="0080087C">
        <w:trPr>
          <w:trHeight w:val="320"/>
        </w:trPr>
        <w:tc>
          <w:tcPr>
            <w:tcW w:w="1640" w:type="dxa"/>
            <w:noWrap/>
            <w:hideMark/>
          </w:tcPr>
          <w:p w14:paraId="4C008851" w14:textId="77777777" w:rsidR="0080087C" w:rsidRPr="0080087C" w:rsidRDefault="0080087C" w:rsidP="0080087C">
            <w:pPr>
              <w:spacing w:line="360" w:lineRule="auto"/>
              <w:rPr>
                <w:rFonts w:ascii="Arial" w:hAnsi="Arial" w:cs="Arial"/>
                <w:b/>
                <w:bCs/>
                <w:color w:val="202020"/>
                <w:sz w:val="22"/>
                <w:szCs w:val="22"/>
              </w:rPr>
            </w:pPr>
            <w:r w:rsidRPr="0080087C">
              <w:rPr>
                <w:rFonts w:ascii="Arial" w:hAnsi="Arial" w:cs="Arial"/>
                <w:b/>
                <w:bCs/>
                <w:color w:val="202020"/>
                <w:sz w:val="22"/>
                <w:szCs w:val="22"/>
              </w:rPr>
              <w:t>Airbnb</w:t>
            </w:r>
          </w:p>
        </w:tc>
        <w:tc>
          <w:tcPr>
            <w:tcW w:w="1300" w:type="dxa"/>
            <w:noWrap/>
            <w:hideMark/>
          </w:tcPr>
          <w:p w14:paraId="4B7A75E6" w14:textId="77777777" w:rsidR="0080087C" w:rsidRPr="0080087C" w:rsidRDefault="0080087C" w:rsidP="0080087C">
            <w:pPr>
              <w:spacing w:line="360" w:lineRule="auto"/>
              <w:rPr>
                <w:rFonts w:ascii="Arial" w:hAnsi="Arial" w:cs="Arial"/>
                <w:color w:val="202020"/>
                <w:sz w:val="22"/>
                <w:szCs w:val="22"/>
              </w:rPr>
            </w:pPr>
            <w:r w:rsidRPr="0080087C">
              <w:rPr>
                <w:rFonts w:ascii="Arial" w:hAnsi="Arial" w:cs="Arial"/>
                <w:color w:val="202020"/>
                <w:sz w:val="22"/>
                <w:szCs w:val="22"/>
              </w:rPr>
              <w:t>$85.46</w:t>
            </w:r>
          </w:p>
        </w:tc>
        <w:tc>
          <w:tcPr>
            <w:tcW w:w="1300" w:type="dxa"/>
            <w:noWrap/>
            <w:hideMark/>
          </w:tcPr>
          <w:p w14:paraId="3409D6AA" w14:textId="77777777" w:rsidR="0080087C" w:rsidRPr="0080087C" w:rsidRDefault="0080087C" w:rsidP="0080087C">
            <w:pPr>
              <w:spacing w:line="360" w:lineRule="auto"/>
              <w:rPr>
                <w:rFonts w:ascii="Arial" w:hAnsi="Arial" w:cs="Arial"/>
                <w:color w:val="202020"/>
                <w:sz w:val="22"/>
                <w:szCs w:val="22"/>
              </w:rPr>
            </w:pPr>
            <w:r w:rsidRPr="0080087C">
              <w:rPr>
                <w:rFonts w:ascii="Arial" w:hAnsi="Arial" w:cs="Arial"/>
                <w:color w:val="202020"/>
                <w:sz w:val="22"/>
                <w:szCs w:val="22"/>
              </w:rPr>
              <w:t>$137.21</w:t>
            </w:r>
          </w:p>
        </w:tc>
        <w:tc>
          <w:tcPr>
            <w:tcW w:w="1300" w:type="dxa"/>
            <w:noWrap/>
            <w:hideMark/>
          </w:tcPr>
          <w:p w14:paraId="787D16FD" w14:textId="77777777" w:rsidR="0080087C" w:rsidRPr="0080087C" w:rsidRDefault="0080087C" w:rsidP="0080087C">
            <w:pPr>
              <w:spacing w:line="360" w:lineRule="auto"/>
              <w:rPr>
                <w:rFonts w:ascii="Arial" w:hAnsi="Arial" w:cs="Arial"/>
                <w:color w:val="202020"/>
                <w:sz w:val="22"/>
                <w:szCs w:val="22"/>
              </w:rPr>
            </w:pPr>
            <w:r w:rsidRPr="0080087C">
              <w:rPr>
                <w:rFonts w:ascii="Arial" w:hAnsi="Arial" w:cs="Arial"/>
                <w:color w:val="202020"/>
                <w:sz w:val="22"/>
                <w:szCs w:val="22"/>
              </w:rPr>
              <w:t>60.52%</w:t>
            </w:r>
          </w:p>
        </w:tc>
      </w:tr>
    </w:tbl>
    <w:p w14:paraId="3FE85ED7" w14:textId="77777777" w:rsidR="0080087C" w:rsidRDefault="0080087C" w:rsidP="0080087C">
      <w:pPr>
        <w:spacing w:line="360" w:lineRule="auto"/>
        <w:rPr>
          <w:rFonts w:ascii="Arial" w:hAnsi="Arial" w:cs="Arial"/>
          <w:color w:val="202020"/>
          <w:sz w:val="22"/>
          <w:szCs w:val="22"/>
        </w:rPr>
      </w:pPr>
    </w:p>
    <w:p w14:paraId="018ED446" w14:textId="3C2DB0E7" w:rsidR="0080087C" w:rsidRPr="0078660A" w:rsidRDefault="0080087C" w:rsidP="0080087C">
      <w:pPr>
        <w:spacing w:line="360" w:lineRule="auto"/>
        <w:rPr>
          <w:rFonts w:ascii="Arial" w:hAnsi="Arial" w:cs="Arial"/>
          <w:i/>
          <w:iCs/>
          <w:color w:val="202020"/>
          <w:sz w:val="22"/>
          <w:szCs w:val="22"/>
        </w:rPr>
      </w:pPr>
      <w:r>
        <w:rPr>
          <w:rFonts w:ascii="Arial" w:hAnsi="Arial" w:cs="Arial"/>
          <w:color w:val="202020"/>
          <w:sz w:val="22"/>
          <w:szCs w:val="22"/>
        </w:rPr>
        <w:t xml:space="preserve">Source: </w:t>
      </w:r>
      <w:r w:rsidRPr="0078660A">
        <w:rPr>
          <w:rFonts w:ascii="Arial" w:hAnsi="Arial" w:cs="Arial"/>
          <w:i/>
          <w:iCs/>
          <w:color w:val="202020"/>
          <w:sz w:val="22"/>
          <w:szCs w:val="22"/>
        </w:rPr>
        <w:t>Authors Calculations based on Yahoo Finance</w:t>
      </w:r>
      <w:r>
        <w:rPr>
          <w:rFonts w:ascii="Arial" w:hAnsi="Arial" w:cs="Arial"/>
          <w:i/>
          <w:iCs/>
          <w:color w:val="202020"/>
          <w:sz w:val="22"/>
          <w:szCs w:val="22"/>
        </w:rPr>
        <w:t xml:space="preserve"> (Yahoo Finance, n.d.)</w:t>
      </w:r>
    </w:p>
    <w:p w14:paraId="110D3AAB" w14:textId="77777777" w:rsidR="002F1F7F" w:rsidRDefault="002F1F7F" w:rsidP="00431E3F">
      <w:pPr>
        <w:spacing w:line="360" w:lineRule="auto"/>
        <w:rPr>
          <w:rFonts w:ascii="Arial" w:hAnsi="Arial" w:cs="Arial"/>
          <w:color w:val="202020"/>
          <w:sz w:val="22"/>
          <w:szCs w:val="22"/>
        </w:rPr>
      </w:pPr>
    </w:p>
    <w:p w14:paraId="21C114C9" w14:textId="77777777" w:rsidR="005D5048" w:rsidRPr="005D5048" w:rsidRDefault="005D5048" w:rsidP="005D5048">
      <w:pPr>
        <w:spacing w:line="360" w:lineRule="auto"/>
        <w:rPr>
          <w:rFonts w:ascii="Arial" w:hAnsi="Arial" w:cs="Arial"/>
          <w:color w:val="202020"/>
          <w:sz w:val="22"/>
          <w:szCs w:val="22"/>
        </w:rPr>
      </w:pPr>
      <w:r w:rsidRPr="005D5048">
        <w:rPr>
          <w:rFonts w:ascii="Arial" w:hAnsi="Arial" w:cs="Arial"/>
          <w:color w:val="202020"/>
          <w:sz w:val="22"/>
          <w:szCs w:val="22"/>
        </w:rPr>
        <w:t xml:space="preserve">From January 3, 2023, to December 29, 2023, </w:t>
      </w:r>
      <w:proofErr w:type="spellStart"/>
      <w:r w:rsidRPr="005D5048">
        <w:rPr>
          <w:rFonts w:ascii="Arial" w:hAnsi="Arial" w:cs="Arial"/>
          <w:color w:val="202020"/>
          <w:sz w:val="22"/>
          <w:szCs w:val="22"/>
        </w:rPr>
        <w:t>Booking.com's</w:t>
      </w:r>
      <w:proofErr w:type="spellEnd"/>
      <w:r w:rsidRPr="005D5048">
        <w:rPr>
          <w:rFonts w:ascii="Arial" w:hAnsi="Arial" w:cs="Arial"/>
          <w:color w:val="202020"/>
          <w:sz w:val="22"/>
          <w:szCs w:val="22"/>
        </w:rPr>
        <w:t xml:space="preserve"> stock price grew at 68.27% per year, called its Compound Annual Growth Rate (CAGR). A rise in travel demand probably caused this growth as more people started to travel again after the pandemic. With its wide range of services, Booking.com was in an excellent situation to take advantage of this trend. The company's focus on improving the user experience, giving more, and going after new markets helped it do well. As a result, investor confidence and, ultimately, the stock price went up. Economic conditions, such as stable inflation and rising customer confidence, helped this (Yahoo Finance, n.d.).</w:t>
      </w:r>
    </w:p>
    <w:p w14:paraId="074718E6" w14:textId="77777777" w:rsidR="005D5048" w:rsidRPr="005D5048" w:rsidRDefault="005D5048" w:rsidP="005D5048">
      <w:pPr>
        <w:spacing w:line="360" w:lineRule="auto"/>
        <w:rPr>
          <w:rFonts w:ascii="Arial" w:hAnsi="Arial" w:cs="Arial"/>
          <w:color w:val="202020"/>
          <w:sz w:val="22"/>
          <w:szCs w:val="22"/>
        </w:rPr>
      </w:pPr>
    </w:p>
    <w:p w14:paraId="11332C59" w14:textId="4D92D3AB" w:rsidR="00240FC0" w:rsidRPr="002F1F7F" w:rsidRDefault="005D5048" w:rsidP="005D5048">
      <w:pPr>
        <w:spacing w:line="360" w:lineRule="auto"/>
        <w:rPr>
          <w:rFonts w:ascii="Arial" w:hAnsi="Arial" w:cs="Arial"/>
          <w:color w:val="202020"/>
          <w:sz w:val="22"/>
          <w:szCs w:val="22"/>
        </w:rPr>
      </w:pPr>
      <w:r w:rsidRPr="005D5048">
        <w:rPr>
          <w:rFonts w:ascii="Arial" w:hAnsi="Arial" w:cs="Arial"/>
          <w:color w:val="202020"/>
          <w:sz w:val="22"/>
          <w:szCs w:val="22"/>
        </w:rPr>
        <w:t>With a CAGR of 60.52%, Airbnb also did well during this time. This growth shows that the business can adjust to new market conditions, like the ongoing need for short-term rentals and one-of-a-kind trip experiences. Airbnb's focus on long-term stays and places to stay for people who work from home made its situation even more vital. However, Airbnb's rise was a little slower than that of Booking.com. This could be because of more competition and problems with regulations. Despite both companies growing a lot, Booking.com has been better able to take advantage of the travel market's overall rebound (Yahoo Finance, n.d.) because it had a slightly better year overall.</w:t>
      </w:r>
    </w:p>
    <w:p w14:paraId="466A003D" w14:textId="77777777" w:rsidR="00D756B6" w:rsidRDefault="00D756B6" w:rsidP="006E3689">
      <w:pPr>
        <w:spacing w:line="360" w:lineRule="auto"/>
        <w:rPr>
          <w:rFonts w:ascii="Arial" w:hAnsi="Arial" w:cs="Arial"/>
          <w:color w:val="202020"/>
          <w:sz w:val="22"/>
          <w:szCs w:val="22"/>
        </w:rPr>
      </w:pPr>
    </w:p>
    <w:p w14:paraId="406E1DE1" w14:textId="7C7FB779" w:rsidR="00D756B6" w:rsidRPr="00D756B6" w:rsidRDefault="00D756B6" w:rsidP="00E74032">
      <w:pPr>
        <w:pStyle w:val="Heading1"/>
      </w:pPr>
      <w:bookmarkStart w:id="6" w:name="_Toc175604830"/>
      <w:r>
        <w:t xml:space="preserve">Sharpe and Treynor Ratio for </w:t>
      </w:r>
      <w:r w:rsidR="00420C49">
        <w:t>AIRNBN, 2022 and 2023.</w:t>
      </w:r>
      <w:bookmarkEnd w:id="6"/>
    </w:p>
    <w:p w14:paraId="3B316B82" w14:textId="77777777" w:rsidR="00012DDD" w:rsidRDefault="00012DDD" w:rsidP="006E3689">
      <w:pPr>
        <w:spacing w:line="360" w:lineRule="auto"/>
        <w:rPr>
          <w:rFonts w:ascii="Arial" w:hAnsi="Arial" w:cs="Arial"/>
          <w:color w:val="202020"/>
          <w:sz w:val="22"/>
          <w:szCs w:val="22"/>
        </w:rPr>
      </w:pPr>
    </w:p>
    <w:tbl>
      <w:tblPr>
        <w:tblStyle w:val="TableGrid"/>
        <w:tblW w:w="0" w:type="auto"/>
        <w:tblLook w:val="04A0" w:firstRow="1" w:lastRow="0" w:firstColumn="1" w:lastColumn="0" w:noHBand="0" w:noVBand="1"/>
      </w:tblPr>
      <w:tblGrid>
        <w:gridCol w:w="1564"/>
        <w:gridCol w:w="1242"/>
        <w:gridCol w:w="1242"/>
        <w:gridCol w:w="1242"/>
        <w:gridCol w:w="1242"/>
        <w:gridCol w:w="1242"/>
        <w:gridCol w:w="1242"/>
      </w:tblGrid>
      <w:tr w:rsidR="00012DDD" w:rsidRPr="00012DDD" w14:paraId="7F4A4601" w14:textId="77777777" w:rsidTr="00012DDD">
        <w:trPr>
          <w:trHeight w:val="320"/>
        </w:trPr>
        <w:tc>
          <w:tcPr>
            <w:tcW w:w="1640" w:type="dxa"/>
            <w:noWrap/>
            <w:hideMark/>
          </w:tcPr>
          <w:p w14:paraId="41AAC84D"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lastRenderedPageBreak/>
              <w:t>Year</w:t>
            </w:r>
          </w:p>
        </w:tc>
        <w:tc>
          <w:tcPr>
            <w:tcW w:w="1300" w:type="dxa"/>
            <w:noWrap/>
            <w:hideMark/>
          </w:tcPr>
          <w:p w14:paraId="4FD2F7A8"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Annual Return</w:t>
            </w:r>
          </w:p>
        </w:tc>
        <w:tc>
          <w:tcPr>
            <w:tcW w:w="1300" w:type="dxa"/>
            <w:noWrap/>
            <w:hideMark/>
          </w:tcPr>
          <w:p w14:paraId="6B73BF05"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Risk-Free Rate</w:t>
            </w:r>
          </w:p>
        </w:tc>
        <w:tc>
          <w:tcPr>
            <w:tcW w:w="1300" w:type="dxa"/>
            <w:noWrap/>
            <w:hideMark/>
          </w:tcPr>
          <w:p w14:paraId="52741E99"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Volatility</w:t>
            </w:r>
          </w:p>
        </w:tc>
        <w:tc>
          <w:tcPr>
            <w:tcW w:w="1300" w:type="dxa"/>
            <w:noWrap/>
            <w:hideMark/>
          </w:tcPr>
          <w:p w14:paraId="4BC6B01E"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Beta</w:t>
            </w:r>
          </w:p>
        </w:tc>
        <w:tc>
          <w:tcPr>
            <w:tcW w:w="1300" w:type="dxa"/>
            <w:noWrap/>
            <w:hideMark/>
          </w:tcPr>
          <w:p w14:paraId="205F5541"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Sharpe Ratio</w:t>
            </w:r>
          </w:p>
        </w:tc>
        <w:tc>
          <w:tcPr>
            <w:tcW w:w="1300" w:type="dxa"/>
            <w:noWrap/>
            <w:hideMark/>
          </w:tcPr>
          <w:p w14:paraId="045656BD"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Treynor Ratio</w:t>
            </w:r>
          </w:p>
        </w:tc>
      </w:tr>
      <w:tr w:rsidR="00012DDD" w:rsidRPr="00012DDD" w14:paraId="71DBA7BC" w14:textId="77777777" w:rsidTr="00012DDD">
        <w:trPr>
          <w:trHeight w:val="320"/>
        </w:trPr>
        <w:tc>
          <w:tcPr>
            <w:tcW w:w="1640" w:type="dxa"/>
            <w:noWrap/>
            <w:hideMark/>
          </w:tcPr>
          <w:p w14:paraId="5F6CA127"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2022</w:t>
            </w:r>
          </w:p>
        </w:tc>
        <w:tc>
          <w:tcPr>
            <w:tcW w:w="1300" w:type="dxa"/>
            <w:noWrap/>
            <w:hideMark/>
          </w:tcPr>
          <w:p w14:paraId="656F3AB2"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-51.22%</w:t>
            </w:r>
          </w:p>
        </w:tc>
        <w:tc>
          <w:tcPr>
            <w:tcW w:w="1300" w:type="dxa"/>
            <w:noWrap/>
            <w:hideMark/>
          </w:tcPr>
          <w:p w14:paraId="772B9D38"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2.91%</w:t>
            </w:r>
          </w:p>
        </w:tc>
        <w:tc>
          <w:tcPr>
            <w:tcW w:w="1300" w:type="dxa"/>
            <w:noWrap/>
            <w:hideMark/>
          </w:tcPr>
          <w:p w14:paraId="5F3B7663"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60.52%</w:t>
            </w:r>
          </w:p>
        </w:tc>
        <w:tc>
          <w:tcPr>
            <w:tcW w:w="1300" w:type="dxa"/>
            <w:noWrap/>
            <w:hideMark/>
          </w:tcPr>
          <w:p w14:paraId="07399659"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1.19</w:t>
            </w:r>
          </w:p>
        </w:tc>
        <w:tc>
          <w:tcPr>
            <w:tcW w:w="1300" w:type="dxa"/>
            <w:noWrap/>
            <w:hideMark/>
          </w:tcPr>
          <w:p w14:paraId="47499AC4"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-0.89</w:t>
            </w:r>
          </w:p>
        </w:tc>
        <w:tc>
          <w:tcPr>
            <w:tcW w:w="1300" w:type="dxa"/>
            <w:noWrap/>
            <w:hideMark/>
          </w:tcPr>
          <w:p w14:paraId="6DC32126"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-0.45</w:t>
            </w:r>
          </w:p>
        </w:tc>
      </w:tr>
      <w:tr w:rsidR="00012DDD" w:rsidRPr="00012DDD" w14:paraId="3A713273" w14:textId="77777777" w:rsidTr="00012DDD">
        <w:trPr>
          <w:trHeight w:val="320"/>
        </w:trPr>
        <w:tc>
          <w:tcPr>
            <w:tcW w:w="1640" w:type="dxa"/>
            <w:noWrap/>
            <w:hideMark/>
          </w:tcPr>
          <w:p w14:paraId="12BEDDF2"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2023</w:t>
            </w:r>
          </w:p>
        </w:tc>
        <w:tc>
          <w:tcPr>
            <w:tcW w:w="1300" w:type="dxa"/>
            <w:noWrap/>
            <w:hideMark/>
          </w:tcPr>
          <w:p w14:paraId="3F555020"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60.52%</w:t>
            </w:r>
          </w:p>
        </w:tc>
        <w:tc>
          <w:tcPr>
            <w:tcW w:w="1300" w:type="dxa"/>
            <w:noWrap/>
            <w:hideMark/>
          </w:tcPr>
          <w:p w14:paraId="46EFB2D7"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3.45%</w:t>
            </w:r>
          </w:p>
        </w:tc>
        <w:tc>
          <w:tcPr>
            <w:tcW w:w="1300" w:type="dxa"/>
            <w:noWrap/>
            <w:hideMark/>
          </w:tcPr>
          <w:p w14:paraId="74ACCC6D"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42.50%</w:t>
            </w:r>
          </w:p>
        </w:tc>
        <w:tc>
          <w:tcPr>
            <w:tcW w:w="1300" w:type="dxa"/>
            <w:noWrap/>
            <w:hideMark/>
          </w:tcPr>
          <w:p w14:paraId="242B6823"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1.19</w:t>
            </w:r>
          </w:p>
        </w:tc>
        <w:tc>
          <w:tcPr>
            <w:tcW w:w="1300" w:type="dxa"/>
            <w:noWrap/>
            <w:hideMark/>
          </w:tcPr>
          <w:p w14:paraId="3046C7D4"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1.34</w:t>
            </w:r>
          </w:p>
        </w:tc>
        <w:tc>
          <w:tcPr>
            <w:tcW w:w="1300" w:type="dxa"/>
            <w:noWrap/>
            <w:hideMark/>
          </w:tcPr>
          <w:p w14:paraId="266CE3F0" w14:textId="77777777" w:rsidR="00012DDD" w:rsidRPr="00012DDD" w:rsidRDefault="00012DDD" w:rsidP="00012DDD">
            <w:pPr>
              <w:spacing w:line="360" w:lineRule="auto"/>
              <w:rPr>
                <w:rFonts w:ascii="Arial" w:hAnsi="Arial" w:cs="Arial"/>
                <w:b/>
                <w:bCs/>
                <w:color w:val="202020"/>
                <w:sz w:val="22"/>
                <w:szCs w:val="22"/>
              </w:rPr>
            </w:pPr>
            <w:r w:rsidRPr="00012DDD">
              <w:rPr>
                <w:rFonts w:ascii="Arial" w:hAnsi="Arial" w:cs="Arial"/>
                <w:b/>
                <w:bCs/>
                <w:color w:val="202020"/>
                <w:sz w:val="22"/>
                <w:szCs w:val="22"/>
              </w:rPr>
              <w:t>0.48</w:t>
            </w:r>
          </w:p>
        </w:tc>
      </w:tr>
    </w:tbl>
    <w:p w14:paraId="09C8A96D" w14:textId="77777777" w:rsidR="00012DDD" w:rsidRPr="006E3689" w:rsidRDefault="00012DDD" w:rsidP="006E3689">
      <w:pPr>
        <w:spacing w:line="360" w:lineRule="auto"/>
        <w:rPr>
          <w:rFonts w:ascii="Arial" w:hAnsi="Arial" w:cs="Arial"/>
          <w:color w:val="202020"/>
          <w:sz w:val="22"/>
          <w:szCs w:val="22"/>
        </w:rPr>
      </w:pPr>
    </w:p>
    <w:p w14:paraId="275B1113" w14:textId="69AD565F" w:rsidR="006E3689" w:rsidRDefault="00012DDD" w:rsidP="006E3689">
      <w:pPr>
        <w:spacing w:line="360" w:lineRule="auto"/>
        <w:rPr>
          <w:rFonts w:ascii="Arial" w:hAnsi="Arial" w:cs="Arial"/>
          <w:color w:val="202020"/>
          <w:sz w:val="22"/>
          <w:szCs w:val="22"/>
        </w:rPr>
      </w:pPr>
      <w:r>
        <w:rPr>
          <w:rFonts w:ascii="Arial" w:hAnsi="Arial" w:cs="Arial"/>
          <w:color w:val="202020"/>
          <w:sz w:val="22"/>
          <w:szCs w:val="22"/>
        </w:rPr>
        <w:t xml:space="preserve">Source: </w:t>
      </w:r>
      <w:r>
        <w:rPr>
          <w:rFonts w:ascii="Arial" w:hAnsi="Arial" w:cs="Arial"/>
          <w:i/>
          <w:iCs/>
          <w:color w:val="202020"/>
          <w:sz w:val="22"/>
          <w:szCs w:val="22"/>
        </w:rPr>
        <w:t xml:space="preserve">Authors calculations based on the data from Yahoo finance and </w:t>
      </w:r>
      <w:r w:rsidR="002064DF">
        <w:rPr>
          <w:rFonts w:ascii="Arial" w:hAnsi="Arial" w:cs="Arial"/>
          <w:i/>
          <w:iCs/>
          <w:color w:val="202020"/>
          <w:sz w:val="22"/>
          <w:szCs w:val="22"/>
        </w:rPr>
        <w:t xml:space="preserve">U.S. Department of the </w:t>
      </w:r>
      <w:r w:rsidR="00995035">
        <w:rPr>
          <w:rFonts w:ascii="Arial" w:hAnsi="Arial" w:cs="Arial"/>
          <w:i/>
          <w:iCs/>
          <w:color w:val="202020"/>
          <w:sz w:val="22"/>
          <w:szCs w:val="22"/>
        </w:rPr>
        <w:t>Treasury (</w:t>
      </w:r>
      <w:r w:rsidR="00995035">
        <w:rPr>
          <w:rFonts w:ascii="Arial" w:hAnsi="Arial" w:cs="Arial"/>
          <w:color w:val="202020"/>
          <w:sz w:val="22"/>
          <w:szCs w:val="22"/>
        </w:rPr>
        <w:t xml:space="preserve">Yahoo Finance, </w:t>
      </w:r>
      <w:proofErr w:type="gramStart"/>
      <w:r w:rsidR="00995035">
        <w:rPr>
          <w:rFonts w:ascii="Arial" w:hAnsi="Arial" w:cs="Arial"/>
          <w:color w:val="202020"/>
          <w:sz w:val="22"/>
          <w:szCs w:val="22"/>
        </w:rPr>
        <w:t>n.d. ;</w:t>
      </w:r>
      <w:proofErr w:type="gramEnd"/>
      <w:r w:rsidR="00995035">
        <w:rPr>
          <w:rFonts w:ascii="Arial" w:hAnsi="Arial" w:cs="Arial"/>
          <w:color w:val="202020"/>
          <w:sz w:val="22"/>
          <w:szCs w:val="22"/>
        </w:rPr>
        <w:t xml:space="preserve"> </w:t>
      </w:r>
      <w:r w:rsidR="00B00A51" w:rsidRPr="00B00A51">
        <w:rPr>
          <w:rFonts w:ascii="Arial" w:hAnsi="Arial" w:cs="Arial"/>
          <w:color w:val="202020"/>
          <w:sz w:val="22"/>
          <w:szCs w:val="22"/>
        </w:rPr>
        <w:t>U.S. Department of the Treasury, n.d.)</w:t>
      </w:r>
      <w:r w:rsidR="00B00A51">
        <w:rPr>
          <w:rFonts w:ascii="Arial" w:hAnsi="Arial" w:cs="Arial"/>
          <w:color w:val="202020"/>
          <w:sz w:val="22"/>
          <w:szCs w:val="22"/>
        </w:rPr>
        <w:t>.</w:t>
      </w:r>
    </w:p>
    <w:p w14:paraId="1BCB94C6" w14:textId="77777777" w:rsidR="00420C49" w:rsidRDefault="00420C49" w:rsidP="006E3689">
      <w:pPr>
        <w:spacing w:line="360" w:lineRule="auto"/>
        <w:rPr>
          <w:rFonts w:ascii="Arial" w:hAnsi="Arial" w:cs="Arial"/>
          <w:color w:val="202020"/>
          <w:sz w:val="22"/>
          <w:szCs w:val="22"/>
        </w:rPr>
      </w:pPr>
    </w:p>
    <w:p w14:paraId="70455027" w14:textId="77777777" w:rsidR="00420C49"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A look at the Sharpe and Treynor ratios for Airbnb in 2022 and 2023:</w:t>
      </w:r>
    </w:p>
    <w:p w14:paraId="509EC878" w14:textId="77777777" w:rsidR="00420C49" w:rsidRPr="00420C49" w:rsidRDefault="00420C49" w:rsidP="00420C49">
      <w:pPr>
        <w:spacing w:line="360" w:lineRule="auto"/>
        <w:rPr>
          <w:rFonts w:ascii="Arial" w:hAnsi="Arial" w:cs="Arial"/>
          <w:color w:val="202020"/>
          <w:sz w:val="22"/>
          <w:szCs w:val="22"/>
        </w:rPr>
      </w:pPr>
    </w:p>
    <w:p w14:paraId="2E20CC20" w14:textId="77777777" w:rsidR="00420C49" w:rsidRPr="00420C49"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Sharpe Ratio: -0.89</w:t>
      </w:r>
    </w:p>
    <w:p w14:paraId="3B43A6F1" w14:textId="090D6641" w:rsidR="00420C49" w:rsidRPr="009D5176"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When volatility is considered, a negative Sharpe ratio means that Airbnb's profits were less than the risk-free rate. This negative ratio from 2022 shows that Airbnb failed to give investors positive returns, and the company did not provide enough money to cover the risk they took. This is a clear sign of poor performance, as buyers would have done better with a risk-free asset like a Treasury bond instead of Airbnb stock. The high level of volatility and the significant negative gain about -51.22</w:t>
      </w:r>
      <w:r w:rsidRPr="009D5176">
        <w:rPr>
          <w:rFonts w:ascii="Arial" w:hAnsi="Arial" w:cs="Arial"/>
          <w:color w:val="202020"/>
          <w:sz w:val="22"/>
          <w:szCs w:val="22"/>
        </w:rPr>
        <w:t>%</w:t>
      </w:r>
      <w:r w:rsidR="009D5176" w:rsidRPr="009D5176">
        <w:rPr>
          <w:rFonts w:ascii="Arial" w:hAnsi="Arial" w:cs="Arial"/>
          <w:color w:val="202020"/>
          <w:sz w:val="22"/>
          <w:szCs w:val="22"/>
        </w:rPr>
        <w:t xml:space="preserve"> </w:t>
      </w:r>
      <w:r w:rsidR="009D5176" w:rsidRPr="009D5176">
        <w:rPr>
          <w:rFonts w:ascii="Arial" w:hAnsi="Arial" w:cs="Arial"/>
          <w:color w:val="202020"/>
          <w:sz w:val="22"/>
          <w:szCs w:val="22"/>
        </w:rPr>
        <w:t>(Yahoo Finance, n.d.)</w:t>
      </w:r>
      <w:r w:rsidR="009D5176" w:rsidRPr="009D5176">
        <w:rPr>
          <w:rFonts w:ascii="Arial" w:hAnsi="Arial" w:cs="Arial"/>
          <w:color w:val="202020"/>
          <w:sz w:val="22"/>
          <w:szCs w:val="22"/>
        </w:rPr>
        <w:t xml:space="preserve"> </w:t>
      </w:r>
      <w:r w:rsidRPr="009D5176">
        <w:rPr>
          <w:rFonts w:ascii="Arial" w:hAnsi="Arial" w:cs="Arial"/>
          <w:color w:val="202020"/>
          <w:sz w:val="22"/>
          <w:szCs w:val="22"/>
        </w:rPr>
        <w:t>caused this poor Sharpe ratio.</w:t>
      </w:r>
    </w:p>
    <w:p w14:paraId="45AF6F1A" w14:textId="77777777" w:rsidR="00420C49" w:rsidRPr="00420C49" w:rsidRDefault="00420C49" w:rsidP="00420C49">
      <w:pPr>
        <w:spacing w:line="360" w:lineRule="auto"/>
        <w:rPr>
          <w:rFonts w:ascii="Arial" w:hAnsi="Arial" w:cs="Arial"/>
          <w:color w:val="202020"/>
          <w:sz w:val="22"/>
          <w:szCs w:val="22"/>
        </w:rPr>
      </w:pPr>
    </w:p>
    <w:p w14:paraId="2D6831AF" w14:textId="77777777" w:rsidR="00420C49" w:rsidRPr="00420C49"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The Treynor Ratio is -0.45.</w:t>
      </w:r>
    </w:p>
    <w:p w14:paraId="1146E104" w14:textId="59A224B2" w:rsidR="00420C49" w:rsidRPr="00420C49"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 xml:space="preserve">The negative Treynor ratio also shows a lousy result for 2022. When systematic risk (measured by beta) is considered, this ratio shows that Airbnb's profits were insufficient. If the Treynor ratio is negative, buyers were not paid enough for the risk they took compared to the </w:t>
      </w:r>
      <w:proofErr w:type="gramStart"/>
      <w:r w:rsidRPr="00420C49">
        <w:rPr>
          <w:rFonts w:ascii="Arial" w:hAnsi="Arial" w:cs="Arial"/>
          <w:color w:val="202020"/>
          <w:sz w:val="22"/>
          <w:szCs w:val="22"/>
        </w:rPr>
        <w:t>market as a whole</w:t>
      </w:r>
      <w:proofErr w:type="gramEnd"/>
      <w:r w:rsidRPr="00420C49">
        <w:rPr>
          <w:rFonts w:ascii="Arial" w:hAnsi="Arial" w:cs="Arial"/>
          <w:color w:val="202020"/>
          <w:sz w:val="22"/>
          <w:szCs w:val="22"/>
        </w:rPr>
        <w:t>. The company's market risk and the negative return made for a bad risk-adjusted return. This suggests that 2022 was a challenging year for Airbnb compared to the rest of the market</w:t>
      </w:r>
      <w:r w:rsidR="00C931F0">
        <w:rPr>
          <w:rFonts w:ascii="Arial" w:hAnsi="Arial" w:cs="Arial"/>
          <w:color w:val="202020"/>
          <w:sz w:val="22"/>
          <w:szCs w:val="22"/>
        </w:rPr>
        <w:t xml:space="preserve"> (</w:t>
      </w:r>
      <w:r w:rsidR="00C931F0" w:rsidRPr="009D5176">
        <w:rPr>
          <w:rFonts w:ascii="Arial" w:hAnsi="Arial" w:cs="Arial"/>
          <w:color w:val="202020"/>
          <w:sz w:val="22"/>
          <w:szCs w:val="22"/>
        </w:rPr>
        <w:t>Yahoo Finance, n.d.)</w:t>
      </w:r>
      <w:r w:rsidRPr="00420C49">
        <w:rPr>
          <w:rFonts w:ascii="Arial" w:hAnsi="Arial" w:cs="Arial"/>
          <w:color w:val="202020"/>
          <w:sz w:val="22"/>
          <w:szCs w:val="22"/>
        </w:rPr>
        <w:t>.</w:t>
      </w:r>
    </w:p>
    <w:p w14:paraId="67331325" w14:textId="77777777" w:rsidR="00420C49" w:rsidRPr="00420C49" w:rsidRDefault="00420C49" w:rsidP="00420C49">
      <w:pPr>
        <w:spacing w:line="360" w:lineRule="auto"/>
        <w:rPr>
          <w:rFonts w:ascii="Arial" w:hAnsi="Arial" w:cs="Arial"/>
          <w:color w:val="202020"/>
          <w:sz w:val="22"/>
          <w:szCs w:val="22"/>
        </w:rPr>
      </w:pPr>
    </w:p>
    <w:p w14:paraId="15A2EF4C" w14:textId="530C6448" w:rsidR="00420C49" w:rsidRPr="00420C49"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2023:</w:t>
      </w:r>
      <w:r w:rsidR="00163009">
        <w:rPr>
          <w:rFonts w:ascii="Arial" w:hAnsi="Arial" w:cs="Arial"/>
          <w:color w:val="202020"/>
          <w:sz w:val="22"/>
          <w:szCs w:val="22"/>
        </w:rPr>
        <w:t xml:space="preserve"> </w:t>
      </w:r>
      <w:r w:rsidRPr="00420C49">
        <w:rPr>
          <w:rFonts w:ascii="Arial" w:hAnsi="Arial" w:cs="Arial"/>
          <w:color w:val="202020"/>
          <w:sz w:val="22"/>
          <w:szCs w:val="22"/>
        </w:rPr>
        <w:t>Sharpe Ratio: 1.34</w:t>
      </w:r>
    </w:p>
    <w:p w14:paraId="26C2E631" w14:textId="6E669590" w:rsidR="00420C49"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When considering risk, a Sharpe ratio above 1 usually means good results. The Sharpe ratio for Airbnb in 2023 was 1.34</w:t>
      </w:r>
      <w:r w:rsidR="00C931F0">
        <w:rPr>
          <w:rFonts w:ascii="Arial" w:hAnsi="Arial" w:cs="Arial"/>
          <w:color w:val="202020"/>
          <w:sz w:val="22"/>
          <w:szCs w:val="22"/>
        </w:rPr>
        <w:t xml:space="preserve"> (</w:t>
      </w:r>
      <w:r w:rsidR="00C931F0" w:rsidRPr="009D5176">
        <w:rPr>
          <w:rFonts w:ascii="Arial" w:hAnsi="Arial" w:cs="Arial"/>
          <w:color w:val="202020"/>
          <w:sz w:val="22"/>
          <w:szCs w:val="22"/>
        </w:rPr>
        <w:t>Yahoo Finance, n.d.)</w:t>
      </w:r>
      <w:r w:rsidRPr="00420C49">
        <w:rPr>
          <w:rFonts w:ascii="Arial" w:hAnsi="Arial" w:cs="Arial"/>
          <w:color w:val="202020"/>
          <w:sz w:val="22"/>
          <w:szCs w:val="22"/>
        </w:rPr>
        <w:t>, which means that the company gave investors good returns compared to the amount of risk they had to take. This upbeat number shows that Airbnb not only made up for its bad performance in 2022 but also gave returns much higher than the risk-free rate, even when the stock's volatility was considered. This improvement shows that Airbnb's performance has changed significantly and says that buying the stock in 2023 was a good idea.</w:t>
      </w:r>
    </w:p>
    <w:p w14:paraId="102C01F1" w14:textId="77777777" w:rsidR="00420C49" w:rsidRPr="00420C49" w:rsidRDefault="00420C49" w:rsidP="00420C49">
      <w:pPr>
        <w:spacing w:line="360" w:lineRule="auto"/>
        <w:rPr>
          <w:rFonts w:ascii="Arial" w:hAnsi="Arial" w:cs="Arial"/>
          <w:color w:val="202020"/>
          <w:sz w:val="22"/>
          <w:szCs w:val="22"/>
        </w:rPr>
      </w:pPr>
    </w:p>
    <w:p w14:paraId="1E05A664" w14:textId="77777777" w:rsidR="00420C49" w:rsidRPr="00420C49"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Ratio of Treynor: 0.48</w:t>
      </w:r>
    </w:p>
    <w:p w14:paraId="59CD13D5" w14:textId="169485A1" w:rsidR="00420C49" w:rsidRPr="00420C49"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lastRenderedPageBreak/>
        <w:t>The fact that the Treynor ratio for 2023 was positive shows that Airbnb gave a good return compared to its market risk. If the Treynor ratio is 0.48, buyers get a good return above the risk-free rate for every unit of market risk (beta). This shows that the company's systematic risk was well managed, and it says that Airbnb could make good returns compared to how the market worked. The positive Treynor ratio proves that 2023 was a good year for Airbnb, with the company making enough money to cover the risks of being open to the market</w:t>
      </w:r>
      <w:r w:rsidR="005E502A">
        <w:rPr>
          <w:rFonts w:ascii="Arial" w:hAnsi="Arial" w:cs="Arial"/>
          <w:color w:val="202020"/>
          <w:sz w:val="22"/>
          <w:szCs w:val="22"/>
        </w:rPr>
        <w:t xml:space="preserve"> </w:t>
      </w:r>
      <w:r w:rsidR="005E502A">
        <w:rPr>
          <w:rFonts w:ascii="Arial" w:hAnsi="Arial" w:cs="Arial"/>
          <w:color w:val="202020"/>
          <w:sz w:val="22"/>
          <w:szCs w:val="22"/>
        </w:rPr>
        <w:t>(</w:t>
      </w:r>
      <w:r w:rsidR="005E502A" w:rsidRPr="009D5176">
        <w:rPr>
          <w:rFonts w:ascii="Arial" w:hAnsi="Arial" w:cs="Arial"/>
          <w:color w:val="202020"/>
          <w:sz w:val="22"/>
          <w:szCs w:val="22"/>
        </w:rPr>
        <w:t>Yahoo Finance, n.d.)</w:t>
      </w:r>
      <w:r w:rsidRPr="00420C49">
        <w:rPr>
          <w:rFonts w:ascii="Arial" w:hAnsi="Arial" w:cs="Arial"/>
          <w:color w:val="202020"/>
          <w:sz w:val="22"/>
          <w:szCs w:val="22"/>
        </w:rPr>
        <w:t>.</w:t>
      </w:r>
    </w:p>
    <w:p w14:paraId="2B7EB37D" w14:textId="77777777" w:rsidR="00420C49" w:rsidRPr="00420C49" w:rsidRDefault="00420C49" w:rsidP="00420C49">
      <w:pPr>
        <w:spacing w:line="360" w:lineRule="auto"/>
        <w:rPr>
          <w:rFonts w:ascii="Arial" w:hAnsi="Arial" w:cs="Arial"/>
          <w:color w:val="202020"/>
          <w:sz w:val="22"/>
          <w:szCs w:val="22"/>
        </w:rPr>
      </w:pPr>
    </w:p>
    <w:p w14:paraId="36B88579" w14:textId="77777777" w:rsidR="00420C49" w:rsidRPr="00420C49"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2022: It's clear that 2022 was a challenging year for Airbnb because both the Sharpe and Treynor ratios were negative. The business needed to do better to justify the risks buyers took by giving them good enough returns. This poor performance was caused by several macroeconomic factors, including market volatility, economic insecurity, and problems within the company that hurt its stock price.</w:t>
      </w:r>
    </w:p>
    <w:p w14:paraId="5FE53C3C" w14:textId="77777777" w:rsidR="00420C49" w:rsidRPr="00420C49"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 xml:space="preserve">2023: On the other hand, there was a significant rebound in 2023, as shown by the positive Sharpe and Treynor ratios. Airbnb was able to produce strong returns when risk was </w:t>
      </w:r>
      <w:proofErr w:type="gramStart"/>
      <w:r w:rsidRPr="00420C49">
        <w:rPr>
          <w:rFonts w:ascii="Arial" w:hAnsi="Arial" w:cs="Arial"/>
          <w:color w:val="202020"/>
          <w:sz w:val="22"/>
          <w:szCs w:val="22"/>
        </w:rPr>
        <w:t>taken into account</w:t>
      </w:r>
      <w:proofErr w:type="gramEnd"/>
      <w:r w:rsidRPr="00420C49">
        <w:rPr>
          <w:rFonts w:ascii="Arial" w:hAnsi="Arial" w:cs="Arial"/>
          <w:color w:val="202020"/>
          <w:sz w:val="22"/>
          <w:szCs w:val="22"/>
        </w:rPr>
        <w:t xml:space="preserve">. This suggests that the company dealt with the previous year's problems and took advantage of market possibilities. The positive ratios show that the balance between return and risk has been well handled, making Airbnb a good investment </w:t>
      </w:r>
      <w:proofErr w:type="gramStart"/>
      <w:r w:rsidRPr="00420C49">
        <w:rPr>
          <w:rFonts w:ascii="Arial" w:hAnsi="Arial" w:cs="Arial"/>
          <w:color w:val="202020"/>
          <w:sz w:val="22"/>
          <w:szCs w:val="22"/>
        </w:rPr>
        <w:t>at this time</w:t>
      </w:r>
      <w:proofErr w:type="gramEnd"/>
      <w:r w:rsidRPr="00420C49">
        <w:rPr>
          <w:rFonts w:ascii="Arial" w:hAnsi="Arial" w:cs="Arial"/>
          <w:color w:val="202020"/>
          <w:sz w:val="22"/>
          <w:szCs w:val="22"/>
        </w:rPr>
        <w:t>.</w:t>
      </w:r>
    </w:p>
    <w:p w14:paraId="7844BC5C" w14:textId="77777777" w:rsidR="00420C49" w:rsidRPr="00420C49" w:rsidRDefault="00420C49" w:rsidP="00420C49">
      <w:pPr>
        <w:spacing w:line="360" w:lineRule="auto"/>
        <w:rPr>
          <w:rFonts w:ascii="Arial" w:hAnsi="Arial" w:cs="Arial"/>
          <w:color w:val="202020"/>
          <w:sz w:val="22"/>
          <w:szCs w:val="22"/>
        </w:rPr>
      </w:pPr>
    </w:p>
    <w:p w14:paraId="25D901BD" w14:textId="7FFB0B35" w:rsidR="00420C49" w:rsidRPr="00995035" w:rsidRDefault="00420C49" w:rsidP="00420C49">
      <w:pPr>
        <w:spacing w:line="360" w:lineRule="auto"/>
        <w:rPr>
          <w:rFonts w:ascii="Arial" w:hAnsi="Arial" w:cs="Arial"/>
          <w:color w:val="202020"/>
          <w:sz w:val="22"/>
          <w:szCs w:val="22"/>
        </w:rPr>
      </w:pPr>
      <w:r w:rsidRPr="00420C49">
        <w:rPr>
          <w:rFonts w:ascii="Arial" w:hAnsi="Arial" w:cs="Arial"/>
          <w:color w:val="202020"/>
          <w:sz w:val="22"/>
          <w:szCs w:val="22"/>
        </w:rPr>
        <w:t>The Sharpe and Treynor rates tell us a lot about Airbnb's performance over the past two years. There were many problems and poor performance in 2022, but things got better in 2023, with Airbnb showing strong results compared to its volatility and market risk. Investors probably saw 2023 as Airbnb's "redemption year," rewarding those who kept or added to their shares of the company after the rough year in 2022.</w:t>
      </w:r>
    </w:p>
    <w:p w14:paraId="6BAAD373" w14:textId="77777777" w:rsidR="006E3689" w:rsidRDefault="006E3689" w:rsidP="006E3689">
      <w:pPr>
        <w:spacing w:line="360" w:lineRule="auto"/>
        <w:rPr>
          <w:rFonts w:ascii="Arial" w:hAnsi="Arial" w:cs="Arial"/>
          <w:color w:val="202020"/>
          <w:sz w:val="22"/>
          <w:szCs w:val="22"/>
        </w:rPr>
      </w:pPr>
    </w:p>
    <w:p w14:paraId="284834AB" w14:textId="1ED5D8BB" w:rsidR="00E74032" w:rsidRPr="006E3689" w:rsidRDefault="00E74032" w:rsidP="00E74032">
      <w:pPr>
        <w:pStyle w:val="Heading1"/>
      </w:pPr>
      <w:bookmarkStart w:id="7" w:name="_Toc175604831"/>
      <w:r>
        <w:t>At-the-Money Call Option Payoff</w:t>
      </w:r>
      <w:bookmarkEnd w:id="7"/>
      <w:r>
        <w:t xml:space="preserve"> </w:t>
      </w:r>
    </w:p>
    <w:p w14:paraId="137EE2E8" w14:textId="77777777" w:rsidR="006E3689" w:rsidRPr="006E3689" w:rsidRDefault="006E3689" w:rsidP="006E3689">
      <w:pPr>
        <w:spacing w:line="360" w:lineRule="auto"/>
        <w:rPr>
          <w:rFonts w:ascii="Arial" w:hAnsi="Arial" w:cs="Arial"/>
          <w:color w:val="202020"/>
          <w:sz w:val="22"/>
          <w:szCs w:val="22"/>
        </w:rPr>
      </w:pPr>
    </w:p>
    <w:p w14:paraId="05D3A8FD" w14:textId="4984362E" w:rsidR="006E3689" w:rsidRPr="006E3689" w:rsidRDefault="00956E05" w:rsidP="006E3689">
      <w:pPr>
        <w:spacing w:line="360" w:lineRule="auto"/>
        <w:rPr>
          <w:rFonts w:ascii="Arial" w:hAnsi="Arial" w:cs="Arial"/>
          <w:color w:val="202020"/>
          <w:sz w:val="22"/>
          <w:szCs w:val="22"/>
        </w:rPr>
      </w:pPr>
      <w:r>
        <w:rPr>
          <w:rFonts w:ascii="Arial" w:hAnsi="Arial" w:cs="Arial"/>
          <w:noProof/>
          <w:color w:val="202020"/>
          <w:sz w:val="22"/>
          <w:szCs w:val="22"/>
        </w:rPr>
        <w:lastRenderedPageBreak/>
        <w:drawing>
          <wp:inline distT="0" distB="0" distL="0" distR="0" wp14:anchorId="701F67DD" wp14:editId="1A5F0494">
            <wp:extent cx="5731510" cy="3678555"/>
            <wp:effectExtent l="0" t="0" r="0" b="4445"/>
            <wp:docPr id="1408426849" name="Picture 4"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426849" name="Picture 4" descr="A graph with numbers and lin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678555"/>
                    </a:xfrm>
                    <a:prstGeom prst="rect">
                      <a:avLst/>
                    </a:prstGeom>
                  </pic:spPr>
                </pic:pic>
              </a:graphicData>
            </a:graphic>
          </wp:inline>
        </w:drawing>
      </w:r>
    </w:p>
    <w:p w14:paraId="2406A90F" w14:textId="77777777" w:rsidR="006E3689" w:rsidRPr="006E3689" w:rsidRDefault="006E3689" w:rsidP="006E3689">
      <w:pPr>
        <w:spacing w:line="360" w:lineRule="auto"/>
        <w:rPr>
          <w:rFonts w:ascii="Arial" w:hAnsi="Arial" w:cs="Arial"/>
          <w:color w:val="202020"/>
          <w:sz w:val="22"/>
          <w:szCs w:val="22"/>
        </w:rPr>
      </w:pPr>
    </w:p>
    <w:p w14:paraId="767DC33E" w14:textId="41FB4663" w:rsidR="006E3689" w:rsidRDefault="00355887" w:rsidP="006E3689">
      <w:pPr>
        <w:spacing w:line="360" w:lineRule="auto"/>
        <w:rPr>
          <w:rFonts w:ascii="Arial" w:hAnsi="Arial" w:cs="Arial"/>
          <w:i/>
          <w:iCs/>
          <w:color w:val="202020"/>
          <w:sz w:val="22"/>
          <w:szCs w:val="22"/>
        </w:rPr>
      </w:pPr>
      <w:r>
        <w:rPr>
          <w:rFonts w:ascii="Arial" w:hAnsi="Arial" w:cs="Arial"/>
          <w:color w:val="202020"/>
          <w:sz w:val="22"/>
          <w:szCs w:val="22"/>
        </w:rPr>
        <w:t xml:space="preserve">Source: </w:t>
      </w:r>
      <w:r w:rsidRPr="00355887">
        <w:rPr>
          <w:rFonts w:ascii="Arial" w:hAnsi="Arial" w:cs="Arial"/>
          <w:i/>
          <w:iCs/>
          <w:color w:val="202020"/>
          <w:sz w:val="22"/>
          <w:szCs w:val="22"/>
        </w:rPr>
        <w:t>Author</w:t>
      </w:r>
      <w:r>
        <w:rPr>
          <w:rFonts w:ascii="Arial" w:hAnsi="Arial" w:cs="Arial"/>
          <w:i/>
          <w:iCs/>
          <w:color w:val="202020"/>
          <w:sz w:val="22"/>
          <w:szCs w:val="22"/>
        </w:rPr>
        <w:t xml:space="preserve">’s calculations based on </w:t>
      </w:r>
      <w:r w:rsidR="000D4C5F">
        <w:rPr>
          <w:rFonts w:ascii="Arial" w:hAnsi="Arial" w:cs="Arial"/>
          <w:i/>
          <w:iCs/>
          <w:color w:val="202020"/>
          <w:sz w:val="22"/>
          <w:szCs w:val="22"/>
        </w:rPr>
        <w:t>NASDAQ.COM</w:t>
      </w:r>
      <w:r w:rsidR="00956E05">
        <w:rPr>
          <w:rFonts w:ascii="Arial" w:hAnsi="Arial" w:cs="Arial"/>
          <w:i/>
          <w:iCs/>
          <w:color w:val="202020"/>
          <w:sz w:val="22"/>
          <w:szCs w:val="22"/>
        </w:rPr>
        <w:t>.</w:t>
      </w:r>
    </w:p>
    <w:p w14:paraId="10BF7B4A" w14:textId="77777777" w:rsidR="000D4C5F" w:rsidRPr="000D4C5F" w:rsidRDefault="000D4C5F" w:rsidP="006E3689">
      <w:pPr>
        <w:spacing w:line="360" w:lineRule="auto"/>
        <w:rPr>
          <w:rFonts w:ascii="Arial" w:hAnsi="Arial" w:cs="Arial"/>
          <w:color w:val="202020"/>
          <w:sz w:val="22"/>
          <w:szCs w:val="22"/>
        </w:rPr>
      </w:pPr>
    </w:p>
    <w:p w14:paraId="500D0B92" w14:textId="77777777" w:rsidR="00BC6E60" w:rsidRPr="00BC6E60" w:rsidRDefault="00BC6E60" w:rsidP="00BC6E60">
      <w:pPr>
        <w:spacing w:line="360" w:lineRule="auto"/>
        <w:rPr>
          <w:rFonts w:ascii="Arial" w:hAnsi="Arial" w:cs="Arial"/>
          <w:color w:val="202020"/>
          <w:sz w:val="22"/>
          <w:szCs w:val="22"/>
        </w:rPr>
      </w:pPr>
      <w:r w:rsidRPr="00BC6E60">
        <w:rPr>
          <w:rFonts w:ascii="Arial" w:hAnsi="Arial" w:cs="Arial"/>
          <w:color w:val="202020"/>
          <w:sz w:val="22"/>
          <w:szCs w:val="22"/>
        </w:rPr>
        <w:t>The return structure for an at-the-money call option on Booking Holdings Inc. (BKNG) shows how the value of the option changes based on the price of the stock when the option expires. The NASDAQ data shows that the call option will end worthless if the stock price at expiration is less than the strike price of $3,450. In this case, they would lose the bonus they paid, which is $53 per share. The payoff diagram shows that if the stock price is at or below the strike price (NASDQ.COM, 2024), the option holder neither wins nor loses money. This is shown by the horizontal line at $0.</w:t>
      </w:r>
    </w:p>
    <w:p w14:paraId="1F81B7C8" w14:textId="77777777" w:rsidR="00BC6E60" w:rsidRPr="00BC6E60" w:rsidRDefault="00BC6E60" w:rsidP="00BC6E60">
      <w:pPr>
        <w:spacing w:line="360" w:lineRule="auto"/>
        <w:rPr>
          <w:rFonts w:ascii="Arial" w:hAnsi="Arial" w:cs="Arial"/>
          <w:color w:val="202020"/>
          <w:sz w:val="22"/>
          <w:szCs w:val="22"/>
        </w:rPr>
      </w:pPr>
    </w:p>
    <w:p w14:paraId="4E744208" w14:textId="77777777" w:rsidR="00BC6E60" w:rsidRPr="00BC6E60" w:rsidRDefault="00BC6E60" w:rsidP="00BC6E60">
      <w:pPr>
        <w:spacing w:line="360" w:lineRule="auto"/>
        <w:rPr>
          <w:rFonts w:ascii="Arial" w:hAnsi="Arial" w:cs="Arial"/>
          <w:color w:val="202020"/>
          <w:sz w:val="22"/>
          <w:szCs w:val="22"/>
        </w:rPr>
      </w:pPr>
      <w:r w:rsidRPr="00BC6E60">
        <w:rPr>
          <w:rFonts w:ascii="Arial" w:hAnsi="Arial" w:cs="Arial"/>
          <w:color w:val="202020"/>
          <w:sz w:val="22"/>
          <w:szCs w:val="22"/>
        </w:rPr>
        <w:t>The strike price is $3,450, shown on the graph by the red straight dotted line. This is the point at which the option starts to gain value. The option has no worth if the stock price stays at or below this level until it expires. The holder loses the premium they paid. If the stock price exceeds this strike price, the option will start making money.</w:t>
      </w:r>
    </w:p>
    <w:p w14:paraId="5D160698" w14:textId="77777777" w:rsidR="00BC6E60" w:rsidRPr="00BC6E60" w:rsidRDefault="00BC6E60" w:rsidP="00BC6E60">
      <w:pPr>
        <w:spacing w:line="360" w:lineRule="auto"/>
        <w:rPr>
          <w:rFonts w:ascii="Arial" w:hAnsi="Arial" w:cs="Arial"/>
          <w:color w:val="202020"/>
          <w:sz w:val="22"/>
          <w:szCs w:val="22"/>
        </w:rPr>
      </w:pPr>
    </w:p>
    <w:p w14:paraId="3107DF52" w14:textId="77777777" w:rsidR="00BC6E60" w:rsidRPr="00BC6E60" w:rsidRDefault="00BC6E60" w:rsidP="00BC6E60">
      <w:pPr>
        <w:spacing w:line="360" w:lineRule="auto"/>
        <w:rPr>
          <w:rFonts w:ascii="Arial" w:hAnsi="Arial" w:cs="Arial"/>
          <w:color w:val="202020"/>
          <w:sz w:val="22"/>
          <w:szCs w:val="22"/>
        </w:rPr>
      </w:pPr>
      <w:r w:rsidRPr="00BC6E60">
        <w:rPr>
          <w:rFonts w:ascii="Arial" w:hAnsi="Arial" w:cs="Arial"/>
          <w:color w:val="202020"/>
          <w:sz w:val="22"/>
          <w:szCs w:val="22"/>
        </w:rPr>
        <w:t xml:space="preserve">The blue vertical dashed line shows the point where you break even, which is $3,503. The $53 bonus is added to the strike price of $3,450 to get this number. To make money, the cost of the stock </w:t>
      </w:r>
      <w:proofErr w:type="gramStart"/>
      <w:r w:rsidRPr="00BC6E60">
        <w:rPr>
          <w:rFonts w:ascii="Arial" w:hAnsi="Arial" w:cs="Arial"/>
          <w:color w:val="202020"/>
          <w:sz w:val="22"/>
          <w:szCs w:val="22"/>
        </w:rPr>
        <w:t>has to</w:t>
      </w:r>
      <w:proofErr w:type="gramEnd"/>
      <w:r w:rsidRPr="00BC6E60">
        <w:rPr>
          <w:rFonts w:ascii="Arial" w:hAnsi="Arial" w:cs="Arial"/>
          <w:color w:val="202020"/>
          <w:sz w:val="22"/>
          <w:szCs w:val="22"/>
        </w:rPr>
        <w:t xml:space="preserve"> go above this amount by expiration. After this point, the option's value increases as the stock price increases.</w:t>
      </w:r>
    </w:p>
    <w:p w14:paraId="160F080F" w14:textId="77777777" w:rsidR="00BC6E60" w:rsidRPr="00BC6E60" w:rsidRDefault="00BC6E60" w:rsidP="00BC6E60">
      <w:pPr>
        <w:spacing w:line="360" w:lineRule="auto"/>
        <w:rPr>
          <w:rFonts w:ascii="Arial" w:hAnsi="Arial" w:cs="Arial"/>
          <w:color w:val="202020"/>
          <w:sz w:val="22"/>
          <w:szCs w:val="22"/>
        </w:rPr>
      </w:pPr>
    </w:p>
    <w:p w14:paraId="59B4F4ED" w14:textId="77777777" w:rsidR="00BC6E60" w:rsidRPr="00BC6E60" w:rsidRDefault="00BC6E60" w:rsidP="00BC6E60">
      <w:pPr>
        <w:spacing w:line="360" w:lineRule="auto"/>
        <w:rPr>
          <w:rFonts w:ascii="Arial" w:hAnsi="Arial" w:cs="Arial"/>
          <w:color w:val="202020"/>
          <w:sz w:val="22"/>
          <w:szCs w:val="22"/>
        </w:rPr>
      </w:pPr>
      <w:r w:rsidRPr="00BC6E60">
        <w:rPr>
          <w:rFonts w:ascii="Arial" w:hAnsi="Arial" w:cs="Arial"/>
          <w:color w:val="202020"/>
          <w:sz w:val="22"/>
          <w:szCs w:val="22"/>
        </w:rPr>
        <w:lastRenderedPageBreak/>
        <w:t>On the other hand, the at-the-money call option for Airbnb, Inc. (ABNB) works the same way but with different numbers. The bonus is $5.45, and the strike price is $120. This means that the point at which the trade breaks even is $125.45. The ABNB option is more accessible because its strike price and premium are lower. However, it also needs a smaller price rise to make a profit. However, the possible returns are lower than with BKNG's option, which has a more significant risk and a higher potential reward because the price needs to move higher to break even (NASDAQ.COM, 2024).</w:t>
      </w:r>
    </w:p>
    <w:p w14:paraId="0E24FAE6" w14:textId="77777777" w:rsidR="00BC6E60" w:rsidRPr="00BC6E60" w:rsidRDefault="00BC6E60" w:rsidP="00BC6E60">
      <w:pPr>
        <w:spacing w:line="360" w:lineRule="auto"/>
        <w:rPr>
          <w:rFonts w:ascii="Arial" w:hAnsi="Arial" w:cs="Arial"/>
          <w:color w:val="202020"/>
          <w:sz w:val="22"/>
          <w:szCs w:val="22"/>
        </w:rPr>
      </w:pPr>
    </w:p>
    <w:p w14:paraId="00D773F3" w14:textId="3BB9F204" w:rsidR="006E3689" w:rsidRPr="006E3689" w:rsidRDefault="00BC6E60" w:rsidP="00BC6E60">
      <w:pPr>
        <w:spacing w:line="360" w:lineRule="auto"/>
        <w:rPr>
          <w:rFonts w:ascii="Arial" w:hAnsi="Arial" w:cs="Arial"/>
          <w:color w:val="202020"/>
          <w:sz w:val="22"/>
          <w:szCs w:val="22"/>
        </w:rPr>
      </w:pPr>
      <w:r w:rsidRPr="00BC6E60">
        <w:rPr>
          <w:rFonts w:ascii="Arial" w:hAnsi="Arial" w:cs="Arial"/>
          <w:color w:val="202020"/>
          <w:sz w:val="22"/>
          <w:szCs w:val="22"/>
        </w:rPr>
        <w:t>The overall risk-to-reward ratio for the BKNG at-the-money call option is higher than that of the ABNB option. For investors in BKNG to make money, the price needs to go up a lot more than $3,503; on the other hand, ABNB has a more minor breakeven point, which makes it a safer bet with lower potential returns.</w:t>
      </w:r>
    </w:p>
    <w:p w14:paraId="6487D05F" w14:textId="77777777" w:rsidR="006E3689" w:rsidRDefault="006E3689" w:rsidP="006E3689">
      <w:pPr>
        <w:spacing w:line="360" w:lineRule="auto"/>
        <w:rPr>
          <w:rFonts w:ascii="Arial" w:hAnsi="Arial" w:cs="Arial"/>
          <w:color w:val="202020"/>
          <w:sz w:val="22"/>
          <w:szCs w:val="22"/>
        </w:rPr>
      </w:pPr>
    </w:p>
    <w:p w14:paraId="1BBD037D" w14:textId="77777777" w:rsidR="00E74032" w:rsidRDefault="00E74032" w:rsidP="006E3689">
      <w:pPr>
        <w:spacing w:line="360" w:lineRule="auto"/>
        <w:rPr>
          <w:rFonts w:ascii="Arial" w:hAnsi="Arial" w:cs="Arial"/>
          <w:color w:val="202020"/>
          <w:sz w:val="22"/>
          <w:szCs w:val="22"/>
        </w:rPr>
      </w:pPr>
    </w:p>
    <w:p w14:paraId="31CDED25" w14:textId="77777777" w:rsidR="00E74032" w:rsidRDefault="00E74032" w:rsidP="006E3689">
      <w:pPr>
        <w:spacing w:line="360" w:lineRule="auto"/>
        <w:rPr>
          <w:rFonts w:ascii="Arial" w:hAnsi="Arial" w:cs="Arial"/>
          <w:color w:val="202020"/>
          <w:sz w:val="22"/>
          <w:szCs w:val="22"/>
        </w:rPr>
      </w:pPr>
    </w:p>
    <w:p w14:paraId="1DF429CB" w14:textId="77777777" w:rsidR="00E74032" w:rsidRDefault="00E74032" w:rsidP="006E3689">
      <w:pPr>
        <w:spacing w:line="360" w:lineRule="auto"/>
        <w:rPr>
          <w:rFonts w:ascii="Arial" w:hAnsi="Arial" w:cs="Arial"/>
          <w:color w:val="202020"/>
          <w:sz w:val="22"/>
          <w:szCs w:val="22"/>
        </w:rPr>
      </w:pPr>
    </w:p>
    <w:p w14:paraId="3F5E245A" w14:textId="79F1FB91" w:rsidR="00E74032" w:rsidRDefault="00E74032" w:rsidP="006E3689">
      <w:pPr>
        <w:spacing w:line="360" w:lineRule="auto"/>
        <w:rPr>
          <w:rFonts w:ascii="Arial" w:hAnsi="Arial" w:cs="Arial"/>
          <w:color w:val="202020"/>
          <w:sz w:val="22"/>
          <w:szCs w:val="22"/>
        </w:rPr>
      </w:pPr>
    </w:p>
    <w:p w14:paraId="49420813" w14:textId="77777777" w:rsidR="00E74032" w:rsidRDefault="00E74032" w:rsidP="006E3689">
      <w:pPr>
        <w:spacing w:line="360" w:lineRule="auto"/>
        <w:rPr>
          <w:rFonts w:ascii="Arial" w:hAnsi="Arial" w:cs="Arial"/>
          <w:color w:val="202020"/>
          <w:sz w:val="22"/>
          <w:szCs w:val="22"/>
        </w:rPr>
      </w:pPr>
    </w:p>
    <w:p w14:paraId="7F73EEED" w14:textId="77777777" w:rsidR="00E74032" w:rsidRDefault="00E74032" w:rsidP="006E3689">
      <w:pPr>
        <w:spacing w:line="360" w:lineRule="auto"/>
        <w:rPr>
          <w:rFonts w:ascii="Arial" w:hAnsi="Arial" w:cs="Arial"/>
          <w:color w:val="202020"/>
          <w:sz w:val="22"/>
          <w:szCs w:val="22"/>
        </w:rPr>
      </w:pPr>
    </w:p>
    <w:p w14:paraId="6AD284B8" w14:textId="77777777" w:rsidR="00E74032" w:rsidRDefault="00E74032" w:rsidP="006E3689">
      <w:pPr>
        <w:spacing w:line="360" w:lineRule="auto"/>
        <w:rPr>
          <w:rFonts w:ascii="Arial" w:hAnsi="Arial" w:cs="Arial"/>
          <w:color w:val="202020"/>
          <w:sz w:val="22"/>
          <w:szCs w:val="22"/>
        </w:rPr>
      </w:pPr>
    </w:p>
    <w:p w14:paraId="42EBE518" w14:textId="77777777" w:rsidR="00E74032" w:rsidRDefault="00E74032" w:rsidP="006E3689">
      <w:pPr>
        <w:spacing w:line="360" w:lineRule="auto"/>
        <w:rPr>
          <w:rFonts w:ascii="Arial" w:hAnsi="Arial" w:cs="Arial"/>
          <w:color w:val="202020"/>
          <w:sz w:val="22"/>
          <w:szCs w:val="22"/>
        </w:rPr>
      </w:pPr>
    </w:p>
    <w:p w14:paraId="710742D5" w14:textId="77777777" w:rsidR="00E74032" w:rsidRDefault="00E74032" w:rsidP="006E3689">
      <w:pPr>
        <w:spacing w:line="360" w:lineRule="auto"/>
        <w:rPr>
          <w:rFonts w:ascii="Arial" w:hAnsi="Arial" w:cs="Arial"/>
          <w:color w:val="202020"/>
          <w:sz w:val="22"/>
          <w:szCs w:val="22"/>
        </w:rPr>
      </w:pPr>
    </w:p>
    <w:p w14:paraId="7B33F45C" w14:textId="77777777" w:rsidR="00E74032" w:rsidRDefault="00E74032" w:rsidP="006E3689">
      <w:pPr>
        <w:spacing w:line="360" w:lineRule="auto"/>
        <w:rPr>
          <w:rFonts w:ascii="Arial" w:hAnsi="Arial" w:cs="Arial"/>
          <w:color w:val="202020"/>
          <w:sz w:val="22"/>
          <w:szCs w:val="22"/>
        </w:rPr>
      </w:pPr>
    </w:p>
    <w:p w14:paraId="0EB31B2C" w14:textId="77777777" w:rsidR="00E74032" w:rsidRDefault="00E74032" w:rsidP="006E3689">
      <w:pPr>
        <w:spacing w:line="360" w:lineRule="auto"/>
        <w:rPr>
          <w:rFonts w:ascii="Arial" w:hAnsi="Arial" w:cs="Arial"/>
          <w:color w:val="202020"/>
          <w:sz w:val="22"/>
          <w:szCs w:val="22"/>
        </w:rPr>
      </w:pPr>
    </w:p>
    <w:p w14:paraId="3C1C2CA6" w14:textId="77777777" w:rsidR="00E74032" w:rsidRDefault="00E74032" w:rsidP="006E3689">
      <w:pPr>
        <w:spacing w:line="360" w:lineRule="auto"/>
        <w:rPr>
          <w:rFonts w:ascii="Arial" w:hAnsi="Arial" w:cs="Arial"/>
          <w:color w:val="202020"/>
          <w:sz w:val="22"/>
          <w:szCs w:val="22"/>
        </w:rPr>
      </w:pPr>
    </w:p>
    <w:p w14:paraId="6131BB50" w14:textId="77777777" w:rsidR="00E74032" w:rsidRDefault="00E74032" w:rsidP="006E3689">
      <w:pPr>
        <w:spacing w:line="360" w:lineRule="auto"/>
        <w:rPr>
          <w:rFonts w:ascii="Arial" w:hAnsi="Arial" w:cs="Arial"/>
          <w:color w:val="202020"/>
          <w:sz w:val="22"/>
          <w:szCs w:val="22"/>
        </w:rPr>
      </w:pPr>
    </w:p>
    <w:p w14:paraId="334FAFD6" w14:textId="77777777" w:rsidR="00E74032" w:rsidRDefault="00E74032" w:rsidP="006E3689">
      <w:pPr>
        <w:spacing w:line="360" w:lineRule="auto"/>
        <w:rPr>
          <w:rFonts w:ascii="Arial" w:hAnsi="Arial" w:cs="Arial"/>
          <w:color w:val="202020"/>
          <w:sz w:val="22"/>
          <w:szCs w:val="22"/>
        </w:rPr>
      </w:pPr>
    </w:p>
    <w:p w14:paraId="512BAD8E" w14:textId="4E5A9CBD" w:rsidR="00E74032" w:rsidRDefault="00E74032" w:rsidP="002422D2">
      <w:pPr>
        <w:pStyle w:val="Heading1"/>
      </w:pPr>
      <w:bookmarkStart w:id="8" w:name="_Toc175604832"/>
      <w:r>
        <w:lastRenderedPageBreak/>
        <w:t>At-the-Money Put Option Payoff</w:t>
      </w:r>
      <w:bookmarkEnd w:id="8"/>
    </w:p>
    <w:p w14:paraId="5F573976" w14:textId="472EDE8B" w:rsidR="000567FB" w:rsidRPr="006E3689" w:rsidRDefault="00F44052" w:rsidP="006E3689">
      <w:pPr>
        <w:spacing w:line="360" w:lineRule="auto"/>
        <w:rPr>
          <w:rFonts w:ascii="Arial" w:hAnsi="Arial" w:cs="Arial"/>
          <w:color w:val="202020"/>
          <w:sz w:val="22"/>
          <w:szCs w:val="22"/>
        </w:rPr>
      </w:pPr>
      <w:r>
        <w:rPr>
          <w:rFonts w:ascii="Arial" w:hAnsi="Arial" w:cs="Arial"/>
          <w:noProof/>
          <w:color w:val="202020"/>
          <w:sz w:val="22"/>
          <w:szCs w:val="22"/>
        </w:rPr>
        <w:drawing>
          <wp:inline distT="0" distB="0" distL="0" distR="0" wp14:anchorId="6C1C4340" wp14:editId="6EE599F3">
            <wp:extent cx="5731510" cy="3678555"/>
            <wp:effectExtent l="0" t="0" r="0" b="4445"/>
            <wp:docPr id="7180261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26124" name="Picture 71802612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678555"/>
                    </a:xfrm>
                    <a:prstGeom prst="rect">
                      <a:avLst/>
                    </a:prstGeom>
                  </pic:spPr>
                </pic:pic>
              </a:graphicData>
            </a:graphic>
          </wp:inline>
        </w:drawing>
      </w:r>
    </w:p>
    <w:p w14:paraId="6FD638CA" w14:textId="77777777" w:rsidR="00F31240" w:rsidRPr="00F31240" w:rsidRDefault="00F31240" w:rsidP="00F31240">
      <w:pPr>
        <w:spacing w:line="360" w:lineRule="auto"/>
        <w:rPr>
          <w:rFonts w:ascii="Arial" w:hAnsi="Arial" w:cs="Arial"/>
          <w:color w:val="202020"/>
          <w:sz w:val="22"/>
          <w:szCs w:val="22"/>
        </w:rPr>
      </w:pPr>
    </w:p>
    <w:p w14:paraId="084D889C" w14:textId="77777777" w:rsidR="00F31240" w:rsidRDefault="00F31240" w:rsidP="00F31240">
      <w:pPr>
        <w:spacing w:line="360" w:lineRule="auto"/>
        <w:rPr>
          <w:rFonts w:ascii="Arial" w:hAnsi="Arial" w:cs="Arial"/>
          <w:i/>
          <w:iCs/>
          <w:color w:val="202020"/>
          <w:sz w:val="22"/>
          <w:szCs w:val="22"/>
        </w:rPr>
      </w:pPr>
      <w:r w:rsidRPr="00F31240">
        <w:rPr>
          <w:rFonts w:ascii="Arial" w:hAnsi="Arial" w:cs="Arial"/>
          <w:color w:val="202020"/>
          <w:sz w:val="22"/>
          <w:szCs w:val="22"/>
        </w:rPr>
        <w:t xml:space="preserve">Source: </w:t>
      </w:r>
      <w:r w:rsidRPr="00F31240">
        <w:rPr>
          <w:rFonts w:ascii="Arial" w:hAnsi="Arial" w:cs="Arial"/>
          <w:i/>
          <w:iCs/>
          <w:color w:val="202020"/>
          <w:sz w:val="22"/>
          <w:szCs w:val="22"/>
        </w:rPr>
        <w:t>Author’s calculations based on NASDAQ.COM.</w:t>
      </w:r>
    </w:p>
    <w:p w14:paraId="532111A0" w14:textId="77777777" w:rsidR="00714F19" w:rsidRPr="00F31240" w:rsidRDefault="00714F19" w:rsidP="00F31240">
      <w:pPr>
        <w:spacing w:line="360" w:lineRule="auto"/>
        <w:rPr>
          <w:rFonts w:ascii="Arial" w:hAnsi="Arial" w:cs="Arial"/>
          <w:i/>
          <w:iCs/>
          <w:color w:val="202020"/>
          <w:sz w:val="22"/>
          <w:szCs w:val="22"/>
        </w:rPr>
      </w:pPr>
    </w:p>
    <w:p w14:paraId="625ACB86" w14:textId="4BAABD8A" w:rsidR="00714F19" w:rsidRDefault="00714F19" w:rsidP="00601CE4">
      <w:pPr>
        <w:spacing w:line="360" w:lineRule="auto"/>
        <w:rPr>
          <w:rFonts w:ascii="Arial" w:hAnsi="Arial" w:cs="Arial"/>
          <w:color w:val="202020"/>
          <w:sz w:val="22"/>
          <w:szCs w:val="22"/>
        </w:rPr>
      </w:pPr>
      <w:r w:rsidRPr="00714F19">
        <w:rPr>
          <w:rFonts w:ascii="Arial" w:hAnsi="Arial" w:cs="Arial"/>
          <w:color w:val="202020"/>
          <w:sz w:val="22"/>
          <w:szCs w:val="22"/>
        </w:rPr>
        <w:t>The graph above illustrates the payoff structure for an at-the-money put option on Booking Holdings Inc. (BKNG), highlighting how the option's value changes as the underlying stock price varies. This analysis compares the BKNG put option with a similar option for Airbnb, Inc. (ABNB).</w:t>
      </w:r>
    </w:p>
    <w:p w14:paraId="681EA7DA" w14:textId="77777777" w:rsidR="00601CE4" w:rsidRPr="00714F19" w:rsidRDefault="00601CE4" w:rsidP="00601CE4">
      <w:pPr>
        <w:spacing w:line="360" w:lineRule="auto"/>
        <w:rPr>
          <w:rFonts w:ascii="Arial" w:hAnsi="Arial" w:cs="Arial"/>
          <w:color w:val="202020"/>
          <w:sz w:val="22"/>
          <w:szCs w:val="22"/>
        </w:rPr>
      </w:pPr>
    </w:p>
    <w:p w14:paraId="413B00A1" w14:textId="2CD9A3AC" w:rsidR="00714F19" w:rsidRDefault="00714F19" w:rsidP="00714F19">
      <w:pPr>
        <w:spacing w:line="360" w:lineRule="auto"/>
        <w:rPr>
          <w:rFonts w:ascii="Arial" w:hAnsi="Arial" w:cs="Arial"/>
          <w:color w:val="202020"/>
          <w:sz w:val="22"/>
          <w:szCs w:val="22"/>
        </w:rPr>
      </w:pPr>
      <w:r w:rsidRPr="00714F19">
        <w:rPr>
          <w:rFonts w:ascii="Arial" w:hAnsi="Arial" w:cs="Arial"/>
          <w:color w:val="202020"/>
          <w:sz w:val="22"/>
          <w:szCs w:val="22"/>
        </w:rPr>
        <w:t>For the BKNG put option, the payoff structure shows that if the stock price at expiration is above the strike price of $3,450, the option expires worthless, resulting in a maximum loss of the premium paid, $53</w:t>
      </w:r>
      <w:r w:rsidR="00F31F97" w:rsidRPr="00AD42F0">
        <w:rPr>
          <w:rFonts w:ascii="Arial" w:hAnsi="Arial" w:cs="Arial"/>
          <w:color w:val="202020"/>
          <w:sz w:val="22"/>
          <w:szCs w:val="22"/>
        </w:rPr>
        <w:t>(NASDAQ.COM, 2024)</w:t>
      </w:r>
      <w:r w:rsidRPr="00714F19">
        <w:rPr>
          <w:rFonts w:ascii="Arial" w:hAnsi="Arial" w:cs="Arial"/>
          <w:color w:val="202020"/>
          <w:sz w:val="22"/>
          <w:szCs w:val="22"/>
        </w:rPr>
        <w:t>. The option becomes profitable as the stock price decreases below the strike price. The breakeven point is $3,397, calculated as the strike price minus the premium ($3,450 - $53)</w:t>
      </w:r>
      <w:r w:rsidR="00F31F97">
        <w:rPr>
          <w:rFonts w:ascii="Arial" w:hAnsi="Arial" w:cs="Arial"/>
          <w:color w:val="202020"/>
          <w:sz w:val="22"/>
          <w:szCs w:val="22"/>
        </w:rPr>
        <w:t xml:space="preserve"> </w:t>
      </w:r>
      <w:r w:rsidR="00F31F97" w:rsidRPr="00AD42F0">
        <w:rPr>
          <w:rFonts w:ascii="Arial" w:hAnsi="Arial" w:cs="Arial"/>
          <w:color w:val="202020"/>
          <w:sz w:val="22"/>
          <w:szCs w:val="22"/>
        </w:rPr>
        <w:t>(NASDAQ.COM, 2024)</w:t>
      </w:r>
      <w:r w:rsidRPr="00714F19">
        <w:rPr>
          <w:rFonts w:ascii="Arial" w:hAnsi="Arial" w:cs="Arial"/>
          <w:color w:val="202020"/>
          <w:sz w:val="22"/>
          <w:szCs w:val="22"/>
        </w:rPr>
        <w:t>. Below this breakeven point, the option holder starts to reali</w:t>
      </w:r>
      <w:r>
        <w:rPr>
          <w:rFonts w:ascii="Arial" w:hAnsi="Arial" w:cs="Arial"/>
          <w:color w:val="202020"/>
          <w:sz w:val="22"/>
          <w:szCs w:val="22"/>
        </w:rPr>
        <w:t>s</w:t>
      </w:r>
      <w:r w:rsidRPr="00714F19">
        <w:rPr>
          <w:rFonts w:ascii="Arial" w:hAnsi="Arial" w:cs="Arial"/>
          <w:color w:val="202020"/>
          <w:sz w:val="22"/>
          <w:szCs w:val="22"/>
        </w:rPr>
        <w:t>e a profit, with the potential profit increasing as the stock price drops further.</w:t>
      </w:r>
    </w:p>
    <w:p w14:paraId="185E4ED0" w14:textId="77777777" w:rsidR="00714F19" w:rsidRPr="00714F19" w:rsidRDefault="00714F19" w:rsidP="00714F19">
      <w:pPr>
        <w:spacing w:line="360" w:lineRule="auto"/>
        <w:rPr>
          <w:rFonts w:ascii="Arial" w:hAnsi="Arial" w:cs="Arial"/>
          <w:color w:val="202020"/>
          <w:sz w:val="22"/>
          <w:szCs w:val="22"/>
        </w:rPr>
      </w:pPr>
    </w:p>
    <w:p w14:paraId="0962A5AE" w14:textId="77777777" w:rsidR="00714F19" w:rsidRPr="00714F19" w:rsidRDefault="00714F19" w:rsidP="00714F19">
      <w:pPr>
        <w:spacing w:line="360" w:lineRule="auto"/>
        <w:ind w:left="360"/>
        <w:rPr>
          <w:rFonts w:ascii="Arial" w:hAnsi="Arial" w:cs="Arial"/>
          <w:color w:val="202020"/>
          <w:sz w:val="22"/>
          <w:szCs w:val="22"/>
        </w:rPr>
      </w:pPr>
    </w:p>
    <w:p w14:paraId="43E9FE79" w14:textId="3D938DE7" w:rsidR="00714F19" w:rsidRPr="00714F19" w:rsidRDefault="00714F19" w:rsidP="00714F19">
      <w:pPr>
        <w:spacing w:line="360" w:lineRule="auto"/>
        <w:rPr>
          <w:rFonts w:ascii="Arial" w:hAnsi="Arial" w:cs="Arial"/>
          <w:color w:val="202020"/>
          <w:sz w:val="22"/>
          <w:szCs w:val="22"/>
        </w:rPr>
      </w:pPr>
      <w:r w:rsidRPr="00714F19">
        <w:rPr>
          <w:rFonts w:ascii="Arial" w:hAnsi="Arial" w:cs="Arial"/>
          <w:color w:val="202020"/>
          <w:sz w:val="22"/>
          <w:szCs w:val="22"/>
        </w:rPr>
        <w:t>The ABNB put option operates similarly but with different parameters due to the lower stock price. If the stock price at expiration is above the strike price of $120, the option expires worthless, and the maximum loss is limited to the $5.45 premium paid</w:t>
      </w:r>
      <w:r w:rsidR="00F31F97">
        <w:rPr>
          <w:rFonts w:ascii="Arial" w:hAnsi="Arial" w:cs="Arial"/>
          <w:color w:val="202020"/>
          <w:sz w:val="22"/>
          <w:szCs w:val="22"/>
        </w:rPr>
        <w:t xml:space="preserve"> </w:t>
      </w:r>
      <w:r w:rsidR="00F31F97" w:rsidRPr="00AD42F0">
        <w:rPr>
          <w:rFonts w:ascii="Arial" w:hAnsi="Arial" w:cs="Arial"/>
          <w:color w:val="202020"/>
          <w:sz w:val="22"/>
          <w:szCs w:val="22"/>
        </w:rPr>
        <w:lastRenderedPageBreak/>
        <w:t>(NASDAQ.COM, 2024)</w:t>
      </w:r>
      <w:r w:rsidRPr="00714F19">
        <w:rPr>
          <w:rFonts w:ascii="Arial" w:hAnsi="Arial" w:cs="Arial"/>
          <w:color w:val="202020"/>
          <w:sz w:val="22"/>
          <w:szCs w:val="22"/>
        </w:rPr>
        <w:t>. The option becomes profitable as the stock price falls below the strike price, with the breakeven point at $114.55 ($120 - $5.45)</w:t>
      </w:r>
      <w:r w:rsidR="00F31F97">
        <w:rPr>
          <w:rFonts w:ascii="Arial" w:hAnsi="Arial" w:cs="Arial"/>
          <w:color w:val="202020"/>
          <w:sz w:val="22"/>
          <w:szCs w:val="22"/>
        </w:rPr>
        <w:t xml:space="preserve"> </w:t>
      </w:r>
      <w:r w:rsidR="00F31F97" w:rsidRPr="00AD42F0">
        <w:rPr>
          <w:rFonts w:ascii="Arial" w:hAnsi="Arial" w:cs="Arial"/>
          <w:color w:val="202020"/>
          <w:sz w:val="22"/>
          <w:szCs w:val="22"/>
        </w:rPr>
        <w:t>(NASDAQ.COM, 2024)</w:t>
      </w:r>
      <w:r w:rsidRPr="00714F19">
        <w:rPr>
          <w:rFonts w:ascii="Arial" w:hAnsi="Arial" w:cs="Arial"/>
          <w:color w:val="202020"/>
          <w:sz w:val="22"/>
          <w:szCs w:val="22"/>
        </w:rPr>
        <w:t>. Below this breakeven price, the option holder begins to profit, with potential gains increasing as the stock price declines.</w:t>
      </w:r>
    </w:p>
    <w:p w14:paraId="2B38CD2A" w14:textId="77777777" w:rsidR="00714F19" w:rsidRDefault="00714F19" w:rsidP="00714F19">
      <w:pPr>
        <w:spacing w:line="360" w:lineRule="auto"/>
        <w:rPr>
          <w:rFonts w:ascii="Arial" w:hAnsi="Arial" w:cs="Arial"/>
          <w:b/>
          <w:bCs/>
          <w:color w:val="202020"/>
          <w:sz w:val="22"/>
          <w:szCs w:val="22"/>
        </w:rPr>
      </w:pPr>
    </w:p>
    <w:p w14:paraId="21663DE2" w14:textId="612664D8" w:rsidR="00714F19" w:rsidRPr="00714F19" w:rsidRDefault="00714F19" w:rsidP="00714F19">
      <w:pPr>
        <w:spacing w:line="360" w:lineRule="auto"/>
        <w:rPr>
          <w:rFonts w:ascii="Arial" w:hAnsi="Arial" w:cs="Arial"/>
          <w:color w:val="202020"/>
          <w:sz w:val="22"/>
          <w:szCs w:val="22"/>
        </w:rPr>
      </w:pPr>
      <w:r w:rsidRPr="00714F19">
        <w:rPr>
          <w:rFonts w:ascii="Arial" w:hAnsi="Arial" w:cs="Arial"/>
          <w:color w:val="202020"/>
          <w:sz w:val="22"/>
          <w:szCs w:val="22"/>
        </w:rPr>
        <w:t>The breakeven point for BKNG is higher ($3,397) than ABNB's ($114.55), reflecting the higher strike price and premium associated with BKNG's options</w:t>
      </w:r>
      <w:r w:rsidR="00F31F97">
        <w:rPr>
          <w:rFonts w:ascii="Arial" w:hAnsi="Arial" w:cs="Arial"/>
          <w:color w:val="202020"/>
          <w:sz w:val="22"/>
          <w:szCs w:val="22"/>
        </w:rPr>
        <w:t xml:space="preserve"> </w:t>
      </w:r>
      <w:r w:rsidR="00F31F97" w:rsidRPr="00AD42F0">
        <w:rPr>
          <w:rFonts w:ascii="Arial" w:hAnsi="Arial" w:cs="Arial"/>
          <w:color w:val="202020"/>
          <w:sz w:val="22"/>
          <w:szCs w:val="22"/>
        </w:rPr>
        <w:t>(NASDAQ.COM, 2024)</w:t>
      </w:r>
      <w:r w:rsidRPr="00714F19">
        <w:rPr>
          <w:rFonts w:ascii="Arial" w:hAnsi="Arial" w:cs="Arial"/>
          <w:color w:val="202020"/>
          <w:sz w:val="22"/>
          <w:szCs w:val="22"/>
        </w:rPr>
        <w:t>.</w:t>
      </w:r>
    </w:p>
    <w:p w14:paraId="6A60C0A6" w14:textId="695DC5BD" w:rsidR="00714F19" w:rsidRDefault="00714F19" w:rsidP="00714F19">
      <w:pPr>
        <w:spacing w:line="360" w:lineRule="auto"/>
        <w:rPr>
          <w:rFonts w:ascii="Arial" w:hAnsi="Arial" w:cs="Arial"/>
          <w:color w:val="202020"/>
          <w:sz w:val="22"/>
          <w:szCs w:val="22"/>
        </w:rPr>
      </w:pPr>
      <w:r w:rsidRPr="00714F19">
        <w:rPr>
          <w:rFonts w:ascii="Arial" w:hAnsi="Arial" w:cs="Arial"/>
          <w:color w:val="202020"/>
          <w:sz w:val="22"/>
          <w:szCs w:val="22"/>
        </w:rPr>
        <w:t>The premium for BKNG's put option is $53, much higher than ABNB's $5.45, indicating a more significant initial investment requirement for BKNG</w:t>
      </w:r>
      <w:r w:rsidR="00F31F97">
        <w:rPr>
          <w:rFonts w:ascii="Arial" w:hAnsi="Arial" w:cs="Arial"/>
          <w:color w:val="202020"/>
          <w:sz w:val="22"/>
          <w:szCs w:val="22"/>
        </w:rPr>
        <w:t xml:space="preserve"> </w:t>
      </w:r>
      <w:r w:rsidR="00F31F97" w:rsidRPr="00AD42F0">
        <w:rPr>
          <w:rFonts w:ascii="Arial" w:hAnsi="Arial" w:cs="Arial"/>
          <w:color w:val="202020"/>
          <w:sz w:val="22"/>
          <w:szCs w:val="22"/>
        </w:rPr>
        <w:t>(NASDAQ.COM, 2024)</w:t>
      </w:r>
      <w:r w:rsidRPr="00714F19">
        <w:rPr>
          <w:rFonts w:ascii="Arial" w:hAnsi="Arial" w:cs="Arial"/>
          <w:color w:val="202020"/>
          <w:sz w:val="22"/>
          <w:szCs w:val="22"/>
        </w:rPr>
        <w:t>.</w:t>
      </w:r>
    </w:p>
    <w:p w14:paraId="40D99C70" w14:textId="77777777" w:rsidR="00AD7989" w:rsidRPr="00714F19" w:rsidRDefault="00AD7989" w:rsidP="00714F19">
      <w:pPr>
        <w:spacing w:line="360" w:lineRule="auto"/>
        <w:rPr>
          <w:rFonts w:ascii="Arial" w:hAnsi="Arial" w:cs="Arial"/>
          <w:color w:val="202020"/>
          <w:sz w:val="22"/>
          <w:szCs w:val="22"/>
        </w:rPr>
      </w:pPr>
    </w:p>
    <w:p w14:paraId="1CCB7DF8" w14:textId="67C7561E" w:rsidR="00714F19" w:rsidRDefault="00714F19" w:rsidP="00714F19">
      <w:pPr>
        <w:spacing w:line="360" w:lineRule="auto"/>
        <w:rPr>
          <w:rFonts w:ascii="Arial" w:hAnsi="Arial" w:cs="Arial"/>
          <w:color w:val="202020"/>
          <w:sz w:val="22"/>
          <w:szCs w:val="22"/>
        </w:rPr>
      </w:pPr>
      <w:r w:rsidRPr="00714F19">
        <w:rPr>
          <w:rFonts w:ascii="Arial" w:hAnsi="Arial" w:cs="Arial"/>
          <w:color w:val="202020"/>
          <w:sz w:val="22"/>
          <w:szCs w:val="22"/>
        </w:rPr>
        <w:t>Both options offer similar payoff structures, where profit increases as the stock price falls below the breakeven points. However, BKNG's option requires a more substantial decline in the stock price to become profitable. In contrast, ABNB's option is less costly and more accessible to profit from due to its lower breakeven point.</w:t>
      </w:r>
    </w:p>
    <w:p w14:paraId="4E73BB2C" w14:textId="77777777" w:rsidR="00BF465B" w:rsidRPr="00714F19" w:rsidRDefault="00BF465B" w:rsidP="00714F19">
      <w:pPr>
        <w:spacing w:line="360" w:lineRule="auto"/>
        <w:rPr>
          <w:rFonts w:ascii="Arial" w:hAnsi="Arial" w:cs="Arial"/>
          <w:color w:val="202020"/>
          <w:sz w:val="22"/>
          <w:szCs w:val="22"/>
        </w:rPr>
      </w:pPr>
    </w:p>
    <w:p w14:paraId="45AC4885" w14:textId="653FA173" w:rsidR="00714F19" w:rsidRDefault="00714F19" w:rsidP="00714F19">
      <w:pPr>
        <w:spacing w:line="360" w:lineRule="auto"/>
        <w:rPr>
          <w:rFonts w:ascii="Arial" w:hAnsi="Arial" w:cs="Arial"/>
          <w:color w:val="202020"/>
          <w:sz w:val="22"/>
          <w:szCs w:val="22"/>
        </w:rPr>
      </w:pPr>
      <w:r w:rsidRPr="00714F19">
        <w:rPr>
          <w:rFonts w:ascii="Arial" w:hAnsi="Arial" w:cs="Arial"/>
          <w:color w:val="202020"/>
          <w:sz w:val="22"/>
          <w:szCs w:val="22"/>
        </w:rPr>
        <w:t>The BKNG put option is more expensive and requires a more extensive stock price decline to achieve profitability than the ABNB put option. The ABNB option, being less costly and with a lower breakeven threshold, maybe more accessible to investors expecting a moderate decline in the stock price. Both options, however, offer significant profit potential in scenarios where the respective stocks experience a substantial price decrease.</w:t>
      </w:r>
    </w:p>
    <w:p w14:paraId="234DA5D1" w14:textId="77777777" w:rsidR="005B0E5F" w:rsidRDefault="005B0E5F" w:rsidP="00714F19">
      <w:pPr>
        <w:spacing w:line="360" w:lineRule="auto"/>
        <w:rPr>
          <w:rFonts w:ascii="Arial" w:hAnsi="Arial" w:cs="Arial"/>
          <w:color w:val="202020"/>
          <w:sz w:val="22"/>
          <w:szCs w:val="22"/>
        </w:rPr>
      </w:pPr>
    </w:p>
    <w:p w14:paraId="60FCFAA3" w14:textId="305D64F0" w:rsidR="005B0E5F" w:rsidRPr="005B0E5F" w:rsidRDefault="005B0E5F" w:rsidP="002422D2">
      <w:pPr>
        <w:pStyle w:val="Heading1"/>
      </w:pPr>
      <w:bookmarkStart w:id="9" w:name="_Toc175604833"/>
      <w:r>
        <w:t>Straddle Strategy</w:t>
      </w:r>
      <w:bookmarkEnd w:id="9"/>
    </w:p>
    <w:p w14:paraId="2CC3445A" w14:textId="77777777" w:rsidR="009D529F" w:rsidRPr="009D529F" w:rsidRDefault="009D529F" w:rsidP="009D529F">
      <w:pPr>
        <w:spacing w:line="360" w:lineRule="auto"/>
        <w:rPr>
          <w:rFonts w:ascii="Arial" w:hAnsi="Arial" w:cs="Arial"/>
          <w:color w:val="202020"/>
          <w:sz w:val="22"/>
          <w:szCs w:val="22"/>
        </w:rPr>
      </w:pPr>
      <w:r w:rsidRPr="009D529F">
        <w:rPr>
          <w:rFonts w:ascii="Arial" w:hAnsi="Arial" w:cs="Arial"/>
          <w:color w:val="202020"/>
          <w:sz w:val="22"/>
          <w:szCs w:val="22"/>
        </w:rPr>
        <w:t>The Straddle Strategy and How Booking Holdings Inc. (BKNG) Can Use It</w:t>
      </w:r>
    </w:p>
    <w:p w14:paraId="5A21F986" w14:textId="31503E39" w:rsidR="009D529F" w:rsidRPr="009D529F" w:rsidRDefault="009D529F" w:rsidP="009D529F">
      <w:pPr>
        <w:spacing w:line="360" w:lineRule="auto"/>
        <w:rPr>
          <w:rFonts w:ascii="Arial" w:hAnsi="Arial" w:cs="Arial"/>
          <w:color w:val="202020"/>
          <w:sz w:val="22"/>
          <w:szCs w:val="22"/>
        </w:rPr>
      </w:pPr>
      <w:r w:rsidRPr="009D529F">
        <w:rPr>
          <w:rFonts w:ascii="Arial" w:hAnsi="Arial" w:cs="Arial"/>
          <w:color w:val="202020"/>
          <w:sz w:val="22"/>
          <w:szCs w:val="22"/>
        </w:rPr>
        <w:t>A straddle is a good way to deal with uncertainty in quickly moving markets when taking derivatives. This method works well when there is a chance that a stock's price will change a lot, but no one knows which way it will go. The MDPI article about the history of derivatives says that these tactics help investors protect themselves against changes in the market that they can</w:t>
      </w:r>
      <w:r w:rsidR="00764317">
        <w:rPr>
          <w:rFonts w:ascii="Arial" w:hAnsi="Arial" w:cs="Arial"/>
          <w:color w:val="202020"/>
          <w:sz w:val="22"/>
          <w:szCs w:val="22"/>
        </w:rPr>
        <w:t>not</w:t>
      </w:r>
      <w:r w:rsidRPr="009D529F">
        <w:rPr>
          <w:rFonts w:ascii="Arial" w:hAnsi="Arial" w:cs="Arial"/>
          <w:color w:val="202020"/>
          <w:sz w:val="22"/>
          <w:szCs w:val="22"/>
        </w:rPr>
        <w:t xml:space="preserve"> predict. This improves risk management</w:t>
      </w:r>
      <w:r w:rsidR="00764317">
        <w:rPr>
          <w:rFonts w:ascii="Arial" w:hAnsi="Arial" w:cs="Arial"/>
          <w:color w:val="202020"/>
          <w:sz w:val="22"/>
          <w:szCs w:val="22"/>
        </w:rPr>
        <w:t xml:space="preserve"> </w:t>
      </w:r>
      <w:r w:rsidR="00764317" w:rsidRPr="00764317">
        <w:rPr>
          <w:rFonts w:ascii="Arial" w:hAnsi="Arial" w:cs="Arial"/>
          <w:color w:val="202020"/>
          <w:sz w:val="22"/>
          <w:szCs w:val="22"/>
        </w:rPr>
        <w:t>(Orkhan Rustamov et al., 2024)</w:t>
      </w:r>
      <w:r w:rsidRPr="009D529F">
        <w:rPr>
          <w:rFonts w:ascii="Arial" w:hAnsi="Arial" w:cs="Arial"/>
          <w:color w:val="202020"/>
          <w:sz w:val="22"/>
          <w:szCs w:val="22"/>
        </w:rPr>
        <w:t>.</w:t>
      </w:r>
      <w:r w:rsidR="00764317">
        <w:rPr>
          <w:rFonts w:ascii="Arial" w:hAnsi="Arial" w:cs="Arial"/>
          <w:color w:val="202020"/>
          <w:sz w:val="22"/>
          <w:szCs w:val="22"/>
        </w:rPr>
        <w:t xml:space="preserve"> </w:t>
      </w:r>
    </w:p>
    <w:p w14:paraId="646E78CC" w14:textId="77777777" w:rsidR="009D529F" w:rsidRPr="009D529F" w:rsidRDefault="009D529F" w:rsidP="009D529F">
      <w:pPr>
        <w:spacing w:line="360" w:lineRule="auto"/>
        <w:rPr>
          <w:rFonts w:ascii="Arial" w:hAnsi="Arial" w:cs="Arial"/>
          <w:color w:val="202020"/>
          <w:sz w:val="22"/>
          <w:szCs w:val="22"/>
        </w:rPr>
      </w:pPr>
    </w:p>
    <w:p w14:paraId="7D1D1242" w14:textId="77777777" w:rsidR="009D529F" w:rsidRPr="009D529F" w:rsidRDefault="009D529F" w:rsidP="009D529F">
      <w:pPr>
        <w:spacing w:line="360" w:lineRule="auto"/>
        <w:rPr>
          <w:rFonts w:ascii="Arial" w:hAnsi="Arial" w:cs="Arial"/>
          <w:color w:val="202020"/>
          <w:sz w:val="22"/>
          <w:szCs w:val="22"/>
        </w:rPr>
      </w:pPr>
      <w:r w:rsidRPr="009D529F">
        <w:rPr>
          <w:rFonts w:ascii="Arial" w:hAnsi="Arial" w:cs="Arial"/>
          <w:color w:val="202020"/>
          <w:sz w:val="22"/>
          <w:szCs w:val="22"/>
        </w:rPr>
        <w:t>When you trade Booking Holdings Inc. (BKNG), you must buy both a call option and a put option with the same strike price and end date. Someone who wants to put money into BKNG stock would buy both a call option and a put option with a strike price of $3,450. The fee for both options adds up to the plan's cost. Adding or removing the total premium paid from the strike price will find the breakeven points. This method will make money if the stock price exceeds or below those points.</w:t>
      </w:r>
    </w:p>
    <w:p w14:paraId="5F525A3F" w14:textId="77777777" w:rsidR="009D529F" w:rsidRPr="009D529F" w:rsidRDefault="009D529F" w:rsidP="009D529F">
      <w:pPr>
        <w:spacing w:line="360" w:lineRule="auto"/>
        <w:rPr>
          <w:rFonts w:ascii="Arial" w:hAnsi="Arial" w:cs="Arial"/>
          <w:color w:val="202020"/>
          <w:sz w:val="22"/>
          <w:szCs w:val="22"/>
        </w:rPr>
      </w:pPr>
    </w:p>
    <w:p w14:paraId="59540CA2" w14:textId="4F86EFE5" w:rsidR="006E3689" w:rsidRDefault="009D529F" w:rsidP="009D529F">
      <w:pPr>
        <w:spacing w:line="360" w:lineRule="auto"/>
        <w:rPr>
          <w:rFonts w:ascii="Arial" w:hAnsi="Arial" w:cs="Arial"/>
          <w:color w:val="202020"/>
          <w:sz w:val="22"/>
          <w:szCs w:val="22"/>
        </w:rPr>
      </w:pPr>
      <w:r w:rsidRPr="009D529F">
        <w:rPr>
          <w:rFonts w:ascii="Arial" w:hAnsi="Arial" w:cs="Arial"/>
          <w:color w:val="202020"/>
          <w:sz w:val="22"/>
          <w:szCs w:val="22"/>
        </w:rPr>
        <w:t>The MDPI study stresses how important derivatives are for giving investors options and freedom</w:t>
      </w:r>
      <w:r w:rsidR="00764317">
        <w:rPr>
          <w:rFonts w:ascii="Arial" w:hAnsi="Arial" w:cs="Arial"/>
          <w:color w:val="202020"/>
          <w:sz w:val="22"/>
          <w:szCs w:val="22"/>
        </w:rPr>
        <w:t xml:space="preserve">. </w:t>
      </w:r>
      <w:r w:rsidRPr="009D529F">
        <w:rPr>
          <w:rFonts w:ascii="Arial" w:hAnsi="Arial" w:cs="Arial"/>
          <w:color w:val="202020"/>
          <w:sz w:val="22"/>
          <w:szCs w:val="22"/>
        </w:rPr>
        <w:t>People who use straddles may make money from market instability, even if the price goes down or up, without having to guess which way the price will move. This makes the straddle a flexible strategy that can be used when the economy is unclear or before significant market events</w:t>
      </w:r>
      <w:r w:rsidR="00764317">
        <w:rPr>
          <w:rFonts w:ascii="Arial" w:hAnsi="Arial" w:cs="Arial"/>
          <w:color w:val="202020"/>
          <w:sz w:val="22"/>
          <w:szCs w:val="22"/>
        </w:rPr>
        <w:t xml:space="preserve"> </w:t>
      </w:r>
      <w:r w:rsidR="00764317" w:rsidRPr="00764317">
        <w:rPr>
          <w:rFonts w:ascii="Arial" w:hAnsi="Arial" w:cs="Arial"/>
          <w:color w:val="202020"/>
          <w:sz w:val="22"/>
          <w:szCs w:val="22"/>
        </w:rPr>
        <w:t>(Orkhan Rustamov et al., 2024)</w:t>
      </w:r>
      <w:r w:rsidRPr="009D529F">
        <w:rPr>
          <w:rFonts w:ascii="Arial" w:hAnsi="Arial" w:cs="Arial"/>
          <w:color w:val="202020"/>
          <w:sz w:val="22"/>
          <w:szCs w:val="22"/>
        </w:rPr>
        <w:t>.</w:t>
      </w:r>
    </w:p>
    <w:p w14:paraId="4F38B180" w14:textId="77777777" w:rsidR="002C0A10" w:rsidRDefault="002C0A10" w:rsidP="009D529F">
      <w:pPr>
        <w:spacing w:line="360" w:lineRule="auto"/>
        <w:rPr>
          <w:rFonts w:ascii="Arial" w:hAnsi="Arial" w:cs="Arial"/>
          <w:color w:val="202020"/>
          <w:sz w:val="22"/>
          <w:szCs w:val="22"/>
        </w:rPr>
      </w:pPr>
    </w:p>
    <w:p w14:paraId="62F7B6F2" w14:textId="32CA040A" w:rsidR="002422D2" w:rsidRDefault="00563458" w:rsidP="005C3579">
      <w:pPr>
        <w:pStyle w:val="Heading1"/>
      </w:pPr>
      <w:bookmarkStart w:id="10" w:name="_Toc175604834"/>
      <w:r>
        <w:t xml:space="preserve">Performance of the 10Y </w:t>
      </w:r>
      <w:r w:rsidR="005C3579">
        <w:t>note</w:t>
      </w:r>
      <w:bookmarkEnd w:id="10"/>
      <w:r w:rsidR="005C3579">
        <w:t xml:space="preserve"> </w:t>
      </w:r>
    </w:p>
    <w:p w14:paraId="79039230" w14:textId="4448D0A5" w:rsidR="00787B85" w:rsidRPr="006E3689" w:rsidRDefault="00EF407F" w:rsidP="009D529F">
      <w:pPr>
        <w:spacing w:line="360" w:lineRule="auto"/>
        <w:rPr>
          <w:rFonts w:ascii="Arial" w:hAnsi="Arial" w:cs="Arial"/>
          <w:color w:val="202020"/>
          <w:sz w:val="22"/>
          <w:szCs w:val="22"/>
        </w:rPr>
      </w:pPr>
      <w:r>
        <w:rPr>
          <w:rFonts w:ascii="Arial" w:hAnsi="Arial" w:cs="Arial"/>
          <w:noProof/>
          <w:color w:val="202020"/>
          <w:sz w:val="22"/>
          <w:szCs w:val="22"/>
        </w:rPr>
        <w:drawing>
          <wp:inline distT="0" distB="0" distL="0" distR="0" wp14:anchorId="7B2A59D3" wp14:editId="48972C74">
            <wp:extent cx="5731510" cy="2009140"/>
            <wp:effectExtent l="0" t="0" r="0" b="0"/>
            <wp:docPr id="1769476256" name="Picture 6"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76256" name="Picture 6" descr="A graph of a graph&#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009140"/>
                    </a:xfrm>
                    <a:prstGeom prst="rect">
                      <a:avLst/>
                    </a:prstGeom>
                  </pic:spPr>
                </pic:pic>
              </a:graphicData>
            </a:graphic>
          </wp:inline>
        </w:drawing>
      </w:r>
    </w:p>
    <w:p w14:paraId="4F0B4756" w14:textId="2099D543" w:rsidR="00C56AF8" w:rsidRDefault="00EF407F" w:rsidP="00431E3F">
      <w:pPr>
        <w:spacing w:line="360" w:lineRule="auto"/>
        <w:rPr>
          <w:rFonts w:ascii="Arial" w:hAnsi="Arial" w:cs="Arial"/>
          <w:color w:val="202020"/>
          <w:sz w:val="22"/>
          <w:szCs w:val="22"/>
        </w:rPr>
      </w:pPr>
      <w:r>
        <w:rPr>
          <w:rFonts w:ascii="Arial" w:hAnsi="Arial" w:cs="Arial"/>
          <w:color w:val="202020"/>
          <w:sz w:val="22"/>
          <w:szCs w:val="22"/>
        </w:rPr>
        <w:t xml:space="preserve">Source: </w:t>
      </w:r>
      <w:r w:rsidRPr="00EF407F">
        <w:rPr>
          <w:rFonts w:ascii="Arial" w:hAnsi="Arial" w:cs="Arial"/>
          <w:color w:val="202020"/>
          <w:sz w:val="22"/>
          <w:szCs w:val="22"/>
        </w:rPr>
        <w:t>(FRED, 2024).</w:t>
      </w:r>
    </w:p>
    <w:p w14:paraId="186A6ED6" w14:textId="77777777" w:rsidR="00787B85" w:rsidRDefault="00787B85" w:rsidP="00431E3F">
      <w:pPr>
        <w:spacing w:line="360" w:lineRule="auto"/>
        <w:rPr>
          <w:rFonts w:ascii="Arial" w:hAnsi="Arial" w:cs="Arial"/>
          <w:color w:val="202020"/>
          <w:sz w:val="22"/>
          <w:szCs w:val="22"/>
        </w:rPr>
      </w:pPr>
    </w:p>
    <w:p w14:paraId="00F0E464" w14:textId="77777777" w:rsidR="00EF407F" w:rsidRPr="00EF407F" w:rsidRDefault="00EF407F" w:rsidP="00EF407F">
      <w:pPr>
        <w:spacing w:line="360" w:lineRule="auto"/>
        <w:rPr>
          <w:rFonts w:ascii="Arial" w:hAnsi="Arial" w:cs="Arial"/>
          <w:color w:val="202020"/>
          <w:sz w:val="22"/>
          <w:szCs w:val="22"/>
        </w:rPr>
      </w:pPr>
      <w:r w:rsidRPr="00EF407F">
        <w:rPr>
          <w:rFonts w:ascii="Arial" w:hAnsi="Arial" w:cs="Arial"/>
          <w:color w:val="202020"/>
          <w:sz w:val="22"/>
          <w:szCs w:val="22"/>
        </w:rPr>
        <w:t>As shown in the graph, the 10-Year Treasury Note's performance throughout 2023 changes a lot in reaction to changes in the economy and policy decisions. The yield started at about 3.55% at the beginning of January 2023. Since the beginning of the year, the yield went down; by late January, it was at a low of about 3.30%. The market was worried about an economic slowdown and thought the Federal Reserve might loosen its policies on tightening money (FRED, 2024), which led to this drop.</w:t>
      </w:r>
    </w:p>
    <w:p w14:paraId="347692CA" w14:textId="77777777" w:rsidR="00EF407F" w:rsidRPr="00EF407F" w:rsidRDefault="00EF407F" w:rsidP="00EF407F">
      <w:pPr>
        <w:spacing w:line="360" w:lineRule="auto"/>
        <w:rPr>
          <w:rFonts w:ascii="Arial" w:hAnsi="Arial" w:cs="Arial"/>
          <w:color w:val="202020"/>
          <w:sz w:val="22"/>
          <w:szCs w:val="22"/>
        </w:rPr>
      </w:pPr>
    </w:p>
    <w:p w14:paraId="43EA2DA5" w14:textId="77777777" w:rsidR="00EF407F" w:rsidRPr="00EF407F" w:rsidRDefault="00EF407F" w:rsidP="00EF407F">
      <w:pPr>
        <w:spacing w:line="360" w:lineRule="auto"/>
        <w:rPr>
          <w:rFonts w:ascii="Arial" w:hAnsi="Arial" w:cs="Arial"/>
          <w:color w:val="202020"/>
          <w:sz w:val="22"/>
          <w:szCs w:val="22"/>
        </w:rPr>
      </w:pPr>
      <w:r w:rsidRPr="00EF407F">
        <w:rPr>
          <w:rFonts w:ascii="Arial" w:hAnsi="Arial" w:cs="Arial"/>
          <w:color w:val="202020"/>
          <w:sz w:val="22"/>
          <w:szCs w:val="22"/>
        </w:rPr>
        <w:t>On the other hand, the yield started to rise as the year went on. This was because the Federal Reserve kept raising interest rates to fight inflation. Between June and July of the middle of the year, the yield slowly went up until it reached around 4.00%. This was because investors expected more rate hikes and higher borrowing costs. According to Powell (2024), this rise is because the market has adjusted to the Fed's plan to keep interest rates high for a long time to control inflation.</w:t>
      </w:r>
    </w:p>
    <w:p w14:paraId="09E5E541" w14:textId="77777777" w:rsidR="00EF407F" w:rsidRPr="00EF407F" w:rsidRDefault="00EF407F" w:rsidP="00EF407F">
      <w:pPr>
        <w:spacing w:line="360" w:lineRule="auto"/>
        <w:rPr>
          <w:rFonts w:ascii="Arial" w:hAnsi="Arial" w:cs="Arial"/>
          <w:color w:val="202020"/>
          <w:sz w:val="22"/>
          <w:szCs w:val="22"/>
        </w:rPr>
      </w:pPr>
    </w:p>
    <w:p w14:paraId="5398A35D" w14:textId="77777777" w:rsidR="00EF407F" w:rsidRPr="00EF407F" w:rsidRDefault="00EF407F" w:rsidP="00EF407F">
      <w:pPr>
        <w:spacing w:line="360" w:lineRule="auto"/>
        <w:rPr>
          <w:rFonts w:ascii="Arial" w:hAnsi="Arial" w:cs="Arial"/>
          <w:color w:val="202020"/>
          <w:sz w:val="22"/>
          <w:szCs w:val="22"/>
        </w:rPr>
      </w:pPr>
      <w:r w:rsidRPr="00EF407F">
        <w:rPr>
          <w:rFonts w:ascii="Arial" w:hAnsi="Arial" w:cs="Arial"/>
          <w:color w:val="202020"/>
          <w:sz w:val="22"/>
          <w:szCs w:val="22"/>
        </w:rPr>
        <w:t xml:space="preserve">There was a lot of inflation and a strong job market in October 2023, which caused the yield to reach its highest point of about 4.80%. This kept the Federal Reserve on a road of </w:t>
      </w:r>
      <w:r w:rsidRPr="00EF407F">
        <w:rPr>
          <w:rFonts w:ascii="Arial" w:hAnsi="Arial" w:cs="Arial"/>
          <w:color w:val="202020"/>
          <w:sz w:val="22"/>
          <w:szCs w:val="22"/>
        </w:rPr>
        <w:lastRenderedPageBreak/>
        <w:t>aggressively tightening the money supply. After this high point, the return decreased slightly, ending the year at about 3.85% in December. Investors may have started to think that the Federal Reserve might be nearing the end of its rate-hike cycle if inflation started to ease (FRED, 2024) because of the slowdown at the end of the year.</w:t>
      </w:r>
    </w:p>
    <w:p w14:paraId="21BFFBD5" w14:textId="77777777" w:rsidR="00EF407F" w:rsidRPr="00EF407F" w:rsidRDefault="00EF407F" w:rsidP="00EF407F">
      <w:pPr>
        <w:spacing w:line="360" w:lineRule="auto"/>
        <w:rPr>
          <w:rFonts w:ascii="Arial" w:hAnsi="Arial" w:cs="Arial"/>
          <w:color w:val="202020"/>
          <w:sz w:val="22"/>
          <w:szCs w:val="22"/>
        </w:rPr>
      </w:pPr>
    </w:p>
    <w:p w14:paraId="204A8FFC" w14:textId="5D2CD412" w:rsidR="00C56AF8" w:rsidRDefault="00EF407F" w:rsidP="00EF407F">
      <w:pPr>
        <w:spacing w:line="360" w:lineRule="auto"/>
        <w:rPr>
          <w:rFonts w:ascii="Arial" w:hAnsi="Arial" w:cs="Arial"/>
          <w:color w:val="202020"/>
          <w:sz w:val="22"/>
          <w:szCs w:val="22"/>
        </w:rPr>
      </w:pPr>
      <w:r w:rsidRPr="00EF407F">
        <w:rPr>
          <w:rFonts w:ascii="Arial" w:hAnsi="Arial" w:cs="Arial"/>
          <w:color w:val="202020"/>
          <w:sz w:val="22"/>
          <w:szCs w:val="22"/>
        </w:rPr>
        <w:t>Overall, the yield on the 10-Year Treasury Note in 2023 showed how inflationary pressures, Federal Reserve policy, and larger economic expectations were all interacting in a complicated way. The movement of the yield is a critical indicator of investor sentiment and has substantial implications for borrowing costs throughout the economy, including mortgages, corporate debt, and other long-term loans (FRED, 2024).</w:t>
      </w:r>
    </w:p>
    <w:p w14:paraId="2513C840" w14:textId="77777777" w:rsidR="009A78C6" w:rsidRPr="009A78C6" w:rsidRDefault="009A78C6" w:rsidP="009A78C6">
      <w:pPr>
        <w:spacing w:line="360" w:lineRule="auto"/>
        <w:rPr>
          <w:rFonts w:ascii="Arial" w:hAnsi="Arial" w:cs="Arial"/>
          <w:color w:val="202020"/>
          <w:sz w:val="22"/>
          <w:szCs w:val="22"/>
        </w:rPr>
      </w:pPr>
      <w:r w:rsidRPr="009A78C6">
        <w:rPr>
          <w:rFonts w:ascii="Arial" w:hAnsi="Arial" w:cs="Arial"/>
          <w:color w:val="202020"/>
          <w:sz w:val="22"/>
          <w:szCs w:val="22"/>
        </w:rPr>
        <w:t xml:space="preserve">The yield on the 10-year Treasury Note is a critical measure that significantly impacts interest rates on consumer debt, especially mortgage, car loan, and credit card debt. If this return changes, it can dramatically affect how much the business </w:t>
      </w:r>
      <w:proofErr w:type="gramStart"/>
      <w:r w:rsidRPr="009A78C6">
        <w:rPr>
          <w:rFonts w:ascii="Arial" w:hAnsi="Arial" w:cs="Arial"/>
          <w:color w:val="202020"/>
          <w:sz w:val="22"/>
          <w:szCs w:val="22"/>
        </w:rPr>
        <w:t>has to</w:t>
      </w:r>
      <w:proofErr w:type="gramEnd"/>
      <w:r w:rsidRPr="009A78C6">
        <w:rPr>
          <w:rFonts w:ascii="Arial" w:hAnsi="Arial" w:cs="Arial"/>
          <w:color w:val="202020"/>
          <w:sz w:val="22"/>
          <w:szCs w:val="22"/>
        </w:rPr>
        <w:t xml:space="preserve"> pay to borrow money.</w:t>
      </w:r>
    </w:p>
    <w:p w14:paraId="02F614E6" w14:textId="77777777" w:rsidR="009A78C6" w:rsidRPr="009A78C6" w:rsidRDefault="009A78C6" w:rsidP="009A78C6">
      <w:pPr>
        <w:spacing w:line="360" w:lineRule="auto"/>
        <w:rPr>
          <w:rFonts w:ascii="Arial" w:hAnsi="Arial" w:cs="Arial"/>
          <w:color w:val="202020"/>
          <w:sz w:val="22"/>
          <w:szCs w:val="22"/>
        </w:rPr>
      </w:pPr>
    </w:p>
    <w:p w14:paraId="358C6045" w14:textId="77777777" w:rsidR="009A78C6" w:rsidRPr="009A78C6" w:rsidRDefault="009A78C6" w:rsidP="009A78C6">
      <w:pPr>
        <w:spacing w:line="360" w:lineRule="auto"/>
        <w:rPr>
          <w:rFonts w:ascii="Arial" w:hAnsi="Arial" w:cs="Arial"/>
          <w:color w:val="202020"/>
          <w:sz w:val="22"/>
          <w:szCs w:val="22"/>
        </w:rPr>
      </w:pPr>
      <w:r w:rsidRPr="009A78C6">
        <w:rPr>
          <w:rFonts w:ascii="Arial" w:hAnsi="Arial" w:cs="Arial"/>
          <w:color w:val="202020"/>
          <w:sz w:val="22"/>
          <w:szCs w:val="22"/>
        </w:rPr>
        <w:t>How much do mortgages cost?</w:t>
      </w:r>
    </w:p>
    <w:p w14:paraId="6556110E" w14:textId="77777777" w:rsidR="009A78C6" w:rsidRPr="009A78C6" w:rsidRDefault="009A78C6" w:rsidP="009A78C6">
      <w:pPr>
        <w:spacing w:line="360" w:lineRule="auto"/>
        <w:rPr>
          <w:rFonts w:ascii="Arial" w:hAnsi="Arial" w:cs="Arial"/>
          <w:color w:val="202020"/>
          <w:sz w:val="22"/>
          <w:szCs w:val="22"/>
        </w:rPr>
      </w:pPr>
      <w:r w:rsidRPr="009A78C6">
        <w:rPr>
          <w:rFonts w:ascii="Arial" w:hAnsi="Arial" w:cs="Arial"/>
          <w:color w:val="202020"/>
          <w:sz w:val="22"/>
          <w:szCs w:val="22"/>
        </w:rPr>
        <w:t>One straightforward way the return on 10-year Treasury Notes changes things is by affecting mortgage rates. This return is what fixed-rate mortgages are based on. In other words, mortgage rates rise along with the return. People will have to pay more to borrow money, meaning their monthly mortgage payments and living costs will go up. Forbes, for instance, said that the rise in Treasury yields in 2023 caused mortgage rates to rise, which made it harder for people to buy homes (FRED, 2024).</w:t>
      </w:r>
    </w:p>
    <w:p w14:paraId="31D93CB3" w14:textId="77777777" w:rsidR="009A78C6" w:rsidRPr="009A78C6" w:rsidRDefault="009A78C6" w:rsidP="009A78C6">
      <w:pPr>
        <w:spacing w:line="360" w:lineRule="auto"/>
        <w:rPr>
          <w:rFonts w:ascii="Arial" w:hAnsi="Arial" w:cs="Arial"/>
          <w:color w:val="202020"/>
          <w:sz w:val="22"/>
          <w:szCs w:val="22"/>
        </w:rPr>
      </w:pPr>
    </w:p>
    <w:p w14:paraId="75FA671B" w14:textId="77777777" w:rsidR="009A78C6" w:rsidRPr="009A78C6" w:rsidRDefault="009A78C6" w:rsidP="009A78C6">
      <w:pPr>
        <w:spacing w:line="360" w:lineRule="auto"/>
        <w:rPr>
          <w:rFonts w:ascii="Arial" w:hAnsi="Arial" w:cs="Arial"/>
          <w:color w:val="202020"/>
          <w:sz w:val="22"/>
          <w:szCs w:val="22"/>
        </w:rPr>
      </w:pPr>
      <w:r w:rsidRPr="009A78C6">
        <w:rPr>
          <w:rFonts w:ascii="Arial" w:hAnsi="Arial" w:cs="Arial"/>
          <w:color w:val="202020"/>
          <w:sz w:val="22"/>
          <w:szCs w:val="22"/>
        </w:rPr>
        <w:t>On the other hand, mortgage rates usually go down when the yield on the 10-year Treasury note goes down. Because of this, people may be able to get loans to buy homes more cheaply. This rise in affordability usually increases demand in the housing market, which can bring in more sellers and possibly speed up the economy.</w:t>
      </w:r>
    </w:p>
    <w:p w14:paraId="22526CF9" w14:textId="77777777" w:rsidR="009A78C6" w:rsidRPr="009A78C6" w:rsidRDefault="009A78C6" w:rsidP="009A78C6">
      <w:pPr>
        <w:spacing w:line="360" w:lineRule="auto"/>
        <w:rPr>
          <w:rFonts w:ascii="Arial" w:hAnsi="Arial" w:cs="Arial"/>
          <w:color w:val="202020"/>
          <w:sz w:val="22"/>
          <w:szCs w:val="22"/>
        </w:rPr>
      </w:pPr>
    </w:p>
    <w:p w14:paraId="4F2B512A" w14:textId="77777777" w:rsidR="009A78C6" w:rsidRPr="009A78C6" w:rsidRDefault="009A78C6" w:rsidP="009A78C6">
      <w:pPr>
        <w:spacing w:line="360" w:lineRule="auto"/>
        <w:rPr>
          <w:rFonts w:ascii="Arial" w:hAnsi="Arial" w:cs="Arial"/>
          <w:color w:val="202020"/>
          <w:sz w:val="22"/>
          <w:szCs w:val="22"/>
        </w:rPr>
      </w:pPr>
      <w:r w:rsidRPr="009A78C6">
        <w:rPr>
          <w:rFonts w:ascii="Arial" w:hAnsi="Arial" w:cs="Arial"/>
          <w:color w:val="202020"/>
          <w:sz w:val="22"/>
          <w:szCs w:val="22"/>
        </w:rPr>
        <w:t>Credit cards and car loans</w:t>
      </w:r>
    </w:p>
    <w:p w14:paraId="4BD5A7C0" w14:textId="77777777" w:rsidR="009A78C6" w:rsidRPr="009A78C6" w:rsidRDefault="009A78C6" w:rsidP="009A78C6">
      <w:pPr>
        <w:spacing w:line="360" w:lineRule="auto"/>
        <w:rPr>
          <w:rFonts w:ascii="Arial" w:hAnsi="Arial" w:cs="Arial"/>
          <w:color w:val="202020"/>
          <w:sz w:val="22"/>
          <w:szCs w:val="22"/>
        </w:rPr>
      </w:pPr>
      <w:r w:rsidRPr="009A78C6">
        <w:rPr>
          <w:rFonts w:ascii="Arial" w:hAnsi="Arial" w:cs="Arial"/>
          <w:color w:val="202020"/>
          <w:sz w:val="22"/>
          <w:szCs w:val="22"/>
        </w:rPr>
        <w:t>The 10-year Treasury yield still significantly affects interest rates in general, even though short-term rates have a more significant effect on interest rates for things like credit cards and auto loans. Lenders often raise interest rates on credit cards and auto loans when Treasury yields increase to keep making money. According to CNBC, the rise in yields in 2023 made it more expensive to fund cars and carry credit card balances, which put even more pressure on family budgets.</w:t>
      </w:r>
    </w:p>
    <w:p w14:paraId="5E915561" w14:textId="77777777" w:rsidR="009A78C6" w:rsidRPr="009A78C6" w:rsidRDefault="009A78C6" w:rsidP="009A78C6">
      <w:pPr>
        <w:spacing w:line="360" w:lineRule="auto"/>
        <w:rPr>
          <w:rFonts w:ascii="Arial" w:hAnsi="Arial" w:cs="Arial"/>
          <w:color w:val="202020"/>
          <w:sz w:val="22"/>
          <w:szCs w:val="22"/>
        </w:rPr>
      </w:pPr>
    </w:p>
    <w:p w14:paraId="088541E8" w14:textId="77777777" w:rsidR="009A78C6" w:rsidRPr="009A78C6" w:rsidRDefault="009A78C6" w:rsidP="009A78C6">
      <w:pPr>
        <w:spacing w:line="360" w:lineRule="auto"/>
        <w:rPr>
          <w:rFonts w:ascii="Arial" w:hAnsi="Arial" w:cs="Arial"/>
          <w:color w:val="202020"/>
          <w:sz w:val="22"/>
          <w:szCs w:val="22"/>
        </w:rPr>
      </w:pPr>
      <w:r w:rsidRPr="009A78C6">
        <w:rPr>
          <w:rFonts w:ascii="Arial" w:hAnsi="Arial" w:cs="Arial"/>
          <w:color w:val="202020"/>
          <w:sz w:val="22"/>
          <w:szCs w:val="22"/>
        </w:rPr>
        <w:t>People spending money and paying off debt.</w:t>
      </w:r>
    </w:p>
    <w:p w14:paraId="7B3E28AF" w14:textId="2B9C3554" w:rsidR="009A78C6" w:rsidRPr="009A78C6" w:rsidRDefault="009A78C6" w:rsidP="009A78C6">
      <w:pPr>
        <w:spacing w:line="360" w:lineRule="auto"/>
        <w:rPr>
          <w:rFonts w:ascii="Arial" w:hAnsi="Arial" w:cs="Arial"/>
          <w:color w:val="202020"/>
          <w:sz w:val="22"/>
          <w:szCs w:val="22"/>
        </w:rPr>
      </w:pPr>
      <w:r w:rsidRPr="009A78C6">
        <w:rPr>
          <w:rFonts w:ascii="Arial" w:hAnsi="Arial" w:cs="Arial"/>
          <w:color w:val="202020"/>
          <w:sz w:val="22"/>
          <w:szCs w:val="22"/>
        </w:rPr>
        <w:lastRenderedPageBreak/>
        <w:t xml:space="preserve">It costs more to pay off present debt when the yield on the 10-year Treasury Note is higher. This is especially true for people whose loans have variable rates, like credit cards and mortgages. When interest rates increase, people may have to pay more monthly for their debts. This can cut into their extra cash flow and make more people stop paying their debts. People may be less likely to spend money, essential for economic growth. Based on information from the Federal Reserve Bank of St. Louis, the costs of taking out different types of consumer loans went up as rates increased in 2023. (FRED,2024) This could make people spend less and hurt the </w:t>
      </w:r>
      <w:r w:rsidRPr="009A78C6">
        <w:rPr>
          <w:rFonts w:ascii="Arial" w:hAnsi="Arial" w:cs="Arial"/>
          <w:color w:val="202020"/>
          <w:sz w:val="22"/>
          <w:szCs w:val="22"/>
        </w:rPr>
        <w:t>business</w:t>
      </w:r>
      <w:r w:rsidRPr="009A78C6">
        <w:rPr>
          <w:rFonts w:ascii="Arial" w:hAnsi="Arial" w:cs="Arial"/>
          <w:color w:val="202020"/>
          <w:sz w:val="22"/>
          <w:szCs w:val="22"/>
        </w:rPr>
        <w:t>.</w:t>
      </w:r>
    </w:p>
    <w:p w14:paraId="1AABC5C0" w14:textId="77777777" w:rsidR="009A78C6" w:rsidRPr="009A78C6" w:rsidRDefault="009A78C6" w:rsidP="009A78C6">
      <w:pPr>
        <w:spacing w:line="360" w:lineRule="auto"/>
        <w:rPr>
          <w:rFonts w:ascii="Arial" w:hAnsi="Arial" w:cs="Arial"/>
          <w:color w:val="202020"/>
          <w:sz w:val="22"/>
          <w:szCs w:val="22"/>
        </w:rPr>
      </w:pPr>
    </w:p>
    <w:p w14:paraId="3D05E4D7" w14:textId="4ACE1A1C" w:rsidR="009A78C6" w:rsidRDefault="009A78C6" w:rsidP="009A78C6">
      <w:pPr>
        <w:spacing w:line="360" w:lineRule="auto"/>
        <w:rPr>
          <w:rFonts w:ascii="Arial" w:hAnsi="Arial" w:cs="Arial"/>
          <w:color w:val="202020"/>
          <w:sz w:val="22"/>
          <w:szCs w:val="22"/>
        </w:rPr>
      </w:pPr>
      <w:r w:rsidRPr="009A78C6">
        <w:rPr>
          <w:rFonts w:ascii="Arial" w:hAnsi="Arial" w:cs="Arial"/>
          <w:color w:val="202020"/>
          <w:sz w:val="22"/>
          <w:szCs w:val="22"/>
        </w:rPr>
        <w:t>In short, changes in the rate of the 10-year Treasury Note significantly affect people's debt. Higher returns usually mean higher costs to borrow money, which makes people spend less and slows down economic growth. On the other hand, lower returns mean lower borrowing costs, which can make the economy grow faster.</w:t>
      </w:r>
    </w:p>
    <w:p w14:paraId="4A15F08A" w14:textId="77777777" w:rsidR="00EF407F" w:rsidRDefault="00EF407F" w:rsidP="00EF407F">
      <w:pPr>
        <w:spacing w:line="360" w:lineRule="auto"/>
        <w:rPr>
          <w:rFonts w:ascii="Arial" w:hAnsi="Arial" w:cs="Arial"/>
          <w:color w:val="202020"/>
          <w:sz w:val="22"/>
          <w:szCs w:val="22"/>
        </w:rPr>
      </w:pPr>
    </w:p>
    <w:p w14:paraId="5813268B" w14:textId="7193C1C0" w:rsidR="00CF0B56" w:rsidRDefault="00CF0B56" w:rsidP="005C3579">
      <w:pPr>
        <w:pStyle w:val="Heading1"/>
      </w:pPr>
      <w:bookmarkStart w:id="11" w:name="_Toc175604835"/>
      <w:r>
        <w:t>Conclusion</w:t>
      </w:r>
      <w:bookmarkEnd w:id="11"/>
      <w:r>
        <w:t xml:space="preserve"> </w:t>
      </w:r>
    </w:p>
    <w:p w14:paraId="08848CCE" w14:textId="77777777" w:rsidR="005C3579" w:rsidRPr="005C3579" w:rsidRDefault="005C3579" w:rsidP="005C3579"/>
    <w:p w14:paraId="18E30CA1" w14:textId="77777777" w:rsidR="00CF0B56" w:rsidRPr="00CF0B56" w:rsidRDefault="00CF0B56" w:rsidP="00CF0B56">
      <w:pPr>
        <w:spacing w:line="360" w:lineRule="auto"/>
        <w:rPr>
          <w:rFonts w:ascii="Arial" w:hAnsi="Arial" w:cs="Arial"/>
          <w:color w:val="202020"/>
          <w:sz w:val="22"/>
          <w:szCs w:val="22"/>
        </w:rPr>
      </w:pPr>
      <w:r w:rsidRPr="00CF0B56">
        <w:rPr>
          <w:rFonts w:ascii="Arial" w:hAnsi="Arial" w:cs="Arial"/>
          <w:color w:val="202020"/>
          <w:sz w:val="22"/>
          <w:szCs w:val="22"/>
        </w:rPr>
        <w:t>After thoroughly analysing Airbnb's innovative business model, rapid growth, and strategic challenges, this study presents a comprehensive view of its position in the global travel industry. The first Airbnb, a humble air mattress rental service that debuted in 2008, has evolved into the world's largest short-term rental platform, boasting over 7 million listings across 220 countries. The company's valuation soared to over $100 billion upon its 2020 IPO, a testament to its ability to navigate challenges like the COVID-19 pandemic and seize market opportunities (</w:t>
      </w:r>
      <w:proofErr w:type="spellStart"/>
      <w:r w:rsidRPr="00CF0B56">
        <w:rPr>
          <w:rFonts w:ascii="Arial" w:hAnsi="Arial" w:cs="Arial"/>
          <w:color w:val="202020"/>
          <w:sz w:val="22"/>
          <w:szCs w:val="22"/>
        </w:rPr>
        <w:t>Sarath</w:t>
      </w:r>
      <w:proofErr w:type="spellEnd"/>
      <w:r w:rsidRPr="00CF0B56">
        <w:rPr>
          <w:rFonts w:ascii="Arial" w:hAnsi="Arial" w:cs="Arial"/>
          <w:color w:val="202020"/>
          <w:sz w:val="22"/>
          <w:szCs w:val="22"/>
        </w:rPr>
        <w:t>, 2021).</w:t>
      </w:r>
    </w:p>
    <w:p w14:paraId="596831FC" w14:textId="77777777" w:rsidR="00CF0B56" w:rsidRPr="00CF0B56" w:rsidRDefault="00CF0B56" w:rsidP="00CF0B56">
      <w:pPr>
        <w:spacing w:line="360" w:lineRule="auto"/>
        <w:rPr>
          <w:rFonts w:ascii="Arial" w:hAnsi="Arial" w:cs="Arial"/>
          <w:color w:val="202020"/>
          <w:sz w:val="22"/>
          <w:szCs w:val="22"/>
        </w:rPr>
      </w:pPr>
    </w:p>
    <w:p w14:paraId="0D5284EA" w14:textId="77777777" w:rsidR="00CF0B56" w:rsidRPr="00CF0B56" w:rsidRDefault="00CF0B56" w:rsidP="00CF0B56">
      <w:pPr>
        <w:spacing w:line="360" w:lineRule="auto"/>
        <w:rPr>
          <w:rFonts w:ascii="Arial" w:hAnsi="Arial" w:cs="Arial"/>
          <w:color w:val="202020"/>
          <w:sz w:val="22"/>
          <w:szCs w:val="22"/>
        </w:rPr>
      </w:pPr>
      <w:r w:rsidRPr="00CF0B56">
        <w:rPr>
          <w:rFonts w:ascii="Arial" w:hAnsi="Arial" w:cs="Arial"/>
          <w:color w:val="202020"/>
          <w:sz w:val="22"/>
          <w:szCs w:val="22"/>
        </w:rPr>
        <w:t>When you look at Airbnb next to Booking.com, its unique business plan stands out even more. Booking.com has grown significantly, with a Compound Annual Growth Rate (CAGR) of 68.27% in 2023 compared to Airbnb's 60.52% (Yahoo Finance, n.d.). However, the two companies do things in different ways. Booking.com mainly collects entries for hotels and other places to stay, but Airbnb's platform is based on individual hosts' unique and personal stays. Airbnb has carved out a spot in the travel market by focusing on unique and customised stays instead of standard hotel rooms (SEC, 2020).</w:t>
      </w:r>
    </w:p>
    <w:p w14:paraId="31C1BBDB" w14:textId="77777777" w:rsidR="00CF0B56" w:rsidRPr="00CF0B56" w:rsidRDefault="00CF0B56" w:rsidP="00CF0B56">
      <w:pPr>
        <w:spacing w:line="360" w:lineRule="auto"/>
        <w:rPr>
          <w:rFonts w:ascii="Arial" w:hAnsi="Arial" w:cs="Arial"/>
          <w:color w:val="202020"/>
          <w:sz w:val="22"/>
          <w:szCs w:val="22"/>
        </w:rPr>
      </w:pPr>
    </w:p>
    <w:p w14:paraId="705098E5" w14:textId="60BF0E04" w:rsidR="00CF0B56" w:rsidRPr="00CF0B56" w:rsidRDefault="00CF0B56" w:rsidP="00CF0B56">
      <w:pPr>
        <w:spacing w:line="360" w:lineRule="auto"/>
        <w:rPr>
          <w:rFonts w:ascii="Arial" w:hAnsi="Arial" w:cs="Arial"/>
          <w:color w:val="202020"/>
          <w:sz w:val="22"/>
          <w:szCs w:val="22"/>
        </w:rPr>
      </w:pPr>
      <w:r w:rsidRPr="00CF0B56">
        <w:rPr>
          <w:rFonts w:ascii="Arial" w:hAnsi="Arial" w:cs="Arial"/>
          <w:color w:val="202020"/>
          <w:sz w:val="22"/>
          <w:szCs w:val="22"/>
        </w:rPr>
        <w:t xml:space="preserve">However, Airbnb has a harder time with rules than Booking.com, especially in places where short-term rentals are strictly forbidden. Also, the COVID-19 pandemic still affects Airbnb's business plan, which depends heavily on travel and tourism. This shows how important it is </w:t>
      </w:r>
      <w:r w:rsidRPr="00CF0B56">
        <w:rPr>
          <w:rFonts w:ascii="Arial" w:hAnsi="Arial" w:cs="Arial"/>
          <w:color w:val="202020"/>
          <w:sz w:val="22"/>
          <w:szCs w:val="22"/>
        </w:rPr>
        <w:lastRenderedPageBreak/>
        <w:t xml:space="preserve">to be flexible with your strategy. On the other hand, </w:t>
      </w:r>
      <w:proofErr w:type="spellStart"/>
      <w:r w:rsidRPr="00CF0B56">
        <w:rPr>
          <w:rFonts w:ascii="Arial" w:hAnsi="Arial" w:cs="Arial"/>
          <w:color w:val="202020"/>
          <w:sz w:val="22"/>
          <w:szCs w:val="22"/>
        </w:rPr>
        <w:t>Booking.com's</w:t>
      </w:r>
      <w:proofErr w:type="spellEnd"/>
      <w:r w:rsidR="001E6718">
        <w:rPr>
          <w:rFonts w:ascii="Arial" w:hAnsi="Arial" w:cs="Arial"/>
          <w:color w:val="202020"/>
          <w:sz w:val="22"/>
          <w:szCs w:val="22"/>
        </w:rPr>
        <w:t xml:space="preserve"> </w:t>
      </w:r>
      <w:r w:rsidRPr="00CF0B56">
        <w:rPr>
          <w:rFonts w:ascii="Arial" w:hAnsi="Arial" w:cs="Arial"/>
          <w:color w:val="202020"/>
          <w:sz w:val="22"/>
          <w:szCs w:val="22"/>
        </w:rPr>
        <w:t>more traditional business plan may be more stable in these areas (SEC, 2020).</w:t>
      </w:r>
    </w:p>
    <w:p w14:paraId="5F068F50" w14:textId="77777777" w:rsidR="00CF0B56" w:rsidRPr="00CF0B56" w:rsidRDefault="00CF0B56" w:rsidP="00CF0B56">
      <w:pPr>
        <w:spacing w:line="360" w:lineRule="auto"/>
        <w:rPr>
          <w:rFonts w:ascii="Arial" w:hAnsi="Arial" w:cs="Arial"/>
          <w:color w:val="202020"/>
          <w:sz w:val="22"/>
          <w:szCs w:val="22"/>
        </w:rPr>
      </w:pPr>
    </w:p>
    <w:p w14:paraId="6DDF1F07" w14:textId="19B4CF26" w:rsidR="00CF0B56" w:rsidRDefault="00CF0B56" w:rsidP="00CF0B56">
      <w:pPr>
        <w:spacing w:line="360" w:lineRule="auto"/>
        <w:rPr>
          <w:rFonts w:ascii="Arial" w:hAnsi="Arial" w:cs="Arial"/>
          <w:color w:val="202020"/>
          <w:sz w:val="22"/>
          <w:szCs w:val="22"/>
        </w:rPr>
      </w:pPr>
      <w:r w:rsidRPr="00CF0B56">
        <w:rPr>
          <w:rFonts w:ascii="Arial" w:hAnsi="Arial" w:cs="Arial"/>
          <w:color w:val="202020"/>
          <w:sz w:val="22"/>
          <w:szCs w:val="22"/>
        </w:rPr>
        <w:t>Airbnb has grown from a small business to a public company worth over $100 billion. This shows how creative and adaptable its business plan is. But, as this study shows, its future success will depend on how well it deals with regulation risks, changes in the market, and staying ahead in a very competitive field. Even though Airbnb came up with a new way to rent out rooms, Booking.com shows that the company needs to keep coming up with new ideas and working out how to handle problems to stay at the top of the market.</w:t>
      </w:r>
    </w:p>
    <w:p w14:paraId="6D920BE6" w14:textId="77777777" w:rsidR="00163009" w:rsidRDefault="00163009" w:rsidP="00CF0B56">
      <w:pPr>
        <w:spacing w:line="360" w:lineRule="auto"/>
        <w:rPr>
          <w:rFonts w:ascii="Arial" w:hAnsi="Arial" w:cs="Arial"/>
          <w:color w:val="202020"/>
          <w:sz w:val="22"/>
          <w:szCs w:val="22"/>
        </w:rPr>
      </w:pPr>
    </w:p>
    <w:p w14:paraId="133E0049" w14:textId="77777777" w:rsidR="00163009" w:rsidRDefault="00163009" w:rsidP="00CF0B56">
      <w:pPr>
        <w:spacing w:line="360" w:lineRule="auto"/>
        <w:rPr>
          <w:rFonts w:ascii="Arial" w:hAnsi="Arial" w:cs="Arial"/>
          <w:color w:val="202020"/>
          <w:sz w:val="22"/>
          <w:szCs w:val="22"/>
        </w:rPr>
      </w:pPr>
    </w:p>
    <w:p w14:paraId="56C31E25" w14:textId="77777777" w:rsidR="00163009" w:rsidRDefault="00163009" w:rsidP="00CF0B56">
      <w:pPr>
        <w:spacing w:line="360" w:lineRule="auto"/>
        <w:rPr>
          <w:rFonts w:ascii="Arial" w:hAnsi="Arial" w:cs="Arial"/>
          <w:color w:val="202020"/>
          <w:sz w:val="22"/>
          <w:szCs w:val="22"/>
        </w:rPr>
      </w:pPr>
    </w:p>
    <w:p w14:paraId="3A3C7968" w14:textId="77777777" w:rsidR="00163009" w:rsidRDefault="00163009" w:rsidP="00CF0B56">
      <w:pPr>
        <w:spacing w:line="360" w:lineRule="auto"/>
        <w:rPr>
          <w:rFonts w:ascii="Arial" w:hAnsi="Arial" w:cs="Arial"/>
          <w:color w:val="202020"/>
          <w:sz w:val="22"/>
          <w:szCs w:val="22"/>
        </w:rPr>
      </w:pPr>
    </w:p>
    <w:p w14:paraId="51A6663C" w14:textId="77777777" w:rsidR="00163009" w:rsidRDefault="00163009" w:rsidP="00CF0B56">
      <w:pPr>
        <w:spacing w:line="360" w:lineRule="auto"/>
        <w:rPr>
          <w:rFonts w:ascii="Arial" w:hAnsi="Arial" w:cs="Arial"/>
          <w:color w:val="202020"/>
          <w:sz w:val="22"/>
          <w:szCs w:val="22"/>
        </w:rPr>
      </w:pPr>
    </w:p>
    <w:p w14:paraId="428766A2" w14:textId="77777777" w:rsidR="00163009" w:rsidRDefault="00163009" w:rsidP="00CF0B56">
      <w:pPr>
        <w:spacing w:line="360" w:lineRule="auto"/>
        <w:rPr>
          <w:rFonts w:ascii="Arial" w:hAnsi="Arial" w:cs="Arial"/>
          <w:color w:val="202020"/>
          <w:sz w:val="22"/>
          <w:szCs w:val="22"/>
        </w:rPr>
      </w:pPr>
    </w:p>
    <w:p w14:paraId="4568E056" w14:textId="77777777" w:rsidR="00163009" w:rsidRDefault="00163009" w:rsidP="00CF0B56">
      <w:pPr>
        <w:spacing w:line="360" w:lineRule="auto"/>
        <w:rPr>
          <w:rFonts w:ascii="Arial" w:hAnsi="Arial" w:cs="Arial"/>
          <w:color w:val="202020"/>
          <w:sz w:val="22"/>
          <w:szCs w:val="22"/>
        </w:rPr>
      </w:pPr>
    </w:p>
    <w:p w14:paraId="5393F043" w14:textId="77777777" w:rsidR="00163009" w:rsidRDefault="00163009" w:rsidP="00CF0B56">
      <w:pPr>
        <w:spacing w:line="360" w:lineRule="auto"/>
        <w:rPr>
          <w:rFonts w:ascii="Arial" w:hAnsi="Arial" w:cs="Arial"/>
          <w:color w:val="202020"/>
          <w:sz w:val="22"/>
          <w:szCs w:val="22"/>
        </w:rPr>
      </w:pPr>
    </w:p>
    <w:p w14:paraId="436B0E27" w14:textId="77777777" w:rsidR="00163009" w:rsidRDefault="00163009" w:rsidP="00CF0B56">
      <w:pPr>
        <w:spacing w:line="360" w:lineRule="auto"/>
        <w:rPr>
          <w:rFonts w:ascii="Arial" w:hAnsi="Arial" w:cs="Arial"/>
          <w:color w:val="202020"/>
          <w:sz w:val="22"/>
          <w:szCs w:val="22"/>
        </w:rPr>
      </w:pPr>
    </w:p>
    <w:p w14:paraId="2317B5D9" w14:textId="77777777" w:rsidR="00163009" w:rsidRDefault="00163009" w:rsidP="00CF0B56">
      <w:pPr>
        <w:spacing w:line="360" w:lineRule="auto"/>
        <w:rPr>
          <w:rFonts w:ascii="Arial" w:hAnsi="Arial" w:cs="Arial"/>
          <w:color w:val="202020"/>
          <w:sz w:val="22"/>
          <w:szCs w:val="22"/>
        </w:rPr>
      </w:pPr>
    </w:p>
    <w:p w14:paraId="4B72CD98" w14:textId="77777777" w:rsidR="00163009" w:rsidRDefault="00163009" w:rsidP="00CF0B56">
      <w:pPr>
        <w:spacing w:line="360" w:lineRule="auto"/>
        <w:rPr>
          <w:rFonts w:ascii="Arial" w:hAnsi="Arial" w:cs="Arial"/>
          <w:color w:val="202020"/>
          <w:sz w:val="22"/>
          <w:szCs w:val="22"/>
        </w:rPr>
      </w:pPr>
    </w:p>
    <w:p w14:paraId="31B60AE2" w14:textId="77777777" w:rsidR="00163009" w:rsidRDefault="00163009" w:rsidP="00CF0B56">
      <w:pPr>
        <w:spacing w:line="360" w:lineRule="auto"/>
        <w:rPr>
          <w:rFonts w:ascii="Arial" w:hAnsi="Arial" w:cs="Arial"/>
          <w:color w:val="202020"/>
          <w:sz w:val="22"/>
          <w:szCs w:val="22"/>
        </w:rPr>
      </w:pPr>
    </w:p>
    <w:p w14:paraId="4A61A9BA" w14:textId="77777777" w:rsidR="00163009" w:rsidRDefault="00163009" w:rsidP="00CF0B56">
      <w:pPr>
        <w:spacing w:line="360" w:lineRule="auto"/>
        <w:rPr>
          <w:rFonts w:ascii="Arial" w:hAnsi="Arial" w:cs="Arial"/>
          <w:color w:val="202020"/>
          <w:sz w:val="22"/>
          <w:szCs w:val="22"/>
        </w:rPr>
      </w:pPr>
    </w:p>
    <w:p w14:paraId="58768063" w14:textId="77777777" w:rsidR="0045039D" w:rsidRDefault="0045039D" w:rsidP="00CF0B56">
      <w:pPr>
        <w:spacing w:line="360" w:lineRule="auto"/>
        <w:rPr>
          <w:rFonts w:ascii="Arial" w:hAnsi="Arial" w:cs="Arial"/>
          <w:color w:val="202020"/>
          <w:sz w:val="22"/>
          <w:szCs w:val="22"/>
        </w:rPr>
      </w:pPr>
    </w:p>
    <w:p w14:paraId="00EFCCD3" w14:textId="77777777" w:rsidR="0045039D" w:rsidRDefault="0045039D" w:rsidP="00CF0B56">
      <w:pPr>
        <w:spacing w:line="360" w:lineRule="auto"/>
        <w:rPr>
          <w:rFonts w:ascii="Arial" w:hAnsi="Arial" w:cs="Arial"/>
          <w:color w:val="202020"/>
          <w:sz w:val="22"/>
          <w:szCs w:val="22"/>
        </w:rPr>
      </w:pPr>
    </w:p>
    <w:p w14:paraId="06A28C08" w14:textId="77777777" w:rsidR="0045039D" w:rsidRDefault="0045039D" w:rsidP="00CF0B56">
      <w:pPr>
        <w:spacing w:line="360" w:lineRule="auto"/>
        <w:rPr>
          <w:rFonts w:ascii="Arial" w:hAnsi="Arial" w:cs="Arial"/>
          <w:color w:val="202020"/>
          <w:sz w:val="22"/>
          <w:szCs w:val="22"/>
        </w:rPr>
      </w:pPr>
    </w:p>
    <w:p w14:paraId="27A5E99A" w14:textId="77777777" w:rsidR="0045039D" w:rsidRDefault="0045039D" w:rsidP="00CF0B56">
      <w:pPr>
        <w:spacing w:line="360" w:lineRule="auto"/>
        <w:rPr>
          <w:rFonts w:ascii="Arial" w:hAnsi="Arial" w:cs="Arial"/>
          <w:color w:val="202020"/>
          <w:sz w:val="22"/>
          <w:szCs w:val="22"/>
        </w:rPr>
      </w:pPr>
    </w:p>
    <w:p w14:paraId="3FD61FF7" w14:textId="77777777" w:rsidR="0045039D" w:rsidRDefault="0045039D" w:rsidP="00CF0B56">
      <w:pPr>
        <w:spacing w:line="360" w:lineRule="auto"/>
        <w:rPr>
          <w:rFonts w:ascii="Arial" w:hAnsi="Arial" w:cs="Arial"/>
          <w:color w:val="202020"/>
          <w:sz w:val="22"/>
          <w:szCs w:val="22"/>
        </w:rPr>
      </w:pPr>
    </w:p>
    <w:p w14:paraId="38F99836" w14:textId="77777777" w:rsidR="0045039D" w:rsidRDefault="0045039D" w:rsidP="00CF0B56">
      <w:pPr>
        <w:spacing w:line="360" w:lineRule="auto"/>
        <w:rPr>
          <w:rFonts w:ascii="Arial" w:hAnsi="Arial" w:cs="Arial"/>
          <w:color w:val="202020"/>
          <w:sz w:val="22"/>
          <w:szCs w:val="22"/>
        </w:rPr>
      </w:pPr>
    </w:p>
    <w:p w14:paraId="72CDABEB" w14:textId="77777777" w:rsidR="0045039D" w:rsidRDefault="0045039D" w:rsidP="00CF0B56">
      <w:pPr>
        <w:spacing w:line="360" w:lineRule="auto"/>
        <w:rPr>
          <w:rFonts w:ascii="Arial" w:hAnsi="Arial" w:cs="Arial"/>
          <w:color w:val="202020"/>
          <w:sz w:val="22"/>
          <w:szCs w:val="22"/>
        </w:rPr>
      </w:pPr>
    </w:p>
    <w:p w14:paraId="34710CCE" w14:textId="77777777" w:rsidR="0045039D" w:rsidRDefault="0045039D" w:rsidP="00CF0B56">
      <w:pPr>
        <w:spacing w:line="360" w:lineRule="auto"/>
        <w:rPr>
          <w:rFonts w:ascii="Arial" w:hAnsi="Arial" w:cs="Arial"/>
          <w:color w:val="202020"/>
          <w:sz w:val="22"/>
          <w:szCs w:val="22"/>
        </w:rPr>
      </w:pPr>
    </w:p>
    <w:p w14:paraId="72FDCE19" w14:textId="77777777" w:rsidR="005C3579" w:rsidRDefault="005C3579" w:rsidP="00CF0B56">
      <w:pPr>
        <w:spacing w:line="360" w:lineRule="auto"/>
        <w:rPr>
          <w:rFonts w:ascii="Arial" w:hAnsi="Arial" w:cs="Arial"/>
          <w:color w:val="202020"/>
          <w:sz w:val="22"/>
          <w:szCs w:val="22"/>
        </w:rPr>
      </w:pPr>
    </w:p>
    <w:p w14:paraId="49FAB6A5" w14:textId="77777777" w:rsidR="005C3579" w:rsidRDefault="005C3579" w:rsidP="00CF0B56">
      <w:pPr>
        <w:spacing w:line="360" w:lineRule="auto"/>
        <w:rPr>
          <w:rFonts w:ascii="Arial" w:hAnsi="Arial" w:cs="Arial"/>
          <w:color w:val="202020"/>
          <w:sz w:val="22"/>
          <w:szCs w:val="22"/>
        </w:rPr>
      </w:pPr>
    </w:p>
    <w:p w14:paraId="071E91B3" w14:textId="77777777" w:rsidR="005C3579" w:rsidRDefault="005C3579" w:rsidP="00CF0B56">
      <w:pPr>
        <w:spacing w:line="360" w:lineRule="auto"/>
        <w:rPr>
          <w:rFonts w:ascii="Arial" w:hAnsi="Arial" w:cs="Arial"/>
          <w:color w:val="202020"/>
          <w:sz w:val="22"/>
          <w:szCs w:val="22"/>
        </w:rPr>
      </w:pPr>
    </w:p>
    <w:p w14:paraId="2BDD1F83" w14:textId="77777777" w:rsidR="005C3579" w:rsidRDefault="005C3579" w:rsidP="00CF0B56">
      <w:pPr>
        <w:spacing w:line="360" w:lineRule="auto"/>
        <w:rPr>
          <w:rFonts w:ascii="Arial" w:hAnsi="Arial" w:cs="Arial"/>
          <w:color w:val="202020"/>
          <w:sz w:val="22"/>
          <w:szCs w:val="22"/>
        </w:rPr>
      </w:pPr>
    </w:p>
    <w:p w14:paraId="193678F0" w14:textId="77777777" w:rsidR="005C3579" w:rsidRDefault="005C3579" w:rsidP="00CF0B56">
      <w:pPr>
        <w:spacing w:line="360" w:lineRule="auto"/>
        <w:rPr>
          <w:rFonts w:ascii="Arial" w:hAnsi="Arial" w:cs="Arial"/>
          <w:color w:val="202020"/>
          <w:sz w:val="22"/>
          <w:szCs w:val="22"/>
        </w:rPr>
      </w:pPr>
    </w:p>
    <w:p w14:paraId="41AE0B6F" w14:textId="77777777" w:rsidR="005C3579" w:rsidRPr="00CF0B56" w:rsidRDefault="005C3579" w:rsidP="00CF0B56">
      <w:pPr>
        <w:spacing w:line="360" w:lineRule="auto"/>
        <w:rPr>
          <w:rFonts w:ascii="Arial" w:hAnsi="Arial" w:cs="Arial"/>
          <w:color w:val="202020"/>
          <w:sz w:val="22"/>
          <w:szCs w:val="22"/>
        </w:rPr>
      </w:pPr>
    </w:p>
    <w:p w14:paraId="5FA8280C" w14:textId="77777777" w:rsidR="00EF407F" w:rsidRDefault="00EF407F" w:rsidP="00EF407F">
      <w:pPr>
        <w:spacing w:line="360" w:lineRule="auto"/>
        <w:rPr>
          <w:rFonts w:ascii="Arial" w:hAnsi="Arial" w:cs="Arial"/>
          <w:color w:val="202020"/>
          <w:sz w:val="22"/>
          <w:szCs w:val="22"/>
        </w:rPr>
      </w:pPr>
    </w:p>
    <w:p w14:paraId="547EE20D" w14:textId="621C47F9" w:rsidR="006543FF" w:rsidRDefault="006543FF" w:rsidP="005C3579">
      <w:pPr>
        <w:pStyle w:val="Heading1"/>
      </w:pPr>
      <w:bookmarkStart w:id="12" w:name="_Toc175604836"/>
      <w:r>
        <w:lastRenderedPageBreak/>
        <w:t>List of references:</w:t>
      </w:r>
      <w:bookmarkEnd w:id="12"/>
    </w:p>
    <w:p w14:paraId="19C311A2" w14:textId="77777777" w:rsidR="00CC3B51" w:rsidRDefault="00CC3B51" w:rsidP="00CC3B51">
      <w:pPr>
        <w:spacing w:line="360" w:lineRule="auto"/>
        <w:rPr>
          <w:rFonts w:ascii="Arial" w:hAnsi="Arial" w:cs="Arial"/>
          <w:color w:val="202020"/>
          <w:sz w:val="22"/>
          <w:szCs w:val="22"/>
        </w:rPr>
      </w:pPr>
    </w:p>
    <w:p w14:paraId="54EC5C3F" w14:textId="1AF7FCD2" w:rsidR="00CC3B51" w:rsidRDefault="00CC3B51" w:rsidP="00CC3B51">
      <w:pPr>
        <w:spacing w:line="360" w:lineRule="auto"/>
        <w:rPr>
          <w:rFonts w:ascii="Arial" w:hAnsi="Arial" w:cs="Arial"/>
          <w:color w:val="202020"/>
          <w:sz w:val="22"/>
          <w:szCs w:val="22"/>
        </w:rPr>
      </w:pPr>
      <w:r w:rsidRPr="00CC3B51">
        <w:rPr>
          <w:rFonts w:ascii="Arial" w:hAnsi="Arial" w:cs="Arial"/>
          <w:color w:val="202020"/>
          <w:sz w:val="22"/>
          <w:szCs w:val="22"/>
        </w:rPr>
        <w:t>Airbnb (2024) </w:t>
      </w:r>
      <w:r w:rsidRPr="00CC3B51">
        <w:rPr>
          <w:rFonts w:ascii="Arial" w:hAnsi="Arial" w:cs="Arial"/>
          <w:i/>
          <w:iCs/>
          <w:color w:val="202020"/>
          <w:sz w:val="22"/>
          <w:szCs w:val="22"/>
        </w:rPr>
        <w:t>Airbnb</w:t>
      </w:r>
      <w:r w:rsidRPr="00CC3B51">
        <w:rPr>
          <w:rFonts w:ascii="Arial" w:hAnsi="Arial" w:cs="Arial"/>
          <w:color w:val="202020"/>
          <w:sz w:val="22"/>
          <w:szCs w:val="22"/>
        </w:rPr>
        <w:t> [online]. Available from: https://news.airbnb.com/about-us/ </w:t>
      </w:r>
      <w:r w:rsidR="000D2143">
        <w:rPr>
          <w:rFonts w:ascii="Arial" w:hAnsi="Arial" w:cs="Arial"/>
          <w:color w:val="202020"/>
          <w:sz w:val="22"/>
          <w:szCs w:val="22"/>
        </w:rPr>
        <w:t>[</w:t>
      </w:r>
      <w:r w:rsidRPr="00CC3B51">
        <w:rPr>
          <w:rFonts w:ascii="Arial" w:hAnsi="Arial" w:cs="Arial"/>
          <w:color w:val="202020"/>
          <w:sz w:val="22"/>
          <w:szCs w:val="22"/>
        </w:rPr>
        <w:t>Accessed 24 July 2024</w:t>
      </w:r>
      <w:r w:rsidR="000D2143">
        <w:rPr>
          <w:rFonts w:ascii="Arial" w:hAnsi="Arial" w:cs="Arial"/>
          <w:color w:val="202020"/>
          <w:sz w:val="22"/>
          <w:szCs w:val="22"/>
        </w:rPr>
        <w:t>]</w:t>
      </w:r>
      <w:r w:rsidRPr="00CC3B51">
        <w:rPr>
          <w:rFonts w:ascii="Arial" w:hAnsi="Arial" w:cs="Arial"/>
          <w:color w:val="202020"/>
          <w:sz w:val="22"/>
          <w:szCs w:val="22"/>
        </w:rPr>
        <w:t>.</w:t>
      </w:r>
    </w:p>
    <w:p w14:paraId="26975AAD" w14:textId="77777777" w:rsidR="004C3E1D" w:rsidRDefault="004C3E1D" w:rsidP="00CC3B51">
      <w:pPr>
        <w:spacing w:line="360" w:lineRule="auto"/>
        <w:rPr>
          <w:rFonts w:ascii="Arial" w:hAnsi="Arial" w:cs="Arial"/>
          <w:color w:val="202020"/>
          <w:sz w:val="22"/>
          <w:szCs w:val="22"/>
        </w:rPr>
      </w:pPr>
    </w:p>
    <w:p w14:paraId="2645C3F7" w14:textId="77777777" w:rsidR="004C3E1D" w:rsidRPr="004C3E1D" w:rsidRDefault="004C3E1D" w:rsidP="004C3E1D">
      <w:pPr>
        <w:spacing w:line="360" w:lineRule="auto"/>
        <w:rPr>
          <w:rFonts w:ascii="Arial" w:hAnsi="Arial" w:cs="Arial"/>
          <w:color w:val="202020"/>
          <w:sz w:val="22"/>
          <w:szCs w:val="22"/>
        </w:rPr>
      </w:pPr>
      <w:r w:rsidRPr="004C3E1D">
        <w:rPr>
          <w:rFonts w:ascii="Arial" w:hAnsi="Arial" w:cs="Arial"/>
          <w:color w:val="202020"/>
          <w:sz w:val="22"/>
          <w:szCs w:val="22"/>
        </w:rPr>
        <w:t>Cassini, A. (2023). </w:t>
      </w:r>
      <w:r w:rsidRPr="004C3E1D">
        <w:rPr>
          <w:rFonts w:ascii="Arial" w:hAnsi="Arial" w:cs="Arial"/>
          <w:i/>
          <w:iCs/>
          <w:color w:val="202020"/>
          <w:sz w:val="22"/>
          <w:szCs w:val="22"/>
        </w:rPr>
        <w:t>The Real Cost of Compliance: Regulatory Expenses</w:t>
      </w:r>
      <w:r w:rsidRPr="004C3E1D">
        <w:rPr>
          <w:rFonts w:ascii="Arial" w:hAnsi="Arial" w:cs="Arial"/>
          <w:color w:val="202020"/>
          <w:sz w:val="22"/>
          <w:szCs w:val="22"/>
        </w:rPr>
        <w:t xml:space="preserve">. [online] </w:t>
      </w:r>
      <w:proofErr w:type="spellStart"/>
      <w:r w:rsidRPr="004C3E1D">
        <w:rPr>
          <w:rFonts w:ascii="Arial" w:hAnsi="Arial" w:cs="Arial"/>
          <w:color w:val="202020"/>
          <w:sz w:val="22"/>
          <w:szCs w:val="22"/>
        </w:rPr>
        <w:t>GreenGrowth</w:t>
      </w:r>
      <w:proofErr w:type="spellEnd"/>
      <w:r w:rsidRPr="004C3E1D">
        <w:rPr>
          <w:rFonts w:ascii="Arial" w:hAnsi="Arial" w:cs="Arial"/>
          <w:color w:val="202020"/>
          <w:sz w:val="22"/>
          <w:szCs w:val="22"/>
        </w:rPr>
        <w:t xml:space="preserve"> CPAs. Available at: https://greengrowthcpas.com/compliance-costs-of-regulatory-expenses/.</w:t>
      </w:r>
    </w:p>
    <w:p w14:paraId="67BB8E33" w14:textId="77777777" w:rsidR="000A4DF6" w:rsidRDefault="000A4DF6" w:rsidP="00CC3B51">
      <w:pPr>
        <w:spacing w:line="360" w:lineRule="auto"/>
        <w:rPr>
          <w:rFonts w:ascii="Arial" w:hAnsi="Arial" w:cs="Arial"/>
          <w:color w:val="202020"/>
          <w:sz w:val="22"/>
          <w:szCs w:val="22"/>
        </w:rPr>
      </w:pPr>
    </w:p>
    <w:p w14:paraId="35269FCA" w14:textId="77777777" w:rsidR="000A4DF6" w:rsidRPr="000A4DF6" w:rsidRDefault="000A4DF6" w:rsidP="000A4DF6">
      <w:pPr>
        <w:spacing w:line="360" w:lineRule="auto"/>
        <w:rPr>
          <w:rFonts w:ascii="Arial" w:hAnsi="Arial" w:cs="Arial"/>
          <w:color w:val="202020"/>
          <w:sz w:val="22"/>
          <w:szCs w:val="22"/>
        </w:rPr>
      </w:pPr>
      <w:r w:rsidRPr="000A4DF6">
        <w:rPr>
          <w:rFonts w:ascii="Arial" w:hAnsi="Arial" w:cs="Arial"/>
          <w:color w:val="202020"/>
          <w:sz w:val="22"/>
          <w:szCs w:val="22"/>
        </w:rPr>
        <w:t>FRED, 2024. </w:t>
      </w:r>
      <w:r w:rsidRPr="000A4DF6">
        <w:rPr>
          <w:rFonts w:ascii="Arial" w:hAnsi="Arial" w:cs="Arial"/>
          <w:i/>
          <w:iCs/>
          <w:color w:val="202020"/>
          <w:sz w:val="22"/>
          <w:szCs w:val="22"/>
        </w:rPr>
        <w:t>Market Yield on U.S. Treasury Securities at 10-Year Constant Maturity, Quoted on an Investment Basis</w:t>
      </w:r>
      <w:r w:rsidRPr="000A4DF6">
        <w:rPr>
          <w:rFonts w:ascii="Arial" w:hAnsi="Arial" w:cs="Arial"/>
          <w:color w:val="202020"/>
          <w:sz w:val="22"/>
          <w:szCs w:val="22"/>
        </w:rPr>
        <w:t>. [online] Available at: &lt;https://fred.stlouisfed.org/series/DGS10/&gt; [Accessed 24 August 2024].</w:t>
      </w:r>
    </w:p>
    <w:p w14:paraId="2243AACC" w14:textId="77777777" w:rsidR="008C06F5" w:rsidRDefault="008C06F5" w:rsidP="00CC3B51">
      <w:pPr>
        <w:spacing w:line="360" w:lineRule="auto"/>
        <w:rPr>
          <w:rFonts w:ascii="Arial" w:hAnsi="Arial" w:cs="Arial"/>
          <w:color w:val="202020"/>
          <w:sz w:val="22"/>
          <w:szCs w:val="22"/>
        </w:rPr>
      </w:pPr>
    </w:p>
    <w:p w14:paraId="4DE713C5" w14:textId="68D6FB08" w:rsidR="00E86161" w:rsidRDefault="008C06F5" w:rsidP="008C06F5">
      <w:pPr>
        <w:spacing w:line="360" w:lineRule="auto"/>
        <w:rPr>
          <w:rFonts w:ascii="Arial" w:hAnsi="Arial" w:cs="Arial"/>
          <w:color w:val="202020"/>
          <w:sz w:val="22"/>
          <w:szCs w:val="22"/>
        </w:rPr>
      </w:pPr>
      <w:r w:rsidRPr="008C06F5">
        <w:rPr>
          <w:rFonts w:ascii="Arial" w:hAnsi="Arial" w:cs="Arial"/>
          <w:color w:val="202020"/>
          <w:sz w:val="22"/>
          <w:szCs w:val="22"/>
        </w:rPr>
        <w:t>Griffith, E. (2020). Airbnb prices I.P.O. at $68 a share, for a $47 billion valuation. </w:t>
      </w:r>
      <w:r w:rsidRPr="008C06F5">
        <w:rPr>
          <w:rFonts w:ascii="Arial" w:hAnsi="Arial" w:cs="Arial"/>
          <w:i/>
          <w:iCs/>
          <w:color w:val="202020"/>
          <w:sz w:val="22"/>
          <w:szCs w:val="22"/>
        </w:rPr>
        <w:t>The New York Times</w:t>
      </w:r>
      <w:r w:rsidRPr="008C06F5">
        <w:rPr>
          <w:rFonts w:ascii="Arial" w:hAnsi="Arial" w:cs="Arial"/>
          <w:color w:val="202020"/>
          <w:sz w:val="22"/>
          <w:szCs w:val="22"/>
        </w:rPr>
        <w:t>. [online] 10 Dec. Available at: https://www.nytimes.com/2020/12/09/business/airbnb-ipo-price.html [Accessed 10 Aug. 2024].</w:t>
      </w:r>
    </w:p>
    <w:p w14:paraId="57A380D1" w14:textId="25A7D052" w:rsidR="00DD1229" w:rsidRDefault="00E86161" w:rsidP="00E86161">
      <w:pPr>
        <w:pStyle w:val="NormalWeb"/>
        <w:spacing w:before="0" w:beforeAutospacing="0" w:after="240" w:afterAutospacing="0" w:line="360" w:lineRule="atLeast"/>
        <w:rPr>
          <w:rFonts w:ascii="Arial" w:hAnsi="Arial" w:cs="Arial"/>
          <w:color w:val="000000"/>
          <w:sz w:val="22"/>
          <w:szCs w:val="22"/>
        </w:rPr>
      </w:pPr>
      <w:r w:rsidRPr="00E86161">
        <w:rPr>
          <w:rFonts w:ascii="Arial" w:hAnsi="Arial" w:cs="Arial"/>
          <w:color w:val="000000"/>
          <w:sz w:val="22"/>
          <w:szCs w:val="22"/>
        </w:rPr>
        <w:t xml:space="preserve">Gunter, U. (2018). What makes an Airbnb host a </w:t>
      </w:r>
      <w:proofErr w:type="spellStart"/>
      <w:r w:rsidRPr="00E86161">
        <w:rPr>
          <w:rFonts w:ascii="Arial" w:hAnsi="Arial" w:cs="Arial"/>
          <w:color w:val="000000"/>
          <w:sz w:val="22"/>
          <w:szCs w:val="22"/>
        </w:rPr>
        <w:t>superhost</w:t>
      </w:r>
      <w:proofErr w:type="spellEnd"/>
      <w:r w:rsidRPr="00E86161">
        <w:rPr>
          <w:rFonts w:ascii="Arial" w:hAnsi="Arial" w:cs="Arial"/>
          <w:color w:val="000000"/>
          <w:sz w:val="22"/>
          <w:szCs w:val="22"/>
        </w:rPr>
        <w:t>? Empirical evidence from San Francisco and the Bay Area.</w:t>
      </w:r>
      <w:r w:rsidRPr="00E86161">
        <w:rPr>
          <w:rStyle w:val="apple-converted-space"/>
          <w:rFonts w:ascii="Arial" w:eastAsiaTheme="majorEastAsia" w:hAnsi="Arial" w:cs="Arial"/>
          <w:color w:val="000000"/>
          <w:sz w:val="22"/>
          <w:szCs w:val="22"/>
        </w:rPr>
        <w:t> </w:t>
      </w:r>
      <w:r w:rsidRPr="00E86161">
        <w:rPr>
          <w:rFonts w:ascii="Arial" w:hAnsi="Arial" w:cs="Arial"/>
          <w:i/>
          <w:iCs/>
          <w:color w:val="000000"/>
          <w:sz w:val="22"/>
          <w:szCs w:val="22"/>
        </w:rPr>
        <w:t>Tourism Management</w:t>
      </w:r>
      <w:r w:rsidRPr="00E86161">
        <w:rPr>
          <w:rFonts w:ascii="Arial" w:hAnsi="Arial" w:cs="Arial"/>
          <w:color w:val="000000"/>
          <w:sz w:val="22"/>
          <w:szCs w:val="22"/>
        </w:rPr>
        <w:t xml:space="preserve">, 66, pp.26–37. </w:t>
      </w:r>
      <w:proofErr w:type="spellStart"/>
      <w:r w:rsidR="00165CC1" w:rsidRPr="00E86161">
        <w:rPr>
          <w:rFonts w:ascii="Arial" w:hAnsi="Arial" w:cs="Arial"/>
          <w:color w:val="000000"/>
          <w:sz w:val="22"/>
          <w:szCs w:val="22"/>
        </w:rPr>
        <w:t>doi</w:t>
      </w:r>
      <w:proofErr w:type="spellEnd"/>
      <w:r w:rsidR="00165CC1" w:rsidRPr="00E86161">
        <w:rPr>
          <w:rFonts w:ascii="Arial" w:hAnsi="Arial" w:cs="Arial"/>
          <w:color w:val="000000"/>
          <w:sz w:val="22"/>
          <w:szCs w:val="22"/>
        </w:rPr>
        <w:t xml:space="preserve">: </w:t>
      </w:r>
      <w:hyperlink r:id="rId14" w:history="1">
        <w:r w:rsidR="005879F0" w:rsidRPr="001A13B0">
          <w:rPr>
            <w:rStyle w:val="Hyperlink"/>
            <w:rFonts w:ascii="Arial" w:hAnsi="Arial" w:cs="Arial"/>
            <w:sz w:val="22"/>
            <w:szCs w:val="22"/>
          </w:rPr>
          <w:t>https://doi.org/10.1016/j.tourman.2017.11.003</w:t>
        </w:r>
      </w:hyperlink>
      <w:r w:rsidRPr="00E86161">
        <w:rPr>
          <w:rFonts w:ascii="Arial" w:hAnsi="Arial" w:cs="Arial"/>
          <w:color w:val="000000"/>
          <w:sz w:val="22"/>
          <w:szCs w:val="22"/>
        </w:rPr>
        <w:t>.</w:t>
      </w:r>
    </w:p>
    <w:p w14:paraId="75F9A5F3" w14:textId="7ABEDA94" w:rsidR="005879F0" w:rsidRDefault="005879F0" w:rsidP="005879F0">
      <w:pPr>
        <w:pStyle w:val="NormalWeb"/>
        <w:spacing w:after="240" w:line="360" w:lineRule="atLeast"/>
        <w:rPr>
          <w:rFonts w:ascii="Arial" w:hAnsi="Arial" w:cs="Arial"/>
          <w:color w:val="000000"/>
          <w:sz w:val="22"/>
          <w:szCs w:val="22"/>
        </w:rPr>
      </w:pPr>
      <w:r w:rsidRPr="005879F0">
        <w:rPr>
          <w:rFonts w:ascii="Arial" w:hAnsi="Arial" w:cs="Arial"/>
          <w:color w:val="000000"/>
          <w:sz w:val="22"/>
          <w:szCs w:val="22"/>
        </w:rPr>
        <w:t>Hostaway.com. (2020). </w:t>
      </w:r>
      <w:r w:rsidRPr="005879F0">
        <w:rPr>
          <w:rFonts w:ascii="Arial" w:hAnsi="Arial" w:cs="Arial"/>
          <w:i/>
          <w:iCs/>
          <w:color w:val="000000"/>
          <w:sz w:val="22"/>
          <w:szCs w:val="22"/>
        </w:rPr>
        <w:t>Airbnb Host-Only Fee | What to Know about the 15% Host Fee</w:t>
      </w:r>
      <w:r w:rsidRPr="005879F0">
        <w:rPr>
          <w:rFonts w:ascii="Arial" w:hAnsi="Arial" w:cs="Arial"/>
          <w:color w:val="000000"/>
          <w:sz w:val="22"/>
          <w:szCs w:val="22"/>
        </w:rPr>
        <w:t>. [online] Available at: https://www.hostaway.com/blog/airbnb-host-only-fee-what-to-know-about-the-15-percent-host-fee/ [Accessed 25 Aug. 2024].</w:t>
      </w:r>
    </w:p>
    <w:p w14:paraId="51A8D8EC" w14:textId="7EA706F5" w:rsidR="00366710" w:rsidRPr="00366710" w:rsidRDefault="00366710" w:rsidP="00366710">
      <w:pPr>
        <w:pStyle w:val="NormalWeb"/>
        <w:spacing w:after="240" w:line="360" w:lineRule="atLeast"/>
        <w:rPr>
          <w:rFonts w:ascii="Arial" w:hAnsi="Arial" w:cs="Arial"/>
          <w:color w:val="000000"/>
          <w:sz w:val="22"/>
          <w:szCs w:val="22"/>
        </w:rPr>
      </w:pPr>
      <w:r w:rsidRPr="00366710">
        <w:rPr>
          <w:rFonts w:ascii="Arial" w:hAnsi="Arial" w:cs="Arial"/>
          <w:color w:val="000000"/>
          <w:sz w:val="22"/>
          <w:szCs w:val="22"/>
        </w:rPr>
        <w:t>NASDAQ.COM, 2024. </w:t>
      </w:r>
      <w:r w:rsidRPr="00366710">
        <w:rPr>
          <w:rFonts w:ascii="Arial" w:hAnsi="Arial" w:cs="Arial"/>
          <w:i/>
          <w:iCs/>
          <w:color w:val="000000"/>
          <w:sz w:val="22"/>
          <w:szCs w:val="22"/>
        </w:rPr>
        <w:t>Airbnb, Inc. Class A Common Stock (ABNB) Option Chain | Nasdaq</w:t>
      </w:r>
      <w:r w:rsidRPr="00366710">
        <w:rPr>
          <w:rFonts w:ascii="Arial" w:hAnsi="Arial" w:cs="Arial"/>
          <w:color w:val="000000"/>
          <w:sz w:val="22"/>
          <w:szCs w:val="22"/>
        </w:rPr>
        <w:t>. [online] Nasdaq. Available at: &lt;https://www.nasdaq.com/market-activity/stocks/abnb/option-chain&gt; [Accessed 16 August 2024].</w:t>
      </w:r>
    </w:p>
    <w:p w14:paraId="35CD2C6D" w14:textId="15ECCAF7" w:rsidR="00366710" w:rsidRDefault="00366710" w:rsidP="005879F0">
      <w:pPr>
        <w:pStyle w:val="NormalWeb"/>
        <w:spacing w:after="240" w:line="360" w:lineRule="atLeast"/>
        <w:rPr>
          <w:rFonts w:ascii="Arial" w:hAnsi="Arial" w:cs="Arial"/>
          <w:color w:val="000000"/>
          <w:sz w:val="22"/>
          <w:szCs w:val="22"/>
        </w:rPr>
      </w:pPr>
      <w:r w:rsidRPr="00366710">
        <w:rPr>
          <w:rFonts w:ascii="Arial" w:hAnsi="Arial" w:cs="Arial"/>
          <w:color w:val="000000"/>
          <w:sz w:val="22"/>
          <w:szCs w:val="22"/>
        </w:rPr>
        <w:t>NASDAQ.COM, 2024. </w:t>
      </w:r>
      <w:r w:rsidRPr="00366710">
        <w:rPr>
          <w:rFonts w:ascii="Arial" w:hAnsi="Arial" w:cs="Arial"/>
          <w:i/>
          <w:iCs/>
          <w:color w:val="000000"/>
          <w:sz w:val="22"/>
          <w:szCs w:val="22"/>
        </w:rPr>
        <w:t>Booking Holdings Inc. Common Stock (BKNG) Option Chain | Nasdaq</w:t>
      </w:r>
      <w:r w:rsidRPr="00366710">
        <w:rPr>
          <w:rFonts w:ascii="Arial" w:hAnsi="Arial" w:cs="Arial"/>
          <w:color w:val="000000"/>
          <w:sz w:val="22"/>
          <w:szCs w:val="22"/>
        </w:rPr>
        <w:t>. [online] Nasdaq. Available at: &lt;https://www.nasdaq.com/market-activity/stocks/bkng/option-chain&gt; [Accessed 16 August 2024].</w:t>
      </w:r>
    </w:p>
    <w:p w14:paraId="27A64722" w14:textId="77777777" w:rsidR="00FB2678" w:rsidRPr="001E0D4B" w:rsidRDefault="00FB2678" w:rsidP="00FB2678">
      <w:pPr>
        <w:spacing w:line="360" w:lineRule="auto"/>
        <w:rPr>
          <w:rFonts w:ascii="Arial" w:hAnsi="Arial" w:cs="Arial"/>
          <w:color w:val="202020"/>
          <w:sz w:val="22"/>
          <w:szCs w:val="22"/>
        </w:rPr>
      </w:pPr>
      <w:r w:rsidRPr="001E0D4B">
        <w:rPr>
          <w:rFonts w:ascii="Arial" w:hAnsi="Arial" w:cs="Arial"/>
          <w:color w:val="202020"/>
          <w:sz w:val="22"/>
          <w:szCs w:val="22"/>
        </w:rPr>
        <w:t xml:space="preserve">Orkhan Rustamov, </w:t>
      </w:r>
      <w:proofErr w:type="spellStart"/>
      <w:r w:rsidRPr="001E0D4B">
        <w:rPr>
          <w:rFonts w:ascii="Arial" w:hAnsi="Arial" w:cs="Arial"/>
          <w:color w:val="202020"/>
          <w:sz w:val="22"/>
          <w:szCs w:val="22"/>
        </w:rPr>
        <w:t>Fuzuli</w:t>
      </w:r>
      <w:proofErr w:type="spellEnd"/>
      <w:r w:rsidRPr="001E0D4B">
        <w:rPr>
          <w:rFonts w:ascii="Arial" w:hAnsi="Arial" w:cs="Arial"/>
          <w:color w:val="202020"/>
          <w:sz w:val="22"/>
          <w:szCs w:val="22"/>
        </w:rPr>
        <w:t xml:space="preserve"> Aliyev, Ajayi, R. and Suleymanov, E. (2024). A New Approach to Build a Successful Straddle Strategy: The Analytical Option Navigator. </w:t>
      </w:r>
      <w:r w:rsidRPr="001E0D4B">
        <w:rPr>
          <w:rFonts w:ascii="Arial" w:hAnsi="Arial" w:cs="Arial"/>
          <w:i/>
          <w:iCs/>
          <w:color w:val="202020"/>
          <w:sz w:val="22"/>
          <w:szCs w:val="22"/>
        </w:rPr>
        <w:t>Risks</w:t>
      </w:r>
      <w:r w:rsidRPr="001E0D4B">
        <w:rPr>
          <w:rFonts w:ascii="Arial" w:hAnsi="Arial" w:cs="Arial"/>
          <w:color w:val="202020"/>
          <w:sz w:val="22"/>
          <w:szCs w:val="22"/>
        </w:rPr>
        <w:t xml:space="preserve">, 12(7), pp.113–113. </w:t>
      </w:r>
      <w:proofErr w:type="spellStart"/>
      <w:proofErr w:type="gramStart"/>
      <w:r w:rsidRPr="001E0D4B">
        <w:rPr>
          <w:rFonts w:ascii="Arial" w:hAnsi="Arial" w:cs="Arial"/>
          <w:color w:val="202020"/>
          <w:sz w:val="22"/>
          <w:szCs w:val="22"/>
        </w:rPr>
        <w:t>doi:https</w:t>
      </w:r>
      <w:proofErr w:type="spellEnd"/>
      <w:r w:rsidRPr="001E0D4B">
        <w:rPr>
          <w:rFonts w:ascii="Arial" w:hAnsi="Arial" w:cs="Arial"/>
          <w:color w:val="202020"/>
          <w:sz w:val="22"/>
          <w:szCs w:val="22"/>
        </w:rPr>
        <w:t>://doi.org/10.3390/risks12070113</w:t>
      </w:r>
      <w:proofErr w:type="gramEnd"/>
      <w:r w:rsidRPr="001E0D4B">
        <w:rPr>
          <w:rFonts w:ascii="Arial" w:hAnsi="Arial" w:cs="Arial"/>
          <w:color w:val="202020"/>
          <w:sz w:val="22"/>
          <w:szCs w:val="22"/>
        </w:rPr>
        <w:t>.</w:t>
      </w:r>
    </w:p>
    <w:p w14:paraId="4DD2A403" w14:textId="64023182" w:rsidR="00D51FE7" w:rsidRPr="00FB2678" w:rsidRDefault="00EF6720" w:rsidP="00FB2678">
      <w:pPr>
        <w:pStyle w:val="NormalWeb"/>
        <w:spacing w:line="360" w:lineRule="auto"/>
        <w:rPr>
          <w:rFonts w:ascii="Arial" w:hAnsi="Arial" w:cs="Arial"/>
          <w:color w:val="000000"/>
          <w:sz w:val="22"/>
          <w:szCs w:val="22"/>
        </w:rPr>
      </w:pPr>
      <w:r w:rsidRPr="00EF6720">
        <w:rPr>
          <w:rFonts w:ascii="Arial" w:hAnsi="Arial" w:cs="Arial"/>
          <w:color w:val="000000"/>
          <w:sz w:val="22"/>
          <w:szCs w:val="22"/>
        </w:rPr>
        <w:lastRenderedPageBreak/>
        <w:t>Page, B. (2023). </w:t>
      </w:r>
      <w:r w:rsidRPr="00EF6720">
        <w:rPr>
          <w:rFonts w:ascii="Arial" w:hAnsi="Arial" w:cs="Arial"/>
          <w:i/>
          <w:iCs/>
          <w:color w:val="000000"/>
          <w:sz w:val="22"/>
          <w:szCs w:val="22"/>
        </w:rPr>
        <w:t>Risks Associated with Airbnb Arbitrage [Complete Guide]</w:t>
      </w:r>
      <w:r w:rsidRPr="00EF6720">
        <w:rPr>
          <w:rFonts w:ascii="Arial" w:hAnsi="Arial" w:cs="Arial"/>
          <w:color w:val="000000"/>
          <w:sz w:val="22"/>
          <w:szCs w:val="22"/>
        </w:rPr>
        <w:t>. [online] BNB Formula. Available at: https://bnbformula.com/exploring-the-risks-associated-with-airbnb-arbitrage-a-comprehensive-guide/ [Accessed 15 Aug. 2024].</w:t>
      </w:r>
    </w:p>
    <w:p w14:paraId="303EF3F9" w14:textId="77777777" w:rsidR="00FB2678" w:rsidRPr="00B30E6A" w:rsidRDefault="00FB2678" w:rsidP="00FB2678">
      <w:pPr>
        <w:spacing w:line="360" w:lineRule="auto"/>
        <w:rPr>
          <w:rFonts w:ascii="Arial" w:hAnsi="Arial" w:cs="Arial"/>
          <w:color w:val="202020"/>
          <w:sz w:val="22"/>
          <w:szCs w:val="22"/>
        </w:rPr>
      </w:pPr>
      <w:r w:rsidRPr="00B30E6A">
        <w:rPr>
          <w:rFonts w:ascii="Arial" w:hAnsi="Arial" w:cs="Arial"/>
          <w:color w:val="202020"/>
          <w:sz w:val="22"/>
          <w:szCs w:val="22"/>
        </w:rPr>
        <w:t>Powell, J.H., 2024. </w:t>
      </w:r>
      <w:r w:rsidRPr="00B30E6A">
        <w:rPr>
          <w:rFonts w:ascii="Arial" w:hAnsi="Arial" w:cs="Arial"/>
          <w:i/>
          <w:iCs/>
          <w:color w:val="202020"/>
          <w:sz w:val="22"/>
          <w:szCs w:val="22"/>
        </w:rPr>
        <w:t>Monetary Policy Report</w:t>
      </w:r>
      <w:r w:rsidRPr="00B30E6A">
        <w:rPr>
          <w:rFonts w:ascii="Arial" w:hAnsi="Arial" w:cs="Arial"/>
          <w:color w:val="202020"/>
          <w:sz w:val="22"/>
          <w:szCs w:val="22"/>
        </w:rPr>
        <w:t>. [online] Available at: &lt;https://www.federalreserve.gov/monetarypolicy/files/20240705_mprfullreport.pdf&gt;.</w:t>
      </w:r>
    </w:p>
    <w:p w14:paraId="0425404D" w14:textId="77777777" w:rsidR="00DB0EE7" w:rsidRPr="00D51FE7" w:rsidRDefault="00DB0EE7" w:rsidP="00D51FE7">
      <w:pPr>
        <w:spacing w:line="360" w:lineRule="auto"/>
        <w:rPr>
          <w:rFonts w:ascii="Arial" w:hAnsi="Arial" w:cs="Arial"/>
          <w:color w:val="202020"/>
          <w:sz w:val="22"/>
          <w:szCs w:val="22"/>
        </w:rPr>
      </w:pPr>
    </w:p>
    <w:p w14:paraId="6056DED3" w14:textId="77777777" w:rsidR="00CC3B51" w:rsidRDefault="00CC3B51" w:rsidP="00CC3B51">
      <w:pPr>
        <w:spacing w:line="360" w:lineRule="auto"/>
        <w:rPr>
          <w:rFonts w:ascii="Arial" w:hAnsi="Arial" w:cs="Arial"/>
          <w:color w:val="202020"/>
          <w:sz w:val="22"/>
          <w:szCs w:val="22"/>
        </w:rPr>
      </w:pPr>
    </w:p>
    <w:p w14:paraId="1508963B" w14:textId="2666426A" w:rsidR="00CC3B51" w:rsidRDefault="00CC3B51" w:rsidP="00CC3B51">
      <w:pPr>
        <w:spacing w:line="360" w:lineRule="auto"/>
        <w:rPr>
          <w:rFonts w:ascii="Arial" w:hAnsi="Arial" w:cs="Arial"/>
          <w:color w:val="202020"/>
          <w:sz w:val="22"/>
          <w:szCs w:val="22"/>
        </w:rPr>
      </w:pPr>
      <w:proofErr w:type="spellStart"/>
      <w:r w:rsidRPr="00CC3B51">
        <w:rPr>
          <w:rFonts w:ascii="Arial" w:hAnsi="Arial" w:cs="Arial"/>
          <w:color w:val="202020"/>
          <w:sz w:val="22"/>
          <w:szCs w:val="22"/>
        </w:rPr>
        <w:t>Sarath</w:t>
      </w:r>
      <w:proofErr w:type="spellEnd"/>
      <w:r w:rsidRPr="00CC3B51">
        <w:rPr>
          <w:rFonts w:ascii="Arial" w:hAnsi="Arial" w:cs="Arial"/>
          <w:color w:val="202020"/>
          <w:sz w:val="22"/>
          <w:szCs w:val="22"/>
        </w:rPr>
        <w:t xml:space="preserve"> (2021) </w:t>
      </w:r>
      <w:r w:rsidRPr="00CC3B51">
        <w:rPr>
          <w:rFonts w:ascii="Arial" w:hAnsi="Arial" w:cs="Arial"/>
          <w:i/>
          <w:iCs/>
          <w:color w:val="202020"/>
          <w:sz w:val="22"/>
          <w:szCs w:val="22"/>
        </w:rPr>
        <w:t xml:space="preserve">Airbnb IPO: All you need to know | </w:t>
      </w:r>
      <w:proofErr w:type="spellStart"/>
      <w:r w:rsidRPr="00CC3B51">
        <w:rPr>
          <w:rFonts w:ascii="Arial" w:hAnsi="Arial" w:cs="Arial"/>
          <w:i/>
          <w:iCs/>
          <w:color w:val="202020"/>
          <w:sz w:val="22"/>
          <w:szCs w:val="22"/>
        </w:rPr>
        <w:t>Eqvista</w:t>
      </w:r>
      <w:proofErr w:type="spellEnd"/>
      <w:r w:rsidRPr="00CC3B51">
        <w:rPr>
          <w:rFonts w:ascii="Arial" w:hAnsi="Arial" w:cs="Arial"/>
          <w:color w:val="202020"/>
          <w:sz w:val="22"/>
          <w:szCs w:val="22"/>
        </w:rPr>
        <w:t> [online]. Available from: </w:t>
      </w:r>
      <w:hyperlink r:id="rId15" w:history="1">
        <w:r w:rsidR="00F744D3" w:rsidRPr="001A13B0">
          <w:rPr>
            <w:rStyle w:val="Hyperlink"/>
            <w:rFonts w:ascii="Arial" w:hAnsi="Arial" w:cs="Arial"/>
            <w:sz w:val="22"/>
            <w:szCs w:val="22"/>
          </w:rPr>
          <w:t>https://eqvista.com/airbnb-ipo-all-you-need-to-know/</w:t>
        </w:r>
      </w:hyperlink>
      <w:r w:rsidRPr="00CC3B51">
        <w:rPr>
          <w:rFonts w:ascii="Arial" w:hAnsi="Arial" w:cs="Arial"/>
          <w:color w:val="202020"/>
          <w:sz w:val="22"/>
          <w:szCs w:val="22"/>
        </w:rPr>
        <w:t>.</w:t>
      </w:r>
    </w:p>
    <w:p w14:paraId="2D27072D" w14:textId="77777777" w:rsidR="00F744D3" w:rsidRDefault="00F744D3" w:rsidP="00CC3B51">
      <w:pPr>
        <w:spacing w:line="360" w:lineRule="auto"/>
        <w:rPr>
          <w:rFonts w:ascii="Arial" w:hAnsi="Arial" w:cs="Arial"/>
          <w:color w:val="202020"/>
          <w:sz w:val="22"/>
          <w:szCs w:val="22"/>
        </w:rPr>
      </w:pPr>
    </w:p>
    <w:p w14:paraId="16C098CD" w14:textId="77777777" w:rsidR="00F744D3" w:rsidRPr="00F744D3" w:rsidRDefault="00F744D3" w:rsidP="00F744D3">
      <w:pPr>
        <w:spacing w:line="360" w:lineRule="auto"/>
        <w:rPr>
          <w:rFonts w:ascii="Arial" w:hAnsi="Arial" w:cs="Arial"/>
          <w:color w:val="202020"/>
          <w:sz w:val="22"/>
          <w:szCs w:val="22"/>
        </w:rPr>
      </w:pPr>
      <w:r w:rsidRPr="00F744D3">
        <w:rPr>
          <w:rFonts w:ascii="Arial" w:hAnsi="Arial" w:cs="Arial"/>
          <w:color w:val="202020"/>
          <w:sz w:val="22"/>
          <w:szCs w:val="22"/>
        </w:rPr>
        <w:t>SEC (2020). </w:t>
      </w:r>
      <w:r w:rsidRPr="00F744D3">
        <w:rPr>
          <w:rFonts w:ascii="Arial" w:hAnsi="Arial" w:cs="Arial"/>
          <w:i/>
          <w:iCs/>
          <w:color w:val="202020"/>
          <w:sz w:val="22"/>
          <w:szCs w:val="22"/>
        </w:rPr>
        <w:t>S-1</w:t>
      </w:r>
      <w:r w:rsidRPr="00F744D3">
        <w:rPr>
          <w:rFonts w:ascii="Arial" w:hAnsi="Arial" w:cs="Arial"/>
          <w:color w:val="202020"/>
          <w:sz w:val="22"/>
          <w:szCs w:val="22"/>
        </w:rPr>
        <w:t>. [online] www.sec.gov. Available at: https://www.sec.gov/Archives/edgar/data/1559720/000119312520294801/d81668ds1.htm [Accessed 13 Aug. 2024].</w:t>
      </w:r>
    </w:p>
    <w:p w14:paraId="3DFD31D5" w14:textId="77777777" w:rsidR="00CC3B51" w:rsidRDefault="00CC3B51" w:rsidP="00CC3B51">
      <w:pPr>
        <w:spacing w:line="360" w:lineRule="auto"/>
        <w:rPr>
          <w:rFonts w:ascii="Arial" w:hAnsi="Arial" w:cs="Arial"/>
          <w:color w:val="202020"/>
          <w:sz w:val="22"/>
          <w:szCs w:val="22"/>
        </w:rPr>
      </w:pPr>
    </w:p>
    <w:p w14:paraId="1C17D7E2" w14:textId="5D933B7E" w:rsidR="009633B8" w:rsidRDefault="009633B8" w:rsidP="009633B8">
      <w:pPr>
        <w:spacing w:line="360" w:lineRule="auto"/>
        <w:rPr>
          <w:rFonts w:ascii="Arial" w:hAnsi="Arial" w:cs="Arial"/>
          <w:color w:val="202020"/>
          <w:sz w:val="22"/>
          <w:szCs w:val="22"/>
        </w:rPr>
      </w:pPr>
      <w:proofErr w:type="spellStart"/>
      <w:r w:rsidRPr="009633B8">
        <w:rPr>
          <w:rFonts w:ascii="Arial" w:hAnsi="Arial" w:cs="Arial"/>
          <w:color w:val="202020"/>
          <w:sz w:val="22"/>
          <w:szCs w:val="22"/>
        </w:rPr>
        <w:t>Sigalos</w:t>
      </w:r>
      <w:proofErr w:type="spellEnd"/>
      <w:r w:rsidRPr="009633B8">
        <w:rPr>
          <w:rFonts w:ascii="Arial" w:hAnsi="Arial" w:cs="Arial"/>
          <w:color w:val="202020"/>
          <w:sz w:val="22"/>
          <w:szCs w:val="22"/>
        </w:rPr>
        <w:t>, M., Smith, J. and Berger, A. (2020) </w:t>
      </w:r>
      <w:r w:rsidRPr="009633B8">
        <w:rPr>
          <w:rFonts w:ascii="Arial" w:hAnsi="Arial" w:cs="Arial"/>
          <w:i/>
          <w:iCs/>
          <w:color w:val="202020"/>
          <w:sz w:val="22"/>
          <w:szCs w:val="22"/>
        </w:rPr>
        <w:t>Airbnb’s jaw-dropping IPO surge, explained: CNBC After Hours</w:t>
      </w:r>
      <w:r w:rsidRPr="009633B8">
        <w:rPr>
          <w:rFonts w:ascii="Arial" w:hAnsi="Arial" w:cs="Arial"/>
          <w:color w:val="202020"/>
          <w:sz w:val="22"/>
          <w:szCs w:val="22"/>
        </w:rPr>
        <w:t>, </w:t>
      </w:r>
      <w:r w:rsidRPr="009633B8">
        <w:rPr>
          <w:rFonts w:ascii="Arial" w:hAnsi="Arial" w:cs="Arial"/>
          <w:i/>
          <w:iCs/>
          <w:color w:val="202020"/>
          <w:sz w:val="22"/>
          <w:szCs w:val="22"/>
        </w:rPr>
        <w:t>CNBC</w:t>
      </w:r>
      <w:r w:rsidRPr="009633B8">
        <w:rPr>
          <w:rFonts w:ascii="Arial" w:hAnsi="Arial" w:cs="Arial"/>
          <w:color w:val="202020"/>
          <w:sz w:val="22"/>
          <w:szCs w:val="22"/>
        </w:rPr>
        <w:t>. Available at: </w:t>
      </w:r>
      <w:hyperlink r:id="rId16" w:history="1">
        <w:r w:rsidR="00B30E6A" w:rsidRPr="009633B8">
          <w:rPr>
            <w:rStyle w:val="Hyperlink"/>
            <w:rFonts w:ascii="Arial" w:hAnsi="Arial" w:cs="Arial"/>
            <w:sz w:val="22"/>
            <w:szCs w:val="22"/>
          </w:rPr>
          <w:t>https://www.cnbc.com/2020/12/10/airbnbs-jaw-dropping-ipo-surge-explained.html</w:t>
        </w:r>
      </w:hyperlink>
      <w:r w:rsidRPr="009633B8">
        <w:rPr>
          <w:rFonts w:ascii="Arial" w:hAnsi="Arial" w:cs="Arial"/>
          <w:color w:val="202020"/>
          <w:sz w:val="22"/>
          <w:szCs w:val="22"/>
        </w:rPr>
        <w:t>.</w:t>
      </w:r>
    </w:p>
    <w:p w14:paraId="2C7C8157" w14:textId="77777777" w:rsidR="005D207F" w:rsidRDefault="005D207F" w:rsidP="003D786B">
      <w:pPr>
        <w:spacing w:line="360" w:lineRule="auto"/>
        <w:rPr>
          <w:rFonts w:ascii="Arial" w:hAnsi="Arial" w:cs="Arial"/>
          <w:color w:val="202020"/>
          <w:sz w:val="22"/>
          <w:szCs w:val="22"/>
        </w:rPr>
      </w:pPr>
    </w:p>
    <w:p w14:paraId="07890E40" w14:textId="77777777" w:rsidR="005D207F" w:rsidRDefault="005D207F" w:rsidP="005D207F">
      <w:pPr>
        <w:spacing w:line="360" w:lineRule="auto"/>
        <w:rPr>
          <w:rFonts w:ascii="Arial" w:hAnsi="Arial" w:cs="Arial"/>
          <w:color w:val="202020"/>
          <w:sz w:val="22"/>
          <w:szCs w:val="22"/>
        </w:rPr>
      </w:pPr>
      <w:r w:rsidRPr="005D207F">
        <w:rPr>
          <w:rFonts w:ascii="Arial" w:hAnsi="Arial" w:cs="Arial"/>
          <w:color w:val="202020"/>
          <w:sz w:val="22"/>
          <w:szCs w:val="22"/>
        </w:rPr>
        <w:t>Yahoo.com. (2024). </w:t>
      </w:r>
      <w:r w:rsidRPr="005D207F">
        <w:rPr>
          <w:rFonts w:ascii="Arial" w:hAnsi="Arial" w:cs="Arial"/>
          <w:i/>
          <w:iCs/>
          <w:color w:val="202020"/>
          <w:sz w:val="22"/>
          <w:szCs w:val="22"/>
        </w:rPr>
        <w:t>Airbnb, Inc. (ABNB) Stock Historical Prices &amp; Data - Yahoo Finance</w:t>
      </w:r>
      <w:r w:rsidRPr="005D207F">
        <w:rPr>
          <w:rFonts w:ascii="Arial" w:hAnsi="Arial" w:cs="Arial"/>
          <w:color w:val="202020"/>
          <w:sz w:val="22"/>
          <w:szCs w:val="22"/>
        </w:rPr>
        <w:t>. [online] Available at: https://finance.yahoo.com/quote/ABNB/history/?period1=1566753258&amp;period2=1724606054 [Accessed 20 Aug. 2024].</w:t>
      </w:r>
    </w:p>
    <w:p w14:paraId="7CAF2FAA" w14:textId="77777777" w:rsidR="00FF2148" w:rsidRDefault="00FF2148" w:rsidP="005D207F">
      <w:pPr>
        <w:spacing w:line="360" w:lineRule="auto"/>
        <w:rPr>
          <w:rFonts w:ascii="Arial" w:hAnsi="Arial" w:cs="Arial"/>
          <w:color w:val="202020"/>
          <w:sz w:val="22"/>
          <w:szCs w:val="22"/>
        </w:rPr>
      </w:pPr>
    </w:p>
    <w:p w14:paraId="621D740E" w14:textId="77777777" w:rsidR="00FF2148" w:rsidRDefault="00FF2148" w:rsidP="00FF2148">
      <w:pPr>
        <w:spacing w:line="360" w:lineRule="auto"/>
        <w:rPr>
          <w:rFonts w:ascii="Arial" w:hAnsi="Arial" w:cs="Arial"/>
          <w:color w:val="202020"/>
          <w:sz w:val="22"/>
          <w:szCs w:val="22"/>
        </w:rPr>
      </w:pPr>
      <w:r w:rsidRPr="00FF2148">
        <w:rPr>
          <w:rFonts w:ascii="Arial" w:hAnsi="Arial" w:cs="Arial"/>
          <w:color w:val="202020"/>
          <w:sz w:val="22"/>
          <w:szCs w:val="22"/>
        </w:rPr>
        <w:t>Yahoo Finance.com. (n.d.). </w:t>
      </w:r>
      <w:r w:rsidRPr="00FF2148">
        <w:rPr>
          <w:rFonts w:ascii="Arial" w:hAnsi="Arial" w:cs="Arial"/>
          <w:i/>
          <w:iCs/>
          <w:color w:val="202020"/>
          <w:sz w:val="22"/>
          <w:szCs w:val="22"/>
        </w:rPr>
        <w:t>Airbnb, Inc. (ABNB) Valuation Measures &amp; Financial Statistics</w:t>
      </w:r>
      <w:r w:rsidRPr="00FF2148">
        <w:rPr>
          <w:rFonts w:ascii="Arial" w:hAnsi="Arial" w:cs="Arial"/>
          <w:color w:val="202020"/>
          <w:sz w:val="22"/>
          <w:szCs w:val="22"/>
        </w:rPr>
        <w:t>. [online] Available at: https://finance.yahoo.com/quote/ABNB/key-statistics/ [Accessed 16 Aug. 2024].</w:t>
      </w:r>
    </w:p>
    <w:p w14:paraId="7599949D" w14:textId="77777777" w:rsidR="00FB2678" w:rsidRDefault="00FB2678" w:rsidP="00FF2148">
      <w:pPr>
        <w:spacing w:line="360" w:lineRule="auto"/>
        <w:rPr>
          <w:rFonts w:ascii="Arial" w:hAnsi="Arial" w:cs="Arial"/>
          <w:color w:val="202020"/>
          <w:sz w:val="22"/>
          <w:szCs w:val="22"/>
        </w:rPr>
      </w:pPr>
    </w:p>
    <w:p w14:paraId="4342AED5" w14:textId="20A99406" w:rsidR="00B30454" w:rsidRDefault="00B30454" w:rsidP="00B30454">
      <w:pPr>
        <w:pStyle w:val="NormalWeb"/>
        <w:spacing w:before="0" w:beforeAutospacing="0" w:after="240" w:afterAutospacing="0" w:line="360" w:lineRule="atLeast"/>
        <w:rPr>
          <w:color w:val="000000"/>
        </w:rPr>
      </w:pPr>
      <w:r>
        <w:rPr>
          <w:color w:val="000000"/>
        </w:rPr>
        <w:t>Yahoo</w:t>
      </w:r>
      <w:r>
        <w:rPr>
          <w:color w:val="000000"/>
        </w:rPr>
        <w:t xml:space="preserve"> </w:t>
      </w:r>
      <w:r>
        <w:rPr>
          <w:color w:val="000000"/>
        </w:rPr>
        <w:tab/>
        <w:t>Finance (n.d.)</w:t>
      </w:r>
      <w:r>
        <w:rPr>
          <w:color w:val="000000"/>
        </w:rPr>
        <w:t>.</w:t>
      </w:r>
      <w:r>
        <w:rPr>
          <w:rStyle w:val="apple-converted-space"/>
          <w:rFonts w:eastAsiaTheme="majorEastAsia"/>
          <w:color w:val="000000"/>
        </w:rPr>
        <w:t> </w:t>
      </w:r>
      <w:r>
        <w:rPr>
          <w:i/>
          <w:iCs/>
          <w:color w:val="000000"/>
        </w:rPr>
        <w:t>Booking Holdings Inc (PCE1.HM) stock historical prices and data – Yahoo Finance</w:t>
      </w:r>
      <w:r>
        <w:rPr>
          <w:color w:val="000000"/>
        </w:rPr>
        <w:t>. [online] Available at: https://uk.finance.yahoo.com/quote/PCE1.HM/history/ [Accessed 18 Aug. 2024].</w:t>
      </w:r>
    </w:p>
    <w:p w14:paraId="699A2CF6" w14:textId="77777777" w:rsidR="00B30454" w:rsidRPr="00FF2148" w:rsidRDefault="00B30454" w:rsidP="00FF2148">
      <w:pPr>
        <w:spacing w:line="360" w:lineRule="auto"/>
        <w:rPr>
          <w:rFonts w:ascii="Arial" w:hAnsi="Arial" w:cs="Arial"/>
          <w:color w:val="202020"/>
          <w:sz w:val="22"/>
          <w:szCs w:val="22"/>
        </w:rPr>
      </w:pPr>
    </w:p>
    <w:p w14:paraId="2DA5483B" w14:textId="77777777" w:rsidR="00FF2148" w:rsidRPr="005D207F" w:rsidRDefault="00FF2148" w:rsidP="005D207F">
      <w:pPr>
        <w:spacing w:line="360" w:lineRule="auto"/>
        <w:rPr>
          <w:rFonts w:ascii="Arial" w:hAnsi="Arial" w:cs="Arial"/>
          <w:color w:val="202020"/>
          <w:sz w:val="22"/>
          <w:szCs w:val="22"/>
        </w:rPr>
      </w:pPr>
    </w:p>
    <w:p w14:paraId="4CC261FB" w14:textId="77777777" w:rsidR="005D207F" w:rsidRDefault="005D207F" w:rsidP="003D786B">
      <w:pPr>
        <w:spacing w:line="360" w:lineRule="auto"/>
        <w:rPr>
          <w:rFonts w:ascii="Arial" w:hAnsi="Arial" w:cs="Arial"/>
          <w:color w:val="202020"/>
          <w:sz w:val="22"/>
          <w:szCs w:val="22"/>
        </w:rPr>
      </w:pPr>
    </w:p>
    <w:p w14:paraId="02ACCA1D" w14:textId="77777777" w:rsidR="00AE16DC" w:rsidRDefault="00AE16DC" w:rsidP="00CC3B51">
      <w:pPr>
        <w:rPr>
          <w:b/>
          <w:bCs/>
          <w:i/>
          <w:iCs/>
        </w:rPr>
      </w:pPr>
    </w:p>
    <w:p w14:paraId="1BC0DF04" w14:textId="35290B8C" w:rsidR="00A63013" w:rsidRDefault="001F16B6" w:rsidP="005C3579">
      <w:pPr>
        <w:pStyle w:val="Heading1"/>
      </w:pPr>
      <w:bookmarkStart w:id="13" w:name="_Toc175604837"/>
      <w:r>
        <w:lastRenderedPageBreak/>
        <w:t>Appendix:</w:t>
      </w:r>
      <w:bookmarkEnd w:id="13"/>
    </w:p>
    <w:p w14:paraId="135C9282" w14:textId="3869C8F0" w:rsidR="001F16B6" w:rsidRDefault="001F16B6" w:rsidP="00CC3B51">
      <w:pPr>
        <w:rPr>
          <w:b/>
          <w:bCs/>
          <w:i/>
          <w:iCs/>
        </w:rPr>
      </w:pPr>
    </w:p>
    <w:p w14:paraId="582F4013" w14:textId="7D6F4BF3" w:rsidR="001F16B6" w:rsidRDefault="001F16B6" w:rsidP="00CC3B51">
      <w:pPr>
        <w:rPr>
          <w:b/>
          <w:bCs/>
        </w:rPr>
      </w:pPr>
      <w:r>
        <w:rPr>
          <w:b/>
          <w:bCs/>
        </w:rPr>
        <w:t>Calculations CAGR for AIRBNB</w:t>
      </w:r>
    </w:p>
    <w:p w14:paraId="5735FEC8" w14:textId="77777777" w:rsidR="00C96441" w:rsidRPr="00FD1BAA" w:rsidRDefault="00C96441" w:rsidP="00CC3B51">
      <w:pPr>
        <w:rPr>
          <w:rFonts w:ascii="Arial" w:hAnsi="Arial" w:cs="Arial"/>
          <w:i/>
          <w:iCs/>
          <w:sz w:val="22"/>
          <w:szCs w:val="22"/>
        </w:rPr>
      </w:pPr>
    </w:p>
    <w:p w14:paraId="6A148D85" w14:textId="6FB80C8C" w:rsidR="001F16B6" w:rsidRPr="00FD1BAA" w:rsidRDefault="00C96441" w:rsidP="00CC3B51">
      <w:pPr>
        <w:rPr>
          <w:rFonts w:ascii="Arial" w:hAnsi="Arial" w:cs="Arial"/>
          <w:i/>
          <w:iCs/>
          <w:sz w:val="22"/>
          <w:szCs w:val="22"/>
        </w:rPr>
      </w:pPr>
      <w:r w:rsidRPr="00FD1BAA">
        <w:rPr>
          <w:rFonts w:ascii="Arial" w:hAnsi="Arial" w:cs="Arial"/>
          <w:i/>
          <w:iCs/>
          <w:sz w:val="22"/>
          <w:szCs w:val="22"/>
        </w:rPr>
        <w:t>2020 (From IPO on December 10, 2020, to December 31, 2020)</w:t>
      </w:r>
    </w:p>
    <w:p w14:paraId="3F4B91E7" w14:textId="77777777" w:rsidR="00FD1BAA" w:rsidRDefault="00FD1BAA" w:rsidP="00CC3B51">
      <w:pPr>
        <w:rPr>
          <w:i/>
          <w:iCs/>
          <w:sz w:val="22"/>
          <w:szCs w:val="22"/>
        </w:rPr>
      </w:pPr>
    </w:p>
    <w:p w14:paraId="23F632C6" w14:textId="1DC2344A" w:rsidR="0073696C" w:rsidRPr="0073696C" w:rsidRDefault="0073696C" w:rsidP="0073696C">
      <w:pPr>
        <w:rPr>
          <w:rFonts w:ascii="Arial" w:hAnsi="Arial" w:cs="Arial"/>
          <w:sz w:val="22"/>
          <w:szCs w:val="22"/>
        </w:rPr>
      </w:pPr>
      <w:r w:rsidRPr="0073696C">
        <w:rPr>
          <w:rFonts w:ascii="Arial" w:hAnsi="Arial" w:cs="Arial"/>
          <w:sz w:val="22"/>
          <w:szCs w:val="22"/>
        </w:rPr>
        <w:t>Beginning Value: The stock price on the IPO date, December 10, 2020, was $144.71.</w:t>
      </w:r>
    </w:p>
    <w:p w14:paraId="2202F781" w14:textId="626D7F86" w:rsidR="0073696C" w:rsidRPr="00260777" w:rsidRDefault="0073696C" w:rsidP="0073696C">
      <w:pPr>
        <w:rPr>
          <w:rFonts w:ascii="Arial" w:hAnsi="Arial" w:cs="Arial"/>
          <w:sz w:val="22"/>
          <w:szCs w:val="22"/>
        </w:rPr>
      </w:pPr>
      <w:r w:rsidRPr="00260777">
        <w:rPr>
          <w:rFonts w:ascii="Arial" w:hAnsi="Arial" w:cs="Arial"/>
          <w:sz w:val="22"/>
          <w:szCs w:val="22"/>
        </w:rPr>
        <w:t>Ending Value: The stock price on December 31, 2020, was $146.70.</w:t>
      </w:r>
    </w:p>
    <w:p w14:paraId="446FFBAD" w14:textId="77777777" w:rsidR="0073696C" w:rsidRPr="00EE19DD" w:rsidRDefault="0073696C" w:rsidP="0073696C">
      <w:pPr>
        <w:rPr>
          <w:rFonts w:ascii="Arial" w:hAnsi="Arial" w:cs="Arial"/>
          <w:i/>
          <w:iCs/>
          <w:sz w:val="22"/>
          <w:szCs w:val="22"/>
        </w:rPr>
      </w:pPr>
    </w:p>
    <w:p w14:paraId="256380C1" w14:textId="224DBE81" w:rsidR="00C96441" w:rsidRPr="00EE19DD" w:rsidRDefault="00C96441" w:rsidP="00CC3B51">
      <w:pPr>
        <w:rPr>
          <w:rFonts w:ascii="Arial" w:hAnsi="Arial" w:cs="Arial"/>
          <w:sz w:val="22"/>
          <w:szCs w:val="22"/>
        </w:rPr>
      </w:pPr>
      <w:r w:rsidRPr="00EE19DD">
        <w:rPr>
          <w:rFonts w:ascii="Arial" w:hAnsi="Arial" w:cs="Arial"/>
          <w:sz w:val="22"/>
          <w:szCs w:val="22"/>
        </w:rPr>
        <w:t>CAGR=</w:t>
      </w:r>
      <w:r w:rsidR="00DC4978" w:rsidRPr="00EE19DD">
        <w:rPr>
          <w:rFonts w:ascii="Arial" w:hAnsi="Arial" w:cs="Arial"/>
          <w:sz w:val="22"/>
          <w:szCs w:val="22"/>
        </w:rPr>
        <w:t xml:space="preserve"> (</w:t>
      </w:r>
      <w:r w:rsidR="00DC4978" w:rsidRPr="00EE19DD">
        <w:rPr>
          <w:rFonts w:ascii="Arial" w:hAnsi="Arial" w:cs="Arial"/>
          <w:sz w:val="22"/>
          <w:szCs w:val="22"/>
        </w:rPr>
        <w:t>146.70</w:t>
      </w:r>
      <w:r w:rsidR="00716A9C">
        <w:rPr>
          <w:rFonts w:ascii="Arial" w:hAnsi="Arial" w:cs="Arial"/>
          <w:sz w:val="22"/>
          <w:szCs w:val="22"/>
        </w:rPr>
        <w:t xml:space="preserve"> </w:t>
      </w:r>
      <w:r w:rsidR="00DC4978" w:rsidRPr="00EE19DD">
        <w:rPr>
          <w:rFonts w:ascii="Arial" w:hAnsi="Arial" w:cs="Arial"/>
          <w:sz w:val="22"/>
          <w:szCs w:val="22"/>
        </w:rPr>
        <w:t>/</w:t>
      </w:r>
      <w:r w:rsidR="00FD1BAA" w:rsidRPr="00EE19DD">
        <w:rPr>
          <w:rFonts w:ascii="Arial" w:hAnsi="Arial" w:cs="Arial"/>
          <w:color w:val="000000"/>
          <w:sz w:val="22"/>
          <w:szCs w:val="22"/>
        </w:rPr>
        <w:t xml:space="preserve"> </w:t>
      </w:r>
      <w:r w:rsidR="00FD1BAA" w:rsidRPr="00EE19DD">
        <w:rPr>
          <w:rFonts w:ascii="Arial" w:hAnsi="Arial" w:cs="Arial"/>
          <w:sz w:val="22"/>
          <w:szCs w:val="22"/>
        </w:rPr>
        <w:t>144.71</w:t>
      </w:r>
      <w:r w:rsidR="00FD1BAA" w:rsidRPr="00EE19DD">
        <w:rPr>
          <w:rFonts w:ascii="Arial" w:hAnsi="Arial" w:cs="Arial"/>
          <w:sz w:val="22"/>
          <w:szCs w:val="22"/>
        </w:rPr>
        <w:t xml:space="preserve">)-1= </w:t>
      </w:r>
      <w:r w:rsidR="00FD1BAA" w:rsidRPr="00EE19DD">
        <w:rPr>
          <w:rFonts w:ascii="Arial" w:hAnsi="Arial" w:cs="Arial"/>
          <w:sz w:val="22"/>
          <w:szCs w:val="22"/>
        </w:rPr>
        <w:t>0.0137 or 1.37%</w:t>
      </w:r>
    </w:p>
    <w:p w14:paraId="24AC46B5" w14:textId="77777777" w:rsidR="00FD1BAA" w:rsidRDefault="00FD1BAA" w:rsidP="00CC3B51">
      <w:pPr>
        <w:rPr>
          <w:sz w:val="22"/>
          <w:szCs w:val="22"/>
        </w:rPr>
      </w:pPr>
    </w:p>
    <w:p w14:paraId="04FE6C92" w14:textId="3E7D8343" w:rsidR="0073696C" w:rsidRPr="009E5383" w:rsidRDefault="0073696C" w:rsidP="00CC3B51">
      <w:pPr>
        <w:rPr>
          <w:rFonts w:ascii="Arial" w:hAnsi="Arial" w:cs="Arial"/>
          <w:i/>
          <w:iCs/>
          <w:sz w:val="22"/>
          <w:szCs w:val="22"/>
        </w:rPr>
      </w:pPr>
      <w:r w:rsidRPr="009E5383">
        <w:rPr>
          <w:rFonts w:ascii="Arial" w:hAnsi="Arial" w:cs="Arial"/>
          <w:i/>
          <w:iCs/>
          <w:sz w:val="22"/>
          <w:szCs w:val="22"/>
        </w:rPr>
        <w:t>2021</w:t>
      </w:r>
    </w:p>
    <w:p w14:paraId="67FA9DA8" w14:textId="77777777" w:rsidR="009E5383" w:rsidRPr="009E5383" w:rsidRDefault="009E5383" w:rsidP="00CC3B51">
      <w:pPr>
        <w:rPr>
          <w:rFonts w:ascii="Arial" w:hAnsi="Arial" w:cs="Arial"/>
          <w:i/>
          <w:iCs/>
          <w:sz w:val="22"/>
          <w:szCs w:val="22"/>
        </w:rPr>
      </w:pPr>
    </w:p>
    <w:p w14:paraId="5AE2E591" w14:textId="4D1FA113" w:rsidR="009E5383" w:rsidRPr="009E5383" w:rsidRDefault="009E5383" w:rsidP="009E5383">
      <w:pPr>
        <w:rPr>
          <w:rFonts w:ascii="Arial" w:hAnsi="Arial" w:cs="Arial"/>
          <w:sz w:val="22"/>
          <w:szCs w:val="22"/>
        </w:rPr>
      </w:pPr>
      <w:r w:rsidRPr="009E5383">
        <w:rPr>
          <w:rFonts w:ascii="Arial" w:hAnsi="Arial" w:cs="Arial"/>
          <w:sz w:val="22"/>
          <w:szCs w:val="22"/>
        </w:rPr>
        <w:t>Beginning Value: The stock price on January 4, 2021 (the first trading day of 2021), was $146.70.</w:t>
      </w:r>
    </w:p>
    <w:p w14:paraId="4EE70C3D" w14:textId="423706F4" w:rsidR="0073696C" w:rsidRDefault="009E5383" w:rsidP="009E5383">
      <w:pPr>
        <w:rPr>
          <w:rFonts w:ascii="Arial" w:hAnsi="Arial" w:cs="Arial"/>
          <w:sz w:val="22"/>
          <w:szCs w:val="22"/>
        </w:rPr>
      </w:pPr>
      <w:r w:rsidRPr="009E5383">
        <w:rPr>
          <w:rFonts w:ascii="Arial" w:hAnsi="Arial" w:cs="Arial"/>
          <w:sz w:val="22"/>
          <w:szCs w:val="22"/>
        </w:rPr>
        <w:t>Ending Value: The stock price on December 31, 2021, was $175.18.</w:t>
      </w:r>
    </w:p>
    <w:p w14:paraId="0B43B14B" w14:textId="77777777" w:rsidR="00EE19DD" w:rsidRDefault="00EE19DD" w:rsidP="009E5383">
      <w:pPr>
        <w:rPr>
          <w:rFonts w:ascii="Arial" w:hAnsi="Arial" w:cs="Arial"/>
          <w:sz w:val="22"/>
          <w:szCs w:val="22"/>
        </w:rPr>
      </w:pPr>
    </w:p>
    <w:p w14:paraId="60C699F5" w14:textId="22D9998F" w:rsidR="00EE19DD" w:rsidRDefault="00EE19DD" w:rsidP="009E5383">
      <w:pPr>
        <w:rPr>
          <w:rFonts w:ascii="Arial" w:hAnsi="Arial" w:cs="Arial"/>
          <w:sz w:val="22"/>
          <w:szCs w:val="22"/>
        </w:rPr>
      </w:pPr>
      <w:r>
        <w:rPr>
          <w:rFonts w:ascii="Arial" w:hAnsi="Arial" w:cs="Arial"/>
          <w:sz w:val="22"/>
          <w:szCs w:val="22"/>
        </w:rPr>
        <w:t>CAGR= (</w:t>
      </w:r>
      <w:r w:rsidR="00716A9C" w:rsidRPr="00716A9C">
        <w:rPr>
          <w:rFonts w:ascii="Arial" w:hAnsi="Arial" w:cs="Arial"/>
          <w:sz w:val="22"/>
          <w:szCs w:val="22"/>
        </w:rPr>
        <w:t>175.18</w:t>
      </w:r>
      <w:r w:rsidR="00716A9C">
        <w:rPr>
          <w:rFonts w:ascii="Arial" w:hAnsi="Arial" w:cs="Arial"/>
          <w:sz w:val="22"/>
          <w:szCs w:val="22"/>
        </w:rPr>
        <w:t xml:space="preserve"> / </w:t>
      </w:r>
      <w:r w:rsidR="00A90B67">
        <w:rPr>
          <w:rFonts w:ascii="Arial" w:hAnsi="Arial" w:cs="Arial"/>
          <w:sz w:val="22"/>
          <w:szCs w:val="22"/>
        </w:rPr>
        <w:t>146.1)-1=</w:t>
      </w:r>
      <w:r w:rsidR="00260777" w:rsidRPr="00260777">
        <w:rPr>
          <w:color w:val="000000"/>
        </w:rPr>
        <w:t xml:space="preserve"> </w:t>
      </w:r>
      <w:r w:rsidR="00260777" w:rsidRPr="00260777">
        <w:rPr>
          <w:rFonts w:ascii="Arial" w:hAnsi="Arial" w:cs="Arial"/>
          <w:sz w:val="22"/>
          <w:szCs w:val="22"/>
        </w:rPr>
        <w:t>0.1944 or 19.44%</w:t>
      </w:r>
    </w:p>
    <w:p w14:paraId="13C8A3AB" w14:textId="77777777" w:rsidR="005A7163" w:rsidRDefault="005A7163" w:rsidP="009E5383">
      <w:pPr>
        <w:rPr>
          <w:rFonts w:ascii="Arial" w:hAnsi="Arial" w:cs="Arial"/>
          <w:sz w:val="22"/>
          <w:szCs w:val="22"/>
        </w:rPr>
      </w:pPr>
    </w:p>
    <w:p w14:paraId="70B0A530" w14:textId="50F05759" w:rsidR="005A7163" w:rsidRDefault="005A7163" w:rsidP="009E5383">
      <w:pPr>
        <w:rPr>
          <w:rFonts w:ascii="Arial" w:hAnsi="Arial" w:cs="Arial"/>
          <w:i/>
          <w:iCs/>
          <w:sz w:val="22"/>
          <w:szCs w:val="22"/>
        </w:rPr>
      </w:pPr>
      <w:r>
        <w:rPr>
          <w:rFonts w:ascii="Arial" w:hAnsi="Arial" w:cs="Arial"/>
          <w:i/>
          <w:iCs/>
          <w:sz w:val="22"/>
          <w:szCs w:val="22"/>
        </w:rPr>
        <w:t>2022</w:t>
      </w:r>
    </w:p>
    <w:p w14:paraId="3B615745" w14:textId="77777777" w:rsidR="005A7163" w:rsidRPr="00A91AB3" w:rsidRDefault="005A7163" w:rsidP="009E5383">
      <w:pPr>
        <w:rPr>
          <w:rFonts w:ascii="Arial" w:hAnsi="Arial" w:cs="Arial"/>
          <w:sz w:val="22"/>
          <w:szCs w:val="22"/>
        </w:rPr>
      </w:pPr>
    </w:p>
    <w:p w14:paraId="3D26E7D9" w14:textId="41EF9725" w:rsidR="00A91AB3" w:rsidRPr="00A91AB3" w:rsidRDefault="00A91AB3" w:rsidP="00A91AB3">
      <w:pPr>
        <w:rPr>
          <w:rFonts w:ascii="Arial" w:hAnsi="Arial" w:cs="Arial"/>
          <w:sz w:val="22"/>
          <w:szCs w:val="22"/>
        </w:rPr>
      </w:pPr>
      <w:r w:rsidRPr="00A91AB3">
        <w:rPr>
          <w:rFonts w:ascii="Arial" w:hAnsi="Arial" w:cs="Arial"/>
          <w:sz w:val="22"/>
          <w:szCs w:val="22"/>
        </w:rPr>
        <w:t>Beginning Value: The stock price on January 3, 2022 (the first trading day of 2022), was $175.18.</w:t>
      </w:r>
    </w:p>
    <w:p w14:paraId="4A1F2C8C" w14:textId="4E1362E2" w:rsidR="005A7163" w:rsidRPr="00BF25D6" w:rsidRDefault="00A91AB3" w:rsidP="00A91AB3">
      <w:pPr>
        <w:rPr>
          <w:rFonts w:ascii="Arial" w:hAnsi="Arial" w:cs="Arial"/>
          <w:sz w:val="22"/>
          <w:szCs w:val="22"/>
        </w:rPr>
      </w:pPr>
      <w:r w:rsidRPr="00BF25D6">
        <w:rPr>
          <w:rFonts w:ascii="Arial" w:hAnsi="Arial" w:cs="Arial"/>
          <w:sz w:val="22"/>
          <w:szCs w:val="22"/>
        </w:rPr>
        <w:t>Ending Value: The stock price on December 30, 2022 (last trading day of the year), was $85.46.</w:t>
      </w:r>
    </w:p>
    <w:p w14:paraId="233BEF5D" w14:textId="77777777" w:rsidR="00A91AB3" w:rsidRPr="00BF25D6" w:rsidRDefault="00A91AB3" w:rsidP="00A91AB3">
      <w:pPr>
        <w:rPr>
          <w:rFonts w:ascii="Arial" w:hAnsi="Arial" w:cs="Arial"/>
          <w:sz w:val="22"/>
          <w:szCs w:val="22"/>
        </w:rPr>
      </w:pPr>
    </w:p>
    <w:p w14:paraId="2790BF4D" w14:textId="35CD8A53" w:rsidR="00A91AB3" w:rsidRPr="00BF25D6" w:rsidRDefault="00A91AB3" w:rsidP="00A91AB3">
      <w:pPr>
        <w:rPr>
          <w:rFonts w:ascii="Arial" w:hAnsi="Arial" w:cs="Arial"/>
          <w:sz w:val="22"/>
          <w:szCs w:val="22"/>
        </w:rPr>
      </w:pPr>
      <w:r w:rsidRPr="00BF25D6">
        <w:rPr>
          <w:rFonts w:ascii="Arial" w:hAnsi="Arial" w:cs="Arial"/>
          <w:sz w:val="22"/>
          <w:szCs w:val="22"/>
        </w:rPr>
        <w:t>CAGR= (</w:t>
      </w:r>
      <w:r w:rsidR="00011413" w:rsidRPr="00BF25D6">
        <w:rPr>
          <w:rFonts w:ascii="Arial" w:hAnsi="Arial" w:cs="Arial"/>
          <w:sz w:val="22"/>
          <w:szCs w:val="22"/>
        </w:rPr>
        <w:t>85.46 / 175.18)-1=</w:t>
      </w:r>
      <w:r w:rsidR="00011413" w:rsidRPr="00BF25D6">
        <w:rPr>
          <w:color w:val="000000"/>
          <w:sz w:val="22"/>
          <w:szCs w:val="22"/>
        </w:rPr>
        <w:t xml:space="preserve"> </w:t>
      </w:r>
      <w:r w:rsidR="00011413" w:rsidRPr="00BF25D6">
        <w:rPr>
          <w:rFonts w:ascii="Arial" w:hAnsi="Arial" w:cs="Arial"/>
          <w:sz w:val="22"/>
          <w:szCs w:val="22"/>
        </w:rPr>
        <w:t>−0.5122 or −51.22%</w:t>
      </w:r>
    </w:p>
    <w:p w14:paraId="38567673" w14:textId="77777777" w:rsidR="00011413" w:rsidRPr="00BF25D6" w:rsidRDefault="00011413" w:rsidP="00A91AB3">
      <w:pPr>
        <w:rPr>
          <w:rFonts w:ascii="Arial" w:hAnsi="Arial" w:cs="Arial"/>
          <w:sz w:val="22"/>
          <w:szCs w:val="22"/>
        </w:rPr>
      </w:pPr>
    </w:p>
    <w:p w14:paraId="0505FF09" w14:textId="58B31555" w:rsidR="00011413" w:rsidRPr="00BF25D6" w:rsidRDefault="00011413" w:rsidP="00A91AB3">
      <w:pPr>
        <w:rPr>
          <w:rFonts w:ascii="Arial" w:hAnsi="Arial" w:cs="Arial"/>
          <w:i/>
          <w:iCs/>
          <w:sz w:val="22"/>
          <w:szCs w:val="22"/>
        </w:rPr>
      </w:pPr>
      <w:r w:rsidRPr="00BF25D6">
        <w:rPr>
          <w:rFonts w:ascii="Arial" w:hAnsi="Arial" w:cs="Arial"/>
          <w:i/>
          <w:iCs/>
          <w:sz w:val="22"/>
          <w:szCs w:val="22"/>
        </w:rPr>
        <w:t>2023</w:t>
      </w:r>
    </w:p>
    <w:p w14:paraId="33745860" w14:textId="77777777" w:rsidR="00A1052E" w:rsidRPr="00BF25D6" w:rsidRDefault="00A1052E" w:rsidP="00A91AB3">
      <w:pPr>
        <w:rPr>
          <w:rFonts w:ascii="Arial" w:hAnsi="Arial" w:cs="Arial"/>
          <w:i/>
          <w:iCs/>
          <w:sz w:val="22"/>
          <w:szCs w:val="22"/>
        </w:rPr>
      </w:pPr>
    </w:p>
    <w:p w14:paraId="740C61E9" w14:textId="6FC9AADE" w:rsidR="00A1052E" w:rsidRPr="00A1052E" w:rsidRDefault="00A1052E" w:rsidP="00A1052E">
      <w:pPr>
        <w:rPr>
          <w:rFonts w:ascii="Arial" w:eastAsia="Times New Roman" w:hAnsi="Arial" w:cs="Arial"/>
          <w:kern w:val="0"/>
          <w:sz w:val="22"/>
          <w:szCs w:val="22"/>
          <w:lang w:eastAsia="en-GB"/>
          <w14:ligatures w14:val="none"/>
        </w:rPr>
      </w:pPr>
      <w:r w:rsidRPr="00A1052E">
        <w:rPr>
          <w:rFonts w:ascii="Arial" w:eastAsia="Times New Roman" w:hAnsi="Arial" w:cs="Arial"/>
          <w:kern w:val="0"/>
          <w:sz w:val="22"/>
          <w:szCs w:val="22"/>
          <w:lang w:eastAsia="en-GB"/>
          <w14:ligatures w14:val="none"/>
        </w:rPr>
        <w:t>Beginning Value: The stock price on January 3, 2023 (the first trading day of 2023), was $85.46.</w:t>
      </w:r>
    </w:p>
    <w:p w14:paraId="4A328D35" w14:textId="528BDE2F" w:rsidR="00011413" w:rsidRDefault="00A1052E" w:rsidP="00A1052E">
      <w:pPr>
        <w:rPr>
          <w:rFonts w:ascii="Arial" w:eastAsia="Times New Roman" w:hAnsi="Arial" w:cs="Arial"/>
          <w:kern w:val="0"/>
          <w:sz w:val="22"/>
          <w:szCs w:val="22"/>
          <w:lang w:eastAsia="en-GB"/>
          <w14:ligatures w14:val="none"/>
        </w:rPr>
      </w:pPr>
      <w:r w:rsidRPr="00BF25D6">
        <w:rPr>
          <w:rFonts w:ascii="Arial" w:eastAsia="Times New Roman" w:hAnsi="Arial" w:cs="Arial"/>
          <w:kern w:val="0"/>
          <w:sz w:val="22"/>
          <w:szCs w:val="22"/>
          <w:lang w:eastAsia="en-GB"/>
          <w14:ligatures w14:val="none"/>
        </w:rPr>
        <w:t>Ending Value: The stock price on December 29, 2023 (last trading day of the year), was $137.21.</w:t>
      </w:r>
    </w:p>
    <w:p w14:paraId="4C042E81" w14:textId="77777777" w:rsidR="00BF25D6" w:rsidRDefault="00BF25D6" w:rsidP="00A1052E">
      <w:pPr>
        <w:rPr>
          <w:rFonts w:ascii="Arial" w:eastAsia="Times New Roman" w:hAnsi="Arial" w:cs="Arial"/>
          <w:kern w:val="0"/>
          <w:sz w:val="22"/>
          <w:szCs w:val="22"/>
          <w:lang w:eastAsia="en-GB"/>
          <w14:ligatures w14:val="none"/>
        </w:rPr>
      </w:pPr>
    </w:p>
    <w:p w14:paraId="546359A1" w14:textId="6FD43B01" w:rsidR="00BF25D6" w:rsidRDefault="00BF25D6" w:rsidP="00A1052E">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CAGR= (</w:t>
      </w:r>
      <w:r w:rsidR="00B02A9B" w:rsidRPr="00B02A9B">
        <w:rPr>
          <w:rFonts w:ascii="Arial" w:eastAsia="Times New Roman" w:hAnsi="Arial" w:cs="Arial"/>
          <w:kern w:val="0"/>
          <w:sz w:val="22"/>
          <w:szCs w:val="22"/>
          <w:lang w:eastAsia="en-GB"/>
          <w14:ligatures w14:val="none"/>
        </w:rPr>
        <w:t>137.21​</w:t>
      </w:r>
      <w:r w:rsidR="00B02A9B">
        <w:rPr>
          <w:rFonts w:ascii="Arial" w:eastAsia="Times New Roman" w:hAnsi="Arial" w:cs="Arial"/>
          <w:kern w:val="0"/>
          <w:sz w:val="22"/>
          <w:szCs w:val="22"/>
          <w:lang w:eastAsia="en-GB"/>
          <w14:ligatures w14:val="none"/>
        </w:rPr>
        <w:t xml:space="preserve"> / 85.46)-1=</w:t>
      </w:r>
      <w:r w:rsidR="009134CA" w:rsidRPr="009134CA">
        <w:rPr>
          <w:color w:val="000000"/>
        </w:rPr>
        <w:t xml:space="preserve"> </w:t>
      </w:r>
      <w:r w:rsidR="009134CA" w:rsidRPr="009134CA">
        <w:rPr>
          <w:rFonts w:ascii="Arial" w:eastAsia="Times New Roman" w:hAnsi="Arial" w:cs="Arial"/>
          <w:kern w:val="0"/>
          <w:sz w:val="22"/>
          <w:szCs w:val="22"/>
          <w:lang w:eastAsia="en-GB"/>
          <w14:ligatures w14:val="none"/>
        </w:rPr>
        <w:t>0.6052 or 60.52%</w:t>
      </w:r>
    </w:p>
    <w:p w14:paraId="71C0780F" w14:textId="77777777" w:rsidR="009134CA" w:rsidRDefault="009134CA" w:rsidP="00A1052E">
      <w:pPr>
        <w:rPr>
          <w:rFonts w:ascii="Arial" w:eastAsia="Times New Roman" w:hAnsi="Arial" w:cs="Arial"/>
          <w:kern w:val="0"/>
          <w:sz w:val="22"/>
          <w:szCs w:val="22"/>
          <w:lang w:eastAsia="en-GB"/>
          <w14:ligatures w14:val="none"/>
        </w:rPr>
      </w:pPr>
    </w:p>
    <w:p w14:paraId="222AA594" w14:textId="71646BDA" w:rsidR="009134CA" w:rsidRDefault="009134CA" w:rsidP="00A1052E">
      <w:pPr>
        <w:rPr>
          <w:rFonts w:ascii="Arial" w:eastAsia="Times New Roman" w:hAnsi="Arial" w:cs="Arial"/>
          <w:i/>
          <w:iCs/>
          <w:kern w:val="0"/>
          <w:sz w:val="22"/>
          <w:szCs w:val="22"/>
          <w:lang w:eastAsia="en-GB"/>
          <w14:ligatures w14:val="none"/>
        </w:rPr>
      </w:pPr>
      <w:r>
        <w:rPr>
          <w:rFonts w:ascii="Arial" w:eastAsia="Times New Roman" w:hAnsi="Arial" w:cs="Arial"/>
          <w:i/>
          <w:iCs/>
          <w:kern w:val="0"/>
          <w:sz w:val="22"/>
          <w:szCs w:val="22"/>
          <w:lang w:eastAsia="en-GB"/>
          <w14:ligatures w14:val="none"/>
        </w:rPr>
        <w:t>2024</w:t>
      </w:r>
    </w:p>
    <w:p w14:paraId="3FA1D72F" w14:textId="77777777" w:rsidR="009134CA" w:rsidRPr="00CA4939" w:rsidRDefault="009134CA" w:rsidP="00A1052E">
      <w:pPr>
        <w:rPr>
          <w:rFonts w:ascii="Arial" w:eastAsia="Times New Roman" w:hAnsi="Arial" w:cs="Arial"/>
          <w:kern w:val="0"/>
          <w:sz w:val="22"/>
          <w:szCs w:val="22"/>
          <w:lang w:eastAsia="en-GB"/>
          <w14:ligatures w14:val="none"/>
        </w:rPr>
      </w:pPr>
    </w:p>
    <w:p w14:paraId="13360A60" w14:textId="68B2786B" w:rsidR="00CA4939" w:rsidRPr="00CA4939" w:rsidRDefault="00CA4939" w:rsidP="00CA4939">
      <w:pPr>
        <w:rPr>
          <w:rFonts w:ascii="Arial" w:hAnsi="Arial" w:cs="Arial"/>
          <w:sz w:val="22"/>
          <w:szCs w:val="22"/>
        </w:rPr>
      </w:pPr>
      <w:r w:rsidRPr="00CA4939">
        <w:rPr>
          <w:rFonts w:ascii="Arial" w:hAnsi="Arial" w:cs="Arial"/>
          <w:sz w:val="22"/>
          <w:szCs w:val="22"/>
        </w:rPr>
        <w:t>Beginning Value: The stock price on January 2, 2024 (the first trading day of 2024), was $137.21.</w:t>
      </w:r>
    </w:p>
    <w:p w14:paraId="408A201E" w14:textId="65832FDE" w:rsidR="009134CA" w:rsidRDefault="00CA4939" w:rsidP="00CA4939">
      <w:pPr>
        <w:rPr>
          <w:rFonts w:ascii="Arial" w:hAnsi="Arial" w:cs="Arial"/>
          <w:sz w:val="22"/>
          <w:szCs w:val="22"/>
        </w:rPr>
      </w:pPr>
      <w:r w:rsidRPr="00CA4939">
        <w:rPr>
          <w:rFonts w:ascii="Arial" w:hAnsi="Arial" w:cs="Arial"/>
          <w:sz w:val="22"/>
          <w:szCs w:val="22"/>
        </w:rPr>
        <w:t>Ending Value: The stock price on July 31, 2024, was $142.39.</w:t>
      </w:r>
    </w:p>
    <w:p w14:paraId="74F87832" w14:textId="77777777" w:rsidR="00CA4939" w:rsidRDefault="00CA4939" w:rsidP="00CA4939">
      <w:pPr>
        <w:rPr>
          <w:rFonts w:ascii="Arial" w:hAnsi="Arial" w:cs="Arial"/>
          <w:sz w:val="22"/>
          <w:szCs w:val="22"/>
        </w:rPr>
      </w:pPr>
    </w:p>
    <w:p w14:paraId="4B08F03E" w14:textId="4590FE6A" w:rsidR="00CA4939" w:rsidRDefault="00CA4939" w:rsidP="00CA4939">
      <w:pPr>
        <w:rPr>
          <w:rFonts w:ascii="Arial" w:hAnsi="Arial" w:cs="Arial"/>
          <w:sz w:val="22"/>
          <w:szCs w:val="22"/>
        </w:rPr>
      </w:pPr>
      <w:r>
        <w:rPr>
          <w:rFonts w:ascii="Arial" w:hAnsi="Arial" w:cs="Arial"/>
          <w:sz w:val="22"/>
          <w:szCs w:val="22"/>
        </w:rPr>
        <w:t>CAGR= (</w:t>
      </w:r>
      <w:r w:rsidR="00E50381" w:rsidRPr="00E50381">
        <w:rPr>
          <w:rFonts w:ascii="Arial" w:hAnsi="Arial" w:cs="Arial"/>
          <w:sz w:val="22"/>
          <w:szCs w:val="22"/>
        </w:rPr>
        <w:t>142.39</w:t>
      </w:r>
      <w:r w:rsidR="00E50381">
        <w:rPr>
          <w:rFonts w:ascii="Arial" w:hAnsi="Arial" w:cs="Arial"/>
          <w:sz w:val="22"/>
          <w:szCs w:val="22"/>
        </w:rPr>
        <w:t xml:space="preserve"> / 137.21)-1=</w:t>
      </w:r>
      <w:r w:rsidR="0047767B" w:rsidRPr="0047767B">
        <w:rPr>
          <w:color w:val="000000"/>
        </w:rPr>
        <w:t xml:space="preserve"> </w:t>
      </w:r>
      <w:r w:rsidR="0047767B" w:rsidRPr="0047767B">
        <w:rPr>
          <w:rFonts w:ascii="Arial" w:hAnsi="Arial" w:cs="Arial"/>
          <w:sz w:val="22"/>
          <w:szCs w:val="22"/>
        </w:rPr>
        <w:t>0.0378 or 3.78%</w:t>
      </w:r>
    </w:p>
    <w:p w14:paraId="6D510775" w14:textId="77777777" w:rsidR="002E6E4C" w:rsidRDefault="002E6E4C" w:rsidP="00CA4939">
      <w:pPr>
        <w:rPr>
          <w:rFonts w:ascii="Arial" w:hAnsi="Arial" w:cs="Arial"/>
          <w:sz w:val="22"/>
          <w:szCs w:val="22"/>
        </w:rPr>
      </w:pPr>
    </w:p>
    <w:p w14:paraId="5BA94A67" w14:textId="57112C91" w:rsidR="002E6E4C" w:rsidRDefault="002E6E4C" w:rsidP="00CA4939">
      <w:pPr>
        <w:rPr>
          <w:rFonts w:ascii="Arial" w:hAnsi="Arial" w:cs="Arial"/>
          <w:b/>
          <w:bCs/>
          <w:i/>
          <w:iCs/>
          <w:sz w:val="22"/>
          <w:szCs w:val="22"/>
        </w:rPr>
      </w:pPr>
      <w:r>
        <w:rPr>
          <w:rFonts w:ascii="Arial" w:hAnsi="Arial" w:cs="Arial"/>
          <w:b/>
          <w:bCs/>
          <w:i/>
          <w:iCs/>
          <w:sz w:val="22"/>
          <w:szCs w:val="22"/>
        </w:rPr>
        <w:t xml:space="preserve">Calculations for Booking.com </w:t>
      </w:r>
      <w:r w:rsidR="00051C01">
        <w:rPr>
          <w:rFonts w:ascii="Arial" w:hAnsi="Arial" w:cs="Arial"/>
          <w:b/>
          <w:bCs/>
          <w:i/>
          <w:iCs/>
          <w:sz w:val="22"/>
          <w:szCs w:val="22"/>
        </w:rPr>
        <w:t>January 2023 – December 2023</w:t>
      </w:r>
    </w:p>
    <w:p w14:paraId="7AE4387A" w14:textId="77777777" w:rsidR="00051C01" w:rsidRDefault="00051C01" w:rsidP="00CA4939">
      <w:pPr>
        <w:rPr>
          <w:rFonts w:ascii="Arial" w:hAnsi="Arial" w:cs="Arial"/>
          <w:sz w:val="22"/>
          <w:szCs w:val="22"/>
        </w:rPr>
      </w:pPr>
    </w:p>
    <w:p w14:paraId="4496F360" w14:textId="5C4FED88" w:rsidR="003E2503" w:rsidRPr="003E2503" w:rsidRDefault="003E2503" w:rsidP="003E2503">
      <w:pPr>
        <w:rPr>
          <w:rFonts w:ascii="Arial" w:hAnsi="Arial" w:cs="Arial"/>
          <w:sz w:val="22"/>
          <w:szCs w:val="22"/>
        </w:rPr>
      </w:pPr>
      <w:r w:rsidRPr="003E2503">
        <w:rPr>
          <w:rFonts w:ascii="Arial" w:hAnsi="Arial" w:cs="Arial"/>
          <w:sz w:val="22"/>
          <w:szCs w:val="22"/>
        </w:rPr>
        <w:t>Starting Price (January 3, 2023): $1,889.61</w:t>
      </w:r>
    </w:p>
    <w:p w14:paraId="5DAD3B4E" w14:textId="74A6FB12" w:rsidR="00051C01" w:rsidRDefault="003E2503" w:rsidP="003E2503">
      <w:pPr>
        <w:rPr>
          <w:rFonts w:ascii="Arial" w:hAnsi="Arial" w:cs="Arial"/>
          <w:sz w:val="22"/>
          <w:szCs w:val="22"/>
        </w:rPr>
      </w:pPr>
      <w:r w:rsidRPr="003E2503">
        <w:rPr>
          <w:rFonts w:ascii="Arial" w:hAnsi="Arial" w:cs="Arial"/>
          <w:sz w:val="22"/>
          <w:szCs w:val="22"/>
        </w:rPr>
        <w:t>Ending Price (December 29, 2023): $3,178.19</w:t>
      </w:r>
    </w:p>
    <w:p w14:paraId="6454AE91" w14:textId="77777777" w:rsidR="003E2503" w:rsidRDefault="003E2503" w:rsidP="003E2503">
      <w:pPr>
        <w:rPr>
          <w:rFonts w:ascii="Arial" w:hAnsi="Arial" w:cs="Arial"/>
          <w:sz w:val="22"/>
          <w:szCs w:val="22"/>
        </w:rPr>
      </w:pPr>
    </w:p>
    <w:p w14:paraId="37E2815F" w14:textId="0C29606A" w:rsidR="003E2503" w:rsidRDefault="003E2503" w:rsidP="003E2503">
      <w:pPr>
        <w:rPr>
          <w:rFonts w:ascii="Arial" w:hAnsi="Arial" w:cs="Arial"/>
          <w:color w:val="000000"/>
        </w:rPr>
      </w:pPr>
      <w:r w:rsidRPr="00651400">
        <w:rPr>
          <w:rFonts w:ascii="Arial" w:hAnsi="Arial" w:cs="Arial"/>
          <w:sz w:val="22"/>
          <w:szCs w:val="22"/>
        </w:rPr>
        <w:t xml:space="preserve">CAGR= </w:t>
      </w:r>
      <w:r w:rsidR="00651400" w:rsidRPr="00651400">
        <w:rPr>
          <w:rFonts w:ascii="Arial" w:hAnsi="Arial" w:cs="Arial"/>
          <w:sz w:val="22"/>
          <w:szCs w:val="22"/>
        </w:rPr>
        <w:t>(</w:t>
      </w:r>
      <w:r w:rsidR="00651400" w:rsidRPr="00651400">
        <w:rPr>
          <w:rStyle w:val="mpunct"/>
          <w:rFonts w:ascii="Arial" w:hAnsi="Arial" w:cs="Arial"/>
          <w:color w:val="000000"/>
        </w:rPr>
        <w:t>3,</w:t>
      </w:r>
      <w:r w:rsidR="00651400" w:rsidRPr="00651400">
        <w:rPr>
          <w:rStyle w:val="mord"/>
          <w:rFonts w:ascii="Arial" w:hAnsi="Arial" w:cs="Arial"/>
          <w:color w:val="000000"/>
        </w:rPr>
        <w:t>178.19</w:t>
      </w:r>
      <w:r w:rsidR="00651400" w:rsidRPr="00651400">
        <w:rPr>
          <w:rFonts w:ascii="Arial" w:hAnsi="Arial" w:cs="Arial"/>
          <w:sz w:val="22"/>
          <w:szCs w:val="22"/>
        </w:rPr>
        <w:t xml:space="preserve"> / </w:t>
      </w:r>
      <w:r w:rsidR="00651400" w:rsidRPr="00651400">
        <w:rPr>
          <w:rStyle w:val="mord"/>
          <w:rFonts w:ascii="Arial" w:hAnsi="Arial" w:cs="Arial"/>
          <w:color w:val="000000"/>
        </w:rPr>
        <w:t>1</w:t>
      </w:r>
      <w:r w:rsidR="00651400" w:rsidRPr="00651400">
        <w:rPr>
          <w:rStyle w:val="mpunct"/>
          <w:rFonts w:ascii="Arial" w:hAnsi="Arial" w:cs="Arial"/>
          <w:color w:val="000000"/>
        </w:rPr>
        <w:t>,</w:t>
      </w:r>
      <w:r w:rsidR="00651400" w:rsidRPr="00651400">
        <w:rPr>
          <w:rStyle w:val="mord"/>
          <w:rFonts w:ascii="Arial" w:hAnsi="Arial" w:cs="Arial"/>
          <w:color w:val="000000"/>
        </w:rPr>
        <w:t>889.613</w:t>
      </w:r>
      <w:r w:rsidR="00651400">
        <w:rPr>
          <w:rStyle w:val="mord"/>
          <w:rFonts w:ascii="Arial" w:hAnsi="Arial" w:cs="Arial"/>
          <w:color w:val="000000"/>
        </w:rPr>
        <w:t>)-1=</w:t>
      </w:r>
      <w:r w:rsidR="00525CE8" w:rsidRPr="00525CE8">
        <w:rPr>
          <w:rFonts w:ascii="Arial" w:hAnsi="Arial" w:cs="Arial"/>
          <w:color w:val="000000"/>
        </w:rPr>
        <w:t>0.6827 or 68.27%</w:t>
      </w:r>
    </w:p>
    <w:p w14:paraId="516EACE4" w14:textId="77777777" w:rsidR="007F7DE7" w:rsidRDefault="007F7DE7" w:rsidP="003E2503">
      <w:pPr>
        <w:rPr>
          <w:rFonts w:ascii="Arial" w:hAnsi="Arial" w:cs="Arial"/>
          <w:color w:val="000000"/>
        </w:rPr>
      </w:pPr>
    </w:p>
    <w:p w14:paraId="7168B29F" w14:textId="77777777" w:rsidR="007F7DE7" w:rsidRDefault="007F7DE7" w:rsidP="003E2503">
      <w:pPr>
        <w:rPr>
          <w:rFonts w:ascii="Arial" w:hAnsi="Arial" w:cs="Arial"/>
          <w:color w:val="000000"/>
        </w:rPr>
      </w:pPr>
    </w:p>
    <w:p w14:paraId="1414D7CF" w14:textId="087688C8" w:rsidR="007F7DE7" w:rsidRDefault="007F7DE7" w:rsidP="003E2503">
      <w:pPr>
        <w:rPr>
          <w:rFonts w:ascii="Arial" w:hAnsi="Arial" w:cs="Arial"/>
          <w:b/>
          <w:bCs/>
          <w:i/>
          <w:iCs/>
          <w:color w:val="000000"/>
        </w:rPr>
      </w:pPr>
      <w:r w:rsidRPr="007F7DE7">
        <w:rPr>
          <w:rFonts w:ascii="Arial" w:hAnsi="Arial" w:cs="Arial"/>
          <w:b/>
          <w:bCs/>
          <w:i/>
          <w:iCs/>
          <w:color w:val="000000"/>
        </w:rPr>
        <w:lastRenderedPageBreak/>
        <w:t>Calculations for Sharpe and Treynor 2022 and 2023:</w:t>
      </w:r>
    </w:p>
    <w:p w14:paraId="05F16176" w14:textId="77777777" w:rsidR="00DC4957" w:rsidRDefault="00DC4957" w:rsidP="003E2503">
      <w:pPr>
        <w:rPr>
          <w:rFonts w:ascii="Arial" w:hAnsi="Arial" w:cs="Arial"/>
          <w:b/>
          <w:bCs/>
          <w:i/>
          <w:iCs/>
          <w:color w:val="000000"/>
        </w:rPr>
      </w:pPr>
    </w:p>
    <w:tbl>
      <w:tblPr>
        <w:tblStyle w:val="TableGrid"/>
        <w:tblW w:w="0" w:type="auto"/>
        <w:tblLook w:val="04A0" w:firstRow="1" w:lastRow="0" w:firstColumn="1" w:lastColumn="0" w:noHBand="0" w:noVBand="1"/>
      </w:tblPr>
      <w:tblGrid>
        <w:gridCol w:w="806"/>
        <w:gridCol w:w="805"/>
        <w:gridCol w:w="1305"/>
        <w:gridCol w:w="805"/>
        <w:gridCol w:w="805"/>
        <w:gridCol w:w="1506"/>
        <w:gridCol w:w="805"/>
        <w:gridCol w:w="1374"/>
        <w:gridCol w:w="805"/>
      </w:tblGrid>
      <w:tr w:rsidR="00DC4957" w:rsidRPr="00DC4957" w14:paraId="6DD22E8F" w14:textId="77777777" w:rsidTr="00DC4957">
        <w:trPr>
          <w:trHeight w:val="320"/>
        </w:trPr>
        <w:tc>
          <w:tcPr>
            <w:tcW w:w="1300" w:type="dxa"/>
            <w:noWrap/>
            <w:hideMark/>
          </w:tcPr>
          <w:p w14:paraId="547077DB" w14:textId="77777777" w:rsidR="00DC4957" w:rsidRPr="00DC4957" w:rsidRDefault="00DC4957">
            <w:pPr>
              <w:rPr>
                <w:rFonts w:ascii="Arial" w:hAnsi="Arial" w:cs="Arial"/>
                <w:b/>
                <w:bCs/>
                <w:sz w:val="22"/>
                <w:szCs w:val="22"/>
              </w:rPr>
            </w:pPr>
            <w:r w:rsidRPr="00DC4957">
              <w:rPr>
                <w:rFonts w:ascii="Arial" w:hAnsi="Arial" w:cs="Arial"/>
                <w:b/>
                <w:bCs/>
                <w:sz w:val="22"/>
                <w:szCs w:val="22"/>
              </w:rPr>
              <w:t>Year</w:t>
            </w:r>
          </w:p>
        </w:tc>
        <w:tc>
          <w:tcPr>
            <w:tcW w:w="1300" w:type="dxa"/>
            <w:noWrap/>
            <w:hideMark/>
          </w:tcPr>
          <w:p w14:paraId="79B2F30F" w14:textId="77777777" w:rsidR="00DC4957" w:rsidRPr="00DC4957" w:rsidRDefault="00DC4957">
            <w:pPr>
              <w:rPr>
                <w:rFonts w:ascii="Arial" w:hAnsi="Arial" w:cs="Arial"/>
                <w:b/>
                <w:bCs/>
                <w:sz w:val="22"/>
                <w:szCs w:val="22"/>
              </w:rPr>
            </w:pPr>
            <w:r w:rsidRPr="00DC4957">
              <w:rPr>
                <w:rFonts w:ascii="Arial" w:hAnsi="Arial" w:cs="Arial"/>
                <w:b/>
                <w:bCs/>
                <w:sz w:val="22"/>
                <w:szCs w:val="22"/>
              </w:rPr>
              <w:t>Annual Return</w:t>
            </w:r>
          </w:p>
        </w:tc>
        <w:tc>
          <w:tcPr>
            <w:tcW w:w="2220" w:type="dxa"/>
            <w:noWrap/>
            <w:hideMark/>
          </w:tcPr>
          <w:p w14:paraId="612372DE" w14:textId="77777777" w:rsidR="00DC4957" w:rsidRPr="00DC4957" w:rsidRDefault="00DC4957">
            <w:pPr>
              <w:rPr>
                <w:rFonts w:ascii="Arial" w:hAnsi="Arial" w:cs="Arial"/>
                <w:b/>
                <w:bCs/>
                <w:sz w:val="22"/>
                <w:szCs w:val="22"/>
              </w:rPr>
            </w:pPr>
            <w:r w:rsidRPr="00DC4957">
              <w:rPr>
                <w:rFonts w:ascii="Arial" w:hAnsi="Arial" w:cs="Arial"/>
                <w:b/>
                <w:bCs/>
                <w:sz w:val="22"/>
                <w:szCs w:val="22"/>
              </w:rPr>
              <w:t>Risk-Free Rate</w:t>
            </w:r>
          </w:p>
        </w:tc>
        <w:tc>
          <w:tcPr>
            <w:tcW w:w="1300" w:type="dxa"/>
            <w:noWrap/>
            <w:hideMark/>
          </w:tcPr>
          <w:p w14:paraId="27FAA88F" w14:textId="77777777" w:rsidR="00DC4957" w:rsidRPr="00DC4957" w:rsidRDefault="00DC4957">
            <w:pPr>
              <w:rPr>
                <w:rFonts w:ascii="Arial" w:hAnsi="Arial" w:cs="Arial"/>
                <w:b/>
                <w:bCs/>
                <w:sz w:val="22"/>
                <w:szCs w:val="22"/>
              </w:rPr>
            </w:pPr>
            <w:r w:rsidRPr="00DC4957">
              <w:rPr>
                <w:rFonts w:ascii="Arial" w:hAnsi="Arial" w:cs="Arial"/>
                <w:b/>
                <w:bCs/>
                <w:sz w:val="22"/>
                <w:szCs w:val="22"/>
              </w:rPr>
              <w:t>Volatility</w:t>
            </w:r>
          </w:p>
        </w:tc>
        <w:tc>
          <w:tcPr>
            <w:tcW w:w="1300" w:type="dxa"/>
            <w:noWrap/>
            <w:hideMark/>
          </w:tcPr>
          <w:p w14:paraId="56213DBB" w14:textId="77777777" w:rsidR="00DC4957" w:rsidRPr="00DC4957" w:rsidRDefault="00DC4957">
            <w:pPr>
              <w:rPr>
                <w:rFonts w:ascii="Arial" w:hAnsi="Arial" w:cs="Arial"/>
                <w:b/>
                <w:bCs/>
                <w:sz w:val="22"/>
                <w:szCs w:val="22"/>
              </w:rPr>
            </w:pPr>
            <w:r w:rsidRPr="00DC4957">
              <w:rPr>
                <w:rFonts w:ascii="Arial" w:hAnsi="Arial" w:cs="Arial"/>
                <w:b/>
                <w:bCs/>
                <w:sz w:val="22"/>
                <w:szCs w:val="22"/>
              </w:rPr>
              <w:t>Beta</w:t>
            </w:r>
          </w:p>
        </w:tc>
        <w:tc>
          <w:tcPr>
            <w:tcW w:w="2590" w:type="dxa"/>
            <w:noWrap/>
            <w:hideMark/>
          </w:tcPr>
          <w:p w14:paraId="544A0939" w14:textId="77777777" w:rsidR="00DC4957" w:rsidRPr="00DC4957" w:rsidRDefault="00DC4957">
            <w:pPr>
              <w:rPr>
                <w:rFonts w:ascii="Arial" w:hAnsi="Arial" w:cs="Arial"/>
                <w:b/>
                <w:bCs/>
                <w:sz w:val="22"/>
                <w:szCs w:val="22"/>
              </w:rPr>
            </w:pPr>
            <w:r w:rsidRPr="00DC4957">
              <w:rPr>
                <w:rFonts w:ascii="Arial" w:hAnsi="Arial" w:cs="Arial"/>
                <w:b/>
                <w:bCs/>
                <w:sz w:val="22"/>
                <w:szCs w:val="22"/>
              </w:rPr>
              <w:t>Sharpe Ratio Calculation</w:t>
            </w:r>
          </w:p>
        </w:tc>
        <w:tc>
          <w:tcPr>
            <w:tcW w:w="1300" w:type="dxa"/>
            <w:noWrap/>
            <w:hideMark/>
          </w:tcPr>
          <w:p w14:paraId="3750A4D4" w14:textId="77777777" w:rsidR="00DC4957" w:rsidRPr="00DC4957" w:rsidRDefault="00DC4957">
            <w:pPr>
              <w:rPr>
                <w:rFonts w:ascii="Arial" w:hAnsi="Arial" w:cs="Arial"/>
                <w:b/>
                <w:bCs/>
                <w:sz w:val="22"/>
                <w:szCs w:val="22"/>
              </w:rPr>
            </w:pPr>
            <w:r w:rsidRPr="00DC4957">
              <w:rPr>
                <w:rFonts w:ascii="Arial" w:hAnsi="Arial" w:cs="Arial"/>
                <w:b/>
                <w:bCs/>
                <w:sz w:val="22"/>
                <w:szCs w:val="22"/>
              </w:rPr>
              <w:t>Sharpe Ratio</w:t>
            </w:r>
          </w:p>
        </w:tc>
        <w:tc>
          <w:tcPr>
            <w:tcW w:w="2347" w:type="dxa"/>
            <w:noWrap/>
            <w:hideMark/>
          </w:tcPr>
          <w:p w14:paraId="2BD019AE" w14:textId="77777777" w:rsidR="00DC4957" w:rsidRPr="00DC4957" w:rsidRDefault="00DC4957">
            <w:pPr>
              <w:rPr>
                <w:rFonts w:ascii="Arial" w:hAnsi="Arial" w:cs="Arial"/>
                <w:b/>
                <w:bCs/>
                <w:sz w:val="22"/>
                <w:szCs w:val="22"/>
              </w:rPr>
            </w:pPr>
            <w:r w:rsidRPr="00DC4957">
              <w:rPr>
                <w:rFonts w:ascii="Arial" w:hAnsi="Arial" w:cs="Arial"/>
                <w:b/>
                <w:bCs/>
                <w:sz w:val="22"/>
                <w:szCs w:val="22"/>
              </w:rPr>
              <w:t>Treynor Ratio Calculation</w:t>
            </w:r>
          </w:p>
        </w:tc>
        <w:tc>
          <w:tcPr>
            <w:tcW w:w="1300" w:type="dxa"/>
            <w:noWrap/>
            <w:hideMark/>
          </w:tcPr>
          <w:p w14:paraId="6975F8AF" w14:textId="77777777" w:rsidR="00DC4957" w:rsidRPr="00DC4957" w:rsidRDefault="00DC4957">
            <w:pPr>
              <w:rPr>
                <w:rFonts w:ascii="Arial" w:hAnsi="Arial" w:cs="Arial"/>
                <w:b/>
                <w:bCs/>
                <w:sz w:val="22"/>
                <w:szCs w:val="22"/>
              </w:rPr>
            </w:pPr>
            <w:r w:rsidRPr="00DC4957">
              <w:rPr>
                <w:rFonts w:ascii="Arial" w:hAnsi="Arial" w:cs="Arial"/>
                <w:b/>
                <w:bCs/>
                <w:sz w:val="22"/>
                <w:szCs w:val="22"/>
              </w:rPr>
              <w:t>Treynor Ratio</w:t>
            </w:r>
          </w:p>
        </w:tc>
      </w:tr>
      <w:tr w:rsidR="00DC4957" w:rsidRPr="00DC4957" w14:paraId="1C34E08D" w14:textId="77777777" w:rsidTr="00DC4957">
        <w:trPr>
          <w:trHeight w:val="320"/>
        </w:trPr>
        <w:tc>
          <w:tcPr>
            <w:tcW w:w="1300" w:type="dxa"/>
            <w:noWrap/>
            <w:hideMark/>
          </w:tcPr>
          <w:p w14:paraId="33510DC0" w14:textId="77777777" w:rsidR="00DC4957" w:rsidRPr="00DC4957" w:rsidRDefault="00DC4957" w:rsidP="00DC4957">
            <w:pPr>
              <w:rPr>
                <w:rFonts w:ascii="Arial" w:hAnsi="Arial" w:cs="Arial"/>
                <w:b/>
                <w:bCs/>
                <w:sz w:val="22"/>
                <w:szCs w:val="22"/>
              </w:rPr>
            </w:pPr>
            <w:r w:rsidRPr="00DC4957">
              <w:rPr>
                <w:rFonts w:ascii="Arial" w:hAnsi="Arial" w:cs="Arial"/>
                <w:b/>
                <w:bCs/>
                <w:sz w:val="22"/>
                <w:szCs w:val="22"/>
              </w:rPr>
              <w:t>2022</w:t>
            </w:r>
          </w:p>
        </w:tc>
        <w:tc>
          <w:tcPr>
            <w:tcW w:w="1300" w:type="dxa"/>
            <w:noWrap/>
            <w:hideMark/>
          </w:tcPr>
          <w:p w14:paraId="47894482" w14:textId="14079D40" w:rsidR="00DC4957" w:rsidRPr="00DC4957" w:rsidRDefault="00A75350" w:rsidP="00DC4957">
            <w:pPr>
              <w:rPr>
                <w:rFonts w:ascii="Arial" w:hAnsi="Arial" w:cs="Arial"/>
                <w:sz w:val="22"/>
                <w:szCs w:val="22"/>
              </w:rPr>
            </w:pPr>
            <w:r>
              <w:rPr>
                <w:rFonts w:ascii="Arial" w:hAnsi="Arial" w:cs="Arial"/>
                <w:sz w:val="22"/>
                <w:szCs w:val="22"/>
              </w:rPr>
              <w:t>-</w:t>
            </w:r>
            <w:r w:rsidR="00DC4957" w:rsidRPr="00DC4957">
              <w:rPr>
                <w:rFonts w:ascii="Arial" w:hAnsi="Arial" w:cs="Arial"/>
                <w:sz w:val="22"/>
                <w:szCs w:val="22"/>
              </w:rPr>
              <w:t>51.22%</w:t>
            </w:r>
          </w:p>
        </w:tc>
        <w:tc>
          <w:tcPr>
            <w:tcW w:w="2220" w:type="dxa"/>
            <w:noWrap/>
            <w:hideMark/>
          </w:tcPr>
          <w:p w14:paraId="78160D2F" w14:textId="77777777" w:rsidR="00DC4957" w:rsidRPr="00DC4957" w:rsidRDefault="00DC4957" w:rsidP="00DC4957">
            <w:pPr>
              <w:rPr>
                <w:rFonts w:ascii="Arial" w:hAnsi="Arial" w:cs="Arial"/>
                <w:sz w:val="22"/>
                <w:szCs w:val="22"/>
              </w:rPr>
            </w:pPr>
            <w:r w:rsidRPr="00DC4957">
              <w:rPr>
                <w:rFonts w:ascii="Arial" w:hAnsi="Arial" w:cs="Arial"/>
                <w:sz w:val="22"/>
                <w:szCs w:val="22"/>
              </w:rPr>
              <w:t>2.91%</w:t>
            </w:r>
          </w:p>
        </w:tc>
        <w:tc>
          <w:tcPr>
            <w:tcW w:w="1300" w:type="dxa"/>
            <w:noWrap/>
            <w:hideMark/>
          </w:tcPr>
          <w:p w14:paraId="0104BBBD" w14:textId="77777777" w:rsidR="00DC4957" w:rsidRPr="00DC4957" w:rsidRDefault="00DC4957" w:rsidP="00DC4957">
            <w:pPr>
              <w:rPr>
                <w:rFonts w:ascii="Arial" w:hAnsi="Arial" w:cs="Arial"/>
                <w:sz w:val="22"/>
                <w:szCs w:val="22"/>
              </w:rPr>
            </w:pPr>
            <w:r w:rsidRPr="00DC4957">
              <w:rPr>
                <w:rFonts w:ascii="Arial" w:hAnsi="Arial" w:cs="Arial"/>
                <w:sz w:val="22"/>
                <w:szCs w:val="22"/>
              </w:rPr>
              <w:t>60.52%</w:t>
            </w:r>
          </w:p>
        </w:tc>
        <w:tc>
          <w:tcPr>
            <w:tcW w:w="1300" w:type="dxa"/>
            <w:noWrap/>
            <w:hideMark/>
          </w:tcPr>
          <w:p w14:paraId="2DA2F849" w14:textId="77777777" w:rsidR="00DC4957" w:rsidRPr="00DC4957" w:rsidRDefault="00DC4957" w:rsidP="00DC4957">
            <w:pPr>
              <w:rPr>
                <w:rFonts w:ascii="Arial" w:hAnsi="Arial" w:cs="Arial"/>
                <w:sz w:val="22"/>
                <w:szCs w:val="22"/>
              </w:rPr>
            </w:pPr>
            <w:r w:rsidRPr="00DC4957">
              <w:rPr>
                <w:rFonts w:ascii="Arial" w:hAnsi="Arial" w:cs="Arial"/>
                <w:sz w:val="22"/>
                <w:szCs w:val="22"/>
              </w:rPr>
              <w:t>1.19</w:t>
            </w:r>
          </w:p>
        </w:tc>
        <w:tc>
          <w:tcPr>
            <w:tcW w:w="2590" w:type="dxa"/>
            <w:noWrap/>
            <w:hideMark/>
          </w:tcPr>
          <w:p w14:paraId="601BCBF4" w14:textId="77777777" w:rsidR="00DC4957" w:rsidRPr="00DC4957" w:rsidRDefault="00DC4957">
            <w:pPr>
              <w:rPr>
                <w:rFonts w:ascii="Arial" w:hAnsi="Arial" w:cs="Arial"/>
                <w:sz w:val="22"/>
                <w:szCs w:val="22"/>
              </w:rPr>
            </w:pPr>
            <w:r w:rsidRPr="00DC4957">
              <w:rPr>
                <w:rFonts w:ascii="Arial" w:hAnsi="Arial" w:cs="Arial"/>
                <w:sz w:val="22"/>
                <w:szCs w:val="22"/>
              </w:rPr>
              <w:t>(-0.5122 - 0.0291) / 0.6052</w:t>
            </w:r>
          </w:p>
        </w:tc>
        <w:tc>
          <w:tcPr>
            <w:tcW w:w="1300" w:type="dxa"/>
            <w:noWrap/>
            <w:hideMark/>
          </w:tcPr>
          <w:p w14:paraId="256C4744" w14:textId="77777777" w:rsidR="00DC4957" w:rsidRPr="00DC4957" w:rsidRDefault="00DC4957" w:rsidP="00DC4957">
            <w:pPr>
              <w:rPr>
                <w:rFonts w:ascii="Arial" w:hAnsi="Arial" w:cs="Arial"/>
                <w:sz w:val="22"/>
                <w:szCs w:val="22"/>
              </w:rPr>
            </w:pPr>
            <w:r w:rsidRPr="00DC4957">
              <w:rPr>
                <w:rFonts w:ascii="Arial" w:hAnsi="Arial" w:cs="Arial"/>
                <w:sz w:val="22"/>
                <w:szCs w:val="22"/>
              </w:rPr>
              <w:t>-0.89</w:t>
            </w:r>
          </w:p>
        </w:tc>
        <w:tc>
          <w:tcPr>
            <w:tcW w:w="2347" w:type="dxa"/>
            <w:noWrap/>
            <w:hideMark/>
          </w:tcPr>
          <w:p w14:paraId="45F6C1FC" w14:textId="77777777" w:rsidR="00DC4957" w:rsidRPr="00DC4957" w:rsidRDefault="00DC4957">
            <w:pPr>
              <w:rPr>
                <w:rFonts w:ascii="Arial" w:hAnsi="Arial" w:cs="Arial"/>
                <w:sz w:val="22"/>
                <w:szCs w:val="22"/>
              </w:rPr>
            </w:pPr>
            <w:r w:rsidRPr="00DC4957">
              <w:rPr>
                <w:rFonts w:ascii="Arial" w:hAnsi="Arial" w:cs="Arial"/>
                <w:sz w:val="22"/>
                <w:szCs w:val="22"/>
              </w:rPr>
              <w:t>(-0.5122 - 0.0291) / 1.19</w:t>
            </w:r>
          </w:p>
        </w:tc>
        <w:tc>
          <w:tcPr>
            <w:tcW w:w="1300" w:type="dxa"/>
            <w:noWrap/>
            <w:hideMark/>
          </w:tcPr>
          <w:p w14:paraId="267CC8ED" w14:textId="77777777" w:rsidR="00DC4957" w:rsidRPr="00DC4957" w:rsidRDefault="00DC4957" w:rsidP="00DC4957">
            <w:pPr>
              <w:rPr>
                <w:rFonts w:ascii="Arial" w:hAnsi="Arial" w:cs="Arial"/>
                <w:sz w:val="22"/>
                <w:szCs w:val="22"/>
              </w:rPr>
            </w:pPr>
            <w:r w:rsidRPr="00DC4957">
              <w:rPr>
                <w:rFonts w:ascii="Arial" w:hAnsi="Arial" w:cs="Arial"/>
                <w:sz w:val="22"/>
                <w:szCs w:val="22"/>
              </w:rPr>
              <w:t>-0.45</w:t>
            </w:r>
          </w:p>
        </w:tc>
      </w:tr>
      <w:tr w:rsidR="00DC4957" w:rsidRPr="00DC4957" w14:paraId="5EB57619" w14:textId="77777777" w:rsidTr="00DC4957">
        <w:trPr>
          <w:trHeight w:val="320"/>
        </w:trPr>
        <w:tc>
          <w:tcPr>
            <w:tcW w:w="1300" w:type="dxa"/>
            <w:noWrap/>
            <w:hideMark/>
          </w:tcPr>
          <w:p w14:paraId="33973A65" w14:textId="77777777" w:rsidR="00DC4957" w:rsidRPr="00DC4957" w:rsidRDefault="00DC4957" w:rsidP="00DC4957">
            <w:pPr>
              <w:rPr>
                <w:rFonts w:ascii="Arial" w:hAnsi="Arial" w:cs="Arial"/>
                <w:b/>
                <w:bCs/>
                <w:sz w:val="22"/>
                <w:szCs w:val="22"/>
              </w:rPr>
            </w:pPr>
            <w:r w:rsidRPr="00DC4957">
              <w:rPr>
                <w:rFonts w:ascii="Arial" w:hAnsi="Arial" w:cs="Arial"/>
                <w:b/>
                <w:bCs/>
                <w:sz w:val="22"/>
                <w:szCs w:val="22"/>
              </w:rPr>
              <w:t>2023</w:t>
            </w:r>
          </w:p>
        </w:tc>
        <w:tc>
          <w:tcPr>
            <w:tcW w:w="1300" w:type="dxa"/>
            <w:noWrap/>
            <w:hideMark/>
          </w:tcPr>
          <w:p w14:paraId="4BA7FEDF" w14:textId="77777777" w:rsidR="00DC4957" w:rsidRPr="00DC4957" w:rsidRDefault="00DC4957" w:rsidP="00DC4957">
            <w:pPr>
              <w:rPr>
                <w:rFonts w:ascii="Arial" w:hAnsi="Arial" w:cs="Arial"/>
                <w:sz w:val="22"/>
                <w:szCs w:val="22"/>
              </w:rPr>
            </w:pPr>
            <w:r w:rsidRPr="00DC4957">
              <w:rPr>
                <w:rFonts w:ascii="Arial" w:hAnsi="Arial" w:cs="Arial"/>
                <w:sz w:val="22"/>
                <w:szCs w:val="22"/>
              </w:rPr>
              <w:t>60.52%</w:t>
            </w:r>
          </w:p>
        </w:tc>
        <w:tc>
          <w:tcPr>
            <w:tcW w:w="2220" w:type="dxa"/>
            <w:noWrap/>
            <w:hideMark/>
          </w:tcPr>
          <w:p w14:paraId="06E9841C" w14:textId="77777777" w:rsidR="00DC4957" w:rsidRPr="00DC4957" w:rsidRDefault="00DC4957" w:rsidP="00DC4957">
            <w:pPr>
              <w:rPr>
                <w:rFonts w:ascii="Arial" w:hAnsi="Arial" w:cs="Arial"/>
                <w:sz w:val="22"/>
                <w:szCs w:val="22"/>
              </w:rPr>
            </w:pPr>
            <w:r w:rsidRPr="00DC4957">
              <w:rPr>
                <w:rFonts w:ascii="Arial" w:hAnsi="Arial" w:cs="Arial"/>
                <w:sz w:val="22"/>
                <w:szCs w:val="22"/>
              </w:rPr>
              <w:t>3.45%</w:t>
            </w:r>
          </w:p>
        </w:tc>
        <w:tc>
          <w:tcPr>
            <w:tcW w:w="1300" w:type="dxa"/>
            <w:noWrap/>
            <w:hideMark/>
          </w:tcPr>
          <w:p w14:paraId="477DEA82" w14:textId="77777777" w:rsidR="00DC4957" w:rsidRPr="00DC4957" w:rsidRDefault="00DC4957" w:rsidP="00DC4957">
            <w:pPr>
              <w:rPr>
                <w:rFonts w:ascii="Arial" w:hAnsi="Arial" w:cs="Arial"/>
                <w:sz w:val="22"/>
                <w:szCs w:val="22"/>
              </w:rPr>
            </w:pPr>
            <w:r w:rsidRPr="00DC4957">
              <w:rPr>
                <w:rFonts w:ascii="Arial" w:hAnsi="Arial" w:cs="Arial"/>
                <w:sz w:val="22"/>
                <w:szCs w:val="22"/>
              </w:rPr>
              <w:t>42.50%</w:t>
            </w:r>
          </w:p>
        </w:tc>
        <w:tc>
          <w:tcPr>
            <w:tcW w:w="1300" w:type="dxa"/>
            <w:noWrap/>
            <w:hideMark/>
          </w:tcPr>
          <w:p w14:paraId="449A49E1" w14:textId="77777777" w:rsidR="00DC4957" w:rsidRPr="00DC4957" w:rsidRDefault="00DC4957" w:rsidP="00DC4957">
            <w:pPr>
              <w:rPr>
                <w:rFonts w:ascii="Arial" w:hAnsi="Arial" w:cs="Arial"/>
                <w:sz w:val="22"/>
                <w:szCs w:val="22"/>
              </w:rPr>
            </w:pPr>
            <w:r w:rsidRPr="00DC4957">
              <w:rPr>
                <w:rFonts w:ascii="Arial" w:hAnsi="Arial" w:cs="Arial"/>
                <w:sz w:val="22"/>
                <w:szCs w:val="22"/>
              </w:rPr>
              <w:t>1.19</w:t>
            </w:r>
          </w:p>
        </w:tc>
        <w:tc>
          <w:tcPr>
            <w:tcW w:w="2590" w:type="dxa"/>
            <w:noWrap/>
            <w:hideMark/>
          </w:tcPr>
          <w:p w14:paraId="6E110F9B" w14:textId="77777777" w:rsidR="00DC4957" w:rsidRPr="00DC4957" w:rsidRDefault="00DC4957">
            <w:pPr>
              <w:rPr>
                <w:rFonts w:ascii="Arial" w:hAnsi="Arial" w:cs="Arial"/>
                <w:sz w:val="22"/>
                <w:szCs w:val="22"/>
              </w:rPr>
            </w:pPr>
            <w:r w:rsidRPr="00DC4957">
              <w:rPr>
                <w:rFonts w:ascii="Arial" w:hAnsi="Arial" w:cs="Arial"/>
                <w:sz w:val="22"/>
                <w:szCs w:val="22"/>
              </w:rPr>
              <w:t>(0.6052 - 0.0345) / 0.4250</w:t>
            </w:r>
          </w:p>
        </w:tc>
        <w:tc>
          <w:tcPr>
            <w:tcW w:w="1300" w:type="dxa"/>
            <w:noWrap/>
            <w:hideMark/>
          </w:tcPr>
          <w:p w14:paraId="1F90A978" w14:textId="77777777" w:rsidR="00DC4957" w:rsidRPr="00DC4957" w:rsidRDefault="00DC4957" w:rsidP="00DC4957">
            <w:pPr>
              <w:rPr>
                <w:rFonts w:ascii="Arial" w:hAnsi="Arial" w:cs="Arial"/>
                <w:sz w:val="22"/>
                <w:szCs w:val="22"/>
              </w:rPr>
            </w:pPr>
            <w:r w:rsidRPr="00DC4957">
              <w:rPr>
                <w:rFonts w:ascii="Arial" w:hAnsi="Arial" w:cs="Arial"/>
                <w:sz w:val="22"/>
                <w:szCs w:val="22"/>
              </w:rPr>
              <w:t>1.34</w:t>
            </w:r>
          </w:p>
        </w:tc>
        <w:tc>
          <w:tcPr>
            <w:tcW w:w="2347" w:type="dxa"/>
            <w:noWrap/>
            <w:hideMark/>
          </w:tcPr>
          <w:p w14:paraId="0BC21353" w14:textId="77777777" w:rsidR="00DC4957" w:rsidRPr="00DC4957" w:rsidRDefault="00DC4957">
            <w:pPr>
              <w:rPr>
                <w:rFonts w:ascii="Arial" w:hAnsi="Arial" w:cs="Arial"/>
                <w:sz w:val="22"/>
                <w:szCs w:val="22"/>
              </w:rPr>
            </w:pPr>
            <w:r w:rsidRPr="00DC4957">
              <w:rPr>
                <w:rFonts w:ascii="Arial" w:hAnsi="Arial" w:cs="Arial"/>
                <w:sz w:val="22"/>
                <w:szCs w:val="22"/>
              </w:rPr>
              <w:t>(0.6052 - 0.0345) / 1.19</w:t>
            </w:r>
          </w:p>
        </w:tc>
        <w:tc>
          <w:tcPr>
            <w:tcW w:w="1300" w:type="dxa"/>
            <w:noWrap/>
            <w:hideMark/>
          </w:tcPr>
          <w:p w14:paraId="2F6C0981" w14:textId="77777777" w:rsidR="00DC4957" w:rsidRPr="00DC4957" w:rsidRDefault="00DC4957" w:rsidP="00DC4957">
            <w:pPr>
              <w:rPr>
                <w:rFonts w:ascii="Arial" w:hAnsi="Arial" w:cs="Arial"/>
                <w:sz w:val="22"/>
                <w:szCs w:val="22"/>
              </w:rPr>
            </w:pPr>
            <w:r w:rsidRPr="00DC4957">
              <w:rPr>
                <w:rFonts w:ascii="Arial" w:hAnsi="Arial" w:cs="Arial"/>
                <w:sz w:val="22"/>
                <w:szCs w:val="22"/>
              </w:rPr>
              <w:t>0.48</w:t>
            </w:r>
          </w:p>
        </w:tc>
      </w:tr>
    </w:tbl>
    <w:p w14:paraId="3616C18A" w14:textId="77777777" w:rsidR="00DC4957" w:rsidRPr="00DC4957" w:rsidRDefault="00DC4957" w:rsidP="003E2503">
      <w:pPr>
        <w:rPr>
          <w:rFonts w:ascii="Arial" w:hAnsi="Arial" w:cs="Arial"/>
          <w:sz w:val="22"/>
          <w:szCs w:val="22"/>
        </w:rPr>
      </w:pPr>
    </w:p>
    <w:sectPr w:rsidR="00DC4957" w:rsidRPr="00DC4957">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2EDA26" w14:textId="77777777" w:rsidR="00C51BD9" w:rsidRDefault="00C51BD9" w:rsidP="00C51BD9">
      <w:r>
        <w:separator/>
      </w:r>
    </w:p>
  </w:endnote>
  <w:endnote w:type="continuationSeparator" w:id="0">
    <w:p w14:paraId="2E0EFB83" w14:textId="77777777" w:rsidR="00C51BD9" w:rsidRDefault="00C51BD9" w:rsidP="00C51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82300407"/>
      <w:docPartObj>
        <w:docPartGallery w:val="Page Numbers (Bottom of Page)"/>
        <w:docPartUnique/>
      </w:docPartObj>
    </w:sdtPr>
    <w:sdtContent>
      <w:p w14:paraId="2F3B8969" w14:textId="6F2F79E9" w:rsidR="00C51BD9" w:rsidRDefault="00C51BD9" w:rsidP="001A13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33B88B" w14:textId="77777777" w:rsidR="00C51BD9" w:rsidRDefault="00C51BD9" w:rsidP="00C51B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11019263"/>
      <w:docPartObj>
        <w:docPartGallery w:val="Page Numbers (Bottom of Page)"/>
        <w:docPartUnique/>
      </w:docPartObj>
    </w:sdtPr>
    <w:sdtContent>
      <w:p w14:paraId="1215BE83" w14:textId="1D3944A0" w:rsidR="00C51BD9" w:rsidRDefault="00C51BD9" w:rsidP="001A13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1036DF" w14:textId="77777777" w:rsidR="00C51BD9" w:rsidRDefault="00C51BD9" w:rsidP="00C51B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5DC563" w14:textId="77777777" w:rsidR="00C51BD9" w:rsidRDefault="00C51BD9" w:rsidP="00C51BD9">
      <w:r>
        <w:separator/>
      </w:r>
    </w:p>
  </w:footnote>
  <w:footnote w:type="continuationSeparator" w:id="0">
    <w:p w14:paraId="4F83EAC2" w14:textId="77777777" w:rsidR="00C51BD9" w:rsidRDefault="00C51BD9" w:rsidP="00C51B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5B5F7E"/>
    <w:multiLevelType w:val="multilevel"/>
    <w:tmpl w:val="3B50C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2149E5"/>
    <w:multiLevelType w:val="multilevel"/>
    <w:tmpl w:val="2400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3340540">
    <w:abstractNumId w:val="1"/>
  </w:num>
  <w:num w:numId="2" w16cid:durableId="1468283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B51"/>
    <w:rsid w:val="00011413"/>
    <w:rsid w:val="00012DDD"/>
    <w:rsid w:val="0001497D"/>
    <w:rsid w:val="00040359"/>
    <w:rsid w:val="00051C01"/>
    <w:rsid w:val="000567FB"/>
    <w:rsid w:val="00066BE3"/>
    <w:rsid w:val="00077304"/>
    <w:rsid w:val="000A4DF6"/>
    <w:rsid w:val="000B46BA"/>
    <w:rsid w:val="000B7237"/>
    <w:rsid w:val="000D2143"/>
    <w:rsid w:val="000D4C5F"/>
    <w:rsid w:val="000D6EFE"/>
    <w:rsid w:val="000D70A7"/>
    <w:rsid w:val="0010029C"/>
    <w:rsid w:val="00112943"/>
    <w:rsid w:val="001309CE"/>
    <w:rsid w:val="00163009"/>
    <w:rsid w:val="0016469B"/>
    <w:rsid w:val="00165CC1"/>
    <w:rsid w:val="00174EA4"/>
    <w:rsid w:val="00180E73"/>
    <w:rsid w:val="0019016C"/>
    <w:rsid w:val="001918B5"/>
    <w:rsid w:val="00197236"/>
    <w:rsid w:val="001A33BD"/>
    <w:rsid w:val="001B6296"/>
    <w:rsid w:val="001B6C5F"/>
    <w:rsid w:val="001E0D4B"/>
    <w:rsid w:val="001E6718"/>
    <w:rsid w:val="001F04E3"/>
    <w:rsid w:val="001F16B6"/>
    <w:rsid w:val="00200184"/>
    <w:rsid w:val="00203DAA"/>
    <w:rsid w:val="002064DF"/>
    <w:rsid w:val="002315C4"/>
    <w:rsid w:val="00240FC0"/>
    <w:rsid w:val="002422D2"/>
    <w:rsid w:val="00260777"/>
    <w:rsid w:val="002748A8"/>
    <w:rsid w:val="00286B6E"/>
    <w:rsid w:val="002C069B"/>
    <w:rsid w:val="002C0A10"/>
    <w:rsid w:val="002E6E4C"/>
    <w:rsid w:val="002F1F7F"/>
    <w:rsid w:val="00312ED2"/>
    <w:rsid w:val="00326D29"/>
    <w:rsid w:val="00343590"/>
    <w:rsid w:val="0034681D"/>
    <w:rsid w:val="00355044"/>
    <w:rsid w:val="00355887"/>
    <w:rsid w:val="00366710"/>
    <w:rsid w:val="00366B2C"/>
    <w:rsid w:val="003A39A4"/>
    <w:rsid w:val="003D786B"/>
    <w:rsid w:val="003E2503"/>
    <w:rsid w:val="003F4ED3"/>
    <w:rsid w:val="0041039A"/>
    <w:rsid w:val="00410B87"/>
    <w:rsid w:val="00420C49"/>
    <w:rsid w:val="0042390A"/>
    <w:rsid w:val="00431E3F"/>
    <w:rsid w:val="004418F7"/>
    <w:rsid w:val="00446C5B"/>
    <w:rsid w:val="0045039D"/>
    <w:rsid w:val="00460B35"/>
    <w:rsid w:val="004762FF"/>
    <w:rsid w:val="0047767B"/>
    <w:rsid w:val="0048586D"/>
    <w:rsid w:val="00487588"/>
    <w:rsid w:val="004A564D"/>
    <w:rsid w:val="004C3E1D"/>
    <w:rsid w:val="004E7883"/>
    <w:rsid w:val="004F65FF"/>
    <w:rsid w:val="00507738"/>
    <w:rsid w:val="00525CE8"/>
    <w:rsid w:val="00543BBF"/>
    <w:rsid w:val="00547ADC"/>
    <w:rsid w:val="00563458"/>
    <w:rsid w:val="005669B4"/>
    <w:rsid w:val="00572FF2"/>
    <w:rsid w:val="005879F0"/>
    <w:rsid w:val="005A7163"/>
    <w:rsid w:val="005B0E5F"/>
    <w:rsid w:val="005B479A"/>
    <w:rsid w:val="005C3579"/>
    <w:rsid w:val="005D207F"/>
    <w:rsid w:val="005D5048"/>
    <w:rsid w:val="005E211F"/>
    <w:rsid w:val="005E502A"/>
    <w:rsid w:val="005E51E3"/>
    <w:rsid w:val="00601CE4"/>
    <w:rsid w:val="006129D9"/>
    <w:rsid w:val="006144F5"/>
    <w:rsid w:val="00626D77"/>
    <w:rsid w:val="00651400"/>
    <w:rsid w:val="006543FF"/>
    <w:rsid w:val="00662BAB"/>
    <w:rsid w:val="00690B15"/>
    <w:rsid w:val="006D33E3"/>
    <w:rsid w:val="006E3689"/>
    <w:rsid w:val="00714BE7"/>
    <w:rsid w:val="00714F19"/>
    <w:rsid w:val="00716A9C"/>
    <w:rsid w:val="0072783D"/>
    <w:rsid w:val="007327A7"/>
    <w:rsid w:val="0073696C"/>
    <w:rsid w:val="00742116"/>
    <w:rsid w:val="007570D2"/>
    <w:rsid w:val="00764317"/>
    <w:rsid w:val="00776278"/>
    <w:rsid w:val="0078660A"/>
    <w:rsid w:val="00787B85"/>
    <w:rsid w:val="00787E8D"/>
    <w:rsid w:val="007C01BF"/>
    <w:rsid w:val="007C32A1"/>
    <w:rsid w:val="007E0C75"/>
    <w:rsid w:val="007E5024"/>
    <w:rsid w:val="007F7DE7"/>
    <w:rsid w:val="0080087C"/>
    <w:rsid w:val="008043FA"/>
    <w:rsid w:val="00820AC6"/>
    <w:rsid w:val="00827749"/>
    <w:rsid w:val="00834199"/>
    <w:rsid w:val="00847FF4"/>
    <w:rsid w:val="008833F4"/>
    <w:rsid w:val="00897270"/>
    <w:rsid w:val="008A2C80"/>
    <w:rsid w:val="008C06F5"/>
    <w:rsid w:val="008C58D5"/>
    <w:rsid w:val="008E20DC"/>
    <w:rsid w:val="008F601A"/>
    <w:rsid w:val="00901A84"/>
    <w:rsid w:val="009134CA"/>
    <w:rsid w:val="00913B3B"/>
    <w:rsid w:val="00942740"/>
    <w:rsid w:val="00956E05"/>
    <w:rsid w:val="009633B8"/>
    <w:rsid w:val="00982383"/>
    <w:rsid w:val="00995035"/>
    <w:rsid w:val="009A5535"/>
    <w:rsid w:val="009A78C6"/>
    <w:rsid w:val="009D5176"/>
    <w:rsid w:val="009D529F"/>
    <w:rsid w:val="009E5383"/>
    <w:rsid w:val="00A01D99"/>
    <w:rsid w:val="00A1052E"/>
    <w:rsid w:val="00A31B27"/>
    <w:rsid w:val="00A47C75"/>
    <w:rsid w:val="00A51471"/>
    <w:rsid w:val="00A63013"/>
    <w:rsid w:val="00A75350"/>
    <w:rsid w:val="00A80F94"/>
    <w:rsid w:val="00A90B67"/>
    <w:rsid w:val="00A91AB3"/>
    <w:rsid w:val="00AA5D23"/>
    <w:rsid w:val="00AD42F0"/>
    <w:rsid w:val="00AD7989"/>
    <w:rsid w:val="00AE10E4"/>
    <w:rsid w:val="00AE16DC"/>
    <w:rsid w:val="00B00A51"/>
    <w:rsid w:val="00B02A9B"/>
    <w:rsid w:val="00B30454"/>
    <w:rsid w:val="00B30E6A"/>
    <w:rsid w:val="00B6798D"/>
    <w:rsid w:val="00B82B0A"/>
    <w:rsid w:val="00B82B27"/>
    <w:rsid w:val="00B87B90"/>
    <w:rsid w:val="00BC6E60"/>
    <w:rsid w:val="00BD64EC"/>
    <w:rsid w:val="00BE1D12"/>
    <w:rsid w:val="00BF25D6"/>
    <w:rsid w:val="00BF465B"/>
    <w:rsid w:val="00C228D3"/>
    <w:rsid w:val="00C47673"/>
    <w:rsid w:val="00C51BD9"/>
    <w:rsid w:val="00C56AF8"/>
    <w:rsid w:val="00C8044F"/>
    <w:rsid w:val="00C931F0"/>
    <w:rsid w:val="00C95EDF"/>
    <w:rsid w:val="00C96441"/>
    <w:rsid w:val="00CA324A"/>
    <w:rsid w:val="00CA4939"/>
    <w:rsid w:val="00CC3B51"/>
    <w:rsid w:val="00CD09FB"/>
    <w:rsid w:val="00CD26A7"/>
    <w:rsid w:val="00CF0B56"/>
    <w:rsid w:val="00D51FE7"/>
    <w:rsid w:val="00D573AA"/>
    <w:rsid w:val="00D756B6"/>
    <w:rsid w:val="00D76968"/>
    <w:rsid w:val="00D833C1"/>
    <w:rsid w:val="00DB0EE7"/>
    <w:rsid w:val="00DC4957"/>
    <w:rsid w:val="00DC4978"/>
    <w:rsid w:val="00DC7C2D"/>
    <w:rsid w:val="00DD1229"/>
    <w:rsid w:val="00E17172"/>
    <w:rsid w:val="00E27536"/>
    <w:rsid w:val="00E468ED"/>
    <w:rsid w:val="00E50168"/>
    <w:rsid w:val="00E50381"/>
    <w:rsid w:val="00E57EA1"/>
    <w:rsid w:val="00E60697"/>
    <w:rsid w:val="00E74032"/>
    <w:rsid w:val="00E8314F"/>
    <w:rsid w:val="00E86161"/>
    <w:rsid w:val="00E91556"/>
    <w:rsid w:val="00ED08EB"/>
    <w:rsid w:val="00EE19DD"/>
    <w:rsid w:val="00EF407F"/>
    <w:rsid w:val="00EF6720"/>
    <w:rsid w:val="00F106A7"/>
    <w:rsid w:val="00F31240"/>
    <w:rsid w:val="00F31F97"/>
    <w:rsid w:val="00F43642"/>
    <w:rsid w:val="00F44052"/>
    <w:rsid w:val="00F744D3"/>
    <w:rsid w:val="00F94FB7"/>
    <w:rsid w:val="00FB17E9"/>
    <w:rsid w:val="00FB2678"/>
    <w:rsid w:val="00FC46B4"/>
    <w:rsid w:val="00FC5577"/>
    <w:rsid w:val="00FD1BAA"/>
    <w:rsid w:val="00FF2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24CCA"/>
  <w15:chartTrackingRefBased/>
  <w15:docId w15:val="{03562B0D-FB6A-DE4B-A41F-E8E7008C5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20"/>
  </w:style>
  <w:style w:type="paragraph" w:styleId="Heading1">
    <w:name w:val="heading 1"/>
    <w:basedOn w:val="Normal"/>
    <w:next w:val="Normal"/>
    <w:link w:val="Heading1Char"/>
    <w:uiPriority w:val="9"/>
    <w:qFormat/>
    <w:rsid w:val="00CC3B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3B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3B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3B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3B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3B5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B5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B5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B5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B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3B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3B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3B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3B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3B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B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B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B51"/>
    <w:rPr>
      <w:rFonts w:eastAsiaTheme="majorEastAsia" w:cstheme="majorBidi"/>
      <w:color w:val="272727" w:themeColor="text1" w:themeTint="D8"/>
    </w:rPr>
  </w:style>
  <w:style w:type="paragraph" w:styleId="Title">
    <w:name w:val="Title"/>
    <w:basedOn w:val="Normal"/>
    <w:next w:val="Normal"/>
    <w:link w:val="TitleChar"/>
    <w:uiPriority w:val="10"/>
    <w:qFormat/>
    <w:rsid w:val="00CC3B5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B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B5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B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B5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3B51"/>
    <w:rPr>
      <w:i/>
      <w:iCs/>
      <w:color w:val="404040" w:themeColor="text1" w:themeTint="BF"/>
    </w:rPr>
  </w:style>
  <w:style w:type="paragraph" w:styleId="ListParagraph">
    <w:name w:val="List Paragraph"/>
    <w:basedOn w:val="Normal"/>
    <w:uiPriority w:val="34"/>
    <w:qFormat/>
    <w:rsid w:val="00CC3B51"/>
    <w:pPr>
      <w:ind w:left="720"/>
      <w:contextualSpacing/>
    </w:pPr>
  </w:style>
  <w:style w:type="character" w:styleId="IntenseEmphasis">
    <w:name w:val="Intense Emphasis"/>
    <w:basedOn w:val="DefaultParagraphFont"/>
    <w:uiPriority w:val="21"/>
    <w:qFormat/>
    <w:rsid w:val="00CC3B51"/>
    <w:rPr>
      <w:i/>
      <w:iCs/>
      <w:color w:val="0F4761" w:themeColor="accent1" w:themeShade="BF"/>
    </w:rPr>
  </w:style>
  <w:style w:type="paragraph" w:styleId="IntenseQuote">
    <w:name w:val="Intense Quote"/>
    <w:basedOn w:val="Normal"/>
    <w:next w:val="Normal"/>
    <w:link w:val="IntenseQuoteChar"/>
    <w:uiPriority w:val="30"/>
    <w:qFormat/>
    <w:rsid w:val="00CC3B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3B51"/>
    <w:rPr>
      <w:i/>
      <w:iCs/>
      <w:color w:val="0F4761" w:themeColor="accent1" w:themeShade="BF"/>
    </w:rPr>
  </w:style>
  <w:style w:type="character" w:styleId="IntenseReference">
    <w:name w:val="Intense Reference"/>
    <w:basedOn w:val="DefaultParagraphFont"/>
    <w:uiPriority w:val="32"/>
    <w:qFormat/>
    <w:rsid w:val="00CC3B51"/>
    <w:rPr>
      <w:b/>
      <w:bCs/>
      <w:smallCaps/>
      <w:color w:val="0F4761" w:themeColor="accent1" w:themeShade="BF"/>
      <w:spacing w:val="5"/>
    </w:rPr>
  </w:style>
  <w:style w:type="character" w:styleId="Emphasis">
    <w:name w:val="Emphasis"/>
    <w:basedOn w:val="DefaultParagraphFont"/>
    <w:uiPriority w:val="20"/>
    <w:qFormat/>
    <w:rsid w:val="00CC3B51"/>
    <w:rPr>
      <w:i/>
      <w:iCs/>
    </w:rPr>
  </w:style>
  <w:style w:type="character" w:customStyle="1" w:styleId="apple-converted-space">
    <w:name w:val="apple-converted-space"/>
    <w:basedOn w:val="DefaultParagraphFont"/>
    <w:rsid w:val="00CC3B51"/>
  </w:style>
  <w:style w:type="character" w:styleId="Hyperlink">
    <w:name w:val="Hyperlink"/>
    <w:basedOn w:val="DefaultParagraphFont"/>
    <w:uiPriority w:val="99"/>
    <w:unhideWhenUsed/>
    <w:rsid w:val="00CC3B51"/>
    <w:rPr>
      <w:color w:val="0000FF"/>
      <w:u w:val="single"/>
    </w:rPr>
  </w:style>
  <w:style w:type="character" w:styleId="UnresolvedMention">
    <w:name w:val="Unresolved Mention"/>
    <w:basedOn w:val="DefaultParagraphFont"/>
    <w:uiPriority w:val="99"/>
    <w:semiHidden/>
    <w:unhideWhenUsed/>
    <w:rsid w:val="00F744D3"/>
    <w:rPr>
      <w:color w:val="605E5C"/>
      <w:shd w:val="clear" w:color="auto" w:fill="E1DFDD"/>
    </w:rPr>
  </w:style>
  <w:style w:type="character" w:styleId="FollowedHyperlink">
    <w:name w:val="FollowedHyperlink"/>
    <w:basedOn w:val="DefaultParagraphFont"/>
    <w:uiPriority w:val="99"/>
    <w:semiHidden/>
    <w:unhideWhenUsed/>
    <w:rsid w:val="000D70A7"/>
    <w:rPr>
      <w:color w:val="96607D" w:themeColor="followedHyperlink"/>
      <w:u w:val="single"/>
    </w:rPr>
  </w:style>
  <w:style w:type="paragraph" w:styleId="NormalWeb">
    <w:name w:val="Normal (Web)"/>
    <w:basedOn w:val="Normal"/>
    <w:uiPriority w:val="99"/>
    <w:unhideWhenUsed/>
    <w:rsid w:val="00E8616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6E3689"/>
    <w:rPr>
      <w:color w:val="666666"/>
    </w:rPr>
  </w:style>
  <w:style w:type="table" w:styleId="TableGrid">
    <w:name w:val="Table Grid"/>
    <w:basedOn w:val="TableNormal"/>
    <w:uiPriority w:val="39"/>
    <w:rsid w:val="002F1F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1052E"/>
    <w:rPr>
      <w:b/>
      <w:bCs/>
    </w:rPr>
  </w:style>
  <w:style w:type="character" w:customStyle="1" w:styleId="mord">
    <w:name w:val="mord"/>
    <w:basedOn w:val="DefaultParagraphFont"/>
    <w:rsid w:val="00651400"/>
  </w:style>
  <w:style w:type="character" w:customStyle="1" w:styleId="mpunct">
    <w:name w:val="mpunct"/>
    <w:basedOn w:val="DefaultParagraphFont"/>
    <w:rsid w:val="00651400"/>
  </w:style>
  <w:style w:type="paragraph" w:styleId="Footer">
    <w:name w:val="footer"/>
    <w:basedOn w:val="Normal"/>
    <w:link w:val="FooterChar"/>
    <w:uiPriority w:val="99"/>
    <w:unhideWhenUsed/>
    <w:rsid w:val="00C51BD9"/>
    <w:pPr>
      <w:tabs>
        <w:tab w:val="center" w:pos="4513"/>
        <w:tab w:val="right" w:pos="9026"/>
      </w:tabs>
    </w:pPr>
  </w:style>
  <w:style w:type="character" w:customStyle="1" w:styleId="FooterChar">
    <w:name w:val="Footer Char"/>
    <w:basedOn w:val="DefaultParagraphFont"/>
    <w:link w:val="Footer"/>
    <w:uiPriority w:val="99"/>
    <w:rsid w:val="00C51BD9"/>
  </w:style>
  <w:style w:type="character" w:styleId="PageNumber">
    <w:name w:val="page number"/>
    <w:basedOn w:val="DefaultParagraphFont"/>
    <w:uiPriority w:val="99"/>
    <w:semiHidden/>
    <w:unhideWhenUsed/>
    <w:rsid w:val="00C51BD9"/>
  </w:style>
  <w:style w:type="paragraph" w:styleId="TOCHeading">
    <w:name w:val="TOC Heading"/>
    <w:basedOn w:val="Heading1"/>
    <w:next w:val="Normal"/>
    <w:uiPriority w:val="39"/>
    <w:unhideWhenUsed/>
    <w:qFormat/>
    <w:rsid w:val="005B479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B479A"/>
    <w:pPr>
      <w:spacing w:before="120"/>
    </w:pPr>
    <w:rPr>
      <w:b/>
      <w:bCs/>
      <w:i/>
      <w:iCs/>
    </w:rPr>
  </w:style>
  <w:style w:type="paragraph" w:styleId="TOC2">
    <w:name w:val="toc 2"/>
    <w:basedOn w:val="Normal"/>
    <w:next w:val="Normal"/>
    <w:autoRedefine/>
    <w:uiPriority w:val="39"/>
    <w:semiHidden/>
    <w:unhideWhenUsed/>
    <w:rsid w:val="005B479A"/>
    <w:pPr>
      <w:spacing w:before="120"/>
      <w:ind w:left="240"/>
    </w:pPr>
    <w:rPr>
      <w:b/>
      <w:bCs/>
      <w:sz w:val="22"/>
      <w:szCs w:val="22"/>
    </w:rPr>
  </w:style>
  <w:style w:type="paragraph" w:styleId="TOC3">
    <w:name w:val="toc 3"/>
    <w:basedOn w:val="Normal"/>
    <w:next w:val="Normal"/>
    <w:autoRedefine/>
    <w:uiPriority w:val="39"/>
    <w:semiHidden/>
    <w:unhideWhenUsed/>
    <w:rsid w:val="005B479A"/>
    <w:pPr>
      <w:ind w:left="480"/>
    </w:pPr>
    <w:rPr>
      <w:sz w:val="20"/>
      <w:szCs w:val="20"/>
    </w:rPr>
  </w:style>
  <w:style w:type="paragraph" w:styleId="TOC4">
    <w:name w:val="toc 4"/>
    <w:basedOn w:val="Normal"/>
    <w:next w:val="Normal"/>
    <w:autoRedefine/>
    <w:uiPriority w:val="39"/>
    <w:semiHidden/>
    <w:unhideWhenUsed/>
    <w:rsid w:val="005B479A"/>
    <w:pPr>
      <w:ind w:left="720"/>
    </w:pPr>
    <w:rPr>
      <w:sz w:val="20"/>
      <w:szCs w:val="20"/>
    </w:rPr>
  </w:style>
  <w:style w:type="paragraph" w:styleId="TOC5">
    <w:name w:val="toc 5"/>
    <w:basedOn w:val="Normal"/>
    <w:next w:val="Normal"/>
    <w:autoRedefine/>
    <w:uiPriority w:val="39"/>
    <w:semiHidden/>
    <w:unhideWhenUsed/>
    <w:rsid w:val="005B479A"/>
    <w:pPr>
      <w:ind w:left="960"/>
    </w:pPr>
    <w:rPr>
      <w:sz w:val="20"/>
      <w:szCs w:val="20"/>
    </w:rPr>
  </w:style>
  <w:style w:type="paragraph" w:styleId="TOC6">
    <w:name w:val="toc 6"/>
    <w:basedOn w:val="Normal"/>
    <w:next w:val="Normal"/>
    <w:autoRedefine/>
    <w:uiPriority w:val="39"/>
    <w:semiHidden/>
    <w:unhideWhenUsed/>
    <w:rsid w:val="005B479A"/>
    <w:pPr>
      <w:ind w:left="1200"/>
    </w:pPr>
    <w:rPr>
      <w:sz w:val="20"/>
      <w:szCs w:val="20"/>
    </w:rPr>
  </w:style>
  <w:style w:type="paragraph" w:styleId="TOC7">
    <w:name w:val="toc 7"/>
    <w:basedOn w:val="Normal"/>
    <w:next w:val="Normal"/>
    <w:autoRedefine/>
    <w:uiPriority w:val="39"/>
    <w:semiHidden/>
    <w:unhideWhenUsed/>
    <w:rsid w:val="005B479A"/>
    <w:pPr>
      <w:ind w:left="1440"/>
    </w:pPr>
    <w:rPr>
      <w:sz w:val="20"/>
      <w:szCs w:val="20"/>
    </w:rPr>
  </w:style>
  <w:style w:type="paragraph" w:styleId="TOC8">
    <w:name w:val="toc 8"/>
    <w:basedOn w:val="Normal"/>
    <w:next w:val="Normal"/>
    <w:autoRedefine/>
    <w:uiPriority w:val="39"/>
    <w:semiHidden/>
    <w:unhideWhenUsed/>
    <w:rsid w:val="005B479A"/>
    <w:pPr>
      <w:ind w:left="1680"/>
    </w:pPr>
    <w:rPr>
      <w:sz w:val="20"/>
      <w:szCs w:val="20"/>
    </w:rPr>
  </w:style>
  <w:style w:type="paragraph" w:styleId="TOC9">
    <w:name w:val="toc 9"/>
    <w:basedOn w:val="Normal"/>
    <w:next w:val="Normal"/>
    <w:autoRedefine/>
    <w:uiPriority w:val="39"/>
    <w:semiHidden/>
    <w:unhideWhenUsed/>
    <w:rsid w:val="005B479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51851">
      <w:bodyDiv w:val="1"/>
      <w:marLeft w:val="0"/>
      <w:marRight w:val="0"/>
      <w:marTop w:val="0"/>
      <w:marBottom w:val="0"/>
      <w:divBdr>
        <w:top w:val="none" w:sz="0" w:space="0" w:color="auto"/>
        <w:left w:val="none" w:sz="0" w:space="0" w:color="auto"/>
        <w:bottom w:val="none" w:sz="0" w:space="0" w:color="auto"/>
        <w:right w:val="none" w:sz="0" w:space="0" w:color="auto"/>
      </w:divBdr>
    </w:div>
    <w:div w:id="54596915">
      <w:bodyDiv w:val="1"/>
      <w:marLeft w:val="0"/>
      <w:marRight w:val="0"/>
      <w:marTop w:val="0"/>
      <w:marBottom w:val="0"/>
      <w:divBdr>
        <w:top w:val="none" w:sz="0" w:space="0" w:color="auto"/>
        <w:left w:val="none" w:sz="0" w:space="0" w:color="auto"/>
        <w:bottom w:val="none" w:sz="0" w:space="0" w:color="auto"/>
        <w:right w:val="none" w:sz="0" w:space="0" w:color="auto"/>
      </w:divBdr>
      <w:divsChild>
        <w:div w:id="534541867">
          <w:marLeft w:val="-720"/>
          <w:marRight w:val="0"/>
          <w:marTop w:val="0"/>
          <w:marBottom w:val="0"/>
          <w:divBdr>
            <w:top w:val="none" w:sz="0" w:space="0" w:color="auto"/>
            <w:left w:val="none" w:sz="0" w:space="0" w:color="auto"/>
            <w:bottom w:val="none" w:sz="0" w:space="0" w:color="auto"/>
            <w:right w:val="none" w:sz="0" w:space="0" w:color="auto"/>
          </w:divBdr>
        </w:div>
      </w:divsChild>
    </w:div>
    <w:div w:id="55595990">
      <w:bodyDiv w:val="1"/>
      <w:marLeft w:val="0"/>
      <w:marRight w:val="0"/>
      <w:marTop w:val="0"/>
      <w:marBottom w:val="0"/>
      <w:divBdr>
        <w:top w:val="none" w:sz="0" w:space="0" w:color="auto"/>
        <w:left w:val="none" w:sz="0" w:space="0" w:color="auto"/>
        <w:bottom w:val="none" w:sz="0" w:space="0" w:color="auto"/>
        <w:right w:val="none" w:sz="0" w:space="0" w:color="auto"/>
      </w:divBdr>
      <w:divsChild>
        <w:div w:id="1536697436">
          <w:marLeft w:val="0"/>
          <w:marRight w:val="0"/>
          <w:marTop w:val="0"/>
          <w:marBottom w:val="0"/>
          <w:divBdr>
            <w:top w:val="none" w:sz="0" w:space="0" w:color="auto"/>
            <w:left w:val="none" w:sz="0" w:space="0" w:color="auto"/>
            <w:bottom w:val="none" w:sz="0" w:space="0" w:color="auto"/>
            <w:right w:val="none" w:sz="0" w:space="0" w:color="auto"/>
          </w:divBdr>
        </w:div>
      </w:divsChild>
    </w:div>
    <w:div w:id="64381985">
      <w:bodyDiv w:val="1"/>
      <w:marLeft w:val="0"/>
      <w:marRight w:val="0"/>
      <w:marTop w:val="0"/>
      <w:marBottom w:val="0"/>
      <w:divBdr>
        <w:top w:val="none" w:sz="0" w:space="0" w:color="auto"/>
        <w:left w:val="none" w:sz="0" w:space="0" w:color="auto"/>
        <w:bottom w:val="none" w:sz="0" w:space="0" w:color="auto"/>
        <w:right w:val="none" w:sz="0" w:space="0" w:color="auto"/>
      </w:divBdr>
      <w:divsChild>
        <w:div w:id="1544755388">
          <w:marLeft w:val="0"/>
          <w:marRight w:val="0"/>
          <w:marTop w:val="0"/>
          <w:marBottom w:val="0"/>
          <w:divBdr>
            <w:top w:val="none" w:sz="0" w:space="0" w:color="auto"/>
            <w:left w:val="none" w:sz="0" w:space="0" w:color="auto"/>
            <w:bottom w:val="none" w:sz="0" w:space="0" w:color="auto"/>
            <w:right w:val="none" w:sz="0" w:space="0" w:color="auto"/>
          </w:divBdr>
        </w:div>
      </w:divsChild>
    </w:div>
    <w:div w:id="77868100">
      <w:bodyDiv w:val="1"/>
      <w:marLeft w:val="0"/>
      <w:marRight w:val="0"/>
      <w:marTop w:val="0"/>
      <w:marBottom w:val="0"/>
      <w:divBdr>
        <w:top w:val="none" w:sz="0" w:space="0" w:color="auto"/>
        <w:left w:val="none" w:sz="0" w:space="0" w:color="auto"/>
        <w:bottom w:val="none" w:sz="0" w:space="0" w:color="auto"/>
        <w:right w:val="none" w:sz="0" w:space="0" w:color="auto"/>
      </w:divBdr>
      <w:divsChild>
        <w:div w:id="1981155472">
          <w:marLeft w:val="0"/>
          <w:marRight w:val="0"/>
          <w:marTop w:val="0"/>
          <w:marBottom w:val="0"/>
          <w:divBdr>
            <w:top w:val="none" w:sz="0" w:space="0" w:color="auto"/>
            <w:left w:val="none" w:sz="0" w:space="0" w:color="auto"/>
            <w:bottom w:val="none" w:sz="0" w:space="0" w:color="auto"/>
            <w:right w:val="none" w:sz="0" w:space="0" w:color="auto"/>
          </w:divBdr>
        </w:div>
      </w:divsChild>
    </w:div>
    <w:div w:id="159976703">
      <w:bodyDiv w:val="1"/>
      <w:marLeft w:val="0"/>
      <w:marRight w:val="0"/>
      <w:marTop w:val="0"/>
      <w:marBottom w:val="0"/>
      <w:divBdr>
        <w:top w:val="none" w:sz="0" w:space="0" w:color="auto"/>
        <w:left w:val="none" w:sz="0" w:space="0" w:color="auto"/>
        <w:bottom w:val="none" w:sz="0" w:space="0" w:color="auto"/>
        <w:right w:val="none" w:sz="0" w:space="0" w:color="auto"/>
      </w:divBdr>
    </w:div>
    <w:div w:id="184515173">
      <w:bodyDiv w:val="1"/>
      <w:marLeft w:val="0"/>
      <w:marRight w:val="0"/>
      <w:marTop w:val="0"/>
      <w:marBottom w:val="0"/>
      <w:divBdr>
        <w:top w:val="none" w:sz="0" w:space="0" w:color="auto"/>
        <w:left w:val="none" w:sz="0" w:space="0" w:color="auto"/>
        <w:bottom w:val="none" w:sz="0" w:space="0" w:color="auto"/>
        <w:right w:val="none" w:sz="0" w:space="0" w:color="auto"/>
      </w:divBdr>
      <w:divsChild>
        <w:div w:id="1221670709">
          <w:marLeft w:val="0"/>
          <w:marRight w:val="0"/>
          <w:marTop w:val="0"/>
          <w:marBottom w:val="0"/>
          <w:divBdr>
            <w:top w:val="none" w:sz="0" w:space="0" w:color="auto"/>
            <w:left w:val="none" w:sz="0" w:space="0" w:color="auto"/>
            <w:bottom w:val="none" w:sz="0" w:space="0" w:color="auto"/>
            <w:right w:val="none" w:sz="0" w:space="0" w:color="auto"/>
          </w:divBdr>
        </w:div>
      </w:divsChild>
    </w:div>
    <w:div w:id="280306265">
      <w:bodyDiv w:val="1"/>
      <w:marLeft w:val="0"/>
      <w:marRight w:val="0"/>
      <w:marTop w:val="0"/>
      <w:marBottom w:val="0"/>
      <w:divBdr>
        <w:top w:val="none" w:sz="0" w:space="0" w:color="auto"/>
        <w:left w:val="none" w:sz="0" w:space="0" w:color="auto"/>
        <w:bottom w:val="none" w:sz="0" w:space="0" w:color="auto"/>
        <w:right w:val="none" w:sz="0" w:space="0" w:color="auto"/>
      </w:divBdr>
      <w:divsChild>
        <w:div w:id="745954167">
          <w:marLeft w:val="-720"/>
          <w:marRight w:val="0"/>
          <w:marTop w:val="0"/>
          <w:marBottom w:val="0"/>
          <w:divBdr>
            <w:top w:val="none" w:sz="0" w:space="0" w:color="auto"/>
            <w:left w:val="none" w:sz="0" w:space="0" w:color="auto"/>
            <w:bottom w:val="none" w:sz="0" w:space="0" w:color="auto"/>
            <w:right w:val="none" w:sz="0" w:space="0" w:color="auto"/>
          </w:divBdr>
        </w:div>
      </w:divsChild>
    </w:div>
    <w:div w:id="283315415">
      <w:bodyDiv w:val="1"/>
      <w:marLeft w:val="0"/>
      <w:marRight w:val="0"/>
      <w:marTop w:val="0"/>
      <w:marBottom w:val="0"/>
      <w:divBdr>
        <w:top w:val="none" w:sz="0" w:space="0" w:color="auto"/>
        <w:left w:val="none" w:sz="0" w:space="0" w:color="auto"/>
        <w:bottom w:val="none" w:sz="0" w:space="0" w:color="auto"/>
        <w:right w:val="none" w:sz="0" w:space="0" w:color="auto"/>
      </w:divBdr>
    </w:div>
    <w:div w:id="430056023">
      <w:bodyDiv w:val="1"/>
      <w:marLeft w:val="0"/>
      <w:marRight w:val="0"/>
      <w:marTop w:val="0"/>
      <w:marBottom w:val="0"/>
      <w:divBdr>
        <w:top w:val="none" w:sz="0" w:space="0" w:color="auto"/>
        <w:left w:val="none" w:sz="0" w:space="0" w:color="auto"/>
        <w:bottom w:val="none" w:sz="0" w:space="0" w:color="auto"/>
        <w:right w:val="none" w:sz="0" w:space="0" w:color="auto"/>
      </w:divBdr>
    </w:div>
    <w:div w:id="457332433">
      <w:bodyDiv w:val="1"/>
      <w:marLeft w:val="0"/>
      <w:marRight w:val="0"/>
      <w:marTop w:val="0"/>
      <w:marBottom w:val="0"/>
      <w:divBdr>
        <w:top w:val="none" w:sz="0" w:space="0" w:color="auto"/>
        <w:left w:val="none" w:sz="0" w:space="0" w:color="auto"/>
        <w:bottom w:val="none" w:sz="0" w:space="0" w:color="auto"/>
        <w:right w:val="none" w:sz="0" w:space="0" w:color="auto"/>
      </w:divBdr>
      <w:divsChild>
        <w:div w:id="1370566867">
          <w:marLeft w:val="-720"/>
          <w:marRight w:val="0"/>
          <w:marTop w:val="0"/>
          <w:marBottom w:val="0"/>
          <w:divBdr>
            <w:top w:val="none" w:sz="0" w:space="0" w:color="auto"/>
            <w:left w:val="none" w:sz="0" w:space="0" w:color="auto"/>
            <w:bottom w:val="none" w:sz="0" w:space="0" w:color="auto"/>
            <w:right w:val="none" w:sz="0" w:space="0" w:color="auto"/>
          </w:divBdr>
        </w:div>
      </w:divsChild>
    </w:div>
    <w:div w:id="512689277">
      <w:bodyDiv w:val="1"/>
      <w:marLeft w:val="0"/>
      <w:marRight w:val="0"/>
      <w:marTop w:val="0"/>
      <w:marBottom w:val="0"/>
      <w:divBdr>
        <w:top w:val="none" w:sz="0" w:space="0" w:color="auto"/>
        <w:left w:val="none" w:sz="0" w:space="0" w:color="auto"/>
        <w:bottom w:val="none" w:sz="0" w:space="0" w:color="auto"/>
        <w:right w:val="none" w:sz="0" w:space="0" w:color="auto"/>
      </w:divBdr>
    </w:div>
    <w:div w:id="523904277">
      <w:bodyDiv w:val="1"/>
      <w:marLeft w:val="0"/>
      <w:marRight w:val="0"/>
      <w:marTop w:val="0"/>
      <w:marBottom w:val="0"/>
      <w:divBdr>
        <w:top w:val="none" w:sz="0" w:space="0" w:color="auto"/>
        <w:left w:val="none" w:sz="0" w:space="0" w:color="auto"/>
        <w:bottom w:val="none" w:sz="0" w:space="0" w:color="auto"/>
        <w:right w:val="none" w:sz="0" w:space="0" w:color="auto"/>
      </w:divBdr>
    </w:div>
    <w:div w:id="529418638">
      <w:bodyDiv w:val="1"/>
      <w:marLeft w:val="0"/>
      <w:marRight w:val="0"/>
      <w:marTop w:val="0"/>
      <w:marBottom w:val="0"/>
      <w:divBdr>
        <w:top w:val="none" w:sz="0" w:space="0" w:color="auto"/>
        <w:left w:val="none" w:sz="0" w:space="0" w:color="auto"/>
        <w:bottom w:val="none" w:sz="0" w:space="0" w:color="auto"/>
        <w:right w:val="none" w:sz="0" w:space="0" w:color="auto"/>
      </w:divBdr>
      <w:divsChild>
        <w:div w:id="1327442150">
          <w:marLeft w:val="0"/>
          <w:marRight w:val="0"/>
          <w:marTop w:val="0"/>
          <w:marBottom w:val="0"/>
          <w:divBdr>
            <w:top w:val="none" w:sz="0" w:space="0" w:color="auto"/>
            <w:left w:val="none" w:sz="0" w:space="0" w:color="auto"/>
            <w:bottom w:val="none" w:sz="0" w:space="0" w:color="auto"/>
            <w:right w:val="none" w:sz="0" w:space="0" w:color="auto"/>
          </w:divBdr>
        </w:div>
      </w:divsChild>
    </w:div>
    <w:div w:id="546528751">
      <w:bodyDiv w:val="1"/>
      <w:marLeft w:val="0"/>
      <w:marRight w:val="0"/>
      <w:marTop w:val="0"/>
      <w:marBottom w:val="0"/>
      <w:divBdr>
        <w:top w:val="none" w:sz="0" w:space="0" w:color="auto"/>
        <w:left w:val="none" w:sz="0" w:space="0" w:color="auto"/>
        <w:bottom w:val="none" w:sz="0" w:space="0" w:color="auto"/>
        <w:right w:val="none" w:sz="0" w:space="0" w:color="auto"/>
      </w:divBdr>
    </w:div>
    <w:div w:id="549652851">
      <w:bodyDiv w:val="1"/>
      <w:marLeft w:val="0"/>
      <w:marRight w:val="0"/>
      <w:marTop w:val="0"/>
      <w:marBottom w:val="0"/>
      <w:divBdr>
        <w:top w:val="none" w:sz="0" w:space="0" w:color="auto"/>
        <w:left w:val="none" w:sz="0" w:space="0" w:color="auto"/>
        <w:bottom w:val="none" w:sz="0" w:space="0" w:color="auto"/>
        <w:right w:val="none" w:sz="0" w:space="0" w:color="auto"/>
      </w:divBdr>
    </w:div>
    <w:div w:id="556167201">
      <w:bodyDiv w:val="1"/>
      <w:marLeft w:val="0"/>
      <w:marRight w:val="0"/>
      <w:marTop w:val="0"/>
      <w:marBottom w:val="0"/>
      <w:divBdr>
        <w:top w:val="none" w:sz="0" w:space="0" w:color="auto"/>
        <w:left w:val="none" w:sz="0" w:space="0" w:color="auto"/>
        <w:bottom w:val="none" w:sz="0" w:space="0" w:color="auto"/>
        <w:right w:val="none" w:sz="0" w:space="0" w:color="auto"/>
      </w:divBdr>
      <w:divsChild>
        <w:div w:id="120341630">
          <w:marLeft w:val="0"/>
          <w:marRight w:val="0"/>
          <w:marTop w:val="0"/>
          <w:marBottom w:val="0"/>
          <w:divBdr>
            <w:top w:val="none" w:sz="0" w:space="0" w:color="auto"/>
            <w:left w:val="none" w:sz="0" w:space="0" w:color="auto"/>
            <w:bottom w:val="none" w:sz="0" w:space="0" w:color="auto"/>
            <w:right w:val="none" w:sz="0" w:space="0" w:color="auto"/>
          </w:divBdr>
        </w:div>
      </w:divsChild>
    </w:div>
    <w:div w:id="579367610">
      <w:bodyDiv w:val="1"/>
      <w:marLeft w:val="0"/>
      <w:marRight w:val="0"/>
      <w:marTop w:val="0"/>
      <w:marBottom w:val="0"/>
      <w:divBdr>
        <w:top w:val="none" w:sz="0" w:space="0" w:color="auto"/>
        <w:left w:val="none" w:sz="0" w:space="0" w:color="auto"/>
        <w:bottom w:val="none" w:sz="0" w:space="0" w:color="auto"/>
        <w:right w:val="none" w:sz="0" w:space="0" w:color="auto"/>
      </w:divBdr>
    </w:div>
    <w:div w:id="605159683">
      <w:bodyDiv w:val="1"/>
      <w:marLeft w:val="0"/>
      <w:marRight w:val="0"/>
      <w:marTop w:val="0"/>
      <w:marBottom w:val="0"/>
      <w:divBdr>
        <w:top w:val="none" w:sz="0" w:space="0" w:color="auto"/>
        <w:left w:val="none" w:sz="0" w:space="0" w:color="auto"/>
        <w:bottom w:val="none" w:sz="0" w:space="0" w:color="auto"/>
        <w:right w:val="none" w:sz="0" w:space="0" w:color="auto"/>
      </w:divBdr>
      <w:divsChild>
        <w:div w:id="1199853481">
          <w:marLeft w:val="0"/>
          <w:marRight w:val="0"/>
          <w:marTop w:val="0"/>
          <w:marBottom w:val="0"/>
          <w:divBdr>
            <w:top w:val="none" w:sz="0" w:space="0" w:color="auto"/>
            <w:left w:val="none" w:sz="0" w:space="0" w:color="auto"/>
            <w:bottom w:val="none" w:sz="0" w:space="0" w:color="auto"/>
            <w:right w:val="none" w:sz="0" w:space="0" w:color="auto"/>
          </w:divBdr>
        </w:div>
      </w:divsChild>
    </w:div>
    <w:div w:id="615722444">
      <w:bodyDiv w:val="1"/>
      <w:marLeft w:val="0"/>
      <w:marRight w:val="0"/>
      <w:marTop w:val="0"/>
      <w:marBottom w:val="0"/>
      <w:divBdr>
        <w:top w:val="none" w:sz="0" w:space="0" w:color="auto"/>
        <w:left w:val="none" w:sz="0" w:space="0" w:color="auto"/>
        <w:bottom w:val="none" w:sz="0" w:space="0" w:color="auto"/>
        <w:right w:val="none" w:sz="0" w:space="0" w:color="auto"/>
      </w:divBdr>
      <w:divsChild>
        <w:div w:id="663318003">
          <w:marLeft w:val="-720"/>
          <w:marRight w:val="0"/>
          <w:marTop w:val="0"/>
          <w:marBottom w:val="0"/>
          <w:divBdr>
            <w:top w:val="none" w:sz="0" w:space="0" w:color="auto"/>
            <w:left w:val="none" w:sz="0" w:space="0" w:color="auto"/>
            <w:bottom w:val="none" w:sz="0" w:space="0" w:color="auto"/>
            <w:right w:val="none" w:sz="0" w:space="0" w:color="auto"/>
          </w:divBdr>
        </w:div>
      </w:divsChild>
    </w:div>
    <w:div w:id="647898442">
      <w:bodyDiv w:val="1"/>
      <w:marLeft w:val="0"/>
      <w:marRight w:val="0"/>
      <w:marTop w:val="0"/>
      <w:marBottom w:val="0"/>
      <w:divBdr>
        <w:top w:val="none" w:sz="0" w:space="0" w:color="auto"/>
        <w:left w:val="none" w:sz="0" w:space="0" w:color="auto"/>
        <w:bottom w:val="none" w:sz="0" w:space="0" w:color="auto"/>
        <w:right w:val="none" w:sz="0" w:space="0" w:color="auto"/>
      </w:divBdr>
    </w:div>
    <w:div w:id="650792767">
      <w:bodyDiv w:val="1"/>
      <w:marLeft w:val="0"/>
      <w:marRight w:val="0"/>
      <w:marTop w:val="0"/>
      <w:marBottom w:val="0"/>
      <w:divBdr>
        <w:top w:val="none" w:sz="0" w:space="0" w:color="auto"/>
        <w:left w:val="none" w:sz="0" w:space="0" w:color="auto"/>
        <w:bottom w:val="none" w:sz="0" w:space="0" w:color="auto"/>
        <w:right w:val="none" w:sz="0" w:space="0" w:color="auto"/>
      </w:divBdr>
      <w:divsChild>
        <w:div w:id="754933694">
          <w:marLeft w:val="-720"/>
          <w:marRight w:val="0"/>
          <w:marTop w:val="0"/>
          <w:marBottom w:val="0"/>
          <w:divBdr>
            <w:top w:val="none" w:sz="0" w:space="0" w:color="auto"/>
            <w:left w:val="none" w:sz="0" w:space="0" w:color="auto"/>
            <w:bottom w:val="none" w:sz="0" w:space="0" w:color="auto"/>
            <w:right w:val="none" w:sz="0" w:space="0" w:color="auto"/>
          </w:divBdr>
        </w:div>
      </w:divsChild>
    </w:div>
    <w:div w:id="669722969">
      <w:bodyDiv w:val="1"/>
      <w:marLeft w:val="0"/>
      <w:marRight w:val="0"/>
      <w:marTop w:val="0"/>
      <w:marBottom w:val="0"/>
      <w:divBdr>
        <w:top w:val="none" w:sz="0" w:space="0" w:color="auto"/>
        <w:left w:val="none" w:sz="0" w:space="0" w:color="auto"/>
        <w:bottom w:val="none" w:sz="0" w:space="0" w:color="auto"/>
        <w:right w:val="none" w:sz="0" w:space="0" w:color="auto"/>
      </w:divBdr>
      <w:divsChild>
        <w:div w:id="1627656197">
          <w:marLeft w:val="-720"/>
          <w:marRight w:val="0"/>
          <w:marTop w:val="0"/>
          <w:marBottom w:val="0"/>
          <w:divBdr>
            <w:top w:val="none" w:sz="0" w:space="0" w:color="auto"/>
            <w:left w:val="none" w:sz="0" w:space="0" w:color="auto"/>
            <w:bottom w:val="none" w:sz="0" w:space="0" w:color="auto"/>
            <w:right w:val="none" w:sz="0" w:space="0" w:color="auto"/>
          </w:divBdr>
        </w:div>
      </w:divsChild>
    </w:div>
    <w:div w:id="835927031">
      <w:bodyDiv w:val="1"/>
      <w:marLeft w:val="0"/>
      <w:marRight w:val="0"/>
      <w:marTop w:val="0"/>
      <w:marBottom w:val="0"/>
      <w:divBdr>
        <w:top w:val="none" w:sz="0" w:space="0" w:color="auto"/>
        <w:left w:val="none" w:sz="0" w:space="0" w:color="auto"/>
        <w:bottom w:val="none" w:sz="0" w:space="0" w:color="auto"/>
        <w:right w:val="none" w:sz="0" w:space="0" w:color="auto"/>
      </w:divBdr>
      <w:divsChild>
        <w:div w:id="2068843485">
          <w:marLeft w:val="-720"/>
          <w:marRight w:val="0"/>
          <w:marTop w:val="0"/>
          <w:marBottom w:val="0"/>
          <w:divBdr>
            <w:top w:val="none" w:sz="0" w:space="0" w:color="auto"/>
            <w:left w:val="none" w:sz="0" w:space="0" w:color="auto"/>
            <w:bottom w:val="none" w:sz="0" w:space="0" w:color="auto"/>
            <w:right w:val="none" w:sz="0" w:space="0" w:color="auto"/>
          </w:divBdr>
        </w:div>
      </w:divsChild>
    </w:div>
    <w:div w:id="839126677">
      <w:bodyDiv w:val="1"/>
      <w:marLeft w:val="0"/>
      <w:marRight w:val="0"/>
      <w:marTop w:val="0"/>
      <w:marBottom w:val="0"/>
      <w:divBdr>
        <w:top w:val="none" w:sz="0" w:space="0" w:color="auto"/>
        <w:left w:val="none" w:sz="0" w:space="0" w:color="auto"/>
        <w:bottom w:val="none" w:sz="0" w:space="0" w:color="auto"/>
        <w:right w:val="none" w:sz="0" w:space="0" w:color="auto"/>
      </w:divBdr>
      <w:divsChild>
        <w:div w:id="1894386290">
          <w:marLeft w:val="0"/>
          <w:marRight w:val="0"/>
          <w:marTop w:val="0"/>
          <w:marBottom w:val="0"/>
          <w:divBdr>
            <w:top w:val="none" w:sz="0" w:space="0" w:color="auto"/>
            <w:left w:val="none" w:sz="0" w:space="0" w:color="auto"/>
            <w:bottom w:val="none" w:sz="0" w:space="0" w:color="auto"/>
            <w:right w:val="none" w:sz="0" w:space="0" w:color="auto"/>
          </w:divBdr>
        </w:div>
      </w:divsChild>
    </w:div>
    <w:div w:id="856311365">
      <w:bodyDiv w:val="1"/>
      <w:marLeft w:val="0"/>
      <w:marRight w:val="0"/>
      <w:marTop w:val="0"/>
      <w:marBottom w:val="0"/>
      <w:divBdr>
        <w:top w:val="none" w:sz="0" w:space="0" w:color="auto"/>
        <w:left w:val="none" w:sz="0" w:space="0" w:color="auto"/>
        <w:bottom w:val="none" w:sz="0" w:space="0" w:color="auto"/>
        <w:right w:val="none" w:sz="0" w:space="0" w:color="auto"/>
      </w:divBdr>
      <w:divsChild>
        <w:div w:id="1489593649">
          <w:marLeft w:val="-720"/>
          <w:marRight w:val="0"/>
          <w:marTop w:val="0"/>
          <w:marBottom w:val="0"/>
          <w:divBdr>
            <w:top w:val="none" w:sz="0" w:space="0" w:color="auto"/>
            <w:left w:val="none" w:sz="0" w:space="0" w:color="auto"/>
            <w:bottom w:val="none" w:sz="0" w:space="0" w:color="auto"/>
            <w:right w:val="none" w:sz="0" w:space="0" w:color="auto"/>
          </w:divBdr>
        </w:div>
      </w:divsChild>
    </w:div>
    <w:div w:id="869337715">
      <w:bodyDiv w:val="1"/>
      <w:marLeft w:val="0"/>
      <w:marRight w:val="0"/>
      <w:marTop w:val="0"/>
      <w:marBottom w:val="0"/>
      <w:divBdr>
        <w:top w:val="none" w:sz="0" w:space="0" w:color="auto"/>
        <w:left w:val="none" w:sz="0" w:space="0" w:color="auto"/>
        <w:bottom w:val="none" w:sz="0" w:space="0" w:color="auto"/>
        <w:right w:val="none" w:sz="0" w:space="0" w:color="auto"/>
      </w:divBdr>
      <w:divsChild>
        <w:div w:id="2051108449">
          <w:marLeft w:val="0"/>
          <w:marRight w:val="0"/>
          <w:marTop w:val="0"/>
          <w:marBottom w:val="0"/>
          <w:divBdr>
            <w:top w:val="none" w:sz="0" w:space="0" w:color="auto"/>
            <w:left w:val="none" w:sz="0" w:space="0" w:color="auto"/>
            <w:bottom w:val="none" w:sz="0" w:space="0" w:color="auto"/>
            <w:right w:val="none" w:sz="0" w:space="0" w:color="auto"/>
          </w:divBdr>
        </w:div>
      </w:divsChild>
    </w:div>
    <w:div w:id="877157852">
      <w:bodyDiv w:val="1"/>
      <w:marLeft w:val="0"/>
      <w:marRight w:val="0"/>
      <w:marTop w:val="0"/>
      <w:marBottom w:val="0"/>
      <w:divBdr>
        <w:top w:val="none" w:sz="0" w:space="0" w:color="auto"/>
        <w:left w:val="none" w:sz="0" w:space="0" w:color="auto"/>
        <w:bottom w:val="none" w:sz="0" w:space="0" w:color="auto"/>
        <w:right w:val="none" w:sz="0" w:space="0" w:color="auto"/>
      </w:divBdr>
    </w:div>
    <w:div w:id="900866433">
      <w:bodyDiv w:val="1"/>
      <w:marLeft w:val="0"/>
      <w:marRight w:val="0"/>
      <w:marTop w:val="0"/>
      <w:marBottom w:val="0"/>
      <w:divBdr>
        <w:top w:val="none" w:sz="0" w:space="0" w:color="auto"/>
        <w:left w:val="none" w:sz="0" w:space="0" w:color="auto"/>
        <w:bottom w:val="none" w:sz="0" w:space="0" w:color="auto"/>
        <w:right w:val="none" w:sz="0" w:space="0" w:color="auto"/>
      </w:divBdr>
      <w:divsChild>
        <w:div w:id="1106926666">
          <w:marLeft w:val="-720"/>
          <w:marRight w:val="0"/>
          <w:marTop w:val="0"/>
          <w:marBottom w:val="0"/>
          <w:divBdr>
            <w:top w:val="none" w:sz="0" w:space="0" w:color="auto"/>
            <w:left w:val="none" w:sz="0" w:space="0" w:color="auto"/>
            <w:bottom w:val="none" w:sz="0" w:space="0" w:color="auto"/>
            <w:right w:val="none" w:sz="0" w:space="0" w:color="auto"/>
          </w:divBdr>
        </w:div>
      </w:divsChild>
    </w:div>
    <w:div w:id="905338798">
      <w:bodyDiv w:val="1"/>
      <w:marLeft w:val="0"/>
      <w:marRight w:val="0"/>
      <w:marTop w:val="0"/>
      <w:marBottom w:val="0"/>
      <w:divBdr>
        <w:top w:val="none" w:sz="0" w:space="0" w:color="auto"/>
        <w:left w:val="none" w:sz="0" w:space="0" w:color="auto"/>
        <w:bottom w:val="none" w:sz="0" w:space="0" w:color="auto"/>
        <w:right w:val="none" w:sz="0" w:space="0" w:color="auto"/>
      </w:divBdr>
    </w:div>
    <w:div w:id="947009689">
      <w:bodyDiv w:val="1"/>
      <w:marLeft w:val="0"/>
      <w:marRight w:val="0"/>
      <w:marTop w:val="0"/>
      <w:marBottom w:val="0"/>
      <w:divBdr>
        <w:top w:val="none" w:sz="0" w:space="0" w:color="auto"/>
        <w:left w:val="none" w:sz="0" w:space="0" w:color="auto"/>
        <w:bottom w:val="none" w:sz="0" w:space="0" w:color="auto"/>
        <w:right w:val="none" w:sz="0" w:space="0" w:color="auto"/>
      </w:divBdr>
      <w:divsChild>
        <w:div w:id="1034693510">
          <w:marLeft w:val="0"/>
          <w:marRight w:val="0"/>
          <w:marTop w:val="0"/>
          <w:marBottom w:val="0"/>
          <w:divBdr>
            <w:top w:val="none" w:sz="0" w:space="0" w:color="auto"/>
            <w:left w:val="none" w:sz="0" w:space="0" w:color="auto"/>
            <w:bottom w:val="none" w:sz="0" w:space="0" w:color="auto"/>
            <w:right w:val="none" w:sz="0" w:space="0" w:color="auto"/>
          </w:divBdr>
        </w:div>
      </w:divsChild>
    </w:div>
    <w:div w:id="947851058">
      <w:bodyDiv w:val="1"/>
      <w:marLeft w:val="0"/>
      <w:marRight w:val="0"/>
      <w:marTop w:val="0"/>
      <w:marBottom w:val="0"/>
      <w:divBdr>
        <w:top w:val="none" w:sz="0" w:space="0" w:color="auto"/>
        <w:left w:val="none" w:sz="0" w:space="0" w:color="auto"/>
        <w:bottom w:val="none" w:sz="0" w:space="0" w:color="auto"/>
        <w:right w:val="none" w:sz="0" w:space="0" w:color="auto"/>
      </w:divBdr>
      <w:divsChild>
        <w:div w:id="15692115">
          <w:marLeft w:val="0"/>
          <w:marRight w:val="0"/>
          <w:marTop w:val="0"/>
          <w:marBottom w:val="0"/>
          <w:divBdr>
            <w:top w:val="none" w:sz="0" w:space="0" w:color="auto"/>
            <w:left w:val="none" w:sz="0" w:space="0" w:color="auto"/>
            <w:bottom w:val="none" w:sz="0" w:space="0" w:color="auto"/>
            <w:right w:val="none" w:sz="0" w:space="0" w:color="auto"/>
          </w:divBdr>
        </w:div>
      </w:divsChild>
    </w:div>
    <w:div w:id="1018115727">
      <w:bodyDiv w:val="1"/>
      <w:marLeft w:val="0"/>
      <w:marRight w:val="0"/>
      <w:marTop w:val="0"/>
      <w:marBottom w:val="0"/>
      <w:divBdr>
        <w:top w:val="none" w:sz="0" w:space="0" w:color="auto"/>
        <w:left w:val="none" w:sz="0" w:space="0" w:color="auto"/>
        <w:bottom w:val="none" w:sz="0" w:space="0" w:color="auto"/>
        <w:right w:val="none" w:sz="0" w:space="0" w:color="auto"/>
      </w:divBdr>
    </w:div>
    <w:div w:id="1026298798">
      <w:bodyDiv w:val="1"/>
      <w:marLeft w:val="0"/>
      <w:marRight w:val="0"/>
      <w:marTop w:val="0"/>
      <w:marBottom w:val="0"/>
      <w:divBdr>
        <w:top w:val="none" w:sz="0" w:space="0" w:color="auto"/>
        <w:left w:val="none" w:sz="0" w:space="0" w:color="auto"/>
        <w:bottom w:val="none" w:sz="0" w:space="0" w:color="auto"/>
        <w:right w:val="none" w:sz="0" w:space="0" w:color="auto"/>
      </w:divBdr>
    </w:div>
    <w:div w:id="1030687899">
      <w:bodyDiv w:val="1"/>
      <w:marLeft w:val="0"/>
      <w:marRight w:val="0"/>
      <w:marTop w:val="0"/>
      <w:marBottom w:val="0"/>
      <w:divBdr>
        <w:top w:val="none" w:sz="0" w:space="0" w:color="auto"/>
        <w:left w:val="none" w:sz="0" w:space="0" w:color="auto"/>
        <w:bottom w:val="none" w:sz="0" w:space="0" w:color="auto"/>
        <w:right w:val="none" w:sz="0" w:space="0" w:color="auto"/>
      </w:divBdr>
    </w:div>
    <w:div w:id="1074863750">
      <w:bodyDiv w:val="1"/>
      <w:marLeft w:val="0"/>
      <w:marRight w:val="0"/>
      <w:marTop w:val="0"/>
      <w:marBottom w:val="0"/>
      <w:divBdr>
        <w:top w:val="none" w:sz="0" w:space="0" w:color="auto"/>
        <w:left w:val="none" w:sz="0" w:space="0" w:color="auto"/>
        <w:bottom w:val="none" w:sz="0" w:space="0" w:color="auto"/>
        <w:right w:val="none" w:sz="0" w:space="0" w:color="auto"/>
      </w:divBdr>
      <w:divsChild>
        <w:div w:id="1764181942">
          <w:marLeft w:val="-720"/>
          <w:marRight w:val="0"/>
          <w:marTop w:val="0"/>
          <w:marBottom w:val="0"/>
          <w:divBdr>
            <w:top w:val="none" w:sz="0" w:space="0" w:color="auto"/>
            <w:left w:val="none" w:sz="0" w:space="0" w:color="auto"/>
            <w:bottom w:val="none" w:sz="0" w:space="0" w:color="auto"/>
            <w:right w:val="none" w:sz="0" w:space="0" w:color="auto"/>
          </w:divBdr>
        </w:div>
      </w:divsChild>
    </w:div>
    <w:div w:id="1090812462">
      <w:bodyDiv w:val="1"/>
      <w:marLeft w:val="0"/>
      <w:marRight w:val="0"/>
      <w:marTop w:val="0"/>
      <w:marBottom w:val="0"/>
      <w:divBdr>
        <w:top w:val="none" w:sz="0" w:space="0" w:color="auto"/>
        <w:left w:val="none" w:sz="0" w:space="0" w:color="auto"/>
        <w:bottom w:val="none" w:sz="0" w:space="0" w:color="auto"/>
        <w:right w:val="none" w:sz="0" w:space="0" w:color="auto"/>
      </w:divBdr>
      <w:divsChild>
        <w:div w:id="244342395">
          <w:marLeft w:val="0"/>
          <w:marRight w:val="0"/>
          <w:marTop w:val="0"/>
          <w:marBottom w:val="0"/>
          <w:divBdr>
            <w:top w:val="none" w:sz="0" w:space="0" w:color="auto"/>
            <w:left w:val="none" w:sz="0" w:space="0" w:color="auto"/>
            <w:bottom w:val="none" w:sz="0" w:space="0" w:color="auto"/>
            <w:right w:val="none" w:sz="0" w:space="0" w:color="auto"/>
          </w:divBdr>
        </w:div>
      </w:divsChild>
    </w:div>
    <w:div w:id="1152136863">
      <w:bodyDiv w:val="1"/>
      <w:marLeft w:val="0"/>
      <w:marRight w:val="0"/>
      <w:marTop w:val="0"/>
      <w:marBottom w:val="0"/>
      <w:divBdr>
        <w:top w:val="none" w:sz="0" w:space="0" w:color="auto"/>
        <w:left w:val="none" w:sz="0" w:space="0" w:color="auto"/>
        <w:bottom w:val="none" w:sz="0" w:space="0" w:color="auto"/>
        <w:right w:val="none" w:sz="0" w:space="0" w:color="auto"/>
      </w:divBdr>
    </w:div>
    <w:div w:id="1211381829">
      <w:bodyDiv w:val="1"/>
      <w:marLeft w:val="0"/>
      <w:marRight w:val="0"/>
      <w:marTop w:val="0"/>
      <w:marBottom w:val="0"/>
      <w:divBdr>
        <w:top w:val="none" w:sz="0" w:space="0" w:color="auto"/>
        <w:left w:val="none" w:sz="0" w:space="0" w:color="auto"/>
        <w:bottom w:val="none" w:sz="0" w:space="0" w:color="auto"/>
        <w:right w:val="none" w:sz="0" w:space="0" w:color="auto"/>
      </w:divBdr>
    </w:div>
    <w:div w:id="1295260149">
      <w:bodyDiv w:val="1"/>
      <w:marLeft w:val="0"/>
      <w:marRight w:val="0"/>
      <w:marTop w:val="0"/>
      <w:marBottom w:val="0"/>
      <w:divBdr>
        <w:top w:val="none" w:sz="0" w:space="0" w:color="auto"/>
        <w:left w:val="none" w:sz="0" w:space="0" w:color="auto"/>
        <w:bottom w:val="none" w:sz="0" w:space="0" w:color="auto"/>
        <w:right w:val="none" w:sz="0" w:space="0" w:color="auto"/>
      </w:divBdr>
    </w:div>
    <w:div w:id="1383823389">
      <w:bodyDiv w:val="1"/>
      <w:marLeft w:val="0"/>
      <w:marRight w:val="0"/>
      <w:marTop w:val="0"/>
      <w:marBottom w:val="0"/>
      <w:divBdr>
        <w:top w:val="none" w:sz="0" w:space="0" w:color="auto"/>
        <w:left w:val="none" w:sz="0" w:space="0" w:color="auto"/>
        <w:bottom w:val="none" w:sz="0" w:space="0" w:color="auto"/>
        <w:right w:val="none" w:sz="0" w:space="0" w:color="auto"/>
      </w:divBdr>
      <w:divsChild>
        <w:div w:id="1740404416">
          <w:marLeft w:val="0"/>
          <w:marRight w:val="0"/>
          <w:marTop w:val="0"/>
          <w:marBottom w:val="0"/>
          <w:divBdr>
            <w:top w:val="none" w:sz="0" w:space="0" w:color="auto"/>
            <w:left w:val="none" w:sz="0" w:space="0" w:color="auto"/>
            <w:bottom w:val="none" w:sz="0" w:space="0" w:color="auto"/>
            <w:right w:val="none" w:sz="0" w:space="0" w:color="auto"/>
          </w:divBdr>
        </w:div>
      </w:divsChild>
    </w:div>
    <w:div w:id="1385718586">
      <w:bodyDiv w:val="1"/>
      <w:marLeft w:val="0"/>
      <w:marRight w:val="0"/>
      <w:marTop w:val="0"/>
      <w:marBottom w:val="0"/>
      <w:divBdr>
        <w:top w:val="none" w:sz="0" w:space="0" w:color="auto"/>
        <w:left w:val="none" w:sz="0" w:space="0" w:color="auto"/>
        <w:bottom w:val="none" w:sz="0" w:space="0" w:color="auto"/>
        <w:right w:val="none" w:sz="0" w:space="0" w:color="auto"/>
      </w:divBdr>
      <w:divsChild>
        <w:div w:id="696933031">
          <w:marLeft w:val="0"/>
          <w:marRight w:val="0"/>
          <w:marTop w:val="0"/>
          <w:marBottom w:val="0"/>
          <w:divBdr>
            <w:top w:val="none" w:sz="0" w:space="0" w:color="auto"/>
            <w:left w:val="none" w:sz="0" w:space="0" w:color="auto"/>
            <w:bottom w:val="none" w:sz="0" w:space="0" w:color="auto"/>
            <w:right w:val="none" w:sz="0" w:space="0" w:color="auto"/>
          </w:divBdr>
        </w:div>
      </w:divsChild>
    </w:div>
    <w:div w:id="1392193678">
      <w:bodyDiv w:val="1"/>
      <w:marLeft w:val="0"/>
      <w:marRight w:val="0"/>
      <w:marTop w:val="0"/>
      <w:marBottom w:val="0"/>
      <w:divBdr>
        <w:top w:val="none" w:sz="0" w:space="0" w:color="auto"/>
        <w:left w:val="none" w:sz="0" w:space="0" w:color="auto"/>
        <w:bottom w:val="none" w:sz="0" w:space="0" w:color="auto"/>
        <w:right w:val="none" w:sz="0" w:space="0" w:color="auto"/>
      </w:divBdr>
      <w:divsChild>
        <w:div w:id="1810244599">
          <w:marLeft w:val="-720"/>
          <w:marRight w:val="0"/>
          <w:marTop w:val="0"/>
          <w:marBottom w:val="0"/>
          <w:divBdr>
            <w:top w:val="none" w:sz="0" w:space="0" w:color="auto"/>
            <w:left w:val="none" w:sz="0" w:space="0" w:color="auto"/>
            <w:bottom w:val="none" w:sz="0" w:space="0" w:color="auto"/>
            <w:right w:val="none" w:sz="0" w:space="0" w:color="auto"/>
          </w:divBdr>
        </w:div>
      </w:divsChild>
    </w:div>
    <w:div w:id="1404522332">
      <w:bodyDiv w:val="1"/>
      <w:marLeft w:val="0"/>
      <w:marRight w:val="0"/>
      <w:marTop w:val="0"/>
      <w:marBottom w:val="0"/>
      <w:divBdr>
        <w:top w:val="none" w:sz="0" w:space="0" w:color="auto"/>
        <w:left w:val="none" w:sz="0" w:space="0" w:color="auto"/>
        <w:bottom w:val="none" w:sz="0" w:space="0" w:color="auto"/>
        <w:right w:val="none" w:sz="0" w:space="0" w:color="auto"/>
      </w:divBdr>
      <w:divsChild>
        <w:div w:id="16738327">
          <w:marLeft w:val="0"/>
          <w:marRight w:val="0"/>
          <w:marTop w:val="0"/>
          <w:marBottom w:val="0"/>
          <w:divBdr>
            <w:top w:val="none" w:sz="0" w:space="0" w:color="auto"/>
            <w:left w:val="none" w:sz="0" w:space="0" w:color="auto"/>
            <w:bottom w:val="none" w:sz="0" w:space="0" w:color="auto"/>
            <w:right w:val="none" w:sz="0" w:space="0" w:color="auto"/>
          </w:divBdr>
        </w:div>
      </w:divsChild>
    </w:div>
    <w:div w:id="1473206210">
      <w:bodyDiv w:val="1"/>
      <w:marLeft w:val="0"/>
      <w:marRight w:val="0"/>
      <w:marTop w:val="0"/>
      <w:marBottom w:val="0"/>
      <w:divBdr>
        <w:top w:val="none" w:sz="0" w:space="0" w:color="auto"/>
        <w:left w:val="none" w:sz="0" w:space="0" w:color="auto"/>
        <w:bottom w:val="none" w:sz="0" w:space="0" w:color="auto"/>
        <w:right w:val="none" w:sz="0" w:space="0" w:color="auto"/>
      </w:divBdr>
    </w:div>
    <w:div w:id="1485389908">
      <w:bodyDiv w:val="1"/>
      <w:marLeft w:val="0"/>
      <w:marRight w:val="0"/>
      <w:marTop w:val="0"/>
      <w:marBottom w:val="0"/>
      <w:divBdr>
        <w:top w:val="none" w:sz="0" w:space="0" w:color="auto"/>
        <w:left w:val="none" w:sz="0" w:space="0" w:color="auto"/>
        <w:bottom w:val="none" w:sz="0" w:space="0" w:color="auto"/>
        <w:right w:val="none" w:sz="0" w:space="0" w:color="auto"/>
      </w:divBdr>
      <w:divsChild>
        <w:div w:id="1460340839">
          <w:marLeft w:val="-720"/>
          <w:marRight w:val="0"/>
          <w:marTop w:val="0"/>
          <w:marBottom w:val="0"/>
          <w:divBdr>
            <w:top w:val="none" w:sz="0" w:space="0" w:color="auto"/>
            <w:left w:val="none" w:sz="0" w:space="0" w:color="auto"/>
            <w:bottom w:val="none" w:sz="0" w:space="0" w:color="auto"/>
            <w:right w:val="none" w:sz="0" w:space="0" w:color="auto"/>
          </w:divBdr>
        </w:div>
      </w:divsChild>
    </w:div>
    <w:div w:id="1511676385">
      <w:bodyDiv w:val="1"/>
      <w:marLeft w:val="0"/>
      <w:marRight w:val="0"/>
      <w:marTop w:val="0"/>
      <w:marBottom w:val="0"/>
      <w:divBdr>
        <w:top w:val="none" w:sz="0" w:space="0" w:color="auto"/>
        <w:left w:val="none" w:sz="0" w:space="0" w:color="auto"/>
        <w:bottom w:val="none" w:sz="0" w:space="0" w:color="auto"/>
        <w:right w:val="none" w:sz="0" w:space="0" w:color="auto"/>
      </w:divBdr>
    </w:div>
    <w:div w:id="1524585666">
      <w:bodyDiv w:val="1"/>
      <w:marLeft w:val="0"/>
      <w:marRight w:val="0"/>
      <w:marTop w:val="0"/>
      <w:marBottom w:val="0"/>
      <w:divBdr>
        <w:top w:val="none" w:sz="0" w:space="0" w:color="auto"/>
        <w:left w:val="none" w:sz="0" w:space="0" w:color="auto"/>
        <w:bottom w:val="none" w:sz="0" w:space="0" w:color="auto"/>
        <w:right w:val="none" w:sz="0" w:space="0" w:color="auto"/>
      </w:divBdr>
      <w:divsChild>
        <w:div w:id="762191006">
          <w:marLeft w:val="-720"/>
          <w:marRight w:val="0"/>
          <w:marTop w:val="0"/>
          <w:marBottom w:val="0"/>
          <w:divBdr>
            <w:top w:val="none" w:sz="0" w:space="0" w:color="auto"/>
            <w:left w:val="none" w:sz="0" w:space="0" w:color="auto"/>
            <w:bottom w:val="none" w:sz="0" w:space="0" w:color="auto"/>
            <w:right w:val="none" w:sz="0" w:space="0" w:color="auto"/>
          </w:divBdr>
        </w:div>
      </w:divsChild>
    </w:div>
    <w:div w:id="1529486327">
      <w:bodyDiv w:val="1"/>
      <w:marLeft w:val="0"/>
      <w:marRight w:val="0"/>
      <w:marTop w:val="0"/>
      <w:marBottom w:val="0"/>
      <w:divBdr>
        <w:top w:val="none" w:sz="0" w:space="0" w:color="auto"/>
        <w:left w:val="none" w:sz="0" w:space="0" w:color="auto"/>
        <w:bottom w:val="none" w:sz="0" w:space="0" w:color="auto"/>
        <w:right w:val="none" w:sz="0" w:space="0" w:color="auto"/>
      </w:divBdr>
      <w:divsChild>
        <w:div w:id="1654093801">
          <w:marLeft w:val="0"/>
          <w:marRight w:val="0"/>
          <w:marTop w:val="0"/>
          <w:marBottom w:val="0"/>
          <w:divBdr>
            <w:top w:val="none" w:sz="0" w:space="0" w:color="auto"/>
            <w:left w:val="none" w:sz="0" w:space="0" w:color="auto"/>
            <w:bottom w:val="none" w:sz="0" w:space="0" w:color="auto"/>
            <w:right w:val="none" w:sz="0" w:space="0" w:color="auto"/>
          </w:divBdr>
        </w:div>
      </w:divsChild>
    </w:div>
    <w:div w:id="1542744455">
      <w:bodyDiv w:val="1"/>
      <w:marLeft w:val="0"/>
      <w:marRight w:val="0"/>
      <w:marTop w:val="0"/>
      <w:marBottom w:val="0"/>
      <w:divBdr>
        <w:top w:val="none" w:sz="0" w:space="0" w:color="auto"/>
        <w:left w:val="none" w:sz="0" w:space="0" w:color="auto"/>
        <w:bottom w:val="none" w:sz="0" w:space="0" w:color="auto"/>
        <w:right w:val="none" w:sz="0" w:space="0" w:color="auto"/>
      </w:divBdr>
    </w:div>
    <w:div w:id="1598059432">
      <w:bodyDiv w:val="1"/>
      <w:marLeft w:val="0"/>
      <w:marRight w:val="0"/>
      <w:marTop w:val="0"/>
      <w:marBottom w:val="0"/>
      <w:divBdr>
        <w:top w:val="none" w:sz="0" w:space="0" w:color="auto"/>
        <w:left w:val="none" w:sz="0" w:space="0" w:color="auto"/>
        <w:bottom w:val="none" w:sz="0" w:space="0" w:color="auto"/>
        <w:right w:val="none" w:sz="0" w:space="0" w:color="auto"/>
      </w:divBdr>
      <w:divsChild>
        <w:div w:id="1905136333">
          <w:marLeft w:val="0"/>
          <w:marRight w:val="0"/>
          <w:marTop w:val="0"/>
          <w:marBottom w:val="0"/>
          <w:divBdr>
            <w:top w:val="none" w:sz="0" w:space="0" w:color="auto"/>
            <w:left w:val="none" w:sz="0" w:space="0" w:color="auto"/>
            <w:bottom w:val="none" w:sz="0" w:space="0" w:color="auto"/>
            <w:right w:val="none" w:sz="0" w:space="0" w:color="auto"/>
          </w:divBdr>
        </w:div>
      </w:divsChild>
    </w:div>
    <w:div w:id="1625580514">
      <w:bodyDiv w:val="1"/>
      <w:marLeft w:val="0"/>
      <w:marRight w:val="0"/>
      <w:marTop w:val="0"/>
      <w:marBottom w:val="0"/>
      <w:divBdr>
        <w:top w:val="none" w:sz="0" w:space="0" w:color="auto"/>
        <w:left w:val="none" w:sz="0" w:space="0" w:color="auto"/>
        <w:bottom w:val="none" w:sz="0" w:space="0" w:color="auto"/>
        <w:right w:val="none" w:sz="0" w:space="0" w:color="auto"/>
      </w:divBdr>
    </w:div>
    <w:div w:id="1685132599">
      <w:bodyDiv w:val="1"/>
      <w:marLeft w:val="0"/>
      <w:marRight w:val="0"/>
      <w:marTop w:val="0"/>
      <w:marBottom w:val="0"/>
      <w:divBdr>
        <w:top w:val="none" w:sz="0" w:space="0" w:color="auto"/>
        <w:left w:val="none" w:sz="0" w:space="0" w:color="auto"/>
        <w:bottom w:val="none" w:sz="0" w:space="0" w:color="auto"/>
        <w:right w:val="none" w:sz="0" w:space="0" w:color="auto"/>
      </w:divBdr>
      <w:divsChild>
        <w:div w:id="828717746">
          <w:marLeft w:val="-720"/>
          <w:marRight w:val="0"/>
          <w:marTop w:val="0"/>
          <w:marBottom w:val="0"/>
          <w:divBdr>
            <w:top w:val="none" w:sz="0" w:space="0" w:color="auto"/>
            <w:left w:val="none" w:sz="0" w:space="0" w:color="auto"/>
            <w:bottom w:val="none" w:sz="0" w:space="0" w:color="auto"/>
            <w:right w:val="none" w:sz="0" w:space="0" w:color="auto"/>
          </w:divBdr>
        </w:div>
      </w:divsChild>
    </w:div>
    <w:div w:id="1701665026">
      <w:bodyDiv w:val="1"/>
      <w:marLeft w:val="0"/>
      <w:marRight w:val="0"/>
      <w:marTop w:val="0"/>
      <w:marBottom w:val="0"/>
      <w:divBdr>
        <w:top w:val="none" w:sz="0" w:space="0" w:color="auto"/>
        <w:left w:val="none" w:sz="0" w:space="0" w:color="auto"/>
        <w:bottom w:val="none" w:sz="0" w:space="0" w:color="auto"/>
        <w:right w:val="none" w:sz="0" w:space="0" w:color="auto"/>
      </w:divBdr>
      <w:divsChild>
        <w:div w:id="1380057711">
          <w:marLeft w:val="-720"/>
          <w:marRight w:val="0"/>
          <w:marTop w:val="0"/>
          <w:marBottom w:val="0"/>
          <w:divBdr>
            <w:top w:val="none" w:sz="0" w:space="0" w:color="auto"/>
            <w:left w:val="none" w:sz="0" w:space="0" w:color="auto"/>
            <w:bottom w:val="none" w:sz="0" w:space="0" w:color="auto"/>
            <w:right w:val="none" w:sz="0" w:space="0" w:color="auto"/>
          </w:divBdr>
        </w:div>
      </w:divsChild>
    </w:div>
    <w:div w:id="1714310948">
      <w:bodyDiv w:val="1"/>
      <w:marLeft w:val="0"/>
      <w:marRight w:val="0"/>
      <w:marTop w:val="0"/>
      <w:marBottom w:val="0"/>
      <w:divBdr>
        <w:top w:val="none" w:sz="0" w:space="0" w:color="auto"/>
        <w:left w:val="none" w:sz="0" w:space="0" w:color="auto"/>
        <w:bottom w:val="none" w:sz="0" w:space="0" w:color="auto"/>
        <w:right w:val="none" w:sz="0" w:space="0" w:color="auto"/>
      </w:divBdr>
    </w:div>
    <w:div w:id="1868518759">
      <w:bodyDiv w:val="1"/>
      <w:marLeft w:val="0"/>
      <w:marRight w:val="0"/>
      <w:marTop w:val="0"/>
      <w:marBottom w:val="0"/>
      <w:divBdr>
        <w:top w:val="none" w:sz="0" w:space="0" w:color="auto"/>
        <w:left w:val="none" w:sz="0" w:space="0" w:color="auto"/>
        <w:bottom w:val="none" w:sz="0" w:space="0" w:color="auto"/>
        <w:right w:val="none" w:sz="0" w:space="0" w:color="auto"/>
      </w:divBdr>
    </w:div>
    <w:div w:id="1911306198">
      <w:bodyDiv w:val="1"/>
      <w:marLeft w:val="0"/>
      <w:marRight w:val="0"/>
      <w:marTop w:val="0"/>
      <w:marBottom w:val="0"/>
      <w:divBdr>
        <w:top w:val="none" w:sz="0" w:space="0" w:color="auto"/>
        <w:left w:val="none" w:sz="0" w:space="0" w:color="auto"/>
        <w:bottom w:val="none" w:sz="0" w:space="0" w:color="auto"/>
        <w:right w:val="none" w:sz="0" w:space="0" w:color="auto"/>
      </w:divBdr>
    </w:div>
    <w:div w:id="1950701592">
      <w:bodyDiv w:val="1"/>
      <w:marLeft w:val="0"/>
      <w:marRight w:val="0"/>
      <w:marTop w:val="0"/>
      <w:marBottom w:val="0"/>
      <w:divBdr>
        <w:top w:val="none" w:sz="0" w:space="0" w:color="auto"/>
        <w:left w:val="none" w:sz="0" w:space="0" w:color="auto"/>
        <w:bottom w:val="none" w:sz="0" w:space="0" w:color="auto"/>
        <w:right w:val="none" w:sz="0" w:space="0" w:color="auto"/>
      </w:divBdr>
      <w:divsChild>
        <w:div w:id="1198740198">
          <w:marLeft w:val="-720"/>
          <w:marRight w:val="0"/>
          <w:marTop w:val="0"/>
          <w:marBottom w:val="0"/>
          <w:divBdr>
            <w:top w:val="none" w:sz="0" w:space="0" w:color="auto"/>
            <w:left w:val="none" w:sz="0" w:space="0" w:color="auto"/>
            <w:bottom w:val="none" w:sz="0" w:space="0" w:color="auto"/>
            <w:right w:val="none" w:sz="0" w:space="0" w:color="auto"/>
          </w:divBdr>
        </w:div>
      </w:divsChild>
    </w:div>
    <w:div w:id="1971858025">
      <w:bodyDiv w:val="1"/>
      <w:marLeft w:val="0"/>
      <w:marRight w:val="0"/>
      <w:marTop w:val="0"/>
      <w:marBottom w:val="0"/>
      <w:divBdr>
        <w:top w:val="none" w:sz="0" w:space="0" w:color="auto"/>
        <w:left w:val="none" w:sz="0" w:space="0" w:color="auto"/>
        <w:bottom w:val="none" w:sz="0" w:space="0" w:color="auto"/>
        <w:right w:val="none" w:sz="0" w:space="0" w:color="auto"/>
      </w:divBdr>
      <w:divsChild>
        <w:div w:id="1591235890">
          <w:marLeft w:val="-720"/>
          <w:marRight w:val="0"/>
          <w:marTop w:val="0"/>
          <w:marBottom w:val="0"/>
          <w:divBdr>
            <w:top w:val="none" w:sz="0" w:space="0" w:color="auto"/>
            <w:left w:val="none" w:sz="0" w:space="0" w:color="auto"/>
            <w:bottom w:val="none" w:sz="0" w:space="0" w:color="auto"/>
            <w:right w:val="none" w:sz="0" w:space="0" w:color="auto"/>
          </w:divBdr>
        </w:div>
      </w:divsChild>
    </w:div>
    <w:div w:id="1991015043">
      <w:bodyDiv w:val="1"/>
      <w:marLeft w:val="0"/>
      <w:marRight w:val="0"/>
      <w:marTop w:val="0"/>
      <w:marBottom w:val="0"/>
      <w:divBdr>
        <w:top w:val="none" w:sz="0" w:space="0" w:color="auto"/>
        <w:left w:val="none" w:sz="0" w:space="0" w:color="auto"/>
        <w:bottom w:val="none" w:sz="0" w:space="0" w:color="auto"/>
        <w:right w:val="none" w:sz="0" w:space="0" w:color="auto"/>
      </w:divBdr>
      <w:divsChild>
        <w:div w:id="2077049320">
          <w:marLeft w:val="0"/>
          <w:marRight w:val="0"/>
          <w:marTop w:val="0"/>
          <w:marBottom w:val="0"/>
          <w:divBdr>
            <w:top w:val="none" w:sz="0" w:space="0" w:color="auto"/>
            <w:left w:val="none" w:sz="0" w:space="0" w:color="auto"/>
            <w:bottom w:val="none" w:sz="0" w:space="0" w:color="auto"/>
            <w:right w:val="none" w:sz="0" w:space="0" w:color="auto"/>
          </w:divBdr>
        </w:div>
      </w:divsChild>
    </w:div>
    <w:div w:id="2076313410">
      <w:bodyDiv w:val="1"/>
      <w:marLeft w:val="0"/>
      <w:marRight w:val="0"/>
      <w:marTop w:val="0"/>
      <w:marBottom w:val="0"/>
      <w:divBdr>
        <w:top w:val="none" w:sz="0" w:space="0" w:color="auto"/>
        <w:left w:val="none" w:sz="0" w:space="0" w:color="auto"/>
        <w:bottom w:val="none" w:sz="0" w:space="0" w:color="auto"/>
        <w:right w:val="none" w:sz="0" w:space="0" w:color="auto"/>
      </w:divBdr>
      <w:divsChild>
        <w:div w:id="864636406">
          <w:marLeft w:val="-720"/>
          <w:marRight w:val="0"/>
          <w:marTop w:val="0"/>
          <w:marBottom w:val="0"/>
          <w:divBdr>
            <w:top w:val="none" w:sz="0" w:space="0" w:color="auto"/>
            <w:left w:val="none" w:sz="0" w:space="0" w:color="auto"/>
            <w:bottom w:val="none" w:sz="0" w:space="0" w:color="auto"/>
            <w:right w:val="none" w:sz="0" w:space="0" w:color="auto"/>
          </w:divBdr>
        </w:div>
      </w:divsChild>
    </w:div>
    <w:div w:id="2128117187">
      <w:bodyDiv w:val="1"/>
      <w:marLeft w:val="0"/>
      <w:marRight w:val="0"/>
      <w:marTop w:val="0"/>
      <w:marBottom w:val="0"/>
      <w:divBdr>
        <w:top w:val="none" w:sz="0" w:space="0" w:color="auto"/>
        <w:left w:val="none" w:sz="0" w:space="0" w:color="auto"/>
        <w:bottom w:val="none" w:sz="0" w:space="0" w:color="auto"/>
        <w:right w:val="none" w:sz="0" w:space="0" w:color="auto"/>
      </w:divBdr>
      <w:divsChild>
        <w:div w:id="1187057858">
          <w:marLeft w:val="0"/>
          <w:marRight w:val="0"/>
          <w:marTop w:val="0"/>
          <w:marBottom w:val="0"/>
          <w:divBdr>
            <w:top w:val="none" w:sz="0" w:space="0" w:color="auto"/>
            <w:left w:val="none" w:sz="0" w:space="0" w:color="auto"/>
            <w:bottom w:val="none" w:sz="0" w:space="0" w:color="auto"/>
            <w:right w:val="none" w:sz="0" w:space="0" w:color="auto"/>
          </w:divBdr>
        </w:div>
      </w:divsChild>
    </w:div>
    <w:div w:id="213964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nbc.com/2020/12/10/airbnbs-jaw-dropping-ipo-surge-explained.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qvista.com/airbnb-ipo-all-you-need-to-know/"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tourman.2017.11.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BC20A-645D-4648-8B52-823BABF2C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5471</Words>
  <Characters>32061</Characters>
  <Application>Microsoft Office Word</Application>
  <DocSecurity>0</DocSecurity>
  <Lines>696</Lines>
  <Paragraphs>196</Paragraphs>
  <ScaleCrop>false</ScaleCrop>
  <Company/>
  <LinksUpToDate>false</LinksUpToDate>
  <CharactersWithSpaces>37336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Jubea</dc:creator>
  <cp:keywords/>
  <dc:description/>
  <cp:lastModifiedBy>Alina Jubea</cp:lastModifiedBy>
  <cp:revision>2</cp:revision>
  <dcterms:created xsi:type="dcterms:W3CDTF">2024-08-26T21:47:00Z</dcterms:created>
  <dcterms:modified xsi:type="dcterms:W3CDTF">2024-08-26T21:47:00Z</dcterms:modified>
</cp:coreProperties>
</file>