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296" w:rsidRPr="00052FA5" w:rsidRDefault="00530053" w:rsidP="007D2296">
      <w:pPr>
        <w:rPr>
          <w:rFonts w:ascii="Arial" w:hAnsi="Arial" w:cs="Arial"/>
          <w:b/>
          <w:sz w:val="24"/>
          <w:szCs w:val="24"/>
        </w:rPr>
      </w:pPr>
      <w:r w:rsidRPr="00052FA5">
        <w:rPr>
          <w:rFonts w:ascii="Arial" w:hAnsi="Arial" w:cs="Arial"/>
          <w:b/>
          <w:sz w:val="24"/>
          <w:szCs w:val="24"/>
        </w:rPr>
        <w:t>Introduction</w:t>
      </w:r>
    </w:p>
    <w:p w:rsidR="00052FA5" w:rsidRPr="00052FA5" w:rsidRDefault="007D2296" w:rsidP="007D2296">
      <w:pPr>
        <w:rPr>
          <w:rFonts w:ascii="Arial" w:hAnsi="Arial" w:cs="Arial"/>
          <w:sz w:val="24"/>
          <w:szCs w:val="24"/>
        </w:rPr>
      </w:pPr>
      <w:r w:rsidRPr="00052FA5">
        <w:rPr>
          <w:rFonts w:ascii="Arial" w:hAnsi="Arial" w:cs="Arial"/>
          <w:sz w:val="24"/>
          <w:szCs w:val="24"/>
        </w:rPr>
        <w:t>The Coroners and Justice Act 2009 (CJA 2009) b</w:t>
      </w:r>
      <w:r w:rsidR="00530053" w:rsidRPr="00052FA5">
        <w:rPr>
          <w:rFonts w:ascii="Arial" w:hAnsi="Arial" w:cs="Arial"/>
          <w:sz w:val="24"/>
          <w:szCs w:val="24"/>
        </w:rPr>
        <w:t>rought along notable differences</w:t>
      </w:r>
      <w:r w:rsidRPr="00052FA5">
        <w:rPr>
          <w:rFonts w:ascii="Arial" w:hAnsi="Arial" w:cs="Arial"/>
          <w:sz w:val="24"/>
          <w:szCs w:val="24"/>
        </w:rPr>
        <w:t xml:space="preserve"> to the legal</w:t>
      </w:r>
      <w:r w:rsidR="00530053" w:rsidRPr="00052FA5">
        <w:rPr>
          <w:rFonts w:ascii="Arial" w:hAnsi="Arial" w:cs="Arial"/>
          <w:sz w:val="24"/>
          <w:szCs w:val="24"/>
        </w:rPr>
        <w:t xml:space="preserve"> framework</w:t>
      </w:r>
      <w:r w:rsidRPr="00052FA5">
        <w:rPr>
          <w:rFonts w:ascii="Arial" w:hAnsi="Arial" w:cs="Arial"/>
          <w:sz w:val="24"/>
          <w:szCs w:val="24"/>
        </w:rPr>
        <w:t xml:space="preserve">, especially in the United </w:t>
      </w:r>
      <w:r w:rsidR="00113748" w:rsidRPr="00052FA5">
        <w:rPr>
          <w:rFonts w:ascii="Arial" w:hAnsi="Arial" w:cs="Arial"/>
          <w:sz w:val="24"/>
          <w:szCs w:val="24"/>
        </w:rPr>
        <w:t>Kingdom</w:t>
      </w:r>
      <w:r w:rsidRPr="00052FA5">
        <w:rPr>
          <w:rFonts w:ascii="Arial" w:hAnsi="Arial" w:cs="Arial"/>
          <w:sz w:val="24"/>
          <w:szCs w:val="24"/>
        </w:rPr>
        <w:t xml:space="preserve"> criminal law. One of the most memorable changes was the replacement of the partial defence of provocation with the defence of loss of control in cases of murder. This assignment will look to critically investigate if this amendment ha</w:t>
      </w:r>
      <w:r w:rsidR="00113748" w:rsidRPr="00052FA5">
        <w:rPr>
          <w:rFonts w:ascii="Arial" w:hAnsi="Arial" w:cs="Arial"/>
          <w:sz w:val="24"/>
          <w:szCs w:val="24"/>
        </w:rPr>
        <w:t>s changed the law for greater benefit, bearing in mind the fundamental</w:t>
      </w:r>
      <w:r w:rsidRPr="00052FA5">
        <w:rPr>
          <w:rFonts w:ascii="Arial" w:hAnsi="Arial" w:cs="Arial"/>
          <w:sz w:val="24"/>
          <w:szCs w:val="24"/>
        </w:rPr>
        <w:t xml:space="preserve"> principl</w:t>
      </w:r>
      <w:r w:rsidR="00113748" w:rsidRPr="00052FA5">
        <w:rPr>
          <w:rFonts w:ascii="Arial" w:hAnsi="Arial" w:cs="Arial"/>
          <w:sz w:val="24"/>
          <w:szCs w:val="24"/>
        </w:rPr>
        <w:t>es of criminal liability,</w:t>
      </w:r>
      <w:r w:rsidRPr="00052FA5">
        <w:rPr>
          <w:rFonts w:ascii="Arial" w:hAnsi="Arial" w:cs="Arial"/>
          <w:sz w:val="24"/>
          <w:szCs w:val="24"/>
        </w:rPr>
        <w:t xml:space="preserve"> moral, ethical,</w:t>
      </w:r>
      <w:r w:rsidR="00113748" w:rsidRPr="00052FA5">
        <w:rPr>
          <w:rFonts w:ascii="Arial" w:hAnsi="Arial" w:cs="Arial"/>
          <w:sz w:val="24"/>
          <w:szCs w:val="24"/>
        </w:rPr>
        <w:t xml:space="preserve"> social  and philosophical matters, as well as policy contemplation</w:t>
      </w:r>
      <w:r w:rsidRPr="00052FA5">
        <w:rPr>
          <w:rFonts w:ascii="Arial" w:hAnsi="Arial" w:cs="Arial"/>
          <w:sz w:val="24"/>
          <w:szCs w:val="24"/>
        </w:rPr>
        <w:t xml:space="preserve"> regarding t</w:t>
      </w:r>
      <w:r w:rsidR="00113748" w:rsidRPr="00052FA5">
        <w:rPr>
          <w:rFonts w:ascii="Arial" w:hAnsi="Arial" w:cs="Arial"/>
          <w:sz w:val="24"/>
          <w:szCs w:val="24"/>
        </w:rPr>
        <w:t>he regulation of social conduct and the challenging interests of</w:t>
      </w:r>
      <w:r w:rsidRPr="00052FA5">
        <w:rPr>
          <w:rFonts w:ascii="Arial" w:hAnsi="Arial" w:cs="Arial"/>
          <w:sz w:val="24"/>
          <w:szCs w:val="24"/>
        </w:rPr>
        <w:t xml:space="preserve"> victims</w:t>
      </w:r>
      <w:r w:rsidR="00113748" w:rsidRPr="00052FA5">
        <w:rPr>
          <w:rFonts w:ascii="Arial" w:hAnsi="Arial" w:cs="Arial"/>
          <w:sz w:val="24"/>
          <w:szCs w:val="24"/>
        </w:rPr>
        <w:t xml:space="preserve"> and the defendant</w:t>
      </w:r>
      <w:r w:rsidRPr="00052FA5">
        <w:rPr>
          <w:rFonts w:ascii="Arial" w:hAnsi="Arial" w:cs="Arial"/>
          <w:sz w:val="24"/>
          <w:szCs w:val="24"/>
        </w:rPr>
        <w:t>.</w:t>
      </w:r>
      <w:r w:rsidR="00113748" w:rsidRPr="00052FA5">
        <w:rPr>
          <w:rFonts w:ascii="Arial" w:hAnsi="Arial" w:cs="Arial"/>
          <w:sz w:val="24"/>
          <w:szCs w:val="24"/>
        </w:rPr>
        <w:t xml:space="preserve"> It will also look at understanding Murder and its defence of provocation and Loss of control </w:t>
      </w:r>
      <w:sdt>
        <w:sdtPr>
          <w:rPr>
            <w:rFonts w:ascii="Arial" w:hAnsi="Arial" w:cs="Arial"/>
            <w:sz w:val="24"/>
            <w:szCs w:val="24"/>
          </w:rPr>
          <w:id w:val="1081720866"/>
          <w:citation/>
        </w:sdtPr>
        <w:sdtEndPr/>
        <w:sdtContent>
          <w:r w:rsidR="006D236F" w:rsidRPr="00052FA5">
            <w:rPr>
              <w:rFonts w:ascii="Arial" w:hAnsi="Arial" w:cs="Arial"/>
              <w:sz w:val="24"/>
              <w:szCs w:val="24"/>
            </w:rPr>
            <w:fldChar w:fldCharType="begin"/>
          </w:r>
          <w:r w:rsidR="006D236F" w:rsidRPr="00052FA5">
            <w:rPr>
              <w:rFonts w:ascii="Arial" w:hAnsi="Arial" w:cs="Arial"/>
              <w:sz w:val="24"/>
              <w:szCs w:val="24"/>
              <w:lang w:val="en-US"/>
            </w:rPr>
            <w:instrText xml:space="preserve"> CITATION leg24 \l 1033 </w:instrText>
          </w:r>
          <w:r w:rsidR="006D236F" w:rsidRPr="00052FA5">
            <w:rPr>
              <w:rFonts w:ascii="Arial" w:hAnsi="Arial" w:cs="Arial"/>
              <w:sz w:val="24"/>
              <w:szCs w:val="24"/>
            </w:rPr>
            <w:fldChar w:fldCharType="separate"/>
          </w:r>
          <w:r w:rsidR="006D236F" w:rsidRPr="00052FA5">
            <w:rPr>
              <w:rFonts w:ascii="Arial" w:hAnsi="Arial" w:cs="Arial"/>
              <w:noProof/>
              <w:sz w:val="24"/>
              <w:szCs w:val="24"/>
              <w:lang w:val="en-US"/>
            </w:rPr>
            <w:t>(legislation.gov.uk, 2024)</w:t>
          </w:r>
          <w:r w:rsidR="006D236F" w:rsidRPr="00052FA5">
            <w:rPr>
              <w:rFonts w:ascii="Arial" w:hAnsi="Arial" w:cs="Arial"/>
              <w:sz w:val="24"/>
              <w:szCs w:val="24"/>
            </w:rPr>
            <w:fldChar w:fldCharType="end"/>
          </w:r>
        </w:sdtContent>
      </w:sdt>
      <w:r w:rsidR="00113748" w:rsidRPr="00052FA5">
        <w:rPr>
          <w:rFonts w:ascii="Arial" w:hAnsi="Arial" w:cs="Arial"/>
          <w:sz w:val="24"/>
          <w:szCs w:val="24"/>
        </w:rPr>
        <w:t xml:space="preserve">. </w:t>
      </w:r>
    </w:p>
    <w:p w:rsidR="00052FA5" w:rsidRPr="00052FA5" w:rsidRDefault="00052FA5" w:rsidP="007D2296">
      <w:pPr>
        <w:rPr>
          <w:rFonts w:ascii="Arial" w:hAnsi="Arial" w:cs="Arial"/>
          <w:b/>
          <w:sz w:val="24"/>
          <w:szCs w:val="24"/>
        </w:rPr>
      </w:pPr>
      <w:r w:rsidRPr="00052FA5">
        <w:rPr>
          <w:rFonts w:ascii="Arial" w:hAnsi="Arial" w:cs="Arial"/>
          <w:b/>
          <w:sz w:val="24"/>
          <w:szCs w:val="24"/>
        </w:rPr>
        <w:t>Body</w:t>
      </w:r>
    </w:p>
    <w:p w:rsidR="00737E75" w:rsidRPr="00052FA5" w:rsidRDefault="006D236F" w:rsidP="00737E75">
      <w:pPr>
        <w:rPr>
          <w:rFonts w:ascii="Arial" w:hAnsi="Arial" w:cs="Arial"/>
          <w:sz w:val="24"/>
          <w:szCs w:val="24"/>
        </w:rPr>
      </w:pPr>
      <w:r w:rsidRPr="00052FA5">
        <w:rPr>
          <w:rFonts w:ascii="Arial" w:hAnsi="Arial" w:cs="Arial"/>
          <w:sz w:val="24"/>
          <w:szCs w:val="24"/>
        </w:rPr>
        <w:t xml:space="preserve">The term homicide is usually used for murder. </w:t>
      </w:r>
      <w:r w:rsidR="007D2296" w:rsidRPr="00052FA5">
        <w:rPr>
          <w:rFonts w:ascii="Arial" w:hAnsi="Arial" w:cs="Arial"/>
          <w:sz w:val="24"/>
          <w:szCs w:val="24"/>
        </w:rPr>
        <w:t>Mur</w:t>
      </w:r>
      <w:r w:rsidRPr="00052FA5">
        <w:rPr>
          <w:rFonts w:ascii="Arial" w:hAnsi="Arial" w:cs="Arial"/>
          <w:sz w:val="24"/>
          <w:szCs w:val="24"/>
        </w:rPr>
        <w:t>der is the unlawful killing of one</w:t>
      </w:r>
      <w:r w:rsidR="007D2296" w:rsidRPr="00052FA5">
        <w:rPr>
          <w:rFonts w:ascii="Arial" w:hAnsi="Arial" w:cs="Arial"/>
          <w:sz w:val="24"/>
          <w:szCs w:val="24"/>
        </w:rPr>
        <w:t xml:space="preserve"> human being with malice aforethought</w:t>
      </w:r>
      <w:r w:rsidRPr="00052FA5">
        <w:rPr>
          <w:rFonts w:ascii="Arial" w:hAnsi="Arial" w:cs="Arial"/>
          <w:sz w:val="24"/>
          <w:szCs w:val="24"/>
        </w:rPr>
        <w:t xml:space="preserve"> by another human being</w:t>
      </w:r>
      <w:r w:rsidR="00584EF1" w:rsidRPr="00052FA5">
        <w:rPr>
          <w:rFonts w:ascii="Arial" w:hAnsi="Arial" w:cs="Arial"/>
          <w:sz w:val="24"/>
          <w:szCs w:val="24"/>
        </w:rPr>
        <w:t>. It is a very serious crime</w:t>
      </w:r>
      <w:r w:rsidR="007D2296" w:rsidRPr="00052FA5">
        <w:rPr>
          <w:rFonts w:ascii="Arial" w:hAnsi="Arial" w:cs="Arial"/>
          <w:sz w:val="24"/>
          <w:szCs w:val="24"/>
        </w:rPr>
        <w:t xml:space="preserve"> in the legal system, </w:t>
      </w:r>
      <w:r w:rsidR="00584EF1" w:rsidRPr="00052FA5">
        <w:rPr>
          <w:rFonts w:ascii="Arial" w:hAnsi="Arial" w:cs="Arial"/>
          <w:sz w:val="24"/>
          <w:szCs w:val="24"/>
        </w:rPr>
        <w:t>murder carries drastic</w:t>
      </w:r>
      <w:r w:rsidR="007D2296" w:rsidRPr="00052FA5">
        <w:rPr>
          <w:rFonts w:ascii="Arial" w:hAnsi="Arial" w:cs="Arial"/>
          <w:sz w:val="24"/>
          <w:szCs w:val="24"/>
        </w:rPr>
        <w:t xml:space="preserve"> penalties,</w:t>
      </w:r>
      <w:r w:rsidR="00584EF1" w:rsidRPr="00052FA5">
        <w:rPr>
          <w:rFonts w:ascii="Arial" w:hAnsi="Arial" w:cs="Arial"/>
          <w:sz w:val="24"/>
          <w:szCs w:val="24"/>
        </w:rPr>
        <w:t xml:space="preserve"> </w:t>
      </w:r>
      <w:r w:rsidR="00BD61F1" w:rsidRPr="00052FA5">
        <w:rPr>
          <w:rFonts w:ascii="Arial" w:hAnsi="Arial" w:cs="Arial"/>
          <w:sz w:val="24"/>
          <w:szCs w:val="24"/>
        </w:rPr>
        <w:t>and sometimes</w:t>
      </w:r>
      <w:r w:rsidR="00584EF1" w:rsidRPr="00052FA5">
        <w:rPr>
          <w:rFonts w:ascii="Arial" w:hAnsi="Arial" w:cs="Arial"/>
          <w:sz w:val="24"/>
          <w:szCs w:val="24"/>
        </w:rPr>
        <w:t xml:space="preserve"> it could include life in custody. Both</w:t>
      </w:r>
      <w:r w:rsidR="007D2296" w:rsidRPr="00052FA5">
        <w:rPr>
          <w:rFonts w:ascii="Arial" w:hAnsi="Arial" w:cs="Arial"/>
          <w:sz w:val="24"/>
          <w:szCs w:val="24"/>
        </w:rPr>
        <w:t xml:space="preserve"> mens rea</w:t>
      </w:r>
      <w:r w:rsidR="00584EF1" w:rsidRPr="00052FA5">
        <w:rPr>
          <w:rFonts w:ascii="Arial" w:hAnsi="Arial" w:cs="Arial"/>
          <w:sz w:val="24"/>
          <w:szCs w:val="24"/>
        </w:rPr>
        <w:t xml:space="preserve">, or mental condition and actus </w:t>
      </w:r>
      <w:proofErr w:type="gramStart"/>
      <w:r w:rsidR="00584EF1" w:rsidRPr="00052FA5">
        <w:rPr>
          <w:rFonts w:ascii="Arial" w:hAnsi="Arial" w:cs="Arial"/>
          <w:sz w:val="24"/>
          <w:szCs w:val="24"/>
        </w:rPr>
        <w:t>reus</w:t>
      </w:r>
      <w:proofErr w:type="gramEnd"/>
      <w:r w:rsidR="00584EF1" w:rsidRPr="00052FA5">
        <w:rPr>
          <w:rFonts w:ascii="Arial" w:hAnsi="Arial" w:cs="Arial"/>
          <w:sz w:val="24"/>
          <w:szCs w:val="24"/>
        </w:rPr>
        <w:t xml:space="preserve"> is</w:t>
      </w:r>
      <w:r w:rsidR="007D2296" w:rsidRPr="00052FA5">
        <w:rPr>
          <w:rFonts w:ascii="Arial" w:hAnsi="Arial" w:cs="Arial"/>
          <w:sz w:val="24"/>
          <w:szCs w:val="24"/>
        </w:rPr>
        <w:t xml:space="preserve"> required for murder</w:t>
      </w:r>
      <w:r w:rsidR="00584EF1" w:rsidRPr="00052FA5">
        <w:rPr>
          <w:rFonts w:ascii="Arial" w:hAnsi="Arial" w:cs="Arial"/>
          <w:sz w:val="24"/>
          <w:szCs w:val="24"/>
        </w:rPr>
        <w:t xml:space="preserve">. </w:t>
      </w:r>
      <w:proofErr w:type="gramStart"/>
      <w:r w:rsidR="00584EF1" w:rsidRPr="00052FA5">
        <w:rPr>
          <w:rFonts w:ascii="Arial" w:hAnsi="Arial" w:cs="Arial"/>
          <w:sz w:val="24"/>
          <w:szCs w:val="24"/>
        </w:rPr>
        <w:t>T</w:t>
      </w:r>
      <w:r w:rsidR="007D2296" w:rsidRPr="00052FA5">
        <w:rPr>
          <w:rFonts w:ascii="Arial" w:hAnsi="Arial" w:cs="Arial"/>
          <w:sz w:val="24"/>
          <w:szCs w:val="24"/>
        </w:rPr>
        <w:t xml:space="preserve">he </w:t>
      </w:r>
      <w:r w:rsidR="00BD61F1" w:rsidRPr="00052FA5">
        <w:rPr>
          <w:rFonts w:ascii="Arial" w:hAnsi="Arial" w:cs="Arial"/>
          <w:sz w:val="24"/>
          <w:szCs w:val="24"/>
        </w:rPr>
        <w:t xml:space="preserve">aim </w:t>
      </w:r>
      <w:r w:rsidR="007D2296" w:rsidRPr="00052FA5">
        <w:rPr>
          <w:rFonts w:ascii="Arial" w:hAnsi="Arial" w:cs="Arial"/>
          <w:sz w:val="24"/>
          <w:szCs w:val="24"/>
        </w:rPr>
        <w:t>to kill or cause grievous bodily harm</w:t>
      </w:r>
      <w:sdt>
        <w:sdtPr>
          <w:rPr>
            <w:rFonts w:ascii="Arial" w:hAnsi="Arial" w:cs="Arial"/>
            <w:sz w:val="24"/>
            <w:szCs w:val="24"/>
          </w:rPr>
          <w:id w:val="-559399942"/>
          <w:citation/>
        </w:sdtPr>
        <w:sdtEndPr/>
        <w:sdtContent>
          <w:r w:rsidRPr="00052FA5">
            <w:rPr>
              <w:rFonts w:ascii="Arial" w:hAnsi="Arial" w:cs="Arial"/>
              <w:sz w:val="24"/>
              <w:szCs w:val="24"/>
            </w:rPr>
            <w:fldChar w:fldCharType="begin"/>
          </w:r>
          <w:r w:rsidRPr="00052FA5">
            <w:rPr>
              <w:rFonts w:ascii="Arial" w:hAnsi="Arial" w:cs="Arial"/>
              <w:sz w:val="24"/>
              <w:szCs w:val="24"/>
              <w:lang w:val="en-US"/>
            </w:rPr>
            <w:instrText xml:space="preserve"> CITATION Bri22 \l 1033 </w:instrText>
          </w:r>
          <w:r w:rsidRPr="00052FA5">
            <w:rPr>
              <w:rFonts w:ascii="Arial" w:hAnsi="Arial" w:cs="Arial"/>
              <w:sz w:val="24"/>
              <w:szCs w:val="24"/>
            </w:rPr>
            <w:fldChar w:fldCharType="separate"/>
          </w:r>
          <w:r w:rsidRPr="00052FA5">
            <w:rPr>
              <w:rFonts w:ascii="Arial" w:hAnsi="Arial" w:cs="Arial"/>
              <w:noProof/>
              <w:sz w:val="24"/>
              <w:szCs w:val="24"/>
              <w:lang w:val="en-US"/>
            </w:rPr>
            <w:t xml:space="preserve"> (Britannica, 2022)</w:t>
          </w:r>
          <w:r w:rsidRPr="00052FA5">
            <w:rPr>
              <w:rFonts w:ascii="Arial" w:hAnsi="Arial" w:cs="Arial"/>
              <w:sz w:val="24"/>
              <w:szCs w:val="24"/>
            </w:rPr>
            <w:fldChar w:fldCharType="end"/>
          </w:r>
        </w:sdtContent>
      </w:sdt>
      <w:r w:rsidR="007D2296" w:rsidRPr="00052FA5">
        <w:rPr>
          <w:rFonts w:ascii="Arial" w:hAnsi="Arial" w:cs="Arial"/>
          <w:sz w:val="24"/>
          <w:szCs w:val="24"/>
        </w:rPr>
        <w:t>.</w:t>
      </w:r>
      <w:proofErr w:type="gramEnd"/>
      <w:r w:rsidR="00BD61F1" w:rsidRPr="00052FA5">
        <w:rPr>
          <w:rFonts w:ascii="Arial" w:hAnsi="Arial" w:cs="Arial"/>
          <w:sz w:val="24"/>
          <w:szCs w:val="24"/>
        </w:rPr>
        <w:t xml:space="preserve"> A mental intention of murdering someone with planning and unlawful is required.</w:t>
      </w:r>
      <w:r w:rsidR="00210828" w:rsidRPr="00052FA5">
        <w:rPr>
          <w:rFonts w:ascii="Arial" w:hAnsi="Arial" w:cs="Arial"/>
          <w:sz w:val="24"/>
          <w:szCs w:val="24"/>
        </w:rPr>
        <w:t xml:space="preserve"> </w:t>
      </w:r>
      <w:r w:rsidR="007D2296" w:rsidRPr="00052FA5">
        <w:rPr>
          <w:rFonts w:ascii="Arial" w:hAnsi="Arial" w:cs="Arial"/>
          <w:sz w:val="24"/>
          <w:szCs w:val="24"/>
        </w:rPr>
        <w:t>Partial defences to murder are legal mechanisms that, if successfully argued, reduce a charge of murder to manslaughter. Historically, provocation was one such partial defence, allowing a defendant to argue that they lost self-control due to a sudden and temporary loss of reason.</w:t>
      </w:r>
      <w:r w:rsidR="00530053" w:rsidRPr="00052FA5">
        <w:rPr>
          <w:rFonts w:ascii="Arial" w:hAnsi="Arial" w:cs="Arial"/>
          <w:sz w:val="24"/>
          <w:szCs w:val="24"/>
        </w:rPr>
        <w:t xml:space="preserve"> </w:t>
      </w:r>
      <w:r w:rsidR="0083151A" w:rsidRPr="00052FA5">
        <w:rPr>
          <w:rFonts w:ascii="Arial" w:hAnsi="Arial" w:cs="Arial"/>
          <w:sz w:val="24"/>
          <w:szCs w:val="24"/>
        </w:rPr>
        <w:t>Within a lot of</w:t>
      </w:r>
      <w:r w:rsidR="0086642C" w:rsidRPr="00052FA5">
        <w:rPr>
          <w:rFonts w:ascii="Arial" w:hAnsi="Arial" w:cs="Arial"/>
          <w:sz w:val="24"/>
          <w:szCs w:val="24"/>
        </w:rPr>
        <w:t xml:space="preserve"> legal jurisdictions, involving</w:t>
      </w:r>
      <w:r w:rsidR="0083151A" w:rsidRPr="00052FA5">
        <w:rPr>
          <w:rFonts w:ascii="Arial" w:hAnsi="Arial" w:cs="Arial"/>
          <w:sz w:val="24"/>
          <w:szCs w:val="24"/>
        </w:rPr>
        <w:t xml:space="preserve"> the comm</w:t>
      </w:r>
      <w:r w:rsidR="00530053" w:rsidRPr="00052FA5">
        <w:rPr>
          <w:rFonts w:ascii="Arial" w:hAnsi="Arial" w:cs="Arial"/>
          <w:sz w:val="24"/>
          <w:szCs w:val="24"/>
        </w:rPr>
        <w:t>on law</w:t>
      </w:r>
      <w:r w:rsidR="0086642C" w:rsidRPr="00052FA5">
        <w:rPr>
          <w:rFonts w:ascii="Arial" w:hAnsi="Arial" w:cs="Arial"/>
          <w:sz w:val="24"/>
          <w:szCs w:val="24"/>
        </w:rPr>
        <w:t>, there are a number of</w:t>
      </w:r>
      <w:r w:rsidR="0083151A" w:rsidRPr="00052FA5">
        <w:rPr>
          <w:rFonts w:ascii="Arial" w:hAnsi="Arial" w:cs="Arial"/>
          <w:sz w:val="24"/>
          <w:szCs w:val="24"/>
        </w:rPr>
        <w:t xml:space="preserve"> partial </w:t>
      </w:r>
      <w:r w:rsidR="0086642C" w:rsidRPr="00052FA5">
        <w:rPr>
          <w:rFonts w:ascii="Arial" w:hAnsi="Arial" w:cs="Arial"/>
          <w:sz w:val="24"/>
          <w:szCs w:val="24"/>
        </w:rPr>
        <w:t>defences</w:t>
      </w:r>
      <w:r w:rsidR="00530053" w:rsidRPr="00052FA5">
        <w:rPr>
          <w:rFonts w:ascii="Arial" w:hAnsi="Arial" w:cs="Arial"/>
          <w:sz w:val="24"/>
          <w:szCs w:val="24"/>
        </w:rPr>
        <w:t xml:space="preserve"> to murder. While t</w:t>
      </w:r>
      <w:r w:rsidR="0083151A" w:rsidRPr="00052FA5">
        <w:rPr>
          <w:rFonts w:ascii="Arial" w:hAnsi="Arial" w:cs="Arial"/>
          <w:sz w:val="24"/>
          <w:szCs w:val="24"/>
        </w:rPr>
        <w:t xml:space="preserve">hese </w:t>
      </w:r>
      <w:r w:rsidR="0086642C" w:rsidRPr="00052FA5">
        <w:rPr>
          <w:rFonts w:ascii="Arial" w:hAnsi="Arial" w:cs="Arial"/>
          <w:sz w:val="24"/>
          <w:szCs w:val="24"/>
        </w:rPr>
        <w:t>defences</w:t>
      </w:r>
      <w:r w:rsidR="0083151A" w:rsidRPr="00052FA5">
        <w:rPr>
          <w:rFonts w:ascii="Arial" w:hAnsi="Arial" w:cs="Arial"/>
          <w:sz w:val="24"/>
          <w:szCs w:val="24"/>
        </w:rPr>
        <w:t xml:space="preserve"> </w:t>
      </w:r>
      <w:r w:rsidR="00530053" w:rsidRPr="00052FA5">
        <w:rPr>
          <w:rFonts w:ascii="Arial" w:hAnsi="Arial" w:cs="Arial"/>
          <w:sz w:val="24"/>
          <w:szCs w:val="24"/>
        </w:rPr>
        <w:t xml:space="preserve">may </w:t>
      </w:r>
      <w:r w:rsidR="0083151A" w:rsidRPr="00052FA5">
        <w:rPr>
          <w:rFonts w:ascii="Arial" w:hAnsi="Arial" w:cs="Arial"/>
          <w:sz w:val="24"/>
          <w:szCs w:val="24"/>
        </w:rPr>
        <w:t xml:space="preserve">not </w:t>
      </w:r>
      <w:r w:rsidR="00332F71" w:rsidRPr="00052FA5">
        <w:rPr>
          <w:rFonts w:ascii="Arial" w:hAnsi="Arial" w:cs="Arial"/>
          <w:sz w:val="24"/>
          <w:szCs w:val="24"/>
        </w:rPr>
        <w:t xml:space="preserve">discharge </w:t>
      </w:r>
      <w:r w:rsidR="0083151A" w:rsidRPr="00052FA5">
        <w:rPr>
          <w:rFonts w:ascii="Arial" w:hAnsi="Arial" w:cs="Arial"/>
          <w:sz w:val="24"/>
          <w:szCs w:val="24"/>
        </w:rPr>
        <w:t xml:space="preserve">the </w:t>
      </w:r>
      <w:r w:rsidR="00332F71" w:rsidRPr="00052FA5">
        <w:rPr>
          <w:rFonts w:ascii="Arial" w:hAnsi="Arial" w:cs="Arial"/>
          <w:sz w:val="24"/>
          <w:szCs w:val="24"/>
        </w:rPr>
        <w:t>defendant of guilt entirely, but it might help</w:t>
      </w:r>
      <w:r w:rsidR="0083151A" w:rsidRPr="00052FA5">
        <w:rPr>
          <w:rFonts w:ascii="Arial" w:hAnsi="Arial" w:cs="Arial"/>
          <w:sz w:val="24"/>
          <w:szCs w:val="24"/>
        </w:rPr>
        <w:t xml:space="preserve"> to a reducti</w:t>
      </w:r>
      <w:r w:rsidR="00332F71" w:rsidRPr="00052FA5">
        <w:rPr>
          <w:rFonts w:ascii="Arial" w:hAnsi="Arial" w:cs="Arial"/>
          <w:sz w:val="24"/>
          <w:szCs w:val="24"/>
        </w:rPr>
        <w:t xml:space="preserve">on in the charge to </w:t>
      </w:r>
      <w:r w:rsidR="0083151A" w:rsidRPr="00052FA5">
        <w:rPr>
          <w:rFonts w:ascii="Arial" w:hAnsi="Arial" w:cs="Arial"/>
          <w:sz w:val="24"/>
          <w:szCs w:val="24"/>
        </w:rPr>
        <w:t>manslaughter</w:t>
      </w:r>
      <w:r w:rsidR="00332F71" w:rsidRPr="00052FA5">
        <w:rPr>
          <w:rFonts w:ascii="Arial" w:hAnsi="Arial" w:cs="Arial"/>
          <w:sz w:val="24"/>
          <w:szCs w:val="24"/>
        </w:rPr>
        <w:t xml:space="preserve"> from murder, in this way the </w:t>
      </w:r>
      <w:r w:rsidR="0083151A" w:rsidRPr="00052FA5">
        <w:rPr>
          <w:rFonts w:ascii="Arial" w:hAnsi="Arial" w:cs="Arial"/>
          <w:sz w:val="24"/>
          <w:szCs w:val="24"/>
        </w:rPr>
        <w:t>punishment</w:t>
      </w:r>
      <w:r w:rsidR="00332F71" w:rsidRPr="00052FA5">
        <w:rPr>
          <w:rFonts w:ascii="Arial" w:hAnsi="Arial" w:cs="Arial"/>
          <w:sz w:val="24"/>
          <w:szCs w:val="24"/>
        </w:rPr>
        <w:t xml:space="preserve"> will also lessen</w:t>
      </w:r>
      <w:r w:rsidR="0083151A" w:rsidRPr="00052FA5">
        <w:rPr>
          <w:rFonts w:ascii="Arial" w:hAnsi="Arial" w:cs="Arial"/>
          <w:sz w:val="24"/>
          <w:szCs w:val="24"/>
        </w:rPr>
        <w:t xml:space="preserve">. Some common partial </w:t>
      </w:r>
      <w:r w:rsidR="0086642C" w:rsidRPr="00052FA5">
        <w:rPr>
          <w:rFonts w:ascii="Arial" w:hAnsi="Arial" w:cs="Arial"/>
          <w:sz w:val="24"/>
          <w:szCs w:val="24"/>
        </w:rPr>
        <w:t>defences</w:t>
      </w:r>
      <w:r w:rsidR="0083151A" w:rsidRPr="00052FA5">
        <w:rPr>
          <w:rFonts w:ascii="Arial" w:hAnsi="Arial" w:cs="Arial"/>
          <w:sz w:val="24"/>
          <w:szCs w:val="24"/>
        </w:rPr>
        <w:t xml:space="preserve"> to murder include:</w:t>
      </w:r>
      <w:r w:rsidR="00332F71" w:rsidRPr="00052FA5">
        <w:rPr>
          <w:rFonts w:ascii="Arial" w:hAnsi="Arial" w:cs="Arial"/>
          <w:sz w:val="24"/>
          <w:szCs w:val="24"/>
        </w:rPr>
        <w:t xml:space="preserve"> Diminished </w:t>
      </w:r>
      <w:r w:rsidR="00750AB0" w:rsidRPr="00052FA5">
        <w:rPr>
          <w:rFonts w:ascii="Arial" w:hAnsi="Arial" w:cs="Arial"/>
          <w:sz w:val="24"/>
          <w:szCs w:val="24"/>
        </w:rPr>
        <w:t>responsibility is due to instable mental condition, where the defendant do not fully understand the result of their actions</w:t>
      </w:r>
      <w:sdt>
        <w:sdtPr>
          <w:rPr>
            <w:rFonts w:ascii="Arial" w:hAnsi="Arial" w:cs="Arial"/>
            <w:sz w:val="24"/>
            <w:szCs w:val="24"/>
          </w:rPr>
          <w:id w:val="1336650074"/>
          <w:citation/>
        </w:sdtPr>
        <w:sdtContent>
          <w:r w:rsidR="00D2127E" w:rsidRPr="00052FA5">
            <w:rPr>
              <w:rFonts w:ascii="Arial" w:hAnsi="Arial" w:cs="Arial"/>
              <w:sz w:val="24"/>
              <w:szCs w:val="24"/>
            </w:rPr>
            <w:fldChar w:fldCharType="begin"/>
          </w:r>
          <w:r w:rsidR="00D2127E" w:rsidRPr="00052FA5">
            <w:rPr>
              <w:rFonts w:ascii="Arial" w:hAnsi="Arial" w:cs="Arial"/>
              <w:sz w:val="24"/>
              <w:szCs w:val="24"/>
              <w:lang w:val="en-US"/>
            </w:rPr>
            <w:instrText xml:space="preserve"> CITATION con24 \l 1033 </w:instrText>
          </w:r>
          <w:r w:rsidR="00D2127E" w:rsidRPr="00052FA5">
            <w:rPr>
              <w:rFonts w:ascii="Arial" w:hAnsi="Arial" w:cs="Arial"/>
              <w:sz w:val="24"/>
              <w:szCs w:val="24"/>
            </w:rPr>
            <w:fldChar w:fldCharType="separate"/>
          </w:r>
          <w:r w:rsidR="00D2127E" w:rsidRPr="00052FA5">
            <w:rPr>
              <w:rFonts w:ascii="Arial" w:hAnsi="Arial" w:cs="Arial"/>
              <w:noProof/>
              <w:sz w:val="24"/>
              <w:szCs w:val="24"/>
              <w:lang w:val="en-US"/>
            </w:rPr>
            <w:t xml:space="preserve"> (consult.justice.gov.uk, 2024)</w:t>
          </w:r>
          <w:r w:rsidR="00D2127E" w:rsidRPr="00052FA5">
            <w:rPr>
              <w:rFonts w:ascii="Arial" w:hAnsi="Arial" w:cs="Arial"/>
              <w:sz w:val="24"/>
              <w:szCs w:val="24"/>
            </w:rPr>
            <w:fldChar w:fldCharType="end"/>
          </w:r>
        </w:sdtContent>
      </w:sdt>
      <w:r w:rsidR="00750AB0" w:rsidRPr="00052FA5">
        <w:rPr>
          <w:rFonts w:ascii="Arial" w:hAnsi="Arial" w:cs="Arial"/>
          <w:sz w:val="24"/>
          <w:szCs w:val="24"/>
        </w:rPr>
        <w:t xml:space="preserve">. This defence can change the charge of murder to manslaughter.  Then there was Provocation which has been replaced by </w:t>
      </w:r>
      <w:r w:rsidR="006C7909" w:rsidRPr="00052FA5">
        <w:rPr>
          <w:rFonts w:ascii="Arial" w:hAnsi="Arial" w:cs="Arial"/>
          <w:sz w:val="24"/>
          <w:szCs w:val="24"/>
        </w:rPr>
        <w:t>Loss of</w:t>
      </w:r>
      <w:r w:rsidR="00530053" w:rsidRPr="00052FA5">
        <w:rPr>
          <w:rFonts w:ascii="Arial" w:hAnsi="Arial" w:cs="Arial"/>
          <w:sz w:val="24"/>
          <w:szCs w:val="24"/>
        </w:rPr>
        <w:t xml:space="preserve"> control</w:t>
      </w:r>
      <w:sdt>
        <w:sdtPr>
          <w:rPr>
            <w:rFonts w:ascii="Arial" w:hAnsi="Arial" w:cs="Arial"/>
            <w:sz w:val="24"/>
            <w:szCs w:val="24"/>
          </w:rPr>
          <w:id w:val="1940639991"/>
          <w:citation/>
        </w:sdtPr>
        <w:sdtContent>
          <w:r w:rsidR="00530053" w:rsidRPr="00052FA5">
            <w:rPr>
              <w:rFonts w:ascii="Arial" w:hAnsi="Arial" w:cs="Arial"/>
              <w:sz w:val="24"/>
              <w:szCs w:val="24"/>
            </w:rPr>
            <w:fldChar w:fldCharType="begin"/>
          </w:r>
          <w:r w:rsidR="00530053" w:rsidRPr="00052FA5">
            <w:rPr>
              <w:rFonts w:ascii="Arial" w:hAnsi="Arial" w:cs="Arial"/>
              <w:sz w:val="24"/>
              <w:szCs w:val="24"/>
              <w:lang w:val="en-US"/>
            </w:rPr>
            <w:instrText xml:space="preserve"> CITATION oxf12 \l 1033 </w:instrText>
          </w:r>
          <w:r w:rsidR="00530053" w:rsidRPr="00052FA5">
            <w:rPr>
              <w:rFonts w:ascii="Arial" w:hAnsi="Arial" w:cs="Arial"/>
              <w:sz w:val="24"/>
              <w:szCs w:val="24"/>
            </w:rPr>
            <w:fldChar w:fldCharType="separate"/>
          </w:r>
          <w:r w:rsidR="00530053" w:rsidRPr="00052FA5">
            <w:rPr>
              <w:rFonts w:ascii="Arial" w:hAnsi="Arial" w:cs="Arial"/>
              <w:noProof/>
              <w:sz w:val="24"/>
              <w:szCs w:val="24"/>
              <w:lang w:val="en-US"/>
            </w:rPr>
            <w:t xml:space="preserve"> (oxford academic, 2012)</w:t>
          </w:r>
          <w:r w:rsidR="00530053" w:rsidRPr="00052FA5">
            <w:rPr>
              <w:rFonts w:ascii="Arial" w:hAnsi="Arial" w:cs="Arial"/>
              <w:sz w:val="24"/>
              <w:szCs w:val="24"/>
            </w:rPr>
            <w:fldChar w:fldCharType="end"/>
          </w:r>
        </w:sdtContent>
      </w:sdt>
      <w:r w:rsidR="00052FA5" w:rsidRPr="00052FA5">
        <w:rPr>
          <w:rFonts w:ascii="Arial" w:hAnsi="Arial" w:cs="Arial"/>
          <w:sz w:val="24"/>
          <w:szCs w:val="24"/>
        </w:rPr>
        <w:t xml:space="preserve"> </w:t>
      </w:r>
      <w:proofErr w:type="gramStart"/>
      <w:r w:rsidR="006C7909" w:rsidRPr="00052FA5">
        <w:rPr>
          <w:rFonts w:ascii="Arial" w:hAnsi="Arial" w:cs="Arial"/>
          <w:sz w:val="24"/>
          <w:szCs w:val="24"/>
        </w:rPr>
        <w:t>Where</w:t>
      </w:r>
      <w:proofErr w:type="gramEnd"/>
      <w:r w:rsidR="006C7909" w:rsidRPr="00052FA5">
        <w:rPr>
          <w:rFonts w:ascii="Arial" w:hAnsi="Arial" w:cs="Arial"/>
          <w:sz w:val="24"/>
          <w:szCs w:val="24"/>
        </w:rPr>
        <w:t xml:space="preserve"> the defendant will have to prove loss of control, often due to anger or fear, Similar to provocation, loss of control defence argues that the defendant acted in response to a loss of self-control. If successfully argued, this defence can also reduce a murder charge to manslaughter.</w:t>
      </w:r>
      <w:r w:rsidR="00052FA5" w:rsidRPr="00052FA5">
        <w:rPr>
          <w:rFonts w:ascii="Arial" w:hAnsi="Arial" w:cs="Arial"/>
          <w:sz w:val="24"/>
          <w:szCs w:val="24"/>
        </w:rPr>
        <w:t xml:space="preserve"> </w:t>
      </w:r>
      <w:r w:rsidR="006C7909" w:rsidRPr="00052FA5">
        <w:rPr>
          <w:rFonts w:ascii="Arial" w:hAnsi="Arial" w:cs="Arial"/>
          <w:sz w:val="24"/>
          <w:szCs w:val="24"/>
        </w:rPr>
        <w:t xml:space="preserve">In rare cases there </w:t>
      </w:r>
      <w:r w:rsidR="00CE5FCA" w:rsidRPr="00052FA5">
        <w:rPr>
          <w:rFonts w:ascii="Arial" w:hAnsi="Arial" w:cs="Arial"/>
          <w:sz w:val="24"/>
          <w:szCs w:val="24"/>
        </w:rPr>
        <w:t xml:space="preserve">is defence of automatism, this defence is normally due to temporary mental state like sleep walking or a </w:t>
      </w:r>
      <w:r w:rsidR="00CB7E49" w:rsidRPr="00052FA5">
        <w:rPr>
          <w:rFonts w:ascii="Arial" w:hAnsi="Arial" w:cs="Arial"/>
          <w:sz w:val="24"/>
          <w:szCs w:val="24"/>
        </w:rPr>
        <w:t xml:space="preserve">psychological </w:t>
      </w:r>
      <w:r w:rsidR="00CE5FCA" w:rsidRPr="00052FA5">
        <w:rPr>
          <w:rFonts w:ascii="Arial" w:hAnsi="Arial" w:cs="Arial"/>
          <w:sz w:val="24"/>
          <w:szCs w:val="24"/>
        </w:rPr>
        <w:t>seizure</w:t>
      </w:r>
      <w:sdt>
        <w:sdtPr>
          <w:rPr>
            <w:rFonts w:ascii="Arial" w:hAnsi="Arial" w:cs="Arial"/>
            <w:sz w:val="24"/>
            <w:szCs w:val="24"/>
          </w:rPr>
          <w:id w:val="162055910"/>
          <w:citation/>
        </w:sdtPr>
        <w:sdtContent>
          <w:r w:rsidR="00CE5FCA" w:rsidRPr="00052FA5">
            <w:rPr>
              <w:rFonts w:ascii="Arial" w:hAnsi="Arial" w:cs="Arial"/>
              <w:sz w:val="24"/>
              <w:szCs w:val="24"/>
            </w:rPr>
            <w:fldChar w:fldCharType="begin"/>
          </w:r>
          <w:r w:rsidR="00CE5FCA" w:rsidRPr="00052FA5">
            <w:rPr>
              <w:rFonts w:ascii="Arial" w:hAnsi="Arial" w:cs="Arial"/>
              <w:sz w:val="24"/>
              <w:szCs w:val="24"/>
              <w:lang w:val="en-US"/>
            </w:rPr>
            <w:instrText xml:space="preserve"> CITATION tat24 \l 1033 </w:instrText>
          </w:r>
          <w:r w:rsidR="00CE5FCA" w:rsidRPr="00052FA5">
            <w:rPr>
              <w:rFonts w:ascii="Arial" w:hAnsi="Arial" w:cs="Arial"/>
              <w:sz w:val="24"/>
              <w:szCs w:val="24"/>
            </w:rPr>
            <w:fldChar w:fldCharType="separate"/>
          </w:r>
          <w:r w:rsidR="00CE5FCA" w:rsidRPr="00052FA5">
            <w:rPr>
              <w:rFonts w:ascii="Arial" w:hAnsi="Arial" w:cs="Arial"/>
              <w:noProof/>
              <w:sz w:val="24"/>
              <w:szCs w:val="24"/>
              <w:lang w:val="en-US"/>
            </w:rPr>
            <w:t xml:space="preserve"> (tate, 2024)</w:t>
          </w:r>
          <w:r w:rsidR="00CE5FCA" w:rsidRPr="00052FA5">
            <w:rPr>
              <w:rFonts w:ascii="Arial" w:hAnsi="Arial" w:cs="Arial"/>
              <w:sz w:val="24"/>
              <w:szCs w:val="24"/>
            </w:rPr>
            <w:fldChar w:fldCharType="end"/>
          </w:r>
        </w:sdtContent>
      </w:sdt>
      <w:r w:rsidR="00CE5FCA" w:rsidRPr="00052FA5">
        <w:rPr>
          <w:rFonts w:ascii="Arial" w:hAnsi="Arial" w:cs="Arial"/>
          <w:sz w:val="24"/>
          <w:szCs w:val="24"/>
        </w:rPr>
        <w:t xml:space="preserve">. Infanticide defence is extremely </w:t>
      </w:r>
      <w:r w:rsidR="00CB7E49" w:rsidRPr="00052FA5">
        <w:rPr>
          <w:rFonts w:ascii="Arial" w:hAnsi="Arial" w:cs="Arial"/>
          <w:sz w:val="24"/>
          <w:szCs w:val="24"/>
        </w:rPr>
        <w:t>rare;</w:t>
      </w:r>
      <w:r w:rsidR="00CE5FCA" w:rsidRPr="00052FA5">
        <w:rPr>
          <w:rFonts w:ascii="Arial" w:hAnsi="Arial" w:cs="Arial"/>
          <w:sz w:val="24"/>
          <w:szCs w:val="24"/>
        </w:rPr>
        <w:t xml:space="preserve"> it is a defence for a woman</w:t>
      </w:r>
      <w:r w:rsidR="00CB7E49" w:rsidRPr="00052FA5">
        <w:rPr>
          <w:rFonts w:ascii="Arial" w:hAnsi="Arial" w:cs="Arial"/>
          <w:sz w:val="24"/>
          <w:szCs w:val="24"/>
        </w:rPr>
        <w:t>, the killing of a new born child</w:t>
      </w:r>
      <w:r w:rsidR="00CE5FCA" w:rsidRPr="00052FA5">
        <w:rPr>
          <w:rFonts w:ascii="Arial" w:hAnsi="Arial" w:cs="Arial"/>
          <w:sz w:val="24"/>
          <w:szCs w:val="24"/>
        </w:rPr>
        <w:t>, when a female kills her child due to the effect from child birth or ill mental state</w:t>
      </w:r>
      <w:sdt>
        <w:sdtPr>
          <w:rPr>
            <w:rFonts w:ascii="Arial" w:hAnsi="Arial" w:cs="Arial"/>
            <w:sz w:val="24"/>
            <w:szCs w:val="24"/>
          </w:rPr>
          <w:id w:val="475501262"/>
          <w:citation/>
        </w:sdtPr>
        <w:sdtContent>
          <w:r w:rsidR="00CB7E49" w:rsidRPr="00052FA5">
            <w:rPr>
              <w:rFonts w:ascii="Arial" w:hAnsi="Arial" w:cs="Arial"/>
              <w:sz w:val="24"/>
              <w:szCs w:val="24"/>
            </w:rPr>
            <w:fldChar w:fldCharType="begin"/>
          </w:r>
          <w:r w:rsidR="00CB7E49" w:rsidRPr="00052FA5">
            <w:rPr>
              <w:rFonts w:ascii="Arial" w:hAnsi="Arial" w:cs="Arial"/>
              <w:sz w:val="24"/>
              <w:szCs w:val="24"/>
              <w:lang w:val="en-US"/>
            </w:rPr>
            <w:instrText xml:space="preserve"> CITATION leg24 \l 1033 </w:instrText>
          </w:r>
          <w:r w:rsidR="00CB7E49" w:rsidRPr="00052FA5">
            <w:rPr>
              <w:rFonts w:ascii="Arial" w:hAnsi="Arial" w:cs="Arial"/>
              <w:sz w:val="24"/>
              <w:szCs w:val="24"/>
            </w:rPr>
            <w:fldChar w:fldCharType="separate"/>
          </w:r>
          <w:r w:rsidR="00CB7E49" w:rsidRPr="00052FA5">
            <w:rPr>
              <w:rFonts w:ascii="Arial" w:hAnsi="Arial" w:cs="Arial"/>
              <w:noProof/>
              <w:sz w:val="24"/>
              <w:szCs w:val="24"/>
              <w:lang w:val="en-US"/>
            </w:rPr>
            <w:t xml:space="preserve"> (legislation.gov.uk, 2024)</w:t>
          </w:r>
          <w:r w:rsidR="00CB7E49" w:rsidRPr="00052FA5">
            <w:rPr>
              <w:rFonts w:ascii="Arial" w:hAnsi="Arial" w:cs="Arial"/>
              <w:sz w:val="24"/>
              <w:szCs w:val="24"/>
            </w:rPr>
            <w:fldChar w:fldCharType="end"/>
          </w:r>
        </w:sdtContent>
      </w:sdt>
      <w:r w:rsidR="00CB7E49" w:rsidRPr="00052FA5">
        <w:rPr>
          <w:rFonts w:ascii="Arial" w:hAnsi="Arial" w:cs="Arial"/>
          <w:sz w:val="24"/>
          <w:szCs w:val="24"/>
        </w:rPr>
        <w:t xml:space="preserve"> infanticide Act 1938</w:t>
      </w:r>
      <w:r w:rsidR="00CE5FCA" w:rsidRPr="00052FA5">
        <w:rPr>
          <w:rFonts w:ascii="Arial" w:hAnsi="Arial" w:cs="Arial"/>
          <w:sz w:val="24"/>
          <w:szCs w:val="24"/>
        </w:rPr>
        <w:t>.</w:t>
      </w:r>
      <w:r w:rsidR="0095575E" w:rsidRPr="00052FA5">
        <w:rPr>
          <w:rFonts w:ascii="Arial" w:hAnsi="Arial" w:cs="Arial"/>
          <w:sz w:val="24"/>
          <w:szCs w:val="24"/>
        </w:rPr>
        <w:t xml:space="preserve"> </w:t>
      </w:r>
      <w:r w:rsidR="00737E75" w:rsidRPr="00052FA5">
        <w:rPr>
          <w:rFonts w:ascii="Arial" w:hAnsi="Arial" w:cs="Arial"/>
          <w:sz w:val="24"/>
          <w:szCs w:val="24"/>
        </w:rPr>
        <w:t xml:space="preserve">The Coroners and Justice Act 2009 (CJA 2009) did indeed bring about significant reforms to the partial defences to murder in English law, most notably by abolishing the old defence of provocation and replacing it with a new defence termed "loss of control." This reform aimed to rectify perceived shortcomings in the provocation defence, including </w:t>
      </w:r>
      <w:r w:rsidR="00737E75" w:rsidRPr="00052FA5">
        <w:rPr>
          <w:rFonts w:ascii="Arial" w:hAnsi="Arial" w:cs="Arial"/>
          <w:sz w:val="24"/>
          <w:szCs w:val="24"/>
        </w:rPr>
        <w:lastRenderedPageBreak/>
        <w:t>concerns about gender bias and inconsistencies in its application</w:t>
      </w:r>
      <w:sdt>
        <w:sdtPr>
          <w:rPr>
            <w:rFonts w:ascii="Arial" w:hAnsi="Arial" w:cs="Arial"/>
            <w:sz w:val="24"/>
            <w:szCs w:val="24"/>
          </w:rPr>
          <w:id w:val="-1142652856"/>
          <w:citation/>
        </w:sdtPr>
        <w:sdtContent>
          <w:r w:rsidR="0095575E" w:rsidRPr="00052FA5">
            <w:rPr>
              <w:rFonts w:ascii="Arial" w:hAnsi="Arial" w:cs="Arial"/>
              <w:sz w:val="24"/>
              <w:szCs w:val="24"/>
            </w:rPr>
            <w:fldChar w:fldCharType="begin"/>
          </w:r>
          <w:r w:rsidR="0095575E" w:rsidRPr="00052FA5">
            <w:rPr>
              <w:rFonts w:ascii="Arial" w:hAnsi="Arial" w:cs="Arial"/>
              <w:sz w:val="24"/>
              <w:szCs w:val="24"/>
              <w:lang w:val="en-US"/>
            </w:rPr>
            <w:instrText xml:space="preserve"> CITATION hou16 \l 1033 </w:instrText>
          </w:r>
          <w:r w:rsidR="0095575E" w:rsidRPr="00052FA5">
            <w:rPr>
              <w:rFonts w:ascii="Arial" w:hAnsi="Arial" w:cs="Arial"/>
              <w:sz w:val="24"/>
              <w:szCs w:val="24"/>
            </w:rPr>
            <w:fldChar w:fldCharType="separate"/>
          </w:r>
          <w:r w:rsidR="0095575E" w:rsidRPr="00052FA5">
            <w:rPr>
              <w:rFonts w:ascii="Arial" w:hAnsi="Arial" w:cs="Arial"/>
              <w:noProof/>
              <w:sz w:val="24"/>
              <w:szCs w:val="24"/>
              <w:lang w:val="en-US"/>
            </w:rPr>
            <w:t xml:space="preserve"> (house of commons, 2016)</w:t>
          </w:r>
          <w:r w:rsidR="0095575E" w:rsidRPr="00052FA5">
            <w:rPr>
              <w:rFonts w:ascii="Arial" w:hAnsi="Arial" w:cs="Arial"/>
              <w:sz w:val="24"/>
              <w:szCs w:val="24"/>
            </w:rPr>
            <w:fldChar w:fldCharType="end"/>
          </w:r>
        </w:sdtContent>
      </w:sdt>
      <w:r w:rsidR="0095575E" w:rsidRPr="00052FA5">
        <w:rPr>
          <w:rFonts w:ascii="Arial" w:hAnsi="Arial" w:cs="Arial"/>
          <w:sz w:val="24"/>
          <w:szCs w:val="24"/>
        </w:rPr>
        <w:t xml:space="preserve">. </w:t>
      </w:r>
      <w:r w:rsidR="00737E75" w:rsidRPr="00052FA5">
        <w:rPr>
          <w:rFonts w:ascii="Arial" w:hAnsi="Arial" w:cs="Arial"/>
          <w:sz w:val="24"/>
          <w:szCs w:val="24"/>
        </w:rPr>
        <w:t xml:space="preserve">Under the previous provocation defence, a defendant could argue that they acted in the heat of the moment due to provocation, which could reduce a murder charge to one of manslaughter. However, this defence was criticized for being gender-biased, as it often relied on stereotypical notions of "reasonable" male </w:t>
      </w:r>
      <w:r w:rsidR="0095575E" w:rsidRPr="00052FA5">
        <w:rPr>
          <w:rFonts w:ascii="Arial" w:hAnsi="Arial" w:cs="Arial"/>
          <w:sz w:val="24"/>
          <w:szCs w:val="24"/>
        </w:rPr>
        <w:t>behaviour</w:t>
      </w:r>
      <w:r w:rsidR="00737E75" w:rsidRPr="00052FA5">
        <w:rPr>
          <w:rFonts w:ascii="Arial" w:hAnsi="Arial" w:cs="Arial"/>
          <w:sz w:val="24"/>
          <w:szCs w:val="24"/>
        </w:rPr>
        <w:t>, neglecting the experiences of women who may have faced sustained abuse or coercion before reacting violently. Additionally, there were concerns about the subjective nature of the provocation defence and its lack of clear guidelines.</w:t>
      </w:r>
    </w:p>
    <w:p w:rsidR="00737E75" w:rsidRPr="00052FA5" w:rsidRDefault="00737E75" w:rsidP="00737E75">
      <w:pPr>
        <w:rPr>
          <w:rFonts w:ascii="Arial" w:hAnsi="Arial" w:cs="Arial"/>
          <w:sz w:val="24"/>
          <w:szCs w:val="24"/>
        </w:rPr>
      </w:pPr>
    </w:p>
    <w:p w:rsidR="007D2296" w:rsidRPr="00052FA5" w:rsidRDefault="00737E75" w:rsidP="007D2296">
      <w:pPr>
        <w:rPr>
          <w:rFonts w:ascii="Arial" w:hAnsi="Arial" w:cs="Arial"/>
          <w:sz w:val="24"/>
          <w:szCs w:val="24"/>
        </w:rPr>
      </w:pPr>
      <w:r w:rsidRPr="00052FA5">
        <w:rPr>
          <w:rFonts w:ascii="Arial" w:hAnsi="Arial" w:cs="Arial"/>
          <w:sz w:val="24"/>
          <w:szCs w:val="24"/>
        </w:rPr>
        <w:t>The introduction of the "loss of control" defence under the CJA 2009 aimed to address these criticisms by providing a more objective standard for determining when a loss of control could mitigate a murder charge to manslaughter. The new defence sought to focus on whether the defendant's loss of self-control was attributable to a qualifying trigger, such as fear of serious violence or a sense of being wronged, rather than solely on whether their actions were deemed "re</w:t>
      </w:r>
      <w:r w:rsidR="00E1223C" w:rsidRPr="00052FA5">
        <w:rPr>
          <w:rFonts w:ascii="Arial" w:hAnsi="Arial" w:cs="Arial"/>
          <w:sz w:val="24"/>
          <w:szCs w:val="24"/>
        </w:rPr>
        <w:t xml:space="preserve">asonable" in the circumstances. </w:t>
      </w:r>
      <w:r w:rsidRPr="00052FA5">
        <w:rPr>
          <w:rFonts w:ascii="Arial" w:hAnsi="Arial" w:cs="Arial"/>
          <w:sz w:val="24"/>
          <w:szCs w:val="24"/>
        </w:rPr>
        <w:t>Overall, the reforms under the CJA 2009 aimed to modernize and improve the law on partial defences to murder, ensuring a fairer and more consistent approach while also addressing concerns about gender bias and coherence in the application of these defences.</w:t>
      </w:r>
      <w:r w:rsidR="00E1223C" w:rsidRPr="00052FA5">
        <w:rPr>
          <w:rFonts w:ascii="Arial" w:hAnsi="Arial" w:cs="Arial"/>
          <w:sz w:val="24"/>
          <w:szCs w:val="24"/>
        </w:rPr>
        <w:t xml:space="preserve"> </w:t>
      </w:r>
      <w:r w:rsidR="007D2296" w:rsidRPr="00052FA5">
        <w:rPr>
          <w:rFonts w:ascii="Arial" w:hAnsi="Arial" w:cs="Arial"/>
          <w:sz w:val="24"/>
          <w:szCs w:val="24"/>
        </w:rPr>
        <w:t>Under the old provocation defence, the defendant had to demonstrate that they were provoked by something that would cause a reasonable person to lose self-control. The provocation had to be sudden and temporary, leading to an immediate and unpremeditated act of violence.</w:t>
      </w:r>
      <w:r w:rsidR="00E1223C" w:rsidRPr="00052FA5">
        <w:rPr>
          <w:rFonts w:ascii="Arial" w:hAnsi="Arial" w:cs="Arial"/>
          <w:sz w:val="24"/>
          <w:szCs w:val="24"/>
        </w:rPr>
        <w:t xml:space="preserve"> </w:t>
      </w:r>
      <w:r w:rsidR="007D2296" w:rsidRPr="00052FA5">
        <w:rPr>
          <w:rFonts w:ascii="Arial" w:hAnsi="Arial" w:cs="Arial"/>
          <w:sz w:val="24"/>
          <w:szCs w:val="24"/>
        </w:rPr>
        <w:t>The changes were needed due to concerns about the subjective nature of the provocation defence and its failure to adequately protect victims, particularly in cases of domestic violence where the defence was often used. Critics argued that the defence perpetuated harmful stereotypes and allowed leniency for defendants who had committed serious acts of violence.</w:t>
      </w:r>
      <w:r w:rsidR="00E1223C" w:rsidRPr="00052FA5">
        <w:rPr>
          <w:rFonts w:ascii="Arial" w:hAnsi="Arial" w:cs="Arial"/>
          <w:sz w:val="24"/>
          <w:szCs w:val="24"/>
        </w:rPr>
        <w:t xml:space="preserve"> </w:t>
      </w:r>
      <w:r w:rsidR="007D2296" w:rsidRPr="00052FA5">
        <w:rPr>
          <w:rFonts w:ascii="Arial" w:hAnsi="Arial" w:cs="Arial"/>
          <w:sz w:val="24"/>
          <w:szCs w:val="24"/>
        </w:rPr>
        <w:t xml:space="preserve">The defence of loss of control, </w:t>
      </w:r>
      <w:r w:rsidR="00E1223C" w:rsidRPr="00052FA5">
        <w:rPr>
          <w:rFonts w:ascii="Arial" w:hAnsi="Arial" w:cs="Arial"/>
          <w:sz w:val="24"/>
          <w:szCs w:val="24"/>
        </w:rPr>
        <w:t>w</w:t>
      </w:r>
      <w:r w:rsidR="007D2296" w:rsidRPr="00052FA5">
        <w:rPr>
          <w:rFonts w:ascii="Arial" w:hAnsi="Arial" w:cs="Arial"/>
          <w:sz w:val="24"/>
          <w:szCs w:val="24"/>
        </w:rPr>
        <w:t>as introduced by the CJA 2009</w:t>
      </w:r>
      <w:r w:rsidR="00E1223C" w:rsidRPr="00052FA5">
        <w:rPr>
          <w:rFonts w:ascii="Arial" w:hAnsi="Arial" w:cs="Arial"/>
          <w:sz w:val="24"/>
          <w:szCs w:val="24"/>
        </w:rPr>
        <w:t>, requires the defendant to prove</w:t>
      </w:r>
      <w:r w:rsidR="007D2296" w:rsidRPr="00052FA5">
        <w:rPr>
          <w:rFonts w:ascii="Arial" w:hAnsi="Arial" w:cs="Arial"/>
          <w:sz w:val="24"/>
          <w:szCs w:val="24"/>
        </w:rPr>
        <w:t xml:space="preserve"> that they lost self-control due to a qualifying trigger. The trigger could be fear of serious violence or things said or done that constituted circumstances of an</w:t>
      </w:r>
      <w:r w:rsidR="00E1223C" w:rsidRPr="00052FA5">
        <w:rPr>
          <w:rFonts w:ascii="Arial" w:hAnsi="Arial" w:cs="Arial"/>
          <w:sz w:val="24"/>
          <w:szCs w:val="24"/>
        </w:rPr>
        <w:t xml:space="preserve"> extremely b</w:t>
      </w:r>
      <w:r w:rsidR="007D2296" w:rsidRPr="00052FA5">
        <w:rPr>
          <w:rFonts w:ascii="Arial" w:hAnsi="Arial" w:cs="Arial"/>
          <w:sz w:val="24"/>
          <w:szCs w:val="24"/>
        </w:rPr>
        <w:t>rave character and caused the defendant to have a justifiable sense of being seriously wronged</w:t>
      </w:r>
      <w:sdt>
        <w:sdtPr>
          <w:rPr>
            <w:rFonts w:ascii="Arial" w:hAnsi="Arial" w:cs="Arial"/>
            <w:sz w:val="24"/>
            <w:szCs w:val="24"/>
          </w:rPr>
          <w:id w:val="1261948159"/>
          <w:citation/>
        </w:sdtPr>
        <w:sdtContent>
          <w:r w:rsidR="00D161BF" w:rsidRPr="00052FA5">
            <w:rPr>
              <w:rFonts w:ascii="Arial" w:hAnsi="Arial" w:cs="Arial"/>
              <w:sz w:val="24"/>
              <w:szCs w:val="24"/>
            </w:rPr>
            <w:fldChar w:fldCharType="begin"/>
          </w:r>
          <w:r w:rsidR="00D161BF" w:rsidRPr="00052FA5">
            <w:rPr>
              <w:rFonts w:ascii="Arial" w:hAnsi="Arial" w:cs="Arial"/>
              <w:sz w:val="24"/>
              <w:szCs w:val="24"/>
              <w:lang w:val="en-US"/>
            </w:rPr>
            <w:instrText xml:space="preserve"> CITATION leg24 \l 1033 </w:instrText>
          </w:r>
          <w:r w:rsidR="00D161BF" w:rsidRPr="00052FA5">
            <w:rPr>
              <w:rFonts w:ascii="Arial" w:hAnsi="Arial" w:cs="Arial"/>
              <w:sz w:val="24"/>
              <w:szCs w:val="24"/>
            </w:rPr>
            <w:fldChar w:fldCharType="separate"/>
          </w:r>
          <w:r w:rsidR="00D161BF" w:rsidRPr="00052FA5">
            <w:rPr>
              <w:rFonts w:ascii="Arial" w:hAnsi="Arial" w:cs="Arial"/>
              <w:noProof/>
              <w:sz w:val="24"/>
              <w:szCs w:val="24"/>
              <w:lang w:val="en-US"/>
            </w:rPr>
            <w:t xml:space="preserve"> (legislation.gov.uk, 2024)</w:t>
          </w:r>
          <w:r w:rsidR="00D161BF" w:rsidRPr="00052FA5">
            <w:rPr>
              <w:rFonts w:ascii="Arial" w:hAnsi="Arial" w:cs="Arial"/>
              <w:sz w:val="24"/>
              <w:szCs w:val="24"/>
            </w:rPr>
            <w:fldChar w:fldCharType="end"/>
          </w:r>
        </w:sdtContent>
      </w:sdt>
      <w:r w:rsidR="007D2296" w:rsidRPr="00052FA5">
        <w:rPr>
          <w:rFonts w:ascii="Arial" w:hAnsi="Arial" w:cs="Arial"/>
          <w:sz w:val="24"/>
          <w:szCs w:val="24"/>
        </w:rPr>
        <w:t>.</w:t>
      </w:r>
      <w:r w:rsidR="00D161BF" w:rsidRPr="00052FA5">
        <w:rPr>
          <w:rFonts w:ascii="Arial" w:hAnsi="Arial" w:cs="Arial"/>
          <w:sz w:val="24"/>
          <w:szCs w:val="24"/>
        </w:rPr>
        <w:t xml:space="preserve"> </w:t>
      </w:r>
      <w:r w:rsidRPr="00052FA5">
        <w:rPr>
          <w:rFonts w:ascii="Arial" w:hAnsi="Arial" w:cs="Arial"/>
          <w:sz w:val="24"/>
          <w:szCs w:val="24"/>
        </w:rPr>
        <w:t>The new defence provides a more objective standard for determining whether a loss of control occurred, focusing on specific qualifying triggers rather than subjective notions of reasonableness. This can lead to more consistent applicati</w:t>
      </w:r>
      <w:r w:rsidR="00D161BF" w:rsidRPr="00052FA5">
        <w:rPr>
          <w:rFonts w:ascii="Arial" w:hAnsi="Arial" w:cs="Arial"/>
          <w:sz w:val="24"/>
          <w:szCs w:val="24"/>
        </w:rPr>
        <w:t xml:space="preserve">on across cases. </w:t>
      </w:r>
      <w:r w:rsidRPr="00052FA5">
        <w:rPr>
          <w:rFonts w:ascii="Arial" w:hAnsi="Arial" w:cs="Arial"/>
          <w:sz w:val="24"/>
          <w:szCs w:val="24"/>
        </w:rPr>
        <w:t>By abolishing the old provocation defence, which sometimes allowed perpetrators to justify violence based on trivial provocations or stereotypes, the new defence may provide better protection for victims, particularly those who have suffered sustained abuse or coercion</w:t>
      </w:r>
      <w:sdt>
        <w:sdtPr>
          <w:rPr>
            <w:rFonts w:ascii="Arial" w:hAnsi="Arial" w:cs="Arial"/>
            <w:sz w:val="24"/>
            <w:szCs w:val="24"/>
          </w:rPr>
          <w:id w:val="517051397"/>
          <w:citation/>
        </w:sdtPr>
        <w:sdtContent>
          <w:r w:rsidR="00D161BF" w:rsidRPr="00052FA5">
            <w:rPr>
              <w:rFonts w:ascii="Arial" w:hAnsi="Arial" w:cs="Arial"/>
              <w:sz w:val="24"/>
              <w:szCs w:val="24"/>
            </w:rPr>
            <w:fldChar w:fldCharType="begin"/>
          </w:r>
          <w:r w:rsidR="00D161BF" w:rsidRPr="00052FA5">
            <w:rPr>
              <w:rFonts w:ascii="Arial" w:hAnsi="Arial" w:cs="Arial"/>
              <w:sz w:val="24"/>
              <w:szCs w:val="24"/>
              <w:lang w:val="en-US"/>
            </w:rPr>
            <w:instrText xml:space="preserve"> CITATION leg241 \l 1033 </w:instrText>
          </w:r>
          <w:r w:rsidR="00D161BF" w:rsidRPr="00052FA5">
            <w:rPr>
              <w:rFonts w:ascii="Arial" w:hAnsi="Arial" w:cs="Arial"/>
              <w:sz w:val="24"/>
              <w:szCs w:val="24"/>
            </w:rPr>
            <w:fldChar w:fldCharType="separate"/>
          </w:r>
          <w:r w:rsidR="00D161BF" w:rsidRPr="00052FA5">
            <w:rPr>
              <w:rFonts w:ascii="Arial" w:hAnsi="Arial" w:cs="Arial"/>
              <w:noProof/>
              <w:sz w:val="24"/>
              <w:szCs w:val="24"/>
              <w:lang w:val="en-US"/>
            </w:rPr>
            <w:t xml:space="preserve"> (legislation .gov.uk, 2024)</w:t>
          </w:r>
          <w:r w:rsidR="00D161BF" w:rsidRPr="00052FA5">
            <w:rPr>
              <w:rFonts w:ascii="Arial" w:hAnsi="Arial" w:cs="Arial"/>
              <w:sz w:val="24"/>
              <w:szCs w:val="24"/>
            </w:rPr>
            <w:fldChar w:fldCharType="end"/>
          </w:r>
        </w:sdtContent>
      </w:sdt>
      <w:r w:rsidR="00D161BF" w:rsidRPr="00052FA5">
        <w:rPr>
          <w:rFonts w:ascii="Arial" w:hAnsi="Arial" w:cs="Arial"/>
          <w:sz w:val="24"/>
          <w:szCs w:val="24"/>
        </w:rPr>
        <w:t xml:space="preserve">. </w:t>
      </w:r>
      <w:r w:rsidRPr="00052FA5">
        <w:rPr>
          <w:rFonts w:ascii="Arial" w:hAnsi="Arial" w:cs="Arial"/>
          <w:sz w:val="24"/>
          <w:szCs w:val="24"/>
        </w:rPr>
        <w:t xml:space="preserve">The reform aimed to address criticisms of the old provocation defence, which was perceived as gender-biased. The new defence seeks to move away from stereotypical notions of "reasonable" </w:t>
      </w:r>
      <w:r w:rsidR="0095575E" w:rsidRPr="00052FA5">
        <w:rPr>
          <w:rFonts w:ascii="Arial" w:hAnsi="Arial" w:cs="Arial"/>
          <w:sz w:val="24"/>
          <w:szCs w:val="24"/>
        </w:rPr>
        <w:t>behaviour</w:t>
      </w:r>
      <w:r w:rsidRPr="00052FA5">
        <w:rPr>
          <w:rFonts w:ascii="Arial" w:hAnsi="Arial" w:cs="Arial"/>
          <w:sz w:val="24"/>
          <w:szCs w:val="24"/>
        </w:rPr>
        <w:t>, potentially reducing g</w:t>
      </w:r>
      <w:r w:rsidR="00F536A1" w:rsidRPr="00052FA5">
        <w:rPr>
          <w:rFonts w:ascii="Arial" w:hAnsi="Arial" w:cs="Arial"/>
          <w:sz w:val="24"/>
          <w:szCs w:val="24"/>
        </w:rPr>
        <w:t>ender bias in the legal system</w:t>
      </w:r>
      <w:sdt>
        <w:sdtPr>
          <w:rPr>
            <w:rFonts w:ascii="Arial" w:hAnsi="Arial" w:cs="Arial"/>
            <w:sz w:val="24"/>
            <w:szCs w:val="24"/>
          </w:rPr>
          <w:id w:val="-926341884"/>
          <w:citation/>
        </w:sdtPr>
        <w:sdtContent>
          <w:r w:rsidR="00F536A1" w:rsidRPr="00052FA5">
            <w:rPr>
              <w:rFonts w:ascii="Arial" w:hAnsi="Arial" w:cs="Arial"/>
              <w:sz w:val="24"/>
              <w:szCs w:val="24"/>
            </w:rPr>
            <w:fldChar w:fldCharType="begin"/>
          </w:r>
          <w:r w:rsidR="00F536A1" w:rsidRPr="00052FA5">
            <w:rPr>
              <w:rFonts w:ascii="Arial" w:hAnsi="Arial" w:cs="Arial"/>
              <w:sz w:val="24"/>
              <w:szCs w:val="24"/>
              <w:lang w:val="en-US"/>
            </w:rPr>
            <w:instrText xml:space="preserve"> CITATION Cro241 \l 1033 </w:instrText>
          </w:r>
          <w:r w:rsidR="00F536A1" w:rsidRPr="00052FA5">
            <w:rPr>
              <w:rFonts w:ascii="Arial" w:hAnsi="Arial" w:cs="Arial"/>
              <w:sz w:val="24"/>
              <w:szCs w:val="24"/>
            </w:rPr>
            <w:fldChar w:fldCharType="separate"/>
          </w:r>
          <w:r w:rsidR="00F536A1" w:rsidRPr="00052FA5">
            <w:rPr>
              <w:rFonts w:ascii="Arial" w:hAnsi="Arial" w:cs="Arial"/>
              <w:noProof/>
              <w:sz w:val="24"/>
              <w:szCs w:val="24"/>
              <w:lang w:val="en-US"/>
            </w:rPr>
            <w:t xml:space="preserve"> (Crown prosecution service, 2024)</w:t>
          </w:r>
          <w:r w:rsidR="00F536A1" w:rsidRPr="00052FA5">
            <w:rPr>
              <w:rFonts w:ascii="Arial" w:hAnsi="Arial" w:cs="Arial"/>
              <w:sz w:val="24"/>
              <w:szCs w:val="24"/>
            </w:rPr>
            <w:fldChar w:fldCharType="end"/>
          </w:r>
        </w:sdtContent>
      </w:sdt>
      <w:r w:rsidR="00D161BF" w:rsidRPr="00052FA5">
        <w:rPr>
          <w:rFonts w:ascii="Arial" w:hAnsi="Arial" w:cs="Arial"/>
          <w:sz w:val="24"/>
          <w:szCs w:val="24"/>
        </w:rPr>
        <w:t xml:space="preserve">. </w:t>
      </w:r>
      <w:r w:rsidRPr="00052FA5">
        <w:rPr>
          <w:rFonts w:ascii="Arial" w:hAnsi="Arial" w:cs="Arial"/>
          <w:sz w:val="24"/>
          <w:szCs w:val="24"/>
        </w:rPr>
        <w:t xml:space="preserve">Critics argue that </w:t>
      </w:r>
      <w:r w:rsidRPr="00052FA5">
        <w:rPr>
          <w:rFonts w:ascii="Arial" w:hAnsi="Arial" w:cs="Arial"/>
          <w:sz w:val="24"/>
          <w:szCs w:val="24"/>
        </w:rPr>
        <w:lastRenderedPageBreak/>
        <w:t>the new defence may still be susceptible to manipulation by defendants, who could potentially exaggerate or fabricate qualifying triggers to justify their actions. This could undermine the effectiveness and fairness of the defence</w:t>
      </w:r>
      <w:sdt>
        <w:sdtPr>
          <w:rPr>
            <w:rFonts w:ascii="Arial" w:hAnsi="Arial" w:cs="Arial"/>
            <w:sz w:val="24"/>
            <w:szCs w:val="24"/>
          </w:rPr>
          <w:id w:val="354543444"/>
          <w:citation/>
        </w:sdtPr>
        <w:sdtContent>
          <w:r w:rsidR="00F536A1" w:rsidRPr="00052FA5">
            <w:rPr>
              <w:rFonts w:ascii="Arial" w:hAnsi="Arial" w:cs="Arial"/>
              <w:sz w:val="24"/>
              <w:szCs w:val="24"/>
            </w:rPr>
            <w:fldChar w:fldCharType="begin"/>
          </w:r>
          <w:r w:rsidR="00F536A1" w:rsidRPr="00052FA5">
            <w:rPr>
              <w:rFonts w:ascii="Arial" w:hAnsi="Arial" w:cs="Arial"/>
              <w:sz w:val="24"/>
              <w:szCs w:val="24"/>
              <w:lang w:val="en-US"/>
            </w:rPr>
            <w:instrText xml:space="preserve"> CITATION Jud24 \l 1033 </w:instrText>
          </w:r>
          <w:r w:rsidR="00F536A1" w:rsidRPr="00052FA5">
            <w:rPr>
              <w:rFonts w:ascii="Arial" w:hAnsi="Arial" w:cs="Arial"/>
              <w:sz w:val="24"/>
              <w:szCs w:val="24"/>
            </w:rPr>
            <w:fldChar w:fldCharType="separate"/>
          </w:r>
          <w:r w:rsidR="00F536A1" w:rsidRPr="00052FA5">
            <w:rPr>
              <w:rFonts w:ascii="Arial" w:hAnsi="Arial" w:cs="Arial"/>
              <w:noProof/>
              <w:sz w:val="24"/>
              <w:szCs w:val="24"/>
              <w:lang w:val="en-US"/>
            </w:rPr>
            <w:t xml:space="preserve"> (Judiciary.uk, 2024)</w:t>
          </w:r>
          <w:r w:rsidR="00F536A1" w:rsidRPr="00052FA5">
            <w:rPr>
              <w:rFonts w:ascii="Arial" w:hAnsi="Arial" w:cs="Arial"/>
              <w:sz w:val="24"/>
              <w:szCs w:val="24"/>
            </w:rPr>
            <w:fldChar w:fldCharType="end"/>
          </w:r>
        </w:sdtContent>
      </w:sdt>
      <w:r w:rsidR="00D161BF" w:rsidRPr="00052FA5">
        <w:rPr>
          <w:rFonts w:ascii="Arial" w:hAnsi="Arial" w:cs="Arial"/>
          <w:sz w:val="24"/>
          <w:szCs w:val="24"/>
        </w:rPr>
        <w:t>.</w:t>
      </w:r>
      <w:r w:rsidRPr="00052FA5">
        <w:rPr>
          <w:rFonts w:ascii="Arial" w:hAnsi="Arial" w:cs="Arial"/>
          <w:sz w:val="24"/>
          <w:szCs w:val="24"/>
        </w:rPr>
        <w:t xml:space="preserve"> The new defence may not adequately consider the complexities of human emotions and reactions in highly charged situations. Determining whether a loss of control occurred and whether it was attributable to a qualifying trigger may overlook the </w:t>
      </w:r>
      <w:r w:rsidR="00F536A1" w:rsidRPr="00052FA5">
        <w:rPr>
          <w:rFonts w:ascii="Arial" w:hAnsi="Arial" w:cs="Arial"/>
          <w:sz w:val="24"/>
          <w:szCs w:val="24"/>
        </w:rPr>
        <w:t xml:space="preserve">character </w:t>
      </w:r>
      <w:r w:rsidRPr="00052FA5">
        <w:rPr>
          <w:rFonts w:ascii="Arial" w:hAnsi="Arial" w:cs="Arial"/>
          <w:sz w:val="24"/>
          <w:szCs w:val="24"/>
        </w:rPr>
        <w:t>and sub</w:t>
      </w:r>
      <w:r w:rsidR="00F536A1" w:rsidRPr="00052FA5">
        <w:rPr>
          <w:rFonts w:ascii="Arial" w:hAnsi="Arial" w:cs="Arial"/>
          <w:sz w:val="24"/>
          <w:szCs w:val="24"/>
        </w:rPr>
        <w:t>jective nature of human actions</w:t>
      </w:r>
      <w:sdt>
        <w:sdtPr>
          <w:rPr>
            <w:rFonts w:ascii="Arial" w:hAnsi="Arial" w:cs="Arial"/>
            <w:sz w:val="24"/>
            <w:szCs w:val="24"/>
          </w:rPr>
          <w:id w:val="-606351475"/>
          <w:citation/>
        </w:sdtPr>
        <w:sdtContent>
          <w:r w:rsidR="00D161BF" w:rsidRPr="00052FA5">
            <w:rPr>
              <w:rFonts w:ascii="Arial" w:hAnsi="Arial" w:cs="Arial"/>
              <w:sz w:val="24"/>
              <w:szCs w:val="24"/>
            </w:rPr>
            <w:fldChar w:fldCharType="begin"/>
          </w:r>
          <w:r w:rsidR="00D161BF" w:rsidRPr="00052FA5">
            <w:rPr>
              <w:rFonts w:ascii="Arial" w:hAnsi="Arial" w:cs="Arial"/>
              <w:sz w:val="24"/>
              <w:szCs w:val="24"/>
              <w:lang w:val="en-US"/>
            </w:rPr>
            <w:instrText xml:space="preserve"> CITATION Liv24 \l 1033 </w:instrText>
          </w:r>
          <w:r w:rsidR="00D161BF" w:rsidRPr="00052FA5">
            <w:rPr>
              <w:rFonts w:ascii="Arial" w:hAnsi="Arial" w:cs="Arial"/>
              <w:sz w:val="24"/>
              <w:szCs w:val="24"/>
            </w:rPr>
            <w:fldChar w:fldCharType="separate"/>
          </w:r>
          <w:r w:rsidR="00D161BF" w:rsidRPr="00052FA5">
            <w:rPr>
              <w:rFonts w:ascii="Arial" w:hAnsi="Arial" w:cs="Arial"/>
              <w:noProof/>
              <w:sz w:val="24"/>
              <w:szCs w:val="24"/>
              <w:lang w:val="en-US"/>
            </w:rPr>
            <w:t xml:space="preserve"> (Liverpool John Moores university, 2024)</w:t>
          </w:r>
          <w:r w:rsidR="00D161BF" w:rsidRPr="00052FA5">
            <w:rPr>
              <w:rFonts w:ascii="Arial" w:hAnsi="Arial" w:cs="Arial"/>
              <w:sz w:val="24"/>
              <w:szCs w:val="24"/>
            </w:rPr>
            <w:fldChar w:fldCharType="end"/>
          </w:r>
        </w:sdtContent>
      </w:sdt>
      <w:r w:rsidR="0095575E" w:rsidRPr="00052FA5">
        <w:rPr>
          <w:rFonts w:ascii="Arial" w:hAnsi="Arial" w:cs="Arial"/>
          <w:sz w:val="24"/>
          <w:szCs w:val="24"/>
        </w:rPr>
        <w:t xml:space="preserve">. </w:t>
      </w:r>
      <w:r w:rsidRPr="00052FA5">
        <w:rPr>
          <w:rFonts w:ascii="Arial" w:hAnsi="Arial" w:cs="Arial"/>
          <w:sz w:val="24"/>
          <w:szCs w:val="24"/>
        </w:rPr>
        <w:t>Some critics suggest that the new defence introduces uncertainty and ambiguity into the legal framework, as the criteria for establishing a loss of control may be open to interpretation. This could lead to inconsistent application and potential injustice in some cases</w:t>
      </w:r>
      <w:sdt>
        <w:sdtPr>
          <w:rPr>
            <w:rFonts w:ascii="Arial" w:hAnsi="Arial" w:cs="Arial"/>
            <w:sz w:val="24"/>
            <w:szCs w:val="24"/>
          </w:rPr>
          <w:id w:val="1900557735"/>
          <w:citation/>
        </w:sdtPr>
        <w:sdtContent>
          <w:r w:rsidR="0095575E" w:rsidRPr="00052FA5">
            <w:rPr>
              <w:rFonts w:ascii="Arial" w:hAnsi="Arial" w:cs="Arial"/>
              <w:sz w:val="24"/>
              <w:szCs w:val="24"/>
            </w:rPr>
            <w:fldChar w:fldCharType="begin"/>
          </w:r>
          <w:r w:rsidR="0095575E" w:rsidRPr="00052FA5">
            <w:rPr>
              <w:rFonts w:ascii="Arial" w:hAnsi="Arial" w:cs="Arial"/>
              <w:sz w:val="24"/>
              <w:szCs w:val="24"/>
              <w:lang w:val="en-US"/>
            </w:rPr>
            <w:instrText xml:space="preserve"> CITATION oxf12 \l 1033 </w:instrText>
          </w:r>
          <w:r w:rsidR="0095575E" w:rsidRPr="00052FA5">
            <w:rPr>
              <w:rFonts w:ascii="Arial" w:hAnsi="Arial" w:cs="Arial"/>
              <w:sz w:val="24"/>
              <w:szCs w:val="24"/>
            </w:rPr>
            <w:fldChar w:fldCharType="separate"/>
          </w:r>
          <w:r w:rsidR="0095575E" w:rsidRPr="00052FA5">
            <w:rPr>
              <w:rFonts w:ascii="Arial" w:hAnsi="Arial" w:cs="Arial"/>
              <w:noProof/>
              <w:sz w:val="24"/>
              <w:szCs w:val="24"/>
              <w:lang w:val="en-US"/>
            </w:rPr>
            <w:t xml:space="preserve"> (oxford academic, 2012)</w:t>
          </w:r>
          <w:r w:rsidR="0095575E" w:rsidRPr="00052FA5">
            <w:rPr>
              <w:rFonts w:ascii="Arial" w:hAnsi="Arial" w:cs="Arial"/>
              <w:sz w:val="24"/>
              <w:szCs w:val="24"/>
            </w:rPr>
            <w:fldChar w:fldCharType="end"/>
          </w:r>
        </w:sdtContent>
      </w:sdt>
      <w:r w:rsidRPr="00052FA5">
        <w:rPr>
          <w:rFonts w:ascii="Arial" w:hAnsi="Arial" w:cs="Arial"/>
          <w:sz w:val="24"/>
          <w:szCs w:val="24"/>
        </w:rPr>
        <w:t>.</w:t>
      </w:r>
      <w:r w:rsidR="0095575E" w:rsidRPr="00052FA5">
        <w:rPr>
          <w:rFonts w:ascii="Arial" w:hAnsi="Arial" w:cs="Arial"/>
          <w:sz w:val="24"/>
          <w:szCs w:val="24"/>
        </w:rPr>
        <w:t xml:space="preserve"> </w:t>
      </w:r>
      <w:r w:rsidRPr="00052FA5">
        <w:rPr>
          <w:rFonts w:ascii="Arial" w:hAnsi="Arial" w:cs="Arial"/>
          <w:sz w:val="24"/>
          <w:szCs w:val="24"/>
        </w:rPr>
        <w:t>Overall, while the introduction of the loss of control defence brought about several advantages in terms of objectivity, victim protection, and reduced gender bias, it also raised concerns regarding susceptibility to manipulation, overlooking human complexities, and introducing Balancing these advantages and disadvantages remains a challenge for legal practitioners and policymakers tasked with implementing and refining the new defence.</w:t>
      </w:r>
      <w:r w:rsidR="00F536A1" w:rsidRPr="00052FA5">
        <w:rPr>
          <w:rFonts w:ascii="Arial" w:hAnsi="Arial" w:cs="Arial"/>
          <w:sz w:val="24"/>
          <w:szCs w:val="24"/>
        </w:rPr>
        <w:t xml:space="preserve"> </w:t>
      </w:r>
      <w:r w:rsidR="007D2296" w:rsidRPr="00052FA5">
        <w:rPr>
          <w:rFonts w:ascii="Arial" w:hAnsi="Arial" w:cs="Arial"/>
          <w:sz w:val="24"/>
          <w:szCs w:val="24"/>
        </w:rPr>
        <w:t>The literature suggests further reforms in this area, including clarifying the qualifying triggers for loss of control, providing better guidance for juries, and considering the impact of the defence on vulnerable groups such as victims of domestic violence. Additionally, there are calls for a broader examination of the principles underlying criminal liability and the balance between the rights of defendants and victims</w:t>
      </w:r>
      <w:sdt>
        <w:sdtPr>
          <w:rPr>
            <w:rFonts w:ascii="Arial" w:hAnsi="Arial" w:cs="Arial"/>
            <w:sz w:val="24"/>
            <w:szCs w:val="24"/>
          </w:rPr>
          <w:id w:val="-589619015"/>
          <w:citation/>
        </w:sdtPr>
        <w:sdtContent>
          <w:r w:rsidR="0095575E" w:rsidRPr="00052FA5">
            <w:rPr>
              <w:rFonts w:ascii="Arial" w:hAnsi="Arial" w:cs="Arial"/>
              <w:sz w:val="24"/>
              <w:szCs w:val="24"/>
            </w:rPr>
            <w:fldChar w:fldCharType="begin"/>
          </w:r>
          <w:r w:rsidR="0095575E" w:rsidRPr="00052FA5">
            <w:rPr>
              <w:rFonts w:ascii="Arial" w:hAnsi="Arial" w:cs="Arial"/>
              <w:sz w:val="24"/>
              <w:szCs w:val="24"/>
              <w:lang w:val="en-US"/>
            </w:rPr>
            <w:instrText xml:space="preserve"> CITATION Cro241 \l 1033 </w:instrText>
          </w:r>
          <w:r w:rsidR="0095575E" w:rsidRPr="00052FA5">
            <w:rPr>
              <w:rFonts w:ascii="Arial" w:hAnsi="Arial" w:cs="Arial"/>
              <w:sz w:val="24"/>
              <w:szCs w:val="24"/>
            </w:rPr>
            <w:fldChar w:fldCharType="separate"/>
          </w:r>
          <w:r w:rsidR="0095575E" w:rsidRPr="00052FA5">
            <w:rPr>
              <w:rFonts w:ascii="Arial" w:hAnsi="Arial" w:cs="Arial"/>
              <w:noProof/>
              <w:sz w:val="24"/>
              <w:szCs w:val="24"/>
              <w:lang w:val="en-US"/>
            </w:rPr>
            <w:t xml:space="preserve"> (Crown prosecution service, 2024)</w:t>
          </w:r>
          <w:r w:rsidR="0095575E" w:rsidRPr="00052FA5">
            <w:rPr>
              <w:rFonts w:ascii="Arial" w:hAnsi="Arial" w:cs="Arial"/>
              <w:sz w:val="24"/>
              <w:szCs w:val="24"/>
            </w:rPr>
            <w:fldChar w:fldCharType="end"/>
          </w:r>
        </w:sdtContent>
      </w:sdt>
      <w:r w:rsidR="007D2296" w:rsidRPr="00052FA5">
        <w:rPr>
          <w:rFonts w:ascii="Arial" w:hAnsi="Arial" w:cs="Arial"/>
          <w:sz w:val="24"/>
          <w:szCs w:val="24"/>
        </w:rPr>
        <w:t>.</w:t>
      </w:r>
    </w:p>
    <w:p w:rsidR="007D2296" w:rsidRPr="00052FA5" w:rsidRDefault="00052FA5" w:rsidP="007D2296">
      <w:pPr>
        <w:rPr>
          <w:rFonts w:ascii="Arial" w:hAnsi="Arial" w:cs="Arial"/>
          <w:b/>
          <w:sz w:val="24"/>
          <w:szCs w:val="24"/>
        </w:rPr>
      </w:pPr>
      <w:r w:rsidRPr="00052FA5">
        <w:rPr>
          <w:rFonts w:ascii="Arial" w:hAnsi="Arial" w:cs="Arial"/>
          <w:b/>
          <w:sz w:val="24"/>
          <w:szCs w:val="24"/>
        </w:rPr>
        <w:t>Conclusion</w:t>
      </w:r>
    </w:p>
    <w:p w:rsidR="007D2296" w:rsidRPr="00052FA5" w:rsidRDefault="00052FA5" w:rsidP="007D2296">
      <w:pPr>
        <w:rPr>
          <w:rFonts w:ascii="Arial" w:hAnsi="Arial" w:cs="Arial"/>
          <w:sz w:val="24"/>
          <w:szCs w:val="24"/>
        </w:rPr>
      </w:pPr>
      <w:r w:rsidRPr="00052FA5">
        <w:rPr>
          <w:rFonts w:ascii="Arial" w:hAnsi="Arial" w:cs="Arial"/>
          <w:sz w:val="24"/>
          <w:szCs w:val="24"/>
        </w:rPr>
        <w:t>T</w:t>
      </w:r>
      <w:r w:rsidR="007D2296" w:rsidRPr="00052FA5">
        <w:rPr>
          <w:rFonts w:ascii="Arial" w:hAnsi="Arial" w:cs="Arial"/>
          <w:sz w:val="24"/>
          <w:szCs w:val="24"/>
        </w:rPr>
        <w:t>he replacement of the provocation defence with the loss of control defence under the CJA 2009 represents a significant change in the law concerning murder cases. While the new defence has advantages over the old provocation defence,</w:t>
      </w:r>
      <w:r w:rsidRPr="00052FA5">
        <w:rPr>
          <w:rFonts w:ascii="Arial" w:hAnsi="Arial" w:cs="Arial"/>
          <w:sz w:val="24"/>
          <w:szCs w:val="24"/>
        </w:rPr>
        <w:t xml:space="preserve"> loss of control, on the other hand may be difficult to prove.</w:t>
      </w:r>
      <w:r w:rsidR="007D2296" w:rsidRPr="00052FA5">
        <w:rPr>
          <w:rFonts w:ascii="Arial" w:hAnsi="Arial" w:cs="Arial"/>
          <w:sz w:val="24"/>
          <w:szCs w:val="24"/>
        </w:rPr>
        <w:t xml:space="preserve"> </w:t>
      </w:r>
      <w:proofErr w:type="gramStart"/>
      <w:r w:rsidR="007D2296" w:rsidRPr="00052FA5">
        <w:rPr>
          <w:rFonts w:ascii="Arial" w:hAnsi="Arial" w:cs="Arial"/>
          <w:sz w:val="24"/>
          <w:szCs w:val="24"/>
        </w:rPr>
        <w:t>including</w:t>
      </w:r>
      <w:proofErr w:type="gramEnd"/>
      <w:r w:rsidR="007D2296" w:rsidRPr="00052FA5">
        <w:rPr>
          <w:rFonts w:ascii="Arial" w:hAnsi="Arial" w:cs="Arial"/>
          <w:sz w:val="24"/>
          <w:szCs w:val="24"/>
        </w:rPr>
        <w:t xml:space="preserve"> increased objectivity and better protection for victims, it also has limitations and areas for improvement. Further reforms and considerations are necessary to ensure a fair and effective legal framework that balances the interests of defendants</w:t>
      </w:r>
      <w:r w:rsidRPr="00052FA5">
        <w:rPr>
          <w:rFonts w:ascii="Arial" w:hAnsi="Arial" w:cs="Arial"/>
          <w:sz w:val="24"/>
          <w:szCs w:val="24"/>
        </w:rPr>
        <w:t xml:space="preserve"> and victims in cases of dangerous</w:t>
      </w:r>
      <w:r w:rsidR="007D2296" w:rsidRPr="00052FA5">
        <w:rPr>
          <w:rFonts w:ascii="Arial" w:hAnsi="Arial" w:cs="Arial"/>
          <w:sz w:val="24"/>
          <w:szCs w:val="24"/>
        </w:rPr>
        <w:t xml:space="preserve"> crimes like murder.</w:t>
      </w:r>
    </w:p>
    <w:p w:rsidR="007D2296" w:rsidRPr="00052FA5" w:rsidRDefault="007D2296" w:rsidP="007D2296">
      <w:pPr>
        <w:rPr>
          <w:rFonts w:ascii="Arial" w:hAnsi="Arial" w:cs="Arial"/>
          <w:sz w:val="24"/>
          <w:szCs w:val="24"/>
        </w:rPr>
      </w:pPr>
    </w:p>
    <w:p w:rsidR="007D2296" w:rsidRPr="00052FA5" w:rsidRDefault="007D2296" w:rsidP="007D2296">
      <w:pPr>
        <w:rPr>
          <w:rFonts w:ascii="Arial" w:hAnsi="Arial" w:cs="Arial"/>
          <w:sz w:val="24"/>
          <w:szCs w:val="24"/>
        </w:rPr>
      </w:pPr>
    </w:p>
    <w:p w:rsidR="007D2296" w:rsidRPr="00052FA5" w:rsidRDefault="007D2296" w:rsidP="007D2296">
      <w:pPr>
        <w:rPr>
          <w:rFonts w:ascii="Arial" w:hAnsi="Arial" w:cs="Arial"/>
          <w:sz w:val="24"/>
          <w:szCs w:val="24"/>
        </w:rPr>
      </w:pPr>
    </w:p>
    <w:p w:rsidR="007D2296" w:rsidRPr="00052FA5" w:rsidRDefault="007D2296"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sz w:val="24"/>
          <w:szCs w:val="24"/>
        </w:rPr>
      </w:pPr>
      <w:bookmarkStart w:id="0" w:name="_GoBack"/>
      <w:bookmarkEnd w:id="0"/>
    </w:p>
    <w:p w:rsidR="00052FA5" w:rsidRPr="00052FA5" w:rsidRDefault="00052FA5" w:rsidP="007D2296">
      <w:pPr>
        <w:rPr>
          <w:rFonts w:ascii="Arial" w:hAnsi="Arial" w:cs="Arial"/>
          <w:sz w:val="24"/>
          <w:szCs w:val="24"/>
        </w:rPr>
      </w:pPr>
    </w:p>
    <w:p w:rsidR="00052FA5" w:rsidRPr="00052FA5" w:rsidRDefault="00052FA5" w:rsidP="007D2296">
      <w:pPr>
        <w:rPr>
          <w:rFonts w:ascii="Arial" w:hAnsi="Arial" w:cs="Arial"/>
          <w:b/>
          <w:sz w:val="24"/>
          <w:szCs w:val="24"/>
        </w:rPr>
      </w:pPr>
      <w:r w:rsidRPr="00052FA5">
        <w:rPr>
          <w:rFonts w:ascii="Arial" w:hAnsi="Arial" w:cs="Arial"/>
          <w:b/>
          <w:sz w:val="24"/>
          <w:szCs w:val="24"/>
        </w:rPr>
        <w:t>References</w:t>
      </w:r>
    </w:p>
    <w:p w:rsidR="00584EF1" w:rsidRPr="00052FA5" w:rsidRDefault="00584EF1">
      <w:pPr>
        <w:rPr>
          <w:rFonts w:ascii="Arial" w:hAnsi="Arial" w:cs="Arial"/>
          <w:sz w:val="24"/>
          <w:szCs w:val="24"/>
        </w:rPr>
      </w:pPr>
      <w:r w:rsidRPr="00052FA5">
        <w:rPr>
          <w:rFonts w:ascii="Arial" w:hAnsi="Arial" w:cs="Arial"/>
          <w:sz w:val="24"/>
          <w:szCs w:val="24"/>
        </w:rPr>
        <w:t xml:space="preserve">Website author: Britannica. Web page: Murder. </w:t>
      </w:r>
      <w:proofErr w:type="gramStart"/>
      <w:r w:rsidRPr="00052FA5">
        <w:rPr>
          <w:rFonts w:ascii="Arial" w:hAnsi="Arial" w:cs="Arial"/>
          <w:sz w:val="24"/>
          <w:szCs w:val="24"/>
        </w:rPr>
        <w:t>Updated: 2022.</w:t>
      </w:r>
      <w:proofErr w:type="gramEnd"/>
      <w:r w:rsidRPr="00052FA5">
        <w:rPr>
          <w:rFonts w:ascii="Arial" w:hAnsi="Arial" w:cs="Arial"/>
          <w:sz w:val="24"/>
          <w:szCs w:val="24"/>
        </w:rPr>
        <w:t xml:space="preserve"> Available online at: </w:t>
      </w:r>
      <w:hyperlink r:id="rId6" w:history="1">
        <w:r w:rsidRPr="00052FA5">
          <w:rPr>
            <w:rStyle w:val="Hyperlink"/>
            <w:rFonts w:ascii="Arial" w:hAnsi="Arial" w:cs="Arial"/>
            <w:i/>
            <w:sz w:val="24"/>
            <w:szCs w:val="24"/>
            <w:u w:val="none"/>
          </w:rPr>
          <w:t>https://www.britannica.com/topic/murder-crime</w:t>
        </w:r>
      </w:hyperlink>
      <w:r w:rsidRPr="00052FA5">
        <w:rPr>
          <w:rFonts w:ascii="Arial" w:hAnsi="Arial" w:cs="Arial"/>
          <w:i/>
          <w:sz w:val="24"/>
          <w:szCs w:val="24"/>
        </w:rPr>
        <w:t>.</w:t>
      </w:r>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F536A1" w:rsidRPr="00052FA5" w:rsidRDefault="00F536A1" w:rsidP="00F536A1">
      <w:pPr>
        <w:rPr>
          <w:rFonts w:ascii="Arial" w:hAnsi="Arial" w:cs="Arial"/>
          <w:sz w:val="24"/>
          <w:szCs w:val="24"/>
        </w:rPr>
      </w:pPr>
      <w:r w:rsidRPr="00052FA5">
        <w:rPr>
          <w:rFonts w:ascii="Arial" w:hAnsi="Arial" w:cs="Arial"/>
          <w:sz w:val="24"/>
          <w:szCs w:val="24"/>
        </w:rPr>
        <w:t xml:space="preserve">Website author: consult.justice.gov.uk. Web page: Manslaughter by reason of </w:t>
      </w:r>
      <w:r w:rsidRPr="00052FA5">
        <w:rPr>
          <w:rFonts w:ascii="Arial" w:hAnsi="Arial" w:cs="Arial"/>
          <w:sz w:val="24"/>
          <w:szCs w:val="24"/>
        </w:rPr>
        <w:t>diminished responsibility</w:t>
      </w:r>
      <w:r w:rsidRPr="00052FA5">
        <w:rPr>
          <w:rFonts w:ascii="Arial" w:hAnsi="Arial" w:cs="Arial"/>
          <w:sz w:val="24"/>
          <w:szCs w:val="24"/>
        </w:rPr>
        <w:t xml:space="preserve">. </w:t>
      </w:r>
      <w:proofErr w:type="gramStart"/>
      <w:r w:rsidRPr="00052FA5">
        <w:rPr>
          <w:rFonts w:ascii="Arial" w:hAnsi="Arial" w:cs="Arial"/>
          <w:sz w:val="24"/>
          <w:szCs w:val="24"/>
        </w:rPr>
        <w:t>Updated: 2024.</w:t>
      </w:r>
      <w:proofErr w:type="gramEnd"/>
      <w:r w:rsidRPr="00052FA5">
        <w:rPr>
          <w:rFonts w:ascii="Arial" w:hAnsi="Arial" w:cs="Arial"/>
          <w:sz w:val="24"/>
          <w:szCs w:val="24"/>
        </w:rPr>
        <w:t xml:space="preserve"> Available online at: </w:t>
      </w:r>
      <w:hyperlink r:id="rId7" w:history="1">
        <w:r w:rsidRPr="00052FA5">
          <w:rPr>
            <w:rStyle w:val="Hyperlink"/>
            <w:rFonts w:ascii="Arial" w:hAnsi="Arial" w:cs="Arial"/>
            <w:i/>
            <w:sz w:val="24"/>
            <w:szCs w:val="24"/>
            <w:u w:val="none"/>
          </w:rPr>
          <w:t>https://consult.justice.gov.uk/sentencing-council/manslaughter-guideline-consultation/user_uploads/manslaughter-by-reason-of-diminished-responsibility.pdf</w:t>
        </w:r>
      </w:hyperlink>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95575E" w:rsidRPr="00052FA5" w:rsidRDefault="0095575E" w:rsidP="00F536A1">
      <w:pPr>
        <w:rPr>
          <w:rFonts w:ascii="Arial" w:hAnsi="Arial" w:cs="Arial"/>
          <w:sz w:val="24"/>
          <w:szCs w:val="24"/>
        </w:rPr>
      </w:pPr>
      <w:r w:rsidRPr="00052FA5">
        <w:rPr>
          <w:rFonts w:ascii="Arial" w:hAnsi="Arial" w:cs="Arial"/>
          <w:sz w:val="24"/>
          <w:szCs w:val="24"/>
        </w:rPr>
        <w:t xml:space="preserve">Website author: House of </w:t>
      </w:r>
      <w:proofErr w:type="gramStart"/>
      <w:r w:rsidRPr="00052FA5">
        <w:rPr>
          <w:rFonts w:ascii="Arial" w:hAnsi="Arial" w:cs="Arial"/>
          <w:sz w:val="24"/>
          <w:szCs w:val="24"/>
        </w:rPr>
        <w:t>commons</w:t>
      </w:r>
      <w:proofErr w:type="gramEnd"/>
      <w:r w:rsidRPr="00052FA5">
        <w:rPr>
          <w:rFonts w:ascii="Arial" w:hAnsi="Arial" w:cs="Arial"/>
          <w:sz w:val="24"/>
          <w:szCs w:val="24"/>
        </w:rPr>
        <w:t xml:space="preserve">. Web page: Reforming the Law on </w:t>
      </w:r>
      <w:r w:rsidRPr="00052FA5">
        <w:rPr>
          <w:rFonts w:ascii="Arial" w:hAnsi="Arial" w:cs="Arial"/>
          <w:sz w:val="24"/>
          <w:szCs w:val="24"/>
        </w:rPr>
        <w:t>Homicide</w:t>
      </w:r>
      <w:r w:rsidRPr="00052FA5">
        <w:rPr>
          <w:rFonts w:ascii="Arial" w:hAnsi="Arial" w:cs="Arial"/>
          <w:sz w:val="24"/>
          <w:szCs w:val="24"/>
        </w:rPr>
        <w:t xml:space="preserve">. </w:t>
      </w:r>
      <w:proofErr w:type="gramStart"/>
      <w:r w:rsidRPr="00052FA5">
        <w:rPr>
          <w:rFonts w:ascii="Arial" w:hAnsi="Arial" w:cs="Arial"/>
          <w:sz w:val="24"/>
          <w:szCs w:val="24"/>
        </w:rPr>
        <w:t>Updated: 2016.</w:t>
      </w:r>
      <w:proofErr w:type="gramEnd"/>
      <w:r w:rsidRPr="00052FA5">
        <w:rPr>
          <w:rFonts w:ascii="Arial" w:hAnsi="Arial" w:cs="Arial"/>
          <w:sz w:val="24"/>
          <w:szCs w:val="24"/>
        </w:rPr>
        <w:t xml:space="preserve">   </w:t>
      </w:r>
      <w:hyperlink r:id="rId8" w:history="1">
        <w:r w:rsidRPr="00052FA5">
          <w:rPr>
            <w:rStyle w:val="Hyperlink"/>
            <w:rFonts w:ascii="Arial" w:hAnsi="Arial" w:cs="Arial"/>
            <w:i/>
            <w:sz w:val="24"/>
            <w:szCs w:val="24"/>
            <w:u w:val="none"/>
          </w:rPr>
          <w:t>https://researchbriefings.files.parliament.uk/documents/CDP-2016-0094/CDP-2016-0094.pdf</w:t>
        </w:r>
      </w:hyperlink>
      <w:r w:rsidRPr="00052FA5">
        <w:rPr>
          <w:rFonts w:ascii="Arial" w:hAnsi="Arial" w:cs="Arial"/>
          <w:i/>
          <w:sz w:val="24"/>
          <w:szCs w:val="24"/>
        </w:rPr>
        <w:t>.</w:t>
      </w:r>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7741AF" w:rsidRPr="00052FA5" w:rsidRDefault="006D236F">
      <w:pPr>
        <w:rPr>
          <w:rFonts w:ascii="Arial" w:hAnsi="Arial" w:cs="Arial"/>
          <w:sz w:val="24"/>
          <w:szCs w:val="24"/>
        </w:rPr>
      </w:pPr>
      <w:r w:rsidRPr="00052FA5">
        <w:rPr>
          <w:rFonts w:ascii="Arial" w:hAnsi="Arial" w:cs="Arial"/>
          <w:sz w:val="24"/>
          <w:szCs w:val="24"/>
        </w:rPr>
        <w:t>Website author: legislation.gov.uk. Web page:  Coroners and Justice Act 2009. Updated</w:t>
      </w:r>
      <w:proofErr w:type="gramStart"/>
      <w:r w:rsidRPr="00052FA5">
        <w:rPr>
          <w:rFonts w:ascii="Arial" w:hAnsi="Arial" w:cs="Arial"/>
          <w:sz w:val="24"/>
          <w:szCs w:val="24"/>
        </w:rPr>
        <w:t>:2024</w:t>
      </w:r>
      <w:proofErr w:type="gramEnd"/>
      <w:r w:rsidRPr="00052FA5">
        <w:rPr>
          <w:rFonts w:ascii="Arial" w:hAnsi="Arial" w:cs="Arial"/>
          <w:sz w:val="24"/>
          <w:szCs w:val="24"/>
        </w:rPr>
        <w:t xml:space="preserve">. </w:t>
      </w:r>
      <w:proofErr w:type="gramStart"/>
      <w:r w:rsidRPr="00052FA5">
        <w:rPr>
          <w:rFonts w:ascii="Arial" w:hAnsi="Arial" w:cs="Arial"/>
          <w:i/>
          <w:sz w:val="24"/>
          <w:szCs w:val="24"/>
        </w:rPr>
        <w:t>Available online at:https://www.legislation.gov.uk/ukpga/2009/25/notes/division/5/1/2/1/3.</w:t>
      </w:r>
      <w:proofErr w:type="gramEnd"/>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D161BF" w:rsidRPr="00052FA5" w:rsidRDefault="00D161BF">
      <w:pPr>
        <w:rPr>
          <w:rFonts w:ascii="Arial" w:hAnsi="Arial" w:cs="Arial"/>
          <w:sz w:val="24"/>
          <w:szCs w:val="24"/>
        </w:rPr>
      </w:pPr>
      <w:r w:rsidRPr="00052FA5">
        <w:rPr>
          <w:rFonts w:ascii="Arial" w:hAnsi="Arial" w:cs="Arial"/>
          <w:sz w:val="24"/>
          <w:szCs w:val="24"/>
        </w:rPr>
        <w:t xml:space="preserve">Website author: Liverpool John </w:t>
      </w:r>
      <w:proofErr w:type="spellStart"/>
      <w:r w:rsidRPr="00052FA5">
        <w:rPr>
          <w:rFonts w:ascii="Arial" w:hAnsi="Arial" w:cs="Arial"/>
          <w:sz w:val="24"/>
          <w:szCs w:val="24"/>
        </w:rPr>
        <w:t>Moores</w:t>
      </w:r>
      <w:proofErr w:type="spellEnd"/>
      <w:r w:rsidRPr="00052FA5">
        <w:rPr>
          <w:rFonts w:ascii="Arial" w:hAnsi="Arial" w:cs="Arial"/>
          <w:sz w:val="24"/>
          <w:szCs w:val="24"/>
        </w:rPr>
        <w:t xml:space="preserve"> University. Web page: Battered women: Loss of control and lost opportunities. </w:t>
      </w:r>
      <w:proofErr w:type="gramStart"/>
      <w:r w:rsidRPr="00052FA5">
        <w:rPr>
          <w:rFonts w:ascii="Arial" w:hAnsi="Arial" w:cs="Arial"/>
          <w:sz w:val="24"/>
          <w:szCs w:val="24"/>
        </w:rPr>
        <w:t>Updated: 2016.</w:t>
      </w:r>
      <w:proofErr w:type="gramEnd"/>
      <w:r w:rsidRPr="00052FA5">
        <w:rPr>
          <w:rFonts w:ascii="Arial" w:hAnsi="Arial" w:cs="Arial"/>
          <w:sz w:val="24"/>
          <w:szCs w:val="24"/>
        </w:rPr>
        <w:t xml:space="preserve"> Available online at: </w:t>
      </w:r>
      <w:hyperlink r:id="rId9" w:history="1">
        <w:r w:rsidRPr="00052FA5">
          <w:rPr>
            <w:rStyle w:val="Hyperlink"/>
            <w:rFonts w:ascii="Arial" w:hAnsi="Arial" w:cs="Arial"/>
            <w:i/>
            <w:sz w:val="24"/>
            <w:szCs w:val="24"/>
            <w:u w:val="none"/>
          </w:rPr>
          <w:t>https://researchonline.ljmu.ac.uk/id/eprint/4191/3/Battered%20Women%20Loss%20of%20Control%20and%20Lost%20Opportunities.pdf</w:t>
        </w:r>
      </w:hyperlink>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E1223C" w:rsidRPr="00052FA5" w:rsidRDefault="00E1223C">
      <w:pPr>
        <w:rPr>
          <w:rFonts w:ascii="Arial" w:hAnsi="Arial" w:cs="Arial"/>
          <w:sz w:val="24"/>
          <w:szCs w:val="24"/>
        </w:rPr>
      </w:pPr>
      <w:r w:rsidRPr="00052FA5">
        <w:rPr>
          <w:rFonts w:ascii="Arial" w:hAnsi="Arial" w:cs="Arial"/>
          <w:sz w:val="24"/>
          <w:szCs w:val="24"/>
        </w:rPr>
        <w:t xml:space="preserve">Web site author: oxford academic. Web page: 8 Years of Provocation, Followed by a Loss of Control. </w:t>
      </w:r>
      <w:proofErr w:type="gramStart"/>
      <w:r w:rsidRPr="00052FA5">
        <w:rPr>
          <w:rFonts w:ascii="Arial" w:hAnsi="Arial" w:cs="Arial"/>
          <w:sz w:val="24"/>
          <w:szCs w:val="24"/>
        </w:rPr>
        <w:t>Updated: August 2012.</w:t>
      </w:r>
      <w:proofErr w:type="gramEnd"/>
      <w:r w:rsidRPr="00052FA5">
        <w:rPr>
          <w:rFonts w:ascii="Arial" w:hAnsi="Arial" w:cs="Arial"/>
          <w:sz w:val="24"/>
          <w:szCs w:val="24"/>
        </w:rPr>
        <w:t xml:space="preserve"> Available online at: </w:t>
      </w:r>
      <w:hyperlink r:id="rId10" w:history="1">
        <w:r w:rsidRPr="00052FA5">
          <w:rPr>
            <w:rStyle w:val="Hyperlink"/>
            <w:rFonts w:ascii="Arial" w:hAnsi="Arial" w:cs="Arial"/>
            <w:i/>
            <w:sz w:val="24"/>
            <w:szCs w:val="24"/>
            <w:u w:val="none"/>
          </w:rPr>
          <w:t>https://academic.oup.com/book/9443/chapter-abstract/156322875?redirectedFrom=fulltext</w:t>
        </w:r>
      </w:hyperlink>
      <w:r w:rsidRPr="00052FA5">
        <w:rPr>
          <w:rFonts w:ascii="Arial" w:hAnsi="Arial" w:cs="Arial"/>
          <w:sz w:val="24"/>
          <w:szCs w:val="24"/>
        </w:rPr>
        <w:t xml:space="preserve">. </w:t>
      </w:r>
      <w:proofErr w:type="gramStart"/>
      <w:r w:rsidRPr="00052FA5">
        <w:rPr>
          <w:rFonts w:ascii="Arial" w:hAnsi="Arial" w:cs="Arial"/>
          <w:sz w:val="24"/>
          <w:szCs w:val="24"/>
        </w:rPr>
        <w:t>Accessed: 18/03/2024.</w:t>
      </w:r>
      <w:proofErr w:type="gramEnd"/>
    </w:p>
    <w:p w:rsidR="00E1223C" w:rsidRPr="00052FA5" w:rsidRDefault="00E1223C">
      <w:pPr>
        <w:rPr>
          <w:rFonts w:ascii="Arial" w:hAnsi="Arial" w:cs="Arial"/>
          <w:sz w:val="24"/>
          <w:szCs w:val="24"/>
        </w:rPr>
      </w:pPr>
    </w:p>
    <w:sectPr w:rsidR="00E1223C" w:rsidRPr="00052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296"/>
    <w:rsid w:val="00052FA5"/>
    <w:rsid w:val="00113748"/>
    <w:rsid w:val="00210828"/>
    <w:rsid w:val="00332F71"/>
    <w:rsid w:val="00530053"/>
    <w:rsid w:val="00584EF1"/>
    <w:rsid w:val="006C7909"/>
    <w:rsid w:val="006D236F"/>
    <w:rsid w:val="00737E75"/>
    <w:rsid w:val="00750AB0"/>
    <w:rsid w:val="007741AF"/>
    <w:rsid w:val="007D2296"/>
    <w:rsid w:val="0083151A"/>
    <w:rsid w:val="0086642C"/>
    <w:rsid w:val="0095575E"/>
    <w:rsid w:val="00BD61F1"/>
    <w:rsid w:val="00CB7E49"/>
    <w:rsid w:val="00CE5FCA"/>
    <w:rsid w:val="00D161BF"/>
    <w:rsid w:val="00D2127E"/>
    <w:rsid w:val="00E1223C"/>
    <w:rsid w:val="00F53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2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6F"/>
    <w:rPr>
      <w:rFonts w:ascii="Tahoma" w:hAnsi="Tahoma" w:cs="Tahoma"/>
      <w:sz w:val="16"/>
      <w:szCs w:val="16"/>
    </w:rPr>
  </w:style>
  <w:style w:type="character" w:styleId="Hyperlink">
    <w:name w:val="Hyperlink"/>
    <w:basedOn w:val="DefaultParagraphFont"/>
    <w:uiPriority w:val="99"/>
    <w:unhideWhenUsed/>
    <w:rsid w:val="00584E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2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6F"/>
    <w:rPr>
      <w:rFonts w:ascii="Tahoma" w:hAnsi="Tahoma" w:cs="Tahoma"/>
      <w:sz w:val="16"/>
      <w:szCs w:val="16"/>
    </w:rPr>
  </w:style>
  <w:style w:type="character" w:styleId="Hyperlink">
    <w:name w:val="Hyperlink"/>
    <w:basedOn w:val="DefaultParagraphFont"/>
    <w:uiPriority w:val="99"/>
    <w:unhideWhenUsed/>
    <w:rsid w:val="00584E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DP-2016-0094/CDP-2016-0094.pdf" TargetMode="External"/><Relationship Id="rId3" Type="http://schemas.microsoft.com/office/2007/relationships/stylesWithEffects" Target="stylesWithEffects.xml"/><Relationship Id="rId7" Type="http://schemas.openxmlformats.org/officeDocument/2006/relationships/hyperlink" Target="https://consult.justice.gov.uk/sentencing-council/manslaughter-guideline-consultation/user_uploads/manslaughter-by-reason-of-diminished-responsibilit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ritannica.com/topic/murder-crim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cademic.oup.com/book/9443/chapter-abstract/156322875?redirectedFrom=fulltext" TargetMode="External"/><Relationship Id="rId4" Type="http://schemas.openxmlformats.org/officeDocument/2006/relationships/settings" Target="settings.xml"/><Relationship Id="rId9" Type="http://schemas.openxmlformats.org/officeDocument/2006/relationships/hyperlink" Target="https://researchonline.ljmu.ac.uk/id/eprint/4191/3/Battered%20Women%20Loss%20of%20Control%20and%20Lost%20Opport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leg24</b:Tag>
    <b:SourceType>InternetSite</b:SourceType>
    <b:Guid>{E1F5B2AA-ED7E-4544-B908-B455D4F3808A}</b:Guid>
    <b:Author>
      <b:Author>
        <b:Corporate>legislation.gov.uk</b:Corporate>
      </b:Author>
    </b:Author>
    <b:Title>Coroners and Justice Act 2009</b:Title>
    <b:InternetSiteTitle>legislation.gov.uk</b:InternetSiteTitle>
    <b:Year>2024</b:Year>
    <b:YearAccessed>2024</b:YearAccessed>
    <b:MonthAccessed>03</b:MonthAccessed>
    <b:DayAccessed>18</b:DayAccessed>
    <b:URL>https://www.legislation.gov.uk/ukpga/2009/25/notes/division/5/1/2/1/3</b:URL>
    <b:RefOrder>1</b:RefOrder>
  </b:Source>
  <b:Source>
    <b:Tag>Bri22</b:Tag>
    <b:SourceType>InternetSite</b:SourceType>
    <b:Guid>{477C60CC-C035-4473-AE4C-E9091C226BEE}</b:Guid>
    <b:Author>
      <b:Author>
        <b:Corporate>Britannica</b:Corporate>
      </b:Author>
    </b:Author>
    <b:Title>Murder</b:Title>
    <b:InternetSiteTitle>Britannica</b:InternetSiteTitle>
    <b:Year>2022</b:Year>
    <b:YearAccessed>2024</b:YearAccessed>
    <b:MonthAccessed>03</b:MonthAccessed>
    <b:DayAccessed>18</b:DayAccessed>
    <b:URL>https://www.britannica.com/topic/murder-crime</b:URL>
    <b:RefOrder>2</b:RefOrder>
  </b:Source>
  <b:Source>
    <b:Tag>tat24</b:Tag>
    <b:SourceType>InternetSite</b:SourceType>
    <b:Guid>{E7DD3456-DE5C-4591-A531-DABB9FCD734F}</b:Guid>
    <b:Author>
      <b:Author>
        <b:Corporate>tate</b:Corporate>
      </b:Author>
    </b:Author>
    <b:Title>AUTOMATISM</b:Title>
    <b:InternetSiteTitle>tate</b:InternetSiteTitle>
    <b:Year>2024</b:Year>
    <b:YearAccessed>2024</b:YearAccessed>
    <b:MonthAccessed>03</b:MonthAccessed>
    <b:DayAccessed>18</b:DayAccessed>
    <b:URL>https://www.tate.org.uk/art/art-terms/a/automatism#:~:text=Automatism%20as%20a%20term%20is,unconscious%20mind%20of%20his%20patients.</b:URL>
    <b:RefOrder>5</b:RefOrder>
  </b:Source>
  <b:Source>
    <b:Tag>oxf12</b:Tag>
    <b:SourceType>InternetSite</b:SourceType>
    <b:Guid>{D98EBE47-C694-4579-9CEC-72F4B8FA5140}</b:Guid>
    <b:Author>
      <b:Author>
        <b:Corporate>oxford academic</b:Corporate>
      </b:Author>
    </b:Author>
    <b:Title>8 Years of Provocation, Followed by a Loss of Control</b:Title>
    <b:InternetSiteTitle>oxford academic</b:InternetSiteTitle>
    <b:Year>2012</b:Year>
    <b:YearAccessed>2024</b:YearAccessed>
    <b:MonthAccessed>03</b:MonthAccessed>
    <b:DayAccessed>18</b:DayAccessed>
    <b:URL>https://academic.oup.com/book/9443/chapter-abstract/156322875?redirectedFrom=fulltext</b:URL>
    <b:RefOrder>4</b:RefOrder>
  </b:Source>
  <b:Source>
    <b:Tag>con24</b:Tag>
    <b:SourceType>InternetSite</b:SourceType>
    <b:Guid>{1AC0CA20-C603-4BFE-B124-CAFE062590B2}</b:Guid>
    <b:Author>
      <b:Author>
        <b:Corporate>consult.justice.gov.uk</b:Corporate>
      </b:Author>
    </b:Author>
    <b:Title>Manslaughter by reason of</b:Title>
    <b:InternetSiteTitle>consult.justice.gov.uk</b:InternetSiteTitle>
    <b:Year>2024</b:Year>
    <b:YearAccessed>2024</b:YearAccessed>
    <b:MonthAccessed>03</b:MonthAccessed>
    <b:DayAccessed>18</b:DayAccessed>
    <b:URL>https://consult.justice.gov.uk/sentencing-council/manslaughter-guideline-consultation/user_uploads/manslaughter-by-reason-of-diminished-responsibility.pdf</b:URL>
    <b:RefOrder>3</b:RefOrder>
  </b:Source>
  <b:Source>
    <b:Tag>Cro241</b:Tag>
    <b:SourceType>InternetSite</b:SourceType>
    <b:Guid>{B9BFE324-632B-4ECA-B9DD-57FBAADB2021}</b:Guid>
    <b:Author>
      <b:Author>
        <b:Corporate>Crown prosecution service</b:Corporate>
      </b:Author>
    </b:Author>
    <b:Title>Self-Defence and the Prevention of Crime</b:Title>
    <b:InternetSiteTitle>Crown prosecution service</b:InternetSiteTitle>
    <b:Year>2024</b:Year>
    <b:YearAccessed>2024</b:YearAccessed>
    <b:MonthAccessed>03</b:MonthAccessed>
    <b:DayAccessed>18</b:DayAccessed>
    <b:URL>https://www.cps.gov.uk/legal-guidance/self-defence-and-prevention-crime</b:URL>
    <b:RefOrder>8</b:RefOrder>
  </b:Source>
  <b:Source>
    <b:Tag>Jud24</b:Tag>
    <b:SourceType>InternetSite</b:SourceType>
    <b:Guid>{AE939E2A-CE8D-4F67-B8DF-5A9FC3C338BD}</b:Guid>
    <b:Author>
      <b:Author>
        <b:Corporate>Judiciary.uk</b:Corporate>
      </b:Author>
    </b:Author>
    <b:Title>Neutral Citation Number: [2012] EWCA Crim 2 </b:Title>
    <b:InternetSiteTitle>Judiciary.uk</b:InternetSiteTitle>
    <b:Year>2024</b:Year>
    <b:YearAccessed>2024</b:YearAccessed>
    <b:MonthAccessed>03</b:MonthAccessed>
    <b:DayAccessed>18</b:DayAccessed>
    <b:URL>https://www.judiciary.uk/wp-content/uploads/JCO/Documents/Judgments/r-v-clinton-parker-and-evans-judgment.pdf</b:URL>
    <b:RefOrder>9</b:RefOrder>
  </b:Source>
  <b:Source>
    <b:Tag>Liv24</b:Tag>
    <b:SourceType>InternetSite</b:SourceType>
    <b:Guid>{2F12C74E-E3FE-4D0B-8E90-8CCCDE18AD66}</b:Guid>
    <b:Author>
      <b:Author>
        <b:Corporate>Liverpool John Moores university</b:Corporate>
      </b:Author>
    </b:Author>
    <b:Title> Battered women: Loss of control and lost opportunities</b:Title>
    <b:InternetSiteTitle>Liverpool John Moores university</b:InternetSiteTitle>
    <b:Year>2024</b:Year>
    <b:YearAccessed>2024</b:YearAccessed>
    <b:MonthAccessed>03</b:MonthAccessed>
    <b:DayAccessed>18</b:DayAccessed>
    <b:URL>https://researchonline.ljmu.ac.uk/id/eprint/4191/3/Battered%20Women%20Loss%20of%20Control%20and%20Lost%20Opportunities.pdf</b:URL>
    <b:RefOrder>10</b:RefOrder>
  </b:Source>
  <b:Source>
    <b:Tag>leg241</b:Tag>
    <b:SourceType>InternetSite</b:SourceType>
    <b:Guid>{FEB1F95A-0611-486D-AAB2-AAD9D7355BE8}</b:Guid>
    <b:Author>
      <b:Author>
        <b:Corporate>legislation .gov.uk</b:Corporate>
      </b:Author>
    </b:Author>
    <b:Title>Coroners and Justice Act 2009 Explanatory Notes</b:Title>
    <b:InternetSiteTitle>legislation .gov.uk</b:InternetSiteTitle>
    <b:Year>2024</b:Year>
    <b:YearAccessed>2024</b:YearAccessed>
    <b:MonthAccessed>03</b:MonthAccessed>
    <b:DayAccessed>18</b:DayAccessed>
    <b:URL>https://www.legislation.gov.uk/ukpga/2009/25/notes/division/5/1/2/1/4?view=plain#:~:text=Subsection%20(5)%20allows%20the%20loss,sense%20of%20being%20seriously%20wronged.</b:URL>
    <b:RefOrder>7</b:RefOrder>
  </b:Source>
  <b:Source>
    <b:Tag>hou16</b:Tag>
    <b:SourceType>InternetSite</b:SourceType>
    <b:Guid>{2E9B5274-8879-4EB8-BAA4-F729BE1A118D}</b:Guid>
    <b:Author>
      <b:Author>
        <b:Corporate>house of commons</b:Corporate>
      </b:Author>
    </b:Author>
    <b:Title>Reforming the Law on</b:Title>
    <b:InternetSiteTitle>house of commons</b:InternetSiteTitle>
    <b:Year>2016</b:Year>
    <b:YearAccessed>2024</b:YearAccessed>
    <b:MonthAccessed>03</b:MonthAccessed>
    <b:DayAccessed>18</b:DayAccessed>
    <b:URL>https://researchbriefings.files.parliament.uk/documents/CDP-2016-0094/CDP-2016-0094.pdf</b:URL>
    <b:RefOrder>6</b:RefOrder>
  </b:Source>
</b:Sources>
</file>

<file path=customXml/itemProps1.xml><?xml version="1.0" encoding="utf-8"?>
<ds:datastoreItem xmlns:ds="http://schemas.openxmlformats.org/officeDocument/2006/customXml" ds:itemID="{47C7A5DE-0DC2-4258-BBAC-2D5B6FFC0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1705</Words>
  <Characters>9721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2024-03-18T21:15:00Z</dcterms:created>
  <dcterms:modified xsi:type="dcterms:W3CDTF">2024-03-18T21:15:00Z</dcterms:modified>
</cp:coreProperties>
</file>