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0" w:after="160" w:line="259" w:lineRule="auto"/>
        <w:ind w:left="0" w:right="0"/>
        <w:jc w:val="left"/>
        <w:rPr>
          <w:rtl w:val="0"/>
        </w:rPr>
      </w:pPr>
    </w:p>
    <w:p>
      <w:pPr>
        <w:keepNext w:val="0"/>
        <w:keepLines w:val="0"/>
        <w:widowControl/>
        <w:suppressLineNumbers w:val="0"/>
        <w:jc w:val="left"/>
      </w:pPr>
      <w:r>
        <w:rPr>
          <w:rFonts w:ascii="Calibri" w:hAnsi="Calibri" w:eastAsia="SimSun" w:cs="Calibri"/>
          <w:color w:val="000000"/>
          <w:kern w:val="0"/>
          <w:sz w:val="24"/>
          <w:szCs w:val="24"/>
          <w:lang w:val="en-US" w:eastAsia="zh-CN" w:bidi="ar"/>
        </w:rPr>
        <w:t xml:space="preserve">Daniel Arieleno </w:t>
      </w:r>
    </w:p>
    <w:p>
      <w:pPr>
        <w:keepNext w:val="0"/>
        <w:keepLines w:val="0"/>
        <w:widowControl/>
        <w:suppressLineNumbers w:val="0"/>
        <w:jc w:val="left"/>
      </w:pPr>
      <w:r>
        <w:rPr>
          <w:rFonts w:hint="default" w:ascii="Calibri" w:hAnsi="Calibri" w:eastAsia="SimSun" w:cs="Calibri"/>
          <w:color w:val="000000"/>
          <w:kern w:val="0"/>
          <w:sz w:val="24"/>
          <w:szCs w:val="24"/>
          <w:lang w:val="en-US" w:eastAsia="zh-CN" w:bidi="ar"/>
        </w:rPr>
        <w:t xml:space="preserve">1910016 </w:t>
      </w:r>
    </w:p>
    <w:p>
      <w:pPr>
        <w:keepNext w:val="0"/>
        <w:keepLines w:val="0"/>
        <w:widowControl/>
        <w:suppressLineNumbers w:val="0"/>
        <w:jc w:val="left"/>
      </w:pPr>
      <w:r>
        <w:rPr>
          <w:rFonts w:hint="default" w:ascii="Calibri" w:hAnsi="Calibri" w:eastAsia="SimSun" w:cs="Calibri"/>
          <w:color w:val="000000"/>
          <w:kern w:val="0"/>
          <w:sz w:val="24"/>
          <w:szCs w:val="24"/>
          <w:lang w:val="en-US" w:eastAsia="zh-CN" w:bidi="ar"/>
        </w:rPr>
        <w:t xml:space="preserve">MA Music Business </w:t>
      </w:r>
    </w:p>
    <w:p>
      <w:pPr>
        <w:keepNext w:val="0"/>
        <w:keepLines w:val="0"/>
        <w:widowControl/>
        <w:suppressLineNumbers w:val="0"/>
        <w:jc w:val="left"/>
        <w:rPr>
          <w:rFonts w:hint="default" w:ascii="Calibri" w:hAnsi="Calibri" w:eastAsia="SimSun" w:cs="Calibri"/>
          <w:color w:val="000000"/>
          <w:kern w:val="0"/>
          <w:sz w:val="24"/>
          <w:szCs w:val="24"/>
          <w:lang w:eastAsia="zh-CN" w:bidi="ar"/>
        </w:rPr>
      </w:pPr>
      <w:r>
        <w:rPr>
          <w:rFonts w:hint="default" w:ascii="Calibri" w:hAnsi="Calibri" w:eastAsia="SimSun" w:cs="Calibri"/>
          <w:color w:val="000000"/>
          <w:kern w:val="0"/>
          <w:sz w:val="24"/>
          <w:szCs w:val="24"/>
          <w:lang w:eastAsia="zh-CN" w:bidi="ar"/>
        </w:rPr>
        <w:t>Live</w:t>
      </w:r>
      <w:r>
        <w:rPr>
          <w:rFonts w:hint="default" w:eastAsia="SimSun" w:cs="Calibri"/>
          <w:color w:val="000000"/>
          <w:kern w:val="0"/>
          <w:sz w:val="24"/>
          <w:szCs w:val="24"/>
          <w:lang w:eastAsia="zh-CN" w:bidi="ar"/>
        </w:rPr>
        <w:t xml:space="preserve"> Music &amp;</w:t>
      </w:r>
      <w:r>
        <w:rPr>
          <w:rFonts w:hint="default" w:ascii="Calibri" w:hAnsi="Calibri" w:eastAsia="SimSun" w:cs="Calibri"/>
          <w:color w:val="000000"/>
          <w:kern w:val="0"/>
          <w:sz w:val="24"/>
          <w:szCs w:val="24"/>
          <w:lang w:eastAsia="zh-CN" w:bidi="ar"/>
        </w:rPr>
        <w:t xml:space="preserve"> Event Management</w:t>
      </w:r>
      <w:r>
        <w:rPr>
          <w:rFonts w:hint="default" w:eastAsia="SimSun" w:cs="Calibri"/>
          <w:color w:val="000000"/>
          <w:kern w:val="0"/>
          <w:sz w:val="24"/>
          <w:szCs w:val="24"/>
          <w:lang w:eastAsia="zh-CN" w:bidi="ar"/>
        </w:rPr>
        <w:t xml:space="preserve"> Portfolio 1  </w:t>
      </w:r>
    </w:p>
    <w:p>
      <w:pPr>
        <w:keepNext w:val="0"/>
        <w:keepLines w:val="0"/>
        <w:widowControl/>
        <w:suppressLineNumbers w:val="0"/>
        <w:jc w:val="left"/>
      </w:pPr>
      <w:r>
        <w:rPr>
          <w:rFonts w:hint="default" w:ascii="Calibri" w:hAnsi="Calibri" w:eastAsia="SimSun" w:cs="Calibri"/>
          <w:color w:val="000000"/>
          <w:kern w:val="0"/>
          <w:sz w:val="24"/>
          <w:szCs w:val="24"/>
          <w:lang w:val="en-US" w:eastAsia="zh-CN" w:bidi="ar"/>
        </w:rPr>
        <w:t xml:space="preserve">Discipline Tutor: </w:t>
      </w:r>
      <w:r>
        <w:rPr>
          <w:rFonts w:hint="default" w:ascii="Calibri" w:hAnsi="Calibri" w:eastAsia="SimSun" w:cs="Calibri"/>
          <w:color w:val="000000"/>
          <w:kern w:val="0"/>
          <w:sz w:val="24"/>
          <w:szCs w:val="24"/>
          <w:lang w:eastAsia="zh-CN" w:bidi="ar"/>
        </w:rPr>
        <w:t xml:space="preserve">Natalie Smith </w:t>
      </w:r>
    </w:p>
    <w:p>
      <w:pPr>
        <w:spacing w:before="0" w:after="160" w:line="259" w:lineRule="auto"/>
        <w:ind w:left="0" w:right="0"/>
        <w:jc w:val="left"/>
        <w:rPr>
          <w:rtl w:val="0"/>
        </w:rPr>
      </w:pPr>
    </w:p>
    <w:p>
      <w:pPr>
        <w:spacing w:before="0" w:after="160" w:line="259" w:lineRule="auto"/>
        <w:ind w:left="0" w:right="0"/>
        <w:jc w:val="left"/>
        <w:rPr>
          <w:rtl w:val="0"/>
        </w:rPr>
      </w:pPr>
    </w:p>
    <w:p>
      <w:pPr>
        <w:pStyle w:val="2"/>
        <w:bidi w:val="0"/>
        <w:ind w:left="720" w:leftChars="0" w:firstLine="720" w:firstLineChars="0"/>
      </w:pPr>
      <w:bookmarkStart w:id="0" w:name="_GoBack"/>
      <w:bookmarkEnd w:id="0"/>
      <w:r>
        <w:t>Southwark Festival at Burgess Park</w:t>
      </w:r>
    </w:p>
    <w:p>
      <w:pPr>
        <w:spacing w:before="0" w:after="160" w:line="259" w:lineRule="auto"/>
        <w:ind w:left="0" w:right="0"/>
        <w:jc w:val="left"/>
      </w:pPr>
    </w:p>
    <w:p>
      <w:pPr>
        <w:spacing w:before="0" w:after="160" w:line="259" w:lineRule="auto"/>
        <w:ind w:left="0" w:right="0"/>
        <w:jc w:val="left"/>
      </w:pPr>
      <w:r>
        <w:drawing>
          <wp:inline distT="0" distB="0" distL="114300" distR="114300">
            <wp:extent cx="5940425" cy="3683000"/>
            <wp:effectExtent l="0" t="0" r="0" b="0"/>
            <wp:docPr id="1" name="image1.png" descr="Screen Shot 2020-03-29 at 03.17.10"/>
            <wp:cNvGraphicFramePr/>
            <a:graphic xmlns:a="http://schemas.openxmlformats.org/drawingml/2006/main">
              <a:graphicData uri="http://schemas.openxmlformats.org/drawingml/2006/picture">
                <pic:pic xmlns:pic="http://schemas.openxmlformats.org/drawingml/2006/picture">
                  <pic:nvPicPr>
                    <pic:cNvPr id="1" name="image1.png" descr="Screen Shot 2020-03-29 at 03.17.10"/>
                    <pic:cNvPicPr preferRelativeResize="0"/>
                  </pic:nvPicPr>
                  <pic:blipFill>
                    <a:blip r:embed="rId4"/>
                    <a:srcRect/>
                    <a:stretch>
                      <a:fillRect/>
                    </a:stretch>
                  </pic:blipFill>
                  <pic:spPr>
                    <a:xfrm>
                      <a:off x="0" y="0"/>
                      <a:ext cx="5940425" cy="3683000"/>
                    </a:xfrm>
                    <a:prstGeom prst="rect">
                      <a:avLst/>
                    </a:prstGeom>
                  </pic:spPr>
                </pic:pic>
              </a:graphicData>
            </a:graphic>
          </wp:inline>
        </w:drawing>
      </w: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rPr>
          <w:b/>
        </w:rPr>
      </w:pPr>
    </w:p>
    <w:p>
      <w:pPr>
        <w:spacing w:before="0" w:after="160" w:line="259" w:lineRule="auto"/>
        <w:ind w:left="0" w:right="0"/>
        <w:jc w:val="left"/>
        <w:rPr>
          <w:rFonts w:ascii="Arial" w:hAnsi="Arial" w:eastAsia="Arial" w:cs="Arial"/>
          <w:b/>
          <w:sz w:val="24"/>
          <w:szCs w:val="24"/>
        </w:rPr>
      </w:pPr>
      <w:r>
        <w:rPr>
          <w:rFonts w:ascii="Arial" w:hAnsi="Arial" w:eastAsia="Arial" w:cs="Arial"/>
          <w:b/>
          <w:sz w:val="24"/>
          <w:szCs w:val="24"/>
          <w:rtl w:val="0"/>
        </w:rPr>
        <w:t>The Event</w:t>
      </w:r>
    </w:p>
    <w:p>
      <w:pPr>
        <w:spacing w:before="0" w:after="160" w:line="259" w:lineRule="auto"/>
        <w:ind w:left="0" w:right="0"/>
        <w:jc w:val="left"/>
        <w:rPr>
          <w:rFonts w:ascii="Arial" w:hAnsi="Arial" w:eastAsia="Arial" w:cs="Arial"/>
          <w:sz w:val="24"/>
          <w:szCs w:val="24"/>
        </w:rPr>
      </w:pPr>
      <w:r>
        <w:rPr>
          <w:rFonts w:ascii="Arial" w:hAnsi="Arial" w:eastAsia="Arial" w:cs="Arial"/>
          <w:sz w:val="24"/>
          <w:szCs w:val="24"/>
          <w:rtl w:val="0"/>
        </w:rPr>
        <w:t xml:space="preserve">Southwark Festival is a brand-new festival catered to the residents of the Southwark area taking place July 2021. A festival that brings the Southwark community together to celebrate life, family, friends, and most importantly listen to live music from talented artists, and bands from the Southwark area. The festival will be a two day all-day free festival starting from 10am to 9pm holding a capacity of 3000 people. From 10am to 4pm, the festival will be catered to family activities such as bouncy castles, local food stalls, art exhibitions from Southwark residential artists, sport activities such as football tournaments, basketball, and rounders, including live DJ sets from local DJ’s and performances from signed, and unsigned artists from the local area, and dance groups ranging from the ages of 10-17 years of age on the small stage. From 4pm the festival will be catered to the older crowd of age 18-35, and all participants of the festival from age 17 and below will be asked to leave. </w:t>
      </w:r>
    </w:p>
    <w:p>
      <w:pPr>
        <w:spacing w:before="0" w:after="160" w:line="259" w:lineRule="auto"/>
        <w:ind w:left="0" w:right="0"/>
        <w:jc w:val="left"/>
        <w:rPr>
          <w:rFonts w:ascii="Arial" w:hAnsi="Arial" w:eastAsia="Arial" w:cs="Arial"/>
          <w:sz w:val="24"/>
          <w:szCs w:val="24"/>
        </w:rPr>
      </w:pPr>
    </w:p>
    <w:p>
      <w:pPr>
        <w:spacing w:before="0" w:after="160" w:line="259" w:lineRule="auto"/>
        <w:ind w:left="0" w:right="0"/>
        <w:jc w:val="left"/>
        <w:rPr>
          <w:rFonts w:ascii="Arial" w:hAnsi="Arial" w:eastAsia="Arial" w:cs="Arial"/>
          <w:b/>
          <w:sz w:val="24"/>
          <w:szCs w:val="24"/>
        </w:rPr>
      </w:pPr>
      <w:r>
        <w:rPr>
          <w:rFonts w:ascii="Arial" w:hAnsi="Arial" w:eastAsia="Arial" w:cs="Arial"/>
          <w:b/>
          <w:sz w:val="24"/>
          <w:szCs w:val="24"/>
          <w:rtl w:val="0"/>
        </w:rPr>
        <w:t>Choosing a venue</w:t>
      </w:r>
    </w:p>
    <w:p>
      <w:pPr>
        <w:spacing w:before="0" w:after="160" w:line="259" w:lineRule="auto"/>
        <w:ind w:left="0" w:right="0"/>
        <w:jc w:val="left"/>
        <w:rPr>
          <w:rFonts w:ascii="Arial" w:hAnsi="Arial" w:eastAsia="Arial" w:cs="Arial"/>
          <w:sz w:val="24"/>
          <w:szCs w:val="24"/>
        </w:rPr>
      </w:pPr>
      <w:r>
        <w:rPr>
          <w:rFonts w:ascii="Arial" w:hAnsi="Arial" w:eastAsia="Arial" w:cs="Arial"/>
          <w:sz w:val="24"/>
          <w:szCs w:val="24"/>
          <w:rtl w:val="0"/>
        </w:rPr>
        <w:t xml:space="preserve">It was important that the venue that was chosen had to be in a location where public transport is easily accessible. Luckily the Southwark area is the best place for public transport. The site chosen is Burgess Park. Burgess Park is Southwark's largest park at 56 hectares stretching from Camberwell, and Walworth in the west to Peckham, and the Old Kent Road in the east. Built between the 1950’s, and 1980’s, Burgess Park is a young park that was developed as a result of the Abecrombie Plan for open spaces. Burgess Park area was initially home to factories, populated streets, and the Surry Canal before being bombed horribly during World War II. Burgess park was re-opened in 2012 after an £8m transformation establishing itself as the local communities central park, and recognized for its history, sports facilities, wildlife, lakes, and more. </w:t>
      </w:r>
    </w:p>
    <w:p>
      <w:pPr>
        <w:spacing w:before="0" w:after="160" w:line="259" w:lineRule="auto"/>
        <w:ind w:left="0" w:right="0"/>
        <w:jc w:val="left"/>
        <w:rPr>
          <w:rFonts w:ascii="Arial" w:hAnsi="Arial" w:eastAsia="Arial" w:cs="Arial"/>
          <w:sz w:val="24"/>
          <w:szCs w:val="24"/>
        </w:rPr>
      </w:pPr>
      <w:r>
        <w:rPr>
          <w:rFonts w:ascii="Arial" w:hAnsi="Arial" w:eastAsia="Arial" w:cs="Arial"/>
          <w:sz w:val="24"/>
          <w:szCs w:val="24"/>
          <w:rtl w:val="0"/>
        </w:rPr>
        <w:t xml:space="preserve">There are car parks located at Albany Road which is right by the Burgess Park, a bike park located at Chumleigh Gardens off Albany Road, and local transportation systems such as the Elephant, and Castle tube station, and buses on the Old Kent Road entrance, 53, 63, 78, 168, 172, 363, 453, the Camberwell Road entrance 12, 35, 40, 45, 68, 468, and the Albany Road entrance 42, and bus 343. There are several entrances to the park which will be split for contractors, and artists; Albany Road, and Old Kent Road entrances, and the Chumleigh Street, and Wells Way for public entrances. </w:t>
      </w:r>
    </w:p>
    <w:p>
      <w:pPr>
        <w:spacing w:before="0" w:after="160" w:line="259" w:lineRule="auto"/>
        <w:ind w:left="0" w:right="0"/>
        <w:jc w:val="left"/>
        <w:rPr>
          <w:rFonts w:ascii="Arial" w:hAnsi="Arial" w:eastAsia="Arial" w:cs="Arial"/>
          <w:b/>
          <w:sz w:val="24"/>
          <w:szCs w:val="24"/>
        </w:rPr>
      </w:pPr>
      <w:r>
        <w:rPr>
          <w:rFonts w:ascii="Arial" w:hAnsi="Arial" w:eastAsia="Arial" w:cs="Arial"/>
          <w:b/>
          <w:sz w:val="24"/>
          <w:szCs w:val="24"/>
          <w:rtl w:val="0"/>
        </w:rPr>
        <w:t xml:space="preserve">Event Safety </w:t>
      </w:r>
    </w:p>
    <w:p>
      <w:pPr>
        <w:spacing w:before="0" w:after="160" w:line="259" w:lineRule="auto"/>
        <w:ind w:left="0" w:right="0"/>
        <w:jc w:val="left"/>
        <w:rPr>
          <w:rFonts w:ascii="Arial" w:hAnsi="Arial" w:eastAsia="Arial" w:cs="Arial"/>
          <w:sz w:val="24"/>
          <w:szCs w:val="24"/>
        </w:rPr>
      </w:pPr>
      <w:r>
        <w:rPr>
          <w:rFonts w:ascii="Arial" w:hAnsi="Arial" w:eastAsia="Arial" w:cs="Arial"/>
          <w:sz w:val="24"/>
          <w:szCs w:val="24"/>
          <w:rtl w:val="0"/>
        </w:rPr>
        <w:t>When putting on an event, there are many safety elements to consider and work to, the most important being people’s safety. The safety and security of event visitors, organisers and other members of the public must equally not be compromised at any event. Adequately trained security &amp; stewarding personnel are vital to ensuring the safety of all people in and around an event space ensuring that a sufficient number of trained and briefed staff are in appropriate positions to maintain crowd control, provide public information and to enforce any applied restrictions on entry and behavior within the space, as well as to implement procedures in an accident or emergency. All staff working in an event security role must be qualified to the appropriate level with the Security Industry Authority (SIA). Any staff who may be expected to work with or come into direct contact with children or vulnerable adults should be appropriately DBS checked. Regarding safeguarding: Event organisers have a duty to safeguard and promote the welfare of children and vulnerable adults at their event; Identifying a child (under 18 years) or a vulnerable adult who presents themselves as being harmed or neglected, event organisers must comply with a safeguarding policy and procedure on referring a child/person at risk to social care. In regards to the Southwark council license, e</w:t>
      </w:r>
      <w:r>
        <w:rPr>
          <w:rFonts w:ascii="Arial" w:hAnsi="Arial" w:eastAsia="Arial" w:cs="Arial"/>
          <w:i w:val="0"/>
          <w:smallCaps w:val="0"/>
          <w:strike w:val="0"/>
          <w:color w:val="000000"/>
          <w:sz w:val="24"/>
          <w:szCs w:val="24"/>
          <w:u w:val="none"/>
          <w:shd w:val="clear" w:fill="auto"/>
          <w:vertAlign w:val="baseline"/>
          <w:rtl w:val="0"/>
        </w:rPr>
        <w:t xml:space="preserve">vent organisers must produce and if need be adhere to an emergency control/evacuation plan that will have to have been approved by the council and/or the council’s Safety Advisory Group. </w:t>
      </w:r>
    </w:p>
    <w:p>
      <w:pPr>
        <w:keepNext w:val="0"/>
        <w:keepLines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rFonts w:ascii="Arial" w:hAnsi="Arial" w:eastAsia="Arial" w:cs="Arial"/>
          <w:sz w:val="24"/>
          <w:szCs w:val="24"/>
        </w:rPr>
      </w:pPr>
      <w:r>
        <w:rPr>
          <w:rFonts w:ascii="Arial" w:hAnsi="Arial" w:eastAsia="Arial" w:cs="Arial"/>
          <w:sz w:val="24"/>
          <w:szCs w:val="24"/>
          <w:rtl w:val="0"/>
        </w:rPr>
        <w:t>In regards to a</w:t>
      </w:r>
      <w:r>
        <w:rPr>
          <w:rFonts w:ascii="Arial" w:hAnsi="Arial" w:eastAsia="Arial" w:cs="Arial"/>
          <w:i w:val="0"/>
          <w:smallCaps w:val="0"/>
          <w:strike w:val="0"/>
          <w:color w:val="000000"/>
          <w:sz w:val="24"/>
          <w:szCs w:val="24"/>
          <w:u w:val="none"/>
          <w:shd w:val="clear" w:fill="auto"/>
          <w:vertAlign w:val="baseline"/>
          <w:rtl w:val="0"/>
        </w:rPr>
        <w:t>cts of terrorism and malice</w:t>
      </w:r>
      <w:r>
        <w:rPr>
          <w:rFonts w:ascii="Arial" w:hAnsi="Arial" w:eastAsia="Arial" w:cs="Arial"/>
          <w:sz w:val="24"/>
          <w:szCs w:val="24"/>
          <w:rtl w:val="0"/>
        </w:rPr>
        <w:t xml:space="preserve">, this </w:t>
      </w:r>
      <w:r>
        <w:rPr>
          <w:rFonts w:ascii="Arial" w:hAnsi="Arial" w:eastAsia="Arial" w:cs="Arial"/>
          <w:i w:val="0"/>
          <w:smallCaps w:val="0"/>
          <w:strike w:val="0"/>
          <w:color w:val="000000"/>
          <w:sz w:val="24"/>
          <w:szCs w:val="24"/>
          <w:u w:val="none"/>
          <w:shd w:val="clear" w:fill="auto"/>
          <w:vertAlign w:val="baseline"/>
          <w:rtl w:val="0"/>
        </w:rPr>
        <w:t>must be considered by all event organisers. All event organisers will be expected to consider counter and preventative measures relevant to the event that they are holding and where necessary</w:t>
      </w:r>
      <w:r>
        <w:rPr>
          <w:rFonts w:ascii="Arial" w:hAnsi="Arial" w:eastAsia="Arial" w:cs="Arial"/>
          <w:sz w:val="24"/>
          <w:szCs w:val="24"/>
          <w:rtl w:val="0"/>
        </w:rPr>
        <w:t xml:space="preserve">, and </w:t>
      </w:r>
      <w:r>
        <w:rPr>
          <w:rFonts w:ascii="Arial" w:hAnsi="Arial" w:eastAsia="Arial" w:cs="Arial"/>
          <w:i w:val="0"/>
          <w:smallCaps w:val="0"/>
          <w:strike w:val="0"/>
          <w:color w:val="000000"/>
          <w:sz w:val="24"/>
          <w:szCs w:val="24"/>
          <w:u w:val="none"/>
          <w:shd w:val="clear" w:fill="auto"/>
          <w:vertAlign w:val="baseline"/>
          <w:rtl w:val="0"/>
        </w:rPr>
        <w:t xml:space="preserve">will be required to consult with the borough’s Counter Terrorism Police </w:t>
      </w:r>
      <w:r>
        <w:rPr>
          <w:rFonts w:ascii="Arial" w:hAnsi="Arial" w:eastAsia="Arial" w:cs="Arial"/>
          <w:i w:val="0"/>
          <w:strike w:val="0"/>
          <w:color w:val="000000"/>
          <w:sz w:val="24"/>
          <w:szCs w:val="24"/>
          <w:u w:val="none"/>
          <w:shd w:val="clear" w:fill="auto"/>
          <w:vertAlign w:val="baseline"/>
          <w:rtl w:val="0"/>
        </w:rPr>
        <w:t>advisers</w:t>
      </w:r>
      <w:r>
        <w:rPr>
          <w:rFonts w:ascii="Arial" w:hAnsi="Arial" w:eastAsia="Arial" w:cs="Arial"/>
          <w:i w:val="0"/>
          <w:smallCaps w:val="0"/>
          <w:strike w:val="0"/>
          <w:color w:val="000000"/>
          <w:sz w:val="24"/>
          <w:szCs w:val="24"/>
          <w:u w:val="none"/>
          <w:shd w:val="clear" w:fill="auto"/>
          <w:vertAlign w:val="baseline"/>
          <w:rtl w:val="0"/>
        </w:rPr>
        <w:t xml:space="preserve"> and agree on any necessary mitigation methods and/or site infrastructure.  Concerning </w:t>
      </w:r>
      <w:r>
        <w:rPr>
          <w:rFonts w:ascii="Arial" w:hAnsi="Arial" w:eastAsia="Arial" w:cs="Arial"/>
          <w:sz w:val="24"/>
          <w:szCs w:val="24"/>
          <w:rtl w:val="0"/>
        </w:rPr>
        <w:t>v</w:t>
      </w:r>
      <w:r>
        <w:rPr>
          <w:rFonts w:ascii="Arial" w:hAnsi="Arial" w:eastAsia="Arial" w:cs="Arial"/>
          <w:i w:val="0"/>
          <w:smallCaps w:val="0"/>
          <w:strike w:val="0"/>
          <w:color w:val="000000"/>
          <w:sz w:val="24"/>
          <w:szCs w:val="24"/>
          <w:u w:val="none"/>
          <w:shd w:val="clear" w:fill="auto"/>
          <w:vertAlign w:val="baseline"/>
          <w:rtl w:val="0"/>
        </w:rPr>
        <w:t>ehicle</w:t>
      </w:r>
      <w:r>
        <w:rPr>
          <w:rFonts w:ascii="Arial" w:hAnsi="Arial" w:eastAsia="Arial" w:cs="Arial"/>
          <w:sz w:val="24"/>
          <w:szCs w:val="24"/>
          <w:rtl w:val="0"/>
        </w:rPr>
        <w:t xml:space="preserve"> licensing,</w:t>
      </w:r>
      <w:r>
        <w:rPr>
          <w:rFonts w:ascii="Arial" w:hAnsi="Arial" w:eastAsia="Arial" w:cs="Arial"/>
          <w:i w:val="0"/>
          <w:smallCaps w:val="0"/>
          <w:strike w:val="0"/>
          <w:color w:val="000000"/>
          <w:sz w:val="24"/>
          <w:szCs w:val="24"/>
          <w:u w:val="none"/>
          <w:shd w:val="clear" w:fill="auto"/>
          <w:vertAlign w:val="baseline"/>
          <w:rtl w:val="0"/>
        </w:rPr>
        <w:t xml:space="preserve"> </w:t>
      </w:r>
      <w:r>
        <w:rPr>
          <w:rFonts w:ascii="Arial" w:hAnsi="Arial" w:eastAsia="Arial" w:cs="Arial"/>
          <w:sz w:val="24"/>
          <w:szCs w:val="24"/>
          <w:rtl w:val="0"/>
        </w:rPr>
        <w:t>o</w:t>
      </w:r>
      <w:r>
        <w:rPr>
          <w:rFonts w:ascii="Arial" w:hAnsi="Arial" w:eastAsia="Arial" w:cs="Arial"/>
          <w:i w:val="0"/>
          <w:smallCaps w:val="0"/>
          <w:strike w:val="0"/>
          <w:color w:val="000000"/>
          <w:sz w:val="24"/>
          <w:szCs w:val="24"/>
          <w:u w:val="none"/>
          <w:shd w:val="clear" w:fill="auto"/>
          <w:vertAlign w:val="baseline"/>
          <w:rtl w:val="0"/>
        </w:rPr>
        <w:t>nly pe</w:t>
      </w:r>
      <w:r>
        <w:rPr>
          <w:rFonts w:ascii="Arial" w:hAnsi="Arial" w:eastAsia="Arial" w:cs="Arial"/>
          <w:sz w:val="24"/>
          <w:szCs w:val="24"/>
          <w:rtl w:val="0"/>
        </w:rPr>
        <w:t>ople</w:t>
      </w:r>
      <w:r>
        <w:rPr>
          <w:rFonts w:ascii="Arial" w:hAnsi="Arial" w:eastAsia="Arial" w:cs="Arial"/>
          <w:i w:val="0"/>
          <w:smallCaps w:val="0"/>
          <w:strike w:val="0"/>
          <w:color w:val="000000"/>
          <w:sz w:val="24"/>
          <w:szCs w:val="24"/>
          <w:u w:val="none"/>
          <w:shd w:val="clear" w:fill="auto"/>
          <w:vertAlign w:val="baseline"/>
          <w:rtl w:val="0"/>
        </w:rPr>
        <w:t xml:space="preserve"> who are </w:t>
      </w:r>
      <w:r>
        <w:rPr>
          <w:rFonts w:ascii="Arial" w:hAnsi="Arial" w:eastAsia="Arial" w:cs="Arial"/>
          <w:i w:val="0"/>
          <w:strike w:val="0"/>
          <w:color w:val="000000"/>
          <w:sz w:val="24"/>
          <w:szCs w:val="24"/>
          <w:u w:val="none"/>
          <w:shd w:val="clear" w:fill="auto"/>
          <w:vertAlign w:val="baseline"/>
          <w:rtl w:val="0"/>
        </w:rPr>
        <w:t>authorized</w:t>
      </w:r>
      <w:r>
        <w:rPr>
          <w:rFonts w:ascii="Arial" w:hAnsi="Arial" w:eastAsia="Arial" w:cs="Arial"/>
          <w:i w:val="0"/>
          <w:smallCaps w:val="0"/>
          <w:strike w:val="0"/>
          <w:color w:val="000000"/>
          <w:sz w:val="24"/>
          <w:szCs w:val="24"/>
          <w:u w:val="none"/>
          <w:shd w:val="clear" w:fill="auto"/>
          <w:vertAlign w:val="baseline"/>
          <w:rtl w:val="0"/>
        </w:rPr>
        <w:t xml:space="preserve"> by the council </w:t>
      </w:r>
      <w:r>
        <w:rPr>
          <w:rFonts w:ascii="Arial" w:hAnsi="Arial" w:eastAsia="Arial" w:cs="Arial"/>
          <w:sz w:val="24"/>
          <w:szCs w:val="24"/>
          <w:rtl w:val="0"/>
        </w:rPr>
        <w:t xml:space="preserve">are </w:t>
      </w:r>
      <w:r>
        <w:rPr>
          <w:rFonts w:ascii="Arial" w:hAnsi="Arial" w:eastAsia="Arial" w:cs="Arial"/>
          <w:i w:val="0"/>
          <w:smallCaps w:val="0"/>
          <w:strike w:val="0"/>
          <w:color w:val="000000"/>
          <w:sz w:val="24"/>
          <w:szCs w:val="24"/>
          <w:u w:val="none"/>
          <w:shd w:val="clear" w:fill="auto"/>
          <w:vertAlign w:val="baseline"/>
          <w:rtl w:val="0"/>
        </w:rPr>
        <w:t>allowed</w:t>
      </w:r>
      <w:r>
        <w:rPr>
          <w:rFonts w:ascii="Arial" w:hAnsi="Arial" w:eastAsia="Arial" w:cs="Arial"/>
          <w:sz w:val="24"/>
          <w:szCs w:val="24"/>
          <w:rtl w:val="0"/>
        </w:rPr>
        <w:t xml:space="preserve"> </w:t>
      </w:r>
      <w:r>
        <w:rPr>
          <w:rFonts w:ascii="Arial" w:hAnsi="Arial" w:eastAsia="Arial" w:cs="Arial"/>
          <w:i w:val="0"/>
          <w:smallCaps w:val="0"/>
          <w:strike w:val="0"/>
          <w:color w:val="000000"/>
          <w:sz w:val="24"/>
          <w:szCs w:val="24"/>
          <w:u w:val="none"/>
          <w:shd w:val="clear" w:fill="auto"/>
          <w:vertAlign w:val="baseline"/>
          <w:rtl w:val="0"/>
        </w:rPr>
        <w:t>access to any site</w:t>
      </w:r>
      <w:r>
        <w:rPr>
          <w:rFonts w:ascii="Arial" w:hAnsi="Arial" w:eastAsia="Arial" w:cs="Arial"/>
          <w:sz w:val="24"/>
          <w:szCs w:val="24"/>
          <w:rtl w:val="0"/>
        </w:rPr>
        <w:t>, we as e</w:t>
      </w:r>
      <w:r>
        <w:rPr>
          <w:rFonts w:ascii="Arial" w:hAnsi="Arial" w:eastAsia="Arial" w:cs="Arial"/>
          <w:i w:val="0"/>
          <w:smallCaps w:val="0"/>
          <w:strike w:val="0"/>
          <w:color w:val="000000"/>
          <w:sz w:val="24"/>
          <w:szCs w:val="24"/>
          <w:u w:val="none"/>
          <w:shd w:val="clear" w:fill="auto"/>
          <w:vertAlign w:val="baseline"/>
          <w:rtl w:val="0"/>
        </w:rPr>
        <w:t xml:space="preserve">vent organisers will be responsible for the safe management of event-related traffic on site and </w:t>
      </w:r>
      <w:r>
        <w:rPr>
          <w:rFonts w:ascii="Arial" w:hAnsi="Arial" w:eastAsia="Arial" w:cs="Arial"/>
          <w:sz w:val="24"/>
          <w:szCs w:val="24"/>
          <w:rtl w:val="0"/>
        </w:rPr>
        <w:t xml:space="preserve">must </w:t>
      </w:r>
      <w:r>
        <w:rPr>
          <w:rFonts w:ascii="Arial" w:hAnsi="Arial" w:eastAsia="Arial" w:cs="Arial"/>
          <w:i w:val="0"/>
          <w:smallCaps w:val="0"/>
          <w:strike w:val="0"/>
          <w:color w:val="000000"/>
          <w:sz w:val="24"/>
          <w:szCs w:val="24"/>
          <w:u w:val="none"/>
          <w:shd w:val="clear" w:fill="auto"/>
          <w:vertAlign w:val="baseline"/>
          <w:rtl w:val="0"/>
        </w:rPr>
        <w:t xml:space="preserve">provide details of all vehicles in advance of the event. </w:t>
      </w:r>
    </w:p>
    <w:p>
      <w:pPr>
        <w:keepNext w:val="0"/>
        <w:keepLines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rFonts w:ascii="Arial" w:hAnsi="Arial" w:eastAsia="Arial" w:cs="Arial"/>
          <w:sz w:val="24"/>
          <w:szCs w:val="24"/>
        </w:rPr>
      </w:pPr>
    </w:p>
    <w:p>
      <w:pPr>
        <w:spacing w:before="0" w:after="160" w:line="259" w:lineRule="auto"/>
        <w:ind w:left="0" w:right="0"/>
        <w:jc w:val="left"/>
        <w:rPr>
          <w:rFonts w:ascii="Arial" w:hAnsi="Arial" w:eastAsia="Arial" w:cs="Arial"/>
          <w:b/>
          <w:sz w:val="24"/>
          <w:szCs w:val="24"/>
        </w:rPr>
      </w:pPr>
      <w:r>
        <w:rPr>
          <w:rFonts w:ascii="Arial" w:hAnsi="Arial" w:eastAsia="Arial" w:cs="Arial"/>
          <w:b/>
          <w:sz w:val="24"/>
          <w:szCs w:val="24"/>
          <w:rtl w:val="0"/>
        </w:rPr>
        <w:t>Licensing</w:t>
      </w:r>
    </w:p>
    <w:p>
      <w:pPr>
        <w:spacing w:before="0" w:after="160" w:line="259" w:lineRule="auto"/>
        <w:ind w:left="0" w:right="0"/>
        <w:jc w:val="left"/>
        <w:rPr>
          <w:rFonts w:ascii="Arial" w:hAnsi="Arial" w:eastAsia="Arial" w:cs="Arial"/>
          <w:sz w:val="24"/>
          <w:szCs w:val="24"/>
        </w:rPr>
      </w:pPr>
      <w:r>
        <w:rPr>
          <w:rFonts w:ascii="Arial" w:hAnsi="Arial" w:eastAsia="Arial" w:cs="Arial"/>
          <w:sz w:val="24"/>
          <w:szCs w:val="24"/>
          <w:rtl w:val="0"/>
        </w:rPr>
        <w:t>As this event</w:t>
      </w:r>
      <w:r>
        <w:rPr>
          <w:rFonts w:ascii="Arial" w:hAnsi="Arial" w:eastAsia="Arial" w:cs="Arial"/>
          <w:i w:val="0"/>
          <w:smallCaps w:val="0"/>
          <w:strike w:val="0"/>
          <w:color w:val="000000"/>
          <w:sz w:val="24"/>
          <w:szCs w:val="24"/>
          <w:u w:val="none"/>
          <w:shd w:val="clear" w:fill="auto"/>
          <w:vertAlign w:val="baseline"/>
          <w:rtl w:val="0"/>
        </w:rPr>
        <w:t xml:space="preserve"> includes entertainment (music, singing, dancing)</w:t>
      </w:r>
      <w:r>
        <w:rPr>
          <w:rFonts w:ascii="Arial" w:hAnsi="Arial" w:eastAsia="Arial" w:cs="Arial"/>
          <w:sz w:val="24"/>
          <w:szCs w:val="24"/>
          <w:rtl w:val="0"/>
        </w:rPr>
        <w:t xml:space="preserve">, </w:t>
      </w:r>
      <w:r>
        <w:rPr>
          <w:rFonts w:ascii="Arial" w:hAnsi="Arial" w:eastAsia="Arial" w:cs="Arial"/>
          <w:i w:val="0"/>
          <w:smallCaps w:val="0"/>
          <w:strike w:val="0"/>
          <w:color w:val="000000"/>
          <w:sz w:val="24"/>
          <w:szCs w:val="24"/>
          <w:u w:val="none"/>
          <w:shd w:val="clear" w:fill="auto"/>
          <w:vertAlign w:val="baseline"/>
          <w:rtl w:val="0"/>
        </w:rPr>
        <w:t xml:space="preserve">it will need to be licensed by the Southwark council under the Licensing Act 2003. This applies to indoor venues (eg a school hall or </w:t>
      </w:r>
      <w:r>
        <w:rPr>
          <w:rFonts w:ascii="Arial" w:hAnsi="Arial" w:eastAsia="Arial" w:cs="Arial"/>
          <w:i w:val="0"/>
          <w:strike w:val="0"/>
          <w:color w:val="000000"/>
          <w:sz w:val="24"/>
          <w:szCs w:val="24"/>
          <w:u w:val="none"/>
          <w:shd w:val="clear" w:fill="auto"/>
          <w:vertAlign w:val="baseline"/>
          <w:rtl w:val="0"/>
        </w:rPr>
        <w:t>theater</w:t>
      </w:r>
      <w:r>
        <w:rPr>
          <w:rFonts w:ascii="Arial" w:hAnsi="Arial" w:eastAsia="Arial" w:cs="Arial"/>
          <w:i w:val="0"/>
          <w:smallCaps w:val="0"/>
          <w:strike w:val="0"/>
          <w:color w:val="000000"/>
          <w:sz w:val="24"/>
          <w:szCs w:val="24"/>
          <w:u w:val="none"/>
          <w:shd w:val="clear" w:fill="auto"/>
          <w:vertAlign w:val="baseline"/>
          <w:rtl w:val="0"/>
        </w:rPr>
        <w:t>) and outdoor locations (eg public parks, town squares and streets).</w:t>
      </w:r>
      <w:r>
        <w:rPr>
          <w:rFonts w:ascii="Arial" w:hAnsi="Arial" w:eastAsia="Arial" w:cs="Arial"/>
          <w:sz w:val="24"/>
          <w:szCs w:val="24"/>
          <w:rtl w:val="0"/>
        </w:rPr>
        <w:t xml:space="preserve"> </w:t>
      </w:r>
      <w:r>
        <w:rPr>
          <w:rFonts w:ascii="Arial" w:hAnsi="Arial" w:eastAsia="Arial" w:cs="Arial"/>
          <w:i w:val="0"/>
          <w:smallCaps w:val="0"/>
          <w:strike w:val="0"/>
          <w:color w:val="000000"/>
          <w:sz w:val="24"/>
          <w:szCs w:val="24"/>
          <w:u w:val="none"/>
          <w:shd w:val="clear" w:fill="auto"/>
          <w:vertAlign w:val="baseline"/>
          <w:rtl w:val="0"/>
        </w:rPr>
        <w:t xml:space="preserve">As of 1 October 2012 the Live Music Act 2012 came into effect </w:t>
      </w:r>
      <w:r>
        <w:rPr>
          <w:rFonts w:ascii="Arial" w:hAnsi="Arial" w:eastAsia="Arial" w:cs="Arial"/>
          <w:sz w:val="24"/>
          <w:szCs w:val="24"/>
          <w:rtl w:val="0"/>
        </w:rPr>
        <w:t>for Burgess</w:t>
      </w:r>
      <w:r>
        <w:rPr>
          <w:rFonts w:ascii="Arial" w:hAnsi="Arial" w:eastAsia="Arial" w:cs="Arial"/>
          <w:i w:val="0"/>
          <w:smallCaps w:val="0"/>
          <w:strike w:val="0"/>
          <w:color w:val="000000"/>
          <w:sz w:val="24"/>
          <w:szCs w:val="24"/>
          <w:u w:val="none"/>
          <w:shd w:val="clear" w:fill="auto"/>
          <w:vertAlign w:val="baseline"/>
          <w:rtl w:val="0"/>
        </w:rPr>
        <w:t xml:space="preserve"> Park. This means that some live music is now deregulated. </w:t>
      </w:r>
    </w:p>
    <w:p>
      <w:pPr>
        <w:keepNext w:val="0"/>
        <w:keepLines w:val="0"/>
        <w:widowControl/>
        <w:pBdr>
          <w:top w:val="none" w:color="000000" w:sz="0" w:space="0"/>
          <w:left w:val="none" w:color="000000" w:sz="0" w:space="0"/>
          <w:bottom w:val="none" w:color="000000" w:sz="0" w:space="0"/>
          <w:right w:val="none" w:color="000000" w:sz="0" w:space="0"/>
          <w:between w:val="none" w:color="auto" w:sz="0" w:space="0"/>
        </w:pBdr>
        <w:shd w:val="clear" w:fill="auto"/>
        <w:spacing w:before="280" w:after="280" w:line="240" w:lineRule="auto"/>
        <w:ind w:left="0" w:right="0" w:firstLine="0"/>
        <w:jc w:val="left"/>
        <w:rPr>
          <w:rFonts w:ascii="Open Sans" w:hAnsi="Open Sans" w:eastAsia="Open Sans" w:cs="Open Sans"/>
          <w:b w:val="0"/>
          <w:i w:val="0"/>
          <w:smallCaps w:val="0"/>
          <w:strike w:val="0"/>
          <w:color w:val="000000"/>
          <w:sz w:val="36"/>
          <w:szCs w:val="36"/>
          <w:u w:val="none"/>
          <w:shd w:val="clear" w:fill="auto"/>
          <w:vertAlign w:val="baseline"/>
        </w:rPr>
      </w:pPr>
      <w:r>
        <w:rPr>
          <w:rFonts w:ascii="Arial" w:hAnsi="Arial" w:eastAsia="Arial" w:cs="Arial"/>
          <w:color w:val="222222"/>
          <w:sz w:val="24"/>
          <w:szCs w:val="24"/>
          <w:rtl w:val="0"/>
        </w:rPr>
        <w:t xml:space="preserve">In the </w:t>
      </w:r>
      <w:r>
        <w:rPr>
          <w:rFonts w:ascii="Arial" w:hAnsi="Arial" w:eastAsia="Arial" w:cs="Arial"/>
          <w:i w:val="0"/>
          <w:smallCaps w:val="0"/>
          <w:color w:val="222222"/>
          <w:sz w:val="24"/>
          <w:szCs w:val="24"/>
          <w:u w:val="none"/>
          <w:rtl w:val="0"/>
        </w:rPr>
        <w:t>Southwark Statement of Licensing Policy 2019 to 2021 it</w:t>
      </w:r>
      <w:r>
        <w:rPr>
          <w:rFonts w:ascii="Arial" w:hAnsi="Arial" w:eastAsia="Arial" w:cs="Arial"/>
          <w:color w:val="222222"/>
          <w:sz w:val="24"/>
          <w:szCs w:val="24"/>
          <w:rtl w:val="0"/>
        </w:rPr>
        <w:t xml:space="preserve"> talks about the licensing act 2003; </w:t>
      </w:r>
      <w:r>
        <w:rPr>
          <w:rFonts w:ascii="Arial" w:hAnsi="Arial" w:eastAsia="Arial" w:cs="Arial"/>
          <w:i w:val="0"/>
          <w:smallCaps w:val="0"/>
          <w:strike w:val="0"/>
          <w:color w:val="000000"/>
          <w:sz w:val="24"/>
          <w:szCs w:val="24"/>
          <w:u w:val="none"/>
          <w:shd w:val="clear" w:fill="auto"/>
          <w:vertAlign w:val="baseline"/>
          <w:rtl w:val="0"/>
        </w:rPr>
        <w:t>On 27 March 2019, the council assembly approved the Southwark Statement of Licensing 2</w:t>
      </w:r>
      <w:r>
        <w:rPr>
          <w:rFonts w:ascii="Arial" w:hAnsi="Arial" w:eastAsia="Arial" w:cs="Arial"/>
          <w:sz w:val="24"/>
          <w:szCs w:val="24"/>
          <w:rtl w:val="0"/>
        </w:rPr>
        <w:t>019 to 2021.</w:t>
      </w:r>
      <w:r>
        <w:rPr>
          <w:rFonts w:ascii="Arial" w:hAnsi="Arial" w:eastAsia="Arial" w:cs="Arial"/>
          <w:i w:val="0"/>
          <w:smallCaps w:val="0"/>
          <w:strike w:val="0"/>
          <w:color w:val="000000"/>
          <w:sz w:val="24"/>
          <w:szCs w:val="24"/>
          <w:u w:val="none"/>
          <w:shd w:val="clear" w:fill="auto"/>
          <w:vertAlign w:val="baseline"/>
          <w:rtl w:val="0"/>
        </w:rPr>
        <w:t> (</w:t>
      </w:r>
      <w:r>
        <w:rPr>
          <w:rFonts w:ascii="Arial" w:hAnsi="Arial" w:eastAsia="Arial" w:cs="Arial"/>
          <w:sz w:val="24"/>
          <w:szCs w:val="24"/>
          <w:rtl w:val="0"/>
        </w:rPr>
        <w:t xml:space="preserve"> see appendix 1)</w:t>
      </w:r>
    </w:p>
    <w:p>
      <w:pPr>
        <w:keepNext w:val="0"/>
        <w:keepLines w:val="0"/>
        <w:widowControl/>
        <w:pBdr>
          <w:top w:val="none" w:color="000000" w:sz="0" w:space="0"/>
          <w:left w:val="none" w:color="000000" w:sz="0" w:space="0"/>
          <w:bottom w:val="none" w:color="000000" w:sz="0" w:space="0"/>
          <w:right w:val="none" w:color="000000" w:sz="0" w:space="0"/>
          <w:between w:val="none" w:color="auto" w:sz="0" w:space="0"/>
        </w:pBdr>
        <w:shd w:val="clear" w:fill="auto"/>
        <w:spacing w:before="280" w:after="280" w:line="240" w:lineRule="auto"/>
        <w:ind w:left="0" w:right="0" w:firstLine="0"/>
        <w:jc w:val="left"/>
        <w:rPr>
          <w:rFonts w:ascii="Arial" w:hAnsi="Arial" w:eastAsia="Arial" w:cs="Arial"/>
          <w:i w:val="0"/>
          <w:smallCaps w:val="0"/>
          <w:strike w:val="0"/>
          <w:color w:val="000000"/>
          <w:sz w:val="24"/>
          <w:szCs w:val="24"/>
          <w:u w:val="none"/>
          <w:shd w:val="clear" w:fill="auto"/>
          <w:vertAlign w:val="baseline"/>
        </w:rPr>
      </w:pPr>
      <w:r>
        <w:rPr>
          <w:rFonts w:ascii="Arial" w:hAnsi="Arial" w:eastAsia="Arial" w:cs="Arial"/>
          <w:i w:val="0"/>
          <w:smallCaps w:val="0"/>
          <w:strike w:val="0"/>
          <w:color w:val="000000"/>
          <w:sz w:val="24"/>
          <w:szCs w:val="24"/>
          <w:u w:val="none"/>
          <w:shd w:val="clear" w:fill="auto"/>
          <w:vertAlign w:val="baseline"/>
          <w:rtl w:val="0"/>
        </w:rPr>
        <w:t xml:space="preserve">The policy was compiled having had regard to the Act; secondary regulations; the Guidance produced by the Home Office and responses received to the public consultation exercise undertaken in 2018. It sets out this council’s approach to the licensing of premises and club premises for the sale of alcohol; the provision of regulated entertainment; and the provision of late night refreshment.The policy </w:t>
      </w:r>
      <w:r>
        <w:rPr>
          <w:rFonts w:ascii="Arial" w:hAnsi="Arial" w:eastAsia="Arial" w:cs="Arial"/>
          <w:sz w:val="24"/>
          <w:szCs w:val="24"/>
          <w:rtl w:val="0"/>
        </w:rPr>
        <w:t>took e</w:t>
      </w:r>
      <w:r>
        <w:rPr>
          <w:rFonts w:ascii="Arial" w:hAnsi="Arial" w:eastAsia="Arial" w:cs="Arial"/>
          <w:i w:val="0"/>
          <w:smallCaps w:val="0"/>
          <w:strike w:val="0"/>
          <w:color w:val="000000"/>
          <w:sz w:val="24"/>
          <w:szCs w:val="24"/>
          <w:u w:val="none"/>
          <w:shd w:val="clear" w:fill="auto"/>
          <w:vertAlign w:val="baseline"/>
          <w:rtl w:val="0"/>
        </w:rPr>
        <w:t xml:space="preserve">ffect on 3 May 2019. </w:t>
      </w:r>
    </w:p>
    <w:p>
      <w:pPr>
        <w:pBdr>
          <w:top w:val="none" w:color="000000" w:sz="0" w:space="0"/>
          <w:left w:val="none" w:color="000000" w:sz="0" w:space="0"/>
          <w:bottom w:val="none" w:color="000000" w:sz="0" w:space="0"/>
          <w:right w:val="none" w:color="000000" w:sz="0" w:space="0"/>
        </w:pBdr>
        <w:spacing w:after="0"/>
        <w:ind w:left="0" w:firstLine="0"/>
        <w:rPr>
          <w:rFonts w:ascii="Arial" w:hAnsi="Arial" w:eastAsia="Arial" w:cs="Arial"/>
          <w:sz w:val="24"/>
          <w:szCs w:val="24"/>
        </w:rPr>
      </w:pPr>
      <w:r>
        <w:rPr>
          <w:rFonts w:ascii="Arial" w:hAnsi="Arial" w:eastAsia="Arial" w:cs="Arial"/>
          <w:sz w:val="24"/>
          <w:szCs w:val="24"/>
          <w:rtl w:val="0"/>
        </w:rPr>
        <w:t>In putting on an event such as Southwark festival in the borough of Southwark, one must  ensure that you're making your application in good time; for events with 500 people or less at any time, applications must be made no later than four weeks prior to the event date - all larger events such as the Southwark festival requires a minimum of 26 weeks notice. The team would have to work out what fees we are likely to have to pay for all of our licensees and permits; events organised by local community groups and charities get an automatic 50% discount applied to the hire fee (see appendix 2)</w:t>
      </w:r>
    </w:p>
    <w:p>
      <w:pPr>
        <w:pBdr>
          <w:top w:val="none" w:color="000000" w:sz="0" w:space="0"/>
          <w:left w:val="none" w:color="000000" w:sz="0" w:space="0"/>
          <w:bottom w:val="none" w:color="000000" w:sz="0" w:space="0"/>
          <w:right w:val="none" w:color="000000" w:sz="0" w:space="0"/>
        </w:pBdr>
        <w:spacing w:before="280" w:after="280" w:line="240" w:lineRule="auto"/>
        <w:rPr>
          <w:rFonts w:ascii="Arial" w:hAnsi="Arial" w:eastAsia="Arial" w:cs="Arial"/>
          <w:sz w:val="24"/>
          <w:szCs w:val="24"/>
        </w:rPr>
      </w:pPr>
      <w:r>
        <w:rPr>
          <w:rFonts w:ascii="Arial" w:hAnsi="Arial" w:eastAsia="Arial" w:cs="Arial"/>
          <w:sz w:val="24"/>
          <w:szCs w:val="24"/>
          <w:rtl w:val="0"/>
        </w:rPr>
        <w:t>As part of Southwark council’s decision making process, applications will be subject to a level of public consultation. Details of the event will be sent to a combination of ward councilors, residents and tenants associations and other local stakeholders such as park friends groups as appropriate.</w:t>
      </w:r>
    </w:p>
    <w:p>
      <w:pPr>
        <w:pBdr>
          <w:top w:val="none" w:color="000000" w:sz="0" w:space="0"/>
          <w:left w:val="none" w:color="000000" w:sz="0" w:space="0"/>
          <w:bottom w:val="none" w:color="000000" w:sz="0" w:space="0"/>
          <w:right w:val="none" w:color="000000" w:sz="0" w:space="0"/>
        </w:pBdr>
        <w:spacing w:before="280" w:after="280" w:line="240" w:lineRule="auto"/>
        <w:rPr>
          <w:rFonts w:ascii="Arial" w:hAnsi="Arial" w:eastAsia="Arial" w:cs="Arial"/>
          <w:color w:val="222222"/>
          <w:sz w:val="24"/>
          <w:szCs w:val="24"/>
        </w:rPr>
      </w:pPr>
      <w:r>
        <w:rPr>
          <w:rFonts w:ascii="Arial" w:hAnsi="Arial" w:eastAsia="Arial" w:cs="Arial"/>
          <w:sz w:val="24"/>
          <w:szCs w:val="24"/>
          <w:rtl w:val="0"/>
        </w:rPr>
        <w:t>The consultation will run for up to 28 days. During this time people can raise any concerns they may have or lodge an objection to the event taking place. Applicants may be required to provide extra information or possibly to meet with objectors to discuss their concerns.</w:t>
      </w:r>
    </w:p>
    <w:p>
      <w:pPr>
        <w:pBdr>
          <w:top w:val="none" w:color="000000" w:sz="0" w:space="0"/>
          <w:left w:val="none" w:color="000000" w:sz="0" w:space="0"/>
          <w:bottom w:val="none" w:color="000000" w:sz="0" w:space="0"/>
          <w:right w:val="none" w:color="000000" w:sz="0" w:space="0"/>
        </w:pBdr>
        <w:spacing w:before="280" w:after="280" w:line="240" w:lineRule="auto"/>
        <w:rPr>
          <w:rFonts w:ascii="Open Sans" w:hAnsi="Open Sans" w:eastAsia="Open Sans" w:cs="Open Sans"/>
          <w:color w:val="222222"/>
        </w:rPr>
      </w:pPr>
      <w:r>
        <w:rPr>
          <w:rFonts w:ascii="Arial" w:hAnsi="Arial" w:eastAsia="Arial" w:cs="Arial"/>
          <w:sz w:val="24"/>
          <w:szCs w:val="24"/>
          <w:rtl w:val="0"/>
        </w:rPr>
        <w:t>Once permission is granted for the event the team will be sent a conditional approval followed by an invoice for the hire fee. This amount should be paid within the terms of the invoice and at least ten working days before the event. This is a condition of the license agreement, which will need to be agreed to in the declaration when submitting the application. Failure to pay in time could result in the cancellation of the event.</w:t>
      </w:r>
    </w:p>
    <w:p>
      <w:pPr>
        <w:pBdr>
          <w:top w:val="none" w:color="000000" w:sz="0" w:space="0"/>
          <w:left w:val="none" w:color="000000" w:sz="0" w:space="0"/>
          <w:bottom w:val="none" w:color="000000" w:sz="0" w:space="0"/>
          <w:right w:val="none" w:color="000000" w:sz="0" w:space="0"/>
        </w:pBdr>
        <w:spacing w:before="280" w:after="280" w:line="240" w:lineRule="auto"/>
        <w:rPr>
          <w:rFonts w:ascii="Arial" w:hAnsi="Arial" w:eastAsia="Arial" w:cs="Arial"/>
          <w:color w:val="222222"/>
          <w:sz w:val="24"/>
          <w:szCs w:val="24"/>
        </w:rPr>
      </w:pPr>
      <w:r>
        <w:rPr>
          <w:rFonts w:ascii="Arial" w:hAnsi="Arial" w:eastAsia="Arial" w:cs="Arial"/>
          <w:sz w:val="24"/>
          <w:szCs w:val="24"/>
          <w:rtl w:val="0"/>
        </w:rPr>
        <w:t>In most events, before you start to set up your event the site will be inspected to record its current condition. After the event a similar inspection will take place and any damage or mess created by the event will be assessed. The event organiser is responsible for all costs to repair or clean the site where needed.</w:t>
      </w:r>
    </w:p>
    <w:p>
      <w:pPr>
        <w:pBdr>
          <w:top w:val="none" w:color="000000" w:sz="0" w:space="0"/>
          <w:left w:val="none" w:color="000000" w:sz="0" w:space="0"/>
          <w:bottom w:val="none" w:color="000000" w:sz="0" w:space="0"/>
          <w:right w:val="none" w:color="000000" w:sz="0" w:space="0"/>
        </w:pBdr>
        <w:spacing w:before="280" w:after="280" w:line="240" w:lineRule="auto"/>
        <w:rPr>
          <w:rFonts w:ascii="Open Sans" w:hAnsi="Open Sans" w:eastAsia="Open Sans" w:cs="Open Sans"/>
          <w:color w:val="222222"/>
        </w:rPr>
      </w:pPr>
      <w:r>
        <w:rPr>
          <w:rFonts w:ascii="Arial" w:hAnsi="Arial" w:eastAsia="Arial" w:cs="Arial"/>
          <w:sz w:val="24"/>
          <w:szCs w:val="24"/>
          <w:rtl w:val="0"/>
        </w:rPr>
        <w:t>Events are monitored by council officers who must be granted access to all areas of the event. Monitoring officers may ask for specific actions to be taken to ensure the agreed plans for the event are followed or if the event contradicts the outdoor events policy. If suitable actions are not taken or are insufficient the event may be closed.</w:t>
      </w:r>
    </w:p>
    <w:p>
      <w:pPr>
        <w:pBdr>
          <w:top w:val="none" w:color="000000" w:sz="0" w:space="0"/>
          <w:left w:val="none" w:color="000000" w:sz="0" w:space="0"/>
          <w:bottom w:val="none" w:color="000000" w:sz="0" w:space="0"/>
          <w:right w:val="none" w:color="000000" w:sz="0" w:space="0"/>
        </w:pBdr>
        <w:spacing w:before="280" w:after="280" w:line="240" w:lineRule="auto"/>
        <w:rPr>
          <w:rFonts w:ascii="Arial" w:hAnsi="Arial" w:eastAsia="Arial" w:cs="Arial"/>
          <w:sz w:val="24"/>
          <w:szCs w:val="24"/>
        </w:rPr>
      </w:pPr>
      <w:r>
        <w:rPr>
          <w:rFonts w:ascii="Arial" w:hAnsi="Arial" w:eastAsia="Arial" w:cs="Arial"/>
          <w:sz w:val="24"/>
          <w:szCs w:val="24"/>
          <w:rtl w:val="0"/>
        </w:rPr>
        <w:t>Documentation and evaluation are important parts of any event or project, providing a chance to reflect on what has happened, hear ideas and thoughts for the future, and the opportunity to share with others anything you've learned along the way.</w:t>
      </w:r>
    </w:p>
    <w:p>
      <w:pPr>
        <w:pBdr>
          <w:top w:val="none" w:color="000000" w:sz="0" w:space="0"/>
          <w:left w:val="none" w:color="000000" w:sz="0" w:space="0"/>
          <w:bottom w:val="none" w:color="000000" w:sz="0" w:space="0"/>
          <w:right w:val="none" w:color="000000" w:sz="0" w:space="0"/>
        </w:pBdr>
        <w:spacing w:before="280" w:after="280" w:line="240" w:lineRule="auto"/>
        <w:rPr>
          <w:rFonts w:ascii="Arial" w:hAnsi="Arial" w:eastAsia="Arial" w:cs="Arial"/>
          <w:b/>
          <w:i w:val="0"/>
          <w:smallCaps w:val="0"/>
          <w:color w:val="222222"/>
          <w:sz w:val="24"/>
          <w:szCs w:val="24"/>
          <w:u w:val="none"/>
        </w:rPr>
      </w:pPr>
      <w:r>
        <w:rPr>
          <w:rFonts w:ascii="Arial" w:hAnsi="Arial" w:eastAsia="Arial" w:cs="Arial"/>
          <w:sz w:val="24"/>
          <w:szCs w:val="24"/>
          <w:rtl w:val="0"/>
        </w:rPr>
        <w:t>Importantly, you need to show that the money spent wasn't wasted. Whether your event was funded by the council, a grant, public donations or through private sponsorship, these funders will want a report that clearly shows how their money was spent and that it had a positive outcome.</w:t>
      </w:r>
    </w:p>
    <w:p>
      <w:pPr>
        <w:keepNext w:val="0"/>
        <w:keepLines w:val="0"/>
        <w:widowControl/>
        <w:pBdr>
          <w:top w:val="none" w:color="000000" w:sz="0" w:space="0"/>
          <w:left w:val="none" w:color="000000" w:sz="0" w:space="0"/>
          <w:bottom w:val="none" w:color="000000" w:sz="0" w:space="0"/>
          <w:right w:val="none" w:color="000000" w:sz="0" w:space="0"/>
          <w:between w:val="none" w:color="auto" w:sz="0" w:space="0"/>
        </w:pBdr>
        <w:shd w:val="clear" w:fill="auto"/>
        <w:spacing w:before="280" w:after="280" w:line="240" w:lineRule="auto"/>
        <w:ind w:left="0" w:right="0" w:firstLine="0"/>
        <w:jc w:val="left"/>
        <w:rPr>
          <w:rFonts w:ascii="Arial" w:hAnsi="Arial" w:eastAsia="Arial" w:cs="Arial"/>
          <w:i w:val="0"/>
          <w:smallCaps w:val="0"/>
          <w:strike w:val="0"/>
          <w:color w:val="000000"/>
          <w:sz w:val="24"/>
          <w:szCs w:val="24"/>
          <w:u w:val="none"/>
          <w:shd w:val="clear" w:fill="auto"/>
          <w:vertAlign w:val="baseline"/>
        </w:rPr>
      </w:pPr>
      <w:r>
        <w:rPr>
          <w:rFonts w:ascii="Arial" w:hAnsi="Arial" w:eastAsia="Arial" w:cs="Arial"/>
          <w:i w:val="0"/>
          <w:smallCaps w:val="0"/>
          <w:strike w:val="0"/>
          <w:color w:val="000000"/>
          <w:sz w:val="24"/>
          <w:szCs w:val="24"/>
          <w:u w:val="none"/>
          <w:shd w:val="clear" w:fill="auto"/>
          <w:vertAlign w:val="baseline"/>
          <w:rtl w:val="0"/>
        </w:rPr>
        <w:t xml:space="preserve">Public events with performance or playback of music will also require a permit from the Performing Rights Society (PRS) who collect fees towards royalty payments for composers. Events using council land (Southwark Festival) will be obliged to arrange their PRS permits in advance. </w:t>
      </w:r>
    </w:p>
    <w:p>
      <w:pPr>
        <w:keepNext w:val="0"/>
        <w:keepLines w:val="0"/>
        <w:widowControl/>
        <w:pBdr>
          <w:top w:val="none" w:color="000000" w:sz="0" w:space="0"/>
          <w:left w:val="none" w:color="000000" w:sz="0" w:space="0"/>
          <w:bottom w:val="none" w:color="000000" w:sz="0" w:space="0"/>
          <w:right w:val="none" w:color="000000" w:sz="0" w:space="0"/>
          <w:between w:val="none" w:color="auto" w:sz="0" w:space="0"/>
        </w:pBdr>
        <w:shd w:val="clear" w:fill="auto"/>
        <w:spacing w:before="280" w:after="280" w:line="240" w:lineRule="auto"/>
        <w:ind w:left="0" w:right="0" w:firstLine="0"/>
        <w:jc w:val="left"/>
        <w:rPr>
          <w:rFonts w:ascii="Arial" w:hAnsi="Arial" w:eastAsia="Arial" w:cs="Arial"/>
          <w:b w:val="0"/>
          <w:color w:val="040C49"/>
          <w:sz w:val="24"/>
          <w:szCs w:val="24"/>
        </w:rPr>
      </w:pPr>
      <w:r>
        <w:rPr>
          <w:rFonts w:ascii="Arial" w:hAnsi="Arial" w:eastAsia="Arial" w:cs="Arial"/>
          <w:sz w:val="24"/>
          <w:szCs w:val="24"/>
          <w:rtl w:val="0"/>
        </w:rPr>
        <w:t xml:space="preserve">PRS states, </w:t>
      </w:r>
    </w:p>
    <w:p>
      <w:pPr>
        <w:keepNext w:val="0"/>
        <w:keepLines w:val="0"/>
        <w:widowControl/>
        <w:pBdr>
          <w:top w:val="none" w:color="auto" w:sz="0" w:space="0"/>
          <w:left w:val="none" w:color="000000" w:sz="0" w:space="0"/>
          <w:bottom w:val="none" w:color="auto" w:sz="0" w:space="0"/>
          <w:right w:val="none" w:color="auto" w:sz="0" w:space="0"/>
          <w:between w:val="none" w:color="auto" w:sz="0" w:space="0"/>
        </w:pBdr>
        <w:shd w:val="clear" w:fill="auto"/>
        <w:spacing w:before="0" w:after="700" w:line="240" w:lineRule="auto"/>
        <w:ind w:left="-300" w:right="-300" w:firstLine="0"/>
        <w:jc w:val="center"/>
        <w:rPr>
          <w:rFonts w:ascii="Arial" w:hAnsi="Arial" w:eastAsia="Arial" w:cs="Arial"/>
          <w:i/>
          <w:color w:val="040C49"/>
          <w:sz w:val="24"/>
          <w:szCs w:val="24"/>
        </w:rPr>
      </w:pPr>
      <w:r>
        <w:rPr>
          <w:rFonts w:ascii="Arial" w:hAnsi="Arial" w:eastAsia="Arial" w:cs="Arial"/>
          <w:i/>
          <w:color w:val="040C49"/>
          <w:sz w:val="24"/>
          <w:szCs w:val="24"/>
          <w:rtl w:val="0"/>
        </w:rPr>
        <w:t xml:space="preserve">“ </w:t>
      </w:r>
      <w:r>
        <w:rPr>
          <w:rFonts w:ascii="Arial" w:hAnsi="Arial" w:eastAsia="Arial" w:cs="Arial"/>
          <w:i/>
          <w:smallCaps w:val="0"/>
          <w:strike w:val="0"/>
          <w:color w:val="040C49"/>
          <w:sz w:val="24"/>
          <w:szCs w:val="24"/>
          <w:u w:val="none"/>
          <w:shd w:val="clear" w:fill="auto"/>
          <w:vertAlign w:val="baseline"/>
          <w:rtl w:val="0"/>
        </w:rPr>
        <w:t>PRS for Music and PPL, the UK’s two music collecting societies, have joined forces to set up PPL PRS Ltd, a joint venture combining the two societies’ public performance licensing activities.  PPL PRS Ltd launched the joint licence on 26 February 2018 and offers a single licence, called TheMusicLicence, on behalf of both PRS for Music and PPL, to play or perform music in public.</w:t>
      </w:r>
      <w:r>
        <w:rPr>
          <w:rFonts w:ascii="Arial" w:hAnsi="Arial" w:eastAsia="Arial" w:cs="Arial"/>
          <w:i/>
          <w:sz w:val="24"/>
          <w:szCs w:val="24"/>
          <w:rtl w:val="0"/>
        </w:rPr>
        <w:t xml:space="preserve"> </w:t>
      </w:r>
      <w:r>
        <w:rPr>
          <w:rFonts w:ascii="Arial" w:hAnsi="Arial" w:eastAsia="Arial" w:cs="Arial"/>
          <w:i/>
          <w:smallCaps w:val="0"/>
          <w:strike w:val="0"/>
          <w:color w:val="040C49"/>
          <w:sz w:val="24"/>
          <w:szCs w:val="24"/>
          <w:u w:val="none"/>
          <w:shd w:val="clear" w:fill="auto"/>
          <w:vertAlign w:val="baseline"/>
          <w:rtl w:val="0"/>
        </w:rPr>
        <w:t>All pre-existing PRS for Music accounts are now managed by PPL PRS Ltd, so please contact PPL PRS Ltd if you have any queries about your PRS for Music licence.  During the first year of PPL PRS Ltd’s operation, all pre-existing PRS for Music customers will be transitioned to TheMusicLicence. PPL PRS Ltd will notify each customer in advance to explain in detail how the transition process will work for them.</w:t>
      </w:r>
      <w:r>
        <w:rPr>
          <w:rFonts w:ascii="Arial" w:hAnsi="Arial" w:eastAsia="Arial" w:cs="Arial"/>
          <w:i/>
          <w:color w:val="040C49"/>
          <w:sz w:val="24"/>
          <w:szCs w:val="24"/>
          <w:rtl w:val="0"/>
        </w:rPr>
        <w:t>” - PRS (March 2020)</w:t>
      </w:r>
    </w:p>
    <w:p>
      <w:pPr>
        <w:spacing w:before="0" w:after="160" w:line="259" w:lineRule="auto"/>
        <w:ind w:left="0" w:right="0"/>
        <w:jc w:val="left"/>
      </w:pPr>
    </w:p>
    <w:p>
      <w:pPr>
        <w:spacing w:before="0" w:after="160" w:line="259" w:lineRule="auto"/>
        <w:ind w:left="0" w:right="0"/>
        <w:jc w:val="left"/>
        <w:rPr>
          <w:b/>
        </w:rPr>
      </w:pPr>
      <w:r>
        <w:rPr>
          <w:b/>
          <w:rtl w:val="0"/>
        </w:rPr>
        <w:t xml:space="preserve">Promotion Of The Event </w:t>
      </w:r>
    </w:p>
    <w:p>
      <w:pPr>
        <w:spacing w:before="0" w:after="160" w:line="259" w:lineRule="auto"/>
        <w:ind w:left="0" w:right="0"/>
        <w:jc w:val="left"/>
      </w:pPr>
      <w:r>
        <w:rPr>
          <w:rtl w:val="0"/>
        </w:rPr>
        <w:t xml:space="preserve">Southwark Festival is primarily for residents in Southwark, thus in relation to promotion of the festival, the aims of promotion are local radio stations such as Represent Radio which was birthed in Southwark in 2011, so Reprezent would be paying homage to its roots. More means of promotion would be local newspapers around southwark, and London. We are aiming for artists such as gigs, and Florence and the Machine who were both brought up in southwark to headline the festival. </w:t>
      </w:r>
    </w:p>
    <w:p>
      <w:pPr>
        <w:spacing w:before="0" w:after="160" w:line="259" w:lineRule="auto"/>
        <w:ind w:left="0" w:right="0"/>
        <w:jc w:val="left"/>
      </w:pPr>
    </w:p>
    <w:p>
      <w:pPr>
        <w:spacing w:before="0" w:after="160" w:line="259" w:lineRule="auto"/>
        <w:ind w:left="0" w:right="0"/>
        <w:jc w:val="left"/>
        <w:rPr>
          <w:b/>
        </w:rPr>
      </w:pPr>
      <w:r>
        <w:rPr>
          <w:b/>
          <w:rtl w:val="0"/>
        </w:rPr>
        <w:t>Summery</w:t>
      </w:r>
    </w:p>
    <w:p>
      <w:pPr>
        <w:spacing w:before="0" w:after="160" w:line="259" w:lineRule="auto"/>
        <w:ind w:left="0" w:right="0"/>
        <w:jc w:val="left"/>
        <w:rPr>
          <w:rtl w:val="0"/>
        </w:rPr>
      </w:pPr>
      <w:r>
        <w:rPr>
          <w:rtl w:val="0"/>
        </w:rPr>
        <w:t xml:space="preserve">Everything stated above is just a handful of things needed to create a successful festival, but there are still many more logistics to creating a successful festival which are not stated in this essay.  </w:t>
      </w:r>
    </w:p>
    <w:p>
      <w:pPr>
        <w:spacing w:before="0" w:after="160" w:line="259" w:lineRule="auto"/>
        <w:ind w:left="0" w:right="0"/>
        <w:jc w:val="left"/>
        <w:rPr>
          <w:rtl w:val="0"/>
        </w:rPr>
      </w:pPr>
    </w:p>
    <w:p>
      <w:pPr>
        <w:spacing w:before="0" w:after="160" w:line="259" w:lineRule="auto"/>
        <w:ind w:left="0" w:right="0"/>
        <w:jc w:val="left"/>
        <w:rPr>
          <w:rtl w:val="0"/>
        </w:rPr>
      </w:pPr>
    </w:p>
    <w:p>
      <w:pPr>
        <w:spacing w:before="0" w:after="160" w:line="259" w:lineRule="auto"/>
        <w:ind w:left="0" w:right="0"/>
        <w:jc w:val="left"/>
        <w:rPr>
          <w:rtl w:val="0"/>
        </w:rPr>
      </w:pPr>
    </w:p>
    <w:p>
      <w:pPr>
        <w:spacing w:before="0" w:after="160" w:line="259" w:lineRule="auto"/>
        <w:ind w:left="0" w:right="0"/>
        <w:jc w:val="left"/>
        <w:rPr>
          <w:rtl w:val="0"/>
        </w:rPr>
      </w:pPr>
    </w:p>
    <w:p>
      <w:pPr>
        <w:spacing w:before="0" w:after="160" w:line="259" w:lineRule="auto"/>
        <w:ind w:left="0" w:right="0"/>
        <w:jc w:val="left"/>
        <w:rPr>
          <w:rtl w:val="0"/>
        </w:rPr>
      </w:pPr>
    </w:p>
    <w:p>
      <w:pPr>
        <w:spacing w:before="0" w:after="160" w:line="259" w:lineRule="auto"/>
        <w:ind w:left="0" w:right="0"/>
        <w:jc w:val="left"/>
        <w:rPr>
          <w:rtl w:val="0"/>
        </w:rPr>
      </w:pPr>
      <w:r>
        <w:rPr>
          <w:rtl w:val="0"/>
        </w:rPr>
        <w:t>Appendix 1</w:t>
      </w:r>
    </w:p>
    <w:p>
      <w:pPr>
        <w:keepNext w:val="0"/>
        <w:keepLines w:val="0"/>
        <w:widowControl/>
        <w:suppressLineNumbers w:val="0"/>
        <w:jc w:val="left"/>
        <w:rPr>
          <w:rFonts w:ascii="Arial Bold" w:hAnsi="Arial Bold" w:eastAsia="Arial Bold" w:cs="Arial Bold"/>
          <w:b/>
          <w:color w:val="000000"/>
          <w:kern w:val="0"/>
          <w:sz w:val="23"/>
          <w:szCs w:val="23"/>
          <w:lang w:val="en-US" w:eastAsia="zh-CN" w:bidi="ar"/>
        </w:rPr>
      </w:pPr>
      <w:r>
        <w:rPr>
          <w:rFonts w:ascii="Arial Bold" w:hAnsi="Arial Bold" w:eastAsia="Arial Bold" w:cs="Arial Bold"/>
          <w:b/>
          <w:color w:val="000000"/>
          <w:kern w:val="0"/>
          <w:sz w:val="23"/>
          <w:szCs w:val="23"/>
          <w:lang w:val="en-US" w:eastAsia="zh-CN" w:bidi="ar"/>
        </w:rPr>
        <w:t>APPENDIX C - OTHER RELATED LEGISLATION AND STRATEGIES</w:t>
      </w:r>
    </w:p>
    <w:p>
      <w:pPr>
        <w:keepNext w:val="0"/>
        <w:keepLines w:val="0"/>
        <w:widowControl/>
        <w:suppressLineNumbers w:val="0"/>
        <w:jc w:val="left"/>
      </w:pPr>
      <w:r>
        <w:rPr>
          <w:rFonts w:ascii="Arial Bold" w:hAnsi="Arial Bold" w:eastAsia="Arial Bold" w:cs="Arial Bold"/>
          <w:b/>
          <w:color w:val="000000"/>
          <w:kern w:val="0"/>
          <w:sz w:val="23"/>
          <w:szCs w:val="23"/>
          <w:lang w:val="en-US" w:eastAsia="zh-CN" w:bidi="ar"/>
        </w:rPr>
        <w:t xml:space="preserve"> </w:t>
      </w:r>
    </w:p>
    <w:p>
      <w:pPr>
        <w:keepNext w:val="0"/>
        <w:keepLines w:val="0"/>
        <w:widowControl/>
        <w:suppressLineNumbers w:val="0"/>
        <w:jc w:val="left"/>
      </w:pPr>
      <w:r>
        <w:rPr>
          <w:rFonts w:ascii="Arial" w:hAnsi="Arial" w:eastAsia="SimSun" w:cs="Arial"/>
          <w:color w:val="000000"/>
          <w:kern w:val="0"/>
          <w:sz w:val="21"/>
          <w:szCs w:val="21"/>
          <w:lang w:val="en-US" w:eastAsia="zh-CN" w:bidi="ar"/>
        </w:rPr>
        <w:t xml:space="preserve">This policy recognises and intends to complement the broad range of other relevant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r>
        <w:rPr>
          <w:rFonts w:hint="default" w:ascii="Arial" w:hAnsi="Arial" w:eastAsia="SimSun" w:cs="Arial"/>
          <w:color w:val="000000"/>
          <w:kern w:val="0"/>
          <w:sz w:val="21"/>
          <w:szCs w:val="21"/>
          <w:lang w:val="en-US" w:eastAsia="zh-CN" w:bidi="ar"/>
        </w:rPr>
        <w:t xml:space="preserve">legislation and council and government policy, strategy, responsibility, and guidance.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p>
    <w:p>
      <w:pPr>
        <w:keepNext w:val="0"/>
        <w:keepLines w:val="0"/>
        <w:widowControl/>
        <w:suppressLineNumbers w:val="0"/>
        <w:jc w:val="left"/>
      </w:pPr>
      <w:r>
        <w:rPr>
          <w:rFonts w:hint="default" w:ascii="Arial Bold" w:hAnsi="Arial Bold" w:eastAsia="Arial Bold" w:cs="Arial Bold"/>
          <w:b/>
          <w:color w:val="000000"/>
          <w:kern w:val="0"/>
          <w:sz w:val="21"/>
          <w:szCs w:val="21"/>
          <w:lang w:val="en-US" w:eastAsia="zh-CN" w:bidi="ar"/>
        </w:rPr>
        <w:t xml:space="preserve">Other relevant legislative requirements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The council has other general statutory requirements relating to crime and disorder, anti-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social behaviour, health, nuisance, human rights, disability discrimination and race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r>
        <w:rPr>
          <w:rFonts w:hint="default" w:ascii="Arial" w:hAnsi="Arial" w:eastAsia="SimSun" w:cs="Arial"/>
          <w:color w:val="000000"/>
          <w:kern w:val="0"/>
          <w:sz w:val="21"/>
          <w:szCs w:val="21"/>
          <w:lang w:val="en-US" w:eastAsia="zh-CN" w:bidi="ar"/>
        </w:rPr>
        <w:t xml:space="preserve">relations. These are briefly outlined below.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p>
    <w:p>
      <w:pPr>
        <w:keepNext w:val="0"/>
        <w:keepLines w:val="0"/>
        <w:widowControl/>
        <w:suppressLineNumbers w:val="0"/>
        <w:jc w:val="left"/>
      </w:pPr>
      <w:r>
        <w:rPr>
          <w:rFonts w:hint="default" w:ascii="Arial Bold" w:hAnsi="Arial Bold" w:eastAsia="Arial Bold" w:cs="Arial Bold"/>
          <w:b/>
          <w:color w:val="000000"/>
          <w:kern w:val="0"/>
          <w:sz w:val="21"/>
          <w:szCs w:val="21"/>
          <w:lang w:val="en-US" w:eastAsia="zh-CN" w:bidi="ar"/>
        </w:rPr>
        <w:t xml:space="preserve">The Anti-Social Behaviour Crime and Policing Act 2014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The Anti-Social Behaviour, Crime and Policing Act 2014 defines ‘anti-social behaviour’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as “conduct that has caused, or is likely to cause, harassment, alarm or distress to any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person”; “conduct capable of causing nuisance or annoyance to a person in relation to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that person’s occupation of residential premises”; or “conduct capable of causing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housing-related nuisance or annoyance to a person”.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The Act contains a range of powers intended to support local authority and partner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bodies deal with anti-social behaviour. These include powers of premises closure in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r>
        <w:rPr>
          <w:rFonts w:hint="default" w:ascii="Arial" w:hAnsi="Arial" w:eastAsia="SimSun" w:cs="Arial"/>
          <w:color w:val="000000"/>
          <w:kern w:val="0"/>
          <w:sz w:val="21"/>
          <w:szCs w:val="21"/>
          <w:lang w:val="en-US" w:eastAsia="zh-CN" w:bidi="ar"/>
        </w:rPr>
        <w:t xml:space="preserve">cases of nuisance or disorder which may support primary legislation.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p>
    <w:p>
      <w:pPr>
        <w:keepNext w:val="0"/>
        <w:keepLines w:val="0"/>
        <w:widowControl/>
        <w:suppressLineNumbers w:val="0"/>
        <w:jc w:val="left"/>
      </w:pPr>
      <w:r>
        <w:rPr>
          <w:rFonts w:hint="default" w:ascii="Arial Bold" w:hAnsi="Arial Bold" w:eastAsia="Arial Bold" w:cs="Arial Bold"/>
          <w:b/>
          <w:color w:val="000000"/>
          <w:kern w:val="0"/>
          <w:sz w:val="21"/>
          <w:szCs w:val="21"/>
          <w:lang w:val="en-US" w:eastAsia="zh-CN" w:bidi="ar"/>
        </w:rPr>
        <w:t xml:space="preserve">The Clean Neighbourhoods and Environment Act 2005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This provides local authorities with additional powers to tackle poor environmental quality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and anti-social behaviour. In particular, the Act includes sections on nuisance and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abandoned vehicles, litter, graffiti, waste, noise and dogs. The Act gives local authorities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powers to issue fixed penalty notices to any licensed premises emitting noise that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r>
        <w:rPr>
          <w:rFonts w:hint="default" w:ascii="Arial" w:hAnsi="Arial" w:eastAsia="SimSun" w:cs="Arial"/>
          <w:color w:val="000000"/>
          <w:kern w:val="0"/>
          <w:sz w:val="21"/>
          <w:szCs w:val="21"/>
          <w:lang w:val="en-US" w:eastAsia="zh-CN" w:bidi="ar"/>
        </w:rPr>
        <w:t xml:space="preserve">exceeds the permitted level between the hours of 11pm and 7am.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The </w:t>
      </w:r>
      <w:r>
        <w:rPr>
          <w:rFonts w:hint="default" w:ascii="Arial Bold" w:hAnsi="Arial Bold" w:eastAsia="Arial Bold" w:cs="Arial Bold"/>
          <w:b/>
          <w:color w:val="000000"/>
          <w:kern w:val="0"/>
          <w:sz w:val="21"/>
          <w:szCs w:val="21"/>
          <w:lang w:val="en-US" w:eastAsia="zh-CN" w:bidi="ar"/>
        </w:rPr>
        <w:t xml:space="preserve">Crime and Disorder Act 1998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Section 17 of the Crime and Disorder Act 1998 is aimed at giving the vital work of crime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and disorder reduction a focus across the wide range of local services and putting it at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the heart of the local decision-making. It places a duty on key authorities, including local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authorities and the police and fire and rescue authorities, to do all they reasonably can to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prevent crime and disorder in their area.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All local authorities must fulfil their obligation under section 17 of the Act when carrying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out their functions as licensing authority under the 2003 Act. The council as licensing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authority must consider how the exercise of its functions impacts upon and contributes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toward the prevention of crime and disorder within its area.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This statement of licensing principles is intended to support the work of the local Crime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and Disorder Reduction Partnership, the Safer Southwark Partnership through measures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under both the </w:t>
      </w:r>
      <w:r>
        <w:rPr>
          <w:rFonts w:hint="default" w:ascii="Arial Bold" w:hAnsi="Arial Bold" w:eastAsia="Arial Bold" w:cs="Arial Bold"/>
          <w:b/>
          <w:color w:val="000000"/>
          <w:kern w:val="0"/>
          <w:sz w:val="21"/>
          <w:szCs w:val="21"/>
          <w:lang w:val="en-US" w:eastAsia="zh-CN" w:bidi="ar"/>
        </w:rPr>
        <w:t>Crime and Disorder Reduction Strategy</w:t>
      </w:r>
      <w:r>
        <w:rPr>
          <w:rFonts w:hint="default" w:ascii="Arial" w:hAnsi="Arial" w:eastAsia="SimSun" w:cs="Arial"/>
          <w:color w:val="000000"/>
          <w:kern w:val="0"/>
          <w:sz w:val="21"/>
          <w:szCs w:val="21"/>
          <w:lang w:val="en-US" w:eastAsia="zh-CN" w:bidi="ar"/>
        </w:rPr>
        <w:t xml:space="preserve">; the </w:t>
      </w:r>
      <w:r>
        <w:rPr>
          <w:rFonts w:hint="default" w:ascii="Arial Bold" w:hAnsi="Arial Bold" w:eastAsia="Arial Bold" w:cs="Arial Bold"/>
          <w:b/>
          <w:color w:val="000000"/>
          <w:kern w:val="0"/>
          <w:sz w:val="21"/>
          <w:szCs w:val="21"/>
          <w:lang w:val="en-US" w:eastAsia="zh-CN" w:bidi="ar"/>
        </w:rPr>
        <w:t xml:space="preserve">Violent Crime Reduction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r>
        <w:rPr>
          <w:rFonts w:hint="default" w:ascii="Arial Bold" w:hAnsi="Arial Bold" w:eastAsia="Arial Bold" w:cs="Arial Bold"/>
          <w:b/>
          <w:color w:val="000000"/>
          <w:kern w:val="0"/>
          <w:sz w:val="21"/>
          <w:szCs w:val="21"/>
          <w:lang w:val="en-US" w:eastAsia="zh-CN" w:bidi="ar"/>
        </w:rPr>
        <w:t xml:space="preserve">Strategy </w:t>
      </w:r>
      <w:r>
        <w:rPr>
          <w:rFonts w:hint="default" w:ascii="Arial" w:hAnsi="Arial" w:eastAsia="SimSun" w:cs="Arial"/>
          <w:color w:val="000000"/>
          <w:kern w:val="0"/>
          <w:sz w:val="21"/>
          <w:szCs w:val="21"/>
          <w:lang w:val="en-US" w:eastAsia="zh-CN" w:bidi="ar"/>
        </w:rPr>
        <w:t xml:space="preserve">and the </w:t>
      </w:r>
      <w:r>
        <w:rPr>
          <w:rFonts w:hint="default" w:ascii="Arial Bold" w:hAnsi="Arial Bold" w:eastAsia="Arial Bold" w:cs="Arial Bold"/>
          <w:b/>
          <w:color w:val="000000"/>
          <w:kern w:val="0"/>
          <w:sz w:val="21"/>
          <w:szCs w:val="21"/>
          <w:lang w:val="en-US" w:eastAsia="zh-CN" w:bidi="ar"/>
        </w:rPr>
        <w:t>Alcohol Strategy</w:t>
      </w:r>
      <w:r>
        <w:rPr>
          <w:rFonts w:hint="default" w:ascii="Arial" w:hAnsi="Arial" w:eastAsia="SimSun" w:cs="Arial"/>
          <w:color w:val="000000"/>
          <w:kern w:val="0"/>
          <w:sz w:val="21"/>
          <w:szCs w:val="21"/>
          <w:lang w:val="en-US" w:eastAsia="zh-CN" w:bidi="ar"/>
        </w:rPr>
        <w:t xml:space="preserve">.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p>
    <w:p>
      <w:pPr>
        <w:keepNext w:val="0"/>
        <w:keepLines w:val="0"/>
        <w:widowControl/>
        <w:suppressLineNumbers w:val="0"/>
        <w:jc w:val="left"/>
      </w:pPr>
      <w:r>
        <w:rPr>
          <w:rFonts w:hint="default" w:ascii="Arial Bold" w:hAnsi="Arial Bold" w:eastAsia="Arial Bold" w:cs="Arial Bold"/>
          <w:b/>
          <w:color w:val="000000"/>
          <w:kern w:val="0"/>
          <w:sz w:val="21"/>
          <w:szCs w:val="21"/>
          <w:lang w:val="en-US" w:eastAsia="zh-CN" w:bidi="ar"/>
        </w:rPr>
        <w:t xml:space="preserve">The Environmental Protection Act 1990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The Act provides the fundamental structure and authority for waste management and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control of emissions into the environment.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The management of statutory nuisance is set out in Part III of the Act. The Act places a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duty on a local authority to investigate complaints of statutory nuisance from people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living within its area. </w:t>
      </w:r>
    </w:p>
    <w:p>
      <w:pPr>
        <w:keepNext w:val="0"/>
        <w:keepLines w:val="0"/>
        <w:widowControl/>
        <w:suppressLineNumbers w:val="0"/>
        <w:jc w:val="left"/>
        <w:rPr>
          <w:rFonts w:hint="default" w:ascii="Times New Roman" w:hAnsi="Times New Roman" w:eastAsia="SimSun" w:cs="Times New Roman"/>
          <w:color w:val="000000"/>
          <w:kern w:val="0"/>
          <w:sz w:val="23"/>
          <w:szCs w:val="23"/>
          <w:lang w:val="en-US" w:eastAsia="zh-CN" w:bidi="ar"/>
        </w:rPr>
      </w:pPr>
      <w:r>
        <w:rPr>
          <w:rFonts w:hint="default" w:ascii="Times New Roman" w:hAnsi="Times New Roman" w:eastAsia="SimSun" w:cs="Times New Roman"/>
          <w:color w:val="000000"/>
          <w:kern w:val="0"/>
          <w:sz w:val="23"/>
          <w:szCs w:val="23"/>
          <w:lang w:val="en-US" w:eastAsia="zh-CN" w:bidi="ar"/>
        </w:rPr>
        <w:t xml:space="preserve">7475 </w:t>
      </w:r>
    </w:p>
    <w:p>
      <w:pPr>
        <w:keepNext w:val="0"/>
        <w:keepLines w:val="0"/>
        <w:widowControl/>
        <w:suppressLineNumbers w:val="0"/>
        <w:jc w:val="left"/>
        <w:rPr>
          <w:rFonts w:hint="default" w:ascii="Times New Roman" w:hAnsi="Times New Roman" w:eastAsia="SimSun" w:cs="Times New Roman"/>
          <w:color w:val="000000"/>
          <w:kern w:val="0"/>
          <w:sz w:val="23"/>
          <w:szCs w:val="23"/>
          <w:lang w:val="en-US" w:eastAsia="zh-CN" w:bidi="ar"/>
        </w:rPr>
      </w:pPr>
    </w:p>
    <w:p>
      <w:pPr>
        <w:keepNext w:val="0"/>
        <w:keepLines w:val="0"/>
        <w:widowControl/>
        <w:suppressLineNumbers w:val="0"/>
        <w:jc w:val="left"/>
      </w:pPr>
      <w:r>
        <w:rPr>
          <w:rFonts w:hint="default" w:ascii="Arial Bold" w:hAnsi="Arial Bold" w:eastAsia="Arial Bold" w:cs="Arial Bold"/>
          <w:b/>
          <w:color w:val="000000"/>
          <w:kern w:val="0"/>
          <w:sz w:val="21"/>
          <w:szCs w:val="21"/>
          <w:lang w:val="en-US" w:eastAsia="zh-CN" w:bidi="ar"/>
        </w:rPr>
        <w:t xml:space="preserve">Equality Act 2010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The Equality Act 2010 legally protects people from discrimination in the workplace and in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wider society. It replaced previous anti-discrimination laws with a single Act, making the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law easier to understand and strengthening protection in some situations.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The Act also imposes a public sector equality duty. This means that public bodies,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including this licensing authority, must consider all individuals when carrying out their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day to day work – in shaping policy: in delivering services; and in relation to their own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employees.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It also requires that public bodies </w:t>
      </w:r>
    </w:p>
    <w:p>
      <w:pPr>
        <w:keepNext w:val="0"/>
        <w:keepLines w:val="0"/>
        <w:widowControl/>
        <w:suppressLineNumbers w:val="0"/>
        <w:jc w:val="left"/>
      </w:pPr>
      <w:r>
        <w:rPr>
          <w:rFonts w:hint="default" w:ascii="Arial" w:hAnsi="Arial" w:eastAsia="SimSun" w:cs="Arial"/>
          <w:color w:val="000000"/>
          <w:kern w:val="0"/>
          <w:sz w:val="24"/>
          <w:szCs w:val="24"/>
          <w:lang w:val="en-US" w:eastAsia="zh-CN" w:bidi="ar"/>
        </w:rPr>
        <w:t xml:space="preserve">• </w:t>
      </w:r>
      <w:r>
        <w:rPr>
          <w:rFonts w:hint="default" w:ascii="Arial" w:hAnsi="Arial" w:eastAsia="SimSun" w:cs="Arial"/>
          <w:color w:val="000000"/>
          <w:kern w:val="0"/>
          <w:sz w:val="21"/>
          <w:szCs w:val="21"/>
          <w:lang w:val="en-US" w:eastAsia="zh-CN" w:bidi="ar"/>
        </w:rPr>
        <w:t xml:space="preserve">Have due regard to the need to eliminate discrimination </w:t>
      </w:r>
    </w:p>
    <w:p>
      <w:pPr>
        <w:keepNext w:val="0"/>
        <w:keepLines w:val="0"/>
        <w:widowControl/>
        <w:suppressLineNumbers w:val="0"/>
        <w:jc w:val="left"/>
      </w:pPr>
      <w:r>
        <w:rPr>
          <w:rFonts w:hint="default" w:ascii="Arial" w:hAnsi="Arial" w:eastAsia="SimSun" w:cs="Arial"/>
          <w:color w:val="000000"/>
          <w:kern w:val="0"/>
          <w:sz w:val="24"/>
          <w:szCs w:val="24"/>
          <w:lang w:val="en-US" w:eastAsia="zh-CN" w:bidi="ar"/>
        </w:rPr>
        <w:t xml:space="preserve">• </w:t>
      </w:r>
      <w:r>
        <w:rPr>
          <w:rFonts w:hint="default" w:ascii="Arial" w:hAnsi="Arial" w:eastAsia="SimSun" w:cs="Arial"/>
          <w:color w:val="000000"/>
          <w:kern w:val="0"/>
          <w:sz w:val="21"/>
          <w:szCs w:val="21"/>
          <w:lang w:val="en-US" w:eastAsia="zh-CN" w:bidi="ar"/>
        </w:rPr>
        <w:t xml:space="preserve">Advance equality of opportunity </w:t>
      </w:r>
    </w:p>
    <w:p>
      <w:pPr>
        <w:keepNext w:val="0"/>
        <w:keepLines w:val="0"/>
        <w:widowControl/>
        <w:suppressLineNumbers w:val="0"/>
        <w:jc w:val="left"/>
      </w:pPr>
      <w:r>
        <w:rPr>
          <w:rFonts w:hint="default" w:ascii="Arial" w:hAnsi="Arial" w:eastAsia="SimSun" w:cs="Arial"/>
          <w:color w:val="000000"/>
          <w:kern w:val="0"/>
          <w:sz w:val="24"/>
          <w:szCs w:val="24"/>
          <w:lang w:val="en-US" w:eastAsia="zh-CN" w:bidi="ar"/>
        </w:rPr>
        <w:t xml:space="preserve">• </w:t>
      </w:r>
      <w:r>
        <w:rPr>
          <w:rFonts w:hint="default" w:ascii="Arial" w:hAnsi="Arial" w:eastAsia="SimSun" w:cs="Arial"/>
          <w:color w:val="000000"/>
          <w:kern w:val="0"/>
          <w:sz w:val="21"/>
          <w:szCs w:val="21"/>
          <w:lang w:val="en-US" w:eastAsia="zh-CN" w:bidi="ar"/>
        </w:rPr>
        <w:t xml:space="preserve">Foster good relations between different people when carrying out their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r>
        <w:rPr>
          <w:rFonts w:hint="default" w:ascii="Arial" w:hAnsi="Arial" w:eastAsia="SimSun" w:cs="Arial"/>
          <w:color w:val="000000"/>
          <w:kern w:val="0"/>
          <w:sz w:val="21"/>
          <w:szCs w:val="21"/>
          <w:lang w:val="en-US" w:eastAsia="zh-CN" w:bidi="ar"/>
        </w:rPr>
        <w:t xml:space="preserve">activities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This Authority recognises Southwark’s diversity as one of it’s strengths and is committed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to creating a more inclusive community. Our aim is to ensure that nothing within this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Statement of Licensing Policy discriminates against any group within the community and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will pursue any opportunity to promote equality of opportunity and good community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relations. To this end, the authority will undertake equalities impact assessments of the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policy at regular intervals to identify the effects the policy may have had for different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groups and take appropriate action to prevent direct and indirect discrimination which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r>
        <w:rPr>
          <w:rFonts w:hint="default" w:ascii="Arial" w:hAnsi="Arial" w:eastAsia="SimSun" w:cs="Arial"/>
          <w:color w:val="000000"/>
          <w:kern w:val="0"/>
          <w:sz w:val="21"/>
          <w:szCs w:val="21"/>
          <w:lang w:val="en-US" w:eastAsia="zh-CN" w:bidi="ar"/>
        </w:rPr>
        <w:t xml:space="preserve">may have been the result of the policy statement.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As will be noted from the information provided in section 12 of this document, contact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can be made with our licensing and related services in a number of ways. Our customer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contact centre is available 24/7. Our services can receive telephone; email and postal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communications. Advice and information is provided on our web site or direct from our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offices. Officers will make personal calls by appointment. If you require our services and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have difficulties using our services please talk to us and explain exactly what your needs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are to help us understand what adjustments may be necessary to the way we provide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r>
        <w:rPr>
          <w:rFonts w:hint="default" w:ascii="Arial" w:hAnsi="Arial" w:eastAsia="SimSun" w:cs="Arial"/>
          <w:color w:val="000000"/>
          <w:kern w:val="0"/>
          <w:sz w:val="21"/>
          <w:szCs w:val="21"/>
          <w:lang w:val="en-US" w:eastAsia="zh-CN" w:bidi="ar"/>
        </w:rPr>
        <w:t xml:space="preserve">our services.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We also recognise that other service providers providing licensable activities including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shops, hotels, pubs, theatres and more hold similar responsibilities. Service providers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have an obligation to make reasonable adjustments to premises or to the way they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provide a service. Sometimes it just takes minor changes to make a service accessible.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While access for people with disabilities is not one of the four licensing objectives, this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council expects that responsible licensees will comply with the requirements of the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Equality Act 2010. As such the licensing service will work closely with the Southwark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Disablement Association (SDA) to ensure that disabled people are not treated less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favourably than other people for a reason related to their disability. As part of this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arrangement this authority will inform the SDA of new licence applications and will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support the SDA and licensees in improving access to services. The SDA can provide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advice to any licensee on reasonable adjustments – contact details are provided in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r>
        <w:rPr>
          <w:rFonts w:hint="default" w:ascii="Arial" w:hAnsi="Arial" w:eastAsia="SimSun" w:cs="Arial"/>
          <w:color w:val="000000"/>
          <w:kern w:val="0"/>
          <w:sz w:val="21"/>
          <w:szCs w:val="21"/>
          <w:lang w:val="en-US" w:eastAsia="zh-CN" w:bidi="ar"/>
        </w:rPr>
        <w:t xml:space="preserve">section 12 of this policy.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Alternatively, the Directgov website provides advice on access to services at </w:t>
      </w:r>
    </w:p>
    <w:p>
      <w:pPr>
        <w:keepNext w:val="0"/>
        <w:keepLines w:val="0"/>
        <w:widowControl/>
        <w:suppressLineNumbers w:val="0"/>
        <w:jc w:val="left"/>
      </w:pPr>
      <w:r>
        <w:rPr>
          <w:rFonts w:hint="default" w:ascii="Arial" w:hAnsi="Arial" w:eastAsia="SimSun" w:cs="Arial"/>
          <w:color w:val="0000FF"/>
          <w:kern w:val="0"/>
          <w:sz w:val="21"/>
          <w:szCs w:val="21"/>
          <w:lang w:val="en-US" w:eastAsia="zh-CN" w:bidi="ar"/>
        </w:rPr>
        <w:t xml:space="preserve">http://www.direct.gov.uk/en/DisabledPeople/Everydaylifeandaccess/Everydayaccess/DG </w:t>
      </w:r>
    </w:p>
    <w:p>
      <w:pPr>
        <w:keepNext w:val="0"/>
        <w:keepLines w:val="0"/>
        <w:widowControl/>
        <w:suppressLineNumbers w:val="0"/>
        <w:jc w:val="left"/>
      </w:pPr>
      <w:r>
        <w:rPr>
          <w:rFonts w:hint="default" w:ascii="Arial" w:hAnsi="Arial" w:eastAsia="SimSun" w:cs="Arial"/>
          <w:color w:val="0000FF"/>
          <w:kern w:val="0"/>
          <w:sz w:val="21"/>
          <w:szCs w:val="21"/>
          <w:lang w:val="en-US" w:eastAsia="zh-CN" w:bidi="ar"/>
        </w:rPr>
        <w:t xml:space="preserve">_4018353 </w:t>
      </w:r>
      <w:r>
        <w:rPr>
          <w:rFonts w:hint="default" w:ascii="Arial" w:hAnsi="Arial" w:eastAsia="SimSun" w:cs="Arial"/>
          <w:color w:val="000000"/>
          <w:kern w:val="0"/>
          <w:sz w:val="21"/>
          <w:szCs w:val="21"/>
          <w:lang w:val="en-US" w:eastAsia="zh-CN" w:bidi="ar"/>
        </w:rPr>
        <w:t xml:space="preserve">. The web site also includes links to DisabledGo and Direct Enquiries, which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are online directories with detailed access information about venues across the UK. You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can search the database, and filter results so that you can check whether a venue is</w:t>
      </w:r>
      <w:r>
        <w:rPr>
          <w:rFonts w:hint="default" w:ascii="Times New Roman" w:hAnsi="Times New Roman" w:eastAsia="SimSun" w:cs="Times New Roman"/>
          <w:color w:val="000000"/>
          <w:kern w:val="0"/>
          <w:sz w:val="23"/>
          <w:szCs w:val="23"/>
          <w:lang w:val="en-US" w:eastAsia="zh-CN" w:bidi="ar"/>
        </w:rPr>
        <w:t xml:space="preserve">76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r>
        <w:rPr>
          <w:rFonts w:hint="default" w:ascii="Arial" w:hAnsi="Arial" w:eastAsia="SimSun" w:cs="Arial"/>
          <w:color w:val="000000"/>
          <w:kern w:val="0"/>
          <w:sz w:val="21"/>
          <w:szCs w:val="21"/>
          <w:lang w:val="en-US" w:eastAsia="zh-CN" w:bidi="ar"/>
        </w:rPr>
        <w:t xml:space="preserve">suitable for your own individual needs.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p>
    <w:p>
      <w:pPr>
        <w:keepNext w:val="0"/>
        <w:keepLines w:val="0"/>
        <w:widowControl/>
        <w:suppressLineNumbers w:val="0"/>
        <w:jc w:val="left"/>
      </w:pPr>
      <w:r>
        <w:rPr>
          <w:rFonts w:hint="default" w:ascii="Arial Bold" w:hAnsi="Arial Bold" w:eastAsia="Arial Bold" w:cs="Arial Bold"/>
          <w:b/>
          <w:color w:val="000000"/>
          <w:kern w:val="0"/>
          <w:sz w:val="21"/>
          <w:szCs w:val="21"/>
          <w:lang w:val="en-US" w:eastAsia="zh-CN" w:bidi="ar"/>
        </w:rPr>
        <w:t xml:space="preserve">The Gambling Act 2005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An Act designed to control all forms of gaming and betting. Under this legislation local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licensing authorities are made responsible for licensing gambling venues and are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r>
        <w:rPr>
          <w:rFonts w:hint="default" w:ascii="Arial" w:hAnsi="Arial" w:eastAsia="SimSun" w:cs="Arial"/>
          <w:color w:val="000000"/>
          <w:kern w:val="0"/>
          <w:sz w:val="21"/>
          <w:szCs w:val="21"/>
          <w:lang w:val="en-US" w:eastAsia="zh-CN" w:bidi="ar"/>
        </w:rPr>
        <w:t xml:space="preserve">provided with a range of enforcement powers.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p>
    <w:p>
      <w:pPr>
        <w:keepNext w:val="0"/>
        <w:keepLines w:val="0"/>
        <w:widowControl/>
        <w:suppressLineNumbers w:val="0"/>
        <w:jc w:val="left"/>
      </w:pPr>
      <w:r>
        <w:rPr>
          <w:rFonts w:hint="default" w:ascii="Arial Bold" w:hAnsi="Arial Bold" w:eastAsia="Arial Bold" w:cs="Arial Bold"/>
          <w:b/>
          <w:color w:val="000000"/>
          <w:kern w:val="0"/>
          <w:sz w:val="21"/>
          <w:szCs w:val="21"/>
          <w:lang w:val="en-US" w:eastAsia="zh-CN" w:bidi="ar"/>
        </w:rPr>
        <w:t xml:space="preserve">The Health Act 2006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The Health Act 2006 introduced the ban on smoking in all enclosed workplaces and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public spaces, including smoking in pubs, restaurants and members’ clubs where bar or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r>
        <w:rPr>
          <w:rFonts w:hint="default" w:ascii="Arial" w:hAnsi="Arial" w:eastAsia="SimSun" w:cs="Arial"/>
          <w:color w:val="000000"/>
          <w:kern w:val="0"/>
          <w:sz w:val="21"/>
          <w:szCs w:val="21"/>
          <w:lang w:val="en-US" w:eastAsia="zh-CN" w:bidi="ar"/>
        </w:rPr>
        <w:t xml:space="preserve">other staff are employed. The law is enforced by local authorities.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p>
    <w:p>
      <w:pPr>
        <w:keepNext w:val="0"/>
        <w:keepLines w:val="0"/>
        <w:widowControl/>
        <w:suppressLineNumbers w:val="0"/>
        <w:jc w:val="left"/>
      </w:pPr>
      <w:r>
        <w:rPr>
          <w:rFonts w:hint="default" w:ascii="Arial Bold" w:hAnsi="Arial Bold" w:eastAsia="Arial Bold" w:cs="Arial Bold"/>
          <w:b/>
          <w:color w:val="000000"/>
          <w:kern w:val="0"/>
          <w:sz w:val="21"/>
          <w:szCs w:val="21"/>
          <w:lang w:val="en-US" w:eastAsia="zh-CN" w:bidi="ar"/>
        </w:rPr>
        <w:t xml:space="preserve">The Health and Safety at Work Act 1974 and the Management of Health and Safety </w:t>
      </w:r>
    </w:p>
    <w:p>
      <w:pPr>
        <w:keepNext w:val="0"/>
        <w:keepLines w:val="0"/>
        <w:widowControl/>
        <w:suppressLineNumbers w:val="0"/>
        <w:jc w:val="left"/>
        <w:rPr>
          <w:rFonts w:hint="default" w:ascii="Arial Bold" w:hAnsi="Arial Bold" w:eastAsia="Arial Bold" w:cs="Arial Bold"/>
          <w:b/>
          <w:color w:val="000000"/>
          <w:kern w:val="0"/>
          <w:sz w:val="21"/>
          <w:szCs w:val="21"/>
          <w:lang w:val="en-US" w:eastAsia="zh-CN" w:bidi="ar"/>
        </w:rPr>
      </w:pPr>
      <w:r>
        <w:rPr>
          <w:rFonts w:hint="default" w:ascii="Arial Bold" w:hAnsi="Arial Bold" w:eastAsia="Arial Bold" w:cs="Arial Bold"/>
          <w:b/>
          <w:color w:val="000000"/>
          <w:kern w:val="0"/>
          <w:sz w:val="21"/>
          <w:szCs w:val="21"/>
          <w:lang w:val="en-US" w:eastAsia="zh-CN" w:bidi="ar"/>
        </w:rPr>
        <w:t xml:space="preserve">at Work Regulations 1999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These set the standards that must be met to ensure the health and safety of all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employees and others who may be affected by any work activity.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The Health and Safety at Work Regulations 1999 state that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“(1) Every employer shall make a suitable and sufficient assessment of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 The risks to the health and safety of his employees to which they are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exposed whilst they are at work; and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(b) The risks to the health and safety of persons not in his employment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arising out of or in connection with the conduct by him of his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undertaking, for the purpose of identifying the measures he needs to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take to comply with the requirements and prohibitions imposed upon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him by or under the relevant statutory provisions.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(2) Every self-employed person shall make a suitable and sufficient assessment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of -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 The risks to his own health and safety to which he is exposed whilst he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is at work; and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(b) The risks to the health and safety of persons not in his employment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arising out of or in connection with the conduct by him of his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r>
        <w:rPr>
          <w:rFonts w:hint="default" w:ascii="Arial" w:hAnsi="Arial" w:eastAsia="SimSun" w:cs="Arial"/>
          <w:color w:val="000000"/>
          <w:kern w:val="0"/>
          <w:sz w:val="21"/>
          <w:szCs w:val="21"/>
          <w:lang w:val="en-US" w:eastAsia="zh-CN" w:bidi="ar"/>
        </w:rPr>
        <w:t xml:space="preserve">undertaking,”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The Health and Safety Executive helpfully provides a range of example risk-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assessments which may be viewed at </w:t>
      </w:r>
      <w:r>
        <w:rPr>
          <w:rFonts w:hint="default" w:ascii="Arial" w:hAnsi="Arial" w:eastAsia="SimSun" w:cs="Arial"/>
          <w:color w:val="0000FF"/>
          <w:kern w:val="0"/>
          <w:sz w:val="21"/>
          <w:szCs w:val="21"/>
          <w:lang w:val="en-US" w:eastAsia="zh-CN" w:bidi="ar"/>
        </w:rPr>
        <w:t xml:space="preserve">http://www.hse.gov.uk/risk/casestudies/ </w:t>
      </w:r>
      <w:r>
        <w:rPr>
          <w:rFonts w:hint="default" w:ascii="Arial" w:hAnsi="Arial" w:eastAsia="SimSun" w:cs="Arial"/>
          <w:color w:val="000000"/>
          <w:kern w:val="0"/>
          <w:sz w:val="21"/>
          <w:szCs w:val="21"/>
          <w:lang w:val="en-US" w:eastAsia="zh-CN" w:bidi="ar"/>
        </w:rPr>
        <w:t xml:space="preserve">. The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examples provided include for night-clubs, pubs, village halls, off-licences and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r>
        <w:rPr>
          <w:rFonts w:hint="default" w:ascii="Arial" w:hAnsi="Arial" w:eastAsia="SimSun" w:cs="Arial"/>
          <w:color w:val="000000"/>
          <w:kern w:val="0"/>
          <w:sz w:val="21"/>
          <w:szCs w:val="21"/>
          <w:lang w:val="en-US" w:eastAsia="zh-CN" w:bidi="ar"/>
        </w:rPr>
        <w:t xml:space="preserve">convenience stores.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p>
    <w:p>
      <w:pPr>
        <w:keepNext w:val="0"/>
        <w:keepLines w:val="0"/>
        <w:widowControl/>
        <w:suppressLineNumbers w:val="0"/>
        <w:jc w:val="left"/>
      </w:pPr>
      <w:r>
        <w:rPr>
          <w:rFonts w:hint="default" w:ascii="Arial Bold" w:hAnsi="Arial Bold" w:eastAsia="Arial Bold" w:cs="Arial Bold"/>
          <w:b/>
          <w:color w:val="000000"/>
          <w:kern w:val="0"/>
          <w:sz w:val="21"/>
          <w:szCs w:val="21"/>
          <w:lang w:val="en-US" w:eastAsia="zh-CN" w:bidi="ar"/>
        </w:rPr>
        <w:t xml:space="preserve">The Human Rights Act 1998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The Human Rights Act 1998 incorporates the European Convention on Human Rights,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making it unlawful for a local authority to act in any way that is incompatible with a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convention right. The council will have particular regard to the relevant provisions of the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European Convention of Human Rights – </w:t>
      </w:r>
    </w:p>
    <w:p>
      <w:pPr>
        <w:keepNext w:val="0"/>
        <w:keepLines w:val="0"/>
        <w:widowControl/>
        <w:suppressLineNumbers w:val="0"/>
        <w:jc w:val="left"/>
      </w:pPr>
      <w:r>
        <w:rPr>
          <w:rFonts w:hint="default" w:ascii="Arial" w:hAnsi="Arial" w:eastAsia="SimSun" w:cs="Arial"/>
          <w:color w:val="000000"/>
          <w:kern w:val="0"/>
          <w:sz w:val="24"/>
          <w:szCs w:val="24"/>
          <w:lang w:val="en-US" w:eastAsia="zh-CN" w:bidi="ar"/>
        </w:rPr>
        <w:t xml:space="preserve">• </w:t>
      </w:r>
      <w:r>
        <w:rPr>
          <w:rFonts w:hint="default" w:ascii="Arial" w:hAnsi="Arial" w:eastAsia="SimSun" w:cs="Arial"/>
          <w:color w:val="000000"/>
          <w:kern w:val="0"/>
          <w:sz w:val="21"/>
          <w:szCs w:val="21"/>
          <w:lang w:val="en-US" w:eastAsia="zh-CN" w:bidi="ar"/>
        </w:rPr>
        <w:t xml:space="preserve">Article 1 of the first protocol that every person is entitled to the peaceful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enjoyment of his possessions, including for example the possession of a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licence </w:t>
      </w:r>
    </w:p>
    <w:p>
      <w:pPr>
        <w:keepNext w:val="0"/>
        <w:keepLines w:val="0"/>
        <w:widowControl/>
        <w:suppressLineNumbers w:val="0"/>
        <w:jc w:val="left"/>
      </w:pPr>
      <w:r>
        <w:rPr>
          <w:rFonts w:hint="default" w:ascii="Arial" w:hAnsi="Arial" w:eastAsia="SimSun" w:cs="Arial"/>
          <w:color w:val="000000"/>
          <w:kern w:val="0"/>
          <w:sz w:val="24"/>
          <w:szCs w:val="24"/>
          <w:lang w:val="en-US" w:eastAsia="zh-CN" w:bidi="ar"/>
        </w:rPr>
        <w:t xml:space="preserve">• </w:t>
      </w:r>
      <w:r>
        <w:rPr>
          <w:rFonts w:hint="default" w:ascii="Arial" w:hAnsi="Arial" w:eastAsia="SimSun" w:cs="Arial"/>
          <w:color w:val="000000"/>
          <w:kern w:val="0"/>
          <w:sz w:val="21"/>
          <w:szCs w:val="21"/>
          <w:lang w:val="en-US" w:eastAsia="zh-CN" w:bidi="ar"/>
        </w:rPr>
        <w:t>Article 6 that in determination of civil rights and obligations everyone is</w:t>
      </w:r>
      <w:r>
        <w:rPr>
          <w:rFonts w:hint="default" w:ascii="Times New Roman" w:hAnsi="Times New Roman" w:eastAsia="SimSun" w:cs="Times New Roman"/>
          <w:color w:val="000000"/>
          <w:kern w:val="0"/>
          <w:sz w:val="23"/>
          <w:szCs w:val="23"/>
          <w:lang w:val="en-US" w:eastAsia="zh-CN" w:bidi="ar"/>
        </w:rPr>
        <w:t xml:space="preserve">77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entitled to a fair and public hearing within a reasonable time by an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independent and impartial tribunal established by law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r>
        <w:rPr>
          <w:rFonts w:hint="default" w:ascii="Arial" w:hAnsi="Arial" w:eastAsia="SimSun" w:cs="Arial"/>
          <w:color w:val="000000"/>
          <w:kern w:val="0"/>
          <w:sz w:val="24"/>
          <w:szCs w:val="24"/>
          <w:lang w:val="en-US" w:eastAsia="zh-CN" w:bidi="ar"/>
        </w:rPr>
        <w:t xml:space="preserve">• </w:t>
      </w:r>
      <w:r>
        <w:rPr>
          <w:rFonts w:hint="default" w:ascii="Arial" w:hAnsi="Arial" w:eastAsia="SimSun" w:cs="Arial"/>
          <w:color w:val="000000"/>
          <w:kern w:val="0"/>
          <w:sz w:val="21"/>
          <w:szCs w:val="21"/>
          <w:lang w:val="en-US" w:eastAsia="zh-CN" w:bidi="ar"/>
        </w:rPr>
        <w:t xml:space="preserve">Article 8 that everyone has the right to respect for his home and private life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p>
    <w:p>
      <w:pPr>
        <w:keepNext w:val="0"/>
        <w:keepLines w:val="0"/>
        <w:widowControl/>
        <w:suppressLineNumbers w:val="0"/>
        <w:jc w:val="left"/>
      </w:pPr>
      <w:r>
        <w:rPr>
          <w:rFonts w:hint="default" w:ascii="Arial Bold" w:hAnsi="Arial Bold" w:eastAsia="Arial Bold" w:cs="Arial Bold"/>
          <w:b/>
          <w:color w:val="000000"/>
          <w:kern w:val="0"/>
          <w:sz w:val="21"/>
          <w:szCs w:val="21"/>
          <w:lang w:val="en-US" w:eastAsia="zh-CN" w:bidi="ar"/>
        </w:rPr>
        <w:t xml:space="preserve">Regulatory Reform (Fire Safety) Order 2005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The Regulatory Fire Safety (Reform) Order 2005 covers general fire safety in England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and Wales. In the majority of premises, local fire and rescue authorities enforce this fire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safety legislation. Under the Regulatory Reform (Fire Safety) Order 2005 the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“responsible person” as defined by the order, must </w:t>
      </w:r>
    </w:p>
    <w:p>
      <w:pPr>
        <w:keepNext w:val="0"/>
        <w:keepLines w:val="0"/>
        <w:widowControl/>
        <w:suppressLineNumbers w:val="0"/>
        <w:jc w:val="left"/>
      </w:pPr>
      <w:r>
        <w:rPr>
          <w:rFonts w:hint="default" w:ascii="Arial" w:hAnsi="Arial" w:eastAsia="SimSun" w:cs="Arial"/>
          <w:color w:val="000000"/>
          <w:kern w:val="0"/>
          <w:sz w:val="24"/>
          <w:szCs w:val="24"/>
          <w:lang w:val="en-US" w:eastAsia="zh-CN" w:bidi="ar"/>
        </w:rPr>
        <w:t xml:space="preserve">• </w:t>
      </w:r>
      <w:r>
        <w:rPr>
          <w:rFonts w:hint="default" w:ascii="Arial" w:hAnsi="Arial" w:eastAsia="SimSun" w:cs="Arial"/>
          <w:color w:val="000000"/>
          <w:kern w:val="0"/>
          <w:sz w:val="21"/>
          <w:szCs w:val="21"/>
          <w:lang w:val="en-US" w:eastAsia="zh-CN" w:bidi="ar"/>
        </w:rPr>
        <w:t xml:space="preserve">Take such general fire precautions as will ensure, so far as is reasonably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practicable, the safety of his or her employees </w:t>
      </w:r>
    </w:p>
    <w:p>
      <w:pPr>
        <w:keepNext w:val="0"/>
        <w:keepLines w:val="0"/>
        <w:widowControl/>
        <w:suppressLineNumbers w:val="0"/>
        <w:jc w:val="left"/>
      </w:pPr>
      <w:r>
        <w:rPr>
          <w:rFonts w:hint="default" w:ascii="Arial" w:hAnsi="Arial" w:eastAsia="SimSun" w:cs="Arial"/>
          <w:color w:val="000000"/>
          <w:kern w:val="0"/>
          <w:sz w:val="24"/>
          <w:szCs w:val="24"/>
          <w:lang w:val="en-US" w:eastAsia="zh-CN" w:bidi="ar"/>
        </w:rPr>
        <w:t xml:space="preserve">• </w:t>
      </w:r>
      <w:r>
        <w:rPr>
          <w:rFonts w:hint="default" w:ascii="Arial" w:hAnsi="Arial" w:eastAsia="SimSun" w:cs="Arial"/>
          <w:color w:val="000000"/>
          <w:kern w:val="0"/>
          <w:sz w:val="21"/>
          <w:szCs w:val="21"/>
          <w:lang w:val="en-US" w:eastAsia="zh-CN" w:bidi="ar"/>
        </w:rPr>
        <w:t xml:space="preserve">Take such general fire precautions as may be reasonably required in the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circumstances of the case to ensure that the premises are safe for the use by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other persons </w:t>
      </w:r>
    </w:p>
    <w:p>
      <w:pPr>
        <w:keepNext w:val="0"/>
        <w:keepLines w:val="0"/>
        <w:widowControl/>
        <w:suppressLineNumbers w:val="0"/>
        <w:jc w:val="left"/>
      </w:pPr>
      <w:r>
        <w:rPr>
          <w:rFonts w:hint="default" w:ascii="Arial" w:hAnsi="Arial" w:eastAsia="SimSun" w:cs="Arial"/>
          <w:color w:val="000000"/>
          <w:kern w:val="0"/>
          <w:sz w:val="24"/>
          <w:szCs w:val="24"/>
          <w:lang w:val="en-US" w:eastAsia="zh-CN" w:bidi="ar"/>
        </w:rPr>
        <w:t xml:space="preserve">• </w:t>
      </w:r>
      <w:r>
        <w:rPr>
          <w:rFonts w:hint="default" w:ascii="Arial" w:hAnsi="Arial" w:eastAsia="SimSun" w:cs="Arial"/>
          <w:color w:val="000000"/>
          <w:kern w:val="0"/>
          <w:sz w:val="21"/>
          <w:szCs w:val="21"/>
          <w:lang w:val="en-US" w:eastAsia="zh-CN" w:bidi="ar"/>
        </w:rPr>
        <w:t xml:space="preserve">Make a suitable and sufficient assessment of fire risks to which relevant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persons may be exposed for the purposes of identifying the general fire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precautions he or she needs to take </w:t>
      </w:r>
    </w:p>
    <w:p>
      <w:pPr>
        <w:keepNext w:val="0"/>
        <w:keepLines w:val="0"/>
        <w:widowControl/>
        <w:suppressLineNumbers w:val="0"/>
        <w:jc w:val="left"/>
      </w:pPr>
      <w:r>
        <w:rPr>
          <w:rFonts w:hint="default" w:ascii="Arial" w:hAnsi="Arial" w:eastAsia="SimSun" w:cs="Arial"/>
          <w:color w:val="000000"/>
          <w:kern w:val="0"/>
          <w:sz w:val="24"/>
          <w:szCs w:val="24"/>
          <w:lang w:val="en-US" w:eastAsia="zh-CN" w:bidi="ar"/>
        </w:rPr>
        <w:t xml:space="preserve">• </w:t>
      </w:r>
      <w:r>
        <w:rPr>
          <w:rFonts w:hint="default" w:ascii="Arial" w:hAnsi="Arial" w:eastAsia="SimSun" w:cs="Arial"/>
          <w:color w:val="000000"/>
          <w:kern w:val="0"/>
          <w:sz w:val="21"/>
          <w:szCs w:val="21"/>
          <w:lang w:val="en-US" w:eastAsia="zh-CN" w:bidi="ar"/>
        </w:rPr>
        <w:t xml:space="preserve">The responsible person MUST record the information gathered by the risk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assessment for all premises covered by the Licensing Act 2003, in particular,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the significant findings; the measures taken, or to be taken, to ensure general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fire safety; and any person identified as being especially at risk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This authority recognises that it may not impose any condition relating to any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requirement or prohibition that is or could be imposed under the “Fire Safety Order” and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thereby that conditions relating purely to fire safety matters may not be placed on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premises licences. Further information and guidance about the Order and fire safety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legislation is available from the Communities and Local Government website at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r>
        <w:rPr>
          <w:rFonts w:hint="default" w:ascii="Arial" w:hAnsi="Arial" w:eastAsia="SimSun" w:cs="Arial"/>
          <w:color w:val="0000FF"/>
          <w:kern w:val="0"/>
          <w:sz w:val="21"/>
          <w:szCs w:val="21"/>
          <w:lang w:val="en-US" w:eastAsia="zh-CN" w:bidi="ar"/>
        </w:rPr>
        <w:t>www.communities.gov.uk/fire</w:t>
      </w:r>
      <w:r>
        <w:rPr>
          <w:rFonts w:hint="default" w:ascii="Arial" w:hAnsi="Arial" w:eastAsia="SimSun" w:cs="Arial"/>
          <w:color w:val="000000"/>
          <w:kern w:val="0"/>
          <w:sz w:val="21"/>
          <w:szCs w:val="21"/>
          <w:lang w:val="en-US" w:eastAsia="zh-CN" w:bidi="ar"/>
        </w:rPr>
        <w:t xml:space="preserve">.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p>
    <w:p>
      <w:pPr>
        <w:keepNext w:val="0"/>
        <w:keepLines w:val="0"/>
        <w:widowControl/>
        <w:suppressLineNumbers w:val="0"/>
        <w:jc w:val="left"/>
      </w:pPr>
      <w:r>
        <w:rPr>
          <w:rFonts w:hint="default" w:ascii="Arial Bold" w:hAnsi="Arial Bold" w:eastAsia="Arial Bold" w:cs="Arial Bold"/>
          <w:b/>
          <w:color w:val="000000"/>
          <w:kern w:val="0"/>
          <w:sz w:val="21"/>
          <w:szCs w:val="21"/>
          <w:lang w:val="en-US" w:eastAsia="zh-CN" w:bidi="ar"/>
        </w:rPr>
        <w:t xml:space="preserve">Other strategies and policies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This authority will look to secure the proper integration of this policy with other council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and government policies, strategies, responsibilities, and guidance documents issued. In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r>
        <w:rPr>
          <w:rFonts w:hint="default" w:ascii="Arial" w:hAnsi="Arial" w:eastAsia="SimSun" w:cs="Arial"/>
          <w:color w:val="000000"/>
          <w:kern w:val="0"/>
          <w:sz w:val="21"/>
          <w:szCs w:val="21"/>
          <w:lang w:val="en-US" w:eastAsia="zh-CN" w:bidi="ar"/>
        </w:rPr>
        <w:t xml:space="preserve">this context this policy is informed by the following strategies and policies.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p>
    <w:p>
      <w:pPr>
        <w:keepNext w:val="0"/>
        <w:keepLines w:val="0"/>
        <w:widowControl/>
        <w:suppressLineNumbers w:val="0"/>
        <w:jc w:val="left"/>
      </w:pPr>
      <w:r>
        <w:rPr>
          <w:rFonts w:hint="default" w:ascii="Arial Bold" w:hAnsi="Arial Bold" w:eastAsia="Arial Bold" w:cs="Arial Bold"/>
          <w:b/>
          <w:color w:val="000000"/>
          <w:kern w:val="0"/>
          <w:sz w:val="21"/>
          <w:szCs w:val="21"/>
          <w:lang w:val="en-US" w:eastAsia="zh-CN" w:bidi="ar"/>
        </w:rPr>
        <w:t xml:space="preserve">Alcohol Harm Reduction Strategy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Southwark’s local Alcohol Harm Reduction Strategy, prepared in response to the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National Alcohol Harm Reduction Strategy (“Safe. Sensible. Social. The next steps in the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National Alcohol Strategy” (June 2007)) explores the relationships between alcohol and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crime alongside health impacts.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In preparing this statement the council is particularly aware that the national strategy has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identified a number of priorities that should be considered when taking decisions in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connection with licensing matters. </w:t>
      </w:r>
    </w:p>
    <w:p>
      <w:pPr>
        <w:keepNext w:val="0"/>
        <w:keepLines w:val="0"/>
        <w:widowControl/>
        <w:suppressLineNumbers w:val="0"/>
        <w:jc w:val="left"/>
      </w:pPr>
      <w:r>
        <w:rPr>
          <w:rFonts w:hint="default" w:ascii="Arial" w:hAnsi="Arial" w:eastAsia="SimSun" w:cs="Arial"/>
          <w:color w:val="000000"/>
          <w:kern w:val="0"/>
          <w:sz w:val="24"/>
          <w:szCs w:val="24"/>
          <w:lang w:val="en-US" w:eastAsia="zh-CN" w:bidi="ar"/>
        </w:rPr>
        <w:t xml:space="preserve">• </w:t>
      </w:r>
      <w:r>
        <w:rPr>
          <w:rFonts w:hint="default" w:ascii="Arial" w:hAnsi="Arial" w:eastAsia="SimSun" w:cs="Arial"/>
          <w:color w:val="000000"/>
          <w:kern w:val="0"/>
          <w:sz w:val="21"/>
          <w:szCs w:val="21"/>
          <w:lang w:val="en-US" w:eastAsia="zh-CN" w:bidi="ar"/>
        </w:rPr>
        <w:t xml:space="preserve">To reduce the problems arising from under-age drinking; </w:t>
      </w:r>
    </w:p>
    <w:p>
      <w:pPr>
        <w:keepNext w:val="0"/>
        <w:keepLines w:val="0"/>
        <w:widowControl/>
        <w:suppressLineNumbers w:val="0"/>
        <w:jc w:val="left"/>
      </w:pPr>
      <w:r>
        <w:rPr>
          <w:rFonts w:hint="default" w:ascii="Arial" w:hAnsi="Arial" w:eastAsia="SimSun" w:cs="Arial"/>
          <w:color w:val="000000"/>
          <w:kern w:val="0"/>
          <w:sz w:val="24"/>
          <w:szCs w:val="24"/>
          <w:lang w:val="en-US" w:eastAsia="zh-CN" w:bidi="ar"/>
        </w:rPr>
        <w:t xml:space="preserve">• </w:t>
      </w:r>
      <w:r>
        <w:rPr>
          <w:rFonts w:hint="default" w:ascii="Arial" w:hAnsi="Arial" w:eastAsia="SimSun" w:cs="Arial"/>
          <w:color w:val="000000"/>
          <w:kern w:val="0"/>
          <w:sz w:val="21"/>
          <w:szCs w:val="21"/>
          <w:lang w:val="en-US" w:eastAsia="zh-CN" w:bidi="ar"/>
        </w:rPr>
        <w:t xml:space="preserve">To reduce public drunkenness; and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r>
        <w:rPr>
          <w:rFonts w:hint="default" w:ascii="Arial" w:hAnsi="Arial" w:eastAsia="SimSun" w:cs="Arial"/>
          <w:color w:val="000000"/>
          <w:kern w:val="0"/>
          <w:sz w:val="24"/>
          <w:szCs w:val="24"/>
          <w:lang w:val="en-US" w:eastAsia="zh-CN" w:bidi="ar"/>
        </w:rPr>
        <w:t xml:space="preserve">• </w:t>
      </w:r>
      <w:r>
        <w:rPr>
          <w:rFonts w:hint="default" w:ascii="Arial" w:hAnsi="Arial" w:eastAsia="SimSun" w:cs="Arial"/>
          <w:color w:val="000000"/>
          <w:kern w:val="0"/>
          <w:sz w:val="21"/>
          <w:szCs w:val="21"/>
          <w:lang w:val="en-US" w:eastAsia="zh-CN" w:bidi="ar"/>
        </w:rPr>
        <w:t xml:space="preserve">To prevent alcohol related violence.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p>
    <w:p>
      <w:pPr>
        <w:keepNext w:val="0"/>
        <w:keepLines w:val="0"/>
        <w:widowControl/>
        <w:suppressLineNumbers w:val="0"/>
        <w:jc w:val="left"/>
      </w:pPr>
      <w:r>
        <w:rPr>
          <w:rFonts w:hint="default" w:ascii="Arial Bold" w:hAnsi="Arial Bold" w:eastAsia="Arial Bold" w:cs="Arial Bold"/>
          <w:b/>
          <w:color w:val="000000"/>
          <w:kern w:val="0"/>
          <w:sz w:val="21"/>
          <w:szCs w:val="21"/>
          <w:lang w:val="en-US" w:eastAsia="zh-CN" w:bidi="ar"/>
        </w:rPr>
        <w:t xml:space="preserve">Southwark Cultural Strategy 2013-2018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Southwark Cultural Strategy considers the role that the Council has to play in the cultural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life of the borough.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As part of implementing local cultural strategy, the council will actively encourage and</w:t>
      </w:r>
      <w:r>
        <w:rPr>
          <w:rFonts w:hint="default" w:ascii="Times New Roman" w:hAnsi="Times New Roman" w:eastAsia="SimSun" w:cs="Times New Roman"/>
          <w:color w:val="000000"/>
          <w:kern w:val="0"/>
          <w:sz w:val="23"/>
          <w:szCs w:val="23"/>
          <w:lang w:val="en-US" w:eastAsia="zh-CN" w:bidi="ar"/>
        </w:rPr>
        <w:t xml:space="preserve">78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promote the performing arts (particularly live music, dancing and theatre), creative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programming and the performance of traditional and cultural entertainments.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While this authority is naturally concerned that local community events do not cause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disturbance in the local neighbourhood, it also recognises the wider benefits of cultural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events for local communities. As such, this authority will be aware of the need to avoid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measures which deter live music, dancing and theatre by imposing indirect costs of a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disproportionate nature under licensing controls. Live performance is central to the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development of cultural diversity and vibrant and exciting communities, where artistic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freedom of expression is a fundamental right and greatly valued. Traditional music and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dancing are parts of our cultural heritage. Music and dancing helps to unite communities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and particularly in ethnically diverse communities, new and emerging musical and dance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forms can assist in the development of a fully integrated society. It should also be noted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that the absence of cultural provision in an area can itself lead to the young people being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diverted into anti-social activities that damage communities and the young people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themselves.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The council has also pursued a policy of seeking premises licences for its open spaces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in its own name. Where such licences are in place, performers and entertainers may not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need to obtain a licence or give a TENs themselves in order to perform. Instead they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would require permission from the council as premises licence holder. Details of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licences held by community venues may be viewed at </w:t>
      </w:r>
    </w:p>
    <w:p>
      <w:pPr>
        <w:keepNext w:val="0"/>
        <w:keepLines w:val="0"/>
        <w:widowControl/>
        <w:suppressLineNumbers w:val="0"/>
        <w:jc w:val="left"/>
        <w:rPr>
          <w:rFonts w:hint="default" w:ascii="Arial" w:hAnsi="Arial" w:eastAsia="SimSun" w:cs="Arial"/>
          <w:color w:val="0000FF"/>
          <w:kern w:val="0"/>
          <w:sz w:val="21"/>
          <w:szCs w:val="21"/>
          <w:lang w:val="en-US" w:eastAsia="zh-CN" w:bidi="ar"/>
        </w:rPr>
      </w:pPr>
      <w:r>
        <w:rPr>
          <w:rFonts w:hint="default" w:ascii="Arial" w:hAnsi="Arial" w:eastAsia="SimSun" w:cs="Arial"/>
          <w:color w:val="0000FF"/>
          <w:kern w:val="0"/>
          <w:sz w:val="21"/>
          <w:szCs w:val="21"/>
          <w:lang w:val="en-US" w:eastAsia="zh-CN" w:bidi="ar"/>
        </w:rPr>
        <w:t xml:space="preserve">http://licensing.southwarksites.com </w:t>
      </w:r>
    </w:p>
    <w:p>
      <w:pPr>
        <w:keepNext w:val="0"/>
        <w:keepLines w:val="0"/>
        <w:widowControl/>
        <w:suppressLineNumbers w:val="0"/>
        <w:jc w:val="left"/>
        <w:rPr>
          <w:rFonts w:hint="default" w:ascii="Arial" w:hAnsi="Arial" w:eastAsia="SimSun" w:cs="Arial"/>
          <w:color w:val="0000FF"/>
          <w:kern w:val="0"/>
          <w:sz w:val="21"/>
          <w:szCs w:val="21"/>
          <w:lang w:val="en-US" w:eastAsia="zh-CN" w:bidi="ar"/>
        </w:rPr>
      </w:pPr>
    </w:p>
    <w:p>
      <w:pPr>
        <w:keepNext w:val="0"/>
        <w:keepLines w:val="0"/>
        <w:widowControl/>
        <w:suppressLineNumbers w:val="0"/>
        <w:jc w:val="left"/>
      </w:pPr>
      <w:r>
        <w:rPr>
          <w:rFonts w:hint="default" w:ascii="Arial Bold" w:hAnsi="Arial Bold" w:eastAsia="Arial Bold" w:cs="Arial Bold"/>
          <w:b/>
          <w:color w:val="000000"/>
          <w:kern w:val="0"/>
          <w:sz w:val="21"/>
          <w:szCs w:val="21"/>
          <w:lang w:val="en-US" w:eastAsia="zh-CN" w:bidi="ar"/>
        </w:rPr>
        <w:t xml:space="preserve">Southwark Enforcement policy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All enforcement actions taken by the licensing service are governed by the council’s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enforcement policy, which has been drafted with reference to the Principles of Good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Regulation as stated in the Legislative and Regulatory Reform Act 2006 and the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r>
        <w:rPr>
          <w:rFonts w:hint="default" w:ascii="Arial" w:hAnsi="Arial" w:eastAsia="SimSun" w:cs="Arial"/>
          <w:color w:val="000000"/>
          <w:kern w:val="0"/>
          <w:sz w:val="21"/>
          <w:szCs w:val="21"/>
          <w:lang w:val="en-US" w:eastAsia="zh-CN" w:bidi="ar"/>
        </w:rPr>
        <w:t xml:space="preserve">Regulators Code as published by the Better Regulation Delivery Office.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p>
    <w:p>
      <w:pPr>
        <w:keepNext w:val="0"/>
        <w:keepLines w:val="0"/>
        <w:widowControl/>
        <w:suppressLineNumbers w:val="0"/>
        <w:jc w:val="left"/>
      </w:pPr>
      <w:r>
        <w:rPr>
          <w:rFonts w:hint="default" w:ascii="Arial Bold" w:hAnsi="Arial Bold" w:eastAsia="Arial Bold" w:cs="Arial Bold"/>
          <w:b/>
          <w:color w:val="000000"/>
          <w:kern w:val="0"/>
          <w:sz w:val="21"/>
          <w:szCs w:val="21"/>
          <w:lang w:val="en-US" w:eastAsia="zh-CN" w:bidi="ar"/>
        </w:rPr>
        <w:t xml:space="preserve">Southwark Violent Crime Reduction Strategy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This strategy sets out the underlying causes and impacts of violent behaviour and makes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recommendations as to how the council and its partner authorities can make the best use of our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r>
        <w:rPr>
          <w:rFonts w:hint="default" w:ascii="Arial" w:hAnsi="Arial" w:eastAsia="SimSun" w:cs="Arial"/>
          <w:color w:val="000000"/>
          <w:kern w:val="0"/>
          <w:sz w:val="21"/>
          <w:szCs w:val="21"/>
          <w:lang w:val="en-US" w:eastAsia="zh-CN" w:bidi="ar"/>
        </w:rPr>
        <w:t xml:space="preserve">resources at a time when those resources will significantly reduced. </w:t>
      </w:r>
    </w:p>
    <w:p>
      <w:pPr>
        <w:keepNext w:val="0"/>
        <w:keepLines w:val="0"/>
        <w:widowControl/>
        <w:suppressLineNumbers w:val="0"/>
        <w:jc w:val="left"/>
        <w:rPr>
          <w:rFonts w:hint="default" w:ascii="Arial" w:hAnsi="Arial" w:eastAsia="SimSun" w:cs="Arial"/>
          <w:color w:val="000000"/>
          <w:kern w:val="0"/>
          <w:sz w:val="21"/>
          <w:szCs w:val="21"/>
          <w:lang w:val="en-US" w:eastAsia="zh-CN" w:bidi="ar"/>
        </w:rPr>
      </w:pPr>
    </w:p>
    <w:p>
      <w:pPr>
        <w:keepNext w:val="0"/>
        <w:keepLines w:val="0"/>
        <w:widowControl/>
        <w:suppressLineNumbers w:val="0"/>
        <w:jc w:val="left"/>
      </w:pPr>
      <w:r>
        <w:rPr>
          <w:rFonts w:hint="default" w:ascii="Arial Bold" w:hAnsi="Arial Bold" w:eastAsia="Arial Bold" w:cs="Arial Bold"/>
          <w:b/>
          <w:color w:val="000000"/>
          <w:kern w:val="0"/>
          <w:sz w:val="21"/>
          <w:szCs w:val="21"/>
          <w:lang w:val="en-US" w:eastAsia="zh-CN" w:bidi="ar"/>
        </w:rPr>
        <w:t xml:space="preserve">Guidance documents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This policy is also mindful of the direction provided under the following guidance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documents: </w:t>
      </w:r>
    </w:p>
    <w:p>
      <w:pPr>
        <w:keepNext w:val="0"/>
        <w:keepLines w:val="0"/>
        <w:widowControl/>
        <w:suppressLineNumbers w:val="0"/>
        <w:jc w:val="left"/>
      </w:pPr>
      <w:r>
        <w:rPr>
          <w:rFonts w:hint="default" w:ascii="Arial" w:hAnsi="Arial" w:eastAsia="SimSun" w:cs="Arial"/>
          <w:color w:val="000000"/>
          <w:kern w:val="0"/>
          <w:sz w:val="24"/>
          <w:szCs w:val="24"/>
          <w:lang w:val="en-US" w:eastAsia="zh-CN" w:bidi="ar"/>
        </w:rPr>
        <w:t xml:space="preserve">• </w:t>
      </w:r>
      <w:r>
        <w:rPr>
          <w:rFonts w:hint="default" w:ascii="Arial" w:hAnsi="Arial" w:eastAsia="SimSun" w:cs="Arial"/>
          <w:color w:val="000000"/>
          <w:kern w:val="0"/>
          <w:sz w:val="21"/>
          <w:szCs w:val="21"/>
          <w:lang w:val="en-US" w:eastAsia="zh-CN" w:bidi="ar"/>
        </w:rPr>
        <w:t xml:space="preserve">The Home Office Safer Clubbing Guide issued to ensure the health and safety of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anyone who attends dance events, with a particular emphasis on those who also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take controlled drugs </w:t>
      </w:r>
    </w:p>
    <w:p>
      <w:pPr>
        <w:keepNext w:val="0"/>
        <w:keepLines w:val="0"/>
        <w:widowControl/>
        <w:suppressLineNumbers w:val="0"/>
        <w:jc w:val="left"/>
      </w:pPr>
      <w:r>
        <w:rPr>
          <w:rFonts w:hint="default" w:ascii="Arial" w:hAnsi="Arial" w:eastAsia="SimSun" w:cs="Arial"/>
          <w:color w:val="000000"/>
          <w:kern w:val="0"/>
          <w:sz w:val="24"/>
          <w:szCs w:val="24"/>
          <w:lang w:val="en-US" w:eastAsia="zh-CN" w:bidi="ar"/>
        </w:rPr>
        <w:t xml:space="preserve">• </w:t>
      </w:r>
      <w:r>
        <w:rPr>
          <w:rFonts w:hint="default" w:ascii="Arial" w:hAnsi="Arial" w:eastAsia="SimSun" w:cs="Arial"/>
          <w:color w:val="000000"/>
          <w:kern w:val="0"/>
          <w:sz w:val="21"/>
          <w:szCs w:val="21"/>
          <w:lang w:val="en-US" w:eastAsia="zh-CN" w:bidi="ar"/>
        </w:rPr>
        <w:t xml:space="preserve">The Better Regulation Delivery Office’s Code of Practice on Age Restricted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Products which deals with the involvement of children in the enforcement of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legislation concerning the sale of age-restricted goods </w:t>
      </w:r>
    </w:p>
    <w:p>
      <w:pPr>
        <w:keepNext w:val="0"/>
        <w:keepLines w:val="0"/>
        <w:widowControl/>
        <w:suppressLineNumbers w:val="0"/>
        <w:jc w:val="left"/>
      </w:pPr>
      <w:r>
        <w:rPr>
          <w:rFonts w:hint="default" w:ascii="Arial" w:hAnsi="Arial" w:eastAsia="SimSun" w:cs="Arial"/>
          <w:color w:val="000000"/>
          <w:kern w:val="0"/>
          <w:sz w:val="24"/>
          <w:szCs w:val="24"/>
          <w:lang w:val="en-US" w:eastAsia="zh-CN" w:bidi="ar"/>
        </w:rPr>
        <w:t xml:space="preserve">• </w:t>
      </w:r>
      <w:r>
        <w:rPr>
          <w:rFonts w:hint="default" w:ascii="Arial" w:hAnsi="Arial" w:eastAsia="SimSun" w:cs="Arial"/>
          <w:color w:val="000000"/>
          <w:kern w:val="0"/>
          <w:sz w:val="21"/>
          <w:szCs w:val="21"/>
          <w:lang w:val="en-US" w:eastAsia="zh-CN" w:bidi="ar"/>
        </w:rPr>
        <w:t xml:space="preserve">Furthermore, the objectives of the Private Security Industry Authority (SIA) will be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taken into account in all issues relating to the provision of door supervision at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licensed operations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 xml:space="preserve">This policy will also be checked for consistency with all current legislation, strategy, </w:t>
      </w:r>
    </w:p>
    <w:p>
      <w:pPr>
        <w:keepNext w:val="0"/>
        <w:keepLines w:val="0"/>
        <w:widowControl/>
        <w:suppressLineNumbers w:val="0"/>
        <w:jc w:val="left"/>
      </w:pPr>
      <w:r>
        <w:rPr>
          <w:rFonts w:hint="default" w:ascii="Arial" w:hAnsi="Arial" w:eastAsia="SimSun" w:cs="Arial"/>
          <w:color w:val="000000"/>
          <w:kern w:val="0"/>
          <w:sz w:val="21"/>
          <w:szCs w:val="21"/>
          <w:lang w:val="en-US" w:eastAsia="zh-CN" w:bidi="ar"/>
        </w:rPr>
        <w:t>policy and guidance on an annual basis.</w:t>
      </w:r>
    </w:p>
    <w:p>
      <w:pPr>
        <w:spacing w:before="0" w:after="160" w:line="259" w:lineRule="auto"/>
        <w:ind w:left="0" w:right="0"/>
        <w:jc w:val="left"/>
        <w:rPr>
          <w:rtl w:val="0"/>
        </w:rPr>
      </w:pPr>
    </w:p>
    <w:p>
      <w:pPr>
        <w:keepNext w:val="0"/>
        <w:keepLines w:val="0"/>
        <w:widowControl/>
        <w:suppressLineNumbers w:val="0"/>
        <w:jc w:val="left"/>
        <w:rPr>
          <w:rFonts w:ascii="Arial Bold" w:hAnsi="Arial Bold" w:eastAsia="Arial Bold" w:cs="Arial Bold"/>
          <w:b/>
          <w:color w:val="000000"/>
          <w:kern w:val="0"/>
          <w:sz w:val="23"/>
          <w:szCs w:val="23"/>
          <w:lang w:val="en-US" w:eastAsia="zh-CN" w:bidi="ar"/>
        </w:rPr>
      </w:pPr>
    </w:p>
    <w:p>
      <w:pPr>
        <w:keepNext w:val="0"/>
        <w:keepLines w:val="0"/>
        <w:widowControl/>
        <w:suppressLineNumbers w:val="0"/>
        <w:jc w:val="left"/>
      </w:pPr>
      <w:r>
        <w:rPr>
          <w:rFonts w:ascii="Arial Bold" w:hAnsi="Arial Bold" w:eastAsia="Arial Bold" w:cs="Arial Bold"/>
          <w:b/>
          <w:color w:val="000000"/>
          <w:kern w:val="0"/>
          <w:sz w:val="23"/>
          <w:szCs w:val="23"/>
          <w:lang w:val="en-US" w:eastAsia="zh-CN" w:bidi="ar"/>
        </w:rPr>
        <w:t xml:space="preserve">MAP OF AREA CLASSIFICATIONS AND CIPS </w:t>
      </w:r>
    </w:p>
    <w:p>
      <w:pPr>
        <w:spacing w:before="0" w:after="160" w:line="259" w:lineRule="auto"/>
        <w:ind w:left="0" w:right="0"/>
        <w:jc w:val="left"/>
      </w:pPr>
      <w:r>
        <w:drawing>
          <wp:anchor distT="0" distB="0" distL="114300" distR="114300" simplePos="0" relativeHeight="251659264" behindDoc="0" locked="0" layoutInCell="1" allowOverlap="1">
            <wp:simplePos x="0" y="0"/>
            <wp:positionH relativeFrom="column">
              <wp:posOffset>279400</wp:posOffset>
            </wp:positionH>
            <wp:positionV relativeFrom="paragraph">
              <wp:posOffset>240665</wp:posOffset>
            </wp:positionV>
            <wp:extent cx="5168265" cy="7111365"/>
            <wp:effectExtent l="0" t="0" r="13335" b="635"/>
            <wp:wrapTopAndBottom/>
            <wp:docPr id="3" name="Picture 3" descr="Screen Shot 2020-03-30 at 15.2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reen Shot 2020-03-30 at 15.20.54"/>
                    <pic:cNvPicPr>
                      <a:picLocks noChangeAspect="1"/>
                    </pic:cNvPicPr>
                  </pic:nvPicPr>
                  <pic:blipFill>
                    <a:blip r:embed="rId5"/>
                    <a:stretch>
                      <a:fillRect/>
                    </a:stretch>
                  </pic:blipFill>
                  <pic:spPr>
                    <a:xfrm>
                      <a:off x="0" y="0"/>
                      <a:ext cx="5168265" cy="7111365"/>
                    </a:xfrm>
                    <a:prstGeom prst="rect">
                      <a:avLst/>
                    </a:prstGeom>
                  </pic:spPr>
                </pic:pic>
              </a:graphicData>
            </a:graphic>
          </wp:anchor>
        </w:drawing>
      </w:r>
    </w:p>
    <w:p>
      <w:pPr>
        <w:spacing w:before="0" w:after="160" w:line="259" w:lineRule="auto"/>
        <w:ind w:left="0" w:right="0"/>
        <w:jc w:val="left"/>
      </w:pPr>
      <w:r>
        <w:t xml:space="preserve"> </w:t>
      </w: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r>
        <w:t>Appendix 2</w:t>
      </w:r>
    </w:p>
    <w:p>
      <w:pPr>
        <w:spacing w:before="0" w:after="160" w:line="259" w:lineRule="auto"/>
        <w:ind w:left="0" w:right="0"/>
        <w:jc w:val="left"/>
      </w:pPr>
      <w:r>
        <w:drawing>
          <wp:anchor distT="0" distB="0" distL="114300" distR="114300" simplePos="0" relativeHeight="251658240" behindDoc="1" locked="0" layoutInCell="1" allowOverlap="1">
            <wp:simplePos x="0" y="0"/>
            <wp:positionH relativeFrom="column">
              <wp:posOffset>38100</wp:posOffset>
            </wp:positionH>
            <wp:positionV relativeFrom="paragraph">
              <wp:posOffset>18415</wp:posOffset>
            </wp:positionV>
            <wp:extent cx="5918200" cy="8222615"/>
            <wp:effectExtent l="0" t="0" r="0" b="6985"/>
            <wp:wrapNone/>
            <wp:docPr id="2" name="Picture 2" descr="Screen Shot 2020-03-30 at 15.1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creen Shot 2020-03-30 at 15.15.47"/>
                    <pic:cNvPicPr>
                      <a:picLocks noChangeAspect="1"/>
                    </pic:cNvPicPr>
                  </pic:nvPicPr>
                  <pic:blipFill>
                    <a:blip r:embed="rId6"/>
                    <a:stretch>
                      <a:fillRect/>
                    </a:stretch>
                  </pic:blipFill>
                  <pic:spPr>
                    <a:xfrm>
                      <a:off x="0" y="0"/>
                      <a:ext cx="5918200" cy="8222615"/>
                    </a:xfrm>
                    <a:prstGeom prst="rect">
                      <a:avLst/>
                    </a:prstGeom>
                  </pic:spPr>
                </pic:pic>
              </a:graphicData>
            </a:graphic>
          </wp:anchor>
        </w:drawing>
      </w: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p>
    <w:p>
      <w:pPr>
        <w:spacing w:before="0" w:after="160" w:line="259" w:lineRule="auto"/>
        <w:ind w:left="0" w:right="0"/>
        <w:jc w:val="left"/>
      </w:pPr>
      <w:r>
        <w:t>Bibliography</w:t>
      </w:r>
    </w:p>
    <w:p>
      <w:pPr>
        <w:rPr>
          <w:rFonts w:hint="default"/>
        </w:rPr>
      </w:pPr>
    </w:p>
    <w:p>
      <w:pPr>
        <w:rPr>
          <w:rFonts w:hint="default"/>
        </w:rPr>
      </w:pPr>
      <w:r>
        <w:rPr>
          <w:rFonts w:hint="default"/>
        </w:rPr>
        <w:t>Southwark Council. 2020., Parks And Open Spaces Burgess Park [Online] Southwark Council &lt;</w:t>
      </w:r>
      <w:r>
        <w:rPr>
          <w:rFonts w:hint="default"/>
        </w:rPr>
        <w:fldChar w:fldCharType="begin"/>
      </w:r>
      <w:r>
        <w:rPr>
          <w:rFonts w:hint="default"/>
        </w:rPr>
        <w:instrText xml:space="preserve"> HYPERLINK "https://www.southwark.gov.uk/parks-and-open-spaces/parks/burgess-park" </w:instrText>
      </w:r>
      <w:r>
        <w:rPr>
          <w:rFonts w:hint="default"/>
        </w:rPr>
        <w:fldChar w:fldCharType="separate"/>
      </w:r>
      <w:r>
        <w:rPr>
          <w:rStyle w:val="11"/>
          <w:rFonts w:hint="default"/>
        </w:rPr>
        <w:t>https://www.southwark.gov.uk/parks-and-open-spaces/parks/burgess-park</w:t>
      </w:r>
      <w:r>
        <w:rPr>
          <w:rFonts w:hint="default"/>
        </w:rPr>
        <w:fldChar w:fldCharType="end"/>
      </w:r>
      <w:r>
        <w:rPr>
          <w:rFonts w:hint="default"/>
        </w:rPr>
        <w:t>&gt; [Accessed 9</w:t>
      </w:r>
      <w:r>
        <w:rPr>
          <w:rFonts w:hint="default"/>
          <w:vertAlign w:val="superscript"/>
        </w:rPr>
        <w:t>th</w:t>
      </w:r>
      <w:r>
        <w:rPr>
          <w:rFonts w:hint="default"/>
        </w:rPr>
        <w:t xml:space="preserve"> march 2020] </w:t>
      </w:r>
    </w:p>
    <w:p>
      <w:pPr>
        <w:rPr>
          <w:rFonts w:hint="default"/>
        </w:rPr>
      </w:pPr>
    </w:p>
    <w:p>
      <w:pPr>
        <w:rPr>
          <w:rFonts w:hint="default"/>
        </w:rPr>
      </w:pPr>
      <w:r>
        <w:rPr>
          <w:rFonts w:hint="default"/>
        </w:rPr>
        <w:t xml:space="preserve">Southwark Council. 2020., Planing An Event [Online] Southwark Council </w:t>
      </w:r>
    </w:p>
    <w:p>
      <w:pPr>
        <w:rPr>
          <w:rFonts w:hint="default"/>
        </w:rPr>
      </w:pPr>
      <w:r>
        <w:rPr>
          <w:rFonts w:hint="default"/>
        </w:rPr>
        <w:t>&lt;</w:t>
      </w:r>
      <w:r>
        <w:rPr>
          <w:rFonts w:hint="default"/>
        </w:rPr>
        <w:fldChar w:fldCharType="begin"/>
      </w:r>
      <w:r>
        <w:rPr>
          <w:rFonts w:hint="default"/>
        </w:rPr>
        <w:instrText xml:space="preserve"> HYPERLINK "https://www.southwark.gov.uk/events-culture-and-heritage/events/planning-an-event/southwark-outdoor-events-policy-and-hire-fees" </w:instrText>
      </w:r>
      <w:r>
        <w:rPr>
          <w:rFonts w:hint="default"/>
        </w:rPr>
        <w:fldChar w:fldCharType="separate"/>
      </w:r>
      <w:r>
        <w:rPr>
          <w:rStyle w:val="11"/>
          <w:rFonts w:hint="default"/>
        </w:rPr>
        <w:t>https://www.southwark.gov.uk/events-culture-and-heritage/events/planning-an-event/southwark-outdoor-events-policy-and-hire-fees</w:t>
      </w:r>
      <w:r>
        <w:rPr>
          <w:rFonts w:hint="default"/>
        </w:rPr>
        <w:fldChar w:fldCharType="end"/>
      </w:r>
      <w:r>
        <w:rPr>
          <w:rFonts w:hint="default"/>
        </w:rPr>
        <w:t>&gt; [Accessed 9</w:t>
      </w:r>
      <w:r>
        <w:rPr>
          <w:rFonts w:hint="default"/>
          <w:vertAlign w:val="superscript"/>
        </w:rPr>
        <w:t>th</w:t>
      </w:r>
      <w:r>
        <w:rPr>
          <w:rFonts w:hint="default"/>
        </w:rPr>
        <w:t xml:space="preserve"> march 2020] </w:t>
      </w:r>
    </w:p>
    <w:p>
      <w:pPr>
        <w:rPr>
          <w:rFonts w:hint="default"/>
        </w:rPr>
      </w:pPr>
    </w:p>
    <w:p>
      <w:pPr>
        <w:rPr>
          <w:rFonts w:hint="default"/>
        </w:rPr>
      </w:pPr>
      <w:r>
        <w:rPr>
          <w:rFonts w:hint="default"/>
        </w:rPr>
        <w:t xml:space="preserve">Southwark Council. 2020., Events Culture And Heritage [Online] Southwark Council </w:t>
      </w:r>
    </w:p>
    <w:p>
      <w:pPr>
        <w:rPr>
          <w:rFonts w:hint="default"/>
        </w:rPr>
      </w:pPr>
      <w:r>
        <w:rPr>
          <w:rFonts w:hint="default"/>
        </w:rPr>
        <w:t>&lt;</w:t>
      </w:r>
      <w:r>
        <w:rPr>
          <w:rFonts w:hint="default"/>
        </w:rPr>
        <w:fldChar w:fldCharType="begin"/>
      </w:r>
      <w:r>
        <w:rPr>
          <w:rFonts w:hint="default"/>
        </w:rPr>
        <w:instrText xml:space="preserve"> HYPERLINK "https://www.southwark.gov.uk/events-culture-and-heritage/events/planning-an-event/hiring-a-park-or-public-open-space?chapter=3" </w:instrText>
      </w:r>
      <w:r>
        <w:rPr>
          <w:rFonts w:hint="default"/>
        </w:rPr>
        <w:fldChar w:fldCharType="separate"/>
      </w:r>
      <w:r>
        <w:rPr>
          <w:rStyle w:val="11"/>
          <w:rFonts w:hint="default"/>
        </w:rPr>
        <w:t>https://www.southwark.gov.uk/events-culture-and-heritage/events/planning-an-event/hiring-a-park-or-public-open-space?chapter=3</w:t>
      </w:r>
      <w:r>
        <w:rPr>
          <w:rFonts w:hint="default"/>
        </w:rPr>
        <w:fldChar w:fldCharType="end"/>
      </w:r>
      <w:r>
        <w:rPr>
          <w:rFonts w:hint="default"/>
        </w:rPr>
        <w:t>&gt;  [Accessed 9</w:t>
      </w:r>
      <w:r>
        <w:rPr>
          <w:rFonts w:hint="default"/>
          <w:vertAlign w:val="superscript"/>
        </w:rPr>
        <w:t>th</w:t>
      </w:r>
      <w:r>
        <w:rPr>
          <w:rFonts w:hint="default"/>
        </w:rPr>
        <w:t xml:space="preserve"> march 2020] </w:t>
      </w:r>
    </w:p>
    <w:p>
      <w:pPr>
        <w:rPr>
          <w:rFonts w:hint="default"/>
        </w:rPr>
      </w:pPr>
    </w:p>
    <w:p>
      <w:pPr>
        <w:rPr>
          <w:rFonts w:hint="default"/>
        </w:rPr>
      </w:pPr>
      <w:r>
        <w:rPr>
          <w:rFonts w:hint="default"/>
        </w:rPr>
        <w:t>Southwark Council. 2020., Events Culture And Heritage planing an event</w:t>
      </w:r>
    </w:p>
    <w:p>
      <w:pPr>
        <w:rPr>
          <w:rFonts w:hint="default"/>
        </w:rPr>
      </w:pPr>
      <w:r>
        <w:rPr>
          <w:rFonts w:hint="default"/>
        </w:rPr>
        <w:t xml:space="preserve">[Online] Southwark Council </w:t>
      </w:r>
    </w:p>
    <w:p>
      <w:pPr>
        <w:rPr>
          <w:rFonts w:hint="default"/>
        </w:rPr>
      </w:pPr>
      <w:r>
        <w:rPr>
          <w:rFonts w:hint="default"/>
        </w:rPr>
        <w:t>&lt;</w:t>
      </w:r>
      <w:r>
        <w:rPr>
          <w:rFonts w:hint="default"/>
        </w:rPr>
        <w:fldChar w:fldCharType="begin"/>
      </w:r>
      <w:r>
        <w:rPr>
          <w:rFonts w:hint="default"/>
        </w:rPr>
        <w:instrText xml:space="preserve"> HYPERLINK "https://www.southwark.gov.uk/events-culture-and-heritage/events/planning-an-event/hiring-a-park-or-public-open-space?chapter=4" </w:instrText>
      </w:r>
      <w:r>
        <w:rPr>
          <w:rFonts w:hint="default"/>
        </w:rPr>
        <w:fldChar w:fldCharType="separate"/>
      </w:r>
      <w:r>
        <w:rPr>
          <w:rStyle w:val="11"/>
          <w:rFonts w:hint="default"/>
        </w:rPr>
        <w:t>https://www.southwark.gov.uk/events-culture-and-heritage/events/planning-an-event/hiring-a-park-or-public-open-space?chapter=4</w:t>
      </w:r>
      <w:r>
        <w:rPr>
          <w:rFonts w:hint="default"/>
        </w:rPr>
        <w:fldChar w:fldCharType="end"/>
      </w:r>
      <w:r>
        <w:rPr>
          <w:rFonts w:hint="default"/>
        </w:rPr>
        <w:t>&gt; [Accessed 9</w:t>
      </w:r>
      <w:r>
        <w:rPr>
          <w:rFonts w:hint="default"/>
          <w:vertAlign w:val="superscript"/>
        </w:rPr>
        <w:t>th</w:t>
      </w:r>
      <w:r>
        <w:rPr>
          <w:rFonts w:hint="default"/>
        </w:rPr>
        <w:t xml:space="preserve"> march 2020] </w:t>
      </w:r>
    </w:p>
    <w:p>
      <w:pPr>
        <w:rPr>
          <w:rFonts w:hint="default"/>
        </w:rPr>
      </w:pPr>
    </w:p>
    <w:p>
      <w:pPr>
        <w:rPr>
          <w:rFonts w:hint="default"/>
        </w:rPr>
      </w:pPr>
      <w:r>
        <w:rPr>
          <w:rFonts w:hint="default"/>
        </w:rPr>
        <w:t>Southwark Council. 2020., Documentation And Evaluation [Online] Southwark Council</w:t>
      </w:r>
    </w:p>
    <w:p>
      <w:pPr>
        <w:rPr>
          <w:rFonts w:hint="default"/>
        </w:rPr>
      </w:pPr>
      <w:r>
        <w:rPr>
          <w:rFonts w:hint="default"/>
        </w:rPr>
        <w:t>&lt;</w:t>
      </w:r>
      <w:r>
        <w:rPr>
          <w:rFonts w:hint="default"/>
        </w:rPr>
        <w:fldChar w:fldCharType="begin"/>
      </w:r>
      <w:r>
        <w:rPr>
          <w:rFonts w:hint="default"/>
        </w:rPr>
        <w:instrText xml:space="preserve"> HYPERLINK "https://www.southwark.gov.uk/events-culture-and-heritage/advice-and-guidance/documentation-and-evaluation" </w:instrText>
      </w:r>
      <w:r>
        <w:rPr>
          <w:rFonts w:hint="default"/>
        </w:rPr>
        <w:fldChar w:fldCharType="separate"/>
      </w:r>
      <w:r>
        <w:rPr>
          <w:rStyle w:val="11"/>
          <w:rFonts w:hint="default"/>
        </w:rPr>
        <w:t>https://www.southwark.gov.uk/events-culture-and-heritage/advice-and-guidance/documentation-and-evaluation</w:t>
      </w:r>
      <w:r>
        <w:rPr>
          <w:rFonts w:hint="default"/>
        </w:rPr>
        <w:fldChar w:fldCharType="end"/>
      </w:r>
      <w:r>
        <w:rPr>
          <w:rFonts w:hint="default"/>
        </w:rPr>
        <w:t xml:space="preserve"> &gt; [Accessed 9</w:t>
      </w:r>
      <w:r>
        <w:rPr>
          <w:rFonts w:hint="default"/>
          <w:vertAlign w:val="superscript"/>
        </w:rPr>
        <w:t>th</w:t>
      </w:r>
      <w:r>
        <w:rPr>
          <w:rFonts w:hint="default"/>
        </w:rPr>
        <w:t xml:space="preserve"> march 2020] </w:t>
      </w:r>
    </w:p>
    <w:p>
      <w:pPr>
        <w:rPr>
          <w:rFonts w:hint="default"/>
        </w:rPr>
      </w:pPr>
    </w:p>
    <w:p>
      <w:pPr>
        <w:rPr>
          <w:rFonts w:hint="default"/>
        </w:rPr>
      </w:pPr>
      <w:r>
        <w:rPr>
          <w:rFonts w:hint="default"/>
        </w:rPr>
        <w:t xml:space="preserve">Southwark Council. 2020., licensing And Permissions [Online] Southwark Council </w:t>
      </w:r>
    </w:p>
    <w:p>
      <w:pPr>
        <w:rPr>
          <w:rFonts w:hint="default"/>
        </w:rPr>
      </w:pPr>
      <w:r>
        <w:rPr>
          <w:rFonts w:hint="default"/>
        </w:rPr>
        <w:t>&lt;</w:t>
      </w:r>
      <w:r>
        <w:rPr>
          <w:rFonts w:hint="default"/>
        </w:rPr>
        <w:fldChar w:fldCharType="begin"/>
      </w:r>
      <w:r>
        <w:rPr>
          <w:rFonts w:hint="default"/>
        </w:rPr>
        <w:instrText xml:space="preserve"> HYPERLINK "https://www.southwark.gov.uk/events-culture-and-heritage/events/planning-an-event/licensing-and-permissions" </w:instrText>
      </w:r>
      <w:r>
        <w:rPr>
          <w:rFonts w:hint="default"/>
        </w:rPr>
        <w:fldChar w:fldCharType="separate"/>
      </w:r>
      <w:r>
        <w:rPr>
          <w:rStyle w:val="11"/>
          <w:rFonts w:hint="default"/>
        </w:rPr>
        <w:t>https://www.southwark.gov.uk/events-culture-and-heritage/events/planning-an-event/licensing-and-permissions</w:t>
      </w:r>
      <w:r>
        <w:rPr>
          <w:rFonts w:hint="default"/>
        </w:rPr>
        <w:fldChar w:fldCharType="end"/>
      </w:r>
      <w:r>
        <w:rPr>
          <w:rFonts w:hint="default"/>
        </w:rPr>
        <w:t>&gt;  [Accessed 8</w:t>
      </w:r>
      <w:r>
        <w:rPr>
          <w:rFonts w:hint="default"/>
          <w:vertAlign w:val="superscript"/>
        </w:rPr>
        <w:t>th</w:t>
      </w:r>
      <w:r>
        <w:rPr>
          <w:rFonts w:hint="default"/>
        </w:rPr>
        <w:t xml:space="preserve"> march 2020] </w:t>
      </w:r>
    </w:p>
    <w:p>
      <w:pPr>
        <w:rPr>
          <w:rFonts w:hint="default"/>
        </w:rPr>
      </w:pPr>
    </w:p>
    <w:p>
      <w:pPr>
        <w:rPr>
          <w:rFonts w:hint="default"/>
        </w:rPr>
      </w:pPr>
      <w:r>
        <w:rPr>
          <w:rFonts w:hint="default"/>
        </w:rPr>
        <w:t xml:space="preserve">Southwark Council. 2020., Licensing And Gambling Act Policy [Online] Southwark Council </w:t>
      </w:r>
    </w:p>
    <w:p>
      <w:pPr>
        <w:rPr>
          <w:rFonts w:hint="default"/>
        </w:rPr>
      </w:pPr>
      <w:r>
        <w:rPr>
          <w:rFonts w:hint="default"/>
        </w:rPr>
        <w:t>&lt;</w:t>
      </w:r>
      <w:r>
        <w:rPr>
          <w:rFonts w:hint="default"/>
        </w:rPr>
        <w:fldChar w:fldCharType="begin"/>
      </w:r>
      <w:r>
        <w:rPr>
          <w:rFonts w:hint="default"/>
        </w:rPr>
        <w:instrText xml:space="preserve"> HYPERLINK "https://www.southwark.gov.uk/business/licences/business-premises-licensing/licensing-and-gambling-act-policy" </w:instrText>
      </w:r>
      <w:r>
        <w:rPr>
          <w:rFonts w:hint="default"/>
        </w:rPr>
        <w:fldChar w:fldCharType="separate"/>
      </w:r>
      <w:r>
        <w:rPr>
          <w:rStyle w:val="11"/>
          <w:rFonts w:hint="default"/>
        </w:rPr>
        <w:t>https://www.southwark.gov.uk/business/licences/business-premises-licensing/licensing-and-gambling-act-policy</w:t>
      </w:r>
      <w:r>
        <w:rPr>
          <w:rFonts w:hint="default"/>
        </w:rPr>
        <w:fldChar w:fldCharType="end"/>
      </w:r>
      <w:r>
        <w:rPr>
          <w:rFonts w:hint="default"/>
        </w:rPr>
        <w:t>&gt; [Accessed 8</w:t>
      </w:r>
      <w:r>
        <w:rPr>
          <w:rFonts w:hint="default"/>
          <w:vertAlign w:val="superscript"/>
        </w:rPr>
        <w:t>th</w:t>
      </w:r>
      <w:r>
        <w:rPr>
          <w:rFonts w:hint="default"/>
        </w:rPr>
        <w:t xml:space="preserve"> march 2020] </w:t>
      </w:r>
    </w:p>
    <w:p>
      <w:pPr>
        <w:rPr>
          <w:rFonts w:hint="default"/>
        </w:rPr>
      </w:pPr>
    </w:p>
    <w:p>
      <w:pPr>
        <w:rPr>
          <w:rFonts w:hint="default"/>
        </w:rPr>
      </w:pPr>
    </w:p>
    <w:p>
      <w:pPr>
        <w:rPr>
          <w:rFonts w:hint="default"/>
        </w:rPr>
      </w:pPr>
      <w:r>
        <w:rPr>
          <w:rFonts w:hint="default"/>
        </w:rPr>
        <w:t xml:space="preserve">PPL PRS. 2020., What is the Music License [Online] PPLPRS </w:t>
      </w:r>
    </w:p>
    <w:p>
      <w:pPr>
        <w:rPr>
          <w:rFonts w:hint="default"/>
        </w:rPr>
      </w:pPr>
      <w:r>
        <w:rPr>
          <w:rFonts w:hint="default"/>
        </w:rPr>
        <w:t>&lt;</w:t>
      </w:r>
      <w:r>
        <w:rPr>
          <w:rFonts w:hint="default"/>
        </w:rPr>
        <w:fldChar w:fldCharType="begin"/>
      </w:r>
      <w:r>
        <w:rPr>
          <w:rFonts w:hint="default"/>
        </w:rPr>
        <w:instrText xml:space="preserve"> HYPERLINK "https://pplprs.co.uk/what-is-themusiclicence/?utm_source=google&amp;utm_medium=ppc&amp;utm_campaign=BAU_pplprs&amp;creative=401177935864&amp;keyword=themusiclicence&amp;matchtype=e&amp;network=g&amp;device=c&amp;gclid=EAIaIQobChMI-LvznOC-6AIVAcreCh19Ggs_EAAYASAAEgLKifD_BwE" </w:instrText>
      </w:r>
      <w:r>
        <w:rPr>
          <w:rFonts w:hint="default"/>
        </w:rPr>
        <w:fldChar w:fldCharType="separate"/>
      </w:r>
      <w:r>
        <w:rPr>
          <w:rStyle w:val="11"/>
          <w:rFonts w:hint="default"/>
        </w:rPr>
        <w:t>https://pplprs.co.uk/what-is-themusiclicence/?utm_source=google&amp;utm_medium=ppc&amp;utm_campaign=BAU_pplprs&amp;creative=401177935864&amp;keyword=themusiclicence&amp;matchtype=e&amp;network=g&amp;device=c&amp;gclid=EAIaIQobChMI-LvznOC-6AIVAcreCh19Ggs_EAAYASAAEgLKifD_BwE</w:t>
      </w:r>
      <w:r>
        <w:rPr>
          <w:rFonts w:hint="default"/>
        </w:rPr>
        <w:fldChar w:fldCharType="end"/>
      </w:r>
      <w:r>
        <w:rPr>
          <w:rFonts w:hint="default"/>
        </w:rPr>
        <w:t>&gt; [Accessed 8</w:t>
      </w:r>
      <w:r>
        <w:rPr>
          <w:rFonts w:hint="default"/>
          <w:vertAlign w:val="superscript"/>
        </w:rPr>
        <w:t>th</w:t>
      </w:r>
      <w:r>
        <w:rPr>
          <w:rFonts w:hint="default"/>
        </w:rPr>
        <w:t xml:space="preserve"> march 2020] </w:t>
      </w:r>
    </w:p>
    <w:p>
      <w:pPr>
        <w:rPr>
          <w:rFonts w:hint="default"/>
        </w:rPr>
      </w:pPr>
    </w:p>
    <w:p>
      <w:pPr>
        <w:rPr>
          <w:rFonts w:hint="default"/>
        </w:rPr>
      </w:pPr>
      <w:r>
        <w:rPr>
          <w:rFonts w:hint="default"/>
        </w:rPr>
        <w:t xml:space="preserve">Reprezent, 2020., About [Online] Reprezent </w:t>
      </w:r>
    </w:p>
    <w:p>
      <w:pPr>
        <w:rPr>
          <w:rFonts w:hint="default"/>
        </w:rPr>
      </w:pPr>
      <w:r>
        <w:rPr>
          <w:rFonts w:hint="default"/>
        </w:rPr>
        <w:t>&lt;</w:t>
      </w:r>
      <w:r>
        <w:rPr>
          <w:rFonts w:hint="default"/>
        </w:rPr>
        <w:fldChar w:fldCharType="begin"/>
      </w:r>
      <w:r>
        <w:rPr>
          <w:rFonts w:hint="default"/>
        </w:rPr>
        <w:instrText xml:space="preserve"> HYPERLINK "http://www.reprezent.org.uk/#/about" </w:instrText>
      </w:r>
      <w:r>
        <w:rPr>
          <w:rFonts w:hint="default"/>
        </w:rPr>
        <w:fldChar w:fldCharType="separate"/>
      </w:r>
      <w:r>
        <w:rPr>
          <w:rStyle w:val="11"/>
          <w:rFonts w:hint="default"/>
        </w:rPr>
        <w:t>http://www.reprezent.org.uk/#/about</w:t>
      </w:r>
      <w:r>
        <w:rPr>
          <w:rFonts w:hint="default"/>
        </w:rPr>
        <w:fldChar w:fldCharType="end"/>
      </w:r>
      <w:r>
        <w:rPr>
          <w:rFonts w:hint="default"/>
        </w:rPr>
        <w:t>&gt; [Accessed 8</w:t>
      </w:r>
      <w:r>
        <w:rPr>
          <w:rFonts w:hint="default"/>
          <w:vertAlign w:val="superscript"/>
        </w:rPr>
        <w:t>th</w:t>
      </w:r>
      <w:r>
        <w:rPr>
          <w:rFonts w:hint="default"/>
        </w:rPr>
        <w:t xml:space="preserve"> march 2020] </w:t>
      </w:r>
    </w:p>
    <w:p>
      <w:pPr>
        <w:spacing w:before="0" w:after="160" w:line="259" w:lineRule="auto"/>
        <w:ind w:left="0" w:right="0"/>
        <w:jc w:val="left"/>
      </w:pPr>
    </w:p>
    <w:sectPr>
      <w:pgSz w:w="12240" w:h="15840"/>
      <w:pgMar w:top="1440" w:right="1440" w:bottom="1440" w:left="1440" w:header="720" w:footer="720" w:gutter="0"/>
      <w:pgNumType w:start="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Songti SC"/>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Heiti SC"/>
    <w:panose1 w:val="02010600030101010101"/>
    <w:charset w:val="00"/>
    <w:family w:val="auto"/>
    <w:pitch w:val="default"/>
    <w:sig w:usb0="00000001" w:usb1="080E0000" w:usb2="00000010" w:usb3="00000000" w:csb0="00040000" w:csb1="00000000"/>
  </w:font>
  <w:font w:name="Courier New">
    <w:panose1 w:val="02070309020205020404"/>
    <w:charset w:val="00"/>
    <w:family w:val="modern"/>
    <w:pitch w:val="default"/>
    <w:sig w:usb0="E0002AFF" w:usb1="C0007843" w:usb2="00000009" w:usb3="00000000" w:csb0="400001FF" w:csb1="FFFF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SimSun">
    <w:altName w:val="Songti SC"/>
    <w:panose1 w:val="00000000000000000000"/>
    <w:charset w:val="86"/>
    <w:family w:val="auto"/>
    <w:pitch w:val="default"/>
    <w:sig w:usb0="00000000" w:usb1="00000000" w:usb2="00000000" w:usb3="00000000" w:csb0="00000000" w:csb1="00000000"/>
  </w:font>
  <w:font w:name="SimSun">
    <w:altName w:val="Songti SC"/>
    <w:panose1 w:val="02010600030101010101"/>
    <w:charset w:val="86"/>
    <w:family w:val="auto"/>
    <w:pitch w:val="default"/>
    <w:sig w:usb0="00000000" w:usb1="00000000" w:usb2="00000010" w:usb3="00000000" w:csb0="00040001" w:csb1="00000000"/>
  </w:font>
  <w:font w:name="Songti SC">
    <w:panose1 w:val="02010800040101010101"/>
    <w:charset w:val="86"/>
    <w:family w:val="auto"/>
    <w:pitch w:val="default"/>
    <w:sig w:usb0="00000001" w:usb1="080F0000" w:usb2="00000000" w:usb3="00000000" w:csb0="00040000" w:csb1="00000000"/>
  </w:font>
  <w:font w:name="Heiti SC">
    <w:panose1 w:val="02000000000000000000"/>
    <w:charset w:val="86"/>
    <w:family w:val="auto"/>
    <w:pitch w:val="default"/>
    <w:sig w:usb0="8000002F" w:usb1="0800004A" w:usb2="00000000" w:usb3="00000000" w:csb0="203E0000" w:csb1="00000000"/>
  </w:font>
  <w:font w:name="Helvetica Neue">
    <w:panose1 w:val="02000503000000020004"/>
    <w:charset w:val="00"/>
    <w:family w:val="auto"/>
    <w:pitch w:val="default"/>
    <w:sig w:usb0="E50002FF" w:usb1="500079DB" w:usb2="0000001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SimSun">
    <w:altName w:val="Songti SC"/>
    <w:panose1 w:val="00000000000000000000"/>
    <w:charset w:val="00"/>
    <w:family w:val="auto"/>
    <w:pitch w:val="default"/>
    <w:sig w:usb0="00000000" w:usb1="00000000" w:usb2="00000000" w:usb3="00000000" w:csb0="00000000" w:csb1="00000000"/>
  </w:font>
  <w:font w:name="Georgia">
    <w:panose1 w:val="02040802050405020203"/>
    <w:charset w:val="00"/>
    <w:family w:val="auto"/>
    <w:pitch w:val="default"/>
    <w:sig w:usb0="00000287" w:usb1="00000000" w:usb2="00000000" w:usb3="00000000" w:csb0="2000009F" w:csb1="00000000"/>
  </w:font>
  <w:font w:name="Open Sans">
    <w:panose1 w:val="020B0906030804020204"/>
    <w:charset w:val="00"/>
    <w:family w:val="auto"/>
    <w:pitch w:val="default"/>
    <w:sig w:usb0="E00002EF" w:usb1="4000205B" w:usb2="00000028" w:usb3="00000000" w:csb0="2000019F" w:csb1="00000000"/>
  </w:font>
  <w:font w:name="Arial Bold">
    <w:altName w:val="PingFang SC"/>
    <w:panose1 w:val="00000000000000000000"/>
    <w:charset w:val="00"/>
    <w:family w:val="auto"/>
    <w:pitch w:val="default"/>
    <w:sig w:usb0="00000000" w:usb1="00000000" w:usb2="00000000" w:usb3="00000000" w:csb0="00000000" w:csb1="00000000"/>
  </w:font>
  <w:font w:name="PingFang SC">
    <w:panose1 w:val="020B0400000000000000"/>
    <w:charset w:val="86"/>
    <w:family w:val="auto"/>
    <w:pitch w:val="default"/>
    <w:sig w:usb0="A00002FF" w:usb1="7ACFFDFB" w:usb2="00000017"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720"/>
  <w:displayHorizontalDrawingGridEvery w:val="1"/>
  <w:displayVerticalDrawingGridEvery w:val="1"/>
  <w:noPunctuationKerning w:val="1"/>
  <w:compat>
    <w:doNotExpandShiftReturn/>
    <w:doNotWrapTextWithPunct/>
    <w:doNotUseEastAsianBreakRules/>
    <w:doNotUseIndentAsNumberingTabStop/>
    <w:useAltKinsokuLineBreakRules/>
    <w:compatSetting w:name="compatibilityMode" w:uri="http://schemas.microsoft.com/office/word" w:val="15"/>
  </w:compat>
  <w:rsids>
    <w:rsidRoot w:val="00000000"/>
    <w:rsid w:val="0BFC7C37"/>
    <w:rsid w:val="176EFD42"/>
    <w:rsid w:val="FD89CB6E"/>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Calibri" w:hAnsi="Calibri" w:eastAsia="Calibri" w:cs="Calibri"/>
      <w:sz w:val="22"/>
      <w:szCs w:val="22"/>
      <w:lang w:val="en-US"/>
    </w:rPr>
  </w:style>
  <w:style w:type="paragraph" w:styleId="2">
    <w:name w:val="heading 1"/>
    <w:basedOn w:val="1"/>
    <w:next w:val="1"/>
    <w:qFormat/>
    <w:uiPriority w:val="0"/>
    <w:pPr>
      <w:keepNext w:val="0"/>
      <w:keepLines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pPr>
    <w:rPr>
      <w:rFonts w:ascii="SimSun" w:hAnsi="SimSun" w:eastAsia="SimSun" w:cs="SimSun"/>
      <w:b/>
      <w:color w:val="000000"/>
      <w:sz w:val="48"/>
      <w:szCs w:val="48"/>
      <w:u w:val="none"/>
      <w:shd w:val="clear" w:fill="auto"/>
      <w:vertAlign w:val="baseline"/>
    </w:rPr>
  </w:style>
  <w:style w:type="paragraph" w:styleId="3">
    <w:name w:val="heading 2"/>
    <w:basedOn w:val="1"/>
    <w:next w:val="1"/>
    <w:qFormat/>
    <w:uiPriority w:val="0"/>
    <w:pPr>
      <w:keepNext w:val="0"/>
      <w:keepLines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pPr>
    <w:rPr>
      <w:rFonts w:ascii="SimSun" w:hAnsi="SimSun" w:eastAsia="SimSun" w:cs="SimSun"/>
      <w:b/>
      <w:color w:val="000000"/>
      <w:sz w:val="36"/>
      <w:szCs w:val="36"/>
      <w:u w:val="none"/>
      <w:shd w:val="clear" w:fill="auto"/>
      <w:vertAlign w:val="baseline"/>
    </w:rPr>
  </w:style>
  <w:style w:type="paragraph" w:styleId="4">
    <w:name w:val="heading 3"/>
    <w:basedOn w:val="1"/>
    <w:next w:val="1"/>
    <w:qFormat/>
    <w:uiPriority w:val="0"/>
    <w:pPr>
      <w:keepNext w:val="0"/>
      <w:keepLines w:val="0"/>
      <w:widowControl/>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pPr>
    <w:rPr>
      <w:rFonts w:ascii="SimSun" w:hAnsi="SimSun" w:eastAsia="SimSun" w:cs="SimSun"/>
      <w:b/>
      <w:color w:val="000000"/>
      <w:sz w:val="27"/>
      <w:szCs w:val="27"/>
      <w:u w:val="none"/>
      <w:shd w:val="clear" w:fill="auto"/>
      <w:vertAlign w:val="baseline"/>
    </w:rPr>
  </w:style>
  <w:style w:type="paragraph" w:styleId="5">
    <w:name w:val="heading 4"/>
    <w:basedOn w:val="1"/>
    <w:next w:val="1"/>
    <w:qFormat/>
    <w:uiPriority w:val="0"/>
    <w:pPr>
      <w:keepNext/>
      <w:keepLines/>
      <w:spacing w:before="240" w:after="40"/>
    </w:pPr>
    <w:rPr>
      <w:b/>
      <w:sz w:val="24"/>
      <w:szCs w:val="24"/>
    </w:rPr>
  </w:style>
  <w:style w:type="paragraph" w:styleId="6">
    <w:name w:val="heading 5"/>
    <w:basedOn w:val="1"/>
    <w:next w:val="1"/>
    <w:qFormat/>
    <w:uiPriority w:val="0"/>
    <w:pPr>
      <w:keepNext/>
      <w:keepLines/>
      <w:spacing w:before="220" w:after="40"/>
    </w:pPr>
    <w:rPr>
      <w:b/>
      <w:sz w:val="22"/>
      <w:szCs w:val="22"/>
    </w:rPr>
  </w:style>
  <w:style w:type="paragraph" w:styleId="7">
    <w:name w:val="heading 6"/>
    <w:basedOn w:val="1"/>
    <w:next w:val="1"/>
    <w:qFormat/>
    <w:uiPriority w:val="0"/>
    <w:pPr>
      <w:keepNext/>
      <w:keepLines/>
      <w:spacing w:before="200" w:after="40"/>
    </w:pPr>
    <w:rPr>
      <w:b/>
      <w:sz w:val="20"/>
      <w:szCs w:val="20"/>
    </w:rPr>
  </w:style>
  <w:style w:type="character" w:default="1" w:styleId="10">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8">
    <w:name w:val="Subtitle"/>
    <w:basedOn w:val="1"/>
    <w:next w:val="1"/>
    <w:qFormat/>
    <w:uiPriority w:val="0"/>
    <w:pPr>
      <w:keepNext/>
      <w:keepLines/>
      <w:spacing w:before="360" w:after="80"/>
    </w:pPr>
    <w:rPr>
      <w:rFonts w:ascii="Georgia" w:hAnsi="Georgia" w:eastAsia="Georgia" w:cs="Georgia"/>
      <w:i/>
      <w:color w:val="666666"/>
      <w:sz w:val="48"/>
      <w:szCs w:val="48"/>
    </w:rPr>
  </w:style>
  <w:style w:type="paragraph" w:styleId="9">
    <w:name w:val="Title"/>
    <w:basedOn w:val="1"/>
    <w:next w:val="1"/>
    <w:qFormat/>
    <w:uiPriority w:val="0"/>
    <w:pPr>
      <w:keepNext/>
      <w:keepLines/>
      <w:spacing w:before="480" w:after="120"/>
    </w:pPr>
    <w:rPr>
      <w:b/>
      <w:sz w:val="72"/>
      <w:szCs w:val="72"/>
    </w:rPr>
  </w:style>
  <w:style w:type="character" w:styleId="11">
    <w:name w:val="Hyperlink"/>
    <w:basedOn w:val="10"/>
    <w:qFormat/>
    <w:uiPriority w:val="0"/>
    <w:rPr>
      <w:color w:val="0000FF"/>
      <w:u w:val="single"/>
    </w:rPr>
  </w:style>
  <w:style w:type="table" w:customStyle="1" w:styleId="13">
    <w:name w:val="Table Normal1"/>
    <w:qFormat/>
    <w:uiPriority w:val="0"/>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ScaleCrop>false</ScaleCrop>
  <LinksUpToDate>false</LinksUpToDate>
  <Application>WPS Office_2.0.2.3356_F1E327BC-269C-435d-A152-05C5408002CA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2020-03-30T16:38:00Z</dcterms:created>
  <dc:creator>Data</dc:creator>
  <cp:lastModifiedBy>arieleno</cp:lastModifiedBy>
  <dcterms:modified xsi:type="dcterms:W3CDTF">2020-03-31T06:50:50Z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1033-2.0.2.3356</vt:lpwstr>
  </property>
</Properties>
</file>