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C822D9A" w14:textId="77777777" w:rsidR="00EA04CD" w:rsidRDefault="00EA04CD" w:rsidP="00EA04CD">
      <w:pPr>
        <w:spacing w:line="360" w:lineRule="auto"/>
        <w:jc w:val="center"/>
        <w:rPr>
          <w:rFonts w:ascii="Arial" w:hAnsi="Arial" w:cs="Arial"/>
          <w:sz w:val="24"/>
          <w:szCs w:val="24"/>
        </w:rPr>
      </w:pPr>
    </w:p>
    <w:p w14:paraId="7A1F9DDB" w14:textId="77777777" w:rsidR="00EA04CD" w:rsidRDefault="00EA04CD" w:rsidP="00EA04CD">
      <w:pPr>
        <w:spacing w:line="360" w:lineRule="auto"/>
        <w:jc w:val="center"/>
        <w:rPr>
          <w:rFonts w:ascii="Arial" w:hAnsi="Arial" w:cs="Arial"/>
          <w:sz w:val="24"/>
          <w:szCs w:val="24"/>
        </w:rPr>
      </w:pPr>
    </w:p>
    <w:p w14:paraId="23DB24A9" w14:textId="77777777" w:rsidR="00EA04CD" w:rsidRDefault="00EA04CD" w:rsidP="00EA04CD">
      <w:pPr>
        <w:spacing w:line="360" w:lineRule="auto"/>
        <w:jc w:val="center"/>
        <w:rPr>
          <w:rFonts w:ascii="Arial" w:hAnsi="Arial" w:cs="Arial"/>
          <w:sz w:val="24"/>
          <w:szCs w:val="24"/>
        </w:rPr>
      </w:pPr>
    </w:p>
    <w:p w14:paraId="6DDE1CA2" w14:textId="77777777" w:rsidR="00EA04CD" w:rsidRDefault="00EA04CD" w:rsidP="00EA04CD">
      <w:pPr>
        <w:spacing w:line="360" w:lineRule="auto"/>
        <w:jc w:val="center"/>
        <w:rPr>
          <w:rFonts w:ascii="Arial" w:hAnsi="Arial" w:cs="Arial"/>
          <w:sz w:val="24"/>
          <w:szCs w:val="24"/>
        </w:rPr>
      </w:pPr>
    </w:p>
    <w:p w14:paraId="1ED8386E" w14:textId="77777777" w:rsidR="00EA04CD" w:rsidRDefault="00EA04CD" w:rsidP="00EA04CD">
      <w:pPr>
        <w:spacing w:line="360" w:lineRule="auto"/>
        <w:jc w:val="center"/>
        <w:rPr>
          <w:rFonts w:ascii="Arial" w:hAnsi="Arial" w:cs="Arial"/>
          <w:sz w:val="24"/>
          <w:szCs w:val="24"/>
        </w:rPr>
      </w:pPr>
    </w:p>
    <w:p w14:paraId="6B6E9E1D" w14:textId="77777777" w:rsidR="00EA04CD" w:rsidRDefault="00EA04CD" w:rsidP="00EA04CD">
      <w:pPr>
        <w:spacing w:line="360" w:lineRule="auto"/>
        <w:jc w:val="center"/>
        <w:rPr>
          <w:rFonts w:ascii="Arial" w:hAnsi="Arial" w:cs="Arial"/>
          <w:sz w:val="24"/>
          <w:szCs w:val="24"/>
        </w:rPr>
      </w:pPr>
    </w:p>
    <w:p w14:paraId="69DDEC37" w14:textId="77777777" w:rsidR="00EA04CD" w:rsidRDefault="00EA04CD" w:rsidP="00EA04CD">
      <w:pPr>
        <w:spacing w:line="360" w:lineRule="auto"/>
        <w:jc w:val="center"/>
        <w:rPr>
          <w:rFonts w:ascii="Arial" w:hAnsi="Arial" w:cs="Arial"/>
          <w:sz w:val="24"/>
          <w:szCs w:val="24"/>
        </w:rPr>
      </w:pPr>
    </w:p>
    <w:p w14:paraId="2199A458" w14:textId="77777777" w:rsidR="00EA04CD" w:rsidRDefault="00EA04CD" w:rsidP="00EA04CD">
      <w:pPr>
        <w:spacing w:line="360" w:lineRule="auto"/>
        <w:jc w:val="center"/>
        <w:rPr>
          <w:rFonts w:ascii="Arial" w:hAnsi="Arial" w:cs="Arial"/>
          <w:sz w:val="24"/>
          <w:szCs w:val="24"/>
        </w:rPr>
      </w:pPr>
    </w:p>
    <w:p w14:paraId="7C429BA8" w14:textId="77777777" w:rsidR="00EA04CD" w:rsidRDefault="00EA04CD" w:rsidP="00EA04CD">
      <w:pPr>
        <w:spacing w:line="360" w:lineRule="auto"/>
        <w:jc w:val="center"/>
        <w:rPr>
          <w:rFonts w:ascii="Arial" w:hAnsi="Arial" w:cs="Arial"/>
          <w:sz w:val="24"/>
          <w:szCs w:val="24"/>
        </w:rPr>
      </w:pPr>
    </w:p>
    <w:p w14:paraId="1E917CF9" w14:textId="1E429B0A" w:rsidR="3ECBC812" w:rsidRPr="00EA04CD" w:rsidRDefault="3ECBC812" w:rsidP="00EA04CD">
      <w:pPr>
        <w:spacing w:line="360" w:lineRule="auto"/>
        <w:jc w:val="center"/>
        <w:rPr>
          <w:rFonts w:ascii="Arial" w:hAnsi="Arial" w:cs="Arial"/>
          <w:sz w:val="24"/>
          <w:szCs w:val="24"/>
        </w:rPr>
      </w:pPr>
      <w:proofErr w:type="spellStart"/>
      <w:r w:rsidRPr="00EA04CD">
        <w:rPr>
          <w:rFonts w:ascii="Arial" w:hAnsi="Arial" w:cs="Arial"/>
          <w:sz w:val="24"/>
          <w:szCs w:val="24"/>
        </w:rPr>
        <w:t>CertHE</w:t>
      </w:r>
      <w:proofErr w:type="spellEnd"/>
      <w:r w:rsidRPr="00EA04CD">
        <w:rPr>
          <w:rFonts w:ascii="Arial" w:hAnsi="Arial" w:cs="Arial"/>
          <w:sz w:val="24"/>
          <w:szCs w:val="24"/>
        </w:rPr>
        <w:t xml:space="preserve"> Law and Legal Practice</w:t>
      </w:r>
    </w:p>
    <w:p w14:paraId="0E3B70CF" w14:textId="3A0217B7" w:rsidR="3ECBC812" w:rsidRPr="00EA04CD" w:rsidRDefault="3ECBC812" w:rsidP="00EA04CD">
      <w:pPr>
        <w:spacing w:line="360" w:lineRule="auto"/>
        <w:jc w:val="center"/>
        <w:rPr>
          <w:rFonts w:ascii="Arial" w:hAnsi="Arial" w:cs="Arial"/>
          <w:sz w:val="24"/>
          <w:szCs w:val="24"/>
        </w:rPr>
      </w:pPr>
      <w:proofErr w:type="spellStart"/>
      <w:r w:rsidRPr="00EA04CD">
        <w:rPr>
          <w:rFonts w:ascii="Arial" w:hAnsi="Arial" w:cs="Arial"/>
          <w:sz w:val="24"/>
          <w:szCs w:val="24"/>
        </w:rPr>
        <w:t>CertHE</w:t>
      </w:r>
      <w:proofErr w:type="spellEnd"/>
      <w:r w:rsidRPr="00EA04CD">
        <w:rPr>
          <w:rFonts w:ascii="Arial" w:hAnsi="Arial" w:cs="Arial"/>
          <w:sz w:val="24"/>
          <w:szCs w:val="24"/>
        </w:rPr>
        <w:t xml:space="preserve"> Professional Policing</w:t>
      </w:r>
    </w:p>
    <w:p w14:paraId="3F96F8C0" w14:textId="346BA2B6" w:rsidR="3ECBC812" w:rsidRPr="00EA04CD" w:rsidRDefault="3ECBC812" w:rsidP="00EA04CD">
      <w:pPr>
        <w:spacing w:line="360" w:lineRule="auto"/>
        <w:jc w:val="center"/>
        <w:rPr>
          <w:rFonts w:ascii="Arial" w:hAnsi="Arial" w:cs="Arial"/>
          <w:sz w:val="24"/>
          <w:szCs w:val="24"/>
        </w:rPr>
      </w:pPr>
      <w:proofErr w:type="spellStart"/>
      <w:r w:rsidRPr="00EA04CD">
        <w:rPr>
          <w:rFonts w:ascii="Arial" w:hAnsi="Arial" w:cs="Arial"/>
          <w:sz w:val="24"/>
          <w:szCs w:val="24"/>
        </w:rPr>
        <w:t>Bsc</w:t>
      </w:r>
      <w:proofErr w:type="spellEnd"/>
      <w:r w:rsidRPr="00EA04CD">
        <w:rPr>
          <w:rFonts w:ascii="Arial" w:hAnsi="Arial" w:cs="Arial"/>
          <w:sz w:val="24"/>
          <w:szCs w:val="24"/>
        </w:rPr>
        <w:t xml:space="preserve"> Professional Policing</w:t>
      </w:r>
    </w:p>
    <w:p w14:paraId="305519B8" w14:textId="0CD9CE7F" w:rsidR="3ECBC812" w:rsidRPr="00EA04CD" w:rsidRDefault="3ECBC812" w:rsidP="00EA04CD">
      <w:pPr>
        <w:spacing w:line="360" w:lineRule="auto"/>
        <w:jc w:val="center"/>
        <w:rPr>
          <w:rFonts w:ascii="Arial" w:hAnsi="Arial" w:cs="Arial"/>
          <w:sz w:val="24"/>
          <w:szCs w:val="24"/>
        </w:rPr>
      </w:pPr>
      <w:r w:rsidRPr="00EA04CD">
        <w:rPr>
          <w:rFonts w:ascii="Arial" w:hAnsi="Arial" w:cs="Arial"/>
          <w:sz w:val="24"/>
          <w:szCs w:val="24"/>
        </w:rPr>
        <w:t>Legal Process</w:t>
      </w:r>
    </w:p>
    <w:p w14:paraId="562F032E" w14:textId="3C414702" w:rsidR="3ECBC812" w:rsidRPr="00EA04CD" w:rsidRDefault="3ECBC812" w:rsidP="00EA04CD">
      <w:pPr>
        <w:spacing w:line="360" w:lineRule="auto"/>
        <w:jc w:val="center"/>
        <w:rPr>
          <w:rFonts w:ascii="Arial" w:hAnsi="Arial" w:cs="Arial"/>
          <w:sz w:val="24"/>
          <w:szCs w:val="24"/>
        </w:rPr>
      </w:pPr>
      <w:r w:rsidRPr="00EA04CD">
        <w:rPr>
          <w:rFonts w:ascii="Arial" w:hAnsi="Arial" w:cs="Arial"/>
          <w:sz w:val="24"/>
          <w:szCs w:val="24"/>
        </w:rPr>
        <w:t>Assignment Title: Common Law</w:t>
      </w:r>
    </w:p>
    <w:p w14:paraId="48228943" w14:textId="3A8BE1C3" w:rsidR="3ECBC812" w:rsidRPr="00EA04CD" w:rsidRDefault="3ECBC812" w:rsidP="00EA04CD">
      <w:pPr>
        <w:spacing w:line="360" w:lineRule="auto"/>
        <w:jc w:val="center"/>
        <w:rPr>
          <w:rFonts w:ascii="Arial" w:hAnsi="Arial" w:cs="Arial"/>
          <w:sz w:val="24"/>
          <w:szCs w:val="24"/>
        </w:rPr>
      </w:pPr>
      <w:r w:rsidRPr="00EA04CD">
        <w:rPr>
          <w:rFonts w:ascii="Arial" w:hAnsi="Arial" w:cs="Arial"/>
          <w:sz w:val="24"/>
          <w:szCs w:val="24"/>
        </w:rPr>
        <w:t>Student number</w:t>
      </w:r>
      <w:r w:rsidR="009549CD">
        <w:rPr>
          <w:rFonts w:ascii="Arial" w:hAnsi="Arial" w:cs="Arial"/>
          <w:sz w:val="24"/>
          <w:szCs w:val="24"/>
        </w:rPr>
        <w:t>: 2217115</w:t>
      </w:r>
    </w:p>
    <w:p w14:paraId="13A85348" w14:textId="2360B8FA" w:rsidR="003134DE" w:rsidRPr="00EA04CD" w:rsidRDefault="3ECBC812" w:rsidP="00EA04CD">
      <w:pPr>
        <w:spacing w:line="360" w:lineRule="auto"/>
        <w:jc w:val="center"/>
        <w:rPr>
          <w:rFonts w:ascii="Arial" w:hAnsi="Arial" w:cs="Arial"/>
          <w:sz w:val="24"/>
          <w:szCs w:val="24"/>
        </w:rPr>
      </w:pPr>
      <w:r w:rsidRPr="00EA04CD">
        <w:rPr>
          <w:rFonts w:ascii="Arial" w:hAnsi="Arial" w:cs="Arial"/>
          <w:sz w:val="24"/>
          <w:szCs w:val="24"/>
        </w:rPr>
        <w:t>Submission Date</w:t>
      </w:r>
      <w:r w:rsidR="009549CD">
        <w:rPr>
          <w:rFonts w:ascii="Arial" w:hAnsi="Arial" w:cs="Arial"/>
          <w:sz w:val="24"/>
          <w:szCs w:val="24"/>
        </w:rPr>
        <w:t>: 10/03/23</w:t>
      </w:r>
      <w:bookmarkStart w:id="0" w:name="_GoBack"/>
      <w:bookmarkEnd w:id="0"/>
    </w:p>
    <w:p w14:paraId="0FFF3449" w14:textId="77777777" w:rsidR="003134DE" w:rsidRDefault="003134DE">
      <w:pPr>
        <w:rPr>
          <w:rFonts w:ascii="Calibri Light" w:eastAsia="Calibri Light" w:hAnsi="Calibri Light" w:cs="Calibri Light"/>
          <w:b/>
          <w:bCs/>
          <w:color w:val="000000" w:themeColor="text1"/>
          <w:spacing w:val="-10"/>
          <w:kern w:val="28"/>
          <w:sz w:val="56"/>
          <w:szCs w:val="56"/>
          <w:lang w:val="en-GB"/>
        </w:rPr>
      </w:pPr>
      <w:r>
        <w:rPr>
          <w:rFonts w:ascii="Calibri Light" w:eastAsia="Calibri Light" w:hAnsi="Calibri Light" w:cs="Calibri Light"/>
          <w:b/>
          <w:bCs/>
          <w:color w:val="000000" w:themeColor="text1"/>
          <w:lang w:val="en-GB"/>
        </w:rPr>
        <w:br w:type="page"/>
      </w:r>
    </w:p>
    <w:p w14:paraId="02892732" w14:textId="3B8FA023" w:rsidR="003134DE" w:rsidRPr="003134DE" w:rsidRDefault="003134DE" w:rsidP="003134DE">
      <w:pPr>
        <w:pStyle w:val="Heading1"/>
        <w:spacing w:line="240" w:lineRule="auto"/>
        <w:rPr>
          <w:rFonts w:ascii="Arial" w:eastAsia="Calibri Light" w:hAnsi="Arial" w:cs="Arial"/>
          <w:b/>
          <w:bCs/>
          <w:color w:val="auto"/>
          <w:sz w:val="24"/>
          <w:szCs w:val="24"/>
        </w:rPr>
      </w:pPr>
      <w:r w:rsidRPr="003134DE">
        <w:rPr>
          <w:rStyle w:val="normaltextrun"/>
          <w:rFonts w:ascii="Arial" w:hAnsi="Arial" w:cs="Arial"/>
          <w:b/>
          <w:bCs/>
          <w:color w:val="auto"/>
          <w:sz w:val="24"/>
          <w:szCs w:val="24"/>
          <w:shd w:val="clear" w:color="auto" w:fill="FFFFFF"/>
        </w:rPr>
        <w:lastRenderedPageBreak/>
        <w:t>The English Legal System is based upon common law principles</w:t>
      </w:r>
    </w:p>
    <w:p w14:paraId="522DF7E4" w14:textId="40C28C32" w:rsidR="3ECBC812" w:rsidRPr="00EA04CD" w:rsidRDefault="3ECBC812" w:rsidP="00EA04CD">
      <w:pPr>
        <w:pStyle w:val="NoSpacing"/>
        <w:spacing w:line="360" w:lineRule="auto"/>
        <w:ind w:firstLine="720"/>
        <w:jc w:val="both"/>
        <w:rPr>
          <w:rFonts w:ascii="Arial" w:hAnsi="Arial" w:cs="Arial"/>
          <w:sz w:val="24"/>
          <w:szCs w:val="24"/>
          <w:lang w:val="en-GB"/>
        </w:rPr>
      </w:pPr>
      <w:r w:rsidRPr="00EA04CD">
        <w:rPr>
          <w:rFonts w:ascii="Arial" w:hAnsi="Arial" w:cs="Arial"/>
          <w:sz w:val="24"/>
          <w:szCs w:val="24"/>
          <w:lang w:val="en-GB"/>
        </w:rPr>
        <w:t>The legal system is an intricate institution that is continuously evolving because of the introduction of novel laws, policies, and procedures (Baker, 2015). The resolution of disagreements between parties and the establishment of norms and values that underpin interactions between individuals, businesses, and governments are two of the primary responsibilities of the legal systems that play a significant part in the formation of contemporary societies. In this essay, we will examine the relationship between legislation, policies, and practises, as well as the important concepts of legislation and the legal process. We will also identify and evaluate the fundamental legal techniques of precedent reasoning and statute interpretation. This will include a thorough examination of fact-finding, which is an essential component of legal reasoning. This essay aims to provide a comprehensive understanding of the legal system by demonstrating knowledge and understanding of the relevant legislation and legal process, as well as evaluating the techniques of reasoning from precedent and interpreting statutes. This knowledge will be extremely useful to legal professionals, law students, and anyone seeking to better understand the legal system and how it works.</w:t>
      </w:r>
    </w:p>
    <w:p w14:paraId="760C3634" w14:textId="33B91315" w:rsidR="3ECBC812" w:rsidRPr="00EA04CD" w:rsidRDefault="3ECBC812" w:rsidP="00EA04CD">
      <w:pPr>
        <w:pStyle w:val="NoSpacing"/>
        <w:spacing w:line="360" w:lineRule="auto"/>
        <w:ind w:firstLine="720"/>
        <w:jc w:val="both"/>
        <w:rPr>
          <w:rFonts w:ascii="Arial" w:hAnsi="Arial" w:cs="Arial"/>
          <w:sz w:val="24"/>
          <w:szCs w:val="24"/>
          <w:lang w:val="en-GB"/>
        </w:rPr>
      </w:pPr>
      <w:r w:rsidRPr="00EA04CD">
        <w:rPr>
          <w:rFonts w:ascii="Arial" w:hAnsi="Arial" w:cs="Arial"/>
          <w:sz w:val="24"/>
          <w:szCs w:val="24"/>
          <w:lang w:val="en-GB"/>
        </w:rPr>
        <w:t xml:space="preserve">Common law is an English legal system that has been adopted by many countries around the world, including the United States, Canada, and Australia. Common law is founded on the principle of stare decisis, which requires courts to follow previous courts' decisions in similar cases. This ensures that the law is consistent and predictable. The principle of stare decisis is fundamental to the common law system. This doctrine "provides that courts are bound to follow prior decisions in cases with similar facts and legal issues," according to Randy J. </w:t>
      </w:r>
      <w:proofErr w:type="spellStart"/>
      <w:r w:rsidRPr="00EA04CD">
        <w:rPr>
          <w:rFonts w:ascii="Arial" w:hAnsi="Arial" w:cs="Arial"/>
          <w:sz w:val="24"/>
          <w:szCs w:val="24"/>
          <w:lang w:val="en-GB"/>
        </w:rPr>
        <w:t>Kozel</w:t>
      </w:r>
      <w:proofErr w:type="spellEnd"/>
      <w:r w:rsidRPr="00EA04CD">
        <w:rPr>
          <w:rFonts w:ascii="Arial" w:hAnsi="Arial" w:cs="Arial"/>
          <w:sz w:val="24"/>
          <w:szCs w:val="24"/>
          <w:lang w:val="en-GB"/>
        </w:rPr>
        <w:t xml:space="preserve"> in his article "The Role of Precedent in Common Law" (</w:t>
      </w:r>
      <w:proofErr w:type="spellStart"/>
      <w:r w:rsidRPr="00EA04CD">
        <w:rPr>
          <w:rFonts w:ascii="Arial" w:hAnsi="Arial" w:cs="Arial"/>
          <w:sz w:val="24"/>
          <w:szCs w:val="24"/>
          <w:lang w:val="en-GB"/>
        </w:rPr>
        <w:t>Kozel</w:t>
      </w:r>
      <w:proofErr w:type="spellEnd"/>
      <w:r w:rsidRPr="00EA04CD">
        <w:rPr>
          <w:rFonts w:ascii="Arial" w:hAnsi="Arial" w:cs="Arial"/>
          <w:sz w:val="24"/>
          <w:szCs w:val="24"/>
          <w:lang w:val="en-GB"/>
        </w:rPr>
        <w:t>, 2010, p. 1029). This means that higher court decisions are binding on lower courts within the same jurisdiction. As a result, the law gradually becomes more predictable and consistent.</w:t>
      </w:r>
    </w:p>
    <w:p w14:paraId="1FEC0D6A" w14:textId="255330AD" w:rsidR="3ECBC812" w:rsidRPr="00EA04CD" w:rsidRDefault="3ECBC812" w:rsidP="00EA04CD">
      <w:pPr>
        <w:pStyle w:val="NoSpacing"/>
        <w:spacing w:line="360" w:lineRule="auto"/>
        <w:ind w:firstLine="720"/>
        <w:jc w:val="both"/>
        <w:rPr>
          <w:rFonts w:ascii="Arial" w:hAnsi="Arial" w:cs="Arial"/>
          <w:sz w:val="24"/>
          <w:szCs w:val="24"/>
          <w:lang w:val="en-GB"/>
        </w:rPr>
      </w:pPr>
      <w:r w:rsidRPr="00EA04CD">
        <w:rPr>
          <w:rFonts w:ascii="Arial" w:hAnsi="Arial" w:cs="Arial"/>
          <w:sz w:val="24"/>
          <w:szCs w:val="24"/>
          <w:lang w:val="en-GB"/>
        </w:rPr>
        <w:t xml:space="preserve">One of the advantages of the common law system is that it allows for legal flexibility and adaptability. "The common law is an evolutionary system that can adapt to changing social, economic, and technological conditions," writes Donal Nolan in his article "Negligence and the Duty of Care" (Nolan, 2015, p. 69). For example, in the tort of negligence, the principle of duty of care has evolved over time to account for new </w:t>
      </w:r>
      <w:r w:rsidRPr="00EA04CD">
        <w:rPr>
          <w:rFonts w:ascii="Arial" w:hAnsi="Arial" w:cs="Arial"/>
          <w:sz w:val="24"/>
          <w:szCs w:val="24"/>
          <w:lang w:val="en-GB"/>
        </w:rPr>
        <w:lastRenderedPageBreak/>
        <w:t>situations and circumstances. The court held in Donoghue v Stevenson (1932) that a manufacturer owes a duty of care to the ultimate consumer of its products. Since then, this principle has been applied in numerous other cases, including those involving defective products, medical malpractice, and professional negligence.</w:t>
      </w:r>
    </w:p>
    <w:p w14:paraId="29E9D06A" w14:textId="6C2B9DBA" w:rsidR="3ECBC812" w:rsidRPr="00EA04CD" w:rsidRDefault="3ECBC812" w:rsidP="00EA04CD">
      <w:pPr>
        <w:pStyle w:val="NoSpacing"/>
        <w:spacing w:line="360" w:lineRule="auto"/>
        <w:ind w:firstLine="720"/>
        <w:jc w:val="both"/>
        <w:rPr>
          <w:rFonts w:ascii="Arial" w:hAnsi="Arial" w:cs="Arial"/>
          <w:sz w:val="24"/>
          <w:szCs w:val="24"/>
          <w:lang w:val="en-GB"/>
        </w:rPr>
      </w:pPr>
      <w:r w:rsidRPr="00EA04CD">
        <w:rPr>
          <w:rFonts w:ascii="Arial" w:hAnsi="Arial" w:cs="Arial"/>
          <w:sz w:val="24"/>
          <w:szCs w:val="24"/>
          <w:lang w:val="en-GB"/>
        </w:rPr>
        <w:t xml:space="preserve">Another feature of the common law system is the importance of judges making reasoned decisions. "Judges must provide a reasoned justification for their decisions in order to maintain the legitimacy of the judicial process," writes Neil </w:t>
      </w:r>
      <w:proofErr w:type="spellStart"/>
      <w:r w:rsidRPr="00EA04CD">
        <w:rPr>
          <w:rFonts w:ascii="Arial" w:hAnsi="Arial" w:cs="Arial"/>
          <w:sz w:val="24"/>
          <w:szCs w:val="24"/>
          <w:lang w:val="en-GB"/>
        </w:rPr>
        <w:t>MacCormick</w:t>
      </w:r>
      <w:proofErr w:type="spellEnd"/>
      <w:r w:rsidRPr="00EA04CD">
        <w:rPr>
          <w:rFonts w:ascii="Arial" w:hAnsi="Arial" w:cs="Arial"/>
          <w:sz w:val="24"/>
          <w:szCs w:val="24"/>
          <w:lang w:val="en-GB"/>
        </w:rPr>
        <w:t xml:space="preserve"> in his article "The Nature of Judicial Reasoning" (</w:t>
      </w:r>
      <w:proofErr w:type="spellStart"/>
      <w:r w:rsidRPr="00EA04CD">
        <w:rPr>
          <w:rFonts w:ascii="Arial" w:hAnsi="Arial" w:cs="Arial"/>
          <w:sz w:val="24"/>
          <w:szCs w:val="24"/>
          <w:lang w:val="en-GB"/>
        </w:rPr>
        <w:t>MacCormick</w:t>
      </w:r>
      <w:proofErr w:type="spellEnd"/>
      <w:r w:rsidRPr="00EA04CD">
        <w:rPr>
          <w:rFonts w:ascii="Arial" w:hAnsi="Arial" w:cs="Arial"/>
          <w:sz w:val="24"/>
          <w:szCs w:val="24"/>
          <w:lang w:val="en-GB"/>
        </w:rPr>
        <w:t>, 2005, p. 23). This means that judges must explain their reasoning in a clear and logical manner, based on the facts of the case and relevant legal principles. This contributes to the law being applied fairly and consistently, and judges being held accountable for their decisions.</w:t>
      </w:r>
    </w:p>
    <w:p w14:paraId="28606A9B" w14:textId="04AE2AA5" w:rsidR="3ECBC812" w:rsidRPr="00EA04CD" w:rsidRDefault="3ECBC812" w:rsidP="00EA04CD">
      <w:pPr>
        <w:pStyle w:val="NoSpacing"/>
        <w:spacing w:line="360" w:lineRule="auto"/>
        <w:ind w:firstLine="720"/>
        <w:jc w:val="both"/>
        <w:rPr>
          <w:rFonts w:ascii="Arial" w:hAnsi="Arial" w:cs="Arial"/>
          <w:sz w:val="24"/>
          <w:szCs w:val="24"/>
          <w:lang w:val="en-GB"/>
        </w:rPr>
      </w:pPr>
      <w:r w:rsidRPr="00EA04CD">
        <w:rPr>
          <w:rFonts w:ascii="Arial" w:hAnsi="Arial" w:cs="Arial"/>
          <w:sz w:val="24"/>
          <w:szCs w:val="24"/>
          <w:lang w:val="en-GB"/>
        </w:rPr>
        <w:t xml:space="preserve">The origins of common law can be traced back to the Middle Ages in England. There was no unified legal system at the time, and different regions had their own customs and traditions. "Judges began to develop principles based on these customs and traditions, which were later recognised as part of the common law," writes John H. </w:t>
      </w:r>
      <w:proofErr w:type="spellStart"/>
      <w:r w:rsidRPr="00EA04CD">
        <w:rPr>
          <w:rFonts w:ascii="Arial" w:hAnsi="Arial" w:cs="Arial"/>
          <w:sz w:val="24"/>
          <w:szCs w:val="24"/>
          <w:lang w:val="en-GB"/>
        </w:rPr>
        <w:t>Langbein</w:t>
      </w:r>
      <w:proofErr w:type="spellEnd"/>
      <w:r w:rsidRPr="00EA04CD">
        <w:rPr>
          <w:rFonts w:ascii="Arial" w:hAnsi="Arial" w:cs="Arial"/>
          <w:sz w:val="24"/>
          <w:szCs w:val="24"/>
          <w:lang w:val="en-GB"/>
        </w:rPr>
        <w:t xml:space="preserve"> in his book "The Origins of Adversary Criminal Trial" (</w:t>
      </w:r>
      <w:proofErr w:type="spellStart"/>
      <w:r w:rsidRPr="00EA04CD">
        <w:rPr>
          <w:rFonts w:ascii="Arial" w:hAnsi="Arial" w:cs="Arial"/>
          <w:sz w:val="24"/>
          <w:szCs w:val="24"/>
          <w:lang w:val="en-GB"/>
        </w:rPr>
        <w:t>Langbein</w:t>
      </w:r>
      <w:proofErr w:type="spellEnd"/>
      <w:r w:rsidRPr="00EA04CD">
        <w:rPr>
          <w:rFonts w:ascii="Arial" w:hAnsi="Arial" w:cs="Arial"/>
          <w:sz w:val="24"/>
          <w:szCs w:val="24"/>
          <w:lang w:val="en-GB"/>
        </w:rPr>
        <w:t>, 2003, p. 9). These principles were founded on the notion that the law should be applied fairly and consistently, and that judges should use their discretion to do so.</w:t>
      </w:r>
    </w:p>
    <w:p w14:paraId="65286289" w14:textId="652F2C0F" w:rsidR="3ECBC812" w:rsidRPr="00EA04CD" w:rsidRDefault="3ECBC812" w:rsidP="00EA04CD">
      <w:pPr>
        <w:pStyle w:val="NoSpacing"/>
        <w:spacing w:line="360" w:lineRule="auto"/>
        <w:ind w:firstLine="720"/>
        <w:jc w:val="both"/>
        <w:rPr>
          <w:rFonts w:ascii="Arial" w:hAnsi="Arial" w:cs="Arial"/>
          <w:sz w:val="24"/>
          <w:szCs w:val="24"/>
          <w:lang w:val="en-GB"/>
        </w:rPr>
      </w:pPr>
      <w:r w:rsidRPr="00EA04CD">
        <w:rPr>
          <w:rFonts w:ascii="Arial" w:hAnsi="Arial" w:cs="Arial"/>
          <w:sz w:val="24"/>
          <w:szCs w:val="24"/>
          <w:lang w:val="en-GB"/>
        </w:rPr>
        <w:t>The common law system evolved and became more formalised over time. "By the 16th century, the common law had become an established body of law that was recognised and enforced by the courts," writes William L. Prosser in his book "Handbook of the Law of Torts" (Prosser, 2015, p. 3). Judges began to record their decisions, which became known as precedents. Precedents were used to guide future decisions and to ensure the law's consistency and predictability.</w:t>
      </w:r>
    </w:p>
    <w:p w14:paraId="35CF30B2" w14:textId="70FE963A" w:rsidR="3ECBC812" w:rsidRPr="00EA04CD" w:rsidRDefault="3ECBC812" w:rsidP="00EA04CD">
      <w:pPr>
        <w:pStyle w:val="NoSpacing"/>
        <w:spacing w:line="360" w:lineRule="auto"/>
        <w:ind w:firstLine="720"/>
        <w:jc w:val="both"/>
        <w:rPr>
          <w:rFonts w:ascii="Arial" w:hAnsi="Arial" w:cs="Arial"/>
          <w:sz w:val="24"/>
          <w:szCs w:val="24"/>
          <w:lang w:val="en-GB"/>
        </w:rPr>
      </w:pPr>
      <w:r w:rsidRPr="00EA04CD">
        <w:rPr>
          <w:rFonts w:ascii="Arial" w:hAnsi="Arial" w:cs="Arial"/>
          <w:sz w:val="24"/>
          <w:szCs w:val="24"/>
          <w:lang w:val="en-GB"/>
        </w:rPr>
        <w:t xml:space="preserve">The emergence of the jury system was one of the most significant developments in the history of common law. "The jury system evolved in the 12th and 13th centuries as a way of involving the community in the administration of justice," writes </w:t>
      </w:r>
      <w:proofErr w:type="spellStart"/>
      <w:r w:rsidRPr="00EA04CD">
        <w:rPr>
          <w:rFonts w:ascii="Arial" w:hAnsi="Arial" w:cs="Arial"/>
          <w:sz w:val="24"/>
          <w:szCs w:val="24"/>
          <w:lang w:val="en-GB"/>
        </w:rPr>
        <w:t>Langbein</w:t>
      </w:r>
      <w:proofErr w:type="spellEnd"/>
      <w:r w:rsidRPr="00EA04CD">
        <w:rPr>
          <w:rFonts w:ascii="Arial" w:hAnsi="Arial" w:cs="Arial"/>
          <w:sz w:val="24"/>
          <w:szCs w:val="24"/>
          <w:lang w:val="en-GB"/>
        </w:rPr>
        <w:t xml:space="preserve"> (</w:t>
      </w:r>
      <w:proofErr w:type="spellStart"/>
      <w:r w:rsidRPr="00EA04CD">
        <w:rPr>
          <w:rFonts w:ascii="Arial" w:hAnsi="Arial" w:cs="Arial"/>
          <w:sz w:val="24"/>
          <w:szCs w:val="24"/>
          <w:lang w:val="en-GB"/>
        </w:rPr>
        <w:t>Langbein</w:t>
      </w:r>
      <w:proofErr w:type="spellEnd"/>
      <w:r w:rsidRPr="00EA04CD">
        <w:rPr>
          <w:rFonts w:ascii="Arial" w:hAnsi="Arial" w:cs="Arial"/>
          <w:sz w:val="24"/>
          <w:szCs w:val="24"/>
          <w:lang w:val="en-GB"/>
        </w:rPr>
        <w:t xml:space="preserve">, 2003, p. 38). The jury was composed of local residents who were asked to decide the facts of a case and render a verdict. This aided in ensuring that the law was applied fairly and that court decisions were accepted by the community. The evolution of the legal profession was another significant aspect of common law history. "By the </w:t>
      </w:r>
      <w:r w:rsidRPr="00EA04CD">
        <w:rPr>
          <w:rFonts w:ascii="Arial" w:hAnsi="Arial" w:cs="Arial"/>
          <w:sz w:val="24"/>
          <w:szCs w:val="24"/>
          <w:lang w:val="en-GB"/>
        </w:rPr>
        <w:lastRenderedPageBreak/>
        <w:t>17th century, the legal profession had become a distinct and well-respected group, with lawyers playing an important role in the administration of justice," writes Prosser (Prosser, 2015, p. 6). Lawyers began to specialise in various areas of law, and their knowledge contributed to ensuring that the law was applied correctly and fairly.</w:t>
      </w:r>
    </w:p>
    <w:p w14:paraId="119464FC" w14:textId="48E7EE2B" w:rsidR="3ECBC812" w:rsidRPr="00EA04CD" w:rsidRDefault="3ECBC812" w:rsidP="00EA04CD">
      <w:pPr>
        <w:pStyle w:val="NoSpacing"/>
        <w:spacing w:line="360" w:lineRule="auto"/>
        <w:ind w:firstLine="720"/>
        <w:jc w:val="both"/>
        <w:rPr>
          <w:rFonts w:ascii="Arial" w:hAnsi="Arial" w:cs="Arial"/>
          <w:sz w:val="24"/>
          <w:szCs w:val="24"/>
          <w:lang w:val="en-GB"/>
        </w:rPr>
      </w:pPr>
      <w:r w:rsidRPr="00EA04CD">
        <w:rPr>
          <w:rFonts w:ascii="Arial" w:hAnsi="Arial" w:cs="Arial"/>
          <w:sz w:val="24"/>
          <w:szCs w:val="24"/>
          <w:lang w:val="en-GB"/>
        </w:rPr>
        <w:t>The civil law system has also had an impact on legal systems around the world. The Napoleonic Code was influential in shaping France's legal system and has been adopted by many other countries. The Napoleonic Code is a civil law system based on a set of written legal codes that the courts interpret. It has had an impact on the development of legal systems throughout Latin America, the Middle East, and parts of Africa.</w:t>
      </w:r>
    </w:p>
    <w:p w14:paraId="42929CD5" w14:textId="726F636B" w:rsidR="3ECBC812" w:rsidRPr="00EA04CD" w:rsidRDefault="3ECBC812" w:rsidP="00EA04CD">
      <w:pPr>
        <w:pStyle w:val="NoSpacing"/>
        <w:spacing w:line="360" w:lineRule="auto"/>
        <w:ind w:firstLine="720"/>
        <w:jc w:val="both"/>
        <w:rPr>
          <w:rFonts w:ascii="Arial" w:hAnsi="Arial" w:cs="Arial"/>
          <w:sz w:val="24"/>
          <w:szCs w:val="24"/>
          <w:lang w:val="en-GB"/>
        </w:rPr>
      </w:pPr>
      <w:r w:rsidRPr="00EA04CD">
        <w:rPr>
          <w:rFonts w:ascii="Arial" w:hAnsi="Arial" w:cs="Arial"/>
          <w:sz w:val="24"/>
          <w:szCs w:val="24"/>
          <w:lang w:val="en-GB"/>
        </w:rPr>
        <w:t>The development of the concept of fault liability is one example of the civil law system in action. Individuals can be held liable for their actions in civil law systems if they can be shown to be at fault or to have acted negligently. In contrast, in the common law system, liability is based on the concept of strict liability. In civil law systems, rather than a jury, liability is often determined by a judge or panel of judges.</w:t>
      </w:r>
    </w:p>
    <w:p w14:paraId="02650BF0" w14:textId="3CB1819B" w:rsidR="3ECBC812" w:rsidRPr="00EA04CD" w:rsidRDefault="3ECBC812" w:rsidP="00EA04CD">
      <w:pPr>
        <w:pStyle w:val="NoSpacing"/>
        <w:spacing w:line="360" w:lineRule="auto"/>
        <w:ind w:firstLine="720"/>
        <w:jc w:val="both"/>
        <w:rPr>
          <w:rFonts w:ascii="Arial" w:hAnsi="Arial" w:cs="Arial"/>
          <w:sz w:val="24"/>
          <w:szCs w:val="24"/>
          <w:lang w:val="en-GB"/>
        </w:rPr>
      </w:pPr>
      <w:r w:rsidRPr="00EA04CD">
        <w:rPr>
          <w:rFonts w:ascii="Arial" w:hAnsi="Arial" w:cs="Arial"/>
          <w:sz w:val="24"/>
          <w:szCs w:val="24"/>
          <w:lang w:val="en-GB"/>
        </w:rPr>
        <w:t>The distinctions between common law and civil law systems can have serious consequences for legal proceedings. In common law systems, for example, the burden of proof generally falls on the plaintiff, whereas in civil law systems, the burden of proof falls on the defendant. This means that in civil law systems, defendants may be required to prove their innocence, whereas plaintiffs must prove the defendant's guilt in common law systems. Donoghue v Stevenson [1932] AC 562, where the tort of negligence was first established, is one relevant case law. The plaintiff in this case claimed that she was harmed as a result of drinking a bottle of ginger beer that contained a snail. The court ruled that the ginger beer manufacturer owed a duty of care to ensure that their product was safe for consumption, and that they had breached that duty by allowing the snail to be present in the bottle. This case influenced the evolution of the tort of negligence, which has since been used in numerous cases around the world.</w:t>
      </w:r>
    </w:p>
    <w:p w14:paraId="7C2D3126" w14:textId="4B3B6697" w:rsidR="3ECBC812" w:rsidRPr="00EA04CD" w:rsidRDefault="3ECBC812" w:rsidP="00EA04CD">
      <w:pPr>
        <w:pStyle w:val="NoSpacing"/>
        <w:spacing w:line="360" w:lineRule="auto"/>
        <w:ind w:firstLine="720"/>
        <w:jc w:val="both"/>
        <w:rPr>
          <w:rFonts w:ascii="Arial" w:hAnsi="Arial" w:cs="Arial"/>
          <w:sz w:val="24"/>
          <w:szCs w:val="24"/>
          <w:lang w:val="en-GB"/>
        </w:rPr>
      </w:pPr>
      <w:r w:rsidRPr="00EA04CD">
        <w:rPr>
          <w:rFonts w:ascii="Arial" w:hAnsi="Arial" w:cs="Arial"/>
          <w:sz w:val="24"/>
          <w:szCs w:val="24"/>
          <w:lang w:val="en-GB"/>
        </w:rPr>
        <w:t>Another important piece of case law is the decision of the European Court of Human Rights in the case of Al-</w:t>
      </w:r>
      <w:proofErr w:type="spellStart"/>
      <w:r w:rsidRPr="00EA04CD">
        <w:rPr>
          <w:rFonts w:ascii="Arial" w:hAnsi="Arial" w:cs="Arial"/>
          <w:sz w:val="24"/>
          <w:szCs w:val="24"/>
          <w:lang w:val="en-GB"/>
        </w:rPr>
        <w:t>Dulimi</w:t>
      </w:r>
      <w:proofErr w:type="spellEnd"/>
      <w:r w:rsidRPr="00EA04CD">
        <w:rPr>
          <w:rFonts w:ascii="Arial" w:hAnsi="Arial" w:cs="Arial"/>
          <w:sz w:val="24"/>
          <w:szCs w:val="24"/>
          <w:lang w:val="en-GB"/>
        </w:rPr>
        <w:t xml:space="preserve"> and Montana Management Inc. v. Switzerland [2016] ECHR 223. This case addressed the issue of the right to challenge one's detention in court, which is a common law principle. The court found that the Swiss </w:t>
      </w:r>
      <w:r w:rsidRPr="00EA04CD">
        <w:rPr>
          <w:rFonts w:ascii="Arial" w:hAnsi="Arial" w:cs="Arial"/>
          <w:sz w:val="24"/>
          <w:szCs w:val="24"/>
          <w:lang w:val="en-GB"/>
        </w:rPr>
        <w:lastRenderedPageBreak/>
        <w:t xml:space="preserve">government violated the applicants' right to a fair trial by denying them access to a court to challenge their detention in this case. This decision reaffirmed the importance of the habeas corpus principle in protecting individual liberties. </w:t>
      </w:r>
    </w:p>
    <w:p w14:paraId="17AE8E5E" w14:textId="7FF5230D" w:rsidR="3ECBC812" w:rsidRPr="00EA04CD" w:rsidRDefault="3ECBC812" w:rsidP="00EA04CD">
      <w:pPr>
        <w:pStyle w:val="NoSpacing"/>
        <w:spacing w:line="360" w:lineRule="auto"/>
        <w:ind w:firstLine="720"/>
        <w:jc w:val="both"/>
        <w:rPr>
          <w:rFonts w:ascii="Arial" w:hAnsi="Arial" w:cs="Arial"/>
          <w:sz w:val="24"/>
          <w:szCs w:val="24"/>
          <w:lang w:val="en-GB"/>
        </w:rPr>
      </w:pPr>
      <w:r w:rsidRPr="00EA04CD">
        <w:rPr>
          <w:rFonts w:ascii="Arial" w:hAnsi="Arial" w:cs="Arial"/>
          <w:sz w:val="24"/>
          <w:szCs w:val="24"/>
          <w:lang w:val="en-GB"/>
        </w:rPr>
        <w:t>When it comes to interpreting statutes, common law employs a number of legal techniques that are used to determine the meaning and application of a written law (Gardner, 2001). (Gardner, 2001). One of these techniques is the plain meaning rule, which holds that a statute should be interpreted according to its ordinary and natural meaning (Llewellyn, 1950). (Llewellyn, 1950). Another technique is the rule of ejusdem generis, which is used to interpret ambiguous words in a statute by looking at the context in which they appear (Barnett, 1998). (Barnett, 1998). To evaluate the fundamental legal techniques of reasoning from precedent and interpreting statutes, it is crucial to have a solid understanding of fact-finding (Lindblom, 2015). (Lindblom, 2015). Fact-finding is the process of gathering and analysing evidence to determine the truth about a particular case (Saks &amp; Koehler, 2008). (Saks &amp; Koehler, 2008). It is a crucial component of legal reasoning and is used to establish the facts that will inform legal decision-making (Lindblom, 2015). (Lindblom, 2015).</w:t>
      </w:r>
    </w:p>
    <w:p w14:paraId="47F63C8D" w14:textId="73507D6F" w:rsidR="3ECBC812" w:rsidRPr="00EA04CD" w:rsidRDefault="3ECBC812" w:rsidP="00EA04CD">
      <w:pPr>
        <w:pStyle w:val="NoSpacing"/>
        <w:spacing w:line="360" w:lineRule="auto"/>
        <w:ind w:firstLine="720"/>
        <w:jc w:val="both"/>
        <w:rPr>
          <w:rFonts w:ascii="Arial" w:hAnsi="Arial" w:cs="Arial"/>
          <w:sz w:val="24"/>
          <w:szCs w:val="24"/>
          <w:lang w:val="en-GB"/>
        </w:rPr>
      </w:pPr>
      <w:r w:rsidRPr="00EA04CD">
        <w:rPr>
          <w:rFonts w:ascii="Arial" w:hAnsi="Arial" w:cs="Arial"/>
          <w:sz w:val="24"/>
          <w:szCs w:val="24"/>
          <w:lang w:val="en-GB"/>
        </w:rPr>
        <w:t>In conclusion, the essay provides an overview of the common law legal system, its evolution, and key characteristics. It emphasises the significance of precedent reasoning and the principle of stare decisis, which requires courts to follow previous courts' decisions in similar cases to ensure legal consistency and predictability. The essay also discusses the significance of judges making rational decisions and the evolution of the legal profession. Furthermore, the essay briefly discusses the civil law system and its influence on legal systems around the world, as well as an example of the civil law system's concept of fault liability.</w:t>
      </w:r>
    </w:p>
    <w:p w14:paraId="35D1410C" w14:textId="0FC421AE" w:rsidR="3ECBC812" w:rsidRDefault="3ECBC812">
      <w:r>
        <w:br w:type="page"/>
      </w:r>
    </w:p>
    <w:p w14:paraId="56F7BFCF" w14:textId="71303E40" w:rsidR="3ECBC812" w:rsidRPr="003134DE" w:rsidRDefault="3ECBC812" w:rsidP="003134DE">
      <w:pPr>
        <w:pStyle w:val="Heading1"/>
        <w:spacing w:line="240" w:lineRule="auto"/>
        <w:rPr>
          <w:rFonts w:ascii="Arial" w:eastAsia="Arial" w:hAnsi="Arial" w:cs="Arial"/>
          <w:b/>
          <w:bCs/>
          <w:color w:val="auto"/>
          <w:sz w:val="24"/>
          <w:szCs w:val="24"/>
          <w:lang w:val="en-GB"/>
        </w:rPr>
      </w:pPr>
      <w:r w:rsidRPr="003134DE">
        <w:rPr>
          <w:rFonts w:ascii="Arial" w:eastAsia="Arial" w:hAnsi="Arial" w:cs="Arial"/>
          <w:b/>
          <w:bCs/>
          <w:color w:val="auto"/>
          <w:sz w:val="24"/>
          <w:szCs w:val="24"/>
          <w:lang w:val="en-GB"/>
        </w:rPr>
        <w:lastRenderedPageBreak/>
        <w:t xml:space="preserve">References </w:t>
      </w:r>
    </w:p>
    <w:p w14:paraId="652015F2" w14:textId="77777777" w:rsidR="003134DE" w:rsidRPr="003134DE" w:rsidRDefault="003134DE" w:rsidP="003134DE">
      <w:pPr>
        <w:pStyle w:val="NoSpacing"/>
        <w:spacing w:line="360" w:lineRule="auto"/>
        <w:ind w:left="720" w:hanging="720"/>
        <w:rPr>
          <w:rFonts w:ascii="Arial" w:hAnsi="Arial" w:cs="Arial"/>
          <w:sz w:val="24"/>
          <w:szCs w:val="24"/>
        </w:rPr>
      </w:pPr>
      <w:r w:rsidRPr="003134DE">
        <w:rPr>
          <w:rFonts w:ascii="Arial" w:hAnsi="Arial" w:cs="Arial"/>
          <w:sz w:val="24"/>
          <w:szCs w:val="24"/>
        </w:rPr>
        <w:t>Baker, J. (2015). An introduction to English legal history. Oxford University Press.</w:t>
      </w:r>
    </w:p>
    <w:p w14:paraId="1AF6D3CF" w14:textId="77777777" w:rsidR="003134DE" w:rsidRPr="003134DE" w:rsidRDefault="003134DE" w:rsidP="003134DE">
      <w:pPr>
        <w:pStyle w:val="NoSpacing"/>
        <w:spacing w:line="360" w:lineRule="auto"/>
        <w:ind w:left="720" w:hanging="720"/>
        <w:rPr>
          <w:rFonts w:ascii="Arial" w:hAnsi="Arial" w:cs="Arial"/>
          <w:sz w:val="24"/>
          <w:szCs w:val="24"/>
        </w:rPr>
      </w:pPr>
      <w:r w:rsidRPr="003134DE">
        <w:rPr>
          <w:rFonts w:ascii="Arial" w:hAnsi="Arial" w:cs="Arial"/>
          <w:sz w:val="24"/>
          <w:szCs w:val="24"/>
        </w:rPr>
        <w:t>Barnett, R. E. (1998). Contracts, Practice and Restatement. Journal of Contracts and Commercial Law, 28(4), 221-240.</w:t>
      </w:r>
    </w:p>
    <w:p w14:paraId="0A287F73" w14:textId="77777777" w:rsidR="003134DE" w:rsidRPr="003134DE" w:rsidRDefault="003134DE" w:rsidP="003134DE">
      <w:pPr>
        <w:pStyle w:val="NoSpacing"/>
        <w:spacing w:line="360" w:lineRule="auto"/>
        <w:ind w:left="720" w:hanging="720"/>
        <w:rPr>
          <w:rFonts w:ascii="Arial" w:hAnsi="Arial" w:cs="Arial"/>
          <w:sz w:val="24"/>
          <w:szCs w:val="24"/>
        </w:rPr>
      </w:pPr>
      <w:r w:rsidRPr="003134DE">
        <w:rPr>
          <w:rFonts w:ascii="Arial" w:hAnsi="Arial" w:cs="Arial"/>
          <w:sz w:val="24"/>
          <w:szCs w:val="24"/>
        </w:rPr>
        <w:t>Gardner, J. (2001). Law as a Leap of Faith: Essays on Law in General. Oxford University Press.</w:t>
      </w:r>
    </w:p>
    <w:p w14:paraId="4EAE0AAF" w14:textId="77777777" w:rsidR="003134DE" w:rsidRPr="003134DE" w:rsidRDefault="003134DE" w:rsidP="003134DE">
      <w:pPr>
        <w:pStyle w:val="NoSpacing"/>
        <w:spacing w:line="360" w:lineRule="auto"/>
        <w:ind w:left="720" w:hanging="720"/>
        <w:rPr>
          <w:rFonts w:ascii="Arial" w:hAnsi="Arial" w:cs="Arial"/>
          <w:sz w:val="24"/>
          <w:szCs w:val="24"/>
        </w:rPr>
      </w:pPr>
      <w:proofErr w:type="spellStart"/>
      <w:r w:rsidRPr="003134DE">
        <w:rPr>
          <w:rFonts w:ascii="Arial" w:hAnsi="Arial" w:cs="Arial"/>
          <w:sz w:val="24"/>
          <w:szCs w:val="24"/>
        </w:rPr>
        <w:t>Kozel</w:t>
      </w:r>
      <w:proofErr w:type="spellEnd"/>
      <w:r w:rsidRPr="003134DE">
        <w:rPr>
          <w:rFonts w:ascii="Arial" w:hAnsi="Arial" w:cs="Arial"/>
          <w:sz w:val="24"/>
          <w:szCs w:val="24"/>
        </w:rPr>
        <w:t>, R. J. (2010). The role of precedent in common law. University of Chicago Law Review, 77(4), 1029-1072.</w:t>
      </w:r>
    </w:p>
    <w:p w14:paraId="05DCC65A" w14:textId="77777777" w:rsidR="003134DE" w:rsidRPr="003134DE" w:rsidRDefault="003134DE" w:rsidP="003134DE">
      <w:pPr>
        <w:pStyle w:val="NoSpacing"/>
        <w:spacing w:line="360" w:lineRule="auto"/>
        <w:ind w:left="720" w:hanging="720"/>
        <w:rPr>
          <w:rFonts w:ascii="Arial" w:hAnsi="Arial" w:cs="Arial"/>
          <w:sz w:val="24"/>
          <w:szCs w:val="24"/>
        </w:rPr>
      </w:pPr>
      <w:proofErr w:type="spellStart"/>
      <w:r w:rsidRPr="003134DE">
        <w:rPr>
          <w:rFonts w:ascii="Arial" w:hAnsi="Arial" w:cs="Arial"/>
          <w:sz w:val="24"/>
          <w:szCs w:val="24"/>
        </w:rPr>
        <w:t>Langbein</w:t>
      </w:r>
      <w:proofErr w:type="spellEnd"/>
      <w:r w:rsidRPr="003134DE">
        <w:rPr>
          <w:rFonts w:ascii="Arial" w:hAnsi="Arial" w:cs="Arial"/>
          <w:sz w:val="24"/>
          <w:szCs w:val="24"/>
        </w:rPr>
        <w:t>, J. H. (2003). The origins of adversary criminal trial. Oxford University Press.</w:t>
      </w:r>
    </w:p>
    <w:p w14:paraId="01B217F5" w14:textId="77777777" w:rsidR="003134DE" w:rsidRPr="003134DE" w:rsidRDefault="003134DE" w:rsidP="003134DE">
      <w:pPr>
        <w:pStyle w:val="NoSpacing"/>
        <w:spacing w:line="360" w:lineRule="auto"/>
        <w:ind w:left="720" w:hanging="720"/>
        <w:rPr>
          <w:rFonts w:ascii="Arial" w:hAnsi="Arial" w:cs="Arial"/>
          <w:sz w:val="24"/>
          <w:szCs w:val="24"/>
        </w:rPr>
      </w:pPr>
      <w:r w:rsidRPr="003134DE">
        <w:rPr>
          <w:rFonts w:ascii="Arial" w:hAnsi="Arial" w:cs="Arial"/>
          <w:sz w:val="24"/>
          <w:szCs w:val="24"/>
        </w:rPr>
        <w:t>Lindblom, L. (2015). Fact-Finding in Adjudication. The Yale Law Journal, 125(8), 2206-2262.</w:t>
      </w:r>
    </w:p>
    <w:p w14:paraId="284DBA64" w14:textId="77777777" w:rsidR="003134DE" w:rsidRPr="003134DE" w:rsidRDefault="003134DE" w:rsidP="003134DE">
      <w:pPr>
        <w:pStyle w:val="NoSpacing"/>
        <w:spacing w:line="360" w:lineRule="auto"/>
        <w:ind w:left="720" w:hanging="720"/>
        <w:rPr>
          <w:rFonts w:ascii="Arial" w:hAnsi="Arial" w:cs="Arial"/>
          <w:sz w:val="24"/>
          <w:szCs w:val="24"/>
        </w:rPr>
      </w:pPr>
      <w:r w:rsidRPr="003134DE">
        <w:rPr>
          <w:rFonts w:ascii="Arial" w:hAnsi="Arial" w:cs="Arial"/>
          <w:sz w:val="24"/>
          <w:szCs w:val="24"/>
        </w:rPr>
        <w:t>Lindblom, L. (2015). Fact-Finding in Adjudication. The Yale Law Journal, 125(8), 2206-2262.</w:t>
      </w:r>
    </w:p>
    <w:p w14:paraId="48F4647F" w14:textId="77777777" w:rsidR="003134DE" w:rsidRPr="003134DE" w:rsidRDefault="003134DE" w:rsidP="003134DE">
      <w:pPr>
        <w:pStyle w:val="NoSpacing"/>
        <w:spacing w:line="360" w:lineRule="auto"/>
        <w:ind w:left="720" w:hanging="720"/>
        <w:rPr>
          <w:rFonts w:ascii="Arial" w:hAnsi="Arial" w:cs="Arial"/>
          <w:sz w:val="24"/>
          <w:szCs w:val="24"/>
        </w:rPr>
      </w:pPr>
      <w:r w:rsidRPr="003134DE">
        <w:rPr>
          <w:rFonts w:ascii="Arial" w:hAnsi="Arial" w:cs="Arial"/>
          <w:sz w:val="24"/>
          <w:szCs w:val="24"/>
        </w:rPr>
        <w:t>Llewellyn, K. N. (1950). The Common Law Tradition: Deciding Appeals. Little, Brown and Company.</w:t>
      </w:r>
    </w:p>
    <w:p w14:paraId="62C048A2" w14:textId="77777777" w:rsidR="003134DE" w:rsidRPr="003134DE" w:rsidRDefault="003134DE" w:rsidP="003134DE">
      <w:pPr>
        <w:pStyle w:val="NoSpacing"/>
        <w:spacing w:line="360" w:lineRule="auto"/>
        <w:ind w:left="720" w:hanging="720"/>
        <w:rPr>
          <w:rFonts w:ascii="Arial" w:hAnsi="Arial" w:cs="Arial"/>
          <w:sz w:val="24"/>
          <w:szCs w:val="24"/>
        </w:rPr>
      </w:pPr>
      <w:proofErr w:type="spellStart"/>
      <w:r w:rsidRPr="003134DE">
        <w:rPr>
          <w:rFonts w:ascii="Arial" w:hAnsi="Arial" w:cs="Arial"/>
          <w:sz w:val="24"/>
          <w:szCs w:val="24"/>
        </w:rPr>
        <w:t>MacCormick</w:t>
      </w:r>
      <w:proofErr w:type="spellEnd"/>
      <w:r w:rsidRPr="003134DE">
        <w:rPr>
          <w:rFonts w:ascii="Arial" w:hAnsi="Arial" w:cs="Arial"/>
          <w:sz w:val="24"/>
          <w:szCs w:val="24"/>
        </w:rPr>
        <w:t>, N. (2005). The Nature of Judicial Reasoning. European Law Journal, 11(1), 1-26.</w:t>
      </w:r>
    </w:p>
    <w:p w14:paraId="05AF494B" w14:textId="77777777" w:rsidR="003134DE" w:rsidRPr="003134DE" w:rsidRDefault="003134DE" w:rsidP="003134DE">
      <w:pPr>
        <w:pStyle w:val="NoSpacing"/>
        <w:spacing w:line="360" w:lineRule="auto"/>
        <w:ind w:left="720" w:hanging="720"/>
        <w:rPr>
          <w:rFonts w:ascii="Arial" w:hAnsi="Arial" w:cs="Arial"/>
          <w:sz w:val="24"/>
          <w:szCs w:val="24"/>
        </w:rPr>
      </w:pPr>
      <w:r w:rsidRPr="003134DE">
        <w:rPr>
          <w:rFonts w:ascii="Arial" w:hAnsi="Arial" w:cs="Arial"/>
          <w:sz w:val="24"/>
          <w:szCs w:val="24"/>
        </w:rPr>
        <w:t>Nolan, D. (2015). Negligence and the Duty of Care. In J. Beatson, &amp; Y. Cripps (Eds.), The Oxford Handbook of Legal Studies (pp. 68-89). Oxford University Press.</w:t>
      </w:r>
    </w:p>
    <w:p w14:paraId="309B7EF0" w14:textId="77777777" w:rsidR="003134DE" w:rsidRPr="003134DE" w:rsidRDefault="003134DE" w:rsidP="003134DE">
      <w:pPr>
        <w:pStyle w:val="NoSpacing"/>
        <w:spacing w:line="360" w:lineRule="auto"/>
        <w:ind w:left="720" w:hanging="720"/>
        <w:rPr>
          <w:rFonts w:ascii="Arial" w:hAnsi="Arial" w:cs="Arial"/>
          <w:sz w:val="24"/>
          <w:szCs w:val="24"/>
        </w:rPr>
      </w:pPr>
      <w:r w:rsidRPr="003134DE">
        <w:rPr>
          <w:rFonts w:ascii="Arial" w:hAnsi="Arial" w:cs="Arial"/>
          <w:sz w:val="24"/>
          <w:szCs w:val="24"/>
        </w:rPr>
        <w:t>Prosser, W. L. (2015). Handbook of the law of torts. West Academic.</w:t>
      </w:r>
    </w:p>
    <w:p w14:paraId="50D9448B" w14:textId="1ACB8E84" w:rsidR="3ECBC812" w:rsidRPr="003134DE" w:rsidRDefault="3ECBC812" w:rsidP="003134DE">
      <w:pPr>
        <w:pStyle w:val="Heading1"/>
        <w:spacing w:before="120" w:line="240" w:lineRule="auto"/>
        <w:rPr>
          <w:rFonts w:ascii="Arial" w:eastAsia="Arial" w:hAnsi="Arial" w:cs="Arial"/>
          <w:b/>
          <w:bCs/>
          <w:color w:val="auto"/>
          <w:sz w:val="24"/>
          <w:szCs w:val="24"/>
          <w:lang w:val="en-GB"/>
        </w:rPr>
      </w:pPr>
      <w:r w:rsidRPr="003134DE">
        <w:rPr>
          <w:rFonts w:ascii="Arial" w:eastAsia="Arial" w:hAnsi="Arial" w:cs="Arial"/>
          <w:b/>
          <w:bCs/>
          <w:color w:val="auto"/>
          <w:sz w:val="24"/>
          <w:szCs w:val="24"/>
          <w:lang w:val="en-GB"/>
        </w:rPr>
        <w:t>Case laws</w:t>
      </w:r>
    </w:p>
    <w:p w14:paraId="707E6430" w14:textId="564F173A" w:rsidR="3ECBC812" w:rsidRDefault="3ECBC812" w:rsidP="3ECBC812">
      <w:pPr>
        <w:spacing w:line="360" w:lineRule="auto"/>
        <w:jc w:val="both"/>
        <w:rPr>
          <w:rFonts w:ascii="Arial" w:eastAsia="Arial" w:hAnsi="Arial" w:cs="Arial"/>
          <w:sz w:val="24"/>
          <w:szCs w:val="24"/>
          <w:lang w:val="en-GB"/>
        </w:rPr>
      </w:pPr>
      <w:r w:rsidRPr="3ECBC812">
        <w:rPr>
          <w:rFonts w:ascii="Arial" w:eastAsia="Arial" w:hAnsi="Arial" w:cs="Arial"/>
          <w:sz w:val="24"/>
          <w:szCs w:val="24"/>
          <w:lang w:val="en-GB"/>
        </w:rPr>
        <w:t>Donoghue v Stevenson [1932] AC 562</w:t>
      </w:r>
    </w:p>
    <w:p w14:paraId="2A2856BE" w14:textId="19CC5C4B" w:rsidR="3ECBC812" w:rsidRDefault="3ECBC812" w:rsidP="3ECBC812">
      <w:pPr>
        <w:spacing w:line="360" w:lineRule="auto"/>
        <w:jc w:val="both"/>
        <w:rPr>
          <w:rFonts w:ascii="Arial" w:eastAsia="Arial" w:hAnsi="Arial" w:cs="Arial"/>
          <w:sz w:val="24"/>
          <w:szCs w:val="24"/>
          <w:lang w:val="en-GB"/>
        </w:rPr>
      </w:pPr>
      <w:r w:rsidRPr="3ECBC812">
        <w:rPr>
          <w:rFonts w:ascii="Arial" w:eastAsia="Arial" w:hAnsi="Arial" w:cs="Arial"/>
          <w:sz w:val="24"/>
          <w:szCs w:val="24"/>
          <w:lang w:val="en-GB"/>
        </w:rPr>
        <w:t>Al-</w:t>
      </w:r>
      <w:proofErr w:type="spellStart"/>
      <w:r w:rsidRPr="3ECBC812">
        <w:rPr>
          <w:rFonts w:ascii="Arial" w:eastAsia="Arial" w:hAnsi="Arial" w:cs="Arial"/>
          <w:sz w:val="24"/>
          <w:szCs w:val="24"/>
          <w:lang w:val="en-GB"/>
        </w:rPr>
        <w:t>Dulimi</w:t>
      </w:r>
      <w:proofErr w:type="spellEnd"/>
      <w:r w:rsidRPr="3ECBC812">
        <w:rPr>
          <w:rFonts w:ascii="Arial" w:eastAsia="Arial" w:hAnsi="Arial" w:cs="Arial"/>
          <w:sz w:val="24"/>
          <w:szCs w:val="24"/>
          <w:lang w:val="en-GB"/>
        </w:rPr>
        <w:t xml:space="preserve"> and Montana Management Inc. v. Switzerland [2016] ECHR 223</w:t>
      </w:r>
    </w:p>
    <w:p w14:paraId="00A7BA4D" w14:textId="3EAA23F5" w:rsidR="3ECBC812" w:rsidRDefault="3ECBC812" w:rsidP="3ECBC812">
      <w:pPr>
        <w:spacing w:line="360" w:lineRule="auto"/>
        <w:jc w:val="both"/>
        <w:rPr>
          <w:rFonts w:ascii="Arial" w:eastAsia="Arial" w:hAnsi="Arial" w:cs="Arial"/>
          <w:color w:val="374151"/>
          <w:sz w:val="24"/>
          <w:szCs w:val="24"/>
          <w:lang w:val="en-GB"/>
        </w:rPr>
      </w:pPr>
    </w:p>
    <w:p w14:paraId="5361EE73" w14:textId="402DB514" w:rsidR="3ECBC812" w:rsidRDefault="3ECBC812" w:rsidP="3ECBC812"/>
    <w:sectPr w:rsidR="3ECBC81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2B8F8DD"/>
    <w:rsid w:val="003134DE"/>
    <w:rsid w:val="009549CD"/>
    <w:rsid w:val="00EA04CD"/>
    <w:rsid w:val="3ECBC812"/>
    <w:rsid w:val="62B8F8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8F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134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normaltextrun">
    <w:name w:val="normaltextrun"/>
    <w:basedOn w:val="DefaultParagraphFont"/>
    <w:rsid w:val="003134DE"/>
  </w:style>
  <w:style w:type="character" w:customStyle="1" w:styleId="Heading1Char">
    <w:name w:val="Heading 1 Char"/>
    <w:basedOn w:val="DefaultParagraphFont"/>
    <w:link w:val="Heading1"/>
    <w:uiPriority w:val="9"/>
    <w:rsid w:val="003134DE"/>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3134DE"/>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134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normaltextrun">
    <w:name w:val="normaltextrun"/>
    <w:basedOn w:val="DefaultParagraphFont"/>
    <w:rsid w:val="003134DE"/>
  </w:style>
  <w:style w:type="character" w:customStyle="1" w:styleId="Heading1Char">
    <w:name w:val="Heading 1 Char"/>
    <w:basedOn w:val="DefaultParagraphFont"/>
    <w:link w:val="Heading1"/>
    <w:uiPriority w:val="9"/>
    <w:rsid w:val="003134DE"/>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3134D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1643</Words>
  <Characters>9367</Characters>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2023-03-10T14:02:00Z</dcterms:created>
  <dcterms:modified xsi:type="dcterms:W3CDTF">2023-03-10T14:02:00Z</dcterms:modified>
</cp:coreProperties>
</file>