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AAA36" w14:textId="48E9FB48" w:rsidR="00AB2277" w:rsidRPr="00DF29BC" w:rsidRDefault="00AB2277" w:rsidP="00AB2277">
      <w:pPr>
        <w:spacing w:line="360" w:lineRule="auto"/>
        <w:rPr>
          <w:rFonts w:ascii="Arial" w:hAnsi="Arial" w:cs="Arial"/>
          <w:sz w:val="24"/>
          <w:szCs w:val="24"/>
        </w:rPr>
      </w:pPr>
      <w:r w:rsidRPr="00DF29BC">
        <w:rPr>
          <w:rFonts w:ascii="Arial" w:hAnsi="Arial" w:cs="Arial"/>
          <w:sz w:val="24"/>
          <w:szCs w:val="24"/>
        </w:rPr>
        <w:t>AI Statement:</w:t>
      </w:r>
      <w:r w:rsidR="007526B6">
        <w:rPr>
          <w:rFonts w:ascii="Arial" w:hAnsi="Arial" w:cs="Arial"/>
          <w:sz w:val="24"/>
          <w:szCs w:val="24"/>
        </w:rPr>
        <w:t xml:space="preserve"> I</w:t>
      </w:r>
      <w:r w:rsidR="003E48FF">
        <w:rPr>
          <w:rFonts w:ascii="Arial" w:hAnsi="Arial" w:cs="Arial"/>
          <w:sz w:val="24"/>
          <w:szCs w:val="24"/>
        </w:rPr>
        <w:t xml:space="preserve"> a</w:t>
      </w:r>
      <w:r w:rsidR="00B66E0C">
        <w:rPr>
          <w:rFonts w:ascii="Arial" w:hAnsi="Arial" w:cs="Arial"/>
          <w:sz w:val="24"/>
          <w:szCs w:val="24"/>
        </w:rPr>
        <w:t xml:space="preserve">cknowledge the use of </w:t>
      </w:r>
      <w:proofErr w:type="spellStart"/>
      <w:r w:rsidR="00280A65">
        <w:rPr>
          <w:rFonts w:ascii="Arial" w:hAnsi="Arial" w:cs="Arial"/>
          <w:sz w:val="24"/>
          <w:szCs w:val="24"/>
        </w:rPr>
        <w:t>Quill</w:t>
      </w:r>
      <w:r w:rsidR="00D40CB7">
        <w:rPr>
          <w:rFonts w:ascii="Arial" w:hAnsi="Arial" w:cs="Arial"/>
          <w:sz w:val="24"/>
          <w:szCs w:val="24"/>
        </w:rPr>
        <w:t>bot</w:t>
      </w:r>
      <w:proofErr w:type="spellEnd"/>
      <w:r w:rsidR="00D40CB7">
        <w:rPr>
          <w:rFonts w:ascii="Arial" w:hAnsi="Arial" w:cs="Arial"/>
          <w:sz w:val="24"/>
          <w:szCs w:val="24"/>
        </w:rPr>
        <w:t xml:space="preserve"> </w:t>
      </w:r>
      <w:r w:rsidR="00EA7F6C">
        <w:rPr>
          <w:rFonts w:ascii="Arial" w:hAnsi="Arial" w:cs="Arial"/>
          <w:sz w:val="24"/>
          <w:szCs w:val="24"/>
        </w:rPr>
        <w:t>(</w:t>
      </w:r>
      <w:hyperlink r:id="rId11" w:history="1">
        <w:r w:rsidR="009D133C" w:rsidRPr="005977EB">
          <w:rPr>
            <w:rStyle w:val="Hyperlink"/>
            <w:rFonts w:ascii="Arial" w:hAnsi="Arial" w:cs="Arial"/>
            <w:sz w:val="24"/>
            <w:szCs w:val="24"/>
          </w:rPr>
          <w:t>https://quillbot.com/grammar-check</w:t>
        </w:r>
      </w:hyperlink>
      <w:r w:rsidR="00EA7F6C">
        <w:rPr>
          <w:rFonts w:ascii="Arial" w:hAnsi="Arial" w:cs="Arial"/>
          <w:sz w:val="24"/>
          <w:szCs w:val="24"/>
        </w:rPr>
        <w:t>)</w:t>
      </w:r>
      <w:r w:rsidR="009D133C">
        <w:rPr>
          <w:rFonts w:ascii="Arial" w:hAnsi="Arial" w:cs="Arial"/>
          <w:sz w:val="24"/>
          <w:szCs w:val="24"/>
        </w:rPr>
        <w:t xml:space="preserve"> on 22/02/2025 to proof to grammar check. I used the prompt:</w:t>
      </w:r>
      <w:r w:rsidR="00560041">
        <w:rPr>
          <w:rFonts w:ascii="Arial" w:hAnsi="Arial" w:cs="Arial"/>
          <w:sz w:val="24"/>
          <w:szCs w:val="24"/>
        </w:rPr>
        <w:t xml:space="preserve"> Grammar checker.</w:t>
      </w:r>
      <w:r w:rsidR="00560041">
        <w:rPr>
          <w:rFonts w:ascii="Arial" w:hAnsi="Arial" w:cs="Arial"/>
          <w:sz w:val="24"/>
          <w:szCs w:val="24"/>
        </w:rPr>
        <w:br/>
        <w:t xml:space="preserve">I confirm that I have not presented any AI generated text as my own work. I confirm I have copies of my drafts, notes and other resources I used before, and </w:t>
      </w:r>
      <w:r w:rsidR="004704A4">
        <w:rPr>
          <w:rFonts w:ascii="Arial" w:hAnsi="Arial" w:cs="Arial"/>
          <w:sz w:val="24"/>
          <w:szCs w:val="24"/>
        </w:rPr>
        <w:t xml:space="preserve">after the use of AI tools which I may be asked to </w:t>
      </w:r>
      <w:r w:rsidR="0035490D">
        <w:rPr>
          <w:rFonts w:ascii="Arial" w:hAnsi="Arial" w:cs="Arial"/>
          <w:sz w:val="24"/>
          <w:szCs w:val="24"/>
        </w:rPr>
        <w:t xml:space="preserve">provide in evidence. </w:t>
      </w:r>
    </w:p>
    <w:p w14:paraId="45DC6B0B" w14:textId="77777777" w:rsidR="00AB2277" w:rsidRPr="00DF29BC" w:rsidRDefault="00AB2277" w:rsidP="00AB2277">
      <w:pPr>
        <w:spacing w:line="360" w:lineRule="auto"/>
        <w:rPr>
          <w:rFonts w:ascii="Arial" w:hAnsi="Arial" w:cs="Arial"/>
          <w:sz w:val="24"/>
          <w:szCs w:val="24"/>
        </w:rPr>
      </w:pPr>
      <w:r w:rsidRPr="00DF29BC">
        <w:rPr>
          <w:rFonts w:ascii="Arial" w:hAnsi="Arial" w:cs="Arial"/>
          <w:sz w:val="24"/>
          <w:szCs w:val="24"/>
        </w:rPr>
        <w:t>Section 1:</w:t>
      </w:r>
    </w:p>
    <w:p w14:paraId="02C926B0" w14:textId="30CCB0DF"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 xml:space="preserve">Bottrill (2022, p. 25) explains play as being one of the most misunderstood concepts involving children’s development. Following this, play is argued to be one of the most vital considerations toward a child’s development. Similarly, Howard (2020, p. 261) emphasised the complexity of play and how the definition varies for adults and children. Like Bottrill, </w:t>
      </w:r>
      <w:r w:rsidRPr="00DF29BC">
        <w:rPr>
          <w:rFonts w:ascii="Arial" w:hAnsi="Arial" w:cs="Arial"/>
          <w:i/>
          <w:iCs/>
          <w:sz w:val="24"/>
          <w:szCs w:val="24"/>
        </w:rPr>
        <w:t xml:space="preserve">The Power of Play </w:t>
      </w:r>
      <w:r w:rsidRPr="00DF29BC">
        <w:rPr>
          <w:rFonts w:ascii="Arial" w:hAnsi="Arial" w:cs="Arial"/>
          <w:sz w:val="24"/>
          <w:szCs w:val="24"/>
        </w:rPr>
        <w:t xml:space="preserve">maintains the importance of play through the belief that children should only learn through play. </w:t>
      </w:r>
      <w:r w:rsidR="003419E6">
        <w:rPr>
          <w:rFonts w:ascii="Arial" w:hAnsi="Arial" w:cs="Arial"/>
          <w:sz w:val="24"/>
          <w:szCs w:val="24"/>
        </w:rPr>
        <w:t>Hutt</w:t>
      </w:r>
      <w:r w:rsidR="002B67CB">
        <w:rPr>
          <w:rFonts w:ascii="Arial" w:hAnsi="Arial" w:cs="Arial"/>
          <w:sz w:val="24"/>
          <w:szCs w:val="24"/>
        </w:rPr>
        <w:t>, (2002)</w:t>
      </w:r>
      <w:r w:rsidRPr="00DF29BC">
        <w:rPr>
          <w:rFonts w:ascii="Arial" w:hAnsi="Arial" w:cs="Arial"/>
          <w:sz w:val="24"/>
          <w:szCs w:val="24"/>
        </w:rPr>
        <w:t xml:space="preserve"> expresses the importance of play through enforcing free choice of play with children. Furthermore, all the following sources explore the necessity of freedom of play within childcare, further expressing the importance of play and how unique of a concept play itself is.</w:t>
      </w:r>
    </w:p>
    <w:p w14:paraId="79DDD0A0" w14:textId="77777777"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According to Kenneth and Ginsburg (2007), play is vital for a child’s development due to the enhanced ability to learn many skills, including cognitive, social, and emotional. The article also states how children who do not have access to much play and are expected to learn in a more academically inclined environment are less likely to develop their creativity, retain information, or could even become anxious or depressed at an early age due to the pressure applied on the child.</w:t>
      </w:r>
    </w:p>
    <w:p w14:paraId="4D998E27" w14:textId="77777777"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Haile, and Ghirmai, (2024) talk about holistic development being the reason one develops physical, cognitive, social, emotional, language, and moral development. During this, it is argued how holistic development intertwines with play-based learning. Furthermore, the article makes it apparent that children develop all these vital skills through play-based learning.</w:t>
      </w:r>
    </w:p>
    <w:p w14:paraId="16EF3AAC" w14:textId="77777777"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 xml:space="preserve">Waters-Davies (2022, p. 28) explains how Sara </w:t>
      </w:r>
      <w:proofErr w:type="spellStart"/>
      <w:r w:rsidRPr="00DF29BC">
        <w:rPr>
          <w:rFonts w:ascii="Arial" w:hAnsi="Arial" w:cs="Arial"/>
          <w:sz w:val="24"/>
          <w:szCs w:val="24"/>
        </w:rPr>
        <w:t>Smilansky</w:t>
      </w:r>
      <w:proofErr w:type="spellEnd"/>
      <w:r w:rsidRPr="00DF29BC">
        <w:rPr>
          <w:rFonts w:ascii="Arial" w:hAnsi="Arial" w:cs="Arial"/>
          <w:sz w:val="24"/>
          <w:szCs w:val="24"/>
        </w:rPr>
        <w:t xml:space="preserve"> worked with Jean Piaget to widen an understanding of children’s cognitive development. As a result of this, 4 play types were created. These are dramatic play, constructive play, cooperative play, and associative play.</w:t>
      </w:r>
    </w:p>
    <w:p w14:paraId="726C5FC9" w14:textId="77777777" w:rsidR="00896CC6" w:rsidRDefault="00DF29BC" w:rsidP="00DF29BC">
      <w:pPr>
        <w:spacing w:line="360" w:lineRule="auto"/>
        <w:rPr>
          <w:rFonts w:ascii="Arial" w:hAnsi="Arial" w:cs="Arial"/>
          <w:sz w:val="24"/>
          <w:szCs w:val="24"/>
        </w:rPr>
      </w:pPr>
      <w:r w:rsidRPr="00DF29BC">
        <w:rPr>
          <w:rFonts w:ascii="Arial" w:hAnsi="Arial" w:cs="Arial"/>
          <w:sz w:val="24"/>
          <w:szCs w:val="24"/>
        </w:rPr>
        <w:lastRenderedPageBreak/>
        <w:t xml:space="preserve">Role play is part of dramatic play. Created by Sara </w:t>
      </w:r>
      <w:proofErr w:type="spellStart"/>
      <w:r w:rsidRPr="00DF29BC">
        <w:rPr>
          <w:rFonts w:ascii="Arial" w:hAnsi="Arial" w:cs="Arial"/>
          <w:sz w:val="24"/>
          <w:szCs w:val="24"/>
        </w:rPr>
        <w:t>Smilansky</w:t>
      </w:r>
      <w:proofErr w:type="spellEnd"/>
      <w:r w:rsidRPr="00DF29BC">
        <w:rPr>
          <w:rFonts w:ascii="Arial" w:hAnsi="Arial" w:cs="Arial"/>
          <w:sz w:val="24"/>
          <w:szCs w:val="24"/>
        </w:rPr>
        <w:t xml:space="preserve"> and Jean Piaget, it meant that children could learn language and speech, including a second language. In more depth, role play is an enactment of people or animals that the child is familiarised with. Occupational roles such as teachers, doctors, builders, and so on are also to be considered within role play. Rogers and Evans (2007) express the many issues corresponding with roleplay. Thematic content-related problems meant that certain children wanted to enact certain things. For example, girls may want to act out mother and child-like roles, whereas boys may want to act out building. This meant that some children may be left out or unsatisfied. Space was considered the largest issue for role play. The article states how teachers could not observe children due to the noise around the room from other children acting. This resulted in teachers being unable to observe language and teamwork development. Evidently, roleplay has not been favoured in early years settings for many years, as (Hurst, V. and Joseph, J. 2001) explain how imaginative play has not been often </w:t>
      </w:r>
      <w:r w:rsidR="00896CC6">
        <w:rPr>
          <w:rFonts w:ascii="Arial" w:hAnsi="Arial" w:cs="Arial"/>
          <w:sz w:val="24"/>
          <w:szCs w:val="24"/>
        </w:rPr>
        <w:t xml:space="preserve">mentioned </w:t>
      </w:r>
    </w:p>
    <w:p w14:paraId="1665EFE9" w14:textId="458DF7E8"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within the school’s curriculum as well as the teachers having issues with space, time, etc. This article goes on further to explain the importance of roleplay by describing the social, cognitive, and language skills that are developed through this form of play. Another author?</w:t>
      </w:r>
      <w:r w:rsidR="009D767A">
        <w:rPr>
          <w:rFonts w:ascii="Arial" w:hAnsi="Arial" w:cs="Arial"/>
          <w:sz w:val="24"/>
          <w:szCs w:val="24"/>
        </w:rPr>
        <w:t xml:space="preserve"> </w:t>
      </w:r>
      <w:r w:rsidRPr="00DF29BC">
        <w:rPr>
          <w:rFonts w:ascii="Arial" w:hAnsi="Arial" w:cs="Arial"/>
          <w:sz w:val="24"/>
          <w:szCs w:val="24"/>
        </w:rPr>
        <w:t>Often this type of play would correlate with cooperative play. As explained by Akman, Atasoy, and Gur, (2021) Mildred Parten believe</w:t>
      </w:r>
      <w:r w:rsidR="009D767A">
        <w:rPr>
          <w:rFonts w:ascii="Arial" w:hAnsi="Arial" w:cs="Arial"/>
          <w:sz w:val="24"/>
          <w:szCs w:val="24"/>
        </w:rPr>
        <w:t>s</w:t>
      </w:r>
      <w:r w:rsidRPr="00DF29BC">
        <w:rPr>
          <w:rFonts w:ascii="Arial" w:hAnsi="Arial" w:cs="Arial"/>
          <w:sz w:val="24"/>
          <w:szCs w:val="24"/>
        </w:rPr>
        <w:t xml:space="preserve"> that there were multiple stages of play and cooperative play involved children coming together and giving certain roles to achieve a common goal.</w:t>
      </w:r>
    </w:p>
    <w:p w14:paraId="5FB16F9F" w14:textId="77777777" w:rsidR="00DF29BC" w:rsidRPr="00DF29BC" w:rsidRDefault="00DF29BC" w:rsidP="00DF29BC">
      <w:pPr>
        <w:spacing w:line="360" w:lineRule="auto"/>
        <w:rPr>
          <w:rFonts w:ascii="Arial" w:hAnsi="Arial" w:cs="Arial"/>
          <w:sz w:val="24"/>
          <w:szCs w:val="24"/>
        </w:rPr>
      </w:pPr>
      <w:r w:rsidRPr="00DF29BC">
        <w:rPr>
          <w:rFonts w:ascii="Arial" w:hAnsi="Arial" w:cs="Arial"/>
          <w:sz w:val="24"/>
          <w:szCs w:val="24"/>
        </w:rPr>
        <w:t xml:space="preserve">As stated by Waters-Davies (2022, p. 28) creative play is part of constructive play, which was originally created by Sara </w:t>
      </w:r>
      <w:proofErr w:type="spellStart"/>
      <w:r w:rsidRPr="00DF29BC">
        <w:rPr>
          <w:rFonts w:ascii="Arial" w:hAnsi="Arial" w:cs="Arial"/>
          <w:sz w:val="24"/>
          <w:szCs w:val="24"/>
        </w:rPr>
        <w:t>Smilansky</w:t>
      </w:r>
      <w:proofErr w:type="spellEnd"/>
      <w:r w:rsidRPr="00DF29BC">
        <w:rPr>
          <w:rFonts w:ascii="Arial" w:hAnsi="Arial" w:cs="Arial"/>
          <w:sz w:val="24"/>
          <w:szCs w:val="24"/>
        </w:rPr>
        <w:t xml:space="preserve">. This type of play means that children must manipulate objects to create something, for example, building blocks making a building or paint making artwork. Lego therapy is one argument made by (Linsday, Hounsell, and Cassiani (2017), as it states that children undergoing therapy for trauma or disabilities are greatly impacted by Lego therapy to support them. Lego therapy has been developed as an activity where children in groups of three have a builder, supplier, and engineer to construct a building using Lego. As stated by the article, this form of therapy improves social, cognitive, and many other skills. The problem stated by the same article was that Lego therapy cannot be used as an official diagnosis for disorders, and while it may support children to develop their skills, it has been shown that regular therapy is the best way to support children </w:t>
      </w:r>
      <w:r w:rsidRPr="00DF29BC">
        <w:rPr>
          <w:rFonts w:ascii="Arial" w:hAnsi="Arial" w:cs="Arial"/>
          <w:sz w:val="24"/>
          <w:szCs w:val="24"/>
        </w:rPr>
        <w:lastRenderedPageBreak/>
        <w:t>through trauma. While there is evidence that shows creative play can be used as a therapy form, (</w:t>
      </w:r>
      <w:proofErr w:type="spellStart"/>
      <w:r w:rsidRPr="00DF29BC">
        <w:rPr>
          <w:rFonts w:ascii="Arial" w:hAnsi="Arial" w:cs="Arial"/>
          <w:sz w:val="24"/>
          <w:szCs w:val="24"/>
        </w:rPr>
        <w:t>Macgiollari</w:t>
      </w:r>
      <w:proofErr w:type="spellEnd"/>
      <w:r w:rsidRPr="00DF29BC">
        <w:rPr>
          <w:rFonts w:ascii="Arial" w:hAnsi="Arial" w:cs="Arial"/>
          <w:sz w:val="24"/>
          <w:szCs w:val="24"/>
        </w:rPr>
        <w:t>, D. 2010) represents the importance of creativity in play as it allows children to encourage creativity in their development as well as express themselves as individuals. Consequently, these develop a child’s ability to remember, notice small details, understand languages, and be able to listen to comments.</w:t>
      </w:r>
    </w:p>
    <w:p w14:paraId="3A3E81FE" w14:textId="6C1088EE" w:rsidR="00EE54DF" w:rsidRPr="00DF29BC" w:rsidRDefault="00DF29BC" w:rsidP="00AB2277">
      <w:pPr>
        <w:spacing w:line="360" w:lineRule="auto"/>
        <w:rPr>
          <w:rFonts w:ascii="Arial" w:hAnsi="Arial" w:cs="Arial"/>
          <w:sz w:val="24"/>
          <w:szCs w:val="24"/>
        </w:rPr>
      </w:pPr>
      <w:r w:rsidRPr="00DF29BC">
        <w:rPr>
          <w:rFonts w:ascii="Arial" w:hAnsi="Arial" w:cs="Arial"/>
          <w:sz w:val="24"/>
          <w:szCs w:val="24"/>
        </w:rPr>
        <w:t>(Akman, ATASOY, and GÜR, T. 2021) describe the use of solitary play and how it involves children playing independently with their own goals, meaning they can develop their fine motor skills and master other skills the child has developed prior to this stage. Creative play can likely be applied from the solitary stage of play, as a child is often likely to be able to build and construct items themselves.</w:t>
      </w:r>
      <w:r w:rsidR="00AB2277" w:rsidRPr="00DF29BC">
        <w:rPr>
          <w:rFonts w:ascii="Arial" w:hAnsi="Arial" w:cs="Arial"/>
          <w:sz w:val="24"/>
          <w:szCs w:val="24"/>
        </w:rPr>
        <w:br/>
      </w:r>
      <w:r w:rsidR="00AB2277" w:rsidRPr="00DF29BC">
        <w:rPr>
          <w:rFonts w:ascii="Arial" w:hAnsi="Arial" w:cs="Arial"/>
          <w:sz w:val="24"/>
          <w:szCs w:val="24"/>
        </w:rPr>
        <w:br/>
        <w:t>Section 2:</w:t>
      </w:r>
    </w:p>
    <w:p w14:paraId="61D64246" w14:textId="77777777" w:rsidR="00125E80" w:rsidRPr="00125E80" w:rsidRDefault="00125E80" w:rsidP="00125E80">
      <w:pPr>
        <w:spacing w:line="360" w:lineRule="auto"/>
        <w:rPr>
          <w:rFonts w:ascii="Arial" w:hAnsi="Arial" w:cs="Arial"/>
          <w:sz w:val="24"/>
          <w:szCs w:val="24"/>
        </w:rPr>
      </w:pPr>
      <w:r w:rsidRPr="00125E80">
        <w:rPr>
          <w:rFonts w:ascii="Arial" w:hAnsi="Arial" w:cs="Arial"/>
          <w:sz w:val="24"/>
          <w:szCs w:val="24"/>
        </w:rPr>
        <w:t xml:space="preserve">Encarnacao, Ray-Kaeser, and </w:t>
      </w:r>
      <w:proofErr w:type="spellStart"/>
      <w:r w:rsidRPr="00125E80">
        <w:rPr>
          <w:rFonts w:ascii="Arial" w:hAnsi="Arial" w:cs="Arial"/>
          <w:sz w:val="24"/>
          <w:szCs w:val="24"/>
        </w:rPr>
        <w:t>Bianquin</w:t>
      </w:r>
      <w:proofErr w:type="spellEnd"/>
      <w:r w:rsidRPr="00125E80">
        <w:rPr>
          <w:rFonts w:ascii="Arial" w:hAnsi="Arial" w:cs="Arial"/>
          <w:sz w:val="24"/>
          <w:szCs w:val="24"/>
        </w:rPr>
        <w:t xml:space="preserve"> (2018) state that adults need to be able to adjust to unpredictability and become flexible to change. A result of this can lead to a child choosing their own play. As stated by </w:t>
      </w:r>
      <w:proofErr w:type="spellStart"/>
      <w:r w:rsidRPr="00125E80">
        <w:rPr>
          <w:rFonts w:ascii="Arial" w:hAnsi="Arial" w:cs="Arial"/>
          <w:sz w:val="24"/>
          <w:szCs w:val="24"/>
        </w:rPr>
        <w:t>Aminpour</w:t>
      </w:r>
      <w:proofErr w:type="spellEnd"/>
      <w:r w:rsidRPr="00125E80">
        <w:rPr>
          <w:rFonts w:ascii="Arial" w:hAnsi="Arial" w:cs="Arial"/>
          <w:sz w:val="24"/>
          <w:szCs w:val="24"/>
        </w:rPr>
        <w:t>, Bishop, and Corkery (2020), a child choosing their own play results in self-directed play. The article also states that self-directed play must be motivated by a child’s interests and increase the child’s ability to develop their problem-solving skills in a fun and enjoyable experience, without the fear of failure.</w:t>
      </w:r>
    </w:p>
    <w:p w14:paraId="73B9675F" w14:textId="77777777" w:rsidR="00125E80" w:rsidRPr="00125E80" w:rsidRDefault="00125E80" w:rsidP="00125E80">
      <w:pPr>
        <w:spacing w:line="360" w:lineRule="auto"/>
        <w:rPr>
          <w:rFonts w:ascii="Arial" w:hAnsi="Arial" w:cs="Arial"/>
          <w:sz w:val="24"/>
          <w:szCs w:val="24"/>
        </w:rPr>
      </w:pPr>
      <w:r w:rsidRPr="00125E80">
        <w:rPr>
          <w:rFonts w:ascii="Arial" w:hAnsi="Arial" w:cs="Arial"/>
          <w:sz w:val="24"/>
          <w:szCs w:val="24"/>
        </w:rPr>
        <w:t xml:space="preserve">Perry, (2014) displays the importance of how adults can support self-directed play by stating the United Nations Convention on the Rights of the Child article 31. Furthermore, Article 31 discusses children needing rest, a place to be able to become creative, self-confident, and socially confident. It is equally important to mention that space, a settings approach, and freedom of choice were mentioned as important topics in the article, further expressing the importance of adults facilitating free play for children. It is often said that Vygotsky has a large impact on the way children are taught today. As stated by Hakkarainen, </w:t>
      </w:r>
      <w:r w:rsidRPr="00125E80">
        <w:rPr>
          <w:rFonts w:ascii="Arial" w:hAnsi="Arial" w:cs="Arial"/>
          <w:i/>
          <w:iCs/>
          <w:sz w:val="24"/>
          <w:szCs w:val="24"/>
        </w:rPr>
        <w:t>et al</w:t>
      </w:r>
      <w:r w:rsidRPr="00125E80">
        <w:rPr>
          <w:rFonts w:ascii="Arial" w:hAnsi="Arial" w:cs="Arial"/>
          <w:sz w:val="24"/>
          <w:szCs w:val="24"/>
        </w:rPr>
        <w:t xml:space="preserve">. (2013), children can be supported by the participation and involvement of teachers within a setting. However, it is not to be forgotten that an adult should likely not become too involved with an activity that children are immersed in due to the fact it can stop children from being as involved with play as they originally were. A result of this means that children will stop being immersed and have less learning and development from play than if they </w:t>
      </w:r>
      <w:r w:rsidRPr="00125E80">
        <w:rPr>
          <w:rFonts w:ascii="Arial" w:hAnsi="Arial" w:cs="Arial"/>
          <w:sz w:val="24"/>
          <w:szCs w:val="24"/>
        </w:rPr>
        <w:lastRenderedPageBreak/>
        <w:t xml:space="preserve">were to gain experiences independently. According to King, and Sturrock, (2020), Perry Else and Gordon Sturrock created a theory stating there are 4 components to a play cycle. Firstly, the </w:t>
      </w:r>
      <w:proofErr w:type="spellStart"/>
      <w:r w:rsidRPr="00125E80">
        <w:rPr>
          <w:rFonts w:ascii="Arial" w:hAnsi="Arial" w:cs="Arial"/>
          <w:sz w:val="24"/>
          <w:szCs w:val="24"/>
        </w:rPr>
        <w:t>metalude</w:t>
      </w:r>
      <w:proofErr w:type="spellEnd"/>
      <w:r w:rsidRPr="00125E80">
        <w:rPr>
          <w:rFonts w:ascii="Arial" w:hAnsi="Arial" w:cs="Arial"/>
          <w:sz w:val="24"/>
          <w:szCs w:val="24"/>
        </w:rPr>
        <w:t xml:space="preserve"> drives children to play with something they see within the environment. Secondly, the termination is a breakdown of the child’s drive to interact with the environment. The active development means to react to the environment either due to the environment itself or another child. This leads to the loop or flow, where a response is processed and acted on. The play cycle has now been seen as an important part of a child’s development within childcare services, further displaying the importance of teachers not interrupting children’s free play, as it can result in the termination process.</w:t>
      </w:r>
    </w:p>
    <w:p w14:paraId="2ABF8F97" w14:textId="77777777" w:rsidR="00125E80" w:rsidRPr="00125E80" w:rsidRDefault="00125E80" w:rsidP="00125E80">
      <w:pPr>
        <w:spacing w:line="360" w:lineRule="auto"/>
        <w:rPr>
          <w:rFonts w:ascii="Arial" w:hAnsi="Arial" w:cs="Arial"/>
          <w:sz w:val="24"/>
          <w:szCs w:val="24"/>
        </w:rPr>
      </w:pPr>
      <w:r w:rsidRPr="00125E80">
        <w:rPr>
          <w:rFonts w:ascii="Arial" w:hAnsi="Arial" w:cs="Arial"/>
          <w:sz w:val="24"/>
          <w:szCs w:val="24"/>
        </w:rPr>
        <w:t xml:space="preserve">Mitchell, (2023) argues that </w:t>
      </w:r>
      <w:proofErr w:type="spellStart"/>
      <w:r w:rsidRPr="00125E80">
        <w:rPr>
          <w:rFonts w:ascii="Arial" w:hAnsi="Arial" w:cs="Arial"/>
          <w:sz w:val="24"/>
          <w:szCs w:val="24"/>
        </w:rPr>
        <w:t>Te</w:t>
      </w:r>
      <w:proofErr w:type="spellEnd"/>
      <w:r w:rsidRPr="00125E80">
        <w:rPr>
          <w:rFonts w:ascii="Arial" w:hAnsi="Arial" w:cs="Arial"/>
          <w:sz w:val="24"/>
          <w:szCs w:val="24"/>
        </w:rPr>
        <w:t xml:space="preserve"> </w:t>
      </w:r>
      <w:proofErr w:type="spellStart"/>
      <w:r w:rsidRPr="00125E80">
        <w:rPr>
          <w:rFonts w:ascii="Arial" w:hAnsi="Arial" w:cs="Arial"/>
          <w:sz w:val="24"/>
          <w:szCs w:val="24"/>
        </w:rPr>
        <w:t>Whāriki</w:t>
      </w:r>
      <w:proofErr w:type="spellEnd"/>
      <w:r w:rsidRPr="00125E80">
        <w:rPr>
          <w:rFonts w:ascii="Arial" w:hAnsi="Arial" w:cs="Arial"/>
          <w:sz w:val="24"/>
          <w:szCs w:val="24"/>
        </w:rPr>
        <w:t xml:space="preserve"> had a large influence on self-directed play due to the fact it supports the idea of adults being a facilitator to a child’s play and does not step into a ‘leadership’ styled role. The article also states that facilitators need to provide safety, comfort in their environment, respect, fairness, appreciation, opportunities, and play facilities to enable children to interact with whatever they want where they want. This allows for more freedom and choice and opens more opportunities for interests and learning. Link between well-being and effective learning </w:t>
      </w:r>
      <w:proofErr w:type="gramStart"/>
      <w:r w:rsidRPr="00125E80">
        <w:rPr>
          <w:rFonts w:ascii="Arial" w:hAnsi="Arial" w:cs="Arial"/>
          <w:sz w:val="24"/>
          <w:szCs w:val="24"/>
        </w:rPr>
        <w:t>An</w:t>
      </w:r>
      <w:proofErr w:type="gramEnd"/>
      <w:r w:rsidRPr="00125E80">
        <w:rPr>
          <w:rFonts w:ascii="Arial" w:hAnsi="Arial" w:cs="Arial"/>
          <w:sz w:val="24"/>
          <w:szCs w:val="24"/>
        </w:rPr>
        <w:t xml:space="preserve"> important argument to be considered is from the Welsh Assembly government policy Hutt, (2002), where it is stated that play should be chosen freely by the child and use the environment to learn about the world around them. As a result of this, children can learn many skills, including social, mental, emotional, and creative skills. The most important aspect that was considered within this play policy was the need to show children respect for their own capabilities, meaning children should have their opinions respected to support a child’s free choice to develop their well-being. While this policy states the importance of children’s free play, it also talks about the lack of engagement with the policy.</w:t>
      </w:r>
    </w:p>
    <w:p w14:paraId="11F452E0" w14:textId="77777777" w:rsidR="00125E80" w:rsidRPr="00125E80" w:rsidRDefault="00125E80" w:rsidP="00125E80">
      <w:pPr>
        <w:spacing w:line="360" w:lineRule="auto"/>
        <w:rPr>
          <w:rFonts w:ascii="Arial" w:hAnsi="Arial" w:cs="Arial"/>
          <w:sz w:val="24"/>
          <w:szCs w:val="24"/>
        </w:rPr>
      </w:pPr>
      <w:r w:rsidRPr="00125E80">
        <w:rPr>
          <w:rFonts w:ascii="Arial" w:hAnsi="Arial" w:cs="Arial"/>
          <w:sz w:val="24"/>
          <w:szCs w:val="24"/>
        </w:rPr>
        <w:t xml:space="preserve">Ways that children can choose their own play are also stated within the play policy, which involves rich and stimulating environments as well as challenges to the behaviour of a child to further develop. In contrast, it is also stated that children today are likely to be restricted from free play due to provisions, environment, and so on, resulting in children being less stimulated. This is further backed up by Else (2014), due to them stating how teachers explain the issues they have trying to find the time to interact with the children due to access paperwork that has to be filled in on </w:t>
      </w:r>
      <w:r w:rsidRPr="00125E80">
        <w:rPr>
          <w:rFonts w:ascii="Arial" w:hAnsi="Arial" w:cs="Arial"/>
          <w:sz w:val="24"/>
          <w:szCs w:val="24"/>
        </w:rPr>
        <w:lastRenderedPageBreak/>
        <w:t>children’s development. Due to staff not being able to be as present, children are not able to be within certain environments, for example, outdoor play, or are unable to use certain tools due to lack of observation on the teacher’s behalf.</w:t>
      </w:r>
    </w:p>
    <w:p w14:paraId="7A924F9D" w14:textId="62A7FE5E" w:rsidR="00EA6166" w:rsidRPr="00DF29BC" w:rsidRDefault="00AB2277" w:rsidP="00AB2277">
      <w:pPr>
        <w:spacing w:line="360" w:lineRule="auto"/>
        <w:rPr>
          <w:rFonts w:ascii="Arial" w:hAnsi="Arial" w:cs="Arial"/>
          <w:sz w:val="24"/>
          <w:szCs w:val="24"/>
        </w:rPr>
      </w:pPr>
      <w:r w:rsidRPr="00DF29BC">
        <w:rPr>
          <w:rFonts w:ascii="Arial" w:hAnsi="Arial" w:cs="Arial"/>
          <w:sz w:val="24"/>
          <w:szCs w:val="24"/>
        </w:rPr>
        <w:br/>
      </w:r>
      <w:r w:rsidRPr="00DF29BC">
        <w:rPr>
          <w:rFonts w:ascii="Arial" w:hAnsi="Arial" w:cs="Arial"/>
          <w:sz w:val="24"/>
          <w:szCs w:val="24"/>
        </w:rPr>
        <w:br/>
        <w:t>Section 3:</w:t>
      </w:r>
    </w:p>
    <w:p w14:paraId="521A0AD6" w14:textId="77777777" w:rsidR="00794BE6" w:rsidRPr="00794BE6" w:rsidRDefault="00794BE6" w:rsidP="00794BE6">
      <w:pPr>
        <w:spacing w:line="360" w:lineRule="auto"/>
        <w:rPr>
          <w:rFonts w:ascii="Arial" w:hAnsi="Arial" w:cs="Arial"/>
          <w:sz w:val="24"/>
          <w:szCs w:val="24"/>
        </w:rPr>
      </w:pPr>
      <w:r w:rsidRPr="00794BE6">
        <w:rPr>
          <w:rFonts w:ascii="Arial" w:hAnsi="Arial" w:cs="Arial"/>
          <w:sz w:val="24"/>
          <w:szCs w:val="24"/>
        </w:rPr>
        <w:t xml:space="preserve">Observations are ways for childminders to see how children are progressing in their development. As displayed by Bruce, (2019) observations have been a highly valued resource for helping children’s development for many years due to Susan Isaacs being brought to light. The theorist used observations on children to see progression and help with development further through observation. Observations started to take place in the 1930s and are still highly valued for assessing children’s development today, further showing </w:t>
      </w:r>
      <w:proofErr w:type="gramStart"/>
      <w:r w:rsidRPr="00794BE6">
        <w:rPr>
          <w:rFonts w:ascii="Arial" w:hAnsi="Arial" w:cs="Arial"/>
          <w:sz w:val="24"/>
          <w:szCs w:val="24"/>
        </w:rPr>
        <w:t>how much</w:t>
      </w:r>
      <w:proofErr w:type="gramEnd"/>
      <w:r w:rsidRPr="00794BE6">
        <w:rPr>
          <w:rFonts w:ascii="Arial" w:hAnsi="Arial" w:cs="Arial"/>
          <w:sz w:val="24"/>
          <w:szCs w:val="24"/>
        </w:rPr>
        <w:t xml:space="preserve"> it has impacted children’s development over the years. There are many benefits that can arise from observations, as stated by Forman, and Hall, (2006) including discovering children’s interests, assessing their development stages, seeing what strategies can be put in place to achieve their goals, and learning more about the child’s personality, which is also backed up by Bruce, (2019) stating the same benefits for observations. As stated by Gunawan, et al. (2023) a result of these observations can give the chance to improve cognitive, motor, social, emotional, language, artistic, religious, and moral skills.</w:t>
      </w:r>
    </w:p>
    <w:p w14:paraId="4C1E8ACF" w14:textId="77777777" w:rsidR="00794BE6" w:rsidRPr="00794BE6" w:rsidRDefault="00794BE6" w:rsidP="00794BE6">
      <w:pPr>
        <w:spacing w:line="360" w:lineRule="auto"/>
        <w:rPr>
          <w:rFonts w:ascii="Arial" w:hAnsi="Arial" w:cs="Arial"/>
          <w:sz w:val="24"/>
          <w:szCs w:val="24"/>
        </w:rPr>
      </w:pPr>
      <w:r w:rsidRPr="00794BE6">
        <w:rPr>
          <w:rFonts w:ascii="Arial" w:hAnsi="Arial" w:cs="Arial"/>
          <w:sz w:val="24"/>
          <w:szCs w:val="24"/>
        </w:rPr>
        <w:t>As stated by Taras, (2008) there are two types of assessment, being formative and summative. Formative assessments are an exam-styled format where children are sat down and judged from what they can memorise. Summative assessment is based around less formal ways for children to display their development. It is evident through Tara's work that the more effective type of observation is summative due to the amount of knowledge on children’s development that can be obtained, whereas formative assessments are more limited to the amount of knowledge that can be obtained.</w:t>
      </w:r>
    </w:p>
    <w:p w14:paraId="6322A689" w14:textId="77777777" w:rsidR="00261666" w:rsidRDefault="00794BE6" w:rsidP="00AB2277">
      <w:pPr>
        <w:spacing w:line="360" w:lineRule="auto"/>
        <w:rPr>
          <w:rFonts w:ascii="Arial" w:hAnsi="Arial" w:cs="Arial"/>
          <w:sz w:val="24"/>
          <w:szCs w:val="24"/>
        </w:rPr>
      </w:pPr>
      <w:r w:rsidRPr="00794BE6">
        <w:rPr>
          <w:rFonts w:ascii="Arial" w:hAnsi="Arial" w:cs="Arial"/>
          <w:sz w:val="24"/>
          <w:szCs w:val="24"/>
        </w:rPr>
        <w:t xml:space="preserve">There are a wide variety of observation types that have both advantages and disadvantages to them however, as stated by Georgeson, and Paylor (2013) the Leuven scales are an observation type used excessively within the UK to measure </w:t>
      </w:r>
      <w:r w:rsidRPr="00794BE6">
        <w:rPr>
          <w:rFonts w:ascii="Arial" w:hAnsi="Arial" w:cs="Arial"/>
          <w:sz w:val="24"/>
          <w:szCs w:val="24"/>
        </w:rPr>
        <w:lastRenderedPageBreak/>
        <w:t>children’s well-being and interaction within play. The Leuven scale includes 5 stages of involvement or well-being, 1 bein</w:t>
      </w:r>
      <w:r w:rsidR="00261666">
        <w:rPr>
          <w:rFonts w:ascii="Arial" w:hAnsi="Arial" w:cs="Arial"/>
          <w:sz w:val="24"/>
          <w:szCs w:val="24"/>
        </w:rPr>
        <w:t>g</w:t>
      </w:r>
    </w:p>
    <w:p w14:paraId="001BE3D0" w14:textId="0EA4CB94" w:rsidR="00DF29BC" w:rsidRDefault="00794BE6" w:rsidP="00AB2277">
      <w:pPr>
        <w:spacing w:line="360" w:lineRule="auto"/>
        <w:rPr>
          <w:rFonts w:ascii="Arial" w:hAnsi="Arial" w:cs="Arial"/>
          <w:sz w:val="24"/>
          <w:szCs w:val="24"/>
        </w:rPr>
      </w:pPr>
      <w:r w:rsidRPr="00794BE6">
        <w:rPr>
          <w:rFonts w:ascii="Arial" w:hAnsi="Arial" w:cs="Arial"/>
          <w:sz w:val="24"/>
          <w:szCs w:val="24"/>
        </w:rPr>
        <w:t xml:space="preserve"> low interest and 5 being the highest form of interest. Teachers will observe a child over a short period of time and will explain the process that is occurring with the child, and depending on the child’s involvement with the play, it will result in a certain level being achieved. From this information it is evident that the Leuven scale is a summative form of observation meaning children can feel less pressured while being assessed and more information and development can be gathered. It is important to mention that Macrae, (2019) displays the link between the Leuven scales and Maslow’s hierarchy through the observations of both in interaction and well-being. This is linked to Maslow’s hierarchy due to the well-being of a child being largely considered within it. The importance of well-being observation is also displayed by Wood, (2016) from the use of other theorists expressing the importance of well-being for a child to be more involved with activities. Using this evidence, it can be considered that if a child’s well-being has a high score within the Leuven scales, so will the interaction from the child, as stated by Froebel himself. It is also stated by Woods, (2016) that the benefits of the Leuven scale enable the focus on the achievements that the children make and not the improvements that need to happen. However, unfortunately, the level 4 or 5 has been considered in the recent years as an outcome driven by many practitioners, which differs from the point of the Leuven scales. While the Leuven scale is based around a child’s well-being and interaction, it is not to be forgotten that teachers may not be as involved with play while they are observing children. Since it is important in a child’s development to acknowledge their accomplishments that may be a disadvantage, however, may be beneficial due to teachers not getting in the way of children’s learning. (King, and Sturrock, 2020) From the evidence collected, it could be assumed that the Leuven scale can be applied for any age group, which cannot be said for other observation types. This is due to the examples given by Macrae, (2019) and the wide age variety for the individuals being observed. Georgeson, and Paylor, (2013) emphasise the importance of the Leuven scales due to their giving a holistic view of the child rather than focusing on one area. This also allows for important details on the individual to be accounted for regarding personal life, the stage of development, and so on. Through this observation, it allows teachers to identify triggers, possible ALN, </w:t>
      </w:r>
      <w:r w:rsidRPr="00794BE6">
        <w:rPr>
          <w:rFonts w:ascii="Arial" w:hAnsi="Arial" w:cs="Arial"/>
          <w:sz w:val="24"/>
          <w:szCs w:val="24"/>
        </w:rPr>
        <w:lastRenderedPageBreak/>
        <w:t>friendships, patterns, and much more, meaning this can make it easier for solutions to be put in place to help a child best benefit from play.</w:t>
      </w:r>
    </w:p>
    <w:p w14:paraId="6C9C1973" w14:textId="48A1BEA7" w:rsidR="00A344C6" w:rsidRPr="00DF29BC" w:rsidRDefault="00F4617E" w:rsidP="00AB2277">
      <w:pPr>
        <w:spacing w:line="360" w:lineRule="auto"/>
        <w:rPr>
          <w:rFonts w:ascii="Arial" w:hAnsi="Arial" w:cs="Arial"/>
          <w:sz w:val="24"/>
          <w:szCs w:val="24"/>
        </w:rPr>
      </w:pPr>
      <w:r w:rsidRPr="00DF29BC">
        <w:rPr>
          <w:rFonts w:ascii="Arial" w:hAnsi="Arial" w:cs="Arial"/>
          <w:sz w:val="24"/>
          <w:szCs w:val="24"/>
        </w:rPr>
        <w:br/>
        <w:t>Section 4:</w:t>
      </w:r>
    </w:p>
    <w:p w14:paraId="25998DF5" w14:textId="77777777" w:rsidR="00C85EFA" w:rsidRPr="00C85EFA" w:rsidRDefault="00C85EFA" w:rsidP="00C85EFA">
      <w:pPr>
        <w:spacing w:line="360" w:lineRule="auto"/>
        <w:rPr>
          <w:rFonts w:ascii="Arial" w:hAnsi="Arial" w:cs="Arial"/>
          <w:sz w:val="24"/>
          <w:szCs w:val="24"/>
        </w:rPr>
      </w:pPr>
      <w:r w:rsidRPr="00C85EFA">
        <w:rPr>
          <w:rFonts w:ascii="Arial" w:hAnsi="Arial" w:cs="Arial"/>
          <w:sz w:val="24"/>
          <w:szCs w:val="24"/>
        </w:rPr>
        <w:t xml:space="preserve">Berkhout, L. </w:t>
      </w:r>
      <w:r w:rsidRPr="00C85EFA">
        <w:rPr>
          <w:rFonts w:ascii="Arial" w:hAnsi="Arial" w:cs="Arial"/>
          <w:i/>
          <w:iCs/>
          <w:sz w:val="24"/>
          <w:szCs w:val="24"/>
        </w:rPr>
        <w:t xml:space="preserve">et al. </w:t>
      </w:r>
      <w:r w:rsidRPr="00C85EFA">
        <w:rPr>
          <w:rFonts w:ascii="Arial" w:hAnsi="Arial" w:cs="Arial"/>
          <w:sz w:val="24"/>
          <w:szCs w:val="24"/>
        </w:rPr>
        <w:t xml:space="preserve">(2011) explain that children stimulate their senses best through sensory play, and as a result, observation in play is the best way to see how one is developing. Using this, physical, cognitive, emotional, and social observations can be taken as opposed to more formal settings. It is also important to mention that, as stated by Smidt, (2015) Jean Piaget was one of the first theorists to believe that observation of children’s development was vital for further learning. It is not to be forgotten that through Jean Piaget it is apparent that children develop schemas through free play. According to Mangione, R. </w:t>
      </w:r>
      <w:r w:rsidRPr="00C85EFA">
        <w:rPr>
          <w:rFonts w:ascii="Arial" w:hAnsi="Arial" w:cs="Arial"/>
          <w:i/>
          <w:iCs/>
          <w:sz w:val="24"/>
          <w:szCs w:val="24"/>
        </w:rPr>
        <w:t xml:space="preserve">et al. </w:t>
      </w:r>
      <w:r w:rsidRPr="00C85EFA">
        <w:rPr>
          <w:rFonts w:ascii="Arial" w:hAnsi="Arial" w:cs="Arial"/>
          <w:sz w:val="24"/>
          <w:szCs w:val="24"/>
        </w:rPr>
        <w:t>(2002) the Hawthorne effect comes from a study that displayed that individuals being aware of being observed display different behaviours from what would normally occur. A result of this study displayed how individuals could perform better depending on the change of environment, in contrast, if individuals knew that they were being observed, they might perform worse due to added pressure. Through this evidence, it can be determined that children can either become more confident and perform better during observation or become nervous and start to underperform. This results in children being less likely to have a learning experience due to the lack of attention on play itself. Gray, (2013) explains the difference between play and not play by describing how play is self-chosen or self-directed, does not include rules, and is imaginative, resulting in a possible lack of development if this criteria is not met.</w:t>
      </w:r>
      <w:r w:rsidRPr="00C85EFA">
        <w:rPr>
          <w:rFonts w:ascii="Arial" w:hAnsi="Arial" w:cs="Arial"/>
          <w:sz w:val="24"/>
          <w:szCs w:val="24"/>
        </w:rPr>
        <w:br/>
        <w:t>Bruce, (2015) makes it apparent that efficient observation cannot take place without the right number of staff to watch over children. This may be since observations can be easily distracted, and an individual can miss important progression points that would otherwise be seen. It is not to be forgotten that when children have access to free play, they are more likely to have confrontations or other issues, meaning that teachers will have to always be available. It is also stated by Bruce, (2015) that Piaget included observation within children’s play. In contrast to this, it is also stated that Piaget, further down the line, led tests in more formal settings, which displayed how children cannot be properly assessed in formal settings, as it does not allow children to learn and experience at their best level.</w:t>
      </w:r>
    </w:p>
    <w:p w14:paraId="0EE7B5C4" w14:textId="77777777" w:rsidR="00C85EFA" w:rsidRPr="00C85EFA" w:rsidRDefault="00C85EFA" w:rsidP="00C85EFA">
      <w:pPr>
        <w:spacing w:line="360" w:lineRule="auto"/>
        <w:rPr>
          <w:rFonts w:ascii="Arial" w:hAnsi="Arial" w:cs="Arial"/>
          <w:sz w:val="24"/>
          <w:szCs w:val="24"/>
        </w:rPr>
      </w:pPr>
      <w:r w:rsidRPr="00C85EFA">
        <w:rPr>
          <w:rFonts w:ascii="Arial" w:hAnsi="Arial" w:cs="Arial"/>
          <w:sz w:val="24"/>
          <w:szCs w:val="24"/>
        </w:rPr>
        <w:lastRenderedPageBreak/>
        <w:t xml:space="preserve">Furthermore, it is stated by James, </w:t>
      </w:r>
      <w:r w:rsidRPr="00C85EFA">
        <w:rPr>
          <w:rFonts w:ascii="Arial" w:hAnsi="Arial" w:cs="Arial"/>
          <w:i/>
          <w:iCs/>
          <w:sz w:val="24"/>
          <w:szCs w:val="24"/>
        </w:rPr>
        <w:t xml:space="preserve">et al. </w:t>
      </w:r>
      <w:r w:rsidRPr="00C85EFA">
        <w:rPr>
          <w:rFonts w:ascii="Arial" w:hAnsi="Arial" w:cs="Arial"/>
          <w:sz w:val="24"/>
          <w:szCs w:val="24"/>
        </w:rPr>
        <w:t xml:space="preserve">(2022) that children who have access to outdoor play and physical activity were observed to have an improvement in physical, motor, cognitive, and mental development. Through the benefit of free play and observations, it could be evident that children are less likely to feel stressed in environments that are open and full of choice for them, resulting in the best results of observation being within playful circumstances. Through James, </w:t>
      </w:r>
      <w:r w:rsidRPr="00C85EFA">
        <w:rPr>
          <w:rFonts w:ascii="Arial" w:hAnsi="Arial" w:cs="Arial"/>
          <w:i/>
          <w:iCs/>
          <w:sz w:val="24"/>
          <w:szCs w:val="24"/>
        </w:rPr>
        <w:t xml:space="preserve">et al.'s </w:t>
      </w:r>
      <w:r w:rsidRPr="00C85EFA">
        <w:rPr>
          <w:rFonts w:ascii="Arial" w:hAnsi="Arial" w:cs="Arial"/>
          <w:sz w:val="24"/>
          <w:szCs w:val="24"/>
        </w:rPr>
        <w:t xml:space="preserve">(2022) article, </w:t>
      </w:r>
      <w:proofErr w:type="gramStart"/>
      <w:r w:rsidRPr="00C85EFA">
        <w:rPr>
          <w:rFonts w:ascii="Arial" w:hAnsi="Arial" w:cs="Arial"/>
          <w:sz w:val="24"/>
          <w:szCs w:val="24"/>
        </w:rPr>
        <w:t>it can be seen that children</w:t>
      </w:r>
      <w:proofErr w:type="gramEnd"/>
      <w:r w:rsidRPr="00C85EFA">
        <w:rPr>
          <w:rFonts w:ascii="Arial" w:hAnsi="Arial" w:cs="Arial"/>
          <w:sz w:val="24"/>
          <w:szCs w:val="24"/>
        </w:rPr>
        <w:t xml:space="preserve"> can develop many skills within the playground due to free choice of play, this is further emphasised through the article stating that children have their highest forms of development through the playground, stating that 70% of female children were able to develop their music and sensory skills. As stated by Farmer-Dougan, (1999) there is a clear difference between observing children within formal settings and play settings due to data suggesting that children demonstrate less cognitive and social skills when in formal settings. This is likely why today it is highly valued to observe children during play. It is not to be forgotten that ALN is unlikely to be identified during a formal observation of children, whereas many practitioners can observe the behaviour of children and see if it is common for the stage of development that the child should be in. A result of this observation taking place can mean that if ALN has been identified with a child, the individual can get the support they need to benefit in the best way possible from learning. In contrast to this, formal observations are not likely to pick up on these behaviours and a child can fall behind in development as a result. Observation in play has been highly valued throughout many years, as stated by Reifel, (2011) A well-known German educator named Froebel influenced observation in children’s play because of the ability to see how children learn and think, therefore better influencing their play and development. It was important to Froebel that teachers saw how children were developing their cognitive, social and emotional skills using play since </w:t>
      </w:r>
      <w:proofErr w:type="gramStart"/>
      <w:r w:rsidRPr="00C85EFA">
        <w:rPr>
          <w:rFonts w:ascii="Arial" w:hAnsi="Arial" w:cs="Arial"/>
          <w:sz w:val="24"/>
          <w:szCs w:val="24"/>
        </w:rPr>
        <w:t>through the use of</w:t>
      </w:r>
      <w:proofErr w:type="gramEnd"/>
      <w:r w:rsidRPr="00C85EFA">
        <w:rPr>
          <w:rFonts w:ascii="Arial" w:hAnsi="Arial" w:cs="Arial"/>
          <w:sz w:val="24"/>
          <w:szCs w:val="24"/>
        </w:rPr>
        <w:t xml:space="preserve"> play children can learn life skills, science, how to manipulate objects and much more. The same </w:t>
      </w:r>
      <w:proofErr w:type="spellStart"/>
      <w:r w:rsidRPr="00C85EFA">
        <w:rPr>
          <w:rFonts w:ascii="Arial" w:hAnsi="Arial" w:cs="Arial"/>
          <w:sz w:val="24"/>
          <w:szCs w:val="24"/>
        </w:rPr>
        <w:t>can not</w:t>
      </w:r>
      <w:proofErr w:type="spellEnd"/>
      <w:r w:rsidRPr="00C85EFA">
        <w:rPr>
          <w:rFonts w:ascii="Arial" w:hAnsi="Arial" w:cs="Arial"/>
          <w:sz w:val="24"/>
          <w:szCs w:val="24"/>
        </w:rPr>
        <w:t xml:space="preserve"> be said for more formal forms of observation, where children are sat down with pen and paper and made to write down answers one may or may not know.</w:t>
      </w:r>
    </w:p>
    <w:p w14:paraId="2BCD1C31" w14:textId="73CA896C" w:rsidR="000D40E1" w:rsidRPr="00DF29BC" w:rsidRDefault="00F1425F" w:rsidP="00AB2277">
      <w:pPr>
        <w:spacing w:line="360" w:lineRule="auto"/>
        <w:rPr>
          <w:rFonts w:ascii="Arial" w:hAnsi="Arial" w:cs="Arial"/>
          <w:sz w:val="24"/>
          <w:szCs w:val="24"/>
        </w:rPr>
      </w:pPr>
      <w:r w:rsidRPr="00DF29BC">
        <w:rPr>
          <w:rFonts w:ascii="Arial" w:hAnsi="Arial" w:cs="Arial"/>
          <w:sz w:val="24"/>
          <w:szCs w:val="24"/>
        </w:rPr>
        <w:br/>
      </w:r>
    </w:p>
    <w:p w14:paraId="6AFB29BF" w14:textId="77777777" w:rsidR="00D5210F" w:rsidRPr="00DF29BC" w:rsidRDefault="00D5210F" w:rsidP="00AB2277">
      <w:pPr>
        <w:spacing w:line="360" w:lineRule="auto"/>
        <w:rPr>
          <w:rFonts w:ascii="Arial" w:hAnsi="Arial" w:cs="Arial"/>
          <w:sz w:val="24"/>
          <w:szCs w:val="24"/>
        </w:rPr>
      </w:pPr>
    </w:p>
    <w:p w14:paraId="295A51C8" w14:textId="77777777" w:rsidR="00D5210F" w:rsidRPr="00DF29BC" w:rsidRDefault="00D5210F" w:rsidP="00AB2277">
      <w:pPr>
        <w:spacing w:line="360" w:lineRule="auto"/>
        <w:rPr>
          <w:rFonts w:ascii="Arial" w:hAnsi="Arial" w:cs="Arial"/>
          <w:sz w:val="24"/>
          <w:szCs w:val="24"/>
        </w:rPr>
      </w:pPr>
    </w:p>
    <w:p w14:paraId="65BC88E8" w14:textId="7FA0A765" w:rsidR="00D5210F" w:rsidRPr="00DF29BC" w:rsidRDefault="00DF32E5" w:rsidP="00AB2277">
      <w:pPr>
        <w:spacing w:line="360" w:lineRule="auto"/>
        <w:rPr>
          <w:rFonts w:ascii="Arial" w:hAnsi="Arial" w:cs="Arial"/>
          <w:sz w:val="24"/>
          <w:szCs w:val="24"/>
        </w:rPr>
      </w:pPr>
      <w:r>
        <w:rPr>
          <w:rFonts w:ascii="Arial" w:hAnsi="Arial" w:cs="Arial"/>
          <w:sz w:val="24"/>
          <w:szCs w:val="24"/>
        </w:rPr>
        <w:t>Reference list:</w:t>
      </w:r>
    </w:p>
    <w:p w14:paraId="76DE8389" w14:textId="77777777" w:rsidR="00004856" w:rsidRPr="00DF29BC" w:rsidRDefault="00004856" w:rsidP="00AB2277">
      <w:pPr>
        <w:spacing w:line="360" w:lineRule="auto"/>
        <w:rPr>
          <w:rFonts w:ascii="Arial" w:hAnsi="Arial" w:cs="Arial"/>
          <w:sz w:val="24"/>
          <w:szCs w:val="24"/>
        </w:rPr>
      </w:pPr>
    </w:p>
    <w:p w14:paraId="16670A78" w14:textId="77777777" w:rsidR="000973BB" w:rsidRPr="00DF29BC" w:rsidRDefault="000973BB" w:rsidP="00BA44EA">
      <w:pPr>
        <w:spacing w:line="360" w:lineRule="auto"/>
        <w:rPr>
          <w:rFonts w:ascii="Arial" w:hAnsi="Arial" w:cs="Arial"/>
          <w:i/>
          <w:iCs/>
          <w:sz w:val="24"/>
          <w:szCs w:val="24"/>
        </w:rPr>
      </w:pPr>
      <w:r w:rsidRPr="00DF29BC">
        <w:rPr>
          <w:rFonts w:ascii="Arial" w:hAnsi="Arial" w:cs="Arial"/>
          <w:sz w:val="24"/>
          <w:szCs w:val="24"/>
        </w:rPr>
        <w:t xml:space="preserve">Akman, O. ATASOY, F.O., and GÜR, T. (2021) </w:t>
      </w:r>
      <w:r w:rsidRPr="00DF29BC">
        <w:rPr>
          <w:rFonts w:ascii="Arial" w:hAnsi="Arial" w:cs="Arial"/>
          <w:i/>
          <w:iCs/>
          <w:sz w:val="24"/>
          <w:szCs w:val="24"/>
        </w:rPr>
        <w:t xml:space="preserve">Education, social, health and political developments in Turkey between 2000 – 2020. </w:t>
      </w:r>
      <w:r w:rsidRPr="00DF29BC">
        <w:rPr>
          <w:rFonts w:ascii="Arial" w:hAnsi="Arial" w:cs="Arial"/>
          <w:sz w:val="24"/>
          <w:szCs w:val="24"/>
        </w:rPr>
        <w:t>Turkey:</w:t>
      </w:r>
      <w:r w:rsidRPr="00DF29BC">
        <w:rPr>
          <w:rFonts w:ascii="Arial" w:hAnsi="Arial" w:cs="Arial"/>
          <w:i/>
          <w:iCs/>
          <w:sz w:val="24"/>
          <w:szCs w:val="24"/>
        </w:rPr>
        <w:t xml:space="preserve"> ISRES Publishing. </w:t>
      </w:r>
    </w:p>
    <w:p w14:paraId="0A0950EC" w14:textId="77777777" w:rsidR="000973BB" w:rsidRPr="00DF29BC" w:rsidRDefault="000973BB" w:rsidP="00BA44EA">
      <w:pPr>
        <w:spacing w:line="360" w:lineRule="auto"/>
        <w:rPr>
          <w:rFonts w:ascii="Arial" w:hAnsi="Arial" w:cs="Arial"/>
          <w:sz w:val="24"/>
          <w:szCs w:val="24"/>
        </w:rPr>
      </w:pPr>
      <w:proofErr w:type="spellStart"/>
      <w:r w:rsidRPr="00DF29BC">
        <w:rPr>
          <w:rFonts w:ascii="Arial" w:hAnsi="Arial" w:cs="Arial"/>
          <w:sz w:val="24"/>
          <w:szCs w:val="24"/>
        </w:rPr>
        <w:t>Aminpour</w:t>
      </w:r>
      <w:proofErr w:type="spellEnd"/>
      <w:r w:rsidRPr="00DF29BC">
        <w:rPr>
          <w:rFonts w:ascii="Arial" w:hAnsi="Arial" w:cs="Arial"/>
          <w:sz w:val="24"/>
          <w:szCs w:val="24"/>
        </w:rPr>
        <w:t>, F., Bishop, K. and Corkery, L. (2020) ‘The hidden value of in-between spaces for children’s self-directed play within outdoor environments</w:t>
      </w:r>
      <w:r w:rsidRPr="00DF29BC">
        <w:rPr>
          <w:rFonts w:ascii="Arial" w:hAnsi="Arial" w:cs="Arial"/>
          <w:i/>
          <w:iCs/>
          <w:sz w:val="24"/>
          <w:szCs w:val="24"/>
        </w:rPr>
        <w:t>’</w:t>
      </w:r>
      <w:r w:rsidRPr="00DF29BC">
        <w:rPr>
          <w:rFonts w:ascii="Arial" w:hAnsi="Arial" w:cs="Arial"/>
          <w:sz w:val="24"/>
          <w:szCs w:val="24"/>
        </w:rPr>
        <w:t xml:space="preserve">, </w:t>
      </w:r>
      <w:r w:rsidRPr="00DF29BC">
        <w:rPr>
          <w:rFonts w:ascii="Arial" w:hAnsi="Arial" w:cs="Arial"/>
          <w:i/>
          <w:iCs/>
          <w:sz w:val="24"/>
          <w:szCs w:val="24"/>
        </w:rPr>
        <w:t>Science direct,</w:t>
      </w:r>
      <w:r w:rsidRPr="00DF29BC">
        <w:rPr>
          <w:rFonts w:ascii="Arial" w:hAnsi="Arial" w:cs="Arial"/>
          <w:sz w:val="24"/>
          <w:szCs w:val="24"/>
        </w:rPr>
        <w:t xml:space="preserve"> 194 (February) article 103683. Available at: </w:t>
      </w:r>
      <w:hyperlink r:id="rId12" w:history="1">
        <w:r w:rsidRPr="00DF29BC">
          <w:rPr>
            <w:rStyle w:val="Hyperlink"/>
            <w:rFonts w:ascii="Arial" w:hAnsi="Arial" w:cs="Arial"/>
            <w:sz w:val="24"/>
            <w:szCs w:val="24"/>
          </w:rPr>
          <w:t>https://www.sciencedirect.com/science/article/pii/S016920461930297X?casa_token=8DXNc1NVIGEAAAAA:mWxVh-S1RbT__5wvGui-a07Wc1FtpAEUwQE25i-txd-3kyO45RLzpOKC2MgDJHvmxfC9s1mD</w:t>
        </w:r>
      </w:hyperlink>
    </w:p>
    <w:p w14:paraId="22723179"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Berkhout, L. Hoekman, J. and </w:t>
      </w:r>
      <w:proofErr w:type="spellStart"/>
      <w:r w:rsidRPr="00DF29BC">
        <w:rPr>
          <w:rFonts w:ascii="Arial" w:hAnsi="Arial" w:cs="Arial"/>
          <w:sz w:val="24"/>
          <w:szCs w:val="24"/>
        </w:rPr>
        <w:t>Goorhuis</w:t>
      </w:r>
      <w:proofErr w:type="spellEnd"/>
      <w:r w:rsidRPr="00DF29BC">
        <w:rPr>
          <w:rFonts w:ascii="Arial" w:hAnsi="Arial" w:cs="Arial"/>
          <w:sz w:val="24"/>
          <w:szCs w:val="24"/>
        </w:rPr>
        <w:t>-Brouwer, S. M. (2011). Observation instrument of play behaviour in a classroom setting. </w:t>
      </w:r>
      <w:r w:rsidRPr="00DF29BC">
        <w:rPr>
          <w:rFonts w:ascii="Arial" w:hAnsi="Arial" w:cs="Arial"/>
          <w:i/>
          <w:iCs/>
          <w:sz w:val="24"/>
          <w:szCs w:val="24"/>
        </w:rPr>
        <w:t>Early Child Development and Care</w:t>
      </w:r>
      <w:r w:rsidRPr="00DF29BC">
        <w:rPr>
          <w:rFonts w:ascii="Arial" w:hAnsi="Arial" w:cs="Arial"/>
          <w:sz w:val="24"/>
          <w:szCs w:val="24"/>
        </w:rPr>
        <w:t>, </w:t>
      </w:r>
      <w:r w:rsidRPr="00DF29BC">
        <w:rPr>
          <w:rFonts w:ascii="Arial" w:hAnsi="Arial" w:cs="Arial"/>
          <w:i/>
          <w:iCs/>
          <w:sz w:val="24"/>
          <w:szCs w:val="24"/>
        </w:rPr>
        <w:t>182</w:t>
      </w:r>
      <w:r w:rsidRPr="00DF29BC">
        <w:rPr>
          <w:rFonts w:ascii="Arial" w:hAnsi="Arial" w:cs="Arial"/>
          <w:sz w:val="24"/>
          <w:szCs w:val="24"/>
        </w:rPr>
        <w:t xml:space="preserve">(10), 1325–1333. Available at: </w:t>
      </w:r>
      <w:hyperlink r:id="rId13" w:anchor="d1e338" w:history="1">
        <w:r w:rsidRPr="00DF29BC">
          <w:rPr>
            <w:rStyle w:val="Hyperlink"/>
            <w:rFonts w:ascii="Arial" w:hAnsi="Arial" w:cs="Arial"/>
            <w:sz w:val="24"/>
            <w:szCs w:val="24"/>
          </w:rPr>
          <w:t>https://www.tandfonline.com/doi/full/10.1080/03004430.2011.608429?casa_token=QXcVgNMD9DAAAAAA%3Afg-ejwraPWSqelMjQw-vZhJImS-arDJAonS0H3Cxy0A6AOYKreojV7yzLBanIKFw2fSQBI6tCg#d1e338</w:t>
        </w:r>
      </w:hyperlink>
    </w:p>
    <w:p w14:paraId="11E0AA3A" w14:textId="77777777" w:rsidR="000973BB" w:rsidRPr="00DF29BC" w:rsidRDefault="000973BB" w:rsidP="00AB2277">
      <w:pPr>
        <w:spacing w:line="360" w:lineRule="auto"/>
        <w:rPr>
          <w:rFonts w:ascii="Arial" w:hAnsi="Arial" w:cs="Arial"/>
          <w:sz w:val="24"/>
          <w:szCs w:val="24"/>
        </w:rPr>
      </w:pPr>
      <w:r w:rsidRPr="00DF29BC">
        <w:rPr>
          <w:rFonts w:ascii="Arial" w:hAnsi="Arial" w:cs="Arial"/>
          <w:sz w:val="24"/>
          <w:szCs w:val="24"/>
        </w:rPr>
        <w:t xml:space="preserve">Bottrill, A. (2022) </w:t>
      </w:r>
      <w:r w:rsidRPr="00DF29BC">
        <w:rPr>
          <w:rFonts w:ascii="Arial" w:hAnsi="Arial" w:cs="Arial"/>
          <w:i/>
          <w:iCs/>
          <w:sz w:val="24"/>
          <w:szCs w:val="24"/>
        </w:rPr>
        <w:t>Can I Go and Play Now? 2</w:t>
      </w:r>
      <w:r w:rsidRPr="00DF29BC">
        <w:rPr>
          <w:rFonts w:ascii="Arial" w:hAnsi="Arial" w:cs="Arial"/>
          <w:i/>
          <w:iCs/>
          <w:sz w:val="24"/>
          <w:szCs w:val="24"/>
          <w:vertAlign w:val="superscript"/>
        </w:rPr>
        <w:t>nd</w:t>
      </w:r>
      <w:r w:rsidRPr="00DF29BC">
        <w:rPr>
          <w:rFonts w:ascii="Arial" w:hAnsi="Arial" w:cs="Arial"/>
          <w:i/>
          <w:iCs/>
          <w:sz w:val="24"/>
          <w:szCs w:val="24"/>
        </w:rPr>
        <w:t xml:space="preserve"> </w:t>
      </w:r>
      <w:proofErr w:type="spellStart"/>
      <w:r w:rsidRPr="00DF29BC">
        <w:rPr>
          <w:rFonts w:ascii="Arial" w:hAnsi="Arial" w:cs="Arial"/>
          <w:i/>
          <w:iCs/>
          <w:sz w:val="24"/>
          <w:szCs w:val="24"/>
        </w:rPr>
        <w:t>edn</w:t>
      </w:r>
      <w:proofErr w:type="spellEnd"/>
      <w:r w:rsidRPr="00DF29BC">
        <w:rPr>
          <w:rFonts w:ascii="Arial" w:hAnsi="Arial" w:cs="Arial"/>
          <w:i/>
          <w:iCs/>
          <w:sz w:val="24"/>
          <w:szCs w:val="24"/>
        </w:rPr>
        <w:t xml:space="preserve">. </w:t>
      </w:r>
      <w:r w:rsidRPr="00DF29BC">
        <w:rPr>
          <w:rFonts w:ascii="Arial" w:hAnsi="Arial" w:cs="Arial"/>
          <w:sz w:val="24"/>
          <w:szCs w:val="24"/>
        </w:rPr>
        <w:t xml:space="preserve"> London: Sage Publications. </w:t>
      </w:r>
    </w:p>
    <w:p w14:paraId="72EF408B" w14:textId="77777777" w:rsidR="000973BB" w:rsidRPr="00DF29BC" w:rsidRDefault="000973BB" w:rsidP="00BA44EA">
      <w:pPr>
        <w:spacing w:line="360" w:lineRule="auto"/>
        <w:rPr>
          <w:rFonts w:ascii="Arial" w:hAnsi="Arial" w:cs="Arial"/>
          <w:i/>
          <w:iCs/>
          <w:sz w:val="24"/>
          <w:szCs w:val="24"/>
        </w:rPr>
      </w:pPr>
      <w:r w:rsidRPr="00DF29BC">
        <w:rPr>
          <w:rFonts w:ascii="Arial" w:hAnsi="Arial" w:cs="Arial"/>
          <w:sz w:val="24"/>
          <w:szCs w:val="24"/>
        </w:rPr>
        <w:t xml:space="preserve">Bruce, T. Louis, S. and McCall, G. (2019) </w:t>
      </w:r>
      <w:r w:rsidRPr="00DF29BC">
        <w:rPr>
          <w:rFonts w:ascii="Arial" w:hAnsi="Arial" w:cs="Arial"/>
          <w:i/>
          <w:iCs/>
          <w:sz w:val="24"/>
          <w:szCs w:val="24"/>
        </w:rPr>
        <w:t>Observing young children</w:t>
      </w:r>
      <w:r w:rsidRPr="00DF29BC">
        <w:rPr>
          <w:rFonts w:ascii="Arial" w:hAnsi="Arial" w:cs="Arial"/>
          <w:sz w:val="24"/>
          <w:szCs w:val="24"/>
        </w:rPr>
        <w:t>.</w:t>
      </w:r>
      <w:r w:rsidRPr="00DF29BC">
        <w:rPr>
          <w:rFonts w:ascii="Arial" w:hAnsi="Arial" w:cs="Arial"/>
          <w:i/>
          <w:iCs/>
          <w:sz w:val="24"/>
          <w:szCs w:val="24"/>
        </w:rPr>
        <w:t xml:space="preserve"> </w:t>
      </w:r>
      <w:r w:rsidRPr="00DF29BC">
        <w:rPr>
          <w:rFonts w:ascii="Arial" w:hAnsi="Arial" w:cs="Arial"/>
          <w:sz w:val="24"/>
          <w:szCs w:val="24"/>
        </w:rPr>
        <w:t>London: Sage</w:t>
      </w:r>
      <w:r w:rsidRPr="00DF29BC">
        <w:rPr>
          <w:rFonts w:ascii="Arial" w:hAnsi="Arial" w:cs="Arial"/>
          <w:i/>
          <w:iCs/>
          <w:sz w:val="24"/>
          <w:szCs w:val="24"/>
        </w:rPr>
        <w:t xml:space="preserve"> </w:t>
      </w:r>
      <w:r w:rsidRPr="00DF29BC">
        <w:rPr>
          <w:rFonts w:ascii="Arial" w:hAnsi="Arial" w:cs="Arial"/>
          <w:sz w:val="24"/>
          <w:szCs w:val="24"/>
        </w:rPr>
        <w:t>Publications Ltd.</w:t>
      </w:r>
      <w:r w:rsidRPr="00DF29BC">
        <w:rPr>
          <w:rFonts w:ascii="Arial" w:hAnsi="Arial" w:cs="Arial"/>
          <w:i/>
          <w:iCs/>
          <w:sz w:val="24"/>
          <w:szCs w:val="24"/>
        </w:rPr>
        <w:t xml:space="preserve"> </w:t>
      </w:r>
    </w:p>
    <w:p w14:paraId="5F8C0DA7"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Else, P. (2014) </w:t>
      </w:r>
      <w:r w:rsidRPr="00DF29BC">
        <w:rPr>
          <w:rFonts w:ascii="Arial" w:hAnsi="Arial" w:cs="Arial"/>
          <w:i/>
          <w:iCs/>
          <w:sz w:val="24"/>
          <w:szCs w:val="24"/>
        </w:rPr>
        <w:t>Making sense of play.</w:t>
      </w:r>
      <w:r w:rsidRPr="00DF29BC">
        <w:rPr>
          <w:rFonts w:ascii="Arial" w:hAnsi="Arial" w:cs="Arial"/>
          <w:sz w:val="24"/>
          <w:szCs w:val="24"/>
        </w:rPr>
        <w:t xml:space="preserve"> New York: Open University Press. </w:t>
      </w:r>
    </w:p>
    <w:p w14:paraId="1AF4B4EF"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Encarnacao, P., Ray-Kaeser, S. and </w:t>
      </w:r>
      <w:proofErr w:type="spellStart"/>
      <w:r w:rsidRPr="00DF29BC">
        <w:rPr>
          <w:rFonts w:ascii="Arial" w:hAnsi="Arial" w:cs="Arial"/>
          <w:sz w:val="24"/>
          <w:szCs w:val="24"/>
        </w:rPr>
        <w:t>Bianquin</w:t>
      </w:r>
      <w:proofErr w:type="spellEnd"/>
      <w:r w:rsidRPr="00DF29BC">
        <w:rPr>
          <w:rFonts w:ascii="Arial" w:hAnsi="Arial" w:cs="Arial"/>
          <w:sz w:val="24"/>
          <w:szCs w:val="24"/>
        </w:rPr>
        <w:t xml:space="preserve">, N. (2018) </w:t>
      </w:r>
      <w:r w:rsidRPr="00DF29BC">
        <w:rPr>
          <w:rFonts w:ascii="Arial" w:hAnsi="Arial" w:cs="Arial"/>
          <w:i/>
          <w:iCs/>
          <w:sz w:val="24"/>
          <w:szCs w:val="24"/>
        </w:rPr>
        <w:t xml:space="preserve">Guidelines for supporting children with disabilities play. </w:t>
      </w:r>
      <w:r w:rsidRPr="00DF29BC">
        <w:rPr>
          <w:rFonts w:ascii="Arial" w:hAnsi="Arial" w:cs="Arial"/>
          <w:sz w:val="24"/>
          <w:szCs w:val="24"/>
        </w:rPr>
        <w:t>Berlin: Cost (European cooperation in science and technology).</w:t>
      </w:r>
    </w:p>
    <w:p w14:paraId="38CDF291"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Farmer</w:t>
      </w:r>
      <w:r w:rsidRPr="00DF29BC">
        <w:rPr>
          <w:rFonts w:ascii="Cambria Math" w:hAnsi="Cambria Math" w:cs="Cambria Math"/>
          <w:sz w:val="24"/>
          <w:szCs w:val="24"/>
        </w:rPr>
        <w:t>‐</w:t>
      </w:r>
      <w:r w:rsidRPr="00DF29BC">
        <w:rPr>
          <w:rFonts w:ascii="Arial" w:hAnsi="Arial" w:cs="Arial"/>
          <w:sz w:val="24"/>
          <w:szCs w:val="24"/>
        </w:rPr>
        <w:t>Dougan, V. and Kaszuba, T. (1999) ‘Reliability and Validity of Play</w:t>
      </w:r>
      <w:r w:rsidRPr="00DF29BC">
        <w:rPr>
          <w:rFonts w:ascii="Cambria Math" w:hAnsi="Cambria Math" w:cs="Cambria Math"/>
          <w:sz w:val="24"/>
          <w:szCs w:val="24"/>
        </w:rPr>
        <w:t>‐</w:t>
      </w:r>
      <w:r w:rsidRPr="00DF29BC">
        <w:rPr>
          <w:rFonts w:ascii="Arial" w:hAnsi="Arial" w:cs="Arial"/>
          <w:sz w:val="24"/>
          <w:szCs w:val="24"/>
        </w:rPr>
        <w:t>based Observations: relationship between the PLAY behaviour observation system and standardised measures of cognitive and social skills’, </w:t>
      </w:r>
      <w:r w:rsidRPr="00DF29BC">
        <w:rPr>
          <w:rFonts w:ascii="Arial" w:hAnsi="Arial" w:cs="Arial"/>
          <w:i/>
          <w:iCs/>
          <w:sz w:val="24"/>
          <w:szCs w:val="24"/>
        </w:rPr>
        <w:t>Educational Psychology</w:t>
      </w:r>
      <w:r w:rsidRPr="00DF29BC">
        <w:rPr>
          <w:rFonts w:ascii="Arial" w:hAnsi="Arial" w:cs="Arial"/>
          <w:sz w:val="24"/>
          <w:szCs w:val="24"/>
        </w:rPr>
        <w:t xml:space="preserve">, 19(4), pp. 429–440. Available at: </w:t>
      </w:r>
      <w:hyperlink r:id="rId14" w:history="1">
        <w:r w:rsidRPr="00DF29BC">
          <w:rPr>
            <w:rStyle w:val="Hyperlink"/>
            <w:rFonts w:ascii="Arial" w:hAnsi="Arial" w:cs="Arial"/>
            <w:sz w:val="24"/>
            <w:szCs w:val="24"/>
          </w:rPr>
          <w:t>https://www.tandfonline.com/doi/citedby/10.1080/0144341990190404?scroll=top&amp;needAccess=true</w:t>
        </w:r>
      </w:hyperlink>
    </w:p>
    <w:p w14:paraId="4FDF71ED"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lastRenderedPageBreak/>
        <w:t xml:space="preserve">Forman, G. And Hall, E. (2005) ‘Wondering with children: The importance of observation in early education’. </w:t>
      </w:r>
      <w:r w:rsidRPr="00DF29BC">
        <w:rPr>
          <w:rFonts w:ascii="Arial" w:hAnsi="Arial" w:cs="Arial"/>
          <w:i/>
          <w:iCs/>
          <w:sz w:val="24"/>
          <w:szCs w:val="24"/>
        </w:rPr>
        <w:t>Early childhood research &amp; practice</w:t>
      </w:r>
      <w:r w:rsidRPr="00DF29BC">
        <w:rPr>
          <w:rFonts w:ascii="Arial" w:hAnsi="Arial" w:cs="Arial"/>
          <w:sz w:val="24"/>
          <w:szCs w:val="24"/>
        </w:rPr>
        <w:t xml:space="preserve">, 7 2, pp. 1 – 16. Available at: </w:t>
      </w:r>
      <w:hyperlink r:id="rId15" w:history="1">
        <w:r w:rsidRPr="00DF29BC">
          <w:rPr>
            <w:rStyle w:val="Hyperlink"/>
            <w:rFonts w:ascii="Arial" w:hAnsi="Arial" w:cs="Arial"/>
            <w:sz w:val="24"/>
            <w:szCs w:val="24"/>
          </w:rPr>
          <w:t>https://learninglandscapes.ca/index.php/learnland/article/view/Wondering-With-Children-The-Importance-of-Observation-in-Early-Education/637</w:t>
        </w:r>
      </w:hyperlink>
    </w:p>
    <w:p w14:paraId="4A22755A"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Georgeson, J. And Payler, J. (2013) </w:t>
      </w:r>
      <w:r w:rsidRPr="00DF29BC">
        <w:rPr>
          <w:rFonts w:ascii="Arial" w:hAnsi="Arial" w:cs="Arial"/>
          <w:i/>
          <w:iCs/>
          <w:sz w:val="24"/>
          <w:szCs w:val="24"/>
        </w:rPr>
        <w:t>International perspectives on early childhood education and care</w:t>
      </w:r>
      <w:r w:rsidRPr="00DF29BC">
        <w:rPr>
          <w:rFonts w:ascii="Arial" w:hAnsi="Arial" w:cs="Arial"/>
          <w:sz w:val="24"/>
          <w:szCs w:val="24"/>
        </w:rPr>
        <w:t xml:space="preserve">. England: Open university press. </w:t>
      </w:r>
    </w:p>
    <w:p w14:paraId="26FCD8E3"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Gunawan, M. A. Hamzah, S. </w:t>
      </w:r>
      <w:proofErr w:type="spellStart"/>
      <w:r w:rsidRPr="00DF29BC">
        <w:rPr>
          <w:rFonts w:ascii="Arial" w:hAnsi="Arial" w:cs="Arial"/>
          <w:sz w:val="24"/>
          <w:szCs w:val="24"/>
        </w:rPr>
        <w:t>Hadiwinarto</w:t>
      </w:r>
      <w:proofErr w:type="spellEnd"/>
      <w:r w:rsidRPr="00DF29BC">
        <w:rPr>
          <w:rFonts w:ascii="Arial" w:hAnsi="Arial" w:cs="Arial"/>
          <w:sz w:val="24"/>
          <w:szCs w:val="24"/>
        </w:rPr>
        <w:t xml:space="preserve">. And </w:t>
      </w:r>
      <w:proofErr w:type="spellStart"/>
      <w:r w:rsidRPr="00DF29BC">
        <w:rPr>
          <w:rFonts w:ascii="Arial" w:hAnsi="Arial" w:cs="Arial"/>
          <w:sz w:val="24"/>
          <w:szCs w:val="24"/>
        </w:rPr>
        <w:t>Danim</w:t>
      </w:r>
      <w:proofErr w:type="spellEnd"/>
      <w:r w:rsidRPr="00DF29BC">
        <w:rPr>
          <w:rFonts w:ascii="Arial" w:hAnsi="Arial" w:cs="Arial"/>
          <w:sz w:val="24"/>
          <w:szCs w:val="24"/>
        </w:rPr>
        <w:t>, S. (2023) ‘Observation methods in evaluating early childhood learning in kindergarten’, 15 4, pp. 6803 – 6813. DOI: 10.35445/</w:t>
      </w:r>
      <w:proofErr w:type="gramStart"/>
      <w:r w:rsidRPr="00DF29BC">
        <w:rPr>
          <w:rFonts w:ascii="Arial" w:hAnsi="Arial" w:cs="Arial"/>
          <w:sz w:val="24"/>
          <w:szCs w:val="24"/>
        </w:rPr>
        <w:t>alishlah.v</w:t>
      </w:r>
      <w:proofErr w:type="gramEnd"/>
      <w:r w:rsidRPr="00DF29BC">
        <w:rPr>
          <w:rFonts w:ascii="Arial" w:hAnsi="Arial" w:cs="Arial"/>
          <w:sz w:val="24"/>
          <w:szCs w:val="24"/>
        </w:rPr>
        <w:t>15i4.1526.</w:t>
      </w:r>
    </w:p>
    <w:p w14:paraId="4D19321D"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Haile, T. S. and </w:t>
      </w:r>
      <w:proofErr w:type="spellStart"/>
      <w:r w:rsidRPr="00DF29BC">
        <w:rPr>
          <w:rFonts w:ascii="Arial" w:hAnsi="Arial" w:cs="Arial"/>
          <w:sz w:val="24"/>
          <w:szCs w:val="24"/>
        </w:rPr>
        <w:t>Ghirami</w:t>
      </w:r>
      <w:proofErr w:type="spellEnd"/>
      <w:r w:rsidRPr="00DF29BC">
        <w:rPr>
          <w:rFonts w:ascii="Arial" w:hAnsi="Arial" w:cs="Arial"/>
          <w:sz w:val="24"/>
          <w:szCs w:val="24"/>
        </w:rPr>
        <w:t xml:space="preserve">, D. J. (2024) </w:t>
      </w:r>
      <w:r w:rsidRPr="00DF29BC">
        <w:rPr>
          <w:rFonts w:ascii="Arial" w:hAnsi="Arial" w:cs="Arial"/>
          <w:i/>
          <w:iCs/>
          <w:sz w:val="24"/>
          <w:szCs w:val="24"/>
        </w:rPr>
        <w:t xml:space="preserve">Play based learning: Conceptualisation, Benefits, and Challenges of its implementation. </w:t>
      </w:r>
      <w:r w:rsidRPr="00DF29BC">
        <w:rPr>
          <w:rFonts w:ascii="Arial" w:hAnsi="Arial" w:cs="Arial"/>
          <w:sz w:val="24"/>
          <w:szCs w:val="24"/>
        </w:rPr>
        <w:t xml:space="preserve">European scientific journal, 20 (16), 30. Available at: </w:t>
      </w:r>
      <w:hyperlink r:id="rId16" w:history="1">
        <w:r w:rsidRPr="00DF29BC">
          <w:rPr>
            <w:rStyle w:val="Hyperlink"/>
            <w:rFonts w:ascii="Arial" w:hAnsi="Arial" w:cs="Arial"/>
            <w:sz w:val="24"/>
            <w:szCs w:val="24"/>
          </w:rPr>
          <w:t>https://d1wqtxts1xzle7.cloudfront.net/117026129/18304_Article_Text_52727_1_10_20240629-libre.pdf?1721913152=&amp;response-content-disposition=inline%3B+filename%3DPlay_Based_Learning_Conceptualization_Be.pdf&amp;Expires=1739500335&amp;Signature=ZdXyxxI7drB11-qMoW8LABq1Hm4BYViAeLB5LZ0MlXK7YRKyjxP~Shl5y1kmqpSMzocuUMgqvXdcVJ99J1PLTLH2SPhDmChWL8ZSE2OVNJy33q2fLZ1qJwNK~ECHlNpcIKlXiXhoHcJ94M8~3IkQ6eCCnXZUtgkooTaqpDWDYksgwkdIyYR8vfumy7ekznAVYXWTu2VfztoGbkJNDgvdKNJXcB41oZgD3u84-Af1hWuYBqLfufeHmZsL6kVY8F0OKblgKZLNs6iyydz4Yi3bYUl-DyFylZbpRfZT5qN-aVBMU98LamiR~v0gvOvzfRV07-zXSMKOx9CL0EUXCzeY3Q__&amp;Key-Pair-Id=APKAJLOHF5GGSLRBV4ZA</w:t>
        </w:r>
      </w:hyperlink>
    </w:p>
    <w:p w14:paraId="5AA45E79"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Hakkarainen, P. </w:t>
      </w:r>
      <w:r w:rsidRPr="00DF29BC">
        <w:rPr>
          <w:rFonts w:ascii="Arial" w:hAnsi="Arial" w:cs="Arial"/>
          <w:i/>
          <w:iCs/>
          <w:sz w:val="24"/>
          <w:szCs w:val="24"/>
        </w:rPr>
        <w:t>et al.</w:t>
      </w:r>
      <w:r w:rsidRPr="00DF29BC">
        <w:rPr>
          <w:rFonts w:ascii="Arial" w:hAnsi="Arial" w:cs="Arial"/>
          <w:sz w:val="24"/>
          <w:szCs w:val="24"/>
        </w:rPr>
        <w:t> (2013) ‘Adult play guidance and children’s play development in a narrative play-world’, </w:t>
      </w:r>
      <w:r w:rsidRPr="00DF29BC">
        <w:rPr>
          <w:rFonts w:ascii="Arial" w:hAnsi="Arial" w:cs="Arial"/>
          <w:i/>
          <w:iCs/>
          <w:sz w:val="24"/>
          <w:szCs w:val="24"/>
        </w:rPr>
        <w:t>European Early Childhood Education Research Journal</w:t>
      </w:r>
      <w:r w:rsidRPr="00DF29BC">
        <w:rPr>
          <w:rFonts w:ascii="Arial" w:hAnsi="Arial" w:cs="Arial"/>
          <w:sz w:val="24"/>
          <w:szCs w:val="24"/>
        </w:rPr>
        <w:t xml:space="preserve">, 21(2), pp. 213–225. Available at: </w:t>
      </w:r>
      <w:hyperlink r:id="rId17" w:anchor="d1e321" w:history="1">
        <w:r w:rsidRPr="00DF29BC">
          <w:rPr>
            <w:rStyle w:val="Hyperlink"/>
            <w:rFonts w:ascii="Arial" w:hAnsi="Arial" w:cs="Arial"/>
            <w:sz w:val="24"/>
            <w:szCs w:val="24"/>
          </w:rPr>
          <w:t>https://www.tandfonline.com/doi/full/10.1080/1350293X.2013.789189#d1e321</w:t>
        </w:r>
      </w:hyperlink>
    </w:p>
    <w:p w14:paraId="6EC91CEC"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Hendy, L. and Toon, L. (2001) </w:t>
      </w:r>
      <w:r w:rsidRPr="00DF29BC">
        <w:rPr>
          <w:rFonts w:ascii="Arial" w:hAnsi="Arial" w:cs="Arial"/>
          <w:i/>
          <w:iCs/>
          <w:sz w:val="24"/>
          <w:szCs w:val="24"/>
        </w:rPr>
        <w:t>Supporting drama and Imaginative play in the early years.</w:t>
      </w:r>
      <w:r w:rsidRPr="00DF29BC">
        <w:rPr>
          <w:rFonts w:ascii="Arial" w:hAnsi="Arial" w:cs="Arial"/>
          <w:sz w:val="24"/>
          <w:szCs w:val="24"/>
        </w:rPr>
        <w:t xml:space="preserve"> Buckingham: Open University Press.</w:t>
      </w:r>
    </w:p>
    <w:p w14:paraId="34678930" w14:textId="77777777" w:rsidR="000973BB" w:rsidRPr="00DF29BC" w:rsidRDefault="000973BB" w:rsidP="00AB2277">
      <w:pPr>
        <w:spacing w:line="360" w:lineRule="auto"/>
        <w:rPr>
          <w:rFonts w:ascii="Arial" w:hAnsi="Arial" w:cs="Arial"/>
          <w:sz w:val="24"/>
          <w:szCs w:val="24"/>
        </w:rPr>
      </w:pPr>
      <w:r w:rsidRPr="00DF29BC">
        <w:rPr>
          <w:rFonts w:ascii="Arial" w:hAnsi="Arial" w:cs="Arial"/>
          <w:sz w:val="24"/>
          <w:szCs w:val="24"/>
        </w:rPr>
        <w:t xml:space="preserve">Howard, J. (2020) </w:t>
      </w:r>
      <w:r w:rsidRPr="00DF29BC">
        <w:rPr>
          <w:rFonts w:ascii="Arial" w:hAnsi="Arial" w:cs="Arial"/>
          <w:i/>
          <w:iCs/>
          <w:sz w:val="24"/>
          <w:szCs w:val="24"/>
        </w:rPr>
        <w:t>The power of play</w:t>
      </w:r>
      <w:r w:rsidRPr="00DF29BC">
        <w:rPr>
          <w:rFonts w:ascii="Arial" w:hAnsi="Arial" w:cs="Arial"/>
          <w:sz w:val="24"/>
          <w:szCs w:val="24"/>
        </w:rPr>
        <w:t xml:space="preserve">. London: The lancet. </w:t>
      </w:r>
    </w:p>
    <w:p w14:paraId="0306CF3B"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lastRenderedPageBreak/>
        <w:t xml:space="preserve">Hutt, J. (2002) </w:t>
      </w:r>
      <w:r w:rsidRPr="00DF29BC">
        <w:rPr>
          <w:rFonts w:ascii="Arial" w:hAnsi="Arial" w:cs="Arial"/>
          <w:i/>
          <w:iCs/>
          <w:sz w:val="24"/>
          <w:szCs w:val="24"/>
        </w:rPr>
        <w:t xml:space="preserve">Welsh Assembly Government Play policy. </w:t>
      </w:r>
      <w:r w:rsidRPr="00DF29BC">
        <w:rPr>
          <w:rFonts w:ascii="Arial" w:hAnsi="Arial" w:cs="Arial"/>
          <w:sz w:val="24"/>
          <w:szCs w:val="24"/>
        </w:rPr>
        <w:t xml:space="preserve">Available at: </w:t>
      </w:r>
      <w:hyperlink r:id="rId18" w:history="1">
        <w:r w:rsidRPr="00DF29BC">
          <w:rPr>
            <w:rStyle w:val="Hyperlink"/>
            <w:rFonts w:ascii="Arial" w:hAnsi="Arial" w:cs="Arial"/>
            <w:sz w:val="24"/>
            <w:szCs w:val="24"/>
          </w:rPr>
          <w:t>https://play.wales/wp-content/uploads/2023/03/Play-Policy.pdf</w:t>
        </w:r>
      </w:hyperlink>
      <w:r w:rsidRPr="00DF29BC">
        <w:rPr>
          <w:rFonts w:ascii="Arial" w:hAnsi="Arial" w:cs="Arial"/>
          <w:sz w:val="24"/>
          <w:szCs w:val="24"/>
        </w:rPr>
        <w:t xml:space="preserve"> </w:t>
      </w:r>
    </w:p>
    <w:p w14:paraId="3748C747"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James, M. E. </w:t>
      </w:r>
      <w:proofErr w:type="spellStart"/>
      <w:r w:rsidRPr="00DF29BC">
        <w:rPr>
          <w:rFonts w:ascii="Arial" w:hAnsi="Arial" w:cs="Arial"/>
          <w:sz w:val="24"/>
          <w:szCs w:val="24"/>
        </w:rPr>
        <w:t>Jianopoulos</w:t>
      </w:r>
      <w:proofErr w:type="spellEnd"/>
      <w:r w:rsidRPr="00DF29BC">
        <w:rPr>
          <w:rFonts w:ascii="Arial" w:hAnsi="Arial" w:cs="Arial"/>
          <w:sz w:val="24"/>
          <w:szCs w:val="24"/>
        </w:rPr>
        <w:t xml:space="preserve">, E. Ross, T. </w:t>
      </w:r>
      <w:proofErr w:type="spellStart"/>
      <w:r w:rsidRPr="00DF29BC">
        <w:rPr>
          <w:rFonts w:ascii="Arial" w:hAnsi="Arial" w:cs="Arial"/>
          <w:sz w:val="24"/>
          <w:szCs w:val="24"/>
        </w:rPr>
        <w:t>Buliung</w:t>
      </w:r>
      <w:proofErr w:type="spellEnd"/>
      <w:r w:rsidRPr="00DF29BC">
        <w:rPr>
          <w:rFonts w:ascii="Arial" w:hAnsi="Arial" w:cs="Arial"/>
          <w:sz w:val="24"/>
          <w:szCs w:val="24"/>
        </w:rPr>
        <w:t>, R., and Arbour-</w:t>
      </w:r>
      <w:proofErr w:type="spellStart"/>
      <w:r w:rsidRPr="00DF29BC">
        <w:rPr>
          <w:rFonts w:ascii="Arial" w:hAnsi="Arial" w:cs="Arial"/>
          <w:sz w:val="24"/>
          <w:szCs w:val="24"/>
        </w:rPr>
        <w:t>Nicitopoulos</w:t>
      </w:r>
      <w:proofErr w:type="spellEnd"/>
      <w:r w:rsidRPr="00DF29BC">
        <w:rPr>
          <w:rFonts w:ascii="Arial" w:hAnsi="Arial" w:cs="Arial"/>
          <w:sz w:val="24"/>
          <w:szCs w:val="24"/>
        </w:rPr>
        <w:t>, KP. (2022) ‘Children’s Usage of Inclusive Playgrounds: A Naturalistic Observation Study of Play.’ </w:t>
      </w:r>
      <w:r w:rsidRPr="00DF29BC">
        <w:rPr>
          <w:rFonts w:ascii="Arial" w:hAnsi="Arial" w:cs="Arial"/>
          <w:i/>
          <w:iCs/>
          <w:sz w:val="24"/>
          <w:szCs w:val="24"/>
        </w:rPr>
        <w:t xml:space="preserve">International Journal of Environmental Research and Public Health, </w:t>
      </w:r>
      <w:r w:rsidRPr="00DF29BC">
        <w:rPr>
          <w:rFonts w:ascii="Arial" w:hAnsi="Arial" w:cs="Arial"/>
          <w:sz w:val="24"/>
          <w:szCs w:val="24"/>
        </w:rPr>
        <w:t xml:space="preserve">19(20), 13648. Available at: </w:t>
      </w:r>
      <w:hyperlink r:id="rId19" w:history="1">
        <w:r w:rsidRPr="00DF29BC">
          <w:rPr>
            <w:rStyle w:val="Hyperlink"/>
            <w:rFonts w:ascii="Arial" w:hAnsi="Arial" w:cs="Arial"/>
            <w:sz w:val="24"/>
            <w:szCs w:val="24"/>
          </w:rPr>
          <w:t>https://www.mdpi.com/1660-4601/19/20/13648</w:t>
        </w:r>
      </w:hyperlink>
    </w:p>
    <w:p w14:paraId="7E11B526"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Kenneth, R. and Ginsburg, MD. (2007) ‘</w:t>
      </w:r>
      <w:r w:rsidRPr="00DF29BC">
        <w:rPr>
          <w:rFonts w:ascii="Arial" w:hAnsi="Arial" w:cs="Arial"/>
          <w:i/>
          <w:iCs/>
          <w:sz w:val="24"/>
          <w:szCs w:val="24"/>
        </w:rPr>
        <w:t xml:space="preserve">The importance of play in promoting a healthy child Developing and maintaining strong parent-child Bonds’ </w:t>
      </w:r>
      <w:r w:rsidRPr="00DF29BC">
        <w:rPr>
          <w:rFonts w:ascii="Arial" w:hAnsi="Arial" w:cs="Arial"/>
          <w:sz w:val="24"/>
          <w:szCs w:val="24"/>
        </w:rPr>
        <w:t xml:space="preserve">American academy of paediatrics, 119 (January) article 70699. Available at: </w:t>
      </w:r>
      <w:hyperlink r:id="rId20" w:history="1">
        <w:r w:rsidRPr="00DF29BC">
          <w:rPr>
            <w:rStyle w:val="Hyperlink"/>
            <w:rFonts w:ascii="Arial" w:hAnsi="Arial" w:cs="Arial"/>
            <w:sz w:val="24"/>
            <w:szCs w:val="24"/>
          </w:rPr>
          <w:t>https://publications.aap.org/pediatrics/article/119/1/182/70699/The-Importance-of-Play-in-Promoting-Healthy-Child?autologincheck=redirected?nfToken=00000000-0000-0000-0000-000000000000</w:t>
        </w:r>
      </w:hyperlink>
      <w:r w:rsidRPr="00DF29BC">
        <w:rPr>
          <w:rFonts w:ascii="Arial" w:hAnsi="Arial" w:cs="Arial"/>
          <w:sz w:val="24"/>
          <w:szCs w:val="24"/>
        </w:rPr>
        <w:t xml:space="preserve">. </w:t>
      </w:r>
    </w:p>
    <w:p w14:paraId="085F7928" w14:textId="77777777" w:rsidR="000973BB" w:rsidRPr="00DF29BC" w:rsidRDefault="000973BB" w:rsidP="00BA44EA">
      <w:pPr>
        <w:spacing w:line="360" w:lineRule="auto"/>
        <w:rPr>
          <w:rFonts w:ascii="Arial" w:hAnsi="Arial" w:cs="Arial"/>
          <w:i/>
          <w:iCs/>
          <w:sz w:val="24"/>
          <w:szCs w:val="24"/>
        </w:rPr>
      </w:pPr>
      <w:r w:rsidRPr="00DF29BC">
        <w:rPr>
          <w:rFonts w:ascii="Arial" w:hAnsi="Arial" w:cs="Arial"/>
          <w:sz w:val="24"/>
          <w:szCs w:val="24"/>
        </w:rPr>
        <w:t xml:space="preserve">King, P. and Sturrock, G. (2020) </w:t>
      </w:r>
      <w:r w:rsidRPr="00DF29BC">
        <w:rPr>
          <w:rFonts w:ascii="Arial" w:hAnsi="Arial" w:cs="Arial"/>
          <w:i/>
          <w:iCs/>
          <w:sz w:val="24"/>
          <w:szCs w:val="24"/>
        </w:rPr>
        <w:t xml:space="preserve">The play cycle. New York: advances in play work research. </w:t>
      </w:r>
    </w:p>
    <w:p w14:paraId="51B79ADE"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Lindsay, S. Hounsell, K, G. and Cassiani C. (2017) ‘</w:t>
      </w:r>
      <w:r w:rsidRPr="00DF29BC">
        <w:rPr>
          <w:rFonts w:ascii="Arial" w:hAnsi="Arial" w:cs="Arial"/>
          <w:i/>
          <w:iCs/>
          <w:sz w:val="24"/>
          <w:szCs w:val="24"/>
        </w:rPr>
        <w:t xml:space="preserve">A scoping review of Lego therapy for improving inclusion and social skills among children and youth with autism’ </w:t>
      </w:r>
      <w:r w:rsidRPr="00DF29BC">
        <w:rPr>
          <w:rFonts w:ascii="Arial" w:hAnsi="Arial" w:cs="Arial"/>
          <w:sz w:val="24"/>
          <w:szCs w:val="24"/>
        </w:rPr>
        <w:t xml:space="preserve">Disability and health journal, 10 (April) article … Available at: </w:t>
      </w:r>
      <w:hyperlink r:id="rId21" w:history="1">
        <w:r w:rsidRPr="00DF29BC">
          <w:rPr>
            <w:rStyle w:val="Hyperlink"/>
            <w:rFonts w:ascii="Arial" w:hAnsi="Arial" w:cs="Arial"/>
            <w:sz w:val="24"/>
            <w:szCs w:val="24"/>
          </w:rPr>
          <w:t>https://www.sciencedirect.com/science/article/abs/pii/S1936657416301728?casa_token=jOdscz4JdBYAAAAA:-J53XdWi4Kj8cfXPVwz2MYYDHWdK9ml_EixACGipU7eqStJhJIqiIScROMOfQjITUrvezBfG</w:t>
        </w:r>
      </w:hyperlink>
    </w:p>
    <w:p w14:paraId="0BBD1E5A" w14:textId="77777777" w:rsidR="000973BB" w:rsidRPr="00DF29BC" w:rsidRDefault="000973BB" w:rsidP="00BA44EA">
      <w:pPr>
        <w:spacing w:line="360" w:lineRule="auto"/>
        <w:rPr>
          <w:rFonts w:ascii="Arial" w:hAnsi="Arial" w:cs="Arial"/>
          <w:sz w:val="24"/>
          <w:szCs w:val="24"/>
        </w:rPr>
      </w:pPr>
      <w:proofErr w:type="spellStart"/>
      <w:r w:rsidRPr="00DF29BC">
        <w:rPr>
          <w:rFonts w:ascii="Arial" w:hAnsi="Arial" w:cs="Arial"/>
          <w:sz w:val="24"/>
          <w:szCs w:val="24"/>
        </w:rPr>
        <w:t>MacRae</w:t>
      </w:r>
      <w:proofErr w:type="spellEnd"/>
      <w:r w:rsidRPr="00DF29BC">
        <w:rPr>
          <w:rFonts w:ascii="Arial" w:hAnsi="Arial" w:cs="Arial"/>
          <w:sz w:val="24"/>
          <w:szCs w:val="24"/>
        </w:rPr>
        <w:t>, C. and Jones, L. (2020) ‘A philosophical reflection on the “Leuven Scale” and young children’s expressions of involvement’, </w:t>
      </w:r>
      <w:r w:rsidRPr="00DF29BC">
        <w:rPr>
          <w:rFonts w:ascii="Arial" w:hAnsi="Arial" w:cs="Arial"/>
          <w:i/>
          <w:iCs/>
          <w:sz w:val="24"/>
          <w:szCs w:val="24"/>
        </w:rPr>
        <w:t>International Journal of Qualitative Studies in Education</w:t>
      </w:r>
      <w:r w:rsidRPr="00DF29BC">
        <w:rPr>
          <w:rFonts w:ascii="Arial" w:hAnsi="Arial" w:cs="Arial"/>
          <w:sz w:val="24"/>
          <w:szCs w:val="24"/>
        </w:rPr>
        <w:t xml:space="preserve">, 36(2), pp. 234–246. Available at: </w:t>
      </w:r>
      <w:hyperlink r:id="rId22" w:anchor="abstract" w:history="1">
        <w:r w:rsidRPr="00DF29BC">
          <w:rPr>
            <w:rStyle w:val="Hyperlink"/>
            <w:rFonts w:ascii="Arial" w:hAnsi="Arial" w:cs="Arial"/>
            <w:sz w:val="24"/>
            <w:szCs w:val="24"/>
          </w:rPr>
          <w:t>https://www.tandfonline.com/doi/full/10.1080/09518398.2020.1828650#abstract</w:t>
        </w:r>
      </w:hyperlink>
    </w:p>
    <w:p w14:paraId="71422527"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Mitchell, J.C. (2023) ‘A playcentre learning story: </w:t>
      </w:r>
      <w:proofErr w:type="spellStart"/>
      <w:r w:rsidRPr="00DF29BC">
        <w:rPr>
          <w:rFonts w:ascii="Arial" w:hAnsi="Arial" w:cs="Arial"/>
          <w:sz w:val="24"/>
          <w:szCs w:val="24"/>
        </w:rPr>
        <w:t>Te</w:t>
      </w:r>
      <w:proofErr w:type="spellEnd"/>
      <w:r w:rsidRPr="00DF29BC">
        <w:rPr>
          <w:rFonts w:ascii="Arial" w:hAnsi="Arial" w:cs="Arial"/>
          <w:sz w:val="24"/>
          <w:szCs w:val="24"/>
        </w:rPr>
        <w:t xml:space="preserve"> </w:t>
      </w:r>
      <w:proofErr w:type="spellStart"/>
      <w:r w:rsidRPr="00DF29BC">
        <w:rPr>
          <w:rFonts w:ascii="Arial" w:hAnsi="Arial" w:cs="Arial"/>
          <w:sz w:val="24"/>
          <w:szCs w:val="24"/>
        </w:rPr>
        <w:t>Whariki</w:t>
      </w:r>
      <w:proofErr w:type="spellEnd"/>
      <w:r w:rsidRPr="00DF29BC">
        <w:rPr>
          <w:rFonts w:ascii="Arial" w:hAnsi="Arial" w:cs="Arial"/>
          <w:sz w:val="24"/>
          <w:szCs w:val="24"/>
        </w:rPr>
        <w:t xml:space="preserve"> as a framework for reflecting on emergent leadership’ </w:t>
      </w:r>
      <w:r w:rsidRPr="00DF29BC">
        <w:rPr>
          <w:rFonts w:ascii="Arial" w:hAnsi="Arial" w:cs="Arial"/>
          <w:i/>
          <w:iCs/>
          <w:sz w:val="24"/>
          <w:szCs w:val="24"/>
        </w:rPr>
        <w:t>Journal of leadership, policy and practice</w:t>
      </w:r>
      <w:r w:rsidRPr="00DF29BC">
        <w:rPr>
          <w:rFonts w:ascii="Arial" w:hAnsi="Arial" w:cs="Arial"/>
          <w:sz w:val="24"/>
          <w:szCs w:val="24"/>
        </w:rPr>
        <w:t xml:space="preserve">, 37, pp. 93. Available at: </w:t>
      </w:r>
      <w:hyperlink r:id="rId23" w:history="1">
        <w:r w:rsidRPr="00DF29BC">
          <w:rPr>
            <w:rStyle w:val="Hyperlink"/>
            <w:rFonts w:ascii="Arial" w:hAnsi="Arial" w:cs="Arial"/>
            <w:sz w:val="24"/>
            <w:szCs w:val="24"/>
          </w:rPr>
          <w:t>https://sciendo.com/article/10.2478/jelpp-2023-0006</w:t>
        </w:r>
      </w:hyperlink>
    </w:p>
    <w:p w14:paraId="11984DCB"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Play </w:t>
      </w:r>
      <w:r w:rsidRPr="00DF29BC">
        <w:rPr>
          <w:rFonts w:ascii="Arial" w:hAnsi="Arial" w:cs="Arial"/>
          <w:i/>
          <w:iCs/>
          <w:sz w:val="24"/>
          <w:szCs w:val="24"/>
        </w:rPr>
        <w:t>(Wales) 2022</w:t>
      </w:r>
      <w:r w:rsidRPr="00DF29BC">
        <w:rPr>
          <w:rFonts w:ascii="Arial" w:hAnsi="Arial" w:cs="Arial"/>
          <w:sz w:val="24"/>
          <w:szCs w:val="24"/>
        </w:rPr>
        <w:t xml:space="preserve">. 'Current Play Policy in Wales'. Available at: </w:t>
      </w:r>
      <w:hyperlink r:id="rId24" w:history="1">
        <w:r w:rsidRPr="00DF29BC">
          <w:rPr>
            <w:rStyle w:val="Hyperlink"/>
            <w:rFonts w:ascii="Arial" w:hAnsi="Arial" w:cs="Arial"/>
            <w:sz w:val="24"/>
            <w:szCs w:val="24"/>
          </w:rPr>
          <w:t>https://play.wales/wp-content/uploads/2023/03/Play-Policy.pdf</w:t>
        </w:r>
      </w:hyperlink>
      <w:r w:rsidRPr="00DF29BC">
        <w:rPr>
          <w:rFonts w:ascii="Arial" w:hAnsi="Arial" w:cs="Arial"/>
          <w:sz w:val="24"/>
          <w:szCs w:val="24"/>
        </w:rPr>
        <w:t xml:space="preserve"> (Accessed: 31 January 2025).</w:t>
      </w:r>
    </w:p>
    <w:p w14:paraId="1AED2BB5" w14:textId="77777777" w:rsidR="000973BB" w:rsidRPr="00DF29BC" w:rsidRDefault="000973BB" w:rsidP="00AB2277">
      <w:pPr>
        <w:spacing w:line="360" w:lineRule="auto"/>
        <w:rPr>
          <w:rFonts w:ascii="Arial" w:hAnsi="Arial" w:cs="Arial"/>
          <w:sz w:val="24"/>
          <w:szCs w:val="24"/>
        </w:rPr>
      </w:pPr>
      <w:r w:rsidRPr="00DF29BC">
        <w:rPr>
          <w:rFonts w:ascii="Arial" w:hAnsi="Arial" w:cs="Arial"/>
          <w:sz w:val="24"/>
          <w:szCs w:val="24"/>
        </w:rPr>
        <w:lastRenderedPageBreak/>
        <w:t>Reference list:</w:t>
      </w:r>
    </w:p>
    <w:p w14:paraId="17B272C2" w14:textId="77777777" w:rsidR="000973BB" w:rsidRDefault="000973BB" w:rsidP="00BA44EA">
      <w:pPr>
        <w:spacing w:line="360" w:lineRule="auto"/>
        <w:rPr>
          <w:rFonts w:ascii="Arial" w:hAnsi="Arial" w:cs="Arial"/>
          <w:sz w:val="24"/>
          <w:szCs w:val="24"/>
        </w:rPr>
      </w:pPr>
      <w:r>
        <w:rPr>
          <w:rFonts w:ascii="Arial" w:hAnsi="Arial" w:cs="Arial"/>
          <w:sz w:val="24"/>
          <w:szCs w:val="24"/>
        </w:rPr>
        <w:t xml:space="preserve">Reifel, S. (2011) ‘Observation and early childhood teaching’ </w:t>
      </w:r>
      <w:r>
        <w:rPr>
          <w:rFonts w:ascii="Arial" w:hAnsi="Arial" w:cs="Arial"/>
          <w:i/>
          <w:iCs/>
          <w:sz w:val="24"/>
          <w:szCs w:val="24"/>
        </w:rPr>
        <w:t>YC: Young Children</w:t>
      </w:r>
      <w:r>
        <w:rPr>
          <w:rFonts w:ascii="Arial" w:hAnsi="Arial" w:cs="Arial"/>
          <w:sz w:val="24"/>
          <w:szCs w:val="24"/>
        </w:rPr>
        <w:t xml:space="preserve">, 66(2), p. 2. Available at: </w:t>
      </w:r>
      <w:hyperlink r:id="rId25" w:history="1">
        <w:r w:rsidRPr="00777B3E">
          <w:rPr>
            <w:rStyle w:val="Hyperlink"/>
            <w:rFonts w:ascii="Arial" w:hAnsi="Arial" w:cs="Arial"/>
            <w:sz w:val="24"/>
            <w:szCs w:val="24"/>
          </w:rPr>
          <w:t>https://openlab.bmcc.cuny.edu/ece-110-lecture/wp-content/uploads/sites/98/2019/11/Reifel-2011.pdf</w:t>
        </w:r>
      </w:hyperlink>
    </w:p>
    <w:p w14:paraId="33E93234"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Rogers, S. and Evans, J. (2007) ‘</w:t>
      </w:r>
      <w:r w:rsidRPr="00DF29BC">
        <w:rPr>
          <w:rFonts w:ascii="Arial" w:hAnsi="Arial" w:cs="Arial"/>
          <w:i/>
          <w:iCs/>
          <w:sz w:val="24"/>
          <w:szCs w:val="24"/>
        </w:rPr>
        <w:t xml:space="preserve">Rethinking role play in the Reception </w:t>
      </w:r>
      <w:proofErr w:type="spellStart"/>
      <w:r w:rsidRPr="00DF29BC">
        <w:rPr>
          <w:rFonts w:ascii="Arial" w:hAnsi="Arial" w:cs="Arial"/>
          <w:i/>
          <w:iCs/>
          <w:sz w:val="24"/>
          <w:szCs w:val="24"/>
        </w:rPr>
        <w:t>class</w:t>
      </w:r>
      <w:r w:rsidRPr="00DF29BC">
        <w:rPr>
          <w:rFonts w:ascii="Arial" w:hAnsi="Arial" w:cs="Arial"/>
          <w:sz w:val="24"/>
          <w:szCs w:val="24"/>
        </w:rPr>
        <w:t>’</w:t>
      </w:r>
      <w:proofErr w:type="spellEnd"/>
      <w:r w:rsidRPr="00DF29BC">
        <w:rPr>
          <w:rFonts w:ascii="Arial" w:hAnsi="Arial" w:cs="Arial"/>
          <w:sz w:val="24"/>
          <w:szCs w:val="24"/>
        </w:rPr>
        <w:t xml:space="preserve">  Educational Research, 49 (June) </w:t>
      </w:r>
      <w:r>
        <w:rPr>
          <w:rFonts w:ascii="Arial" w:hAnsi="Arial" w:cs="Arial"/>
          <w:sz w:val="24"/>
          <w:szCs w:val="24"/>
        </w:rPr>
        <w:t>pp.</w:t>
      </w:r>
      <w:r w:rsidRPr="00DF29BC">
        <w:rPr>
          <w:rFonts w:ascii="Arial" w:hAnsi="Arial" w:cs="Arial"/>
          <w:color w:val="FF0000"/>
          <w:sz w:val="24"/>
          <w:szCs w:val="24"/>
        </w:rPr>
        <w:t xml:space="preserve"> </w:t>
      </w:r>
      <w:r w:rsidRPr="000E161D">
        <w:rPr>
          <w:rFonts w:ascii="Arial" w:hAnsi="Arial" w:cs="Arial"/>
          <w:color w:val="000000" w:themeColor="text1"/>
          <w:sz w:val="24"/>
          <w:szCs w:val="24"/>
        </w:rPr>
        <w:t xml:space="preserve">153-167 </w:t>
      </w:r>
      <w:r w:rsidRPr="00DF29BC">
        <w:rPr>
          <w:rFonts w:ascii="Arial" w:hAnsi="Arial" w:cs="Arial"/>
          <w:sz w:val="24"/>
          <w:szCs w:val="24"/>
        </w:rPr>
        <w:t xml:space="preserve">Available at: </w:t>
      </w:r>
      <w:hyperlink r:id="rId26" w:history="1">
        <w:r w:rsidRPr="00DF29BC">
          <w:rPr>
            <w:rStyle w:val="Hyperlink"/>
            <w:rFonts w:ascii="Arial" w:hAnsi="Arial" w:cs="Arial"/>
            <w:sz w:val="24"/>
            <w:szCs w:val="24"/>
          </w:rPr>
          <w:t>https://www.tandfonline.com/doi/epdf/10.1080/00131880701369677?needAccess=true</w:t>
        </w:r>
      </w:hyperlink>
    </w:p>
    <w:p w14:paraId="1437B170"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Smidt, S. (2015) </w:t>
      </w:r>
      <w:r w:rsidRPr="00DF29BC">
        <w:rPr>
          <w:rFonts w:ascii="Arial" w:hAnsi="Arial" w:cs="Arial"/>
          <w:i/>
          <w:iCs/>
          <w:sz w:val="24"/>
          <w:szCs w:val="24"/>
        </w:rPr>
        <w:t xml:space="preserve">observing young children: The role of observation and assessment in early years childhood settings. </w:t>
      </w:r>
      <w:r w:rsidRPr="00DF29BC">
        <w:rPr>
          <w:rFonts w:ascii="Arial" w:hAnsi="Arial" w:cs="Arial"/>
          <w:sz w:val="24"/>
          <w:szCs w:val="24"/>
        </w:rPr>
        <w:t>2</w:t>
      </w:r>
      <w:r w:rsidRPr="00DF29BC">
        <w:rPr>
          <w:rFonts w:ascii="Arial" w:hAnsi="Arial" w:cs="Arial"/>
          <w:sz w:val="24"/>
          <w:szCs w:val="24"/>
          <w:vertAlign w:val="superscript"/>
        </w:rPr>
        <w:t>nd</w:t>
      </w:r>
      <w:r w:rsidRPr="00DF29BC">
        <w:rPr>
          <w:rFonts w:ascii="Arial" w:hAnsi="Arial" w:cs="Arial"/>
          <w:sz w:val="24"/>
          <w:szCs w:val="24"/>
        </w:rPr>
        <w:t xml:space="preserve"> </w:t>
      </w:r>
      <w:proofErr w:type="spellStart"/>
      <w:r w:rsidRPr="00DF29BC">
        <w:rPr>
          <w:rFonts w:ascii="Arial" w:hAnsi="Arial" w:cs="Arial"/>
          <w:sz w:val="24"/>
          <w:szCs w:val="24"/>
        </w:rPr>
        <w:t>Edn</w:t>
      </w:r>
      <w:proofErr w:type="spellEnd"/>
      <w:r w:rsidRPr="00DF29BC">
        <w:rPr>
          <w:rFonts w:ascii="Arial" w:hAnsi="Arial" w:cs="Arial"/>
          <w:sz w:val="24"/>
          <w:szCs w:val="24"/>
        </w:rPr>
        <w:t xml:space="preserve">. London: Routledge. </w:t>
      </w:r>
    </w:p>
    <w:p w14:paraId="379EC02C"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Taras, M. (2008) ‘summative and formative assessment’, </w:t>
      </w:r>
      <w:r w:rsidRPr="00DF29BC">
        <w:rPr>
          <w:rFonts w:ascii="Arial" w:hAnsi="Arial" w:cs="Arial"/>
          <w:i/>
          <w:iCs/>
          <w:sz w:val="24"/>
          <w:szCs w:val="24"/>
        </w:rPr>
        <w:t>University of Sunderland, UK</w:t>
      </w:r>
      <w:r w:rsidRPr="00DF29BC">
        <w:rPr>
          <w:rFonts w:ascii="Arial" w:hAnsi="Arial" w:cs="Arial"/>
          <w:sz w:val="24"/>
          <w:szCs w:val="24"/>
        </w:rPr>
        <w:t xml:space="preserve">, 9(2), pp. 172-192. Available at: </w:t>
      </w:r>
      <w:hyperlink r:id="rId27" w:history="1">
        <w:r w:rsidRPr="00DF29BC">
          <w:rPr>
            <w:rStyle w:val="Hyperlink"/>
            <w:rFonts w:ascii="Arial" w:hAnsi="Arial" w:cs="Arial"/>
            <w:sz w:val="24"/>
            <w:szCs w:val="24"/>
          </w:rPr>
          <w:t>https://journals.sagepub.com/doi/epdf/10.1177/1469787408091655</w:t>
        </w:r>
      </w:hyperlink>
    </w:p>
    <w:p w14:paraId="603F3172" w14:textId="77777777" w:rsidR="000973BB" w:rsidRPr="00DF29BC" w:rsidRDefault="000973BB" w:rsidP="00BA44EA">
      <w:pPr>
        <w:spacing w:line="360" w:lineRule="auto"/>
        <w:rPr>
          <w:rFonts w:ascii="Arial" w:hAnsi="Arial" w:cs="Arial"/>
          <w:sz w:val="24"/>
          <w:szCs w:val="24"/>
        </w:rPr>
      </w:pPr>
      <w:r w:rsidRPr="00DF29BC">
        <w:rPr>
          <w:rFonts w:ascii="Arial" w:hAnsi="Arial" w:cs="Arial"/>
          <w:sz w:val="24"/>
          <w:szCs w:val="24"/>
        </w:rPr>
        <w:t xml:space="preserve">Waters, D.J. (2022) </w:t>
      </w:r>
      <w:r w:rsidRPr="00DF29BC">
        <w:rPr>
          <w:rFonts w:ascii="Arial" w:hAnsi="Arial" w:cs="Arial"/>
          <w:i/>
          <w:iCs/>
          <w:sz w:val="24"/>
          <w:szCs w:val="24"/>
        </w:rPr>
        <w:t>Introduction to play</w:t>
      </w:r>
      <w:r w:rsidRPr="00DF29BC">
        <w:rPr>
          <w:rFonts w:ascii="Arial" w:hAnsi="Arial" w:cs="Arial"/>
          <w:sz w:val="24"/>
          <w:szCs w:val="24"/>
        </w:rPr>
        <w:t>. Ireland: Sage Publications Limited.</w:t>
      </w:r>
    </w:p>
    <w:p w14:paraId="7358DDF8" w14:textId="77777777" w:rsidR="000973BB" w:rsidRDefault="000973BB" w:rsidP="00BA44EA">
      <w:pPr>
        <w:spacing w:line="360" w:lineRule="auto"/>
        <w:rPr>
          <w:rFonts w:ascii="Arial" w:hAnsi="Arial" w:cs="Arial"/>
          <w:sz w:val="24"/>
          <w:szCs w:val="24"/>
        </w:rPr>
      </w:pPr>
      <w:r w:rsidRPr="00DF29BC">
        <w:rPr>
          <w:rFonts w:ascii="Arial" w:hAnsi="Arial" w:cs="Arial"/>
          <w:sz w:val="24"/>
          <w:szCs w:val="24"/>
        </w:rPr>
        <w:t xml:space="preserve">Woods, A. (2016) </w:t>
      </w:r>
      <w:r w:rsidRPr="00DF29BC">
        <w:rPr>
          <w:rFonts w:ascii="Arial" w:hAnsi="Arial" w:cs="Arial"/>
          <w:i/>
          <w:iCs/>
          <w:sz w:val="24"/>
          <w:szCs w:val="24"/>
        </w:rPr>
        <w:t xml:space="preserve">Examining levels of involvement in the early years. </w:t>
      </w:r>
      <w:r w:rsidRPr="00DF29BC">
        <w:rPr>
          <w:rFonts w:ascii="Arial" w:hAnsi="Arial" w:cs="Arial"/>
          <w:sz w:val="24"/>
          <w:szCs w:val="24"/>
        </w:rPr>
        <w:t xml:space="preserve">London: </w:t>
      </w:r>
      <w:r w:rsidRPr="00DF29BC">
        <w:rPr>
          <w:rFonts w:ascii="Arial" w:hAnsi="Arial" w:cs="Arial"/>
          <w:i/>
          <w:iCs/>
          <w:sz w:val="24"/>
          <w:szCs w:val="24"/>
        </w:rPr>
        <w:t xml:space="preserve"> </w:t>
      </w:r>
      <w:r w:rsidRPr="00DF29BC">
        <w:rPr>
          <w:rFonts w:ascii="Arial" w:hAnsi="Arial" w:cs="Arial"/>
          <w:sz w:val="24"/>
          <w:szCs w:val="24"/>
        </w:rPr>
        <w:t xml:space="preserve">Routledge. </w:t>
      </w:r>
    </w:p>
    <w:p w14:paraId="500C6BA4" w14:textId="77777777" w:rsidR="000973BB" w:rsidRPr="00767CC0" w:rsidRDefault="000973BB" w:rsidP="00BA44EA">
      <w:pPr>
        <w:spacing w:line="360" w:lineRule="auto"/>
        <w:rPr>
          <w:rFonts w:ascii="Arial" w:hAnsi="Arial" w:cs="Arial"/>
          <w:sz w:val="24"/>
          <w:szCs w:val="24"/>
        </w:rPr>
      </w:pPr>
    </w:p>
    <w:p w14:paraId="1EEBB4CA" w14:textId="77777777" w:rsidR="004326EE" w:rsidRDefault="004326EE" w:rsidP="00BA44EA">
      <w:pPr>
        <w:spacing w:line="360" w:lineRule="auto"/>
        <w:rPr>
          <w:rFonts w:ascii="Arial" w:hAnsi="Arial" w:cs="Arial"/>
          <w:sz w:val="24"/>
          <w:szCs w:val="24"/>
        </w:rPr>
      </w:pPr>
    </w:p>
    <w:p w14:paraId="13317C42" w14:textId="77777777" w:rsidR="00D83EBC" w:rsidRPr="00DA4F9F" w:rsidRDefault="00D83EBC" w:rsidP="00BA44EA">
      <w:pPr>
        <w:spacing w:line="360" w:lineRule="auto"/>
        <w:rPr>
          <w:rFonts w:ascii="Arial" w:hAnsi="Arial" w:cs="Arial"/>
          <w:sz w:val="24"/>
          <w:szCs w:val="24"/>
        </w:rPr>
      </w:pPr>
    </w:p>
    <w:p w14:paraId="76F9C9B3" w14:textId="77777777" w:rsidR="00E51304" w:rsidRPr="00E51304" w:rsidRDefault="00E51304" w:rsidP="00BA44EA">
      <w:pPr>
        <w:spacing w:line="360" w:lineRule="auto"/>
        <w:rPr>
          <w:rFonts w:ascii="Arial" w:hAnsi="Arial" w:cs="Arial"/>
          <w:sz w:val="24"/>
          <w:szCs w:val="24"/>
        </w:rPr>
      </w:pPr>
    </w:p>
    <w:p w14:paraId="2BED7A5F" w14:textId="77777777" w:rsidR="00F743BE" w:rsidRPr="00B0676E" w:rsidRDefault="00F743BE" w:rsidP="00BA44EA">
      <w:pPr>
        <w:spacing w:line="360" w:lineRule="auto"/>
        <w:rPr>
          <w:rFonts w:ascii="Arial" w:hAnsi="Arial" w:cs="Arial"/>
          <w:sz w:val="24"/>
          <w:szCs w:val="24"/>
        </w:rPr>
      </w:pPr>
    </w:p>
    <w:p w14:paraId="5F5A9B6D" w14:textId="360CE944" w:rsidR="008516F6" w:rsidRPr="008516F6" w:rsidRDefault="008516F6" w:rsidP="00BA44EA">
      <w:pPr>
        <w:spacing w:line="360" w:lineRule="auto"/>
      </w:pPr>
    </w:p>
    <w:p w14:paraId="600324C5" w14:textId="77777777" w:rsidR="006C63DA" w:rsidRPr="00311B03" w:rsidRDefault="006C63DA" w:rsidP="00BA44EA">
      <w:pPr>
        <w:spacing w:line="360" w:lineRule="auto"/>
        <w:rPr>
          <w:rFonts w:ascii="Arial" w:hAnsi="Arial" w:cs="Arial"/>
          <w:sz w:val="24"/>
          <w:szCs w:val="24"/>
        </w:rPr>
      </w:pPr>
    </w:p>
    <w:p w14:paraId="48E0BB5C" w14:textId="77777777" w:rsidR="006D22E6" w:rsidRPr="00B63C03" w:rsidRDefault="006D22E6" w:rsidP="00BA44EA">
      <w:pPr>
        <w:spacing w:line="360" w:lineRule="auto"/>
        <w:rPr>
          <w:rFonts w:ascii="Arial" w:hAnsi="Arial" w:cs="Arial"/>
          <w:sz w:val="24"/>
          <w:szCs w:val="24"/>
        </w:rPr>
      </w:pPr>
    </w:p>
    <w:p w14:paraId="4EFEC9FD" w14:textId="77777777" w:rsidR="00C5434E" w:rsidRPr="00C5434E" w:rsidRDefault="00C5434E" w:rsidP="00BA44EA">
      <w:pPr>
        <w:spacing w:line="360" w:lineRule="auto"/>
        <w:rPr>
          <w:rFonts w:ascii="Arial" w:hAnsi="Arial" w:cs="Arial"/>
          <w:sz w:val="24"/>
          <w:szCs w:val="24"/>
        </w:rPr>
      </w:pPr>
    </w:p>
    <w:p w14:paraId="28A46C93" w14:textId="51FF204B" w:rsidR="00AC1EBC" w:rsidRPr="00C34F6C" w:rsidRDefault="00D620EC" w:rsidP="00BA44EA">
      <w:pPr>
        <w:spacing w:line="360" w:lineRule="auto"/>
      </w:pPr>
      <w:r>
        <w:rPr>
          <w:rFonts w:ascii="Arial" w:hAnsi="Arial" w:cs="Arial"/>
          <w:i/>
          <w:iCs/>
          <w:sz w:val="24"/>
          <w:szCs w:val="24"/>
        </w:rPr>
        <w:t xml:space="preserve"> </w:t>
      </w:r>
    </w:p>
    <w:p w14:paraId="222DBDD2" w14:textId="77777777" w:rsidR="00BA44EA" w:rsidRPr="00BA44EA" w:rsidRDefault="00BA44EA" w:rsidP="00BA44EA">
      <w:pPr>
        <w:spacing w:line="360" w:lineRule="auto"/>
        <w:rPr>
          <w:rFonts w:ascii="Arial" w:hAnsi="Arial" w:cs="Arial"/>
          <w:sz w:val="24"/>
          <w:szCs w:val="24"/>
        </w:rPr>
      </w:pPr>
    </w:p>
    <w:p w14:paraId="3E2FA4D1" w14:textId="22A140D5" w:rsidR="000F4564" w:rsidRPr="00DE70B4" w:rsidRDefault="006B3A28" w:rsidP="00AB2277">
      <w:pPr>
        <w:spacing w:line="360" w:lineRule="auto"/>
        <w:rPr>
          <w:rFonts w:ascii="Arial" w:hAnsi="Arial" w:cs="Arial"/>
          <w:sz w:val="24"/>
          <w:szCs w:val="24"/>
        </w:rPr>
      </w:pPr>
      <w:r>
        <w:rPr>
          <w:rFonts w:ascii="Arial" w:hAnsi="Arial" w:cs="Arial"/>
          <w:sz w:val="24"/>
          <w:szCs w:val="24"/>
        </w:rPr>
        <w:lastRenderedPageBreak/>
        <w:t xml:space="preserve"> </w:t>
      </w:r>
    </w:p>
    <w:sectPr w:rsidR="000F4564" w:rsidRPr="00DE70B4">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A39C0" w14:textId="77777777" w:rsidR="008C756E" w:rsidRDefault="008C756E" w:rsidP="00AB2277">
      <w:pPr>
        <w:spacing w:after="0" w:line="240" w:lineRule="auto"/>
      </w:pPr>
      <w:r>
        <w:separator/>
      </w:r>
    </w:p>
  </w:endnote>
  <w:endnote w:type="continuationSeparator" w:id="0">
    <w:p w14:paraId="123DC293" w14:textId="77777777" w:rsidR="008C756E" w:rsidRDefault="008C756E" w:rsidP="00AB2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BFE15" w14:textId="77777777" w:rsidR="008C756E" w:rsidRDefault="008C756E" w:rsidP="00AB2277">
      <w:pPr>
        <w:spacing w:after="0" w:line="240" w:lineRule="auto"/>
      </w:pPr>
      <w:r>
        <w:separator/>
      </w:r>
    </w:p>
  </w:footnote>
  <w:footnote w:type="continuationSeparator" w:id="0">
    <w:p w14:paraId="5DFAF0E3" w14:textId="77777777" w:rsidR="008C756E" w:rsidRDefault="008C756E" w:rsidP="00AB2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3BFEC" w14:textId="543EF5FA" w:rsidR="00AB2277" w:rsidRDefault="00AB2277">
    <w:pPr>
      <w:pStyle w:val="Header"/>
    </w:pPr>
    <w:r>
      <w:t xml:space="preserve">ECEY4003 </w:t>
    </w:r>
    <w:r>
      <w:tab/>
      <w:t>Student number: 2004479</w:t>
    </w:r>
    <w:r>
      <w:tab/>
      <w:t>Word count:</w:t>
    </w:r>
    <w:r w:rsidR="00DF32E5">
      <w:t xml:space="preserve"> 3182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512FA"/>
    <w:multiLevelType w:val="hybridMultilevel"/>
    <w:tmpl w:val="55D645FE"/>
    <w:lvl w:ilvl="0" w:tplc="77D6C1AC">
      <w:start w:val="1"/>
      <w:numFmt w:val="bullet"/>
      <w:lvlText w:val="•"/>
      <w:lvlJc w:val="left"/>
      <w:pPr>
        <w:tabs>
          <w:tab w:val="num" w:pos="720"/>
        </w:tabs>
        <w:ind w:left="720" w:hanging="360"/>
      </w:pPr>
      <w:rPr>
        <w:rFonts w:ascii="Arial" w:hAnsi="Arial" w:hint="default"/>
      </w:rPr>
    </w:lvl>
    <w:lvl w:ilvl="1" w:tplc="87F8BBC4" w:tentative="1">
      <w:start w:val="1"/>
      <w:numFmt w:val="bullet"/>
      <w:lvlText w:val="•"/>
      <w:lvlJc w:val="left"/>
      <w:pPr>
        <w:tabs>
          <w:tab w:val="num" w:pos="1440"/>
        </w:tabs>
        <w:ind w:left="1440" w:hanging="360"/>
      </w:pPr>
      <w:rPr>
        <w:rFonts w:ascii="Arial" w:hAnsi="Arial" w:hint="default"/>
      </w:rPr>
    </w:lvl>
    <w:lvl w:ilvl="2" w:tplc="07AE01CA" w:tentative="1">
      <w:start w:val="1"/>
      <w:numFmt w:val="bullet"/>
      <w:lvlText w:val="•"/>
      <w:lvlJc w:val="left"/>
      <w:pPr>
        <w:tabs>
          <w:tab w:val="num" w:pos="2160"/>
        </w:tabs>
        <w:ind w:left="2160" w:hanging="360"/>
      </w:pPr>
      <w:rPr>
        <w:rFonts w:ascii="Arial" w:hAnsi="Arial" w:hint="default"/>
      </w:rPr>
    </w:lvl>
    <w:lvl w:ilvl="3" w:tplc="FF0886E6" w:tentative="1">
      <w:start w:val="1"/>
      <w:numFmt w:val="bullet"/>
      <w:lvlText w:val="•"/>
      <w:lvlJc w:val="left"/>
      <w:pPr>
        <w:tabs>
          <w:tab w:val="num" w:pos="2880"/>
        </w:tabs>
        <w:ind w:left="2880" w:hanging="360"/>
      </w:pPr>
      <w:rPr>
        <w:rFonts w:ascii="Arial" w:hAnsi="Arial" w:hint="default"/>
      </w:rPr>
    </w:lvl>
    <w:lvl w:ilvl="4" w:tplc="981021FC" w:tentative="1">
      <w:start w:val="1"/>
      <w:numFmt w:val="bullet"/>
      <w:lvlText w:val="•"/>
      <w:lvlJc w:val="left"/>
      <w:pPr>
        <w:tabs>
          <w:tab w:val="num" w:pos="3600"/>
        </w:tabs>
        <w:ind w:left="3600" w:hanging="360"/>
      </w:pPr>
      <w:rPr>
        <w:rFonts w:ascii="Arial" w:hAnsi="Arial" w:hint="default"/>
      </w:rPr>
    </w:lvl>
    <w:lvl w:ilvl="5" w:tplc="405A4F84" w:tentative="1">
      <w:start w:val="1"/>
      <w:numFmt w:val="bullet"/>
      <w:lvlText w:val="•"/>
      <w:lvlJc w:val="left"/>
      <w:pPr>
        <w:tabs>
          <w:tab w:val="num" w:pos="4320"/>
        </w:tabs>
        <w:ind w:left="4320" w:hanging="360"/>
      </w:pPr>
      <w:rPr>
        <w:rFonts w:ascii="Arial" w:hAnsi="Arial" w:hint="default"/>
      </w:rPr>
    </w:lvl>
    <w:lvl w:ilvl="6" w:tplc="E99C9066" w:tentative="1">
      <w:start w:val="1"/>
      <w:numFmt w:val="bullet"/>
      <w:lvlText w:val="•"/>
      <w:lvlJc w:val="left"/>
      <w:pPr>
        <w:tabs>
          <w:tab w:val="num" w:pos="5040"/>
        </w:tabs>
        <w:ind w:left="5040" w:hanging="360"/>
      </w:pPr>
      <w:rPr>
        <w:rFonts w:ascii="Arial" w:hAnsi="Arial" w:hint="default"/>
      </w:rPr>
    </w:lvl>
    <w:lvl w:ilvl="7" w:tplc="2D70AEF4" w:tentative="1">
      <w:start w:val="1"/>
      <w:numFmt w:val="bullet"/>
      <w:lvlText w:val="•"/>
      <w:lvlJc w:val="left"/>
      <w:pPr>
        <w:tabs>
          <w:tab w:val="num" w:pos="5760"/>
        </w:tabs>
        <w:ind w:left="5760" w:hanging="360"/>
      </w:pPr>
      <w:rPr>
        <w:rFonts w:ascii="Arial" w:hAnsi="Arial" w:hint="default"/>
      </w:rPr>
    </w:lvl>
    <w:lvl w:ilvl="8" w:tplc="3D3A2B98" w:tentative="1">
      <w:start w:val="1"/>
      <w:numFmt w:val="bullet"/>
      <w:lvlText w:val="•"/>
      <w:lvlJc w:val="left"/>
      <w:pPr>
        <w:tabs>
          <w:tab w:val="num" w:pos="6480"/>
        </w:tabs>
        <w:ind w:left="6480" w:hanging="360"/>
      </w:pPr>
      <w:rPr>
        <w:rFonts w:ascii="Arial" w:hAnsi="Arial" w:hint="default"/>
      </w:rPr>
    </w:lvl>
  </w:abstractNum>
  <w:num w:numId="1" w16cid:durableId="1877934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277"/>
    <w:rsid w:val="0000191D"/>
    <w:rsid w:val="00002050"/>
    <w:rsid w:val="00004856"/>
    <w:rsid w:val="00011448"/>
    <w:rsid w:val="00011C82"/>
    <w:rsid w:val="000123EA"/>
    <w:rsid w:val="00015CEF"/>
    <w:rsid w:val="00020DED"/>
    <w:rsid w:val="0002192A"/>
    <w:rsid w:val="00021ED8"/>
    <w:rsid w:val="000256A1"/>
    <w:rsid w:val="000264FC"/>
    <w:rsid w:val="00027CFE"/>
    <w:rsid w:val="00037936"/>
    <w:rsid w:val="00043373"/>
    <w:rsid w:val="0004359A"/>
    <w:rsid w:val="0005270A"/>
    <w:rsid w:val="00055DF5"/>
    <w:rsid w:val="0006249C"/>
    <w:rsid w:val="00064A6E"/>
    <w:rsid w:val="00065C17"/>
    <w:rsid w:val="000701FB"/>
    <w:rsid w:val="000725BA"/>
    <w:rsid w:val="00072EEC"/>
    <w:rsid w:val="000730C5"/>
    <w:rsid w:val="00073132"/>
    <w:rsid w:val="00073393"/>
    <w:rsid w:val="00077AC9"/>
    <w:rsid w:val="00081761"/>
    <w:rsid w:val="0008487C"/>
    <w:rsid w:val="00084B70"/>
    <w:rsid w:val="00084E14"/>
    <w:rsid w:val="00087FA2"/>
    <w:rsid w:val="00087FFD"/>
    <w:rsid w:val="00091DB2"/>
    <w:rsid w:val="00093DC6"/>
    <w:rsid w:val="00094833"/>
    <w:rsid w:val="00095031"/>
    <w:rsid w:val="000963D6"/>
    <w:rsid w:val="000973BB"/>
    <w:rsid w:val="000A0AAC"/>
    <w:rsid w:val="000A2C68"/>
    <w:rsid w:val="000A3C29"/>
    <w:rsid w:val="000A4B60"/>
    <w:rsid w:val="000B0C2C"/>
    <w:rsid w:val="000B1A3A"/>
    <w:rsid w:val="000B25F2"/>
    <w:rsid w:val="000B5161"/>
    <w:rsid w:val="000B6DC5"/>
    <w:rsid w:val="000C3955"/>
    <w:rsid w:val="000C3AF4"/>
    <w:rsid w:val="000D3BB6"/>
    <w:rsid w:val="000D3E33"/>
    <w:rsid w:val="000D40E1"/>
    <w:rsid w:val="000D799A"/>
    <w:rsid w:val="000D7E57"/>
    <w:rsid w:val="000E161D"/>
    <w:rsid w:val="000F10D2"/>
    <w:rsid w:val="000F133E"/>
    <w:rsid w:val="000F4564"/>
    <w:rsid w:val="000F56B4"/>
    <w:rsid w:val="000F734F"/>
    <w:rsid w:val="00100A24"/>
    <w:rsid w:val="00100CF0"/>
    <w:rsid w:val="0010180F"/>
    <w:rsid w:val="00101DBB"/>
    <w:rsid w:val="0010516F"/>
    <w:rsid w:val="001068D9"/>
    <w:rsid w:val="00107FA1"/>
    <w:rsid w:val="00114687"/>
    <w:rsid w:val="001146C3"/>
    <w:rsid w:val="0011747C"/>
    <w:rsid w:val="00120985"/>
    <w:rsid w:val="00120C05"/>
    <w:rsid w:val="0012230E"/>
    <w:rsid w:val="00123780"/>
    <w:rsid w:val="001255B4"/>
    <w:rsid w:val="001259F3"/>
    <w:rsid w:val="00125E80"/>
    <w:rsid w:val="00126C93"/>
    <w:rsid w:val="0012753A"/>
    <w:rsid w:val="00130595"/>
    <w:rsid w:val="001325B5"/>
    <w:rsid w:val="0013410F"/>
    <w:rsid w:val="00142441"/>
    <w:rsid w:val="00144DB3"/>
    <w:rsid w:val="00145E29"/>
    <w:rsid w:val="001460ED"/>
    <w:rsid w:val="00146331"/>
    <w:rsid w:val="00150FCC"/>
    <w:rsid w:val="00152B9E"/>
    <w:rsid w:val="001574DB"/>
    <w:rsid w:val="0016162E"/>
    <w:rsid w:val="00161DC0"/>
    <w:rsid w:val="001653D4"/>
    <w:rsid w:val="00170401"/>
    <w:rsid w:val="00170464"/>
    <w:rsid w:val="00174787"/>
    <w:rsid w:val="00175DAA"/>
    <w:rsid w:val="00175FDC"/>
    <w:rsid w:val="00176A4C"/>
    <w:rsid w:val="0017707E"/>
    <w:rsid w:val="00180E48"/>
    <w:rsid w:val="00181864"/>
    <w:rsid w:val="00183E01"/>
    <w:rsid w:val="001872E4"/>
    <w:rsid w:val="00190C6E"/>
    <w:rsid w:val="00195DD9"/>
    <w:rsid w:val="00196EC5"/>
    <w:rsid w:val="001A1361"/>
    <w:rsid w:val="001A2076"/>
    <w:rsid w:val="001A37E2"/>
    <w:rsid w:val="001A4138"/>
    <w:rsid w:val="001A5377"/>
    <w:rsid w:val="001A7334"/>
    <w:rsid w:val="001B0040"/>
    <w:rsid w:val="001B2CD9"/>
    <w:rsid w:val="001B70E6"/>
    <w:rsid w:val="001C329C"/>
    <w:rsid w:val="001C5AAF"/>
    <w:rsid w:val="001C7166"/>
    <w:rsid w:val="001D107B"/>
    <w:rsid w:val="001D1B45"/>
    <w:rsid w:val="001D2C05"/>
    <w:rsid w:val="001D2FFD"/>
    <w:rsid w:val="001D3F24"/>
    <w:rsid w:val="001D6B27"/>
    <w:rsid w:val="001D78C6"/>
    <w:rsid w:val="001E3E5B"/>
    <w:rsid w:val="001E5456"/>
    <w:rsid w:val="001E5AB8"/>
    <w:rsid w:val="001E6A44"/>
    <w:rsid w:val="001F0CA0"/>
    <w:rsid w:val="001F3F64"/>
    <w:rsid w:val="001F5BBE"/>
    <w:rsid w:val="001F6AA4"/>
    <w:rsid w:val="00201DD2"/>
    <w:rsid w:val="00203C36"/>
    <w:rsid w:val="00205691"/>
    <w:rsid w:val="0021058C"/>
    <w:rsid w:val="0021511A"/>
    <w:rsid w:val="00215592"/>
    <w:rsid w:val="00220583"/>
    <w:rsid w:val="00223860"/>
    <w:rsid w:val="00227F32"/>
    <w:rsid w:val="00231762"/>
    <w:rsid w:val="0023397E"/>
    <w:rsid w:val="002342BA"/>
    <w:rsid w:val="002441C3"/>
    <w:rsid w:val="002449A0"/>
    <w:rsid w:val="00246D9F"/>
    <w:rsid w:val="0025000D"/>
    <w:rsid w:val="00253002"/>
    <w:rsid w:val="00255929"/>
    <w:rsid w:val="00255A0D"/>
    <w:rsid w:val="00255EE2"/>
    <w:rsid w:val="00256367"/>
    <w:rsid w:val="002569FF"/>
    <w:rsid w:val="00257E57"/>
    <w:rsid w:val="00260475"/>
    <w:rsid w:val="00260E78"/>
    <w:rsid w:val="00261666"/>
    <w:rsid w:val="00261C61"/>
    <w:rsid w:val="00263AF3"/>
    <w:rsid w:val="00263E76"/>
    <w:rsid w:val="00267D77"/>
    <w:rsid w:val="00280A65"/>
    <w:rsid w:val="00282B0A"/>
    <w:rsid w:val="00283F63"/>
    <w:rsid w:val="0028478C"/>
    <w:rsid w:val="002859BA"/>
    <w:rsid w:val="0028647D"/>
    <w:rsid w:val="002867FE"/>
    <w:rsid w:val="00292DC3"/>
    <w:rsid w:val="00294FE0"/>
    <w:rsid w:val="002A2F4F"/>
    <w:rsid w:val="002A538E"/>
    <w:rsid w:val="002A5ED0"/>
    <w:rsid w:val="002B023B"/>
    <w:rsid w:val="002B67CB"/>
    <w:rsid w:val="002B69C3"/>
    <w:rsid w:val="002C19EB"/>
    <w:rsid w:val="002D0E3D"/>
    <w:rsid w:val="002D367A"/>
    <w:rsid w:val="002D3BE5"/>
    <w:rsid w:val="002D6B97"/>
    <w:rsid w:val="002E0649"/>
    <w:rsid w:val="002E5AA1"/>
    <w:rsid w:val="002E66A5"/>
    <w:rsid w:val="002E7AAA"/>
    <w:rsid w:val="002F1BD8"/>
    <w:rsid w:val="002F5852"/>
    <w:rsid w:val="00307052"/>
    <w:rsid w:val="00307D90"/>
    <w:rsid w:val="00311B03"/>
    <w:rsid w:val="00311BE9"/>
    <w:rsid w:val="003133A4"/>
    <w:rsid w:val="00315284"/>
    <w:rsid w:val="0031657A"/>
    <w:rsid w:val="00320685"/>
    <w:rsid w:val="0032338A"/>
    <w:rsid w:val="00324978"/>
    <w:rsid w:val="00325EC8"/>
    <w:rsid w:val="003264B1"/>
    <w:rsid w:val="00327464"/>
    <w:rsid w:val="003321E9"/>
    <w:rsid w:val="003338FE"/>
    <w:rsid w:val="0033424E"/>
    <w:rsid w:val="00335509"/>
    <w:rsid w:val="00336A8F"/>
    <w:rsid w:val="00336D0B"/>
    <w:rsid w:val="003419E6"/>
    <w:rsid w:val="00343B49"/>
    <w:rsid w:val="0035490D"/>
    <w:rsid w:val="00354EF3"/>
    <w:rsid w:val="003569B8"/>
    <w:rsid w:val="00356F5C"/>
    <w:rsid w:val="00360F04"/>
    <w:rsid w:val="003632DC"/>
    <w:rsid w:val="003635C7"/>
    <w:rsid w:val="003642A6"/>
    <w:rsid w:val="00364BC4"/>
    <w:rsid w:val="00365AEA"/>
    <w:rsid w:val="00372867"/>
    <w:rsid w:val="003734ED"/>
    <w:rsid w:val="003743A8"/>
    <w:rsid w:val="00381CE3"/>
    <w:rsid w:val="00382D04"/>
    <w:rsid w:val="00382D10"/>
    <w:rsid w:val="00383048"/>
    <w:rsid w:val="00385890"/>
    <w:rsid w:val="00386BE1"/>
    <w:rsid w:val="00390AE4"/>
    <w:rsid w:val="00392C4D"/>
    <w:rsid w:val="003955B9"/>
    <w:rsid w:val="00395D4E"/>
    <w:rsid w:val="00396817"/>
    <w:rsid w:val="00396930"/>
    <w:rsid w:val="00396F0A"/>
    <w:rsid w:val="003A13DA"/>
    <w:rsid w:val="003A224E"/>
    <w:rsid w:val="003A29F1"/>
    <w:rsid w:val="003A38A3"/>
    <w:rsid w:val="003A3B59"/>
    <w:rsid w:val="003A4D5A"/>
    <w:rsid w:val="003A6FFB"/>
    <w:rsid w:val="003A71DF"/>
    <w:rsid w:val="003B02CB"/>
    <w:rsid w:val="003B3736"/>
    <w:rsid w:val="003B3AED"/>
    <w:rsid w:val="003B71CC"/>
    <w:rsid w:val="003C3143"/>
    <w:rsid w:val="003C3BF4"/>
    <w:rsid w:val="003C54AE"/>
    <w:rsid w:val="003C6F05"/>
    <w:rsid w:val="003C7DED"/>
    <w:rsid w:val="003D5231"/>
    <w:rsid w:val="003E2DFA"/>
    <w:rsid w:val="003E30DA"/>
    <w:rsid w:val="003E48FF"/>
    <w:rsid w:val="003E6385"/>
    <w:rsid w:val="003F0BAF"/>
    <w:rsid w:val="003F4C8D"/>
    <w:rsid w:val="003F5900"/>
    <w:rsid w:val="003F64E5"/>
    <w:rsid w:val="004050B4"/>
    <w:rsid w:val="00406748"/>
    <w:rsid w:val="00412603"/>
    <w:rsid w:val="00415E47"/>
    <w:rsid w:val="00420B6B"/>
    <w:rsid w:val="004228AB"/>
    <w:rsid w:val="004243CC"/>
    <w:rsid w:val="00425458"/>
    <w:rsid w:val="004277EF"/>
    <w:rsid w:val="00430885"/>
    <w:rsid w:val="00431EEE"/>
    <w:rsid w:val="004326EE"/>
    <w:rsid w:val="00462E85"/>
    <w:rsid w:val="004704A4"/>
    <w:rsid w:val="00473B7E"/>
    <w:rsid w:val="00481B94"/>
    <w:rsid w:val="00484FB6"/>
    <w:rsid w:val="00486EED"/>
    <w:rsid w:val="00490FC8"/>
    <w:rsid w:val="00494A70"/>
    <w:rsid w:val="004A24BB"/>
    <w:rsid w:val="004A32B7"/>
    <w:rsid w:val="004A5185"/>
    <w:rsid w:val="004A72C0"/>
    <w:rsid w:val="004A7D8B"/>
    <w:rsid w:val="004B021E"/>
    <w:rsid w:val="004B1BB6"/>
    <w:rsid w:val="004B1EE5"/>
    <w:rsid w:val="004B5284"/>
    <w:rsid w:val="004B6EBC"/>
    <w:rsid w:val="004B75BC"/>
    <w:rsid w:val="004C3006"/>
    <w:rsid w:val="004C4DB3"/>
    <w:rsid w:val="004D10DB"/>
    <w:rsid w:val="004D18FE"/>
    <w:rsid w:val="004D6BF0"/>
    <w:rsid w:val="004E158B"/>
    <w:rsid w:val="004E32C8"/>
    <w:rsid w:val="004E7E65"/>
    <w:rsid w:val="004F235B"/>
    <w:rsid w:val="004F2CE3"/>
    <w:rsid w:val="004F4C3C"/>
    <w:rsid w:val="005027D3"/>
    <w:rsid w:val="00505BFE"/>
    <w:rsid w:val="0051004D"/>
    <w:rsid w:val="00513C03"/>
    <w:rsid w:val="00515984"/>
    <w:rsid w:val="005213EF"/>
    <w:rsid w:val="00521C72"/>
    <w:rsid w:val="0052258E"/>
    <w:rsid w:val="00523DCE"/>
    <w:rsid w:val="00525B63"/>
    <w:rsid w:val="00526987"/>
    <w:rsid w:val="00526AA2"/>
    <w:rsid w:val="005338B9"/>
    <w:rsid w:val="005347C3"/>
    <w:rsid w:val="00536D40"/>
    <w:rsid w:val="00536DA0"/>
    <w:rsid w:val="00536E75"/>
    <w:rsid w:val="0054375A"/>
    <w:rsid w:val="00543EE2"/>
    <w:rsid w:val="00544583"/>
    <w:rsid w:val="00545702"/>
    <w:rsid w:val="00553F34"/>
    <w:rsid w:val="0055549D"/>
    <w:rsid w:val="005555C7"/>
    <w:rsid w:val="00560041"/>
    <w:rsid w:val="00573306"/>
    <w:rsid w:val="00575021"/>
    <w:rsid w:val="00575FB2"/>
    <w:rsid w:val="00576DAB"/>
    <w:rsid w:val="00577372"/>
    <w:rsid w:val="00577A1E"/>
    <w:rsid w:val="00581837"/>
    <w:rsid w:val="00581856"/>
    <w:rsid w:val="005841A4"/>
    <w:rsid w:val="005878F7"/>
    <w:rsid w:val="00590210"/>
    <w:rsid w:val="005951DB"/>
    <w:rsid w:val="00595EF0"/>
    <w:rsid w:val="005A03EA"/>
    <w:rsid w:val="005A0590"/>
    <w:rsid w:val="005B5746"/>
    <w:rsid w:val="005B6820"/>
    <w:rsid w:val="005C0F2A"/>
    <w:rsid w:val="005C2E24"/>
    <w:rsid w:val="005C6940"/>
    <w:rsid w:val="005C7766"/>
    <w:rsid w:val="005D117A"/>
    <w:rsid w:val="005D1AF3"/>
    <w:rsid w:val="005D5317"/>
    <w:rsid w:val="005D73A5"/>
    <w:rsid w:val="005E211B"/>
    <w:rsid w:val="005E3411"/>
    <w:rsid w:val="005E4C83"/>
    <w:rsid w:val="005E592E"/>
    <w:rsid w:val="005E7F8B"/>
    <w:rsid w:val="005F340A"/>
    <w:rsid w:val="005F3562"/>
    <w:rsid w:val="005F6644"/>
    <w:rsid w:val="0060654C"/>
    <w:rsid w:val="00612EDE"/>
    <w:rsid w:val="006142C5"/>
    <w:rsid w:val="006177F1"/>
    <w:rsid w:val="00621F8B"/>
    <w:rsid w:val="006322B2"/>
    <w:rsid w:val="00632E7F"/>
    <w:rsid w:val="00633434"/>
    <w:rsid w:val="00634526"/>
    <w:rsid w:val="00636BDC"/>
    <w:rsid w:val="00642001"/>
    <w:rsid w:val="00643542"/>
    <w:rsid w:val="0064490E"/>
    <w:rsid w:val="006455C5"/>
    <w:rsid w:val="0064618D"/>
    <w:rsid w:val="00650B2D"/>
    <w:rsid w:val="00653E30"/>
    <w:rsid w:val="006556F0"/>
    <w:rsid w:val="00657937"/>
    <w:rsid w:val="00660210"/>
    <w:rsid w:val="006609EE"/>
    <w:rsid w:val="006614ED"/>
    <w:rsid w:val="00662A66"/>
    <w:rsid w:val="006632C8"/>
    <w:rsid w:val="0066729A"/>
    <w:rsid w:val="006702C6"/>
    <w:rsid w:val="00673316"/>
    <w:rsid w:val="00676D3C"/>
    <w:rsid w:val="00677D85"/>
    <w:rsid w:val="00680E3A"/>
    <w:rsid w:val="006817F8"/>
    <w:rsid w:val="00683CB2"/>
    <w:rsid w:val="00686184"/>
    <w:rsid w:val="006876A3"/>
    <w:rsid w:val="0069109C"/>
    <w:rsid w:val="006910C0"/>
    <w:rsid w:val="00691811"/>
    <w:rsid w:val="0069361F"/>
    <w:rsid w:val="00694877"/>
    <w:rsid w:val="006A3BBB"/>
    <w:rsid w:val="006A49E7"/>
    <w:rsid w:val="006A78D0"/>
    <w:rsid w:val="006B2E20"/>
    <w:rsid w:val="006B34E1"/>
    <w:rsid w:val="006B38AA"/>
    <w:rsid w:val="006B3A28"/>
    <w:rsid w:val="006B4DFC"/>
    <w:rsid w:val="006B519A"/>
    <w:rsid w:val="006C1194"/>
    <w:rsid w:val="006C4265"/>
    <w:rsid w:val="006C50A0"/>
    <w:rsid w:val="006C5823"/>
    <w:rsid w:val="006C63DA"/>
    <w:rsid w:val="006D22E6"/>
    <w:rsid w:val="006E0D7B"/>
    <w:rsid w:val="006E215F"/>
    <w:rsid w:val="006E2784"/>
    <w:rsid w:val="006E2C1D"/>
    <w:rsid w:val="006E2C29"/>
    <w:rsid w:val="006E4EBC"/>
    <w:rsid w:val="006F1266"/>
    <w:rsid w:val="006F5A3B"/>
    <w:rsid w:val="006F73AC"/>
    <w:rsid w:val="00702B06"/>
    <w:rsid w:val="007063C8"/>
    <w:rsid w:val="00711E1C"/>
    <w:rsid w:val="0071497C"/>
    <w:rsid w:val="0071759E"/>
    <w:rsid w:val="00720CEF"/>
    <w:rsid w:val="007221DA"/>
    <w:rsid w:val="0072296D"/>
    <w:rsid w:val="00727D87"/>
    <w:rsid w:val="007301FA"/>
    <w:rsid w:val="00731509"/>
    <w:rsid w:val="00732E59"/>
    <w:rsid w:val="00733871"/>
    <w:rsid w:val="00733D97"/>
    <w:rsid w:val="0074252B"/>
    <w:rsid w:val="00744547"/>
    <w:rsid w:val="00746105"/>
    <w:rsid w:val="00747E3A"/>
    <w:rsid w:val="007515AB"/>
    <w:rsid w:val="00752119"/>
    <w:rsid w:val="007526B6"/>
    <w:rsid w:val="00757305"/>
    <w:rsid w:val="007628AD"/>
    <w:rsid w:val="00764A40"/>
    <w:rsid w:val="00767CC0"/>
    <w:rsid w:val="00770BB5"/>
    <w:rsid w:val="00777C2A"/>
    <w:rsid w:val="00777C74"/>
    <w:rsid w:val="00783B2F"/>
    <w:rsid w:val="0078798D"/>
    <w:rsid w:val="0079233B"/>
    <w:rsid w:val="007930E0"/>
    <w:rsid w:val="00794BE6"/>
    <w:rsid w:val="00796303"/>
    <w:rsid w:val="00797132"/>
    <w:rsid w:val="007A45D8"/>
    <w:rsid w:val="007B45B2"/>
    <w:rsid w:val="007B6E25"/>
    <w:rsid w:val="007C0788"/>
    <w:rsid w:val="007C125E"/>
    <w:rsid w:val="007C3959"/>
    <w:rsid w:val="007D79B2"/>
    <w:rsid w:val="007D7AAB"/>
    <w:rsid w:val="007E30BE"/>
    <w:rsid w:val="007E4677"/>
    <w:rsid w:val="007F01B9"/>
    <w:rsid w:val="007F1F83"/>
    <w:rsid w:val="007F2498"/>
    <w:rsid w:val="007F53FC"/>
    <w:rsid w:val="007F63A3"/>
    <w:rsid w:val="0080175D"/>
    <w:rsid w:val="008027D1"/>
    <w:rsid w:val="00803207"/>
    <w:rsid w:val="00803A24"/>
    <w:rsid w:val="00805311"/>
    <w:rsid w:val="00814C1F"/>
    <w:rsid w:val="00816135"/>
    <w:rsid w:val="008169D6"/>
    <w:rsid w:val="00821E42"/>
    <w:rsid w:val="008238D5"/>
    <w:rsid w:val="00824255"/>
    <w:rsid w:val="00826603"/>
    <w:rsid w:val="00827701"/>
    <w:rsid w:val="00830944"/>
    <w:rsid w:val="00830EBE"/>
    <w:rsid w:val="0083433A"/>
    <w:rsid w:val="00835498"/>
    <w:rsid w:val="00836AC2"/>
    <w:rsid w:val="008416C1"/>
    <w:rsid w:val="00846678"/>
    <w:rsid w:val="008516F6"/>
    <w:rsid w:val="0085308D"/>
    <w:rsid w:val="0085412A"/>
    <w:rsid w:val="00855946"/>
    <w:rsid w:val="00861D4A"/>
    <w:rsid w:val="00863147"/>
    <w:rsid w:val="00867579"/>
    <w:rsid w:val="008724CC"/>
    <w:rsid w:val="008851C8"/>
    <w:rsid w:val="0088612A"/>
    <w:rsid w:val="008869BD"/>
    <w:rsid w:val="00886CAA"/>
    <w:rsid w:val="00887CFD"/>
    <w:rsid w:val="00892C00"/>
    <w:rsid w:val="00896CC6"/>
    <w:rsid w:val="00897416"/>
    <w:rsid w:val="008A02D0"/>
    <w:rsid w:val="008A0D52"/>
    <w:rsid w:val="008A6F38"/>
    <w:rsid w:val="008A7525"/>
    <w:rsid w:val="008A7EEF"/>
    <w:rsid w:val="008B0220"/>
    <w:rsid w:val="008B14B8"/>
    <w:rsid w:val="008B3093"/>
    <w:rsid w:val="008B77B1"/>
    <w:rsid w:val="008C0355"/>
    <w:rsid w:val="008C15DB"/>
    <w:rsid w:val="008C756E"/>
    <w:rsid w:val="008D200B"/>
    <w:rsid w:val="008D67F8"/>
    <w:rsid w:val="008D6AA8"/>
    <w:rsid w:val="008E63BD"/>
    <w:rsid w:val="008E6B70"/>
    <w:rsid w:val="008E6F1D"/>
    <w:rsid w:val="008F12BA"/>
    <w:rsid w:val="008F1B99"/>
    <w:rsid w:val="008F2F0E"/>
    <w:rsid w:val="008F32B0"/>
    <w:rsid w:val="008F7C67"/>
    <w:rsid w:val="008F7C91"/>
    <w:rsid w:val="009051BE"/>
    <w:rsid w:val="00905A39"/>
    <w:rsid w:val="009060A5"/>
    <w:rsid w:val="00912730"/>
    <w:rsid w:val="0092669E"/>
    <w:rsid w:val="00930018"/>
    <w:rsid w:val="00930B71"/>
    <w:rsid w:val="00930DC0"/>
    <w:rsid w:val="0093510A"/>
    <w:rsid w:val="0093538E"/>
    <w:rsid w:val="00936686"/>
    <w:rsid w:val="00942612"/>
    <w:rsid w:val="00943202"/>
    <w:rsid w:val="009441AE"/>
    <w:rsid w:val="00944434"/>
    <w:rsid w:val="00944C37"/>
    <w:rsid w:val="00945575"/>
    <w:rsid w:val="00950546"/>
    <w:rsid w:val="00953B67"/>
    <w:rsid w:val="00955D6D"/>
    <w:rsid w:val="00955DA7"/>
    <w:rsid w:val="00956DF4"/>
    <w:rsid w:val="00957255"/>
    <w:rsid w:val="009574C9"/>
    <w:rsid w:val="009640FD"/>
    <w:rsid w:val="00966D05"/>
    <w:rsid w:val="00975026"/>
    <w:rsid w:val="0097662C"/>
    <w:rsid w:val="00976D23"/>
    <w:rsid w:val="00980442"/>
    <w:rsid w:val="009808CD"/>
    <w:rsid w:val="00985AD5"/>
    <w:rsid w:val="00986074"/>
    <w:rsid w:val="00986157"/>
    <w:rsid w:val="0099153B"/>
    <w:rsid w:val="00992482"/>
    <w:rsid w:val="0099282A"/>
    <w:rsid w:val="00994679"/>
    <w:rsid w:val="00995557"/>
    <w:rsid w:val="00995B33"/>
    <w:rsid w:val="009964FF"/>
    <w:rsid w:val="009974E2"/>
    <w:rsid w:val="009A0120"/>
    <w:rsid w:val="009A1680"/>
    <w:rsid w:val="009A39AC"/>
    <w:rsid w:val="009A479C"/>
    <w:rsid w:val="009A64DB"/>
    <w:rsid w:val="009A6F34"/>
    <w:rsid w:val="009B0A59"/>
    <w:rsid w:val="009B1EFC"/>
    <w:rsid w:val="009B3819"/>
    <w:rsid w:val="009B5199"/>
    <w:rsid w:val="009B5ABE"/>
    <w:rsid w:val="009C0041"/>
    <w:rsid w:val="009C2EC6"/>
    <w:rsid w:val="009C39CA"/>
    <w:rsid w:val="009C451D"/>
    <w:rsid w:val="009C5BC2"/>
    <w:rsid w:val="009C66B7"/>
    <w:rsid w:val="009D0547"/>
    <w:rsid w:val="009D12B8"/>
    <w:rsid w:val="009D133C"/>
    <w:rsid w:val="009D4F71"/>
    <w:rsid w:val="009D767A"/>
    <w:rsid w:val="009E1403"/>
    <w:rsid w:val="009E3036"/>
    <w:rsid w:val="009E3138"/>
    <w:rsid w:val="009E606D"/>
    <w:rsid w:val="009F2811"/>
    <w:rsid w:val="009F4513"/>
    <w:rsid w:val="009F52EC"/>
    <w:rsid w:val="00A01317"/>
    <w:rsid w:val="00A0182F"/>
    <w:rsid w:val="00A01D6C"/>
    <w:rsid w:val="00A024BE"/>
    <w:rsid w:val="00A0305D"/>
    <w:rsid w:val="00A03E83"/>
    <w:rsid w:val="00A05F7A"/>
    <w:rsid w:val="00A12704"/>
    <w:rsid w:val="00A128A3"/>
    <w:rsid w:val="00A22386"/>
    <w:rsid w:val="00A22FF7"/>
    <w:rsid w:val="00A24A6C"/>
    <w:rsid w:val="00A2572C"/>
    <w:rsid w:val="00A31A39"/>
    <w:rsid w:val="00A322F4"/>
    <w:rsid w:val="00A32393"/>
    <w:rsid w:val="00A344C6"/>
    <w:rsid w:val="00A36DF4"/>
    <w:rsid w:val="00A42183"/>
    <w:rsid w:val="00A429D6"/>
    <w:rsid w:val="00A47A4F"/>
    <w:rsid w:val="00A47DC9"/>
    <w:rsid w:val="00A52C85"/>
    <w:rsid w:val="00A61A77"/>
    <w:rsid w:val="00A62EF2"/>
    <w:rsid w:val="00A6734A"/>
    <w:rsid w:val="00A70A14"/>
    <w:rsid w:val="00A71806"/>
    <w:rsid w:val="00A71F2E"/>
    <w:rsid w:val="00A732F7"/>
    <w:rsid w:val="00A80320"/>
    <w:rsid w:val="00A8194E"/>
    <w:rsid w:val="00A82714"/>
    <w:rsid w:val="00A856FB"/>
    <w:rsid w:val="00A91980"/>
    <w:rsid w:val="00A947EC"/>
    <w:rsid w:val="00A96234"/>
    <w:rsid w:val="00AA22E2"/>
    <w:rsid w:val="00AB2190"/>
    <w:rsid w:val="00AB2277"/>
    <w:rsid w:val="00AB4FB5"/>
    <w:rsid w:val="00AC05E6"/>
    <w:rsid w:val="00AC1396"/>
    <w:rsid w:val="00AC1EBC"/>
    <w:rsid w:val="00AC4158"/>
    <w:rsid w:val="00AC660D"/>
    <w:rsid w:val="00AD013E"/>
    <w:rsid w:val="00AD0992"/>
    <w:rsid w:val="00AD20F8"/>
    <w:rsid w:val="00AF004B"/>
    <w:rsid w:val="00AF139B"/>
    <w:rsid w:val="00AF3480"/>
    <w:rsid w:val="00AF61C9"/>
    <w:rsid w:val="00AF7BFC"/>
    <w:rsid w:val="00B00D67"/>
    <w:rsid w:val="00B014E6"/>
    <w:rsid w:val="00B043C8"/>
    <w:rsid w:val="00B0676E"/>
    <w:rsid w:val="00B07466"/>
    <w:rsid w:val="00B10E63"/>
    <w:rsid w:val="00B13CE3"/>
    <w:rsid w:val="00B143CC"/>
    <w:rsid w:val="00B14DDB"/>
    <w:rsid w:val="00B14EB2"/>
    <w:rsid w:val="00B201AA"/>
    <w:rsid w:val="00B22F72"/>
    <w:rsid w:val="00B24A5B"/>
    <w:rsid w:val="00B2624E"/>
    <w:rsid w:val="00B321FE"/>
    <w:rsid w:val="00B37F07"/>
    <w:rsid w:val="00B415E9"/>
    <w:rsid w:val="00B43270"/>
    <w:rsid w:val="00B451B2"/>
    <w:rsid w:val="00B45E4F"/>
    <w:rsid w:val="00B523C7"/>
    <w:rsid w:val="00B5331A"/>
    <w:rsid w:val="00B55F6C"/>
    <w:rsid w:val="00B63511"/>
    <w:rsid w:val="00B63C03"/>
    <w:rsid w:val="00B66CE6"/>
    <w:rsid w:val="00B66E0C"/>
    <w:rsid w:val="00B6743D"/>
    <w:rsid w:val="00B7468C"/>
    <w:rsid w:val="00B77F09"/>
    <w:rsid w:val="00B84123"/>
    <w:rsid w:val="00B90B35"/>
    <w:rsid w:val="00B94E3D"/>
    <w:rsid w:val="00BA29CD"/>
    <w:rsid w:val="00BA41A6"/>
    <w:rsid w:val="00BA44EA"/>
    <w:rsid w:val="00BB389D"/>
    <w:rsid w:val="00BB4522"/>
    <w:rsid w:val="00BB616D"/>
    <w:rsid w:val="00BB6B00"/>
    <w:rsid w:val="00BC070D"/>
    <w:rsid w:val="00BC6B74"/>
    <w:rsid w:val="00BC6FF7"/>
    <w:rsid w:val="00BD1523"/>
    <w:rsid w:val="00BD5DD3"/>
    <w:rsid w:val="00BD7A4C"/>
    <w:rsid w:val="00BE11DD"/>
    <w:rsid w:val="00BE1277"/>
    <w:rsid w:val="00BE1668"/>
    <w:rsid w:val="00BE77C9"/>
    <w:rsid w:val="00C01397"/>
    <w:rsid w:val="00C07AF9"/>
    <w:rsid w:val="00C14B64"/>
    <w:rsid w:val="00C17192"/>
    <w:rsid w:val="00C26DE0"/>
    <w:rsid w:val="00C273F9"/>
    <w:rsid w:val="00C30058"/>
    <w:rsid w:val="00C31CA5"/>
    <w:rsid w:val="00C32686"/>
    <w:rsid w:val="00C32A35"/>
    <w:rsid w:val="00C32B5F"/>
    <w:rsid w:val="00C34F4C"/>
    <w:rsid w:val="00C34F6C"/>
    <w:rsid w:val="00C3666E"/>
    <w:rsid w:val="00C4138F"/>
    <w:rsid w:val="00C422BA"/>
    <w:rsid w:val="00C4232C"/>
    <w:rsid w:val="00C42961"/>
    <w:rsid w:val="00C42D32"/>
    <w:rsid w:val="00C4381D"/>
    <w:rsid w:val="00C450CB"/>
    <w:rsid w:val="00C50CA9"/>
    <w:rsid w:val="00C5213E"/>
    <w:rsid w:val="00C5434E"/>
    <w:rsid w:val="00C551B8"/>
    <w:rsid w:val="00C57B12"/>
    <w:rsid w:val="00C65B5B"/>
    <w:rsid w:val="00C67689"/>
    <w:rsid w:val="00C676E5"/>
    <w:rsid w:val="00C70C2F"/>
    <w:rsid w:val="00C73A0F"/>
    <w:rsid w:val="00C763A7"/>
    <w:rsid w:val="00C76DD3"/>
    <w:rsid w:val="00C77296"/>
    <w:rsid w:val="00C85EFA"/>
    <w:rsid w:val="00C86FA6"/>
    <w:rsid w:val="00C93898"/>
    <w:rsid w:val="00C94239"/>
    <w:rsid w:val="00C94B7F"/>
    <w:rsid w:val="00C95E77"/>
    <w:rsid w:val="00CB13D3"/>
    <w:rsid w:val="00CB2721"/>
    <w:rsid w:val="00CB4C95"/>
    <w:rsid w:val="00CB6D65"/>
    <w:rsid w:val="00CC0283"/>
    <w:rsid w:val="00CC1084"/>
    <w:rsid w:val="00CC127C"/>
    <w:rsid w:val="00CC32A6"/>
    <w:rsid w:val="00CD6E7F"/>
    <w:rsid w:val="00CD7892"/>
    <w:rsid w:val="00CE4ED3"/>
    <w:rsid w:val="00CE69A3"/>
    <w:rsid w:val="00CF0A86"/>
    <w:rsid w:val="00CF0ED1"/>
    <w:rsid w:val="00D0277F"/>
    <w:rsid w:val="00D03807"/>
    <w:rsid w:val="00D03E7D"/>
    <w:rsid w:val="00D0557B"/>
    <w:rsid w:val="00D05660"/>
    <w:rsid w:val="00D06067"/>
    <w:rsid w:val="00D072BA"/>
    <w:rsid w:val="00D1304A"/>
    <w:rsid w:val="00D26B01"/>
    <w:rsid w:val="00D2743C"/>
    <w:rsid w:val="00D27556"/>
    <w:rsid w:val="00D31E5B"/>
    <w:rsid w:val="00D323D0"/>
    <w:rsid w:val="00D3495F"/>
    <w:rsid w:val="00D35606"/>
    <w:rsid w:val="00D40CB7"/>
    <w:rsid w:val="00D470CF"/>
    <w:rsid w:val="00D47C43"/>
    <w:rsid w:val="00D51FD2"/>
    <w:rsid w:val="00D5210F"/>
    <w:rsid w:val="00D620EC"/>
    <w:rsid w:val="00D62394"/>
    <w:rsid w:val="00D67341"/>
    <w:rsid w:val="00D70B7C"/>
    <w:rsid w:val="00D71010"/>
    <w:rsid w:val="00D7196F"/>
    <w:rsid w:val="00D732B8"/>
    <w:rsid w:val="00D74FDF"/>
    <w:rsid w:val="00D77082"/>
    <w:rsid w:val="00D83EBC"/>
    <w:rsid w:val="00D94D8C"/>
    <w:rsid w:val="00D9713E"/>
    <w:rsid w:val="00D9790C"/>
    <w:rsid w:val="00DA247A"/>
    <w:rsid w:val="00DA4CD7"/>
    <w:rsid w:val="00DA4F9F"/>
    <w:rsid w:val="00DB036F"/>
    <w:rsid w:val="00DB1414"/>
    <w:rsid w:val="00DB2C97"/>
    <w:rsid w:val="00DB4627"/>
    <w:rsid w:val="00DB54C4"/>
    <w:rsid w:val="00DC3056"/>
    <w:rsid w:val="00DC4C04"/>
    <w:rsid w:val="00DD277A"/>
    <w:rsid w:val="00DD407D"/>
    <w:rsid w:val="00DD4F40"/>
    <w:rsid w:val="00DD5238"/>
    <w:rsid w:val="00DD6C3D"/>
    <w:rsid w:val="00DD725F"/>
    <w:rsid w:val="00DE4451"/>
    <w:rsid w:val="00DE5933"/>
    <w:rsid w:val="00DE70B4"/>
    <w:rsid w:val="00DF0586"/>
    <w:rsid w:val="00DF29BC"/>
    <w:rsid w:val="00DF32E5"/>
    <w:rsid w:val="00DF4E2E"/>
    <w:rsid w:val="00DF705D"/>
    <w:rsid w:val="00DF7368"/>
    <w:rsid w:val="00DF7E8F"/>
    <w:rsid w:val="00E0164B"/>
    <w:rsid w:val="00E01F97"/>
    <w:rsid w:val="00E05B78"/>
    <w:rsid w:val="00E064BB"/>
    <w:rsid w:val="00E13304"/>
    <w:rsid w:val="00E14BC4"/>
    <w:rsid w:val="00E14F0A"/>
    <w:rsid w:val="00E16633"/>
    <w:rsid w:val="00E20F4E"/>
    <w:rsid w:val="00E225F4"/>
    <w:rsid w:val="00E22BEE"/>
    <w:rsid w:val="00E267BA"/>
    <w:rsid w:val="00E31656"/>
    <w:rsid w:val="00E34B31"/>
    <w:rsid w:val="00E41E3E"/>
    <w:rsid w:val="00E43777"/>
    <w:rsid w:val="00E443A5"/>
    <w:rsid w:val="00E4503B"/>
    <w:rsid w:val="00E45A7D"/>
    <w:rsid w:val="00E46DD7"/>
    <w:rsid w:val="00E51304"/>
    <w:rsid w:val="00E53221"/>
    <w:rsid w:val="00E543C7"/>
    <w:rsid w:val="00E54B07"/>
    <w:rsid w:val="00E56296"/>
    <w:rsid w:val="00E658C1"/>
    <w:rsid w:val="00E677A4"/>
    <w:rsid w:val="00E72217"/>
    <w:rsid w:val="00E7280A"/>
    <w:rsid w:val="00E75B1A"/>
    <w:rsid w:val="00E77D34"/>
    <w:rsid w:val="00E81CE3"/>
    <w:rsid w:val="00E8404A"/>
    <w:rsid w:val="00E851BC"/>
    <w:rsid w:val="00E853D4"/>
    <w:rsid w:val="00E91AFC"/>
    <w:rsid w:val="00E937F1"/>
    <w:rsid w:val="00E95320"/>
    <w:rsid w:val="00E96159"/>
    <w:rsid w:val="00E963EA"/>
    <w:rsid w:val="00E97077"/>
    <w:rsid w:val="00EA022B"/>
    <w:rsid w:val="00EA3B7A"/>
    <w:rsid w:val="00EA6166"/>
    <w:rsid w:val="00EA7F6C"/>
    <w:rsid w:val="00EB19D0"/>
    <w:rsid w:val="00EB2BAA"/>
    <w:rsid w:val="00EB4277"/>
    <w:rsid w:val="00EB4CC0"/>
    <w:rsid w:val="00EB53C7"/>
    <w:rsid w:val="00EC083E"/>
    <w:rsid w:val="00EC1504"/>
    <w:rsid w:val="00EC2952"/>
    <w:rsid w:val="00EC3BA5"/>
    <w:rsid w:val="00EC4C7F"/>
    <w:rsid w:val="00EC4CC0"/>
    <w:rsid w:val="00EC7761"/>
    <w:rsid w:val="00EC7F96"/>
    <w:rsid w:val="00ED0A5F"/>
    <w:rsid w:val="00ED6C95"/>
    <w:rsid w:val="00ED791E"/>
    <w:rsid w:val="00ED7F40"/>
    <w:rsid w:val="00EE002C"/>
    <w:rsid w:val="00EE157C"/>
    <w:rsid w:val="00EE2E95"/>
    <w:rsid w:val="00EE4D4C"/>
    <w:rsid w:val="00EE54DF"/>
    <w:rsid w:val="00EF0F22"/>
    <w:rsid w:val="00EF1EFF"/>
    <w:rsid w:val="00EF2810"/>
    <w:rsid w:val="00EF6B02"/>
    <w:rsid w:val="00EF7A8C"/>
    <w:rsid w:val="00F0025D"/>
    <w:rsid w:val="00F04EAD"/>
    <w:rsid w:val="00F0584E"/>
    <w:rsid w:val="00F06646"/>
    <w:rsid w:val="00F0690B"/>
    <w:rsid w:val="00F072A2"/>
    <w:rsid w:val="00F103FD"/>
    <w:rsid w:val="00F12080"/>
    <w:rsid w:val="00F1291E"/>
    <w:rsid w:val="00F13154"/>
    <w:rsid w:val="00F1425F"/>
    <w:rsid w:val="00F16EFC"/>
    <w:rsid w:val="00F310CC"/>
    <w:rsid w:val="00F3277B"/>
    <w:rsid w:val="00F33178"/>
    <w:rsid w:val="00F33594"/>
    <w:rsid w:val="00F3475E"/>
    <w:rsid w:val="00F36A25"/>
    <w:rsid w:val="00F3770B"/>
    <w:rsid w:val="00F412B2"/>
    <w:rsid w:val="00F43ABE"/>
    <w:rsid w:val="00F44373"/>
    <w:rsid w:val="00F4617E"/>
    <w:rsid w:val="00F54A07"/>
    <w:rsid w:val="00F552E3"/>
    <w:rsid w:val="00F6119E"/>
    <w:rsid w:val="00F660F2"/>
    <w:rsid w:val="00F700EE"/>
    <w:rsid w:val="00F743BE"/>
    <w:rsid w:val="00F8572F"/>
    <w:rsid w:val="00F87B9F"/>
    <w:rsid w:val="00F94A25"/>
    <w:rsid w:val="00F95B3D"/>
    <w:rsid w:val="00FA1C95"/>
    <w:rsid w:val="00FA26CF"/>
    <w:rsid w:val="00FB0D78"/>
    <w:rsid w:val="00FB14DD"/>
    <w:rsid w:val="00FB1D5D"/>
    <w:rsid w:val="00FB3C25"/>
    <w:rsid w:val="00FB5281"/>
    <w:rsid w:val="00FB6C12"/>
    <w:rsid w:val="00FB72C9"/>
    <w:rsid w:val="00FC38B0"/>
    <w:rsid w:val="00FC5772"/>
    <w:rsid w:val="00FD095E"/>
    <w:rsid w:val="00FD1A14"/>
    <w:rsid w:val="00FD346F"/>
    <w:rsid w:val="00FD623C"/>
    <w:rsid w:val="00FD6C08"/>
    <w:rsid w:val="00FD786A"/>
    <w:rsid w:val="00FE10D9"/>
    <w:rsid w:val="00FE11B8"/>
    <w:rsid w:val="00FE6ABF"/>
    <w:rsid w:val="00FF35E0"/>
    <w:rsid w:val="00FF5E9D"/>
    <w:rsid w:val="00FF7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3C7C1"/>
  <w15:chartTrackingRefBased/>
  <w15:docId w15:val="{B9D259A8-62D9-44F4-9E80-548E6E460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2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22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22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2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2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2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2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2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2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2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22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2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2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2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2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2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2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277"/>
    <w:rPr>
      <w:rFonts w:eastAsiaTheme="majorEastAsia" w:cstheme="majorBidi"/>
      <w:color w:val="272727" w:themeColor="text1" w:themeTint="D8"/>
    </w:rPr>
  </w:style>
  <w:style w:type="paragraph" w:styleId="Title">
    <w:name w:val="Title"/>
    <w:basedOn w:val="Normal"/>
    <w:next w:val="Normal"/>
    <w:link w:val="TitleChar"/>
    <w:uiPriority w:val="10"/>
    <w:qFormat/>
    <w:rsid w:val="00AB22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2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2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2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277"/>
    <w:pPr>
      <w:spacing w:before="160"/>
      <w:jc w:val="center"/>
    </w:pPr>
    <w:rPr>
      <w:i/>
      <w:iCs/>
      <w:color w:val="404040" w:themeColor="text1" w:themeTint="BF"/>
    </w:rPr>
  </w:style>
  <w:style w:type="character" w:customStyle="1" w:styleId="QuoteChar">
    <w:name w:val="Quote Char"/>
    <w:basedOn w:val="DefaultParagraphFont"/>
    <w:link w:val="Quote"/>
    <w:uiPriority w:val="29"/>
    <w:rsid w:val="00AB2277"/>
    <w:rPr>
      <w:i/>
      <w:iCs/>
      <w:color w:val="404040" w:themeColor="text1" w:themeTint="BF"/>
    </w:rPr>
  </w:style>
  <w:style w:type="paragraph" w:styleId="ListParagraph">
    <w:name w:val="List Paragraph"/>
    <w:basedOn w:val="Normal"/>
    <w:uiPriority w:val="34"/>
    <w:qFormat/>
    <w:rsid w:val="00AB2277"/>
    <w:pPr>
      <w:ind w:left="720"/>
      <w:contextualSpacing/>
    </w:pPr>
  </w:style>
  <w:style w:type="character" w:styleId="IntenseEmphasis">
    <w:name w:val="Intense Emphasis"/>
    <w:basedOn w:val="DefaultParagraphFont"/>
    <w:uiPriority w:val="21"/>
    <w:qFormat/>
    <w:rsid w:val="00AB2277"/>
    <w:rPr>
      <w:i/>
      <w:iCs/>
      <w:color w:val="0F4761" w:themeColor="accent1" w:themeShade="BF"/>
    </w:rPr>
  </w:style>
  <w:style w:type="paragraph" w:styleId="IntenseQuote">
    <w:name w:val="Intense Quote"/>
    <w:basedOn w:val="Normal"/>
    <w:next w:val="Normal"/>
    <w:link w:val="IntenseQuoteChar"/>
    <w:uiPriority w:val="30"/>
    <w:qFormat/>
    <w:rsid w:val="00AB22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277"/>
    <w:rPr>
      <w:i/>
      <w:iCs/>
      <w:color w:val="0F4761" w:themeColor="accent1" w:themeShade="BF"/>
    </w:rPr>
  </w:style>
  <w:style w:type="character" w:styleId="IntenseReference">
    <w:name w:val="Intense Reference"/>
    <w:basedOn w:val="DefaultParagraphFont"/>
    <w:uiPriority w:val="32"/>
    <w:qFormat/>
    <w:rsid w:val="00AB2277"/>
    <w:rPr>
      <w:b/>
      <w:bCs/>
      <w:smallCaps/>
      <w:color w:val="0F4761" w:themeColor="accent1" w:themeShade="BF"/>
      <w:spacing w:val="5"/>
    </w:rPr>
  </w:style>
  <w:style w:type="paragraph" w:styleId="Header">
    <w:name w:val="header"/>
    <w:basedOn w:val="Normal"/>
    <w:link w:val="HeaderChar"/>
    <w:uiPriority w:val="99"/>
    <w:unhideWhenUsed/>
    <w:rsid w:val="00AB2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277"/>
  </w:style>
  <w:style w:type="paragraph" w:styleId="Footer">
    <w:name w:val="footer"/>
    <w:basedOn w:val="Normal"/>
    <w:link w:val="FooterChar"/>
    <w:uiPriority w:val="99"/>
    <w:unhideWhenUsed/>
    <w:rsid w:val="00AB2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277"/>
  </w:style>
  <w:style w:type="character" w:styleId="Hyperlink">
    <w:name w:val="Hyperlink"/>
    <w:basedOn w:val="DefaultParagraphFont"/>
    <w:uiPriority w:val="99"/>
    <w:unhideWhenUsed/>
    <w:rsid w:val="00BA44EA"/>
    <w:rPr>
      <w:color w:val="467886" w:themeColor="hyperlink"/>
      <w:u w:val="single"/>
    </w:rPr>
  </w:style>
  <w:style w:type="character" w:styleId="UnresolvedMention">
    <w:name w:val="Unresolved Mention"/>
    <w:basedOn w:val="DefaultParagraphFont"/>
    <w:uiPriority w:val="99"/>
    <w:semiHidden/>
    <w:unhideWhenUsed/>
    <w:rsid w:val="00BA44EA"/>
    <w:rPr>
      <w:color w:val="605E5C"/>
      <w:shd w:val="clear" w:color="auto" w:fill="E1DFDD"/>
    </w:rPr>
  </w:style>
  <w:style w:type="character" w:styleId="FollowedHyperlink">
    <w:name w:val="FollowedHyperlink"/>
    <w:basedOn w:val="DefaultParagraphFont"/>
    <w:uiPriority w:val="99"/>
    <w:semiHidden/>
    <w:unhideWhenUsed/>
    <w:rsid w:val="00C3005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52102">
      <w:bodyDiv w:val="1"/>
      <w:marLeft w:val="0"/>
      <w:marRight w:val="0"/>
      <w:marTop w:val="0"/>
      <w:marBottom w:val="0"/>
      <w:divBdr>
        <w:top w:val="none" w:sz="0" w:space="0" w:color="auto"/>
        <w:left w:val="none" w:sz="0" w:space="0" w:color="auto"/>
        <w:bottom w:val="none" w:sz="0" w:space="0" w:color="auto"/>
        <w:right w:val="none" w:sz="0" w:space="0" w:color="auto"/>
      </w:divBdr>
      <w:divsChild>
        <w:div w:id="1994142066">
          <w:marLeft w:val="274"/>
          <w:marRight w:val="0"/>
          <w:marTop w:val="150"/>
          <w:marBottom w:val="0"/>
          <w:divBdr>
            <w:top w:val="none" w:sz="0" w:space="0" w:color="auto"/>
            <w:left w:val="none" w:sz="0" w:space="0" w:color="auto"/>
            <w:bottom w:val="none" w:sz="0" w:space="0" w:color="auto"/>
            <w:right w:val="none" w:sz="0" w:space="0" w:color="auto"/>
          </w:divBdr>
        </w:div>
      </w:divsChild>
    </w:div>
    <w:div w:id="106391081">
      <w:bodyDiv w:val="1"/>
      <w:marLeft w:val="0"/>
      <w:marRight w:val="0"/>
      <w:marTop w:val="0"/>
      <w:marBottom w:val="0"/>
      <w:divBdr>
        <w:top w:val="none" w:sz="0" w:space="0" w:color="auto"/>
        <w:left w:val="none" w:sz="0" w:space="0" w:color="auto"/>
        <w:bottom w:val="none" w:sz="0" w:space="0" w:color="auto"/>
        <w:right w:val="none" w:sz="0" w:space="0" w:color="auto"/>
      </w:divBdr>
    </w:div>
    <w:div w:id="153954682">
      <w:bodyDiv w:val="1"/>
      <w:marLeft w:val="0"/>
      <w:marRight w:val="0"/>
      <w:marTop w:val="0"/>
      <w:marBottom w:val="0"/>
      <w:divBdr>
        <w:top w:val="none" w:sz="0" w:space="0" w:color="auto"/>
        <w:left w:val="none" w:sz="0" w:space="0" w:color="auto"/>
        <w:bottom w:val="none" w:sz="0" w:space="0" w:color="auto"/>
        <w:right w:val="none" w:sz="0" w:space="0" w:color="auto"/>
      </w:divBdr>
    </w:div>
    <w:div w:id="271012581">
      <w:bodyDiv w:val="1"/>
      <w:marLeft w:val="0"/>
      <w:marRight w:val="0"/>
      <w:marTop w:val="0"/>
      <w:marBottom w:val="0"/>
      <w:divBdr>
        <w:top w:val="none" w:sz="0" w:space="0" w:color="auto"/>
        <w:left w:val="none" w:sz="0" w:space="0" w:color="auto"/>
        <w:bottom w:val="none" w:sz="0" w:space="0" w:color="auto"/>
        <w:right w:val="none" w:sz="0" w:space="0" w:color="auto"/>
      </w:divBdr>
    </w:div>
    <w:div w:id="278689190">
      <w:bodyDiv w:val="1"/>
      <w:marLeft w:val="0"/>
      <w:marRight w:val="0"/>
      <w:marTop w:val="0"/>
      <w:marBottom w:val="0"/>
      <w:divBdr>
        <w:top w:val="none" w:sz="0" w:space="0" w:color="auto"/>
        <w:left w:val="none" w:sz="0" w:space="0" w:color="auto"/>
        <w:bottom w:val="none" w:sz="0" w:space="0" w:color="auto"/>
        <w:right w:val="none" w:sz="0" w:space="0" w:color="auto"/>
      </w:divBdr>
    </w:div>
    <w:div w:id="484661028">
      <w:bodyDiv w:val="1"/>
      <w:marLeft w:val="0"/>
      <w:marRight w:val="0"/>
      <w:marTop w:val="0"/>
      <w:marBottom w:val="0"/>
      <w:divBdr>
        <w:top w:val="none" w:sz="0" w:space="0" w:color="auto"/>
        <w:left w:val="none" w:sz="0" w:space="0" w:color="auto"/>
        <w:bottom w:val="none" w:sz="0" w:space="0" w:color="auto"/>
        <w:right w:val="none" w:sz="0" w:space="0" w:color="auto"/>
      </w:divBdr>
    </w:div>
    <w:div w:id="596837608">
      <w:bodyDiv w:val="1"/>
      <w:marLeft w:val="0"/>
      <w:marRight w:val="0"/>
      <w:marTop w:val="0"/>
      <w:marBottom w:val="0"/>
      <w:divBdr>
        <w:top w:val="none" w:sz="0" w:space="0" w:color="auto"/>
        <w:left w:val="none" w:sz="0" w:space="0" w:color="auto"/>
        <w:bottom w:val="none" w:sz="0" w:space="0" w:color="auto"/>
        <w:right w:val="none" w:sz="0" w:space="0" w:color="auto"/>
      </w:divBdr>
    </w:div>
    <w:div w:id="713038052">
      <w:bodyDiv w:val="1"/>
      <w:marLeft w:val="0"/>
      <w:marRight w:val="0"/>
      <w:marTop w:val="0"/>
      <w:marBottom w:val="0"/>
      <w:divBdr>
        <w:top w:val="none" w:sz="0" w:space="0" w:color="auto"/>
        <w:left w:val="none" w:sz="0" w:space="0" w:color="auto"/>
        <w:bottom w:val="none" w:sz="0" w:space="0" w:color="auto"/>
        <w:right w:val="none" w:sz="0" w:space="0" w:color="auto"/>
      </w:divBdr>
    </w:div>
    <w:div w:id="956762737">
      <w:bodyDiv w:val="1"/>
      <w:marLeft w:val="0"/>
      <w:marRight w:val="0"/>
      <w:marTop w:val="0"/>
      <w:marBottom w:val="0"/>
      <w:divBdr>
        <w:top w:val="none" w:sz="0" w:space="0" w:color="auto"/>
        <w:left w:val="none" w:sz="0" w:space="0" w:color="auto"/>
        <w:bottom w:val="none" w:sz="0" w:space="0" w:color="auto"/>
        <w:right w:val="none" w:sz="0" w:space="0" w:color="auto"/>
      </w:divBdr>
      <w:divsChild>
        <w:div w:id="871382905">
          <w:marLeft w:val="108"/>
          <w:marRight w:val="108"/>
          <w:marTop w:val="0"/>
          <w:marBottom w:val="0"/>
          <w:divBdr>
            <w:top w:val="none" w:sz="0" w:space="0" w:color="auto"/>
            <w:left w:val="none" w:sz="0" w:space="0" w:color="auto"/>
            <w:bottom w:val="none" w:sz="0" w:space="0" w:color="auto"/>
            <w:right w:val="none" w:sz="0" w:space="0" w:color="auto"/>
          </w:divBdr>
          <w:divsChild>
            <w:div w:id="2093579007">
              <w:marLeft w:val="0"/>
              <w:marRight w:val="0"/>
              <w:marTop w:val="0"/>
              <w:marBottom w:val="0"/>
              <w:divBdr>
                <w:top w:val="none" w:sz="0" w:space="0" w:color="auto"/>
                <w:left w:val="none" w:sz="0" w:space="0" w:color="auto"/>
                <w:bottom w:val="none" w:sz="0" w:space="0" w:color="auto"/>
                <w:right w:val="none" w:sz="0" w:space="0" w:color="auto"/>
              </w:divBdr>
              <w:divsChild>
                <w:div w:id="1861896560">
                  <w:marLeft w:val="105"/>
                  <w:marRight w:val="105"/>
                  <w:marTop w:val="0"/>
                  <w:marBottom w:val="0"/>
                  <w:divBdr>
                    <w:top w:val="none" w:sz="0" w:space="0" w:color="auto"/>
                    <w:left w:val="none" w:sz="0" w:space="0" w:color="auto"/>
                    <w:bottom w:val="none" w:sz="0" w:space="0" w:color="auto"/>
                    <w:right w:val="none" w:sz="0" w:space="0" w:color="auto"/>
                  </w:divBdr>
                  <w:divsChild>
                    <w:div w:id="1682778745">
                      <w:marLeft w:val="0"/>
                      <w:marRight w:val="0"/>
                      <w:marTop w:val="0"/>
                      <w:marBottom w:val="0"/>
                      <w:divBdr>
                        <w:top w:val="none" w:sz="0" w:space="0" w:color="auto"/>
                        <w:left w:val="none" w:sz="0" w:space="0" w:color="auto"/>
                        <w:bottom w:val="none" w:sz="0" w:space="0" w:color="auto"/>
                        <w:right w:val="none" w:sz="0" w:space="0" w:color="auto"/>
                      </w:divBdr>
                      <w:divsChild>
                        <w:div w:id="563221204">
                          <w:marLeft w:val="0"/>
                          <w:marRight w:val="0"/>
                          <w:marTop w:val="0"/>
                          <w:marBottom w:val="0"/>
                          <w:divBdr>
                            <w:top w:val="none" w:sz="0" w:space="0" w:color="auto"/>
                            <w:left w:val="none" w:sz="0" w:space="0" w:color="auto"/>
                            <w:bottom w:val="none" w:sz="0" w:space="0" w:color="auto"/>
                            <w:right w:val="none" w:sz="0" w:space="0" w:color="auto"/>
                          </w:divBdr>
                          <w:divsChild>
                            <w:div w:id="1683437799">
                              <w:marLeft w:val="0"/>
                              <w:marRight w:val="0"/>
                              <w:marTop w:val="0"/>
                              <w:marBottom w:val="0"/>
                              <w:divBdr>
                                <w:top w:val="none" w:sz="0" w:space="0" w:color="auto"/>
                                <w:left w:val="none" w:sz="0" w:space="0" w:color="auto"/>
                                <w:bottom w:val="none" w:sz="0" w:space="0" w:color="auto"/>
                                <w:right w:val="none" w:sz="0" w:space="0" w:color="auto"/>
                              </w:divBdr>
                              <w:divsChild>
                                <w:div w:id="437992828">
                                  <w:marLeft w:val="0"/>
                                  <w:marRight w:val="0"/>
                                  <w:marTop w:val="0"/>
                                  <w:marBottom w:val="0"/>
                                  <w:divBdr>
                                    <w:top w:val="none" w:sz="0" w:space="0" w:color="auto"/>
                                    <w:left w:val="none" w:sz="0" w:space="0" w:color="auto"/>
                                    <w:bottom w:val="none" w:sz="0" w:space="0" w:color="auto"/>
                                    <w:right w:val="none" w:sz="0" w:space="0" w:color="auto"/>
                                  </w:divBdr>
                                  <w:divsChild>
                                    <w:div w:id="420224493">
                                      <w:marLeft w:val="0"/>
                                      <w:marRight w:val="0"/>
                                      <w:marTop w:val="0"/>
                                      <w:marBottom w:val="0"/>
                                      <w:divBdr>
                                        <w:top w:val="none" w:sz="0" w:space="0" w:color="auto"/>
                                        <w:left w:val="none" w:sz="0" w:space="0" w:color="auto"/>
                                        <w:bottom w:val="none" w:sz="0" w:space="0" w:color="auto"/>
                                        <w:right w:val="none" w:sz="0" w:space="0" w:color="auto"/>
                                      </w:divBdr>
                                      <w:divsChild>
                                        <w:div w:id="249781338">
                                          <w:marLeft w:val="0"/>
                                          <w:marRight w:val="0"/>
                                          <w:marTop w:val="0"/>
                                          <w:marBottom w:val="0"/>
                                          <w:divBdr>
                                            <w:top w:val="none" w:sz="0" w:space="0" w:color="auto"/>
                                            <w:left w:val="none" w:sz="0" w:space="0" w:color="auto"/>
                                            <w:bottom w:val="none" w:sz="0" w:space="0" w:color="auto"/>
                                            <w:right w:val="none" w:sz="0" w:space="0" w:color="auto"/>
                                          </w:divBdr>
                                        </w:div>
                                        <w:div w:id="202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78676">
          <w:marLeft w:val="108"/>
          <w:marRight w:val="108"/>
          <w:marTop w:val="0"/>
          <w:marBottom w:val="0"/>
          <w:divBdr>
            <w:top w:val="none" w:sz="0" w:space="0" w:color="auto"/>
            <w:left w:val="none" w:sz="0" w:space="0" w:color="auto"/>
            <w:bottom w:val="none" w:sz="0" w:space="0" w:color="auto"/>
            <w:right w:val="none" w:sz="0" w:space="0" w:color="auto"/>
          </w:divBdr>
          <w:divsChild>
            <w:div w:id="2123836312">
              <w:marLeft w:val="0"/>
              <w:marRight w:val="0"/>
              <w:marTop w:val="0"/>
              <w:marBottom w:val="0"/>
              <w:divBdr>
                <w:top w:val="none" w:sz="0" w:space="0" w:color="auto"/>
                <w:left w:val="none" w:sz="0" w:space="0" w:color="auto"/>
                <w:bottom w:val="none" w:sz="0" w:space="0" w:color="auto"/>
                <w:right w:val="none" w:sz="0" w:space="0" w:color="auto"/>
              </w:divBdr>
              <w:divsChild>
                <w:div w:id="1000423542">
                  <w:marLeft w:val="0"/>
                  <w:marRight w:val="0"/>
                  <w:marTop w:val="0"/>
                  <w:marBottom w:val="0"/>
                  <w:divBdr>
                    <w:top w:val="none" w:sz="0" w:space="0" w:color="auto"/>
                    <w:left w:val="none" w:sz="0" w:space="0" w:color="auto"/>
                    <w:bottom w:val="none" w:sz="0" w:space="0" w:color="auto"/>
                    <w:right w:val="none" w:sz="0" w:space="0" w:color="auto"/>
                  </w:divBdr>
                  <w:divsChild>
                    <w:div w:id="1623684519">
                      <w:marLeft w:val="0"/>
                      <w:marRight w:val="0"/>
                      <w:marTop w:val="0"/>
                      <w:marBottom w:val="0"/>
                      <w:divBdr>
                        <w:top w:val="none" w:sz="0" w:space="0" w:color="auto"/>
                        <w:left w:val="none" w:sz="0" w:space="0" w:color="auto"/>
                        <w:bottom w:val="none" w:sz="0" w:space="0" w:color="auto"/>
                        <w:right w:val="none" w:sz="0" w:space="0" w:color="auto"/>
                      </w:divBdr>
                      <w:divsChild>
                        <w:div w:id="92670450">
                          <w:marLeft w:val="0"/>
                          <w:marRight w:val="0"/>
                          <w:marTop w:val="0"/>
                          <w:marBottom w:val="0"/>
                          <w:divBdr>
                            <w:top w:val="none" w:sz="0" w:space="0" w:color="auto"/>
                            <w:left w:val="none" w:sz="0" w:space="0" w:color="auto"/>
                            <w:bottom w:val="none" w:sz="0" w:space="0" w:color="auto"/>
                            <w:right w:val="none" w:sz="0" w:space="0" w:color="auto"/>
                          </w:divBdr>
                          <w:divsChild>
                            <w:div w:id="699403145">
                              <w:marLeft w:val="0"/>
                              <w:marRight w:val="0"/>
                              <w:marTop w:val="0"/>
                              <w:marBottom w:val="150"/>
                              <w:divBdr>
                                <w:top w:val="none" w:sz="0" w:space="0" w:color="auto"/>
                                <w:left w:val="none" w:sz="0" w:space="0" w:color="auto"/>
                                <w:bottom w:val="none" w:sz="0" w:space="0" w:color="auto"/>
                                <w:right w:val="none" w:sz="0" w:space="0" w:color="auto"/>
                              </w:divBdr>
                            </w:div>
                          </w:divsChild>
                        </w:div>
                        <w:div w:id="399601595">
                          <w:marLeft w:val="0"/>
                          <w:marRight w:val="0"/>
                          <w:marTop w:val="0"/>
                          <w:marBottom w:val="0"/>
                          <w:divBdr>
                            <w:top w:val="none" w:sz="0" w:space="0" w:color="auto"/>
                            <w:left w:val="none" w:sz="0" w:space="0" w:color="auto"/>
                            <w:bottom w:val="none" w:sz="0" w:space="0" w:color="auto"/>
                            <w:right w:val="none" w:sz="0" w:space="0" w:color="auto"/>
                          </w:divBdr>
                        </w:div>
                        <w:div w:id="2071078310">
                          <w:marLeft w:val="0"/>
                          <w:marRight w:val="0"/>
                          <w:marTop w:val="0"/>
                          <w:marBottom w:val="0"/>
                          <w:divBdr>
                            <w:top w:val="none" w:sz="0" w:space="0" w:color="auto"/>
                            <w:left w:val="none" w:sz="0" w:space="0" w:color="auto"/>
                            <w:bottom w:val="none" w:sz="0" w:space="0" w:color="auto"/>
                            <w:right w:val="none" w:sz="0" w:space="0" w:color="auto"/>
                          </w:divBdr>
                          <w:divsChild>
                            <w:div w:id="740637693">
                              <w:marLeft w:val="0"/>
                              <w:marRight w:val="0"/>
                              <w:marTop w:val="0"/>
                              <w:marBottom w:val="0"/>
                              <w:divBdr>
                                <w:top w:val="none" w:sz="0" w:space="0" w:color="auto"/>
                                <w:left w:val="none" w:sz="0" w:space="0" w:color="auto"/>
                                <w:bottom w:val="none" w:sz="0" w:space="0" w:color="auto"/>
                                <w:right w:val="none" w:sz="0" w:space="0" w:color="auto"/>
                              </w:divBdr>
                              <w:divsChild>
                                <w:div w:id="322323562">
                                  <w:marLeft w:val="0"/>
                                  <w:marRight w:val="0"/>
                                  <w:marTop w:val="0"/>
                                  <w:marBottom w:val="0"/>
                                  <w:divBdr>
                                    <w:top w:val="none" w:sz="0" w:space="0" w:color="auto"/>
                                    <w:left w:val="none" w:sz="0" w:space="0" w:color="auto"/>
                                    <w:bottom w:val="none" w:sz="0" w:space="0" w:color="auto"/>
                                    <w:right w:val="none" w:sz="0" w:space="0" w:color="auto"/>
                                  </w:divBdr>
                                  <w:divsChild>
                                    <w:div w:id="309797393">
                                      <w:marLeft w:val="0"/>
                                      <w:marRight w:val="0"/>
                                      <w:marTop w:val="0"/>
                                      <w:marBottom w:val="0"/>
                                      <w:divBdr>
                                        <w:top w:val="none" w:sz="0" w:space="0" w:color="auto"/>
                                        <w:left w:val="none" w:sz="0" w:space="0" w:color="auto"/>
                                        <w:bottom w:val="none" w:sz="0" w:space="0" w:color="auto"/>
                                        <w:right w:val="none" w:sz="0" w:space="0" w:color="auto"/>
                                      </w:divBdr>
                                    </w:div>
                                    <w:div w:id="2011255225">
                                      <w:marLeft w:val="0"/>
                                      <w:marRight w:val="0"/>
                                      <w:marTop w:val="0"/>
                                      <w:marBottom w:val="0"/>
                                      <w:divBdr>
                                        <w:top w:val="none" w:sz="0" w:space="0" w:color="auto"/>
                                        <w:left w:val="none" w:sz="0" w:space="0" w:color="auto"/>
                                        <w:bottom w:val="none" w:sz="0" w:space="0" w:color="auto"/>
                                        <w:right w:val="none" w:sz="0" w:space="0" w:color="auto"/>
                                      </w:divBdr>
                                    </w:div>
                                    <w:div w:id="1409032661">
                                      <w:marLeft w:val="0"/>
                                      <w:marRight w:val="0"/>
                                      <w:marTop w:val="0"/>
                                      <w:marBottom w:val="0"/>
                                      <w:divBdr>
                                        <w:top w:val="none" w:sz="0" w:space="0" w:color="auto"/>
                                        <w:left w:val="none" w:sz="0" w:space="0" w:color="auto"/>
                                        <w:bottom w:val="none" w:sz="0" w:space="0" w:color="auto"/>
                                        <w:right w:val="none" w:sz="0" w:space="0" w:color="auto"/>
                                      </w:divBdr>
                                    </w:div>
                                    <w:div w:id="16760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539534">
      <w:bodyDiv w:val="1"/>
      <w:marLeft w:val="0"/>
      <w:marRight w:val="0"/>
      <w:marTop w:val="0"/>
      <w:marBottom w:val="0"/>
      <w:divBdr>
        <w:top w:val="none" w:sz="0" w:space="0" w:color="auto"/>
        <w:left w:val="none" w:sz="0" w:space="0" w:color="auto"/>
        <w:bottom w:val="none" w:sz="0" w:space="0" w:color="auto"/>
        <w:right w:val="none" w:sz="0" w:space="0" w:color="auto"/>
      </w:divBdr>
    </w:div>
    <w:div w:id="1100682732">
      <w:bodyDiv w:val="1"/>
      <w:marLeft w:val="0"/>
      <w:marRight w:val="0"/>
      <w:marTop w:val="0"/>
      <w:marBottom w:val="0"/>
      <w:divBdr>
        <w:top w:val="none" w:sz="0" w:space="0" w:color="auto"/>
        <w:left w:val="none" w:sz="0" w:space="0" w:color="auto"/>
        <w:bottom w:val="none" w:sz="0" w:space="0" w:color="auto"/>
        <w:right w:val="none" w:sz="0" w:space="0" w:color="auto"/>
      </w:divBdr>
    </w:div>
    <w:div w:id="1198852002">
      <w:bodyDiv w:val="1"/>
      <w:marLeft w:val="0"/>
      <w:marRight w:val="0"/>
      <w:marTop w:val="0"/>
      <w:marBottom w:val="0"/>
      <w:divBdr>
        <w:top w:val="none" w:sz="0" w:space="0" w:color="auto"/>
        <w:left w:val="none" w:sz="0" w:space="0" w:color="auto"/>
        <w:bottom w:val="none" w:sz="0" w:space="0" w:color="auto"/>
        <w:right w:val="none" w:sz="0" w:space="0" w:color="auto"/>
      </w:divBdr>
    </w:div>
    <w:div w:id="1205681413">
      <w:bodyDiv w:val="1"/>
      <w:marLeft w:val="0"/>
      <w:marRight w:val="0"/>
      <w:marTop w:val="0"/>
      <w:marBottom w:val="0"/>
      <w:divBdr>
        <w:top w:val="none" w:sz="0" w:space="0" w:color="auto"/>
        <w:left w:val="none" w:sz="0" w:space="0" w:color="auto"/>
        <w:bottom w:val="none" w:sz="0" w:space="0" w:color="auto"/>
        <w:right w:val="none" w:sz="0" w:space="0" w:color="auto"/>
      </w:divBdr>
    </w:div>
    <w:div w:id="1240558729">
      <w:bodyDiv w:val="1"/>
      <w:marLeft w:val="0"/>
      <w:marRight w:val="0"/>
      <w:marTop w:val="0"/>
      <w:marBottom w:val="0"/>
      <w:divBdr>
        <w:top w:val="none" w:sz="0" w:space="0" w:color="auto"/>
        <w:left w:val="none" w:sz="0" w:space="0" w:color="auto"/>
        <w:bottom w:val="none" w:sz="0" w:space="0" w:color="auto"/>
        <w:right w:val="none" w:sz="0" w:space="0" w:color="auto"/>
      </w:divBdr>
    </w:div>
    <w:div w:id="1326320452">
      <w:bodyDiv w:val="1"/>
      <w:marLeft w:val="0"/>
      <w:marRight w:val="0"/>
      <w:marTop w:val="0"/>
      <w:marBottom w:val="0"/>
      <w:divBdr>
        <w:top w:val="none" w:sz="0" w:space="0" w:color="auto"/>
        <w:left w:val="none" w:sz="0" w:space="0" w:color="auto"/>
        <w:bottom w:val="none" w:sz="0" w:space="0" w:color="auto"/>
        <w:right w:val="none" w:sz="0" w:space="0" w:color="auto"/>
      </w:divBdr>
    </w:div>
    <w:div w:id="1683967904">
      <w:bodyDiv w:val="1"/>
      <w:marLeft w:val="0"/>
      <w:marRight w:val="0"/>
      <w:marTop w:val="0"/>
      <w:marBottom w:val="0"/>
      <w:divBdr>
        <w:top w:val="none" w:sz="0" w:space="0" w:color="auto"/>
        <w:left w:val="none" w:sz="0" w:space="0" w:color="auto"/>
        <w:bottom w:val="none" w:sz="0" w:space="0" w:color="auto"/>
        <w:right w:val="none" w:sz="0" w:space="0" w:color="auto"/>
      </w:divBdr>
    </w:div>
    <w:div w:id="1717049683">
      <w:bodyDiv w:val="1"/>
      <w:marLeft w:val="0"/>
      <w:marRight w:val="0"/>
      <w:marTop w:val="0"/>
      <w:marBottom w:val="0"/>
      <w:divBdr>
        <w:top w:val="none" w:sz="0" w:space="0" w:color="auto"/>
        <w:left w:val="none" w:sz="0" w:space="0" w:color="auto"/>
        <w:bottom w:val="none" w:sz="0" w:space="0" w:color="auto"/>
        <w:right w:val="none" w:sz="0" w:space="0" w:color="auto"/>
      </w:divBdr>
      <w:divsChild>
        <w:div w:id="1388802017">
          <w:marLeft w:val="108"/>
          <w:marRight w:val="108"/>
          <w:marTop w:val="0"/>
          <w:marBottom w:val="0"/>
          <w:divBdr>
            <w:top w:val="none" w:sz="0" w:space="0" w:color="auto"/>
            <w:left w:val="none" w:sz="0" w:space="0" w:color="auto"/>
            <w:bottom w:val="none" w:sz="0" w:space="0" w:color="auto"/>
            <w:right w:val="none" w:sz="0" w:space="0" w:color="auto"/>
          </w:divBdr>
          <w:divsChild>
            <w:div w:id="1033652118">
              <w:marLeft w:val="0"/>
              <w:marRight w:val="0"/>
              <w:marTop w:val="0"/>
              <w:marBottom w:val="0"/>
              <w:divBdr>
                <w:top w:val="none" w:sz="0" w:space="0" w:color="auto"/>
                <w:left w:val="none" w:sz="0" w:space="0" w:color="auto"/>
                <w:bottom w:val="none" w:sz="0" w:space="0" w:color="auto"/>
                <w:right w:val="none" w:sz="0" w:space="0" w:color="auto"/>
              </w:divBdr>
              <w:divsChild>
                <w:div w:id="6253450">
                  <w:marLeft w:val="105"/>
                  <w:marRight w:val="105"/>
                  <w:marTop w:val="0"/>
                  <w:marBottom w:val="0"/>
                  <w:divBdr>
                    <w:top w:val="none" w:sz="0" w:space="0" w:color="auto"/>
                    <w:left w:val="none" w:sz="0" w:space="0" w:color="auto"/>
                    <w:bottom w:val="none" w:sz="0" w:space="0" w:color="auto"/>
                    <w:right w:val="none" w:sz="0" w:space="0" w:color="auto"/>
                  </w:divBdr>
                  <w:divsChild>
                    <w:div w:id="1601454281">
                      <w:marLeft w:val="0"/>
                      <w:marRight w:val="0"/>
                      <w:marTop w:val="0"/>
                      <w:marBottom w:val="0"/>
                      <w:divBdr>
                        <w:top w:val="none" w:sz="0" w:space="0" w:color="auto"/>
                        <w:left w:val="none" w:sz="0" w:space="0" w:color="auto"/>
                        <w:bottom w:val="none" w:sz="0" w:space="0" w:color="auto"/>
                        <w:right w:val="none" w:sz="0" w:space="0" w:color="auto"/>
                      </w:divBdr>
                      <w:divsChild>
                        <w:div w:id="3171654">
                          <w:marLeft w:val="0"/>
                          <w:marRight w:val="0"/>
                          <w:marTop w:val="0"/>
                          <w:marBottom w:val="0"/>
                          <w:divBdr>
                            <w:top w:val="none" w:sz="0" w:space="0" w:color="auto"/>
                            <w:left w:val="none" w:sz="0" w:space="0" w:color="auto"/>
                            <w:bottom w:val="none" w:sz="0" w:space="0" w:color="auto"/>
                            <w:right w:val="none" w:sz="0" w:space="0" w:color="auto"/>
                          </w:divBdr>
                          <w:divsChild>
                            <w:div w:id="167795131">
                              <w:marLeft w:val="0"/>
                              <w:marRight w:val="0"/>
                              <w:marTop w:val="0"/>
                              <w:marBottom w:val="0"/>
                              <w:divBdr>
                                <w:top w:val="none" w:sz="0" w:space="0" w:color="auto"/>
                                <w:left w:val="none" w:sz="0" w:space="0" w:color="auto"/>
                                <w:bottom w:val="none" w:sz="0" w:space="0" w:color="auto"/>
                                <w:right w:val="none" w:sz="0" w:space="0" w:color="auto"/>
                              </w:divBdr>
                              <w:divsChild>
                                <w:div w:id="1374305097">
                                  <w:marLeft w:val="0"/>
                                  <w:marRight w:val="0"/>
                                  <w:marTop w:val="0"/>
                                  <w:marBottom w:val="0"/>
                                  <w:divBdr>
                                    <w:top w:val="none" w:sz="0" w:space="0" w:color="auto"/>
                                    <w:left w:val="none" w:sz="0" w:space="0" w:color="auto"/>
                                    <w:bottom w:val="none" w:sz="0" w:space="0" w:color="auto"/>
                                    <w:right w:val="none" w:sz="0" w:space="0" w:color="auto"/>
                                  </w:divBdr>
                                  <w:divsChild>
                                    <w:div w:id="384060480">
                                      <w:marLeft w:val="0"/>
                                      <w:marRight w:val="0"/>
                                      <w:marTop w:val="0"/>
                                      <w:marBottom w:val="0"/>
                                      <w:divBdr>
                                        <w:top w:val="none" w:sz="0" w:space="0" w:color="auto"/>
                                        <w:left w:val="none" w:sz="0" w:space="0" w:color="auto"/>
                                        <w:bottom w:val="none" w:sz="0" w:space="0" w:color="auto"/>
                                        <w:right w:val="none" w:sz="0" w:space="0" w:color="auto"/>
                                      </w:divBdr>
                                      <w:divsChild>
                                        <w:div w:id="1755711762">
                                          <w:marLeft w:val="0"/>
                                          <w:marRight w:val="0"/>
                                          <w:marTop w:val="0"/>
                                          <w:marBottom w:val="0"/>
                                          <w:divBdr>
                                            <w:top w:val="none" w:sz="0" w:space="0" w:color="auto"/>
                                            <w:left w:val="none" w:sz="0" w:space="0" w:color="auto"/>
                                            <w:bottom w:val="none" w:sz="0" w:space="0" w:color="auto"/>
                                            <w:right w:val="none" w:sz="0" w:space="0" w:color="auto"/>
                                          </w:divBdr>
                                        </w:div>
                                        <w:div w:id="25351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8658645">
          <w:marLeft w:val="108"/>
          <w:marRight w:val="108"/>
          <w:marTop w:val="0"/>
          <w:marBottom w:val="0"/>
          <w:divBdr>
            <w:top w:val="none" w:sz="0" w:space="0" w:color="auto"/>
            <w:left w:val="none" w:sz="0" w:space="0" w:color="auto"/>
            <w:bottom w:val="none" w:sz="0" w:space="0" w:color="auto"/>
            <w:right w:val="none" w:sz="0" w:space="0" w:color="auto"/>
          </w:divBdr>
          <w:divsChild>
            <w:div w:id="711422250">
              <w:marLeft w:val="0"/>
              <w:marRight w:val="0"/>
              <w:marTop w:val="0"/>
              <w:marBottom w:val="0"/>
              <w:divBdr>
                <w:top w:val="none" w:sz="0" w:space="0" w:color="auto"/>
                <w:left w:val="none" w:sz="0" w:space="0" w:color="auto"/>
                <w:bottom w:val="none" w:sz="0" w:space="0" w:color="auto"/>
                <w:right w:val="none" w:sz="0" w:space="0" w:color="auto"/>
              </w:divBdr>
              <w:divsChild>
                <w:div w:id="2011639298">
                  <w:marLeft w:val="0"/>
                  <w:marRight w:val="0"/>
                  <w:marTop w:val="0"/>
                  <w:marBottom w:val="0"/>
                  <w:divBdr>
                    <w:top w:val="none" w:sz="0" w:space="0" w:color="auto"/>
                    <w:left w:val="none" w:sz="0" w:space="0" w:color="auto"/>
                    <w:bottom w:val="none" w:sz="0" w:space="0" w:color="auto"/>
                    <w:right w:val="none" w:sz="0" w:space="0" w:color="auto"/>
                  </w:divBdr>
                  <w:divsChild>
                    <w:div w:id="502934708">
                      <w:marLeft w:val="0"/>
                      <w:marRight w:val="0"/>
                      <w:marTop w:val="0"/>
                      <w:marBottom w:val="0"/>
                      <w:divBdr>
                        <w:top w:val="none" w:sz="0" w:space="0" w:color="auto"/>
                        <w:left w:val="none" w:sz="0" w:space="0" w:color="auto"/>
                        <w:bottom w:val="none" w:sz="0" w:space="0" w:color="auto"/>
                        <w:right w:val="none" w:sz="0" w:space="0" w:color="auto"/>
                      </w:divBdr>
                      <w:divsChild>
                        <w:div w:id="34543960">
                          <w:marLeft w:val="0"/>
                          <w:marRight w:val="0"/>
                          <w:marTop w:val="0"/>
                          <w:marBottom w:val="0"/>
                          <w:divBdr>
                            <w:top w:val="none" w:sz="0" w:space="0" w:color="auto"/>
                            <w:left w:val="none" w:sz="0" w:space="0" w:color="auto"/>
                            <w:bottom w:val="none" w:sz="0" w:space="0" w:color="auto"/>
                            <w:right w:val="none" w:sz="0" w:space="0" w:color="auto"/>
                          </w:divBdr>
                          <w:divsChild>
                            <w:div w:id="1182090218">
                              <w:marLeft w:val="0"/>
                              <w:marRight w:val="0"/>
                              <w:marTop w:val="0"/>
                              <w:marBottom w:val="150"/>
                              <w:divBdr>
                                <w:top w:val="none" w:sz="0" w:space="0" w:color="auto"/>
                                <w:left w:val="none" w:sz="0" w:space="0" w:color="auto"/>
                                <w:bottom w:val="none" w:sz="0" w:space="0" w:color="auto"/>
                                <w:right w:val="none" w:sz="0" w:space="0" w:color="auto"/>
                              </w:divBdr>
                            </w:div>
                          </w:divsChild>
                        </w:div>
                        <w:div w:id="1530295618">
                          <w:marLeft w:val="0"/>
                          <w:marRight w:val="0"/>
                          <w:marTop w:val="0"/>
                          <w:marBottom w:val="0"/>
                          <w:divBdr>
                            <w:top w:val="none" w:sz="0" w:space="0" w:color="auto"/>
                            <w:left w:val="none" w:sz="0" w:space="0" w:color="auto"/>
                            <w:bottom w:val="none" w:sz="0" w:space="0" w:color="auto"/>
                            <w:right w:val="none" w:sz="0" w:space="0" w:color="auto"/>
                          </w:divBdr>
                        </w:div>
                        <w:div w:id="674038388">
                          <w:marLeft w:val="0"/>
                          <w:marRight w:val="0"/>
                          <w:marTop w:val="0"/>
                          <w:marBottom w:val="0"/>
                          <w:divBdr>
                            <w:top w:val="none" w:sz="0" w:space="0" w:color="auto"/>
                            <w:left w:val="none" w:sz="0" w:space="0" w:color="auto"/>
                            <w:bottom w:val="none" w:sz="0" w:space="0" w:color="auto"/>
                            <w:right w:val="none" w:sz="0" w:space="0" w:color="auto"/>
                          </w:divBdr>
                          <w:divsChild>
                            <w:div w:id="1633747752">
                              <w:marLeft w:val="0"/>
                              <w:marRight w:val="0"/>
                              <w:marTop w:val="0"/>
                              <w:marBottom w:val="0"/>
                              <w:divBdr>
                                <w:top w:val="none" w:sz="0" w:space="0" w:color="auto"/>
                                <w:left w:val="none" w:sz="0" w:space="0" w:color="auto"/>
                                <w:bottom w:val="none" w:sz="0" w:space="0" w:color="auto"/>
                                <w:right w:val="none" w:sz="0" w:space="0" w:color="auto"/>
                              </w:divBdr>
                              <w:divsChild>
                                <w:div w:id="904603983">
                                  <w:marLeft w:val="0"/>
                                  <w:marRight w:val="0"/>
                                  <w:marTop w:val="0"/>
                                  <w:marBottom w:val="0"/>
                                  <w:divBdr>
                                    <w:top w:val="none" w:sz="0" w:space="0" w:color="auto"/>
                                    <w:left w:val="none" w:sz="0" w:space="0" w:color="auto"/>
                                    <w:bottom w:val="none" w:sz="0" w:space="0" w:color="auto"/>
                                    <w:right w:val="none" w:sz="0" w:space="0" w:color="auto"/>
                                  </w:divBdr>
                                  <w:divsChild>
                                    <w:div w:id="294454592">
                                      <w:marLeft w:val="0"/>
                                      <w:marRight w:val="0"/>
                                      <w:marTop w:val="0"/>
                                      <w:marBottom w:val="0"/>
                                      <w:divBdr>
                                        <w:top w:val="none" w:sz="0" w:space="0" w:color="auto"/>
                                        <w:left w:val="none" w:sz="0" w:space="0" w:color="auto"/>
                                        <w:bottom w:val="none" w:sz="0" w:space="0" w:color="auto"/>
                                        <w:right w:val="none" w:sz="0" w:space="0" w:color="auto"/>
                                      </w:divBdr>
                                    </w:div>
                                    <w:div w:id="2067333322">
                                      <w:marLeft w:val="0"/>
                                      <w:marRight w:val="0"/>
                                      <w:marTop w:val="0"/>
                                      <w:marBottom w:val="0"/>
                                      <w:divBdr>
                                        <w:top w:val="none" w:sz="0" w:space="0" w:color="auto"/>
                                        <w:left w:val="none" w:sz="0" w:space="0" w:color="auto"/>
                                        <w:bottom w:val="none" w:sz="0" w:space="0" w:color="auto"/>
                                        <w:right w:val="none" w:sz="0" w:space="0" w:color="auto"/>
                                      </w:divBdr>
                                    </w:div>
                                    <w:div w:id="1209337592">
                                      <w:marLeft w:val="0"/>
                                      <w:marRight w:val="0"/>
                                      <w:marTop w:val="0"/>
                                      <w:marBottom w:val="0"/>
                                      <w:divBdr>
                                        <w:top w:val="none" w:sz="0" w:space="0" w:color="auto"/>
                                        <w:left w:val="none" w:sz="0" w:space="0" w:color="auto"/>
                                        <w:bottom w:val="none" w:sz="0" w:space="0" w:color="auto"/>
                                        <w:right w:val="none" w:sz="0" w:space="0" w:color="auto"/>
                                      </w:divBdr>
                                    </w:div>
                                    <w:div w:id="135576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4174208">
      <w:bodyDiv w:val="1"/>
      <w:marLeft w:val="0"/>
      <w:marRight w:val="0"/>
      <w:marTop w:val="0"/>
      <w:marBottom w:val="0"/>
      <w:divBdr>
        <w:top w:val="none" w:sz="0" w:space="0" w:color="auto"/>
        <w:left w:val="none" w:sz="0" w:space="0" w:color="auto"/>
        <w:bottom w:val="none" w:sz="0" w:space="0" w:color="auto"/>
        <w:right w:val="none" w:sz="0" w:space="0" w:color="auto"/>
      </w:divBdr>
    </w:div>
    <w:div w:id="200238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ndfonline.com/doi/full/10.1080/03004430.2011.608429?casa_token=QXcVgNMD9DAAAAAA%3Afg-ejwraPWSqelMjQw-vZhJImS-arDJAonS0H3Cxy0A6AOYKreojV7yzLBanIKFw2fSQBI6tCg" TargetMode="External"/><Relationship Id="rId18" Type="http://schemas.openxmlformats.org/officeDocument/2006/relationships/hyperlink" Target="https://play.wales/wp-content/uploads/2023/03/Play-Policy.pdf" TargetMode="External"/><Relationship Id="rId26" Type="http://schemas.openxmlformats.org/officeDocument/2006/relationships/hyperlink" Target="https://www.tandfonline.com/doi/epdf/10.1080/00131880701369677?needAccess=true" TargetMode="External"/><Relationship Id="rId3" Type="http://schemas.openxmlformats.org/officeDocument/2006/relationships/customXml" Target="../customXml/item3.xml"/><Relationship Id="rId21" Type="http://schemas.openxmlformats.org/officeDocument/2006/relationships/hyperlink" Target="https://www.sciencedirect.com/science/article/abs/pii/S1936657416301728?casa_token=jOdscz4JdBYAAAAA:-J53XdWi4Kj8cfXPVwz2MYYDHWdK9ml_EixACGipU7eqStJhJIqiIScROMOfQjITUrvezBfG" TargetMode="External"/><Relationship Id="rId7" Type="http://schemas.openxmlformats.org/officeDocument/2006/relationships/settings" Target="settings.xml"/><Relationship Id="rId12" Type="http://schemas.openxmlformats.org/officeDocument/2006/relationships/hyperlink" Target="https://www.sciencedirect.com/science/article/pii/S016920461930297X?casa_token=8DXNc1NVIGEAAAAA:mWxVh-S1RbT__5wvGui-a07Wc1FtpAEUwQE25i-txd-3kyO45RLzpOKC2MgDJHvmxfC9s1mD" TargetMode="External"/><Relationship Id="rId17" Type="http://schemas.openxmlformats.org/officeDocument/2006/relationships/hyperlink" Target="https://www.tandfonline.com/doi/full/10.1080/1350293X.2013.789189" TargetMode="External"/><Relationship Id="rId25" Type="http://schemas.openxmlformats.org/officeDocument/2006/relationships/hyperlink" Target="https://openlab.bmcc.cuny.edu/ece-110-lecture/wp-content/uploads/sites/98/2019/11/Reifel-2011.pdf" TargetMode="External"/><Relationship Id="rId2" Type="http://schemas.openxmlformats.org/officeDocument/2006/relationships/customXml" Target="../customXml/item2.xml"/><Relationship Id="rId16" Type="http://schemas.openxmlformats.org/officeDocument/2006/relationships/hyperlink" Target="https://d1wqtxts1xzle7.cloudfront.net/117026129/18304_Article_Text_52727_1_10_20240629-libre.pdf?1721913152=&amp;response-content-disposition=inline%3B+filename%3DPlay_Based_Learning_Conceptualization_Be.pdf&amp;Expires=1739500335&amp;Signature=ZdXyxxI7drB11-qMoW8LABq1Hm4BYViAeLB5LZ0MlXK7YRKyjxP~Shl5y1kmqpSMzocuUMgqvXdcVJ99J1PLTLH2SPhDmChWL8ZSE2OVNJy33q2fLZ1qJwNK~ECHlNpcIKlXiXhoHcJ94M8~3IkQ6eCCnXZUtgkooTaqpDWDYksgwkdIyYR8vfumy7ekznAVYXWTu2VfztoGbkJNDgvdKNJXcB41oZgD3u84-Af1hWuYBqLfufeHmZsL6kVY8F0OKblgKZLNs6iyydz4Yi3bYUl-DyFylZbpRfZT5qN-aVBMU98LamiR~v0gvOvzfRV07-zXSMKOx9CL0EUXCzeY3Q__&amp;Key-Pair-Id=APKAJLOHF5GGSLRBV4ZA" TargetMode="External"/><Relationship Id="rId20" Type="http://schemas.openxmlformats.org/officeDocument/2006/relationships/hyperlink" Target="https://publications.aap.org/pediatrics/article/119/1/182/70699/The-Importance-of-Play-in-Promoting-Healthy-Child?autologincheck=redirected?nfToken=00000000-0000-0000-0000-00000000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quillbot.com/grammar-check" TargetMode="External"/><Relationship Id="rId24" Type="http://schemas.openxmlformats.org/officeDocument/2006/relationships/hyperlink" Target="https://play.wales/wp-content/uploads/2023/03/Play-Policy.pdf" TargetMode="External"/><Relationship Id="rId5" Type="http://schemas.openxmlformats.org/officeDocument/2006/relationships/numbering" Target="numbering.xml"/><Relationship Id="rId15" Type="http://schemas.openxmlformats.org/officeDocument/2006/relationships/hyperlink" Target="https://learninglandscapes.ca/index.php/learnland/article/view/Wondering-With-Children-The-Importance-of-Observation-in-Early-Education/637" TargetMode="External"/><Relationship Id="rId23" Type="http://schemas.openxmlformats.org/officeDocument/2006/relationships/hyperlink" Target="https://sciendo.com/article/10.2478/jelpp-2023-0006"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mdpi.com/1660-4601/19/20/1364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ndfonline.com/doi/citedby/10.1080/0144341990190404?scroll=top&amp;needAccess=true" TargetMode="External"/><Relationship Id="rId22" Type="http://schemas.openxmlformats.org/officeDocument/2006/relationships/hyperlink" Target="https://www.tandfonline.com/doi/full/10.1080/09518398.2020.1828650" TargetMode="External"/><Relationship Id="rId27" Type="http://schemas.openxmlformats.org/officeDocument/2006/relationships/hyperlink" Target="https://journals.sagepub.com/doi/epdf/10.1177/146978740809165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22fa41b9f2d26e51b2879c4192d86f0">
  <xsd:schema xmlns:xsd="http://www.w3.org/2001/XMLSchema" xmlns:xs="http://www.w3.org/2001/XMLSchema" xmlns:p="http://schemas.microsoft.com/office/2006/metadata/properties" xmlns:ns3="0085e1a2-9cbf-4b92-866b-21f3c89040b6" targetNamespace="http://schemas.microsoft.com/office/2006/metadata/properties" ma:root="true" ma:fieldsID="faeb69001d5d04f7ea1d47a64b93290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FEFBCAB-AB4C-4CF7-8941-344265E4FCA5}">
  <ds:schemaRefs>
    <ds:schemaRef ds:uri="http://schemas.microsoft.com/sharepoint/v3/contenttype/forms"/>
  </ds:schemaRefs>
</ds:datastoreItem>
</file>

<file path=customXml/itemProps2.xml><?xml version="1.0" encoding="utf-8"?>
<ds:datastoreItem xmlns:ds="http://schemas.openxmlformats.org/officeDocument/2006/customXml" ds:itemID="{078EA505-3BA9-401E-B248-23511E9077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075CEA-277B-4C66-818E-6713BF8F4C3C}">
  <ds:schemaRefs>
    <ds:schemaRef ds:uri="http://schemas.openxmlformats.org/officeDocument/2006/bibliography"/>
  </ds:schemaRefs>
</ds:datastoreItem>
</file>

<file path=customXml/itemProps4.xml><?xml version="1.0" encoding="utf-8"?>
<ds:datastoreItem xmlns:ds="http://schemas.openxmlformats.org/officeDocument/2006/customXml" ds:itemID="{F3A5B857-156F-4D8A-82F9-004E5ADFCB2E}">
  <ds:schemaRefs>
    <ds:schemaRef ds:uri="http://www.w3.org/XML/1998/namespace"/>
    <ds:schemaRef ds:uri="http://schemas.microsoft.com/office/2006/documentManagement/types"/>
    <ds:schemaRef ds:uri="0085e1a2-9cbf-4b92-866b-21f3c89040b6"/>
    <ds:schemaRef ds:uri="http://purl.org/dc/dcmitype/"/>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4345</Words>
  <Characters>24771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Hawkins (2004479)</dc:creator>
  <cp:keywords/>
  <dc:description/>
  <cp:lastModifiedBy>katrina Grosvenor</cp:lastModifiedBy>
  <cp:revision>2</cp:revision>
  <dcterms:created xsi:type="dcterms:W3CDTF">2025-02-22T20:56:00Z</dcterms:created>
  <dcterms:modified xsi:type="dcterms:W3CDTF">2025-02-22T20:56:00Z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