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B06E1" w14:textId="77777777" w:rsidR="004828F3" w:rsidRDefault="00C0091B">
      <w:pPr>
        <w:ind w:left="317"/>
        <w:rPr>
          <w:sz w:val="32"/>
          <w:szCs w:val="32"/>
        </w:rPr>
      </w:pPr>
      <w:r>
        <w:rPr>
          <w:noProof/>
          <w:sz w:val="32"/>
          <w:szCs w:val="32"/>
        </w:rPr>
        <w:drawing>
          <wp:anchor distT="0" distB="0" distL="114300" distR="114300" simplePos="0" relativeHeight="2" behindDoc="0" locked="0" layoutInCell="1" allowOverlap="1" wp14:anchorId="6CEE9018" wp14:editId="171ACC9A">
            <wp:simplePos x="0" y="0"/>
            <wp:positionH relativeFrom="column">
              <wp:posOffset>201259</wp:posOffset>
            </wp:positionH>
            <wp:positionV relativeFrom="paragraph">
              <wp:posOffset>6099</wp:posOffset>
            </wp:positionV>
            <wp:extent cx="859938" cy="1127866"/>
            <wp:effectExtent l="0" t="0" r="0" b="0"/>
            <wp:wrapSquare wrapText="bothSides"/>
            <wp:docPr id="1026" name="Picture 6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43"/>
                    <pic:cNvPicPr/>
                  </pic:nvPicPr>
                  <pic:blipFill>
                    <a:blip r:embed="rId6" cstate="print"/>
                    <a:srcRect/>
                    <a:stretch/>
                  </pic:blipFill>
                  <pic:spPr>
                    <a:xfrm>
                      <a:off x="0" y="0"/>
                      <a:ext cx="859938" cy="1127866"/>
                    </a:xfrm>
                    <a:prstGeom prst="rect">
                      <a:avLst/>
                    </a:prstGeom>
                    <a:ln>
                      <a:noFill/>
                    </a:ln>
                  </pic:spPr>
                </pic:pic>
              </a:graphicData>
            </a:graphic>
          </wp:anchor>
        </w:drawing>
      </w:r>
      <w:r>
        <w:rPr>
          <w:sz w:val="32"/>
          <w:szCs w:val="32"/>
        </w:rPr>
        <w:t>Prifysgol Cymru</w:t>
      </w:r>
    </w:p>
    <w:p w14:paraId="7443CD96" w14:textId="77777777" w:rsidR="004828F3" w:rsidRDefault="00C0091B">
      <w:pPr>
        <w:ind w:left="317"/>
        <w:rPr>
          <w:sz w:val="32"/>
          <w:szCs w:val="32"/>
        </w:rPr>
      </w:pPr>
      <w:r>
        <w:rPr>
          <w:sz w:val="32"/>
          <w:szCs w:val="32"/>
        </w:rPr>
        <w:t>Y Drindod Dewi Sant</w:t>
      </w:r>
    </w:p>
    <w:p w14:paraId="6832EA40" w14:textId="77777777" w:rsidR="004828F3" w:rsidRDefault="00C0091B">
      <w:pPr>
        <w:ind w:left="317"/>
        <w:rPr>
          <w:sz w:val="32"/>
          <w:szCs w:val="32"/>
        </w:rPr>
      </w:pPr>
      <w:r>
        <w:rPr>
          <w:sz w:val="32"/>
          <w:szCs w:val="32"/>
        </w:rPr>
        <w:t>University of Wales</w:t>
      </w:r>
    </w:p>
    <w:p w14:paraId="045195B6" w14:textId="73A4C41C" w:rsidR="004828F3" w:rsidRDefault="00C0091B">
      <w:pPr>
        <w:ind w:left="317"/>
        <w:rPr>
          <w:sz w:val="32"/>
          <w:szCs w:val="32"/>
        </w:rPr>
      </w:pPr>
      <w:r>
        <w:rPr>
          <w:sz w:val="32"/>
          <w:szCs w:val="32"/>
        </w:rPr>
        <w:t xml:space="preserve">                 </w:t>
      </w:r>
      <w:r>
        <w:rPr>
          <w:sz w:val="32"/>
          <w:szCs w:val="32"/>
        </w:rPr>
        <w:t>Trinity Saint David</w:t>
      </w:r>
    </w:p>
    <w:p w14:paraId="48E90F47" w14:textId="77777777" w:rsidR="004828F3" w:rsidRDefault="00C0091B">
      <w:pPr>
        <w:jc w:val="center"/>
        <w:rPr>
          <w:sz w:val="32"/>
          <w:szCs w:val="32"/>
        </w:rPr>
      </w:pPr>
      <w:r>
        <w:rPr>
          <w:b/>
          <w:bCs/>
          <w:sz w:val="32"/>
          <w:szCs w:val="32"/>
        </w:rPr>
        <w:t xml:space="preserve">Student Name: </w:t>
      </w:r>
      <w:r>
        <w:rPr>
          <w:sz w:val="32"/>
          <w:szCs w:val="32"/>
        </w:rPr>
        <w:t>Nirav Kanubhai Patel</w:t>
      </w:r>
    </w:p>
    <w:p w14:paraId="2FFBFE6C" w14:textId="77777777" w:rsidR="004828F3" w:rsidRDefault="00C0091B">
      <w:pPr>
        <w:ind w:left="10" w:right="1845" w:hanging="10"/>
        <w:jc w:val="center"/>
        <w:rPr>
          <w:sz w:val="32"/>
          <w:szCs w:val="32"/>
        </w:rPr>
      </w:pPr>
      <w:r>
        <w:rPr>
          <w:b/>
          <w:bCs/>
          <w:sz w:val="32"/>
          <w:szCs w:val="32"/>
        </w:rPr>
        <w:t>Student ID:</w:t>
      </w:r>
      <w:r>
        <w:rPr>
          <w:sz w:val="32"/>
          <w:szCs w:val="32"/>
        </w:rPr>
        <w:t xml:space="preserve"> 2540461</w:t>
      </w:r>
    </w:p>
    <w:p w14:paraId="715C30BA" w14:textId="77777777" w:rsidR="004828F3" w:rsidRDefault="00C0091B">
      <w:pPr>
        <w:jc w:val="center"/>
        <w:rPr>
          <w:sz w:val="32"/>
          <w:szCs w:val="32"/>
        </w:rPr>
      </w:pPr>
      <w:r>
        <w:rPr>
          <w:b/>
          <w:bCs/>
          <w:sz w:val="32"/>
          <w:szCs w:val="32"/>
        </w:rPr>
        <w:t>Module Name:</w:t>
      </w:r>
      <w:r>
        <w:rPr>
          <w:sz w:val="32"/>
          <w:szCs w:val="32"/>
        </w:rPr>
        <w:t xml:space="preserve"> Marketing Management</w:t>
      </w:r>
    </w:p>
    <w:p w14:paraId="78C631F3" w14:textId="77777777" w:rsidR="004828F3" w:rsidRDefault="00C0091B">
      <w:pPr>
        <w:ind w:left="10" w:right="1835" w:hanging="10"/>
        <w:jc w:val="center"/>
        <w:rPr>
          <w:sz w:val="32"/>
          <w:szCs w:val="32"/>
        </w:rPr>
      </w:pPr>
      <w:r>
        <w:rPr>
          <w:b/>
          <w:bCs/>
          <w:sz w:val="32"/>
          <w:szCs w:val="32"/>
        </w:rPr>
        <w:t xml:space="preserve">Module Code: </w:t>
      </w:r>
      <w:r>
        <w:rPr>
          <w:sz w:val="32"/>
          <w:szCs w:val="32"/>
        </w:rPr>
        <w:t>LCMB7024</w:t>
      </w:r>
    </w:p>
    <w:p w14:paraId="66772425" w14:textId="77777777" w:rsidR="004828F3" w:rsidRDefault="00C0091B">
      <w:pPr>
        <w:ind w:left="10" w:right="1835" w:hanging="10"/>
        <w:jc w:val="center"/>
        <w:rPr>
          <w:sz w:val="32"/>
          <w:szCs w:val="32"/>
        </w:rPr>
      </w:pPr>
      <w:r>
        <w:rPr>
          <w:b/>
          <w:bCs/>
          <w:sz w:val="32"/>
          <w:szCs w:val="32"/>
        </w:rPr>
        <w:t xml:space="preserve">Lecturer’s Name: </w:t>
      </w:r>
      <w:r>
        <w:rPr>
          <w:sz w:val="32"/>
          <w:szCs w:val="32"/>
        </w:rPr>
        <w:t>Laila Maazouz</w:t>
      </w:r>
    </w:p>
    <w:p w14:paraId="03B29CCD" w14:textId="77777777" w:rsidR="004828F3" w:rsidRDefault="00C0091B">
      <w:pPr>
        <w:ind w:left="10" w:right="1845" w:hanging="10"/>
        <w:jc w:val="center"/>
        <w:rPr>
          <w:sz w:val="32"/>
          <w:szCs w:val="32"/>
        </w:rPr>
      </w:pPr>
      <w:r>
        <w:rPr>
          <w:sz w:val="32"/>
          <w:szCs w:val="32"/>
        </w:rPr>
        <w:t>Term 1</w:t>
      </w:r>
    </w:p>
    <w:p w14:paraId="76361386" w14:textId="77777777" w:rsidR="004828F3" w:rsidRDefault="00C0091B">
      <w:pPr>
        <w:jc w:val="center"/>
      </w:pPr>
      <w:r>
        <w:br w:type="page"/>
      </w:r>
      <w:r>
        <w:rPr>
          <w:b/>
          <w:bCs/>
          <w:sz w:val="28"/>
          <w:szCs w:val="28"/>
        </w:rPr>
        <w:lastRenderedPageBreak/>
        <w:t>TABLE OF CONTENT</w:t>
      </w:r>
    </w:p>
    <w:p w14:paraId="1397FE95" w14:textId="77777777" w:rsidR="004828F3" w:rsidRDefault="00C0091B">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35522922" w:history="1">
        <w:r>
          <w:rPr>
            <w:rStyle w:val="Hyperlink"/>
            <w:noProof/>
          </w:rPr>
          <w:t>Task 1: Marketing Environment Analysis</w:t>
        </w:r>
        <w:r>
          <w:rPr>
            <w:noProof/>
            <w:webHidden/>
          </w:rPr>
          <w:tab/>
        </w:r>
        <w:r>
          <w:rPr>
            <w:noProof/>
            <w:webHidden/>
          </w:rPr>
          <w:fldChar w:fldCharType="begin"/>
        </w:r>
        <w:r>
          <w:rPr>
            <w:noProof/>
            <w:webHidden/>
          </w:rPr>
          <w:instrText xml:space="preserve"> PAGEREF _Toc235522922 \h </w:instrText>
        </w:r>
        <w:r>
          <w:rPr>
            <w:noProof/>
            <w:webHidden/>
          </w:rPr>
        </w:r>
        <w:r>
          <w:rPr>
            <w:noProof/>
            <w:webHidden/>
          </w:rPr>
          <w:fldChar w:fldCharType="separate"/>
        </w:r>
        <w:r>
          <w:rPr>
            <w:noProof/>
            <w:webHidden/>
          </w:rPr>
          <w:t>3</w:t>
        </w:r>
        <w:r>
          <w:rPr>
            <w:noProof/>
            <w:webHidden/>
          </w:rPr>
          <w:fldChar w:fldCharType="end"/>
        </w:r>
      </w:hyperlink>
    </w:p>
    <w:p w14:paraId="490E5A31" w14:textId="77777777" w:rsidR="004828F3" w:rsidRDefault="00C0091B">
      <w:pPr>
        <w:pStyle w:val="TOC2"/>
        <w:tabs>
          <w:tab w:val="right" w:leader="dot" w:pos="9019"/>
        </w:tabs>
        <w:rPr>
          <w:noProof/>
        </w:rPr>
      </w:pPr>
      <w:hyperlink w:anchor="_Toc235522923" w:history="1">
        <w:r>
          <w:rPr>
            <w:rStyle w:val="Hyperlink"/>
            <w:noProof/>
          </w:rPr>
          <w:t>1.1 Introduction and BHP Context</w:t>
        </w:r>
        <w:r>
          <w:rPr>
            <w:noProof/>
            <w:webHidden/>
          </w:rPr>
          <w:tab/>
        </w:r>
        <w:r>
          <w:rPr>
            <w:noProof/>
            <w:webHidden/>
          </w:rPr>
          <w:fldChar w:fldCharType="begin"/>
        </w:r>
        <w:r>
          <w:rPr>
            <w:noProof/>
            <w:webHidden/>
          </w:rPr>
          <w:instrText xml:space="preserve"> PAGEREF _Toc235522923 \h </w:instrText>
        </w:r>
        <w:r>
          <w:rPr>
            <w:noProof/>
            <w:webHidden/>
          </w:rPr>
        </w:r>
        <w:r>
          <w:rPr>
            <w:noProof/>
            <w:webHidden/>
          </w:rPr>
          <w:fldChar w:fldCharType="separate"/>
        </w:r>
        <w:r>
          <w:rPr>
            <w:noProof/>
            <w:webHidden/>
          </w:rPr>
          <w:t>3</w:t>
        </w:r>
        <w:r>
          <w:rPr>
            <w:noProof/>
            <w:webHidden/>
          </w:rPr>
          <w:fldChar w:fldCharType="end"/>
        </w:r>
      </w:hyperlink>
    </w:p>
    <w:p w14:paraId="46A6EF41" w14:textId="77777777" w:rsidR="004828F3" w:rsidRDefault="00C0091B">
      <w:pPr>
        <w:pStyle w:val="TOC2"/>
        <w:tabs>
          <w:tab w:val="right" w:leader="dot" w:pos="9019"/>
        </w:tabs>
        <w:rPr>
          <w:noProof/>
        </w:rPr>
      </w:pPr>
      <w:hyperlink w:anchor="_Toc235522924" w:history="1">
        <w:r>
          <w:rPr>
            <w:rStyle w:val="Hyperlink"/>
            <w:noProof/>
          </w:rPr>
          <w:t>1.2 Natural Environment</w:t>
        </w:r>
        <w:r>
          <w:rPr>
            <w:noProof/>
            <w:webHidden/>
          </w:rPr>
          <w:tab/>
        </w:r>
        <w:r>
          <w:rPr>
            <w:noProof/>
            <w:webHidden/>
          </w:rPr>
          <w:fldChar w:fldCharType="begin"/>
        </w:r>
        <w:r>
          <w:rPr>
            <w:noProof/>
            <w:webHidden/>
          </w:rPr>
          <w:instrText xml:space="preserve"> PAGEREF _Toc235522924 \h </w:instrText>
        </w:r>
        <w:r>
          <w:rPr>
            <w:noProof/>
            <w:webHidden/>
          </w:rPr>
        </w:r>
        <w:r>
          <w:rPr>
            <w:noProof/>
            <w:webHidden/>
          </w:rPr>
          <w:fldChar w:fldCharType="separate"/>
        </w:r>
        <w:r>
          <w:rPr>
            <w:noProof/>
            <w:webHidden/>
          </w:rPr>
          <w:t>3</w:t>
        </w:r>
        <w:r>
          <w:rPr>
            <w:noProof/>
            <w:webHidden/>
          </w:rPr>
          <w:fldChar w:fldCharType="end"/>
        </w:r>
      </w:hyperlink>
    </w:p>
    <w:p w14:paraId="0D356835" w14:textId="77777777" w:rsidR="004828F3" w:rsidRDefault="00C0091B">
      <w:pPr>
        <w:pStyle w:val="TOC3"/>
        <w:tabs>
          <w:tab w:val="right" w:leader="dot" w:pos="9019"/>
        </w:tabs>
        <w:rPr>
          <w:noProof/>
        </w:rPr>
      </w:pPr>
      <w:hyperlink w:anchor="_Toc235522925" w:history="1">
        <w:r>
          <w:rPr>
            <w:rStyle w:val="Hyperlink"/>
            <w:noProof/>
          </w:rPr>
          <w:t>1.2.1 Climate Change, Energy and Operational Emissions</w:t>
        </w:r>
        <w:r>
          <w:rPr>
            <w:noProof/>
            <w:webHidden/>
          </w:rPr>
          <w:tab/>
        </w:r>
        <w:r>
          <w:rPr>
            <w:noProof/>
            <w:webHidden/>
          </w:rPr>
          <w:fldChar w:fldCharType="begin"/>
        </w:r>
        <w:r>
          <w:rPr>
            <w:noProof/>
            <w:webHidden/>
          </w:rPr>
          <w:instrText xml:space="preserve"> PAGEREF _Toc235522925 \h </w:instrText>
        </w:r>
        <w:r>
          <w:rPr>
            <w:noProof/>
            <w:webHidden/>
          </w:rPr>
        </w:r>
        <w:r>
          <w:rPr>
            <w:noProof/>
            <w:webHidden/>
          </w:rPr>
          <w:fldChar w:fldCharType="separate"/>
        </w:r>
        <w:r>
          <w:rPr>
            <w:noProof/>
            <w:webHidden/>
          </w:rPr>
          <w:t>3</w:t>
        </w:r>
        <w:r>
          <w:rPr>
            <w:noProof/>
            <w:webHidden/>
          </w:rPr>
          <w:fldChar w:fldCharType="end"/>
        </w:r>
      </w:hyperlink>
    </w:p>
    <w:p w14:paraId="54EB79B1" w14:textId="77777777" w:rsidR="004828F3" w:rsidRDefault="00C0091B">
      <w:pPr>
        <w:pStyle w:val="TOC3"/>
        <w:tabs>
          <w:tab w:val="right" w:leader="dot" w:pos="9019"/>
        </w:tabs>
        <w:rPr>
          <w:noProof/>
        </w:rPr>
      </w:pPr>
      <w:hyperlink w:anchor="_Toc235522926" w:history="1">
        <w:r>
          <w:rPr>
            <w:rStyle w:val="Hyperlink"/>
            <w:noProof/>
          </w:rPr>
          <w:t>1.2.2 Water, Biodiversity, Land and Tailings</w:t>
        </w:r>
        <w:r>
          <w:rPr>
            <w:noProof/>
            <w:webHidden/>
          </w:rPr>
          <w:tab/>
        </w:r>
        <w:r>
          <w:rPr>
            <w:noProof/>
            <w:webHidden/>
          </w:rPr>
          <w:fldChar w:fldCharType="begin"/>
        </w:r>
        <w:r>
          <w:rPr>
            <w:noProof/>
            <w:webHidden/>
          </w:rPr>
          <w:instrText xml:space="preserve"> PAGEREF _Toc235522926 \h </w:instrText>
        </w:r>
        <w:r>
          <w:rPr>
            <w:noProof/>
            <w:webHidden/>
          </w:rPr>
        </w:r>
        <w:r>
          <w:rPr>
            <w:noProof/>
            <w:webHidden/>
          </w:rPr>
          <w:fldChar w:fldCharType="separate"/>
        </w:r>
        <w:r>
          <w:rPr>
            <w:noProof/>
            <w:webHidden/>
          </w:rPr>
          <w:t>4</w:t>
        </w:r>
        <w:r>
          <w:rPr>
            <w:noProof/>
            <w:webHidden/>
          </w:rPr>
          <w:fldChar w:fldCharType="end"/>
        </w:r>
      </w:hyperlink>
    </w:p>
    <w:p w14:paraId="68A85D3B" w14:textId="77777777" w:rsidR="004828F3" w:rsidRDefault="00C0091B">
      <w:pPr>
        <w:pStyle w:val="TOC3"/>
        <w:tabs>
          <w:tab w:val="right" w:leader="dot" w:pos="9019"/>
        </w:tabs>
        <w:rPr>
          <w:noProof/>
        </w:rPr>
      </w:pPr>
      <w:hyperlink w:anchor="_Toc235522927" w:history="1">
        <w:r>
          <w:rPr>
            <w:rStyle w:val="Hyperlink"/>
            <w:noProof/>
          </w:rPr>
          <w:t>1.2.3 Transition-Mineral Demand and the Sustainability Paradox</w:t>
        </w:r>
        <w:r>
          <w:rPr>
            <w:noProof/>
            <w:webHidden/>
          </w:rPr>
          <w:tab/>
        </w:r>
        <w:r>
          <w:rPr>
            <w:noProof/>
            <w:webHidden/>
          </w:rPr>
          <w:fldChar w:fldCharType="begin"/>
        </w:r>
        <w:r>
          <w:rPr>
            <w:noProof/>
            <w:webHidden/>
          </w:rPr>
          <w:instrText xml:space="preserve"> PAGEREF _Toc235522927 \h </w:instrText>
        </w:r>
        <w:r>
          <w:rPr>
            <w:noProof/>
            <w:webHidden/>
          </w:rPr>
        </w:r>
        <w:r>
          <w:rPr>
            <w:noProof/>
            <w:webHidden/>
          </w:rPr>
          <w:fldChar w:fldCharType="separate"/>
        </w:r>
        <w:r>
          <w:rPr>
            <w:noProof/>
            <w:webHidden/>
          </w:rPr>
          <w:t>5</w:t>
        </w:r>
        <w:r>
          <w:rPr>
            <w:noProof/>
            <w:webHidden/>
          </w:rPr>
          <w:fldChar w:fldCharType="end"/>
        </w:r>
      </w:hyperlink>
    </w:p>
    <w:p w14:paraId="1E0D89C9" w14:textId="77777777" w:rsidR="004828F3" w:rsidRDefault="00C0091B">
      <w:pPr>
        <w:pStyle w:val="TOC2"/>
        <w:tabs>
          <w:tab w:val="right" w:leader="dot" w:pos="9019"/>
        </w:tabs>
        <w:rPr>
          <w:noProof/>
        </w:rPr>
      </w:pPr>
      <w:hyperlink w:anchor="_Toc235522928" w:history="1">
        <w:r>
          <w:rPr>
            <w:rStyle w:val="Hyperlink"/>
            <w:noProof/>
          </w:rPr>
          <w:t>1.3 Government and Regulatory Environment</w:t>
        </w:r>
        <w:r>
          <w:rPr>
            <w:noProof/>
            <w:webHidden/>
          </w:rPr>
          <w:tab/>
        </w:r>
        <w:r>
          <w:rPr>
            <w:noProof/>
            <w:webHidden/>
          </w:rPr>
          <w:fldChar w:fldCharType="begin"/>
        </w:r>
        <w:r>
          <w:rPr>
            <w:noProof/>
            <w:webHidden/>
          </w:rPr>
          <w:instrText xml:space="preserve"> PAGEREF _Toc235522928 \h </w:instrText>
        </w:r>
        <w:r>
          <w:rPr>
            <w:noProof/>
            <w:webHidden/>
          </w:rPr>
        </w:r>
        <w:r>
          <w:rPr>
            <w:noProof/>
            <w:webHidden/>
          </w:rPr>
          <w:fldChar w:fldCharType="separate"/>
        </w:r>
        <w:r>
          <w:rPr>
            <w:noProof/>
            <w:webHidden/>
          </w:rPr>
          <w:t>5</w:t>
        </w:r>
        <w:r>
          <w:rPr>
            <w:noProof/>
            <w:webHidden/>
          </w:rPr>
          <w:fldChar w:fldCharType="end"/>
        </w:r>
      </w:hyperlink>
    </w:p>
    <w:p w14:paraId="086BA656" w14:textId="77777777" w:rsidR="004828F3" w:rsidRDefault="00C0091B">
      <w:pPr>
        <w:pStyle w:val="TOC2"/>
        <w:tabs>
          <w:tab w:val="right" w:leader="dot" w:pos="9019"/>
        </w:tabs>
        <w:rPr>
          <w:noProof/>
        </w:rPr>
      </w:pPr>
      <w:hyperlink w:anchor="_Toc235522929" w:history="1">
        <w:r>
          <w:rPr>
            <w:rStyle w:val="Hyperlink"/>
            <w:noProof/>
          </w:rPr>
          <w:t>1.4 Critical Synthesis</w:t>
        </w:r>
        <w:r>
          <w:rPr>
            <w:noProof/>
            <w:webHidden/>
          </w:rPr>
          <w:tab/>
        </w:r>
        <w:r>
          <w:rPr>
            <w:noProof/>
            <w:webHidden/>
          </w:rPr>
          <w:fldChar w:fldCharType="begin"/>
        </w:r>
        <w:r>
          <w:rPr>
            <w:noProof/>
            <w:webHidden/>
          </w:rPr>
          <w:instrText xml:space="preserve"> PAGEREF _Toc235522929 \h </w:instrText>
        </w:r>
        <w:r>
          <w:rPr>
            <w:noProof/>
            <w:webHidden/>
          </w:rPr>
        </w:r>
        <w:r>
          <w:rPr>
            <w:noProof/>
            <w:webHidden/>
          </w:rPr>
          <w:fldChar w:fldCharType="separate"/>
        </w:r>
        <w:r>
          <w:rPr>
            <w:noProof/>
            <w:webHidden/>
          </w:rPr>
          <w:t>6</w:t>
        </w:r>
        <w:r>
          <w:rPr>
            <w:noProof/>
            <w:webHidden/>
          </w:rPr>
          <w:fldChar w:fldCharType="end"/>
        </w:r>
      </w:hyperlink>
    </w:p>
    <w:p w14:paraId="24D8DB34" w14:textId="77777777" w:rsidR="004828F3" w:rsidRDefault="00C0091B">
      <w:pPr>
        <w:pStyle w:val="TOC1"/>
        <w:tabs>
          <w:tab w:val="right" w:leader="dot" w:pos="9019"/>
        </w:tabs>
        <w:rPr>
          <w:noProof/>
        </w:rPr>
      </w:pPr>
      <w:hyperlink w:anchor="_Toc235522930" w:history="1">
        <w:r>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_Toc235522930 \h </w:instrText>
        </w:r>
        <w:r>
          <w:rPr>
            <w:noProof/>
            <w:webHidden/>
          </w:rPr>
        </w:r>
        <w:r>
          <w:rPr>
            <w:noProof/>
            <w:webHidden/>
          </w:rPr>
          <w:fldChar w:fldCharType="separate"/>
        </w:r>
        <w:r>
          <w:rPr>
            <w:noProof/>
            <w:webHidden/>
          </w:rPr>
          <w:t>7</w:t>
        </w:r>
        <w:r>
          <w:rPr>
            <w:noProof/>
            <w:webHidden/>
          </w:rPr>
          <w:fldChar w:fldCharType="end"/>
        </w:r>
      </w:hyperlink>
    </w:p>
    <w:p w14:paraId="2E5E28F1" w14:textId="77777777" w:rsidR="004828F3" w:rsidRDefault="00C0091B">
      <w:pPr>
        <w:pStyle w:val="TOC2"/>
        <w:tabs>
          <w:tab w:val="right" w:leader="dot" w:pos="9019"/>
        </w:tabs>
        <w:rPr>
          <w:noProof/>
        </w:rPr>
      </w:pPr>
      <w:hyperlink w:anchor="_Toc235522931" w:history="1">
        <w:r>
          <w:rPr>
            <w:rStyle w:val="Hyperlink"/>
            <w:noProof/>
          </w:rPr>
          <w:t>2.1 Strategic Problem Derived from Task 1</w:t>
        </w:r>
        <w:r>
          <w:rPr>
            <w:noProof/>
            <w:webHidden/>
          </w:rPr>
          <w:tab/>
        </w:r>
        <w:r>
          <w:rPr>
            <w:noProof/>
            <w:webHidden/>
          </w:rPr>
          <w:fldChar w:fldCharType="begin"/>
        </w:r>
        <w:r>
          <w:rPr>
            <w:noProof/>
            <w:webHidden/>
          </w:rPr>
          <w:instrText xml:space="preserve"> PAGEREF _Toc235522931 \h </w:instrText>
        </w:r>
        <w:r>
          <w:rPr>
            <w:noProof/>
            <w:webHidden/>
          </w:rPr>
        </w:r>
        <w:r>
          <w:rPr>
            <w:noProof/>
            <w:webHidden/>
          </w:rPr>
          <w:fldChar w:fldCharType="separate"/>
        </w:r>
        <w:r>
          <w:rPr>
            <w:noProof/>
            <w:webHidden/>
          </w:rPr>
          <w:t>7</w:t>
        </w:r>
        <w:r>
          <w:rPr>
            <w:noProof/>
            <w:webHidden/>
          </w:rPr>
          <w:fldChar w:fldCharType="end"/>
        </w:r>
      </w:hyperlink>
    </w:p>
    <w:p w14:paraId="6D55713A" w14:textId="77777777" w:rsidR="004828F3" w:rsidRDefault="00C0091B">
      <w:pPr>
        <w:pStyle w:val="TOC2"/>
        <w:tabs>
          <w:tab w:val="right" w:leader="dot" w:pos="9019"/>
        </w:tabs>
        <w:rPr>
          <w:noProof/>
        </w:rPr>
      </w:pPr>
      <w:hyperlink w:anchor="_Toc235522932" w:history="1">
        <w:r>
          <w:rPr>
            <w:rStyle w:val="Hyperlink"/>
            <w:noProof/>
          </w:rPr>
          <w:t>2.2 Critical Application of the Ansoff Matrix</w:t>
        </w:r>
        <w:r>
          <w:rPr>
            <w:noProof/>
            <w:webHidden/>
          </w:rPr>
          <w:tab/>
        </w:r>
        <w:r>
          <w:rPr>
            <w:noProof/>
            <w:webHidden/>
          </w:rPr>
          <w:fldChar w:fldCharType="begin"/>
        </w:r>
        <w:r>
          <w:rPr>
            <w:noProof/>
            <w:webHidden/>
          </w:rPr>
          <w:instrText xml:space="preserve"> PAGEREF _Toc235522932 \h </w:instrText>
        </w:r>
        <w:r>
          <w:rPr>
            <w:noProof/>
            <w:webHidden/>
          </w:rPr>
        </w:r>
        <w:r>
          <w:rPr>
            <w:noProof/>
            <w:webHidden/>
          </w:rPr>
          <w:fldChar w:fldCharType="separate"/>
        </w:r>
        <w:r>
          <w:rPr>
            <w:noProof/>
            <w:webHidden/>
          </w:rPr>
          <w:t>7</w:t>
        </w:r>
        <w:r>
          <w:rPr>
            <w:noProof/>
            <w:webHidden/>
          </w:rPr>
          <w:fldChar w:fldCharType="end"/>
        </w:r>
      </w:hyperlink>
    </w:p>
    <w:p w14:paraId="01E5A972" w14:textId="77777777" w:rsidR="004828F3" w:rsidRDefault="00C0091B">
      <w:pPr>
        <w:pStyle w:val="TOC2"/>
        <w:tabs>
          <w:tab w:val="right" w:leader="dot" w:pos="9019"/>
        </w:tabs>
        <w:rPr>
          <w:noProof/>
        </w:rPr>
      </w:pPr>
      <w:hyperlink w:anchor="_Toc235522933" w:history="1">
        <w:r>
          <w:rPr>
            <w:rStyle w:val="Hyperlink"/>
            <w:noProof/>
          </w:rPr>
          <w:t>2.3 Recommended Product-Development Strategy</w:t>
        </w:r>
        <w:r>
          <w:rPr>
            <w:noProof/>
            <w:webHidden/>
          </w:rPr>
          <w:tab/>
        </w:r>
        <w:r>
          <w:rPr>
            <w:noProof/>
            <w:webHidden/>
          </w:rPr>
          <w:fldChar w:fldCharType="begin"/>
        </w:r>
        <w:r>
          <w:rPr>
            <w:noProof/>
            <w:webHidden/>
          </w:rPr>
          <w:instrText xml:space="preserve"> PAGEREF _Toc235522933 \h </w:instrText>
        </w:r>
        <w:r>
          <w:rPr>
            <w:noProof/>
            <w:webHidden/>
          </w:rPr>
        </w:r>
        <w:r>
          <w:rPr>
            <w:noProof/>
            <w:webHidden/>
          </w:rPr>
          <w:fldChar w:fldCharType="separate"/>
        </w:r>
        <w:r>
          <w:rPr>
            <w:noProof/>
            <w:webHidden/>
          </w:rPr>
          <w:t>8</w:t>
        </w:r>
        <w:r>
          <w:rPr>
            <w:noProof/>
            <w:webHidden/>
          </w:rPr>
          <w:fldChar w:fldCharType="end"/>
        </w:r>
      </w:hyperlink>
    </w:p>
    <w:p w14:paraId="62A23921" w14:textId="77777777" w:rsidR="004828F3" w:rsidRDefault="00C0091B">
      <w:pPr>
        <w:pStyle w:val="TOC2"/>
        <w:tabs>
          <w:tab w:val="right" w:leader="dot" w:pos="9019"/>
        </w:tabs>
        <w:rPr>
          <w:noProof/>
        </w:rPr>
      </w:pPr>
      <w:hyperlink w:anchor="_Toc235522934" w:history="1">
        <w:r>
          <w:rPr>
            <w:rStyle w:val="Hyperlink"/>
            <w:noProof/>
          </w:rPr>
          <w:t>2.4 Competitive Advantage and Competitor Benchmarking</w:t>
        </w:r>
        <w:r>
          <w:rPr>
            <w:noProof/>
            <w:webHidden/>
          </w:rPr>
          <w:tab/>
        </w:r>
        <w:r>
          <w:rPr>
            <w:noProof/>
            <w:webHidden/>
          </w:rPr>
          <w:fldChar w:fldCharType="begin"/>
        </w:r>
        <w:r>
          <w:rPr>
            <w:noProof/>
            <w:webHidden/>
          </w:rPr>
          <w:instrText xml:space="preserve"> PAGEREF _Toc235522934 \h </w:instrText>
        </w:r>
        <w:r>
          <w:rPr>
            <w:noProof/>
            <w:webHidden/>
          </w:rPr>
        </w:r>
        <w:r>
          <w:rPr>
            <w:noProof/>
            <w:webHidden/>
          </w:rPr>
          <w:fldChar w:fldCharType="separate"/>
        </w:r>
        <w:r>
          <w:rPr>
            <w:noProof/>
            <w:webHidden/>
          </w:rPr>
          <w:t>9</w:t>
        </w:r>
        <w:r>
          <w:rPr>
            <w:noProof/>
            <w:webHidden/>
          </w:rPr>
          <w:fldChar w:fldCharType="end"/>
        </w:r>
      </w:hyperlink>
    </w:p>
    <w:p w14:paraId="0476821B" w14:textId="77777777" w:rsidR="004828F3" w:rsidRDefault="00C0091B">
      <w:pPr>
        <w:pStyle w:val="TOC2"/>
        <w:tabs>
          <w:tab w:val="right" w:leader="dot" w:pos="9019"/>
        </w:tabs>
        <w:rPr>
          <w:noProof/>
        </w:rPr>
      </w:pPr>
      <w:hyperlink w:anchor="_Toc235522935" w:history="1">
        <w:r>
          <w:rPr>
            <w:rStyle w:val="Hyperlink"/>
            <w:noProof/>
          </w:rPr>
          <w:t>2.5 Implementation, Risks and Performance</w:t>
        </w:r>
        <w:r>
          <w:rPr>
            <w:noProof/>
            <w:webHidden/>
          </w:rPr>
          <w:tab/>
        </w:r>
        <w:r>
          <w:rPr>
            <w:noProof/>
            <w:webHidden/>
          </w:rPr>
          <w:fldChar w:fldCharType="begin"/>
        </w:r>
        <w:r>
          <w:rPr>
            <w:noProof/>
            <w:webHidden/>
          </w:rPr>
          <w:instrText xml:space="preserve"> PAGEREF _Toc235522935 \h </w:instrText>
        </w:r>
        <w:r>
          <w:rPr>
            <w:noProof/>
            <w:webHidden/>
          </w:rPr>
        </w:r>
        <w:r>
          <w:rPr>
            <w:noProof/>
            <w:webHidden/>
          </w:rPr>
          <w:fldChar w:fldCharType="separate"/>
        </w:r>
        <w:r>
          <w:rPr>
            <w:noProof/>
            <w:webHidden/>
          </w:rPr>
          <w:t>11</w:t>
        </w:r>
        <w:r>
          <w:rPr>
            <w:noProof/>
            <w:webHidden/>
          </w:rPr>
          <w:fldChar w:fldCharType="end"/>
        </w:r>
      </w:hyperlink>
    </w:p>
    <w:p w14:paraId="516A0B7E" w14:textId="77777777" w:rsidR="004828F3" w:rsidRDefault="00C0091B">
      <w:pPr>
        <w:pStyle w:val="TOC1"/>
        <w:tabs>
          <w:tab w:val="right" w:leader="dot" w:pos="9019"/>
        </w:tabs>
        <w:rPr>
          <w:noProof/>
        </w:rPr>
      </w:pPr>
      <w:hyperlink w:anchor="_Toc235522936" w:history="1">
        <w:r>
          <w:rPr>
            <w:rStyle w:val="Hyperlink"/>
            <w:noProof/>
          </w:rPr>
          <w:t>Task 3: Critical Reflection on AI Usage</w:t>
        </w:r>
        <w:r>
          <w:rPr>
            <w:noProof/>
            <w:webHidden/>
          </w:rPr>
          <w:tab/>
        </w:r>
        <w:r>
          <w:rPr>
            <w:noProof/>
            <w:webHidden/>
          </w:rPr>
          <w:fldChar w:fldCharType="begin"/>
        </w:r>
        <w:r>
          <w:rPr>
            <w:noProof/>
            <w:webHidden/>
          </w:rPr>
          <w:instrText xml:space="preserve"> PAGEREF _Toc235522936 \h </w:instrText>
        </w:r>
        <w:r>
          <w:rPr>
            <w:noProof/>
            <w:webHidden/>
          </w:rPr>
        </w:r>
        <w:r>
          <w:rPr>
            <w:noProof/>
            <w:webHidden/>
          </w:rPr>
          <w:fldChar w:fldCharType="separate"/>
        </w:r>
        <w:r>
          <w:rPr>
            <w:noProof/>
            <w:webHidden/>
          </w:rPr>
          <w:t>12</w:t>
        </w:r>
        <w:r>
          <w:rPr>
            <w:noProof/>
            <w:webHidden/>
          </w:rPr>
          <w:fldChar w:fldCharType="end"/>
        </w:r>
      </w:hyperlink>
    </w:p>
    <w:p w14:paraId="6C47B7C3" w14:textId="77777777" w:rsidR="004828F3" w:rsidRDefault="00C0091B">
      <w:pPr>
        <w:pStyle w:val="TOC2"/>
        <w:tabs>
          <w:tab w:val="right" w:leader="dot" w:pos="9019"/>
        </w:tabs>
        <w:rPr>
          <w:noProof/>
        </w:rPr>
      </w:pPr>
      <w:hyperlink w:anchor="_Toc235522937" w:history="1">
        <w:r>
          <w:rPr>
            <w:rStyle w:val="Hyperlink"/>
            <w:noProof/>
          </w:rPr>
          <w:t>3.1 Tool Disclosure</w:t>
        </w:r>
        <w:r>
          <w:rPr>
            <w:noProof/>
            <w:webHidden/>
          </w:rPr>
          <w:tab/>
        </w:r>
        <w:r>
          <w:rPr>
            <w:noProof/>
            <w:webHidden/>
          </w:rPr>
          <w:fldChar w:fldCharType="begin"/>
        </w:r>
        <w:r>
          <w:rPr>
            <w:noProof/>
            <w:webHidden/>
          </w:rPr>
          <w:instrText xml:space="preserve"> PAGEREF _Toc235522937 \h </w:instrText>
        </w:r>
        <w:r>
          <w:rPr>
            <w:noProof/>
            <w:webHidden/>
          </w:rPr>
        </w:r>
        <w:r>
          <w:rPr>
            <w:noProof/>
            <w:webHidden/>
          </w:rPr>
          <w:fldChar w:fldCharType="separate"/>
        </w:r>
        <w:r>
          <w:rPr>
            <w:noProof/>
            <w:webHidden/>
          </w:rPr>
          <w:t>12</w:t>
        </w:r>
        <w:r>
          <w:rPr>
            <w:noProof/>
            <w:webHidden/>
          </w:rPr>
          <w:fldChar w:fldCharType="end"/>
        </w:r>
      </w:hyperlink>
    </w:p>
    <w:p w14:paraId="1661AFA0" w14:textId="77777777" w:rsidR="004828F3" w:rsidRDefault="00C0091B">
      <w:pPr>
        <w:pStyle w:val="TOC2"/>
        <w:tabs>
          <w:tab w:val="right" w:leader="dot" w:pos="9019"/>
        </w:tabs>
        <w:rPr>
          <w:noProof/>
        </w:rPr>
      </w:pPr>
      <w:hyperlink w:anchor="_Toc235522938" w:history="1">
        <w:r>
          <w:rPr>
            <w:rStyle w:val="Hyperlink"/>
            <w:noProof/>
          </w:rPr>
          <w:t>3.2 Critical Evaluation and Verification</w:t>
        </w:r>
        <w:r>
          <w:rPr>
            <w:noProof/>
            <w:webHidden/>
          </w:rPr>
          <w:tab/>
        </w:r>
        <w:r>
          <w:rPr>
            <w:noProof/>
            <w:webHidden/>
          </w:rPr>
          <w:fldChar w:fldCharType="begin"/>
        </w:r>
        <w:r>
          <w:rPr>
            <w:noProof/>
            <w:webHidden/>
          </w:rPr>
          <w:instrText xml:space="preserve"> PAGEREF _Toc235522938 \h </w:instrText>
        </w:r>
        <w:r>
          <w:rPr>
            <w:noProof/>
            <w:webHidden/>
          </w:rPr>
        </w:r>
        <w:r>
          <w:rPr>
            <w:noProof/>
            <w:webHidden/>
          </w:rPr>
          <w:fldChar w:fldCharType="separate"/>
        </w:r>
        <w:r>
          <w:rPr>
            <w:noProof/>
            <w:webHidden/>
          </w:rPr>
          <w:t>12</w:t>
        </w:r>
        <w:r>
          <w:rPr>
            <w:noProof/>
            <w:webHidden/>
          </w:rPr>
          <w:fldChar w:fldCharType="end"/>
        </w:r>
      </w:hyperlink>
    </w:p>
    <w:p w14:paraId="3C9B434C" w14:textId="77777777" w:rsidR="004828F3" w:rsidRDefault="00C0091B">
      <w:pPr>
        <w:pStyle w:val="TOC2"/>
        <w:tabs>
          <w:tab w:val="right" w:leader="dot" w:pos="9019"/>
        </w:tabs>
        <w:rPr>
          <w:noProof/>
        </w:rPr>
      </w:pPr>
      <w:hyperlink w:anchor="_Toc235522939" w:history="1">
        <w:r>
          <w:rPr>
            <w:rStyle w:val="Hyperlink"/>
            <w:noProof/>
          </w:rPr>
          <w:t>3.3 Contribution Analysis</w:t>
        </w:r>
        <w:r>
          <w:rPr>
            <w:noProof/>
            <w:webHidden/>
          </w:rPr>
          <w:tab/>
        </w:r>
        <w:r>
          <w:rPr>
            <w:noProof/>
            <w:webHidden/>
          </w:rPr>
          <w:fldChar w:fldCharType="begin"/>
        </w:r>
        <w:r>
          <w:rPr>
            <w:noProof/>
            <w:webHidden/>
          </w:rPr>
          <w:instrText xml:space="preserve"> PAGEREF _Toc235522939 \h </w:instrText>
        </w:r>
        <w:r>
          <w:rPr>
            <w:noProof/>
            <w:webHidden/>
          </w:rPr>
        </w:r>
        <w:r>
          <w:rPr>
            <w:noProof/>
            <w:webHidden/>
          </w:rPr>
          <w:fldChar w:fldCharType="separate"/>
        </w:r>
        <w:r>
          <w:rPr>
            <w:noProof/>
            <w:webHidden/>
          </w:rPr>
          <w:t>12</w:t>
        </w:r>
        <w:r>
          <w:rPr>
            <w:noProof/>
            <w:webHidden/>
          </w:rPr>
          <w:fldChar w:fldCharType="end"/>
        </w:r>
      </w:hyperlink>
    </w:p>
    <w:p w14:paraId="2B71A0F7" w14:textId="77777777" w:rsidR="004828F3" w:rsidRDefault="00C0091B">
      <w:pPr>
        <w:pStyle w:val="TOC2"/>
        <w:tabs>
          <w:tab w:val="right" w:leader="dot" w:pos="9019"/>
        </w:tabs>
        <w:rPr>
          <w:noProof/>
        </w:rPr>
      </w:pPr>
      <w:hyperlink w:anchor="_Toc235522940" w:history="1">
        <w:r>
          <w:rPr>
            <w:rStyle w:val="Hyperlink"/>
            <w:noProof/>
          </w:rPr>
          <w:t>3.4 Ethical and Professional Reflection</w:t>
        </w:r>
        <w:r>
          <w:rPr>
            <w:noProof/>
            <w:webHidden/>
          </w:rPr>
          <w:tab/>
        </w:r>
        <w:r>
          <w:rPr>
            <w:noProof/>
            <w:webHidden/>
          </w:rPr>
          <w:fldChar w:fldCharType="begin"/>
        </w:r>
        <w:r>
          <w:rPr>
            <w:noProof/>
            <w:webHidden/>
          </w:rPr>
          <w:instrText xml:space="preserve"> PAGEREF _Toc235522940 \h </w:instrText>
        </w:r>
        <w:r>
          <w:rPr>
            <w:noProof/>
            <w:webHidden/>
          </w:rPr>
        </w:r>
        <w:r>
          <w:rPr>
            <w:noProof/>
            <w:webHidden/>
          </w:rPr>
          <w:fldChar w:fldCharType="separate"/>
        </w:r>
        <w:r>
          <w:rPr>
            <w:noProof/>
            <w:webHidden/>
          </w:rPr>
          <w:t>13</w:t>
        </w:r>
        <w:r>
          <w:rPr>
            <w:noProof/>
            <w:webHidden/>
          </w:rPr>
          <w:fldChar w:fldCharType="end"/>
        </w:r>
      </w:hyperlink>
    </w:p>
    <w:p w14:paraId="4138DBDA" w14:textId="77777777" w:rsidR="004828F3" w:rsidRDefault="00C0091B">
      <w:pPr>
        <w:pStyle w:val="TOC1"/>
        <w:tabs>
          <w:tab w:val="right" w:leader="dot" w:pos="9019"/>
        </w:tabs>
        <w:rPr>
          <w:noProof/>
        </w:rPr>
      </w:pPr>
      <w:hyperlink w:anchor="_Toc235522941" w:history="1">
        <w:r>
          <w:rPr>
            <w:rStyle w:val="Hyperlink"/>
            <w:noProof/>
          </w:rPr>
          <w:t>References</w:t>
        </w:r>
        <w:r>
          <w:rPr>
            <w:noProof/>
            <w:webHidden/>
          </w:rPr>
          <w:tab/>
        </w:r>
        <w:r>
          <w:rPr>
            <w:noProof/>
            <w:webHidden/>
          </w:rPr>
          <w:fldChar w:fldCharType="begin"/>
        </w:r>
        <w:r>
          <w:rPr>
            <w:noProof/>
            <w:webHidden/>
          </w:rPr>
          <w:instrText xml:space="preserve"> PAGEREF _Toc235522941 \h </w:instrText>
        </w:r>
        <w:r>
          <w:rPr>
            <w:noProof/>
            <w:webHidden/>
          </w:rPr>
        </w:r>
        <w:r>
          <w:rPr>
            <w:noProof/>
            <w:webHidden/>
          </w:rPr>
          <w:fldChar w:fldCharType="separate"/>
        </w:r>
        <w:r>
          <w:rPr>
            <w:noProof/>
            <w:webHidden/>
          </w:rPr>
          <w:t>14</w:t>
        </w:r>
        <w:r>
          <w:rPr>
            <w:noProof/>
            <w:webHidden/>
          </w:rPr>
          <w:fldChar w:fldCharType="end"/>
        </w:r>
      </w:hyperlink>
    </w:p>
    <w:p w14:paraId="3D5715E8" w14:textId="77777777" w:rsidR="004828F3" w:rsidRDefault="00C0091B">
      <w:pPr>
        <w:widowControl w:val="0"/>
        <w:tabs>
          <w:tab w:val="right" w:leader="dot" w:pos="9025"/>
        </w:tabs>
        <w:spacing w:before="60" w:after="0" w:line="240" w:lineRule="auto"/>
        <w:jc w:val="left"/>
        <w:rPr>
          <w:b/>
          <w:bCs/>
          <w:color w:val="000000"/>
        </w:rPr>
      </w:pPr>
      <w:r>
        <w:fldChar w:fldCharType="end"/>
      </w:r>
    </w:p>
    <w:p w14:paraId="50F04BB5" w14:textId="77777777" w:rsidR="004828F3" w:rsidRDefault="00C0091B">
      <w:r>
        <w:br w:type="page"/>
      </w:r>
    </w:p>
    <w:p w14:paraId="2D954435" w14:textId="77777777" w:rsidR="004828F3" w:rsidRDefault="00C0091B">
      <w:pPr>
        <w:pStyle w:val="Heading1"/>
      </w:pPr>
      <w:bookmarkStart w:id="0" w:name="_Toc235522922"/>
      <w:r>
        <w:lastRenderedPageBreak/>
        <w:t>Task 1: Marketing Environment Analysis</w:t>
      </w:r>
      <w:bookmarkEnd w:id="0"/>
    </w:p>
    <w:p w14:paraId="52667CD8" w14:textId="77777777" w:rsidR="004828F3" w:rsidRDefault="00C0091B">
      <w:pPr>
        <w:pStyle w:val="Heading2"/>
        <w:keepNext w:val="0"/>
        <w:keepLines w:val="0"/>
      </w:pPr>
      <w:bookmarkStart w:id="1" w:name="_Toc235522923"/>
      <w:r>
        <w:t>1.1 Introduction and BHP Context</w:t>
      </w:r>
      <w:bookmarkEnd w:id="1"/>
    </w:p>
    <w:p w14:paraId="40D05145" w14:textId="77777777" w:rsidR="004828F3" w:rsidRDefault="00C0091B">
      <w:pPr>
        <w:jc w:val="center"/>
        <w:rPr>
          <w:b/>
          <w:bCs/>
        </w:rPr>
      </w:pPr>
      <w:r>
        <w:rPr>
          <w:b/>
          <w:bCs/>
          <w:noProof/>
        </w:rPr>
        <w:drawing>
          <wp:inline distT="0" distB="0" distL="0" distR="0" wp14:anchorId="7A27E85D" wp14:editId="680A2F5E">
            <wp:extent cx="4510088" cy="3139081"/>
            <wp:effectExtent l="0" t="0" r="0" b="0"/>
            <wp:docPr id="10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cstate="print"/>
                    <a:srcRect/>
                    <a:stretch/>
                  </pic:blipFill>
                  <pic:spPr>
                    <a:xfrm>
                      <a:off x="0" y="0"/>
                      <a:ext cx="4510088" cy="3139081"/>
                    </a:xfrm>
                    <a:prstGeom prst="rect">
                      <a:avLst/>
                    </a:prstGeom>
                    <a:ln w="9525" cap="flat" cmpd="sng">
                      <a:solidFill>
                        <a:srgbClr val="000000"/>
                      </a:solidFill>
                      <a:prstDash val="solid"/>
                      <a:round/>
                      <a:headEnd/>
                      <a:tailEnd/>
                    </a:ln>
                  </pic:spPr>
                </pic:pic>
              </a:graphicData>
            </a:graphic>
          </wp:inline>
        </w:drawing>
      </w:r>
    </w:p>
    <w:p w14:paraId="12CAA600" w14:textId="77777777" w:rsidR="004828F3" w:rsidRDefault="00C0091B">
      <w:pPr>
        <w:jc w:val="center"/>
        <w:rPr>
          <w:b/>
          <w:bCs/>
        </w:rPr>
      </w:pPr>
      <w:r>
        <w:rPr>
          <w:b/>
          <w:bCs/>
        </w:rPr>
        <w:t>Figure 1: BHP Australia</w:t>
      </w:r>
    </w:p>
    <w:p w14:paraId="034F10FD" w14:textId="77777777" w:rsidR="004828F3" w:rsidRDefault="00C0091B">
      <w:pPr>
        <w:jc w:val="center"/>
      </w:pPr>
      <w:r>
        <w:t>(Source: BHP, 2025a)</w:t>
      </w:r>
    </w:p>
    <w:p w14:paraId="0B4B7C3A" w14:textId="77777777" w:rsidR="004828F3" w:rsidRDefault="00C0091B">
      <w:r>
        <w:t>BHP is a mining company based in Australia which produces iron ore, copper, metallurgical coal and potash. Their strategic opportunity is linked with minerals that are necessary in the electrification process, but development can intensify the emissions, stresses on water, land, and biodiversity. Two interrelated external marketing-environment actors, which affect BHP in implementing its lower-carbon transition, are thus the Natural Environment and Government and Regulatory Environment. This trend of enviro</w:t>
      </w:r>
      <w:r>
        <w:t>nmental degradation poses both a need to consume the BHP commodities as well as undermines the legitimacy of extraction unless the impacts of production have been proven minimally (BHP, 2025a).</w:t>
      </w:r>
    </w:p>
    <w:p w14:paraId="69E96708" w14:textId="77777777" w:rsidR="004828F3" w:rsidRDefault="00C0091B">
      <w:pPr>
        <w:pStyle w:val="Heading2"/>
      </w:pPr>
      <w:bookmarkStart w:id="2" w:name="_Toc235522924"/>
      <w:r>
        <w:t>1.2 Natural Environment</w:t>
      </w:r>
      <w:bookmarkEnd w:id="2"/>
    </w:p>
    <w:p w14:paraId="3A2283F3" w14:textId="77777777" w:rsidR="004828F3" w:rsidRDefault="00C0091B">
      <w:pPr>
        <w:pStyle w:val="Heading3"/>
        <w:keepNext w:val="0"/>
        <w:keepLines w:val="0"/>
        <w:rPr>
          <w:color w:val="000000"/>
        </w:rPr>
      </w:pPr>
      <w:bookmarkStart w:id="3" w:name="_Toc235522925"/>
      <w:r>
        <w:t>1.2.1 Climate Change, Energy and Operational Emissions</w:t>
      </w:r>
      <w:bookmarkEnd w:id="3"/>
    </w:p>
    <w:p w14:paraId="592CDAF7" w14:textId="77777777" w:rsidR="004828F3" w:rsidRDefault="00C0091B">
      <w:r>
        <w:t xml:space="preserve">Climate change has physical and transition risks, which will impact on BHP. Extreme temperatures, droughts, floods and cyclones have the potential to interfere with mines, </w:t>
      </w:r>
      <w:r>
        <w:lastRenderedPageBreak/>
        <w:t>rail systems and ports, and add to the costs and jeopardize supply reliability. Simultaneously, the use of equipment with diesel engines and the acquired electricity subjects the operations to pressure when decarbonising. Opportunities in the solar and wind resources can present opportunities to Australian mines, allowing the renewable generation to decrease emissions and energy-price exposure (Huang et al., 2024). Nonetheless, renewable integration does not necessarily have a better commercial advantage: t</w:t>
      </w:r>
      <w:r>
        <w:t>he remote site, storage difficulties, grid limitations and intermittency may negatively affect the sustained operations (Li et al., 2024). The lifecycle cost, resilience and scalability in the application of these technologies, BHP has to evaluate should not then be seen as evidence that renewable capacity is transitioning. Green mining technologies, such as electrified haulage, automation, processing which are energy efficient, may lead to a reduction in the amount of fuel used and emissions but due to the</w:t>
      </w:r>
      <w:r>
        <w:t>ir capital-intensive nature with unpredictable performance there is a risk of implementation (Onifade et al., 2024). Enemuo and Ogunmodimu (2025) also demonstrate that planning to use integrated energy in equipment, power systems and operational procedures is the only way to reduce carbon. This is significant since the mine-site reductions of BHP deal with the primary matters of the Scope 1 and Scope 2 emissions whereas the value-chain emissions of BHP are the results of transport, processing and steelmakin</w:t>
      </w:r>
      <w:r>
        <w:t>g. The BHP Climate Transition Action Plan, in turn, acknowledges that the company has to collaborate with its customers and suppliers; however, these forms of cooperation restrain the company in its ability to directly influence the outcomes (BHP, 2024).</w:t>
      </w:r>
    </w:p>
    <w:p w14:paraId="28D91FD5" w14:textId="77777777" w:rsidR="004828F3" w:rsidRDefault="00C0091B">
      <w:pPr>
        <w:pStyle w:val="Heading3"/>
      </w:pPr>
      <w:bookmarkStart w:id="4" w:name="_Toc235522926"/>
      <w:r>
        <w:t>1.2.2 Water, Biodiversity, Land and Tailings</w:t>
      </w:r>
      <w:bookmarkEnd w:id="4"/>
    </w:p>
    <w:p w14:paraId="2CA6E9A6" w14:textId="77777777" w:rsidR="004828F3" w:rsidRDefault="00C0091B">
      <w:r>
        <w:t>The Natural Environment is not carbonable. Mining relies on water and in many instances, it is in areas where there is a lack of water, ecosystems, and communities. Corporate reputation and delay in projects by withdrawal of water, tailings storage, land disturbance and rehabilitation liabilities can all be caused by water withdrawal, storage of tailings, land disturbance, and rehabilitation. BHP publishes indicators of the environment in its ESG Databook, but it is not comparable to external evidence of it</w:t>
      </w:r>
      <w:r>
        <w:t xml:space="preserve">s performance that is controlled by the company (BHP, 2025b). Berthet et al. (2024) illustrate how CMCs are able to take environmental and social costs off the shoulders of the supply chain and Negrete et al. (2024) reveal that the movement towards making </w:t>
      </w:r>
      <w:r>
        <w:lastRenderedPageBreak/>
        <w:t>copper and lithium less carbon-intensive can further exacerbate stresses on water, land, and communities. Consequently, it is not plausible to sell a commodity as being sustainable simply because it contributes to the use of electric cars or renewable infr</w:t>
      </w:r>
      <w:r>
        <w:t>astructure.</w:t>
      </w:r>
    </w:p>
    <w:p w14:paraId="1A5E52C8" w14:textId="77777777" w:rsidR="004828F3" w:rsidRDefault="00C0091B">
      <w:pPr>
        <w:pStyle w:val="Heading3"/>
        <w:keepNext w:val="0"/>
        <w:keepLines w:val="0"/>
        <w:rPr>
          <w:color w:val="000000"/>
        </w:rPr>
      </w:pPr>
      <w:bookmarkStart w:id="5" w:name="_Toc235522927"/>
      <w:r>
        <w:rPr>
          <w:color w:val="000000"/>
        </w:rPr>
        <w:t>1.2.3 Transition-Mineral Demand and the Sustainability Paradox</w:t>
      </w:r>
      <w:bookmarkEnd w:id="5"/>
    </w:p>
    <w:p w14:paraId="2F9A9574" w14:textId="77777777" w:rsidR="004828F3" w:rsidRDefault="00C0091B">
      <w:r>
        <w:t>Commodity needs of copper and other transition minerals are a big business opportunity to BHP however, they do generate a sustainability paradox. Expanding extraction can help to decarbonise the world and escalate ecological turmoil and social tension locally. Carr-Wilson, Pattanayak and Weinthal, (2024) list risks of climate change, social, and governance in the entire process of critical-mineral development, providing evidence that the value of energy-transition does not mitigate the effects of extraction</w:t>
      </w:r>
      <w:r>
        <w:t>. The marketing implication is that the BHP should prove the product claims based on mine level evidence on emissions, water, biodiversity and rehabilitation data as opposed to the overall climate value of minerals.</w:t>
      </w:r>
    </w:p>
    <w:p w14:paraId="586451F7" w14:textId="77777777" w:rsidR="004828F3" w:rsidRDefault="00C0091B">
      <w:pPr>
        <w:pStyle w:val="Heading2"/>
      </w:pPr>
      <w:bookmarkStart w:id="6" w:name="_Toc235522928"/>
      <w:r>
        <w:t>1.3 Government and Regulatory Environment</w:t>
      </w:r>
      <w:bookmarkEnd w:id="6"/>
    </w:p>
    <w:p w14:paraId="1BA94DDE" w14:textId="77777777" w:rsidR="004828F3" w:rsidRDefault="00C0091B">
      <w:r>
        <w:t>Environmental concern is transformed to approval, reporting and compliance requirements by the government. The project according to the EPBC scheme may be subject to referral and evaluation to establish the delay and redesign, and this spending on the project (National Environmental Protection Agency, 2026). Threats of these requirements include slowness in a project, but the requirements can also serve as entry barriers to allow financially and technically proficient companies like BHP. Globally, fragmente</w:t>
      </w:r>
      <w:r>
        <w:t>d ESG tools do not provide a similar expectation in the markets. As Deberdt, DiCarlo and Park (2024) demonstrate, the Chinese and Western vision on the issue of green extraction vary in terms of standards and governance, and it is hardly feasible to claim that one universal product. Disclosure can be enhanced by force of stakeholders, however, the level of disclosure does not always imply the actual performance on the environmental front (Alessa et al., 2024). Trust is thus based on open evidence, inclusion</w:t>
      </w:r>
      <w:r>
        <w:t xml:space="preserve"> and a sense of fairness especially in the context of critical-mineral governance in Australia (Sefa-Nyarko et al., 2025).</w:t>
      </w:r>
    </w:p>
    <w:p w14:paraId="491D0F05" w14:textId="77777777" w:rsidR="004828F3" w:rsidRDefault="00C0091B">
      <w:pPr>
        <w:pStyle w:val="Heading2"/>
      </w:pPr>
      <w:bookmarkStart w:id="7" w:name="_Toc235522929"/>
      <w:r>
        <w:lastRenderedPageBreak/>
        <w:t>1.4 Critical Synthesis</w:t>
      </w:r>
      <w:bookmarkEnd w:id="7"/>
    </w:p>
    <w:p w14:paraId="7AD616B1" w14:textId="77777777" w:rsidR="004828F3" w:rsidRDefault="00C0091B">
      <w:r>
        <w:t>The two actors complement each other: as environmental risks are more serious, more stringent regulation should be promoted, and as regulation, cleaner technology and good disclosure should have higher commercial value. The best chance that BHP sees is to pair the demand of transition-minerals with proven production-demand that are less impactful. The largest loophole of it is the disconnection of the general corporate commitments and outcomes on site.</w:t>
      </w:r>
    </w:p>
    <w:p w14:paraId="02318961" w14:textId="77777777" w:rsidR="004828F3" w:rsidRDefault="00C0091B">
      <w:pPr>
        <w:jc w:val="center"/>
        <w:rPr>
          <w:b/>
          <w:bCs/>
        </w:rPr>
      </w:pPr>
      <w:r>
        <w:rPr>
          <w:b/>
          <w:bCs/>
        </w:rPr>
        <w:t>Table 1: Critical environmental analysis of BHP</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4"/>
        <w:gridCol w:w="2274"/>
        <w:gridCol w:w="2345"/>
        <w:gridCol w:w="2742"/>
      </w:tblGrid>
      <w:tr w:rsidR="004828F3" w14:paraId="339855C9" w14:textId="77777777">
        <w:trPr>
          <w:trHeight w:val="770"/>
        </w:trPr>
        <w:tc>
          <w:tcPr>
            <w:tcW w:w="16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FF221" w14:textId="77777777" w:rsidR="004828F3" w:rsidRDefault="00C0091B">
            <w:r>
              <w:rPr>
                <w:b/>
                <w:bCs/>
              </w:rPr>
              <w:t>External pressure</w:t>
            </w:r>
          </w:p>
        </w:tc>
        <w:tc>
          <w:tcPr>
            <w:tcW w:w="2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8B60D" w14:textId="77777777" w:rsidR="004828F3" w:rsidRDefault="00C0091B">
            <w:r>
              <w:rPr>
                <w:b/>
                <w:bCs/>
              </w:rPr>
              <w:t>Opportunity for BHP</w:t>
            </w:r>
          </w:p>
        </w:tc>
        <w:tc>
          <w:tcPr>
            <w:tcW w:w="2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D0E4E" w14:textId="77777777" w:rsidR="004828F3" w:rsidRDefault="00C0091B">
            <w:r>
              <w:rPr>
                <w:b/>
                <w:bCs/>
              </w:rPr>
              <w:t>Critical challenge</w:t>
            </w:r>
          </w:p>
        </w:tc>
        <w:tc>
          <w:tcPr>
            <w:tcW w:w="27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FA8A4B" w14:textId="77777777" w:rsidR="004828F3" w:rsidRDefault="00C0091B">
            <w:r>
              <w:rPr>
                <w:b/>
                <w:bCs/>
              </w:rPr>
              <w:t>Marketing implication</w:t>
            </w:r>
          </w:p>
        </w:tc>
      </w:tr>
      <w:tr w:rsidR="004828F3" w14:paraId="1F270F8A" w14:textId="77777777">
        <w:trPr>
          <w:trHeight w:val="770"/>
        </w:trPr>
        <w:tc>
          <w:tcPr>
            <w:tcW w:w="16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FC121" w14:textId="77777777" w:rsidR="004828F3" w:rsidRDefault="00C0091B">
            <w:r>
              <w:t>Energy transition</w:t>
            </w:r>
          </w:p>
        </w:tc>
        <w:tc>
          <w:tcPr>
            <w:tcW w:w="2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10946" w14:textId="77777777" w:rsidR="004828F3" w:rsidRDefault="00C0091B">
            <w:r>
              <w:t>Higher copper demand</w:t>
            </w:r>
          </w:p>
        </w:tc>
        <w:tc>
          <w:tcPr>
            <w:tcW w:w="2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D86B0" w14:textId="77777777" w:rsidR="004828F3" w:rsidRDefault="00C0091B">
            <w:r>
              <w:t>Expansion increases ecological pressure</w:t>
            </w:r>
          </w:p>
        </w:tc>
        <w:tc>
          <w:tcPr>
            <w:tcW w:w="27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4F9FC" w14:textId="77777777" w:rsidR="004828F3" w:rsidRDefault="00C0091B">
            <w:r>
              <w:t>Claims must address production impacts</w:t>
            </w:r>
          </w:p>
        </w:tc>
      </w:tr>
      <w:tr w:rsidR="004828F3" w14:paraId="4924C036" w14:textId="77777777">
        <w:trPr>
          <w:trHeight w:val="770"/>
        </w:trPr>
        <w:tc>
          <w:tcPr>
            <w:tcW w:w="16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BF68D" w14:textId="77777777" w:rsidR="004828F3" w:rsidRDefault="00C0091B">
            <w:r>
              <w:t>Renewable integration</w:t>
            </w:r>
          </w:p>
        </w:tc>
        <w:tc>
          <w:tcPr>
            <w:tcW w:w="2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E5BC2" w14:textId="77777777" w:rsidR="004828F3" w:rsidRDefault="00C0091B">
            <w:r>
              <w:t>Lower emissions and energy exposure</w:t>
            </w:r>
          </w:p>
        </w:tc>
        <w:tc>
          <w:tcPr>
            <w:tcW w:w="2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9307D4" w14:textId="77777777" w:rsidR="004828F3" w:rsidRDefault="00C0091B">
            <w:r>
              <w:t>Infrastructure and reliability constraints</w:t>
            </w:r>
          </w:p>
        </w:tc>
        <w:tc>
          <w:tcPr>
            <w:tcW w:w="27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02E81" w14:textId="77777777" w:rsidR="004828F3" w:rsidRDefault="00C0091B">
            <w:r>
              <w:t>Differentiation requires verified data</w:t>
            </w:r>
          </w:p>
        </w:tc>
      </w:tr>
      <w:tr w:rsidR="004828F3" w14:paraId="18469836" w14:textId="77777777">
        <w:trPr>
          <w:trHeight w:val="770"/>
        </w:trPr>
        <w:tc>
          <w:tcPr>
            <w:tcW w:w="16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EBE0C" w14:textId="77777777" w:rsidR="004828F3" w:rsidRDefault="00C0091B">
            <w:r>
              <w:t>Water and biodiversity</w:t>
            </w:r>
          </w:p>
        </w:tc>
        <w:tc>
          <w:tcPr>
            <w:tcW w:w="2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D9173" w14:textId="77777777" w:rsidR="004828F3" w:rsidRDefault="00C0091B">
            <w:r>
              <w:t>Stronger stewardship positioning</w:t>
            </w:r>
          </w:p>
        </w:tc>
        <w:tc>
          <w:tcPr>
            <w:tcW w:w="2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1C05E" w14:textId="77777777" w:rsidR="004828F3" w:rsidRDefault="00C0091B">
            <w:r>
              <w:t>Local impacts can undermine trust</w:t>
            </w:r>
          </w:p>
        </w:tc>
        <w:tc>
          <w:tcPr>
            <w:tcW w:w="27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FDBCF3" w14:textId="77777777" w:rsidR="004828F3" w:rsidRDefault="00C0091B">
            <w:r>
              <w:t>Social licence affects market legitimacy</w:t>
            </w:r>
          </w:p>
        </w:tc>
      </w:tr>
      <w:tr w:rsidR="004828F3" w14:paraId="460DA2AC" w14:textId="77777777">
        <w:trPr>
          <w:trHeight w:val="1040"/>
        </w:trPr>
        <w:tc>
          <w:tcPr>
            <w:tcW w:w="16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A129A" w14:textId="77777777" w:rsidR="004828F3" w:rsidRDefault="00C0091B">
            <w:r>
              <w:t>Regulation and ESG</w:t>
            </w:r>
          </w:p>
        </w:tc>
        <w:tc>
          <w:tcPr>
            <w:tcW w:w="2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8869F" w14:textId="77777777" w:rsidR="004828F3" w:rsidRDefault="00C0091B">
            <w:r>
              <w:t>Barriers to weaker competitors</w:t>
            </w:r>
          </w:p>
        </w:tc>
        <w:tc>
          <w:tcPr>
            <w:tcW w:w="23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15217" w14:textId="77777777" w:rsidR="004828F3" w:rsidRDefault="00C0091B">
            <w:r>
              <w:t>Higher compliance cost and delay</w:t>
            </w:r>
          </w:p>
        </w:tc>
        <w:tc>
          <w:tcPr>
            <w:tcW w:w="27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6E50C" w14:textId="77777777" w:rsidR="004828F3" w:rsidRDefault="00C0091B">
            <w:r>
              <w:t>Transparency can strengthen customer confidence</w:t>
            </w:r>
          </w:p>
        </w:tc>
      </w:tr>
    </w:tbl>
    <w:p w14:paraId="14268BDC" w14:textId="77777777" w:rsidR="004828F3" w:rsidRDefault="00C0091B">
      <w:pPr>
        <w:pStyle w:val="Heading1"/>
      </w:pPr>
      <w:bookmarkStart w:id="8" w:name="_Toc235522930"/>
      <w:r>
        <w:lastRenderedPageBreak/>
        <w:t>Task 2: Strategic Growth and Competitive Positioning</w:t>
      </w:r>
      <w:bookmarkEnd w:id="8"/>
    </w:p>
    <w:p w14:paraId="25D03590" w14:textId="77777777" w:rsidR="004828F3" w:rsidRDefault="00C0091B">
      <w:pPr>
        <w:pStyle w:val="Heading2"/>
      </w:pPr>
      <w:bookmarkStart w:id="9" w:name="_Toc235522931"/>
      <w:r>
        <w:t>2.1 Strategic Problem Derived from Task 1</w:t>
      </w:r>
      <w:bookmarkEnd w:id="9"/>
    </w:p>
    <w:p w14:paraId="3FA3A975" w14:textId="77777777" w:rsidR="004828F3" w:rsidRDefault="00C0091B">
      <w:r>
        <w:t>BHP has to increase exposure to electrifying minerals, and</w:t>
      </w:r>
      <w:r>
        <w:t xml:space="preserve"> decrease the environmental impact of mining and refineries. The dilemma lies in to generate customer value based on verifiable improvement of the environment without exaggerating the level of control over the final downstream emissions or thinking that the buyers will be willing to pay a premium.</w:t>
      </w:r>
    </w:p>
    <w:p w14:paraId="04A8C6AC" w14:textId="77777777" w:rsidR="004828F3" w:rsidRDefault="00C0091B">
      <w:pPr>
        <w:pStyle w:val="Heading2"/>
      </w:pPr>
      <w:bookmarkStart w:id="10" w:name="_Toc235522932"/>
      <w:r>
        <w:t>2.2 Critical Application of the Ansoff Matrix</w:t>
      </w:r>
      <w:bookmarkEnd w:id="10"/>
    </w:p>
    <w:p w14:paraId="59DA6DCE" w14:textId="77777777" w:rsidR="004828F3" w:rsidRDefault="00C0091B">
      <w:pPr>
        <w:jc w:val="center"/>
        <w:rPr>
          <w:b/>
          <w:bCs/>
        </w:rPr>
      </w:pPr>
      <w:r>
        <w:rPr>
          <w:b/>
          <w:bCs/>
          <w:noProof/>
        </w:rPr>
        <w:drawing>
          <wp:inline distT="0" distB="0" distL="0" distR="0" wp14:anchorId="69C82574" wp14:editId="3E51BA18">
            <wp:extent cx="5734050" cy="3559361"/>
            <wp:effectExtent l="0" t="0" r="0" b="0"/>
            <wp:docPr id="1028"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cstate="print"/>
                    <a:srcRect b="17143"/>
                    <a:stretch/>
                  </pic:blipFill>
                  <pic:spPr>
                    <a:xfrm>
                      <a:off x="0" y="0"/>
                      <a:ext cx="5734050" cy="3559361"/>
                    </a:xfrm>
                    <a:prstGeom prst="rect">
                      <a:avLst/>
                    </a:prstGeom>
                    <a:ln w="9525" cap="flat" cmpd="sng">
                      <a:solidFill>
                        <a:srgbClr val="000000"/>
                      </a:solidFill>
                      <a:prstDash val="solid"/>
                      <a:round/>
                      <a:headEnd/>
                      <a:tailEnd/>
                    </a:ln>
                  </pic:spPr>
                </pic:pic>
              </a:graphicData>
            </a:graphic>
          </wp:inline>
        </w:drawing>
      </w:r>
    </w:p>
    <w:p w14:paraId="2BB34FF4" w14:textId="77777777" w:rsidR="004828F3" w:rsidRDefault="00C0091B">
      <w:pPr>
        <w:jc w:val="center"/>
        <w:rPr>
          <w:b/>
          <w:bCs/>
        </w:rPr>
      </w:pPr>
      <w:r>
        <w:rPr>
          <w:b/>
          <w:bCs/>
        </w:rPr>
        <w:t>Figure 2: ANSOFF Matrix</w:t>
      </w:r>
    </w:p>
    <w:p w14:paraId="190F0E7F" w14:textId="77777777" w:rsidR="004828F3" w:rsidRDefault="00C0091B">
      <w:pPr>
        <w:jc w:val="center"/>
      </w:pPr>
      <w:r>
        <w:t>(Source: Self-created)</w:t>
      </w:r>
    </w:p>
    <w:p w14:paraId="71ABE338" w14:textId="77777777" w:rsidR="004828F3" w:rsidRDefault="00C0091B">
      <w:r>
        <w:t xml:space="preserve">The penetration in the markets would boost the sales of the already existing commodities to the existing customers. It is less risky, and high volume may lead to serious increases in absolute impact on the environment and give the insignificant distinction. The development of the market would introduce existing products in the new geographical or industrial markets, but the environmental proposal would be the same. There are some possible diversification strategies, such as getting into </w:t>
      </w:r>
      <w:r>
        <w:lastRenderedPageBreak/>
        <w:t>unrelated renewable-energy or manufacturing sectors, which would provide BHP with growth, although this would open the company to new capabilities and technologies as well as competitive environments. The most appropriate therefore is product development. By adding the lower production emissions, traceability, assurance and technical support to the existing copper and iron ore offerings, BHP will be able to retain current assets and customer relationships and increase offerings. This is in direct response t</w:t>
      </w:r>
      <w:r>
        <w:t>o the pressures in Task 1. However, it is not to turn into the relabelling game: a given commodity does not go innovative just because it is being advertised as being green.</w:t>
      </w:r>
    </w:p>
    <w:p w14:paraId="6A38C750" w14:textId="77777777" w:rsidR="004828F3" w:rsidRDefault="00C0091B">
      <w:pPr>
        <w:pStyle w:val="Heading2"/>
      </w:pPr>
      <w:bookmarkStart w:id="11" w:name="_Toc235522933"/>
      <w:r>
        <w:t>2.3 Recommended Product-Development Strategy</w:t>
      </w:r>
      <w:bookmarkEnd w:id="11"/>
    </w:p>
    <w:p w14:paraId="1F433E87" w14:textId="77777777" w:rsidR="004828F3" w:rsidRDefault="00C0091B">
      <w:r>
        <w:t xml:space="preserve">BHP has to come up with a positive lower-carbon and traceable mineral portfolio that is verified. Mine-level Scope 1 and Scope 2 information (selected copper products), renewable-electricity information, data on water could be supported, as well as biodiversity measures and independent assurance. Offers of iron ore should have both production-emission information and technical cooperation to assist steelmakers to analyze processing paths that are less emitting. Supply-chain decarbonisation will demand more </w:t>
      </w:r>
      <w:r>
        <w:t>than just a mining, refining, transport and use supply-chain to be coordinated either that product development needs to go beyond the mine gate (Islami et al., 2025). The augmented product would be the mineral, which is accompanied with a digital product passport, chain-of-custody, lifecycle boundaries, assurance status and technical support based on customer needs. This enhances regulatory preparedness and lessening information asymmetry. But the data should show unresolved effects and limitations of the m</w:t>
      </w:r>
      <w:r>
        <w:t>ethods; otherwise, traceability will be advanced greenwashing. The strategy must also study tailings recovery where possible without connotation that the circularity will do away with new extraction. The climate plan offered by BHP offers a starting point in the form of renewable electricity, diesel replacement and value-chain alliances (BHP, 2024). However, implementation ought to be measured concerning reported improvements as opposed to aspirational goals only (BHP, 2025a). Only in the places of operatio</w:t>
      </w:r>
      <w:r>
        <w:t>nal change attributed to improved product claims do the strategies make sense.</w:t>
      </w:r>
    </w:p>
    <w:p w14:paraId="71C27B2F" w14:textId="77777777" w:rsidR="004828F3" w:rsidRDefault="00C0091B">
      <w:pPr>
        <w:pStyle w:val="Heading2"/>
      </w:pPr>
      <w:bookmarkStart w:id="12" w:name="_Toc235522934"/>
      <w:r>
        <w:lastRenderedPageBreak/>
        <w:t>2.4 Competitive Advantage and Competitor Benchmarking</w:t>
      </w:r>
      <w:bookmarkEnd w:id="12"/>
    </w:p>
    <w:p w14:paraId="4CFCB87A" w14:textId="77777777" w:rsidR="004828F3" w:rsidRDefault="00C0091B">
      <w:pPr>
        <w:jc w:val="center"/>
        <w:rPr>
          <w:b/>
          <w:bCs/>
        </w:rPr>
      </w:pPr>
      <w:r>
        <w:rPr>
          <w:b/>
          <w:bCs/>
          <w:noProof/>
        </w:rPr>
        <w:drawing>
          <wp:inline distT="0" distB="0" distL="0" distR="0" wp14:anchorId="605CF439" wp14:editId="69120FD0">
            <wp:extent cx="5734050" cy="3550531"/>
            <wp:effectExtent l="0" t="0" r="0" b="0"/>
            <wp:docPr id="1029"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cstate="print"/>
                    <a:srcRect b="17348"/>
                    <a:stretch/>
                  </pic:blipFill>
                  <pic:spPr>
                    <a:xfrm>
                      <a:off x="0" y="0"/>
                      <a:ext cx="5734050" cy="3550531"/>
                    </a:xfrm>
                    <a:prstGeom prst="rect">
                      <a:avLst/>
                    </a:prstGeom>
                    <a:ln w="9525" cap="flat" cmpd="sng">
                      <a:solidFill>
                        <a:srgbClr val="000000"/>
                      </a:solidFill>
                      <a:prstDash val="solid"/>
                      <a:round/>
                      <a:headEnd/>
                      <a:tailEnd/>
                    </a:ln>
                  </pic:spPr>
                </pic:pic>
              </a:graphicData>
            </a:graphic>
          </wp:inline>
        </w:drawing>
      </w:r>
    </w:p>
    <w:p w14:paraId="163E0AA5" w14:textId="77777777" w:rsidR="004828F3" w:rsidRDefault="00C0091B">
      <w:pPr>
        <w:jc w:val="center"/>
        <w:rPr>
          <w:b/>
          <w:bCs/>
        </w:rPr>
      </w:pPr>
      <w:r>
        <w:rPr>
          <w:b/>
          <w:bCs/>
        </w:rPr>
        <w:t>Figure32: Competitive Map</w:t>
      </w:r>
    </w:p>
    <w:p w14:paraId="652B2C1D" w14:textId="77777777" w:rsidR="004828F3" w:rsidRDefault="00C0091B">
      <w:pPr>
        <w:jc w:val="center"/>
      </w:pPr>
      <w:r>
        <w:t>(Source: Self-created on Canva)</w:t>
      </w:r>
    </w:p>
    <w:p w14:paraId="44483C03" w14:textId="77777777" w:rsidR="004828F3" w:rsidRDefault="00C0091B">
      <w:r>
        <w:t>Focused differentiation is desirable as compared to cost leadership. Decarbonisation technologies are likely to raise production costs at the start and pure price competition will deter electrification and renewable power investment and assurance. The focus areas that BHP should focus on include steelmakers, manufacturers and infrastructure customers who can appreciate the security of the supply, reduced embedded emissions, traceability and compliance assistance. In green production, technological-managemen</w:t>
      </w:r>
      <w:r>
        <w:t>t capabilities can bridge the linkage between competitiveness and green production when integrated in the operations as opposed to it being only practiced in communication (Waqas et al., 2024). Green marketing can play a beneficial role in corporate performance, but the effect can only be achieved when the customers trust the assertions made and can be applicable in business (Luo, Sun and Zhang, 2025). Competitors of BHP mine companies like Rio Tinto, Fortescue and Vale are very big, and thus scale will not</w:t>
      </w:r>
      <w:r>
        <w:t xml:space="preserve"> offer them a long-lasting shield (BHP, 2025a). Rio Tinto is a strategic scale as it symbolizes similar magnitude and consumer reach, Fortescue </w:t>
      </w:r>
      <w:r>
        <w:lastRenderedPageBreak/>
        <w:t>symbolizes pressure provided by a more aggressive transition narrative and Vale represents product-innovation pressure provided to iron ore. The strength of BHP should then lie on the mine-level information, mine co-development, multi-exposure to both copper and iron ore, and consistent delivery.</w:t>
      </w:r>
    </w:p>
    <w:p w14:paraId="22331303" w14:textId="77777777" w:rsidR="004828F3" w:rsidRDefault="00C0091B">
      <w:pPr>
        <w:jc w:val="center"/>
        <w:rPr>
          <w:b/>
          <w:bCs/>
        </w:rPr>
      </w:pPr>
      <w:r>
        <w:rPr>
          <w:b/>
          <w:bCs/>
        </w:rPr>
        <w:t>Table 2: Competitive positioning benchmark</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33"/>
        <w:gridCol w:w="1987"/>
        <w:gridCol w:w="2723"/>
        <w:gridCol w:w="2582"/>
      </w:tblGrid>
      <w:tr w:rsidR="004828F3" w14:paraId="152E2BBC" w14:textId="77777777">
        <w:trPr>
          <w:trHeight w:val="770"/>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D1E5A" w14:textId="77777777" w:rsidR="004828F3" w:rsidRDefault="00C0091B">
            <w:r>
              <w:rPr>
                <w:b/>
                <w:bCs/>
              </w:rPr>
              <w:t>Competitive basis</w:t>
            </w:r>
          </w:p>
        </w:tc>
        <w:tc>
          <w:tcPr>
            <w:tcW w:w="1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22861" w14:textId="77777777" w:rsidR="004828F3" w:rsidRDefault="00C0091B">
            <w:r>
              <w:rPr>
                <w:b/>
                <w:bCs/>
              </w:rPr>
              <w:t>BHP opportunity</w:t>
            </w:r>
          </w:p>
        </w:tc>
        <w:tc>
          <w:tcPr>
            <w:tcW w:w="27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3E83C" w14:textId="77777777" w:rsidR="004828F3" w:rsidRDefault="00C0091B">
            <w:r>
              <w:rPr>
                <w:b/>
                <w:bCs/>
              </w:rPr>
              <w:t>Rival pressure</w:t>
            </w:r>
          </w:p>
        </w:tc>
        <w:tc>
          <w:tcPr>
            <w:tcW w:w="2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0F4D9" w14:textId="77777777" w:rsidR="004828F3" w:rsidRDefault="00C0091B">
            <w:r>
              <w:rPr>
                <w:b/>
                <w:bCs/>
              </w:rPr>
              <w:t>Required response</w:t>
            </w:r>
          </w:p>
        </w:tc>
      </w:tr>
      <w:tr w:rsidR="004828F3" w14:paraId="415ACE56" w14:textId="77777777">
        <w:trPr>
          <w:trHeight w:val="1040"/>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08B5D" w14:textId="77777777" w:rsidR="004828F3" w:rsidRDefault="00C0091B">
            <w:r>
              <w:t>Scale and supply reliability</w:t>
            </w:r>
          </w:p>
        </w:tc>
        <w:tc>
          <w:tcPr>
            <w:tcW w:w="1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F2DE0" w14:textId="77777777" w:rsidR="004828F3" w:rsidRDefault="00C0091B">
            <w:r>
              <w:t>Large-volume customer solutions</w:t>
            </w:r>
          </w:p>
        </w:tc>
        <w:tc>
          <w:tcPr>
            <w:tcW w:w="27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8FC1F7" w14:textId="77777777" w:rsidR="004828F3" w:rsidRDefault="00C0091B">
            <w:r>
              <w:t>Rio Tinto and Vale also possess major scale</w:t>
            </w:r>
          </w:p>
        </w:tc>
        <w:tc>
          <w:tcPr>
            <w:tcW w:w="2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10788" w14:textId="77777777" w:rsidR="004828F3" w:rsidRDefault="00C0091B">
            <w:r>
              <w:t>Combine reliability with assured environmental data</w:t>
            </w:r>
          </w:p>
        </w:tc>
      </w:tr>
      <w:tr w:rsidR="004828F3" w14:paraId="5792D298" w14:textId="77777777">
        <w:trPr>
          <w:trHeight w:val="1040"/>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AAA2AA" w14:textId="77777777" w:rsidR="004828F3" w:rsidRDefault="00C0091B">
            <w:r>
              <w:t>Transition positioning</w:t>
            </w:r>
          </w:p>
        </w:tc>
        <w:tc>
          <w:tcPr>
            <w:tcW w:w="1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F4366" w14:textId="77777777" w:rsidR="004828F3" w:rsidRDefault="00C0091B">
            <w:r>
              <w:t>Copper and iron ore portfolio</w:t>
            </w:r>
          </w:p>
        </w:tc>
        <w:tc>
          <w:tcPr>
            <w:tcW w:w="27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39929F" w14:textId="77777777" w:rsidR="004828F3" w:rsidRDefault="00C0091B">
            <w:r>
              <w:t>Fortescue creates pressure through ambitious transition positioning</w:t>
            </w:r>
          </w:p>
        </w:tc>
        <w:tc>
          <w:tcPr>
            <w:tcW w:w="2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AAD30" w14:textId="77777777" w:rsidR="004828F3" w:rsidRDefault="00C0091B">
            <w:r>
              <w:t>Demonstrate measurable delivery rather than ambition alone</w:t>
            </w:r>
          </w:p>
        </w:tc>
      </w:tr>
      <w:tr w:rsidR="004828F3" w14:paraId="40F9C0D1" w14:textId="77777777">
        <w:trPr>
          <w:trHeight w:val="1040"/>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5E7FD" w14:textId="77777777" w:rsidR="004828F3" w:rsidRDefault="00C0091B">
            <w:r>
              <w:t>Product innovation</w:t>
            </w:r>
          </w:p>
        </w:tc>
        <w:tc>
          <w:tcPr>
            <w:tcW w:w="1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1956D" w14:textId="77777777" w:rsidR="004828F3" w:rsidRDefault="00C0091B">
            <w:r>
              <w:t>Traceable augmented products</w:t>
            </w:r>
          </w:p>
        </w:tc>
        <w:tc>
          <w:tcPr>
            <w:tcW w:w="27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E3922" w14:textId="77777777" w:rsidR="004828F3" w:rsidRDefault="00C0091B">
            <w:r>
              <w:t>Vale represents differentiation pressure in iron ore</w:t>
            </w:r>
          </w:p>
        </w:tc>
        <w:tc>
          <w:tcPr>
            <w:tcW w:w="2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2B294" w14:textId="77777777" w:rsidR="004828F3" w:rsidRDefault="00C0091B">
            <w:r>
              <w:t>Add technical services and product-level assurance</w:t>
            </w:r>
          </w:p>
        </w:tc>
      </w:tr>
      <w:tr w:rsidR="004828F3" w14:paraId="5E644382" w14:textId="77777777">
        <w:trPr>
          <w:trHeight w:val="1040"/>
        </w:trPr>
        <w:tc>
          <w:tcPr>
            <w:tcW w:w="17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6DEBA" w14:textId="77777777" w:rsidR="004828F3" w:rsidRDefault="00C0091B">
            <w:r>
              <w:t>Customer relationships</w:t>
            </w:r>
          </w:p>
        </w:tc>
        <w:tc>
          <w:tcPr>
            <w:tcW w:w="19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7B6661" w14:textId="77777777" w:rsidR="004828F3" w:rsidRDefault="00C0091B">
            <w:r>
              <w:t>Co-development with industrial buyers</w:t>
            </w:r>
          </w:p>
        </w:tc>
        <w:tc>
          <w:tcPr>
            <w:tcW w:w="27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364C9" w14:textId="77777777" w:rsidR="004828F3" w:rsidRDefault="00C0091B">
            <w:r>
              <w:t>Major rivals can pursue similar partnerships</w:t>
            </w:r>
          </w:p>
        </w:tc>
        <w:tc>
          <w:tcPr>
            <w:tcW w:w="2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0E7325" w14:textId="77777777" w:rsidR="004828F3" w:rsidRDefault="00C0091B">
            <w:r>
              <w:t>Build switching costs through integrated data and support</w:t>
            </w:r>
          </w:p>
        </w:tc>
      </w:tr>
    </w:tbl>
    <w:p w14:paraId="477EAFD0" w14:textId="77777777" w:rsidR="004828F3" w:rsidRDefault="00C0091B">
      <w:r>
        <w:t xml:space="preserve">Since other firms can mimic competitor strategies, the advantage that BHP has should rely on information systems that are hard to copy, the quality of assurance and long-term customer integration. With this positioning, BHP should be shielded against commodity-price wars, as environmental information and technical support are </w:t>
      </w:r>
      <w:r>
        <w:lastRenderedPageBreak/>
        <w:t>incorporated into more long-lasting relationships. However, the customers can rebuff to pay a green premium. BHP must instead in the context of environmental preference specify value as regulatory compliance, supply-chain risk elimination, efficiency and security of supply as opposed to environmental preference.</w:t>
      </w:r>
    </w:p>
    <w:p w14:paraId="622B9361" w14:textId="77777777" w:rsidR="004828F3" w:rsidRDefault="00C0091B">
      <w:pPr>
        <w:pStyle w:val="Heading2"/>
      </w:pPr>
      <w:bookmarkStart w:id="13" w:name="_Toc235522935"/>
      <w:r>
        <w:t>2.5 Implementation, Risks and Performance</w:t>
      </w:r>
      <w:bookmarkEnd w:id="13"/>
    </w:p>
    <w:p w14:paraId="3CC1E1C1" w14:textId="77777777" w:rsidR="004828F3" w:rsidRDefault="00C0091B">
      <w:r>
        <w:t>The adoption necessitates renewable energy, storage, electrification of equipment, effective processing, water recycles and electronic traceability. Huang et al. (2024) advocate integration of renewable in Australian mining and Onifade et al. (2024) the co-ordinated technological modernisation. The most important threats entail an underperformance of technology, unstable power, erratic carbon practices, high investment of capital, imitation and greenwashing accusations by the rivals. Pilots, Staged investme</w:t>
      </w:r>
      <w:r>
        <w:t>nt, independent assurance should be employed by BHP. The measurement of performance should be in the form of emission intensity, share of renewable electricity, (traceable) output, water recycling, assured claims, sustainability linked customer contracts and differentiated product margins.</w:t>
      </w:r>
    </w:p>
    <w:p w14:paraId="74FE8A11" w14:textId="77777777" w:rsidR="004828F3" w:rsidRDefault="00C0091B">
      <w:pPr>
        <w:pStyle w:val="Heading1"/>
      </w:pPr>
      <w:bookmarkStart w:id="14" w:name="_4fu8o5yko67p" w:colFirst="0" w:colLast="0"/>
      <w:bookmarkEnd w:id="14"/>
      <w:r>
        <w:br w:type="page"/>
      </w:r>
    </w:p>
    <w:p w14:paraId="6403B006" w14:textId="77777777" w:rsidR="004828F3" w:rsidRDefault="00C0091B">
      <w:pPr>
        <w:pStyle w:val="Heading1"/>
      </w:pPr>
      <w:bookmarkStart w:id="15" w:name="_Toc235522936"/>
      <w:r>
        <w:lastRenderedPageBreak/>
        <w:t>Task 3: Critical Reflection on AI Usage</w:t>
      </w:r>
      <w:bookmarkEnd w:id="15"/>
    </w:p>
    <w:p w14:paraId="7C84CE23" w14:textId="77777777" w:rsidR="004828F3" w:rsidRDefault="00C0091B">
      <w:pPr>
        <w:pStyle w:val="Heading2"/>
      </w:pPr>
      <w:bookmarkStart w:id="16" w:name="_Toc235522937"/>
      <w:r>
        <w:t>3.1 Tool Disclosure</w:t>
      </w:r>
      <w:bookmarkEnd w:id="16"/>
    </w:p>
    <w:p w14:paraId="0DE50D81" w14:textId="77777777" w:rsidR="004828F3" w:rsidRDefault="00C0091B">
      <w:r>
        <w:t>I applied the generative AIs to brainstorming headings, plan out the three tasks, create search terms and enhance the clarity of sentences. It aided in linking the Natural Environment, regulation, and the Ansoff Matrix and competitive positioning. But AI was not regarded as an expert, or a source of evidence. Gruenhagen et al. (2024) reveal that students can use chatbots in more beneficial ways, but it also brings about dependency, accuracy, and academic integrity risks.</w:t>
      </w:r>
    </w:p>
    <w:p w14:paraId="2743B9D9" w14:textId="77777777" w:rsidR="004828F3" w:rsidRDefault="00C0091B">
      <w:pPr>
        <w:pStyle w:val="Heading2"/>
      </w:pPr>
      <w:bookmarkStart w:id="17" w:name="_Toc235522938"/>
      <w:r>
        <w:t>3.2 Critical Evaluation and Verification</w:t>
      </w:r>
      <w:bookmarkEnd w:id="17"/>
    </w:p>
    <w:p w14:paraId="6C3D8535" w14:textId="77777777" w:rsidR="004828F3" w:rsidRDefault="00C0091B">
      <w:r>
        <w:t xml:space="preserve">All the claims that were supported using AI were verified with a primary source. Comparisons were made between BHP-specific strategy, commodity and performance statements with the Annual Report (BHP, 2025a), climate claims with the Climate Transition Action Plan (BHP, 2024) and the environmental indicators with the ESG Standards and Databook (BHP, 2025b). The data about Australian environmental assessment were confirmed with the help of the National Environmental Protection Agency (2026). Details about the </w:t>
      </w:r>
      <w:r>
        <w:t>journals have been verified by looking at the publisher pages whereas summaries were verified by the publications arguments as opposed to looking at the text. There are several mistakes which were found during this process. AI might refer to critical minerals as automatically sustainable, or mix up to downstream Scope 3 results with the reductions made by the scope 1 or Scope 2, or project corporate aims as already accomplished, or think that customers would pay a green premium. It may produce false authors</w:t>
      </w:r>
      <w:r>
        <w:t>, dates or page numbers as well. These frailties were rectified by comparisons of sources and by saving qualifications about evidence that was inconclusive.</w:t>
      </w:r>
    </w:p>
    <w:p w14:paraId="0F2C381F" w14:textId="77777777" w:rsidR="004828F3" w:rsidRDefault="00C0091B">
      <w:pPr>
        <w:pStyle w:val="Heading2"/>
      </w:pPr>
      <w:bookmarkStart w:id="18" w:name="_Toc235522939"/>
      <w:r>
        <w:t>3.3 Contribution Analysis</w:t>
      </w:r>
      <w:bookmarkEnd w:id="18"/>
    </w:p>
    <w:p w14:paraId="2E71A619" w14:textId="77777777" w:rsidR="004828F3" w:rsidRDefault="00C0091B">
      <w:r>
        <w:t xml:space="preserve">AI was used to aid in doing initial organisation, alternative headings, creation of keyword generation and language editing. My input was the selection of BHP, the choice of Natural and Governmental actors, the untangling of inconsistent evidences, applying all the four Ansoff options, product development proposal, making the comparison between BHP and Rio Tinto, Fortescue and Vale, and focused </w:t>
      </w:r>
      <w:r>
        <w:lastRenderedPageBreak/>
        <w:t>differentiation choice. I also chose which recommendations made were unevidenced and formulated the ultimate strategic judgement, risk and performance metrics. In such a way, AI helped to speed up preparation, but not the analytical position.</w:t>
      </w:r>
    </w:p>
    <w:p w14:paraId="58FDE6B2" w14:textId="77777777" w:rsidR="004828F3" w:rsidRDefault="00C0091B">
      <w:pPr>
        <w:pStyle w:val="Heading2"/>
      </w:pPr>
      <w:bookmarkStart w:id="19" w:name="_Toc235522940"/>
      <w:r>
        <w:t>3.4 Ethical and Professional Reflection</w:t>
      </w:r>
      <w:bookmarkEnd w:id="19"/>
    </w:p>
    <w:p w14:paraId="1F881DCC" w14:textId="77777777" w:rsidR="004828F3" w:rsidRDefault="00C0091B">
      <w:r>
        <w:t>The transparency, authorship, hallucination, bias, privacy and accountability were the main ethical concerns. Bittle and El-Gayar (2025) demonstrate that academic integrity and critical thinking might be harmed in the case of undisclosed or substitutive AI use. The threat in marketing practice is severe since AI will create a convincing environmental rhetoric, surpassing the factual substratum, and lead to greenwashing. I thus revealed the purpose of the tool, did not give any confidential data and was stil</w:t>
      </w:r>
      <w:r>
        <w:t>l in charge of all statements. Some of the roles that AI can enhance are efficiency, however, professional judgement, source verification and being honest will always be human roles.</w:t>
      </w:r>
    </w:p>
    <w:p w14:paraId="43EBDA80" w14:textId="77777777" w:rsidR="004828F3" w:rsidRDefault="00C0091B">
      <w:r>
        <w:br w:type="page"/>
      </w:r>
    </w:p>
    <w:p w14:paraId="4A2A2D9A" w14:textId="77777777" w:rsidR="004828F3" w:rsidRDefault="00C0091B">
      <w:pPr>
        <w:pStyle w:val="Heading1"/>
      </w:pPr>
      <w:bookmarkStart w:id="20" w:name="_Toc235522941"/>
      <w:r>
        <w:lastRenderedPageBreak/>
        <w:t>References</w:t>
      </w:r>
      <w:bookmarkEnd w:id="20"/>
    </w:p>
    <w:p w14:paraId="4F244343" w14:textId="77777777" w:rsidR="004828F3" w:rsidRDefault="00C0091B">
      <w:r>
        <w:t xml:space="preserve">Alessa, N., Akparep, J.Y., Sulemana, I. and Agyemang, A.O., 2024. Does stakeholder pressure influence firms environmental, social and governance (ESG) disclosure? Evidence from Ghana. </w:t>
      </w:r>
      <w:r>
        <w:rPr>
          <w:i/>
          <w:iCs/>
        </w:rPr>
        <w:t>Cogent Business &amp; Management</w:t>
      </w:r>
      <w:r>
        <w:t xml:space="preserve">, </w:t>
      </w:r>
      <w:r>
        <w:rPr>
          <w:i/>
          <w:iCs/>
        </w:rPr>
        <w:t>11</w:t>
      </w:r>
      <w:r>
        <w:t>(1), p.2303790.</w:t>
      </w:r>
      <w:hyperlink r:id="rId10" w:history="1">
        <w:r>
          <w:rPr>
            <w:color w:val="1155CC"/>
            <w:u w:val="single"/>
          </w:rPr>
          <w:t>https://www.tandfonline.com/doi/pdf/10.1080/23311975.2024.2303790</w:t>
        </w:r>
      </w:hyperlink>
      <w:r>
        <w:t xml:space="preserve"> </w:t>
      </w:r>
    </w:p>
    <w:p w14:paraId="3D3544C5" w14:textId="77777777" w:rsidR="004828F3" w:rsidRDefault="00C0091B">
      <w:r>
        <w:t xml:space="preserve">Berthet, E., Lavalley, J., Anquetil-Deck, C., Ballesteros, F., Stadler, K., Soytas, U., Hauschild, M. and Laurent, A., 2024. Assessing the social and environmental impacts of critical mineral supply chains for the energy transition in Europe. </w:t>
      </w:r>
      <w:r>
        <w:rPr>
          <w:i/>
          <w:iCs/>
        </w:rPr>
        <w:t>Global Environmental Change</w:t>
      </w:r>
      <w:r>
        <w:t xml:space="preserve">, </w:t>
      </w:r>
      <w:r>
        <w:rPr>
          <w:i/>
          <w:iCs/>
        </w:rPr>
        <w:t>86</w:t>
      </w:r>
      <w:r>
        <w:t>, p.102841.</w:t>
      </w:r>
      <w:hyperlink r:id="rId11" w:history="1">
        <w:r>
          <w:rPr>
            <w:color w:val="1155CC"/>
            <w:u w:val="single"/>
          </w:rPr>
          <w:t>https://www.sciencedirect.com/science/article/pii/S0959378024000451</w:t>
        </w:r>
      </w:hyperlink>
      <w:r>
        <w:t xml:space="preserve"> </w:t>
      </w:r>
    </w:p>
    <w:p w14:paraId="3F9C14D4" w14:textId="77777777" w:rsidR="004828F3" w:rsidRDefault="00C0091B">
      <w:r>
        <w:t xml:space="preserve">BHP (2024) </w:t>
      </w:r>
      <w:r>
        <w:rPr>
          <w:i/>
          <w:iCs/>
        </w:rPr>
        <w:t>Climate Transition Action Plan 2024</w:t>
      </w:r>
      <w:r>
        <w:t>. Available at:</w:t>
      </w:r>
      <w:hyperlink r:id="rId12" w:history="1">
        <w:r>
          <w:t xml:space="preserve"> </w:t>
        </w:r>
      </w:hyperlink>
      <w:hyperlink r:id="rId13" w:history="1">
        <w:r>
          <w:rPr>
            <w:color w:val="1155CC"/>
            <w:u w:val="single"/>
          </w:rPr>
          <w:t>https://www.bhp.com/sustainability/climate-change/climate-transition-action-plan</w:t>
        </w:r>
      </w:hyperlink>
      <w:r>
        <w:t xml:space="preserve"> (Accessed: 21 July 2026). </w:t>
      </w:r>
    </w:p>
    <w:p w14:paraId="61D7EBFF" w14:textId="77777777" w:rsidR="004828F3" w:rsidRDefault="00C0091B">
      <w:r>
        <w:t xml:space="preserve">BHP (2025a) </w:t>
      </w:r>
      <w:r>
        <w:rPr>
          <w:i/>
          <w:iCs/>
        </w:rPr>
        <w:t>Annual Report 2025</w:t>
      </w:r>
      <w:r>
        <w:t>. Available at:</w:t>
      </w:r>
      <w:hyperlink r:id="rId14" w:history="1">
        <w:r>
          <w:t xml:space="preserve"> </w:t>
        </w:r>
      </w:hyperlink>
      <w:hyperlink r:id="rId15" w:history="1">
        <w:r>
          <w:rPr>
            <w:color w:val="1155CC"/>
            <w:u w:val="single"/>
          </w:rPr>
          <w:t>https://www.bhp.com/investor-hub/reports-and-presentations/annual-report</w:t>
        </w:r>
      </w:hyperlink>
      <w:r>
        <w:t xml:space="preserve"> (Accessed: 21 July 2026). </w:t>
      </w:r>
    </w:p>
    <w:p w14:paraId="33856D74" w14:textId="77777777" w:rsidR="004828F3" w:rsidRDefault="00C0091B">
      <w:r>
        <w:t xml:space="preserve">BHP (2025b) </w:t>
      </w:r>
      <w:r>
        <w:rPr>
          <w:i/>
          <w:iCs/>
        </w:rPr>
        <w:t>ESG Standards and Databook 2025</w:t>
      </w:r>
      <w:r>
        <w:t>. Available at:</w:t>
      </w:r>
      <w:hyperlink r:id="rId16" w:history="1">
        <w:r>
          <w:t xml:space="preserve"> </w:t>
        </w:r>
      </w:hyperlink>
      <w:hyperlink r:id="rId17" w:history="1">
        <w:r>
          <w:rPr>
            <w:color w:val="1155CC"/>
            <w:u w:val="single"/>
          </w:rPr>
          <w:t>https://www.bhp.com/news/media-centre/reports-presentations/2025/08/2025-annual-reporting-suite</w:t>
        </w:r>
      </w:hyperlink>
      <w:r>
        <w:t xml:space="preserve"> (Accessed: 21 July 2026). </w:t>
      </w:r>
    </w:p>
    <w:p w14:paraId="20C4D07C" w14:textId="77777777" w:rsidR="004828F3" w:rsidRDefault="00C0091B">
      <w:r>
        <w:t xml:space="preserve">Bittle, K. and El-Gayar, O., 2025. Generative AI and academic integrity in higher education: A systematic review and research agenda. </w:t>
      </w:r>
      <w:r>
        <w:rPr>
          <w:i/>
          <w:iCs/>
        </w:rPr>
        <w:t>Information</w:t>
      </w:r>
      <w:r>
        <w:t xml:space="preserve">, </w:t>
      </w:r>
      <w:r>
        <w:rPr>
          <w:i/>
          <w:iCs/>
        </w:rPr>
        <w:t>16</w:t>
      </w:r>
      <w:r>
        <w:t>(4), p.296.</w:t>
      </w:r>
      <w:hyperlink r:id="rId18" w:history="1">
        <w:r>
          <w:rPr>
            <w:color w:val="1155CC"/>
            <w:u w:val="single"/>
          </w:rPr>
          <w:t>https://www.mdpi.com/2078-2489/16/4/296</w:t>
        </w:r>
      </w:hyperlink>
    </w:p>
    <w:p w14:paraId="397EFA9E" w14:textId="77777777" w:rsidR="004828F3" w:rsidRDefault="00C0091B">
      <w:r>
        <w:t xml:space="preserve">Carr-Wilson, S., Pattanayak, S.K. and Weinthal, E., 2024. Critical mineral mining in the energy transition: A systematic review of environmental, social, and governance risks and opportunities. </w:t>
      </w:r>
      <w:r>
        <w:rPr>
          <w:i/>
          <w:iCs/>
        </w:rPr>
        <w:t>Energy Research &amp; Social Science</w:t>
      </w:r>
      <w:r>
        <w:t xml:space="preserve">, </w:t>
      </w:r>
      <w:r>
        <w:rPr>
          <w:i/>
          <w:iCs/>
        </w:rPr>
        <w:t>116</w:t>
      </w:r>
      <w:r>
        <w:t>, p.103672.</w:t>
      </w:r>
      <w:hyperlink r:id="rId19" w:history="1">
        <w:r>
          <w:rPr>
            <w:color w:val="1155CC"/>
            <w:u w:val="single"/>
          </w:rPr>
          <w:t>https://www.sciencedirect.com/science/article/pii/S2214629624002639</w:t>
        </w:r>
      </w:hyperlink>
      <w:r>
        <w:t xml:space="preserve"> </w:t>
      </w:r>
    </w:p>
    <w:p w14:paraId="57614382" w14:textId="77777777" w:rsidR="004828F3" w:rsidRDefault="00C0091B">
      <w:r>
        <w:t xml:space="preserve">Deberdt, R., DiCarlo, J. and Park, H., 2024. Standardizing “green” extractivism: Chinese &amp; Western environmental, social, and governance instruments in the critical mineral sector. </w:t>
      </w:r>
      <w:r>
        <w:rPr>
          <w:i/>
          <w:iCs/>
        </w:rPr>
        <w:t>The Extractive Industries and Society</w:t>
      </w:r>
      <w:r>
        <w:t xml:space="preserve">, </w:t>
      </w:r>
      <w:r>
        <w:rPr>
          <w:i/>
          <w:iCs/>
        </w:rPr>
        <w:t>19</w:t>
      </w:r>
      <w:r>
        <w:t>, p.101516.</w:t>
      </w:r>
      <w:hyperlink r:id="rId20" w:history="1">
        <w:r>
          <w:rPr>
            <w:color w:val="1155CC"/>
            <w:u w:val="single"/>
          </w:rPr>
          <w:t>https://www.sciencedirect.com/science/article/pii/S2214790X24001126</w:t>
        </w:r>
      </w:hyperlink>
      <w:r>
        <w:t xml:space="preserve"> </w:t>
      </w:r>
    </w:p>
    <w:p w14:paraId="4967B056" w14:textId="77777777" w:rsidR="004828F3" w:rsidRDefault="00C0091B">
      <w:r>
        <w:lastRenderedPageBreak/>
        <w:t xml:space="preserve">Enemuo, M. and Ogunmodimu, O., 2025. Transitioning the mining sector: A review of renewable energy integration and carbon footprint reduction strategies. </w:t>
      </w:r>
      <w:r>
        <w:rPr>
          <w:i/>
          <w:iCs/>
        </w:rPr>
        <w:t>Applied energy</w:t>
      </w:r>
      <w:r>
        <w:t xml:space="preserve">, </w:t>
      </w:r>
      <w:r>
        <w:rPr>
          <w:i/>
          <w:iCs/>
        </w:rPr>
        <w:t>384</w:t>
      </w:r>
      <w:r>
        <w:t>, p.125484.</w:t>
      </w:r>
      <w:hyperlink r:id="rId21" w:history="1">
        <w:r>
          <w:rPr>
            <w:color w:val="1155CC"/>
            <w:u w:val="single"/>
          </w:rPr>
          <w:t>https://www.sciencedirect.com/science/article/pii/S0306261925002144</w:t>
        </w:r>
      </w:hyperlink>
      <w:r>
        <w:t xml:space="preserve"> </w:t>
      </w:r>
    </w:p>
    <w:p w14:paraId="29E4B27A" w14:textId="77777777" w:rsidR="004828F3" w:rsidRDefault="00C0091B">
      <w:r>
        <w:t xml:space="preserve">Gruenhagen, J.H., Sinclair, P.M., Carroll, J.A., Baker, P.R., Wilson, A. and Demant, D., 2024. The rapid rise of generative AI and its implications for academic integrity: Students’ perceptions and use of chatbots for assistance with assessments. </w:t>
      </w:r>
      <w:r>
        <w:rPr>
          <w:i/>
          <w:iCs/>
        </w:rPr>
        <w:t>Computers and Education: Artificial Intelligence</w:t>
      </w:r>
      <w:r>
        <w:t xml:space="preserve">, </w:t>
      </w:r>
      <w:r>
        <w:rPr>
          <w:i/>
          <w:iCs/>
        </w:rPr>
        <w:t>7</w:t>
      </w:r>
      <w:r>
        <w:t>, p.100273.</w:t>
      </w:r>
      <w:hyperlink r:id="rId22" w:history="1">
        <w:r>
          <w:rPr>
            <w:color w:val="1155CC"/>
            <w:u w:val="single"/>
          </w:rPr>
          <w:t>https://www.sciencedirect.com/science/article/pii/S2666920X24000766</w:t>
        </w:r>
      </w:hyperlink>
      <w:r>
        <w:t xml:space="preserve"> </w:t>
      </w:r>
    </w:p>
    <w:p w14:paraId="459FC6FD" w14:textId="77777777" w:rsidR="004828F3" w:rsidRDefault="00C0091B">
      <w:r>
        <w:t xml:space="preserve">Huang, H., Ata, S., Rougieux, F. and Kay, M., 2024. Decarbonising mining of Australia's critical mineral deposits: Opportunities for sustainable mining through solar photovoltaics and wind energy integration. </w:t>
      </w:r>
      <w:r>
        <w:rPr>
          <w:i/>
          <w:iCs/>
        </w:rPr>
        <w:t>Journal of Cleaner Production</w:t>
      </w:r>
      <w:r>
        <w:t xml:space="preserve">, </w:t>
      </w:r>
      <w:r>
        <w:rPr>
          <w:i/>
          <w:iCs/>
        </w:rPr>
        <w:t>455</w:t>
      </w:r>
      <w:r>
        <w:t>, p.142300.</w:t>
      </w:r>
      <w:hyperlink r:id="rId23" w:history="1">
        <w:r>
          <w:rPr>
            <w:color w:val="1155CC"/>
            <w:u w:val="single"/>
          </w:rPr>
          <w:t>https://www.sciencedirect.com/science/article/pii/S0959652624017487</w:t>
        </w:r>
      </w:hyperlink>
      <w:r>
        <w:t xml:space="preserve"> </w:t>
      </w:r>
    </w:p>
    <w:p w14:paraId="1DA1BB7E" w14:textId="77777777" w:rsidR="004828F3" w:rsidRDefault="00C0091B">
      <w:r>
        <w:t xml:space="preserve">Islami, M.S., Urmee, T., Lund, C., Bahri, P.A. and Anisuzzaman, M., 2025. Decarbonisation strategies for critical mineral supply chain: State-of-Art in mining and refining industries. </w:t>
      </w:r>
      <w:r>
        <w:rPr>
          <w:i/>
          <w:iCs/>
        </w:rPr>
        <w:t>Renewable and Sustainable Energy Reviews</w:t>
      </w:r>
      <w:r>
        <w:t xml:space="preserve">, </w:t>
      </w:r>
      <w:r>
        <w:rPr>
          <w:i/>
          <w:iCs/>
        </w:rPr>
        <w:t>218</w:t>
      </w:r>
      <w:r>
        <w:t>, p.115811.</w:t>
      </w:r>
      <w:hyperlink r:id="rId24" w:history="1">
        <w:r>
          <w:rPr>
            <w:color w:val="1155CC"/>
            <w:u w:val="single"/>
          </w:rPr>
          <w:t>https://www.sciencedirect.com/science/article/pii/S1364032125004848</w:t>
        </w:r>
      </w:hyperlink>
      <w:r>
        <w:t xml:space="preserve"> </w:t>
      </w:r>
    </w:p>
    <w:p w14:paraId="60A2939C" w14:textId="77777777" w:rsidR="004828F3" w:rsidRDefault="00C0091B">
      <w:r>
        <w:t xml:space="preserve">Li, X., Gu, Q., Wang, Q., Luo, J., Liu, D. and Chang, Y., 2024. Renewable energy in the mining industry: Status, opportunities and challenges. </w:t>
      </w:r>
      <w:r>
        <w:rPr>
          <w:i/>
          <w:iCs/>
        </w:rPr>
        <w:t>Energy Strategy Reviews</w:t>
      </w:r>
      <w:r>
        <w:t xml:space="preserve">, </w:t>
      </w:r>
      <w:r>
        <w:rPr>
          <w:i/>
          <w:iCs/>
        </w:rPr>
        <w:t>56</w:t>
      </w:r>
      <w:r>
        <w:t>, p.101597.</w:t>
      </w:r>
      <w:hyperlink r:id="rId25" w:history="1">
        <w:r>
          <w:rPr>
            <w:color w:val="1155CC"/>
            <w:u w:val="single"/>
          </w:rPr>
          <w:t>https://www.sciencedirect.com/science/article/pii/S2211467X24003067</w:t>
        </w:r>
      </w:hyperlink>
      <w:r>
        <w:t xml:space="preserve"> </w:t>
      </w:r>
    </w:p>
    <w:p w14:paraId="5805A269" w14:textId="77777777" w:rsidR="004828F3" w:rsidRDefault="00C0091B">
      <w:r>
        <w:t xml:space="preserve">Luo, S., Sun, Z. and Zhang, X., 2025. Does green marketing improve corporate performance?. </w:t>
      </w:r>
      <w:r>
        <w:rPr>
          <w:i/>
          <w:iCs/>
        </w:rPr>
        <w:t>International Review of Economics &amp; Finance</w:t>
      </w:r>
      <w:r>
        <w:t xml:space="preserve">, </w:t>
      </w:r>
      <w:r>
        <w:rPr>
          <w:i/>
          <w:iCs/>
        </w:rPr>
        <w:t>97</w:t>
      </w:r>
      <w:r>
        <w:t>, p.103762.</w:t>
      </w:r>
      <w:hyperlink r:id="rId26" w:history="1">
        <w:r>
          <w:rPr>
            <w:color w:val="1155CC"/>
            <w:u w:val="single"/>
          </w:rPr>
          <w:t>https://www.sciencedirect.com/science/article/pii/S1059056024007548</w:t>
        </w:r>
      </w:hyperlink>
      <w:r>
        <w:t xml:space="preserve"> </w:t>
      </w:r>
    </w:p>
    <w:p w14:paraId="6B346EB5" w14:textId="77777777" w:rsidR="004828F3" w:rsidRDefault="00C0091B">
      <w:r>
        <w:t xml:space="preserve">National Environmental Protection Agency (2026) </w:t>
      </w:r>
      <w:r>
        <w:rPr>
          <w:i/>
          <w:iCs/>
        </w:rPr>
        <w:t>Referrals and environmental assessments under the EPBC Act</w:t>
      </w:r>
      <w:r>
        <w:t>. Available at:</w:t>
      </w:r>
      <w:hyperlink r:id="rId27" w:history="1">
        <w:r>
          <w:t xml:space="preserve"> </w:t>
        </w:r>
      </w:hyperlink>
      <w:hyperlink r:id="rId28" w:history="1">
        <w:r>
          <w:rPr>
            <w:color w:val="1155CC"/>
            <w:u w:val="single"/>
          </w:rPr>
          <w:t>https://www.nationalepa.gov.au/epbc/approvals</w:t>
        </w:r>
      </w:hyperlink>
      <w:r>
        <w:t xml:space="preserve"> (Accessed: 21 July 2026). </w:t>
      </w:r>
    </w:p>
    <w:p w14:paraId="55880A6B" w14:textId="77777777" w:rsidR="004828F3" w:rsidRDefault="00C0091B">
      <w:r>
        <w:t xml:space="preserve">Negrete, M., Fuentes, M., Kraslawski, A., Irarrazaval, F. and Herrera-León, S., 2024. Socio-environmental implications of the decarbonization of copper and lithium mining and mineral processing. </w:t>
      </w:r>
      <w:r>
        <w:rPr>
          <w:i/>
          <w:iCs/>
        </w:rPr>
        <w:t>Resources Policy</w:t>
      </w:r>
      <w:r>
        <w:t xml:space="preserve">, </w:t>
      </w:r>
      <w:r>
        <w:rPr>
          <w:i/>
          <w:iCs/>
        </w:rPr>
        <w:t>95</w:t>
      </w:r>
      <w:r>
        <w:t>, p.105135.</w:t>
      </w:r>
      <w:hyperlink r:id="rId29" w:history="1">
        <w:r>
          <w:rPr>
            <w:color w:val="1155CC"/>
            <w:u w:val="single"/>
          </w:rPr>
          <w:t>https://www.sciencedirect.com/science/article/pii/S0301420724005026</w:t>
        </w:r>
      </w:hyperlink>
      <w:r>
        <w:t xml:space="preserve"> </w:t>
      </w:r>
    </w:p>
    <w:p w14:paraId="5F047DAA" w14:textId="77777777" w:rsidR="004828F3" w:rsidRDefault="00C0091B">
      <w:r>
        <w:lastRenderedPageBreak/>
        <w:t xml:space="preserve">Onifade, M., Zvarivadza, T., Adebisi, J.A., Said, K.O., Dayo-Olupona, O., Lawal, A.I. and Khandelwal, M., 2024. Advancing toward sustainability: The emergence of green mining technologies and practices. </w:t>
      </w:r>
      <w:r>
        <w:rPr>
          <w:i/>
          <w:iCs/>
        </w:rPr>
        <w:t>Green and Smart Mining Engineering</w:t>
      </w:r>
      <w:r>
        <w:t xml:space="preserve">, </w:t>
      </w:r>
      <w:r>
        <w:rPr>
          <w:i/>
          <w:iCs/>
        </w:rPr>
        <w:t>1</w:t>
      </w:r>
      <w:r>
        <w:t>(2), pp.157-174.</w:t>
      </w:r>
      <w:hyperlink r:id="rId30" w:history="1">
        <w:r>
          <w:rPr>
            <w:color w:val="1155CC"/>
            <w:u w:val="single"/>
          </w:rPr>
          <w:t>https://www.sciencedirect.com/science/article/pii/S2950555024000338</w:t>
        </w:r>
      </w:hyperlink>
      <w:r>
        <w:t xml:space="preserve"> </w:t>
      </w:r>
    </w:p>
    <w:p w14:paraId="4A55D7F2" w14:textId="77777777" w:rsidR="004828F3" w:rsidRDefault="00C0091B">
      <w:r>
        <w:t xml:space="preserve">Sefa-Nyarko, C., Sinclair, D., Matanzima, J., Alver, J., Hamman, E., Bartos, S. and Burke, R., 2025. Relative trust in critical minerals governance for just transitions in Ghana and Australia. </w:t>
      </w:r>
      <w:r>
        <w:rPr>
          <w:i/>
          <w:iCs/>
        </w:rPr>
        <w:t>Resources Policy</w:t>
      </w:r>
      <w:r>
        <w:t xml:space="preserve">, </w:t>
      </w:r>
      <w:r>
        <w:rPr>
          <w:i/>
          <w:iCs/>
        </w:rPr>
        <w:t>103</w:t>
      </w:r>
      <w:r>
        <w:t>, p.105568.</w:t>
      </w:r>
      <w:hyperlink r:id="rId31" w:history="1">
        <w:r>
          <w:rPr>
            <w:color w:val="1155CC"/>
            <w:u w:val="single"/>
          </w:rPr>
          <w:t>https://www.sciencedirect.com/science/article/pii/S0301420725001102</w:t>
        </w:r>
      </w:hyperlink>
      <w:r>
        <w:t xml:space="preserve"> </w:t>
      </w:r>
    </w:p>
    <w:p w14:paraId="5A4A3C0C" w14:textId="77777777" w:rsidR="004828F3" w:rsidRDefault="00C0091B">
      <w:r>
        <w:t xml:space="preserve">Waqas, M., Meng, Q., Khan, S.A.R. and Hussain, K., 2024. Technological management capabilities as a pathway toward green production and green competitive advantage. </w:t>
      </w:r>
      <w:r>
        <w:rPr>
          <w:i/>
          <w:iCs/>
        </w:rPr>
        <w:t>Journal of Manufacturing Technology Management</w:t>
      </w:r>
      <w:r>
        <w:t xml:space="preserve">, </w:t>
      </w:r>
      <w:r>
        <w:rPr>
          <w:i/>
          <w:iCs/>
        </w:rPr>
        <w:t>35</w:t>
      </w:r>
      <w:r>
        <w:t>(8), pp.1528-1553.</w:t>
      </w:r>
      <w:hyperlink r:id="rId32" w:history="1">
        <w:r>
          <w:rPr>
            <w:color w:val="1155CC"/>
            <w:u w:val="single"/>
          </w:rPr>
          <w:t>https://www.emerald.com/jmtm/article/35/8/1528/1232014</w:t>
        </w:r>
      </w:hyperlink>
      <w:r>
        <w:t xml:space="preserve"> </w:t>
      </w:r>
    </w:p>
    <w:sectPr w:rsidR="004828F3">
      <w:footerReference w:type="default" r:id="rId33"/>
      <w:headerReference w:type="first" r:id="rId3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06CE7" w14:textId="77777777" w:rsidR="00C0091B" w:rsidRDefault="00C0091B">
      <w:pPr>
        <w:spacing w:before="0" w:after="0" w:line="240" w:lineRule="auto"/>
      </w:pPr>
      <w:r>
        <w:separator/>
      </w:r>
    </w:p>
  </w:endnote>
  <w:endnote w:type="continuationSeparator" w:id="0">
    <w:p w14:paraId="617756DC" w14:textId="77777777" w:rsidR="00C0091B" w:rsidRDefault="00C0091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BA69DB" w14:textId="77777777" w:rsidR="004828F3" w:rsidRDefault="00C0091B">
    <w:pPr>
      <w:jc w:val="right"/>
    </w:pPr>
    <w:r>
      <w:fldChar w:fldCharType="begin"/>
    </w:r>
    <w:r>
      <w:instrText>PAGE</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EBE32" w14:textId="77777777" w:rsidR="00C0091B" w:rsidRDefault="00C0091B">
      <w:pPr>
        <w:spacing w:before="0" w:after="0" w:line="240" w:lineRule="auto"/>
      </w:pPr>
      <w:r>
        <w:separator/>
      </w:r>
    </w:p>
  </w:footnote>
  <w:footnote w:type="continuationSeparator" w:id="0">
    <w:p w14:paraId="23EF37CA" w14:textId="77777777" w:rsidR="00C0091B" w:rsidRDefault="00C0091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2813A" w14:textId="77777777" w:rsidR="004828F3" w:rsidRDefault="004828F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8F3"/>
    <w:rsid w:val="004828F3"/>
    <w:rsid w:val="00A3181A"/>
    <w:rsid w:val="00C0091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71FBB9B"/>
  <w15:docId w15:val="{0E4E8433-F6C8-1B4B-A2CC-51596B4B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bhp.com/sustainability/climate-change/climate-transition-action-plan?utm_source=chatgpt.com" TargetMode="External" /><Relationship Id="rId18" Type="http://schemas.openxmlformats.org/officeDocument/2006/relationships/hyperlink" Target="https://www.mdpi.com/2078-2489/16/4/296" TargetMode="External" /><Relationship Id="rId26" Type="http://schemas.openxmlformats.org/officeDocument/2006/relationships/hyperlink" Target="https://www.sciencedirect.com/science/article/pii/S1059056024007548" TargetMode="External" /><Relationship Id="rId3" Type="http://schemas.openxmlformats.org/officeDocument/2006/relationships/webSettings" Target="webSettings.xml" /><Relationship Id="rId21" Type="http://schemas.openxmlformats.org/officeDocument/2006/relationships/hyperlink" Target="https://www.sciencedirect.com/science/article/pii/S0306261925002144" TargetMode="External" /><Relationship Id="rId34" Type="http://schemas.openxmlformats.org/officeDocument/2006/relationships/header" Target="header1.xml" /><Relationship Id="rId7" Type="http://schemas.openxmlformats.org/officeDocument/2006/relationships/image" Target="media/image2.png" /><Relationship Id="rId12" Type="http://schemas.openxmlformats.org/officeDocument/2006/relationships/hyperlink" Target="https://www.bhp.com/sustainability/climate-change/climate-transition-action-plan?utm_source=chatgpt.com" TargetMode="External" /><Relationship Id="rId17" Type="http://schemas.openxmlformats.org/officeDocument/2006/relationships/hyperlink" Target="https://www.bhp.com/news/media-centre/reports-presentations/2025/08/2025-annual-reporting-suite?utm_source=chatgpt.com" TargetMode="External" /><Relationship Id="rId25" Type="http://schemas.openxmlformats.org/officeDocument/2006/relationships/hyperlink" Target="https://www.sciencedirect.com/science/article/pii/S2211467X24003067" TargetMode="External" /><Relationship Id="rId33"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hyperlink" Target="https://www.bhp.com/news/media-centre/reports-presentations/2025/08/2025-annual-reporting-suite?utm_source=chatgpt.com" TargetMode="External" /><Relationship Id="rId20" Type="http://schemas.openxmlformats.org/officeDocument/2006/relationships/hyperlink" Target="https://www.sciencedirect.com/science/article/pii/S2214790X24001126" TargetMode="External" /><Relationship Id="rId29" Type="http://schemas.openxmlformats.org/officeDocument/2006/relationships/hyperlink" Target="https://www.sciencedirect.com/science/article/pii/S0301420724005026" TargetMode="Externa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www.sciencedirect.com/science/article/pii/S0959378024000451" TargetMode="External" /><Relationship Id="rId24" Type="http://schemas.openxmlformats.org/officeDocument/2006/relationships/hyperlink" Target="https://www.sciencedirect.com/science/article/pii/S1364032125004848" TargetMode="External" /><Relationship Id="rId32" Type="http://schemas.openxmlformats.org/officeDocument/2006/relationships/hyperlink" Target="https://www.emerald.com/jmtm/article/35/8/1528/1232014" TargetMode="External" /><Relationship Id="rId5" Type="http://schemas.openxmlformats.org/officeDocument/2006/relationships/endnotes" Target="endnotes.xml" /><Relationship Id="rId15" Type="http://schemas.openxmlformats.org/officeDocument/2006/relationships/hyperlink" Target="https://www.bhp.com/investor-hub/reports-and-presentations/annual-report?utm_source=chatgpt.com" TargetMode="External" /><Relationship Id="rId23" Type="http://schemas.openxmlformats.org/officeDocument/2006/relationships/hyperlink" Target="https://www.sciencedirect.com/science/article/pii/S0959652624017487" TargetMode="External" /><Relationship Id="rId28" Type="http://schemas.openxmlformats.org/officeDocument/2006/relationships/hyperlink" Target="https://www.nationalepa.gov.au/epbc/approvals" TargetMode="External" /><Relationship Id="rId36" Type="http://schemas.openxmlformats.org/officeDocument/2006/relationships/theme" Target="theme/theme1.xml" /><Relationship Id="rId10" Type="http://schemas.openxmlformats.org/officeDocument/2006/relationships/hyperlink" Target="https://www.tandfonline.com/doi/pdf/10.1080/23311975.2024.2303790" TargetMode="External" /><Relationship Id="rId19" Type="http://schemas.openxmlformats.org/officeDocument/2006/relationships/hyperlink" Target="https://www.sciencedirect.com/science/article/pii/S2214629624002639" TargetMode="External" /><Relationship Id="rId31" Type="http://schemas.openxmlformats.org/officeDocument/2006/relationships/hyperlink" Target="https://www.sciencedirect.com/science/article/pii/S0301420725001102"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www.bhp.com/investor-hub/reports-and-presentations/annual-report?utm_source=chatgpt.com" TargetMode="External" /><Relationship Id="rId22" Type="http://schemas.openxmlformats.org/officeDocument/2006/relationships/hyperlink" Target="https://www.sciencedirect.com/science/article/pii/S2666920X24000766" TargetMode="External" /><Relationship Id="rId27" Type="http://schemas.openxmlformats.org/officeDocument/2006/relationships/hyperlink" Target="https://www.nationalepa.gov.au/epbc/approvals" TargetMode="External" /><Relationship Id="rId30" Type="http://schemas.openxmlformats.org/officeDocument/2006/relationships/hyperlink" Target="https://www.sciencedirect.com/science/article/pii/S2950555024000338"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16</Pages>
  <Words>4046</Words>
  <Characters>23068</Characters>
  <Application>Microsoft Office Word</Application>
  <DocSecurity>0</DocSecurity>
  <Lines>192</Lines>
  <Paragraphs>54</Paragraphs>
  <ScaleCrop>false</ScaleCrop>
  <Company/>
  <LinksUpToDate>false</LinksUpToDate>
  <CharactersWithSpaces>27060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patel nirav</cp:lastModifiedBy>
  <cp:revision>5</cp:revision>
  <dcterms:created xsi:type="dcterms:W3CDTF">2026-07-21T05:11:00Z</dcterms:created>
  <dcterms:modified xsi:type="dcterms:W3CDTF">2026-07-21T13:29:00Z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0f8d1ebea4a84f7980a6f03896f8355a_23</vt:lpwstr>
  </property>
</Properties>
</file>