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D4B830" w14:textId="77777777" w:rsidR="009A7449" w:rsidRDefault="009A7449" w:rsidP="009A7449">
      <w:pPr>
        <w:rPr>
          <w:rFonts w:ascii="Arial" w:hAnsi="Arial" w:cs="Arial"/>
          <w:b/>
          <w:bCs/>
          <w:sz w:val="20"/>
          <w:szCs w:val="20"/>
        </w:rPr>
      </w:pPr>
    </w:p>
    <w:p w14:paraId="6CAAE0E0" w14:textId="77777777" w:rsidR="009A7449" w:rsidRDefault="009A7449" w:rsidP="009A7449">
      <w:r>
        <w:t xml:space="preserve">                                     </w:t>
      </w:r>
      <w:r>
        <w:rPr>
          <w:noProof/>
        </w:rPr>
        <w:drawing>
          <wp:inline distT="0" distB="0" distL="0" distR="0" wp14:anchorId="391AF6DA" wp14:editId="5A7CD2A0">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7281F09A" w14:textId="77777777" w:rsidR="009A7449" w:rsidRDefault="009A7449" w:rsidP="009A7449"/>
    <w:p w14:paraId="7DF82E44" w14:textId="77777777" w:rsidR="009A7449" w:rsidRPr="00C61091" w:rsidRDefault="009A7449" w:rsidP="009A7449">
      <w:pPr>
        <w:rPr>
          <w:rFonts w:ascii="Arial" w:hAnsi="Arial" w:cs="Arial"/>
          <w:sz w:val="52"/>
          <w:szCs w:val="52"/>
        </w:rPr>
      </w:pPr>
    </w:p>
    <w:p w14:paraId="3513DD51" w14:textId="505EBCAD" w:rsidR="009A7449" w:rsidRDefault="009A7449" w:rsidP="009A7449">
      <w:pPr>
        <w:rPr>
          <w:rFonts w:ascii="Arial" w:hAnsi="Arial" w:cs="Arial"/>
          <w:b/>
          <w:bCs/>
          <w:sz w:val="48"/>
          <w:szCs w:val="48"/>
        </w:rPr>
      </w:pPr>
      <w:r w:rsidRPr="00C61091">
        <w:rPr>
          <w:rFonts w:ascii="Arial" w:hAnsi="Arial" w:cs="Arial"/>
          <w:b/>
          <w:bCs/>
          <w:sz w:val="52"/>
          <w:szCs w:val="52"/>
        </w:rPr>
        <w:t xml:space="preserve">Module Code:  </w:t>
      </w:r>
      <w:r w:rsidRPr="00C61091">
        <w:rPr>
          <w:rFonts w:ascii="Arial" w:hAnsi="Arial" w:cs="Arial"/>
          <w:b/>
          <w:bCs/>
          <w:sz w:val="48"/>
          <w:szCs w:val="48"/>
        </w:rPr>
        <w:t>ECAD601</w:t>
      </w:r>
      <w:r>
        <w:rPr>
          <w:rFonts w:ascii="Arial" w:hAnsi="Arial" w:cs="Arial"/>
          <w:b/>
          <w:bCs/>
          <w:sz w:val="48"/>
          <w:szCs w:val="48"/>
        </w:rPr>
        <w:t>6</w:t>
      </w:r>
    </w:p>
    <w:p w14:paraId="187EDB00" w14:textId="77777777" w:rsidR="009A7449" w:rsidRDefault="009A7449" w:rsidP="009A7449">
      <w:pPr>
        <w:rPr>
          <w:rFonts w:ascii="Arial" w:hAnsi="Arial" w:cs="Arial"/>
          <w:b/>
          <w:bCs/>
          <w:sz w:val="52"/>
          <w:szCs w:val="52"/>
        </w:rPr>
      </w:pPr>
    </w:p>
    <w:p w14:paraId="561E3495" w14:textId="55A442B3" w:rsidR="009A7449" w:rsidRPr="009A7449" w:rsidRDefault="009A7449" w:rsidP="009A7449">
      <w:pPr>
        <w:rPr>
          <w:rFonts w:ascii="Arial" w:hAnsi="Arial" w:cs="Arial"/>
          <w:sz w:val="24"/>
          <w:szCs w:val="24"/>
        </w:rPr>
      </w:pPr>
      <w:r w:rsidRPr="009A7449">
        <w:rPr>
          <w:rFonts w:ascii="Arial" w:hAnsi="Arial" w:cs="Arial"/>
          <w:b/>
          <w:bCs/>
          <w:sz w:val="52"/>
          <w:szCs w:val="52"/>
        </w:rPr>
        <w:t xml:space="preserve">Module: </w:t>
      </w:r>
      <w:r w:rsidRPr="009A7449">
        <w:rPr>
          <w:rFonts w:ascii="Arial" w:hAnsi="Arial" w:cs="Arial"/>
          <w:b/>
          <w:bCs/>
          <w:sz w:val="52"/>
          <w:szCs w:val="52"/>
        </w:rPr>
        <w:tab/>
      </w:r>
      <w:r w:rsidRPr="009A7449">
        <w:rPr>
          <w:rFonts w:ascii="Arial" w:hAnsi="Arial" w:cs="Arial"/>
          <w:b/>
          <w:bCs/>
          <w:sz w:val="36"/>
          <w:szCs w:val="36"/>
        </w:rPr>
        <w:t>Learners, Schools &amp; Communities: where am I teaching?</w:t>
      </w:r>
    </w:p>
    <w:p w14:paraId="5FD40EE5" w14:textId="77777777" w:rsidR="009A7449" w:rsidRPr="00C61091" w:rsidRDefault="009A7449" w:rsidP="009A7449">
      <w:pPr>
        <w:rPr>
          <w:rFonts w:ascii="Arial" w:hAnsi="Arial" w:cs="Arial"/>
          <w:sz w:val="20"/>
          <w:szCs w:val="20"/>
        </w:rPr>
      </w:pPr>
      <w:r w:rsidRPr="00C61091">
        <w:rPr>
          <w:rFonts w:ascii="Arial" w:hAnsi="Arial" w:cs="Arial"/>
          <w:b/>
          <w:bCs/>
          <w:sz w:val="52"/>
          <w:szCs w:val="52"/>
        </w:rPr>
        <w:t xml:space="preserve">Assignment Title: </w:t>
      </w:r>
    </w:p>
    <w:p w14:paraId="1D98AF7F" w14:textId="05914D58" w:rsidR="009A7449" w:rsidRDefault="009A7449" w:rsidP="009A7449">
      <w:pPr>
        <w:rPr>
          <w:rFonts w:ascii="Arial" w:hAnsi="Arial" w:cs="Arial"/>
          <w:sz w:val="28"/>
          <w:szCs w:val="28"/>
        </w:rPr>
      </w:pPr>
      <w:r w:rsidRPr="009A7449">
        <w:rPr>
          <w:rFonts w:ascii="Arial" w:hAnsi="Arial" w:cs="Arial"/>
          <w:sz w:val="28"/>
          <w:szCs w:val="28"/>
        </w:rPr>
        <w:t>Assessment Component 2: Written Assignment A Critical Evaluation of the Development of a Strategic Target in a School Development Plan: Actions, Impact, and Evidence-Based Reflections</w:t>
      </w:r>
    </w:p>
    <w:p w14:paraId="616B2700" w14:textId="77777777" w:rsidR="009A7449" w:rsidRPr="00C61091" w:rsidRDefault="009A7449" w:rsidP="009A7449">
      <w:pPr>
        <w:rPr>
          <w:rFonts w:ascii="Arial" w:hAnsi="Arial" w:cs="Arial"/>
          <w:b/>
          <w:bCs/>
          <w:sz w:val="52"/>
          <w:szCs w:val="52"/>
        </w:rPr>
      </w:pPr>
    </w:p>
    <w:p w14:paraId="15A78322" w14:textId="77777777" w:rsidR="009A7449" w:rsidRPr="00C61091" w:rsidRDefault="009A7449" w:rsidP="009A7449">
      <w:pPr>
        <w:rPr>
          <w:rFonts w:ascii="Arial" w:hAnsi="Arial" w:cs="Arial"/>
          <w:b/>
          <w:bCs/>
          <w:sz w:val="52"/>
          <w:szCs w:val="52"/>
        </w:rPr>
      </w:pPr>
      <w:r w:rsidRPr="00C61091">
        <w:rPr>
          <w:rFonts w:ascii="Arial" w:hAnsi="Arial" w:cs="Arial"/>
          <w:b/>
          <w:bCs/>
          <w:sz w:val="52"/>
          <w:szCs w:val="52"/>
        </w:rPr>
        <w:t>Student Name: Milly-Jayne Hands</w:t>
      </w:r>
    </w:p>
    <w:p w14:paraId="565E7CE7" w14:textId="77777777" w:rsidR="009A7449" w:rsidRPr="00C61091" w:rsidRDefault="009A7449" w:rsidP="009A7449">
      <w:pPr>
        <w:rPr>
          <w:rFonts w:ascii="Arial" w:hAnsi="Arial" w:cs="Arial"/>
          <w:b/>
          <w:bCs/>
          <w:sz w:val="52"/>
          <w:szCs w:val="52"/>
        </w:rPr>
      </w:pPr>
    </w:p>
    <w:p w14:paraId="01EA83B0" w14:textId="77777777" w:rsidR="009A7449" w:rsidRDefault="009A7449" w:rsidP="009A7449">
      <w:pPr>
        <w:rPr>
          <w:rFonts w:ascii="Arial" w:hAnsi="Arial" w:cs="Arial"/>
          <w:b/>
          <w:bCs/>
          <w:sz w:val="52"/>
          <w:szCs w:val="52"/>
        </w:rPr>
      </w:pPr>
      <w:r w:rsidRPr="00C61091">
        <w:rPr>
          <w:rFonts w:ascii="Arial" w:hAnsi="Arial" w:cs="Arial"/>
          <w:b/>
          <w:bCs/>
          <w:sz w:val="52"/>
          <w:szCs w:val="52"/>
        </w:rPr>
        <w:t xml:space="preserve">Student Number: 2205042 </w:t>
      </w:r>
    </w:p>
    <w:p w14:paraId="1EBA0E56" w14:textId="77777777" w:rsidR="009A7449" w:rsidRPr="00C61091" w:rsidRDefault="009A7449" w:rsidP="009A7449">
      <w:pPr>
        <w:rPr>
          <w:rFonts w:ascii="Arial" w:hAnsi="Arial" w:cs="Arial"/>
          <w:b/>
          <w:bCs/>
          <w:sz w:val="52"/>
          <w:szCs w:val="52"/>
        </w:rPr>
      </w:pPr>
    </w:p>
    <w:p w14:paraId="1CCA9B48" w14:textId="77777777" w:rsidR="009A7449" w:rsidRDefault="009A7449" w:rsidP="009A7449">
      <w:pPr>
        <w:rPr>
          <w:rFonts w:ascii="Arial" w:hAnsi="Arial" w:cs="Arial"/>
          <w:b/>
          <w:bCs/>
          <w:sz w:val="52"/>
          <w:szCs w:val="52"/>
        </w:rPr>
      </w:pPr>
      <w:r w:rsidRPr="00C61091">
        <w:rPr>
          <w:rFonts w:ascii="Arial" w:hAnsi="Arial" w:cs="Arial"/>
          <w:b/>
          <w:bCs/>
          <w:sz w:val="52"/>
          <w:szCs w:val="52"/>
        </w:rPr>
        <w:t>BA Primary Education (QTS)</w:t>
      </w:r>
    </w:p>
    <w:p w14:paraId="23B3D04F" w14:textId="77777777" w:rsidR="009A7449" w:rsidRPr="00C61091" w:rsidRDefault="009A7449" w:rsidP="009A7449">
      <w:pPr>
        <w:rPr>
          <w:rFonts w:ascii="Arial" w:hAnsi="Arial" w:cs="Arial"/>
          <w:b/>
          <w:bCs/>
          <w:sz w:val="52"/>
          <w:szCs w:val="52"/>
        </w:rPr>
      </w:pPr>
    </w:p>
    <w:p w14:paraId="444B2531" w14:textId="77777777" w:rsidR="009A7449" w:rsidRPr="00C61091" w:rsidRDefault="009A7449" w:rsidP="009A7449">
      <w:pPr>
        <w:rPr>
          <w:rFonts w:ascii="Arial" w:hAnsi="Arial" w:cs="Arial"/>
          <w:b/>
          <w:bCs/>
          <w:sz w:val="32"/>
          <w:szCs w:val="32"/>
          <w:u w:val="single"/>
        </w:rPr>
      </w:pPr>
      <w:r w:rsidRPr="00C61091">
        <w:rPr>
          <w:rFonts w:ascii="Arial" w:hAnsi="Arial" w:cs="Arial"/>
          <w:b/>
          <w:bCs/>
          <w:sz w:val="32"/>
          <w:szCs w:val="32"/>
          <w:u w:val="single"/>
        </w:rPr>
        <w:t>AI Acknowledgement</w:t>
      </w:r>
    </w:p>
    <w:p w14:paraId="11DE8F03" w14:textId="77777777" w:rsidR="009A7449" w:rsidRPr="00C61091" w:rsidRDefault="009A7449" w:rsidP="009A7449">
      <w:pPr>
        <w:rPr>
          <w:rFonts w:ascii="Arial" w:hAnsi="Arial" w:cs="Arial"/>
        </w:rPr>
      </w:pPr>
    </w:p>
    <w:p w14:paraId="22212123" w14:textId="77777777" w:rsidR="009A7449" w:rsidRPr="00C61091" w:rsidRDefault="009A7449" w:rsidP="009A7449">
      <w:pPr>
        <w:rPr>
          <w:rFonts w:ascii="Arial" w:hAnsi="Arial" w:cs="Arial"/>
        </w:rPr>
      </w:pPr>
      <w:r w:rsidRPr="00C61091">
        <w:rPr>
          <w:rFonts w:ascii="Arial" w:hAnsi="Arial" w:cs="Arial"/>
        </w:rPr>
        <w:t xml:space="preserve">I confirm that I have not used any AI tools in the research and creation of this assignment. </w:t>
      </w:r>
    </w:p>
    <w:p w14:paraId="6C00F449" w14:textId="77777777" w:rsidR="009A7449" w:rsidRPr="00C61091" w:rsidRDefault="009A7449" w:rsidP="009A7449">
      <w:pPr>
        <w:rPr>
          <w:rFonts w:ascii="Arial" w:hAnsi="Arial" w:cs="Arial"/>
        </w:rPr>
      </w:pPr>
      <w:r w:rsidRPr="00C61091">
        <w:rPr>
          <w:rFonts w:ascii="Arial" w:hAnsi="Arial" w:cs="Arial"/>
        </w:rPr>
        <w:t xml:space="preserve">I confirm that I have not presented any AI generated materials as my own work. </w:t>
      </w:r>
    </w:p>
    <w:p w14:paraId="7BA873AD" w14:textId="77777777" w:rsidR="009A7449" w:rsidRPr="00C61091" w:rsidRDefault="009A7449" w:rsidP="009A7449">
      <w:pPr>
        <w:rPr>
          <w:rFonts w:ascii="Arial" w:hAnsi="Arial" w:cs="Arial"/>
        </w:rPr>
      </w:pPr>
      <w:r w:rsidRPr="00C61091">
        <w:rPr>
          <w:rFonts w:ascii="Arial" w:hAnsi="Arial" w:cs="Arial"/>
        </w:rPr>
        <w:t>I confirm that I have copies of my drafts, notes, and other resources I used, which I may be asked to provide in evidence.</w:t>
      </w:r>
    </w:p>
    <w:p w14:paraId="086AA811" w14:textId="77777777" w:rsidR="009A7449" w:rsidRDefault="009A7449" w:rsidP="009A7449"/>
    <w:p w14:paraId="7EBE3D28" w14:textId="77777777" w:rsidR="009A7449" w:rsidRDefault="009A7449" w:rsidP="009A7449">
      <w:pPr>
        <w:rPr>
          <w:sz w:val="16"/>
          <w:szCs w:val="16"/>
        </w:rPr>
      </w:pPr>
    </w:p>
    <w:tbl>
      <w:tblPr>
        <w:tblStyle w:val="TableGrid"/>
        <w:tblW w:w="9282" w:type="dxa"/>
        <w:tblLook w:val="04A0" w:firstRow="1" w:lastRow="0" w:firstColumn="1" w:lastColumn="0" w:noHBand="0" w:noVBand="1"/>
      </w:tblPr>
      <w:tblGrid>
        <w:gridCol w:w="3256"/>
        <w:gridCol w:w="3118"/>
        <w:gridCol w:w="2908"/>
      </w:tblGrid>
      <w:tr w:rsidR="009A7449" w:rsidRPr="001B4AB4" w14:paraId="7950F81C" w14:textId="77777777" w:rsidTr="00C765FC">
        <w:trPr>
          <w:trHeight w:val="360"/>
        </w:trPr>
        <w:tc>
          <w:tcPr>
            <w:tcW w:w="3256" w:type="dxa"/>
          </w:tcPr>
          <w:p w14:paraId="633D3572" w14:textId="77777777" w:rsidR="009A7449" w:rsidRPr="00C61091" w:rsidRDefault="009A7449" w:rsidP="00C765FC">
            <w:pPr>
              <w:rPr>
                <w:rFonts w:ascii="Arial" w:hAnsi="Arial" w:cs="Arial"/>
                <w:b/>
                <w:bCs/>
                <w:color w:val="FFFFFF"/>
                <w:sz w:val="28"/>
                <w:szCs w:val="28"/>
                <w:lang w:val="cy-GB"/>
              </w:rPr>
            </w:pPr>
            <w:r w:rsidRPr="00C61091">
              <w:rPr>
                <w:rFonts w:ascii="Arial" w:hAnsi="Arial" w:cs="Arial"/>
                <w:b/>
                <w:bCs/>
                <w:sz w:val="28"/>
                <w:szCs w:val="28"/>
                <w:lang w:val="cy-GB"/>
              </w:rPr>
              <w:t>Targets from previous module</w:t>
            </w:r>
          </w:p>
        </w:tc>
        <w:tc>
          <w:tcPr>
            <w:tcW w:w="3118" w:type="dxa"/>
          </w:tcPr>
          <w:p w14:paraId="3E383174" w14:textId="77777777" w:rsidR="009A7449" w:rsidRPr="00C61091" w:rsidRDefault="009A7449" w:rsidP="00C765FC">
            <w:pPr>
              <w:rPr>
                <w:rFonts w:ascii="Arial" w:hAnsi="Arial" w:cs="Arial"/>
                <w:b/>
                <w:bCs/>
                <w:color w:val="FFFFFF"/>
                <w:sz w:val="28"/>
                <w:szCs w:val="28"/>
                <w:lang w:val="cy-GB"/>
              </w:rPr>
            </w:pPr>
            <w:r w:rsidRPr="00C61091">
              <w:rPr>
                <w:rFonts w:ascii="Arial" w:hAnsi="Arial" w:cs="Arial"/>
                <w:b/>
                <w:bCs/>
                <w:sz w:val="28"/>
                <w:szCs w:val="28"/>
                <w:lang w:val="cy-GB"/>
              </w:rPr>
              <w:t>How I have worked on these?</w:t>
            </w:r>
          </w:p>
        </w:tc>
        <w:tc>
          <w:tcPr>
            <w:tcW w:w="2908" w:type="dxa"/>
          </w:tcPr>
          <w:p w14:paraId="0CCDFD38" w14:textId="77777777" w:rsidR="009A7449" w:rsidRPr="00C61091" w:rsidRDefault="009A7449" w:rsidP="00C765FC">
            <w:pPr>
              <w:rPr>
                <w:rFonts w:ascii="Arial" w:hAnsi="Arial" w:cs="Arial"/>
                <w:b/>
                <w:bCs/>
                <w:sz w:val="28"/>
                <w:szCs w:val="28"/>
                <w:lang w:val="cy-GB"/>
              </w:rPr>
            </w:pPr>
            <w:r w:rsidRPr="00C61091">
              <w:rPr>
                <w:rFonts w:ascii="Arial" w:hAnsi="Arial" w:cs="Arial"/>
                <w:b/>
                <w:bCs/>
                <w:sz w:val="28"/>
                <w:szCs w:val="28"/>
                <w:lang w:val="cy-GB"/>
              </w:rPr>
              <w:t>An example can be seen on…</w:t>
            </w:r>
          </w:p>
          <w:p w14:paraId="55780B29" w14:textId="77777777" w:rsidR="009A7449" w:rsidRPr="00C61091" w:rsidRDefault="009A7449" w:rsidP="00C765FC">
            <w:pPr>
              <w:rPr>
                <w:rFonts w:ascii="Arial" w:hAnsi="Arial" w:cs="Arial"/>
                <w:b/>
                <w:bCs/>
                <w:color w:val="FFFFFF"/>
                <w:sz w:val="28"/>
                <w:szCs w:val="28"/>
                <w:lang w:val="cy-GB"/>
              </w:rPr>
            </w:pPr>
          </w:p>
        </w:tc>
      </w:tr>
      <w:tr w:rsidR="009A7449" w:rsidRPr="001B4AB4" w14:paraId="26CBA259" w14:textId="77777777" w:rsidTr="00C765FC">
        <w:trPr>
          <w:trHeight w:val="338"/>
        </w:trPr>
        <w:tc>
          <w:tcPr>
            <w:tcW w:w="3256" w:type="dxa"/>
          </w:tcPr>
          <w:p w14:paraId="0E628BC3" w14:textId="38CDF606" w:rsidR="009A7449" w:rsidRPr="00165AC1" w:rsidRDefault="00C440AA" w:rsidP="00C440AA">
            <w:pPr>
              <w:rPr>
                <w:rFonts w:ascii="Arial" w:hAnsi="Arial" w:cs="Arial"/>
                <w:sz w:val="20"/>
                <w:szCs w:val="20"/>
                <w:lang w:val="cy-GB"/>
              </w:rPr>
            </w:pPr>
            <w:r w:rsidRPr="00C440AA">
              <w:rPr>
                <w:rFonts w:ascii="Arial" w:hAnsi="Arial" w:cs="Arial"/>
                <w:sz w:val="20"/>
                <w:szCs w:val="20"/>
                <w:lang w:val="cy-GB"/>
              </w:rPr>
              <w:t>Strengthening Critical Engagement with Literature</w:t>
            </w:r>
          </w:p>
        </w:tc>
        <w:tc>
          <w:tcPr>
            <w:tcW w:w="3118" w:type="dxa"/>
          </w:tcPr>
          <w:p w14:paraId="759870EF" w14:textId="2387E3EB" w:rsidR="009A7449" w:rsidRPr="00165AC1" w:rsidRDefault="00C440AA" w:rsidP="00C765FC">
            <w:pPr>
              <w:rPr>
                <w:rFonts w:ascii="Arial" w:hAnsi="Arial" w:cs="Arial"/>
                <w:sz w:val="20"/>
                <w:szCs w:val="20"/>
                <w:lang w:val="cy-GB"/>
              </w:rPr>
            </w:pPr>
            <w:r w:rsidRPr="00C440AA">
              <w:rPr>
                <w:rFonts w:ascii="Arial" w:hAnsi="Arial" w:cs="Arial"/>
                <w:sz w:val="20"/>
                <w:szCs w:val="20"/>
                <w:lang w:val="cy-GB"/>
              </w:rPr>
              <w:t>I have improved my critical analysis by comparing different viewpoints and evaluating the strengths and limitations of sources.</w:t>
            </w:r>
          </w:p>
        </w:tc>
        <w:tc>
          <w:tcPr>
            <w:tcW w:w="2908" w:type="dxa"/>
          </w:tcPr>
          <w:p w14:paraId="74316A65" w14:textId="26E6CB88" w:rsidR="009A7449" w:rsidRPr="001364B5" w:rsidRDefault="00146E26" w:rsidP="00C765FC">
            <w:pPr>
              <w:rPr>
                <w:rFonts w:ascii="Arial" w:hAnsi="Arial" w:cs="Arial"/>
                <w:lang w:val="cy-GB"/>
              </w:rPr>
            </w:pPr>
            <w:r w:rsidRPr="00DB09C1">
              <w:rPr>
                <w:rFonts w:ascii="Arial" w:hAnsi="Arial" w:cs="Arial"/>
                <w:sz w:val="20"/>
                <w:szCs w:val="20"/>
                <w:lang w:val="cy-GB"/>
              </w:rPr>
              <w:t>I have trie</w:t>
            </w:r>
            <w:r w:rsidR="00C06159" w:rsidRPr="00DB09C1">
              <w:rPr>
                <w:rFonts w:ascii="Arial" w:hAnsi="Arial" w:cs="Arial"/>
                <w:sz w:val="20"/>
                <w:szCs w:val="20"/>
                <w:lang w:val="cy-GB"/>
              </w:rPr>
              <w:t xml:space="preserve">d to compare different viewpoints particulary </w:t>
            </w:r>
            <w:r w:rsidR="00463B03" w:rsidRPr="00DB09C1">
              <w:rPr>
                <w:rFonts w:ascii="Arial" w:hAnsi="Arial" w:cs="Arial"/>
                <w:sz w:val="20"/>
                <w:szCs w:val="20"/>
                <w:lang w:val="cy-GB"/>
              </w:rPr>
              <w:t xml:space="preserve">within the literature review where I </w:t>
            </w:r>
            <w:r w:rsidR="00DB09C1" w:rsidRPr="00DB09C1">
              <w:rPr>
                <w:rFonts w:ascii="Arial" w:hAnsi="Arial" w:cs="Arial"/>
                <w:sz w:val="20"/>
                <w:szCs w:val="20"/>
                <w:lang w:val="cy-GB"/>
              </w:rPr>
              <w:t>discuss the barriers of using formative assessment</w:t>
            </w:r>
            <w:r w:rsidR="00DB09C1">
              <w:rPr>
                <w:rFonts w:ascii="Arial" w:hAnsi="Arial" w:cs="Arial"/>
                <w:sz w:val="20"/>
                <w:szCs w:val="20"/>
                <w:lang w:val="cy-GB"/>
              </w:rPr>
              <w:t xml:space="preserve"> in the classroom</w:t>
            </w:r>
            <w:r w:rsidR="00DB09C1" w:rsidRPr="00DB09C1">
              <w:rPr>
                <w:rFonts w:ascii="Arial" w:hAnsi="Arial" w:cs="Arial"/>
                <w:sz w:val="20"/>
                <w:szCs w:val="20"/>
                <w:lang w:val="cy-GB"/>
              </w:rPr>
              <w:t xml:space="preserve">. </w:t>
            </w:r>
          </w:p>
        </w:tc>
      </w:tr>
      <w:tr w:rsidR="009A7449" w:rsidRPr="001B4AB4" w14:paraId="76B09D6D" w14:textId="77777777" w:rsidTr="00C765FC">
        <w:trPr>
          <w:trHeight w:val="338"/>
        </w:trPr>
        <w:tc>
          <w:tcPr>
            <w:tcW w:w="3256" w:type="dxa"/>
          </w:tcPr>
          <w:p w14:paraId="7EF9E542" w14:textId="2C49FB4C" w:rsidR="009A7449" w:rsidRPr="00165AC1" w:rsidRDefault="00C440AA" w:rsidP="009A7449">
            <w:pPr>
              <w:rPr>
                <w:rFonts w:ascii="Arial" w:hAnsi="Arial" w:cs="Arial"/>
                <w:sz w:val="20"/>
                <w:szCs w:val="20"/>
                <w:lang w:val="cy-GB"/>
              </w:rPr>
            </w:pPr>
            <w:r w:rsidRPr="00C440AA">
              <w:rPr>
                <w:rFonts w:ascii="Arial" w:hAnsi="Arial" w:cs="Arial"/>
                <w:sz w:val="20"/>
                <w:szCs w:val="20"/>
                <w:lang w:val="cy-GB"/>
              </w:rPr>
              <w:t>Improving Structure and Coherence in Writing</w:t>
            </w:r>
          </w:p>
        </w:tc>
        <w:tc>
          <w:tcPr>
            <w:tcW w:w="3118" w:type="dxa"/>
          </w:tcPr>
          <w:p w14:paraId="53DD1F12" w14:textId="5BCDB1B1" w:rsidR="009A7449" w:rsidRPr="00165AC1" w:rsidRDefault="00C440AA" w:rsidP="00C765FC">
            <w:pPr>
              <w:rPr>
                <w:rFonts w:ascii="Arial" w:hAnsi="Arial" w:cs="Arial"/>
                <w:sz w:val="20"/>
                <w:szCs w:val="20"/>
                <w:lang w:val="cy-GB"/>
              </w:rPr>
            </w:pPr>
            <w:r w:rsidRPr="00C440AA">
              <w:rPr>
                <w:rFonts w:ascii="Arial" w:hAnsi="Arial" w:cs="Arial"/>
                <w:sz w:val="20"/>
                <w:szCs w:val="20"/>
                <w:lang w:val="cy-GB"/>
              </w:rPr>
              <w:t>I have focused on one idea per paragraph and used subheadings to improve clar</w:t>
            </w:r>
            <w:r>
              <w:rPr>
                <w:rFonts w:ascii="Arial" w:hAnsi="Arial" w:cs="Arial"/>
                <w:sz w:val="20"/>
                <w:szCs w:val="20"/>
                <w:lang w:val="cy-GB"/>
              </w:rPr>
              <w:t xml:space="preserve">ity. </w:t>
            </w:r>
          </w:p>
        </w:tc>
        <w:tc>
          <w:tcPr>
            <w:tcW w:w="2908" w:type="dxa"/>
          </w:tcPr>
          <w:p w14:paraId="64FDC662" w14:textId="44534A5C" w:rsidR="009A7449" w:rsidRPr="00DB09C1" w:rsidRDefault="00D418FE" w:rsidP="00C765FC">
            <w:pPr>
              <w:rPr>
                <w:rFonts w:ascii="Arial" w:hAnsi="Arial" w:cs="Arial"/>
                <w:sz w:val="20"/>
                <w:szCs w:val="20"/>
                <w:lang w:val="cy-GB"/>
              </w:rPr>
            </w:pPr>
            <w:r w:rsidRPr="00DB09C1">
              <w:rPr>
                <w:rFonts w:ascii="Arial" w:hAnsi="Arial" w:cs="Arial"/>
                <w:sz w:val="20"/>
                <w:szCs w:val="20"/>
                <w:lang w:val="cy-GB"/>
              </w:rPr>
              <w:t>I have used subheading</w:t>
            </w:r>
            <w:r w:rsidR="00016634" w:rsidRPr="00DB09C1">
              <w:rPr>
                <w:rFonts w:ascii="Arial" w:hAnsi="Arial" w:cs="Arial"/>
                <w:sz w:val="20"/>
                <w:szCs w:val="20"/>
                <w:lang w:val="cy-GB"/>
              </w:rPr>
              <w:t>s</w:t>
            </w:r>
            <w:r w:rsidRPr="00DB09C1">
              <w:rPr>
                <w:rFonts w:ascii="Arial" w:hAnsi="Arial" w:cs="Arial"/>
                <w:sz w:val="20"/>
                <w:szCs w:val="20"/>
                <w:lang w:val="cy-GB"/>
              </w:rPr>
              <w:t xml:space="preserve"> </w:t>
            </w:r>
            <w:r w:rsidR="00146E26" w:rsidRPr="00DB09C1">
              <w:rPr>
                <w:rFonts w:ascii="Arial" w:hAnsi="Arial" w:cs="Arial"/>
                <w:sz w:val="20"/>
                <w:szCs w:val="20"/>
                <w:lang w:val="cy-GB"/>
              </w:rPr>
              <w:t xml:space="preserve">throughout </w:t>
            </w:r>
            <w:r w:rsidRPr="00DB09C1">
              <w:rPr>
                <w:rFonts w:ascii="Arial" w:hAnsi="Arial" w:cs="Arial"/>
                <w:sz w:val="20"/>
                <w:szCs w:val="20"/>
                <w:lang w:val="cy-GB"/>
              </w:rPr>
              <w:t>the assignment</w:t>
            </w:r>
            <w:r w:rsidR="00DB09C1">
              <w:rPr>
                <w:rFonts w:ascii="Arial" w:hAnsi="Arial" w:cs="Arial"/>
                <w:sz w:val="20"/>
                <w:szCs w:val="20"/>
                <w:lang w:val="cy-GB"/>
              </w:rPr>
              <w:t>.</w:t>
            </w:r>
          </w:p>
        </w:tc>
      </w:tr>
      <w:tr w:rsidR="009A7449" w:rsidRPr="001B4AB4" w14:paraId="0A58C048" w14:textId="77777777" w:rsidTr="00C765FC">
        <w:trPr>
          <w:trHeight w:val="338"/>
        </w:trPr>
        <w:tc>
          <w:tcPr>
            <w:tcW w:w="3256" w:type="dxa"/>
          </w:tcPr>
          <w:p w14:paraId="1A6290EC" w14:textId="77777777" w:rsidR="00C440AA" w:rsidRPr="00165AC1" w:rsidRDefault="00C440AA" w:rsidP="00C440AA">
            <w:pPr>
              <w:rPr>
                <w:rFonts w:ascii="Arial" w:hAnsi="Arial" w:cs="Arial"/>
                <w:sz w:val="20"/>
                <w:szCs w:val="20"/>
                <w:lang w:val="cy-GB"/>
              </w:rPr>
            </w:pPr>
            <w:r w:rsidRPr="00165AC1">
              <w:rPr>
                <w:rFonts w:ascii="Arial" w:hAnsi="Arial" w:cs="Arial"/>
                <w:sz w:val="20"/>
                <w:szCs w:val="20"/>
              </w:rPr>
              <w:t>Keep reading widely around the focus</w:t>
            </w:r>
          </w:p>
          <w:p w14:paraId="0653783E" w14:textId="21BDDFA6" w:rsidR="009A7449" w:rsidRPr="00165AC1" w:rsidRDefault="009A7449" w:rsidP="009A7449">
            <w:pPr>
              <w:rPr>
                <w:rFonts w:ascii="Arial" w:hAnsi="Arial" w:cs="Arial"/>
                <w:sz w:val="20"/>
                <w:szCs w:val="20"/>
                <w:lang w:val="cy-GB"/>
              </w:rPr>
            </w:pPr>
          </w:p>
        </w:tc>
        <w:tc>
          <w:tcPr>
            <w:tcW w:w="3118" w:type="dxa"/>
          </w:tcPr>
          <w:p w14:paraId="4B388F8E" w14:textId="6DA4BA39" w:rsidR="009A7449" w:rsidRPr="00165AC1" w:rsidRDefault="00C440AA" w:rsidP="00C765FC">
            <w:pPr>
              <w:rPr>
                <w:rFonts w:ascii="Arial" w:hAnsi="Arial" w:cs="Arial"/>
                <w:sz w:val="20"/>
                <w:szCs w:val="20"/>
                <w:lang w:val="cy-GB"/>
              </w:rPr>
            </w:pPr>
            <w:r w:rsidRPr="00165AC1">
              <w:rPr>
                <w:rFonts w:ascii="Arial" w:hAnsi="Arial" w:cs="Arial"/>
                <w:sz w:val="20"/>
                <w:szCs w:val="20"/>
                <w:lang w:val="cy-GB"/>
              </w:rPr>
              <w:t xml:space="preserve">I have read </w:t>
            </w:r>
            <w:r w:rsidRPr="00165AC1">
              <w:rPr>
                <w:rFonts w:ascii="Arial" w:hAnsi="Arial" w:cs="Arial"/>
                <w:sz w:val="20"/>
                <w:szCs w:val="20"/>
              </w:rPr>
              <w:t>books, journal articles, and credible websites, related to my focus.</w:t>
            </w:r>
          </w:p>
        </w:tc>
        <w:tc>
          <w:tcPr>
            <w:tcW w:w="2908" w:type="dxa"/>
          </w:tcPr>
          <w:p w14:paraId="53E81ACB" w14:textId="4A5878F9" w:rsidR="009A7449" w:rsidRPr="00DB09C1" w:rsidRDefault="00016634" w:rsidP="00C765FC">
            <w:pPr>
              <w:rPr>
                <w:rFonts w:ascii="Arial" w:hAnsi="Arial" w:cs="Arial"/>
                <w:sz w:val="20"/>
                <w:szCs w:val="20"/>
                <w:lang w:val="cy-GB"/>
              </w:rPr>
            </w:pPr>
            <w:r w:rsidRPr="00DB09C1">
              <w:rPr>
                <w:rFonts w:ascii="Arial" w:hAnsi="Arial" w:cs="Arial"/>
                <w:sz w:val="20"/>
                <w:szCs w:val="20"/>
                <w:lang w:val="cy-GB"/>
              </w:rPr>
              <w:t xml:space="preserve">See </w:t>
            </w:r>
            <w:r w:rsidR="00B53C4D" w:rsidRPr="00DB09C1">
              <w:rPr>
                <w:rFonts w:ascii="Arial" w:hAnsi="Arial" w:cs="Arial"/>
                <w:sz w:val="20"/>
                <w:szCs w:val="20"/>
                <w:lang w:val="cy-GB"/>
              </w:rPr>
              <w:t>Reference List</w:t>
            </w:r>
            <w:r w:rsidR="00DB09C1">
              <w:rPr>
                <w:rFonts w:ascii="Arial" w:hAnsi="Arial" w:cs="Arial"/>
                <w:sz w:val="20"/>
                <w:szCs w:val="20"/>
                <w:lang w:val="cy-GB"/>
              </w:rPr>
              <w:t>.</w:t>
            </w:r>
          </w:p>
        </w:tc>
      </w:tr>
    </w:tbl>
    <w:p w14:paraId="09D5382A" w14:textId="77777777" w:rsidR="009A7449" w:rsidRPr="000E2E7E" w:rsidRDefault="009A7449" w:rsidP="009A7449">
      <w:pPr>
        <w:rPr>
          <w:sz w:val="16"/>
          <w:szCs w:val="16"/>
          <w:lang w:val="cy-GB"/>
        </w:rPr>
      </w:pPr>
    </w:p>
    <w:p w14:paraId="53D86AF7" w14:textId="77777777" w:rsidR="009A7449" w:rsidRDefault="009A7449" w:rsidP="009A7449">
      <w:pPr>
        <w:rPr>
          <w:sz w:val="16"/>
          <w:szCs w:val="16"/>
        </w:rPr>
      </w:pPr>
    </w:p>
    <w:p w14:paraId="719BDCEC" w14:textId="77777777" w:rsidR="00383944" w:rsidRDefault="00383944" w:rsidP="009A7449">
      <w:pPr>
        <w:rPr>
          <w:sz w:val="16"/>
          <w:szCs w:val="16"/>
        </w:rPr>
      </w:pPr>
    </w:p>
    <w:p w14:paraId="0FDE2AA6" w14:textId="77777777" w:rsidR="00383944" w:rsidRDefault="00383944" w:rsidP="009A7449">
      <w:pPr>
        <w:rPr>
          <w:sz w:val="16"/>
          <w:szCs w:val="16"/>
        </w:rPr>
      </w:pPr>
    </w:p>
    <w:p w14:paraId="5C2E0A2A" w14:textId="77777777" w:rsidR="00383944" w:rsidRDefault="00383944" w:rsidP="009A7449">
      <w:pPr>
        <w:rPr>
          <w:sz w:val="16"/>
          <w:szCs w:val="16"/>
        </w:rPr>
      </w:pPr>
    </w:p>
    <w:p w14:paraId="1C2A7A55" w14:textId="77777777" w:rsidR="00383944" w:rsidRDefault="00383944" w:rsidP="009A7449">
      <w:pPr>
        <w:rPr>
          <w:sz w:val="16"/>
          <w:szCs w:val="16"/>
        </w:rPr>
      </w:pPr>
    </w:p>
    <w:p w14:paraId="3E09F931" w14:textId="77777777" w:rsidR="00383944" w:rsidRDefault="00383944" w:rsidP="009A7449">
      <w:pPr>
        <w:rPr>
          <w:sz w:val="16"/>
          <w:szCs w:val="16"/>
        </w:rPr>
      </w:pPr>
    </w:p>
    <w:p w14:paraId="47A1D353" w14:textId="77777777" w:rsidR="00383944" w:rsidRDefault="00383944" w:rsidP="009A7449">
      <w:pPr>
        <w:rPr>
          <w:sz w:val="16"/>
          <w:szCs w:val="16"/>
        </w:rPr>
      </w:pPr>
    </w:p>
    <w:p w14:paraId="55EBEA84" w14:textId="77777777" w:rsidR="00383944" w:rsidRDefault="00383944" w:rsidP="009A7449">
      <w:pPr>
        <w:rPr>
          <w:sz w:val="16"/>
          <w:szCs w:val="16"/>
        </w:rPr>
      </w:pPr>
    </w:p>
    <w:p w14:paraId="0832DA0A" w14:textId="77777777" w:rsidR="00383944" w:rsidRDefault="00383944" w:rsidP="009A7449">
      <w:pPr>
        <w:rPr>
          <w:sz w:val="16"/>
          <w:szCs w:val="16"/>
        </w:rPr>
      </w:pPr>
    </w:p>
    <w:p w14:paraId="2C17EFEE" w14:textId="77777777" w:rsidR="00383944" w:rsidRDefault="00383944" w:rsidP="009A7449">
      <w:pPr>
        <w:rPr>
          <w:sz w:val="16"/>
          <w:szCs w:val="16"/>
        </w:rPr>
      </w:pPr>
    </w:p>
    <w:p w14:paraId="4A03FCDA" w14:textId="77777777" w:rsidR="00383944" w:rsidRDefault="00383944" w:rsidP="009A7449">
      <w:pPr>
        <w:rPr>
          <w:sz w:val="16"/>
          <w:szCs w:val="16"/>
        </w:rPr>
      </w:pPr>
    </w:p>
    <w:p w14:paraId="4F570E5F" w14:textId="77777777" w:rsidR="00383944" w:rsidRDefault="00383944" w:rsidP="009A7449">
      <w:pPr>
        <w:rPr>
          <w:sz w:val="16"/>
          <w:szCs w:val="16"/>
        </w:rPr>
      </w:pPr>
    </w:p>
    <w:p w14:paraId="7C1EC7C7" w14:textId="77777777" w:rsidR="00383944" w:rsidRDefault="00383944" w:rsidP="009A7449">
      <w:pPr>
        <w:rPr>
          <w:sz w:val="16"/>
          <w:szCs w:val="16"/>
        </w:rPr>
      </w:pPr>
    </w:p>
    <w:p w14:paraId="7A03AD7C" w14:textId="77777777" w:rsidR="00383944" w:rsidRDefault="00383944" w:rsidP="009A7449">
      <w:pPr>
        <w:rPr>
          <w:sz w:val="16"/>
          <w:szCs w:val="16"/>
        </w:rPr>
      </w:pPr>
    </w:p>
    <w:p w14:paraId="0B87767D" w14:textId="77777777" w:rsidR="00383944" w:rsidRDefault="00383944" w:rsidP="009A7449">
      <w:pPr>
        <w:rPr>
          <w:sz w:val="16"/>
          <w:szCs w:val="16"/>
        </w:rPr>
      </w:pPr>
    </w:p>
    <w:p w14:paraId="308C590D" w14:textId="77777777" w:rsidR="009A7449" w:rsidRDefault="009A7449" w:rsidP="009A7449">
      <w:pPr>
        <w:rPr>
          <w:sz w:val="16"/>
          <w:szCs w:val="16"/>
        </w:rPr>
      </w:pPr>
    </w:p>
    <w:p w14:paraId="21C6B409" w14:textId="2775B56F" w:rsidR="00FD3382" w:rsidRDefault="00FD3382" w:rsidP="00FD3382">
      <w:pPr>
        <w:pStyle w:val="Default"/>
        <w:rPr>
          <w:sz w:val="20"/>
          <w:szCs w:val="20"/>
        </w:rPr>
      </w:pPr>
      <w:r>
        <w:rPr>
          <w:b/>
          <w:bCs/>
          <w:sz w:val="20"/>
          <w:szCs w:val="20"/>
        </w:rPr>
        <w:t xml:space="preserve">Introduction </w:t>
      </w:r>
    </w:p>
    <w:p w14:paraId="2D31E052" w14:textId="77777777" w:rsidR="00554532" w:rsidRDefault="00554532" w:rsidP="00554532">
      <w:pPr>
        <w:pStyle w:val="Default"/>
        <w:rPr>
          <w:sz w:val="20"/>
          <w:szCs w:val="20"/>
        </w:rPr>
      </w:pPr>
    </w:p>
    <w:p w14:paraId="0E2563C8" w14:textId="7B6D6C84" w:rsidR="00554532" w:rsidRPr="00554532" w:rsidRDefault="00554532" w:rsidP="00554532">
      <w:pPr>
        <w:pStyle w:val="Default"/>
        <w:rPr>
          <w:sz w:val="20"/>
          <w:szCs w:val="20"/>
        </w:rPr>
      </w:pPr>
      <w:r w:rsidRPr="00554532">
        <w:rPr>
          <w:sz w:val="20"/>
          <w:szCs w:val="20"/>
        </w:rPr>
        <w:t>This assignment critically evaluates the development of a strategic target from a School Development Plan (SDP), focusing on the actions taken, their impact, and reflections supported by evidence and research.</w:t>
      </w:r>
      <w:r w:rsidR="005E1201" w:rsidRPr="005E1201">
        <w:t xml:space="preserve"> </w:t>
      </w:r>
      <w:r w:rsidR="005E1201" w:rsidRPr="005E1201">
        <w:rPr>
          <w:sz w:val="20"/>
          <w:szCs w:val="20"/>
        </w:rPr>
        <w:t>According to BERA (2024), schools must be kept anonymous by using a</w:t>
      </w:r>
      <w:r w:rsidR="003A76AD">
        <w:rPr>
          <w:sz w:val="20"/>
          <w:szCs w:val="20"/>
        </w:rPr>
        <w:t xml:space="preserve"> </w:t>
      </w:r>
      <w:r w:rsidR="003A76AD" w:rsidRPr="003A76AD">
        <w:rPr>
          <w:sz w:val="20"/>
          <w:szCs w:val="20"/>
        </w:rPr>
        <w:t>pseudonym</w:t>
      </w:r>
      <w:r w:rsidR="005E1201" w:rsidRPr="005E1201">
        <w:rPr>
          <w:sz w:val="20"/>
          <w:szCs w:val="20"/>
        </w:rPr>
        <w:t xml:space="preserve">. </w:t>
      </w:r>
      <w:r w:rsidR="003A76AD">
        <w:rPr>
          <w:sz w:val="20"/>
          <w:szCs w:val="20"/>
        </w:rPr>
        <w:t>I will refer to the</w:t>
      </w:r>
      <w:r w:rsidR="005E1201" w:rsidRPr="005E1201">
        <w:rPr>
          <w:sz w:val="20"/>
          <w:szCs w:val="20"/>
        </w:rPr>
        <w:t xml:space="preserve"> school </w:t>
      </w:r>
      <w:r w:rsidR="003A76AD">
        <w:rPr>
          <w:sz w:val="20"/>
          <w:szCs w:val="20"/>
        </w:rPr>
        <w:t xml:space="preserve">as </w:t>
      </w:r>
      <w:r w:rsidR="005E1201" w:rsidRPr="005E1201">
        <w:rPr>
          <w:sz w:val="20"/>
          <w:szCs w:val="20"/>
        </w:rPr>
        <w:t>School X.</w:t>
      </w:r>
      <w:r w:rsidR="0027646C" w:rsidRPr="0027646C">
        <w:t xml:space="preserve"> </w:t>
      </w:r>
      <w:r w:rsidRPr="00554532">
        <w:rPr>
          <w:sz w:val="20"/>
          <w:szCs w:val="20"/>
        </w:rPr>
        <w:t xml:space="preserve">The target chosen is </w:t>
      </w:r>
      <w:r w:rsidRPr="00B67516">
        <w:rPr>
          <w:sz w:val="20"/>
          <w:szCs w:val="20"/>
        </w:rPr>
        <w:t>Improving the Quality and Quantity of Formative Assessment and Feedback to Support Learner Progress.</w:t>
      </w:r>
      <w:r w:rsidRPr="00554532">
        <w:rPr>
          <w:sz w:val="20"/>
          <w:szCs w:val="20"/>
        </w:rPr>
        <w:t xml:space="preserve"> This was identified as a key priority</w:t>
      </w:r>
      <w:r w:rsidR="00B22B16">
        <w:rPr>
          <w:sz w:val="20"/>
          <w:szCs w:val="20"/>
        </w:rPr>
        <w:t xml:space="preserve"> at School X.</w:t>
      </w:r>
      <w:r w:rsidR="009C186D">
        <w:rPr>
          <w:sz w:val="20"/>
          <w:szCs w:val="20"/>
        </w:rPr>
        <w:t xml:space="preserve"> </w:t>
      </w:r>
      <w:r w:rsidRPr="00554532">
        <w:rPr>
          <w:sz w:val="20"/>
          <w:szCs w:val="20"/>
        </w:rPr>
        <w:t>Formative assessment and effective feedback are vital in helping pupils understand their next steps and make meaningful progress</w:t>
      </w:r>
      <w:r w:rsidR="003C5945">
        <w:rPr>
          <w:sz w:val="20"/>
          <w:szCs w:val="20"/>
        </w:rPr>
        <w:t xml:space="preserve"> </w:t>
      </w:r>
      <w:r w:rsidR="003C5945" w:rsidRPr="003C5945">
        <w:rPr>
          <w:sz w:val="20"/>
          <w:szCs w:val="20"/>
        </w:rPr>
        <w:t>(Heritage, 2010)</w:t>
      </w:r>
      <w:r w:rsidRPr="00554532">
        <w:rPr>
          <w:sz w:val="20"/>
          <w:szCs w:val="20"/>
        </w:rPr>
        <w:t>. This target is relevant within the school’s context, where there are a wide range of learning needs and a commitment to raising standards for all learners. It also aligns with the Welsh Government’s National Mission, which highlights assessment and feedback as crucial tools for supporting pupil progress and reducing the attainment gap</w:t>
      </w:r>
      <w:r w:rsidR="00CC0914">
        <w:rPr>
          <w:sz w:val="20"/>
          <w:szCs w:val="20"/>
        </w:rPr>
        <w:t xml:space="preserve"> </w:t>
      </w:r>
      <w:r w:rsidR="00CC0914" w:rsidRPr="00CC0914">
        <w:rPr>
          <w:sz w:val="20"/>
          <w:szCs w:val="20"/>
        </w:rPr>
        <w:t>(Welsh Government, 2023</w:t>
      </w:r>
      <w:r w:rsidR="0015216D" w:rsidRPr="00CC0914">
        <w:rPr>
          <w:sz w:val="20"/>
          <w:szCs w:val="20"/>
        </w:rPr>
        <w:t>)</w:t>
      </w:r>
      <w:r w:rsidR="0015216D">
        <w:rPr>
          <w:sz w:val="20"/>
          <w:szCs w:val="20"/>
        </w:rPr>
        <w:t>.</w:t>
      </w:r>
      <w:r w:rsidR="0015216D" w:rsidRPr="00554532">
        <w:rPr>
          <w:sz w:val="20"/>
          <w:szCs w:val="20"/>
        </w:rPr>
        <w:t xml:space="preserve"> The</w:t>
      </w:r>
      <w:r w:rsidRPr="00554532">
        <w:rPr>
          <w:sz w:val="20"/>
          <w:szCs w:val="20"/>
        </w:rPr>
        <w:t xml:space="preserve"> assignment begins by outlining policy, followed by a literature review. It then explores how the target has been implemented and concludes with reflections on the impact and future practice.</w:t>
      </w:r>
    </w:p>
    <w:p w14:paraId="50D040F2" w14:textId="77777777" w:rsidR="001A0A4D" w:rsidRDefault="001A0A4D" w:rsidP="00FD3382">
      <w:pPr>
        <w:pStyle w:val="Default"/>
        <w:rPr>
          <w:sz w:val="20"/>
          <w:szCs w:val="20"/>
        </w:rPr>
      </w:pPr>
    </w:p>
    <w:p w14:paraId="37F38CEA" w14:textId="77777777" w:rsidR="008A40FE" w:rsidRDefault="008A40FE" w:rsidP="00FD3382">
      <w:pPr>
        <w:pStyle w:val="Default"/>
        <w:rPr>
          <w:sz w:val="20"/>
          <w:szCs w:val="20"/>
        </w:rPr>
      </w:pPr>
    </w:p>
    <w:p w14:paraId="4964BED0" w14:textId="77777777" w:rsidR="008A40FE" w:rsidRDefault="008A40FE" w:rsidP="00FD3382">
      <w:pPr>
        <w:pStyle w:val="Default"/>
        <w:rPr>
          <w:sz w:val="20"/>
          <w:szCs w:val="20"/>
        </w:rPr>
      </w:pPr>
    </w:p>
    <w:p w14:paraId="056F3A1A" w14:textId="69BE282E" w:rsidR="00FD3382" w:rsidRDefault="00FD3382" w:rsidP="00FD3382">
      <w:pPr>
        <w:pStyle w:val="Default"/>
        <w:rPr>
          <w:sz w:val="20"/>
          <w:szCs w:val="20"/>
        </w:rPr>
      </w:pPr>
      <w:r>
        <w:rPr>
          <w:b/>
          <w:bCs/>
          <w:sz w:val="20"/>
          <w:szCs w:val="20"/>
        </w:rPr>
        <w:t xml:space="preserve">Policy </w:t>
      </w:r>
    </w:p>
    <w:p w14:paraId="294CE143" w14:textId="77777777" w:rsidR="00554532" w:rsidRDefault="00554532" w:rsidP="00FD3382">
      <w:pPr>
        <w:pStyle w:val="Default"/>
        <w:rPr>
          <w:sz w:val="20"/>
          <w:szCs w:val="20"/>
        </w:rPr>
      </w:pPr>
    </w:p>
    <w:p w14:paraId="1E7171B3" w14:textId="59CA159B" w:rsidR="00106D4D" w:rsidRDefault="00106D4D" w:rsidP="00106D4D">
      <w:pPr>
        <w:pStyle w:val="Default"/>
        <w:rPr>
          <w:sz w:val="20"/>
          <w:szCs w:val="20"/>
        </w:rPr>
      </w:pPr>
      <w:r w:rsidRPr="00106D4D">
        <w:rPr>
          <w:sz w:val="20"/>
          <w:szCs w:val="20"/>
        </w:rPr>
        <w:t>In Wales, school improvement is guided by national policies that encourage schools to reflect on their practice and plan for</w:t>
      </w:r>
      <w:r w:rsidR="001B6986">
        <w:rPr>
          <w:sz w:val="20"/>
          <w:szCs w:val="20"/>
        </w:rPr>
        <w:t xml:space="preserve"> </w:t>
      </w:r>
      <w:r w:rsidRPr="00106D4D">
        <w:rPr>
          <w:sz w:val="20"/>
          <w:szCs w:val="20"/>
        </w:rPr>
        <w:t xml:space="preserve">development. The Welsh Government expects schools to follow a cycle of self-evaluation and improvement planning to raise standards and support all learners. A key document in this process is </w:t>
      </w:r>
      <w:r w:rsidRPr="00106D4D">
        <w:rPr>
          <w:i/>
          <w:iCs/>
          <w:sz w:val="20"/>
          <w:szCs w:val="20"/>
        </w:rPr>
        <w:t>Education in Wales: Our National Mission</w:t>
      </w:r>
      <w:r w:rsidR="005A73ED">
        <w:rPr>
          <w:sz w:val="20"/>
          <w:szCs w:val="20"/>
        </w:rPr>
        <w:t xml:space="preserve">, </w:t>
      </w:r>
      <w:r w:rsidRPr="00106D4D">
        <w:rPr>
          <w:sz w:val="20"/>
          <w:szCs w:val="20"/>
        </w:rPr>
        <w:t>which sets out the goals of improving outcomes, reducing the attainment gap, and creating a fair and inclusive education system</w:t>
      </w:r>
      <w:r w:rsidR="005A73ED">
        <w:rPr>
          <w:sz w:val="20"/>
          <w:szCs w:val="20"/>
        </w:rPr>
        <w:t xml:space="preserve"> </w:t>
      </w:r>
      <w:r w:rsidR="005A73ED" w:rsidRPr="005A73ED">
        <w:rPr>
          <w:sz w:val="20"/>
          <w:szCs w:val="20"/>
        </w:rPr>
        <w:t xml:space="preserve">(Jones, Giorgio </w:t>
      </w:r>
      <w:proofErr w:type="spellStart"/>
      <w:r w:rsidR="005A73ED" w:rsidRPr="005A73ED">
        <w:rPr>
          <w:sz w:val="20"/>
          <w:szCs w:val="20"/>
        </w:rPr>
        <w:t>Ostinelli</w:t>
      </w:r>
      <w:proofErr w:type="spellEnd"/>
      <w:r w:rsidR="005A73ED" w:rsidRPr="005A73ED">
        <w:rPr>
          <w:sz w:val="20"/>
          <w:szCs w:val="20"/>
        </w:rPr>
        <w:t xml:space="preserve"> and Crescentini, 2023)</w:t>
      </w:r>
      <w:r w:rsidRPr="00106D4D">
        <w:rPr>
          <w:sz w:val="20"/>
          <w:szCs w:val="20"/>
        </w:rPr>
        <w:t>.</w:t>
      </w:r>
    </w:p>
    <w:p w14:paraId="209CBAC9" w14:textId="77777777" w:rsidR="000A6652" w:rsidRPr="00106D4D" w:rsidRDefault="000A6652" w:rsidP="00106D4D">
      <w:pPr>
        <w:pStyle w:val="Default"/>
        <w:rPr>
          <w:sz w:val="20"/>
          <w:szCs w:val="20"/>
        </w:rPr>
      </w:pPr>
    </w:p>
    <w:p w14:paraId="0123A411" w14:textId="062A198E" w:rsidR="00106D4D" w:rsidRDefault="00106D4D" w:rsidP="00106D4D">
      <w:pPr>
        <w:pStyle w:val="Default"/>
        <w:rPr>
          <w:sz w:val="20"/>
          <w:szCs w:val="20"/>
        </w:rPr>
      </w:pPr>
      <w:r w:rsidRPr="00106D4D">
        <w:rPr>
          <w:sz w:val="20"/>
          <w:szCs w:val="20"/>
        </w:rPr>
        <w:t xml:space="preserve">Each school creates </w:t>
      </w:r>
      <w:r w:rsidR="00023F7B">
        <w:rPr>
          <w:sz w:val="20"/>
          <w:szCs w:val="20"/>
        </w:rPr>
        <w:t>an</w:t>
      </w:r>
      <w:r w:rsidR="008A40FE">
        <w:rPr>
          <w:sz w:val="20"/>
          <w:szCs w:val="20"/>
        </w:rPr>
        <w:t xml:space="preserve"> </w:t>
      </w:r>
      <w:r w:rsidRPr="00106D4D">
        <w:rPr>
          <w:sz w:val="20"/>
          <w:szCs w:val="20"/>
        </w:rPr>
        <w:t>SDP</w:t>
      </w:r>
      <w:r w:rsidR="006D5074">
        <w:rPr>
          <w:sz w:val="20"/>
          <w:szCs w:val="20"/>
        </w:rPr>
        <w:t xml:space="preserve"> </w:t>
      </w:r>
      <w:r w:rsidRPr="00106D4D">
        <w:rPr>
          <w:sz w:val="20"/>
          <w:szCs w:val="20"/>
        </w:rPr>
        <w:t>to identify its priorities for the year ahead. These priorities are based on evidence such as pupil progress data, Estyn inspections, learner voice, and the needs of the community</w:t>
      </w:r>
      <w:r w:rsidR="000D3DE2">
        <w:rPr>
          <w:sz w:val="20"/>
          <w:szCs w:val="20"/>
        </w:rPr>
        <w:t xml:space="preserve"> </w:t>
      </w:r>
      <w:r w:rsidR="000D3DE2" w:rsidRPr="000D3DE2">
        <w:rPr>
          <w:sz w:val="20"/>
          <w:szCs w:val="20"/>
        </w:rPr>
        <w:t>(Booth et al., 2013)</w:t>
      </w:r>
      <w:r w:rsidRPr="00106D4D">
        <w:rPr>
          <w:sz w:val="20"/>
          <w:szCs w:val="20"/>
        </w:rPr>
        <w:t>. This approach ensures that schools are responding to</w:t>
      </w:r>
      <w:r w:rsidR="006D5074">
        <w:rPr>
          <w:sz w:val="20"/>
          <w:szCs w:val="20"/>
        </w:rPr>
        <w:t xml:space="preserve"> </w:t>
      </w:r>
      <w:r w:rsidRPr="00106D4D">
        <w:rPr>
          <w:sz w:val="20"/>
          <w:szCs w:val="20"/>
        </w:rPr>
        <w:t xml:space="preserve">national expectations and local needs. </w:t>
      </w:r>
      <w:r w:rsidR="000A6652" w:rsidRPr="000A6652">
        <w:rPr>
          <w:sz w:val="20"/>
          <w:szCs w:val="20"/>
        </w:rPr>
        <w:t xml:space="preserve">This target links to wider Welsh Government goals, like those in the Well-being of Future Generations </w:t>
      </w:r>
      <w:r w:rsidR="00624F69">
        <w:rPr>
          <w:sz w:val="20"/>
          <w:szCs w:val="20"/>
        </w:rPr>
        <w:t>Act</w:t>
      </w:r>
      <w:r w:rsidR="000A6652" w:rsidRPr="000A6652">
        <w:rPr>
          <w:sz w:val="20"/>
          <w:szCs w:val="20"/>
        </w:rPr>
        <w:t>, which encourages schools to help create a fairer and healthier society</w:t>
      </w:r>
      <w:r w:rsidR="00351CA3">
        <w:rPr>
          <w:sz w:val="20"/>
          <w:szCs w:val="20"/>
        </w:rPr>
        <w:t xml:space="preserve"> </w:t>
      </w:r>
      <w:r w:rsidR="00351CA3" w:rsidRPr="00351CA3">
        <w:rPr>
          <w:sz w:val="20"/>
          <w:szCs w:val="20"/>
        </w:rPr>
        <w:t xml:space="preserve">(Welsh </w:t>
      </w:r>
      <w:r w:rsidR="004F4958" w:rsidRPr="00351CA3">
        <w:rPr>
          <w:sz w:val="20"/>
          <w:szCs w:val="20"/>
        </w:rPr>
        <w:t>Government,</w:t>
      </w:r>
      <w:r w:rsidR="00351CA3" w:rsidRPr="00351CA3">
        <w:rPr>
          <w:sz w:val="20"/>
          <w:szCs w:val="20"/>
        </w:rPr>
        <w:t xml:space="preserve"> 2015)</w:t>
      </w:r>
      <w:r w:rsidR="000A6652" w:rsidRPr="000A6652">
        <w:rPr>
          <w:sz w:val="20"/>
          <w:szCs w:val="20"/>
        </w:rPr>
        <w:t>.</w:t>
      </w:r>
      <w:r w:rsidR="0036426E" w:rsidRPr="0036426E">
        <w:rPr>
          <w:sz w:val="20"/>
          <w:szCs w:val="20"/>
        </w:rPr>
        <w:t xml:space="preserve"> This includes making sure every learner is supported to thrive, both academically and emotionally. </w:t>
      </w:r>
      <w:r w:rsidR="00882F3E" w:rsidRPr="00882F3E">
        <w:rPr>
          <w:sz w:val="20"/>
          <w:szCs w:val="20"/>
        </w:rPr>
        <w:t xml:space="preserve">The Additional Learning Needs and Education Tribunal (Wales) Act 2018 also </w:t>
      </w:r>
      <w:r w:rsidR="00145134" w:rsidRPr="00145134">
        <w:rPr>
          <w:sz w:val="20"/>
          <w:szCs w:val="20"/>
        </w:rPr>
        <w:t xml:space="preserve">promotes inclusive education by ensuring that all learners, regardless of ability or background, are given the support they need to </w:t>
      </w:r>
      <w:r w:rsidR="00145134">
        <w:rPr>
          <w:sz w:val="20"/>
          <w:szCs w:val="20"/>
        </w:rPr>
        <w:t>succeed</w:t>
      </w:r>
      <w:r w:rsidR="004F4958">
        <w:rPr>
          <w:sz w:val="20"/>
          <w:szCs w:val="20"/>
        </w:rPr>
        <w:t xml:space="preserve"> </w:t>
      </w:r>
      <w:r w:rsidR="004F4958" w:rsidRPr="004F4958">
        <w:rPr>
          <w:sz w:val="20"/>
          <w:szCs w:val="20"/>
        </w:rPr>
        <w:t>(Welsh Government, 2018)</w:t>
      </w:r>
      <w:r w:rsidR="00145134">
        <w:rPr>
          <w:sz w:val="20"/>
          <w:szCs w:val="20"/>
        </w:rPr>
        <w:t>.</w:t>
      </w:r>
      <w:r w:rsidR="000B352D">
        <w:rPr>
          <w:sz w:val="20"/>
          <w:szCs w:val="20"/>
        </w:rPr>
        <w:t xml:space="preserve"> </w:t>
      </w:r>
      <w:r w:rsidR="001E04D1" w:rsidRPr="001E04D1">
        <w:rPr>
          <w:sz w:val="20"/>
          <w:szCs w:val="20"/>
        </w:rPr>
        <w:t>By improving formative assessment and feedback, schools can identify individual learning needs</w:t>
      </w:r>
      <w:r w:rsidR="00C2018F" w:rsidRPr="00C2018F">
        <w:t xml:space="preserve"> </w:t>
      </w:r>
      <w:r w:rsidR="00C2018F" w:rsidRPr="00C2018F">
        <w:rPr>
          <w:sz w:val="20"/>
          <w:szCs w:val="20"/>
        </w:rPr>
        <w:t>and give them clear guidance</w:t>
      </w:r>
      <w:r w:rsidR="00C2018F">
        <w:rPr>
          <w:sz w:val="20"/>
          <w:szCs w:val="20"/>
        </w:rPr>
        <w:t xml:space="preserve"> </w:t>
      </w:r>
      <w:r w:rsidR="00C2018F" w:rsidRPr="00C2018F">
        <w:rPr>
          <w:sz w:val="20"/>
          <w:szCs w:val="20"/>
        </w:rPr>
        <w:t xml:space="preserve">helping </w:t>
      </w:r>
      <w:r w:rsidR="005F45A6">
        <w:rPr>
          <w:sz w:val="20"/>
          <w:szCs w:val="20"/>
        </w:rPr>
        <w:t xml:space="preserve">pupils </w:t>
      </w:r>
      <w:r w:rsidR="00C2018F" w:rsidRPr="00C2018F">
        <w:rPr>
          <w:sz w:val="20"/>
          <w:szCs w:val="20"/>
        </w:rPr>
        <w:t>to make progress and feel included</w:t>
      </w:r>
      <w:r w:rsidR="00035FDC">
        <w:rPr>
          <w:sz w:val="20"/>
          <w:szCs w:val="20"/>
        </w:rPr>
        <w:t xml:space="preserve"> </w:t>
      </w:r>
      <w:r w:rsidR="00035FDC" w:rsidRPr="00035FDC">
        <w:rPr>
          <w:sz w:val="20"/>
          <w:szCs w:val="20"/>
        </w:rPr>
        <w:t>(Irons and Elkington, 2021)</w:t>
      </w:r>
      <w:r w:rsidR="00C2018F" w:rsidRPr="00C2018F">
        <w:rPr>
          <w:sz w:val="20"/>
          <w:szCs w:val="20"/>
        </w:rPr>
        <w:t>.</w:t>
      </w:r>
    </w:p>
    <w:p w14:paraId="1A1330C3" w14:textId="77777777" w:rsidR="0016025D" w:rsidRPr="00106D4D" w:rsidRDefault="0016025D" w:rsidP="00106D4D">
      <w:pPr>
        <w:pStyle w:val="Default"/>
        <w:rPr>
          <w:sz w:val="20"/>
          <w:szCs w:val="20"/>
        </w:rPr>
      </w:pPr>
    </w:p>
    <w:p w14:paraId="4F59D0F4" w14:textId="224D6780" w:rsidR="00106D4D" w:rsidRPr="00106D4D" w:rsidRDefault="005F45A6" w:rsidP="00106D4D">
      <w:pPr>
        <w:pStyle w:val="Default"/>
        <w:rPr>
          <w:sz w:val="20"/>
          <w:szCs w:val="20"/>
        </w:rPr>
      </w:pPr>
      <w:r>
        <w:rPr>
          <w:sz w:val="20"/>
          <w:szCs w:val="20"/>
        </w:rPr>
        <w:t>At School X</w:t>
      </w:r>
      <w:r w:rsidR="00106D4D" w:rsidRPr="00106D4D">
        <w:rPr>
          <w:sz w:val="20"/>
          <w:szCs w:val="20"/>
        </w:rPr>
        <w:t>, improving formative assessment and feedback was chosen as a priority following internal reviews and external advice. This target is closely linked to the Welsh Government’s focus on supporting progress in literacy, numeracy, and digital skills</w:t>
      </w:r>
      <w:r w:rsidR="004340E4">
        <w:rPr>
          <w:sz w:val="20"/>
          <w:szCs w:val="20"/>
        </w:rPr>
        <w:t xml:space="preserve"> </w:t>
      </w:r>
      <w:r w:rsidR="004340E4" w:rsidRPr="004340E4">
        <w:rPr>
          <w:sz w:val="20"/>
          <w:szCs w:val="20"/>
        </w:rPr>
        <w:t>(Welsh Government, 2022)</w:t>
      </w:r>
      <w:r w:rsidR="00106D4D" w:rsidRPr="00106D4D">
        <w:rPr>
          <w:sz w:val="20"/>
          <w:szCs w:val="20"/>
        </w:rPr>
        <w:t xml:space="preserve">. It highlights the importance of high-quality feedback in helping all pupils understand their learning and what they need to do next, which </w:t>
      </w:r>
      <w:r w:rsidR="00426AC5">
        <w:rPr>
          <w:sz w:val="20"/>
          <w:szCs w:val="20"/>
        </w:rPr>
        <w:t>may help</w:t>
      </w:r>
      <w:r w:rsidR="00106D4D" w:rsidRPr="00106D4D">
        <w:rPr>
          <w:sz w:val="20"/>
          <w:szCs w:val="20"/>
        </w:rPr>
        <w:t xml:space="preserve"> reduce barriers to progress and promote equity across the school</w:t>
      </w:r>
      <w:r w:rsidR="00426AC5" w:rsidRPr="00426AC5">
        <w:t xml:space="preserve"> </w:t>
      </w:r>
      <w:r w:rsidR="00426AC5" w:rsidRPr="00426AC5">
        <w:rPr>
          <w:sz w:val="20"/>
          <w:szCs w:val="20"/>
        </w:rPr>
        <w:t>(Smith et al., 2017)</w:t>
      </w:r>
      <w:r w:rsidR="00106D4D" w:rsidRPr="00106D4D">
        <w:rPr>
          <w:sz w:val="20"/>
          <w:szCs w:val="20"/>
        </w:rPr>
        <w:t>.</w:t>
      </w:r>
    </w:p>
    <w:p w14:paraId="4A69A2A8" w14:textId="77777777" w:rsidR="00106D4D" w:rsidRDefault="00106D4D" w:rsidP="00FD3382">
      <w:pPr>
        <w:pStyle w:val="Default"/>
        <w:rPr>
          <w:sz w:val="20"/>
          <w:szCs w:val="20"/>
        </w:rPr>
      </w:pPr>
    </w:p>
    <w:p w14:paraId="64746D60" w14:textId="77777777" w:rsidR="00554532" w:rsidRDefault="00554532" w:rsidP="00FD3382">
      <w:pPr>
        <w:pStyle w:val="Default"/>
        <w:rPr>
          <w:sz w:val="20"/>
          <w:szCs w:val="20"/>
        </w:rPr>
      </w:pPr>
    </w:p>
    <w:p w14:paraId="0CB4CB04" w14:textId="3F186A24" w:rsidR="00FD3382" w:rsidRDefault="00FD3382" w:rsidP="00FD3382">
      <w:pPr>
        <w:pStyle w:val="Default"/>
        <w:rPr>
          <w:sz w:val="20"/>
          <w:szCs w:val="20"/>
        </w:rPr>
      </w:pPr>
      <w:r>
        <w:rPr>
          <w:b/>
          <w:bCs/>
          <w:sz w:val="20"/>
          <w:szCs w:val="20"/>
        </w:rPr>
        <w:t xml:space="preserve">Literature Review </w:t>
      </w:r>
    </w:p>
    <w:p w14:paraId="447CC480" w14:textId="77777777" w:rsidR="00BA7F2F" w:rsidRDefault="00BA7F2F" w:rsidP="007F74FD">
      <w:pPr>
        <w:pStyle w:val="Default"/>
        <w:rPr>
          <w:sz w:val="20"/>
          <w:szCs w:val="20"/>
        </w:rPr>
      </w:pPr>
    </w:p>
    <w:p w14:paraId="731C149E" w14:textId="28A263F4" w:rsidR="007F74FD" w:rsidRPr="007F74FD" w:rsidRDefault="007F74FD" w:rsidP="007F74FD">
      <w:pPr>
        <w:pStyle w:val="Default"/>
        <w:rPr>
          <w:sz w:val="20"/>
          <w:szCs w:val="20"/>
        </w:rPr>
      </w:pPr>
      <w:r w:rsidRPr="007F74FD">
        <w:rPr>
          <w:sz w:val="20"/>
          <w:szCs w:val="20"/>
        </w:rPr>
        <w:t>Formative assessment involves using strategies like questioning, peer and self-assessment, and giving feedback that helps learners understand what they need to do next</w:t>
      </w:r>
      <w:r w:rsidR="00225D2C">
        <w:rPr>
          <w:sz w:val="20"/>
          <w:szCs w:val="20"/>
        </w:rPr>
        <w:t xml:space="preserve"> </w:t>
      </w:r>
      <w:r w:rsidR="00225D2C" w:rsidRPr="00225D2C">
        <w:rPr>
          <w:sz w:val="20"/>
          <w:szCs w:val="20"/>
        </w:rPr>
        <w:t>(Clark, 2012)</w:t>
      </w:r>
      <w:r w:rsidRPr="007F74FD">
        <w:rPr>
          <w:sz w:val="20"/>
          <w:szCs w:val="20"/>
        </w:rPr>
        <w:t>. Research by Black and Wiliam shows that good formative assessment can improve learning, especially for pupils who need the most support</w:t>
      </w:r>
      <w:r w:rsidR="0074403B">
        <w:rPr>
          <w:sz w:val="20"/>
          <w:szCs w:val="20"/>
        </w:rPr>
        <w:t xml:space="preserve"> </w:t>
      </w:r>
      <w:r w:rsidR="0074403B" w:rsidRPr="0074403B">
        <w:rPr>
          <w:sz w:val="20"/>
          <w:szCs w:val="20"/>
        </w:rPr>
        <w:t>(Black and Wiliam, 2018)</w:t>
      </w:r>
      <w:r w:rsidRPr="007F74FD">
        <w:rPr>
          <w:sz w:val="20"/>
          <w:szCs w:val="20"/>
        </w:rPr>
        <w:t>. The Welsh Government als</w:t>
      </w:r>
      <w:r w:rsidR="00B67350">
        <w:rPr>
          <w:sz w:val="20"/>
          <w:szCs w:val="20"/>
        </w:rPr>
        <w:t xml:space="preserve">o </w:t>
      </w:r>
      <w:r w:rsidRPr="007F74FD">
        <w:rPr>
          <w:sz w:val="20"/>
          <w:szCs w:val="20"/>
        </w:rPr>
        <w:t>highlights assessment as a priority, linking it to raising standards and supporting all learners</w:t>
      </w:r>
      <w:r w:rsidR="007851FD">
        <w:rPr>
          <w:sz w:val="20"/>
          <w:szCs w:val="20"/>
        </w:rPr>
        <w:t xml:space="preserve"> </w:t>
      </w:r>
      <w:r w:rsidR="007851FD" w:rsidRPr="007851FD">
        <w:rPr>
          <w:sz w:val="20"/>
          <w:szCs w:val="20"/>
        </w:rPr>
        <w:t>(Welsh Government, 2023b)</w:t>
      </w:r>
      <w:r w:rsidRPr="007F74FD">
        <w:rPr>
          <w:sz w:val="20"/>
          <w:szCs w:val="20"/>
        </w:rPr>
        <w:t>.</w:t>
      </w:r>
    </w:p>
    <w:p w14:paraId="174FF4AD" w14:textId="107E977A" w:rsidR="007F74FD" w:rsidRDefault="007F74FD" w:rsidP="007F74FD">
      <w:pPr>
        <w:pStyle w:val="Default"/>
        <w:rPr>
          <w:sz w:val="20"/>
          <w:szCs w:val="20"/>
        </w:rPr>
      </w:pPr>
      <w:r w:rsidRPr="007F74FD">
        <w:rPr>
          <w:sz w:val="20"/>
          <w:szCs w:val="20"/>
        </w:rPr>
        <w:t xml:space="preserve">Dylan Wiliam explains that assessment should not just be about checking what pupils </w:t>
      </w:r>
      <w:r w:rsidR="007435F5" w:rsidRPr="007F74FD">
        <w:rPr>
          <w:sz w:val="20"/>
          <w:szCs w:val="20"/>
        </w:rPr>
        <w:t>know but</w:t>
      </w:r>
      <w:r w:rsidRPr="007F74FD">
        <w:rPr>
          <w:sz w:val="20"/>
          <w:szCs w:val="20"/>
        </w:rPr>
        <w:t xml:space="preserve"> used to support teaching and learning</w:t>
      </w:r>
      <w:r w:rsidR="00BD4E2F">
        <w:rPr>
          <w:sz w:val="20"/>
          <w:szCs w:val="20"/>
        </w:rPr>
        <w:t xml:space="preserve"> </w:t>
      </w:r>
      <w:r w:rsidR="00BD4E2F" w:rsidRPr="00BD4E2F">
        <w:rPr>
          <w:sz w:val="20"/>
          <w:szCs w:val="20"/>
        </w:rPr>
        <w:t>(Black and Wiliam, 2009)</w:t>
      </w:r>
      <w:r w:rsidRPr="007F74FD">
        <w:rPr>
          <w:sz w:val="20"/>
          <w:szCs w:val="20"/>
        </w:rPr>
        <w:t>. However, putting this into practice can be difficult. Estyn found that in many schools</w:t>
      </w:r>
      <w:r w:rsidR="00D27EB9">
        <w:rPr>
          <w:sz w:val="20"/>
          <w:szCs w:val="20"/>
        </w:rPr>
        <w:t xml:space="preserve"> in Wales</w:t>
      </w:r>
      <w:r w:rsidRPr="007F74FD">
        <w:rPr>
          <w:sz w:val="20"/>
          <w:szCs w:val="20"/>
        </w:rPr>
        <w:t>, feedback is not always clear or helpful, and pupils are not always sure how to improve</w:t>
      </w:r>
      <w:r w:rsidR="00E15B80">
        <w:rPr>
          <w:sz w:val="20"/>
          <w:szCs w:val="20"/>
        </w:rPr>
        <w:t xml:space="preserve"> </w:t>
      </w:r>
      <w:r w:rsidR="00E15B80" w:rsidRPr="00E15B80">
        <w:rPr>
          <w:sz w:val="20"/>
          <w:szCs w:val="20"/>
        </w:rPr>
        <w:t>(ESTYN, 2024)</w:t>
      </w:r>
      <w:r w:rsidRPr="007F74FD">
        <w:rPr>
          <w:sz w:val="20"/>
          <w:szCs w:val="20"/>
        </w:rPr>
        <w:t xml:space="preserve">. </w:t>
      </w:r>
      <w:r w:rsidR="007435F5" w:rsidRPr="007435F5">
        <w:rPr>
          <w:sz w:val="20"/>
          <w:szCs w:val="20"/>
        </w:rPr>
        <w:t xml:space="preserve">This reflects what I observed </w:t>
      </w:r>
      <w:r w:rsidR="00500298">
        <w:rPr>
          <w:sz w:val="20"/>
          <w:szCs w:val="20"/>
        </w:rPr>
        <w:t>at School X</w:t>
      </w:r>
      <w:r w:rsidR="00E15B80">
        <w:rPr>
          <w:sz w:val="20"/>
          <w:szCs w:val="20"/>
        </w:rPr>
        <w:t xml:space="preserve">, </w:t>
      </w:r>
      <w:r w:rsidR="007435F5" w:rsidRPr="007435F5">
        <w:rPr>
          <w:sz w:val="20"/>
          <w:szCs w:val="20"/>
        </w:rPr>
        <w:t xml:space="preserve">while </w:t>
      </w:r>
      <w:r w:rsidR="007435F5" w:rsidRPr="007435F5">
        <w:rPr>
          <w:sz w:val="20"/>
          <w:szCs w:val="20"/>
        </w:rPr>
        <w:lastRenderedPageBreak/>
        <w:t>some teachers provided clear success criteria and helpful, focused feedback, in other classes the feedback was unclear or missing, which left some pupils unsure about how to improve their work.</w:t>
      </w:r>
    </w:p>
    <w:p w14:paraId="6B5C535A" w14:textId="77777777" w:rsidR="007435F5" w:rsidRPr="007F74FD" w:rsidRDefault="007435F5" w:rsidP="007F74FD">
      <w:pPr>
        <w:pStyle w:val="Default"/>
        <w:rPr>
          <w:sz w:val="20"/>
          <w:szCs w:val="20"/>
        </w:rPr>
      </w:pPr>
    </w:p>
    <w:p w14:paraId="716A4D50" w14:textId="4B995B9B" w:rsidR="007F74FD" w:rsidRDefault="007F74FD" w:rsidP="007F74FD">
      <w:pPr>
        <w:pStyle w:val="Default"/>
        <w:rPr>
          <w:sz w:val="20"/>
          <w:szCs w:val="20"/>
        </w:rPr>
      </w:pPr>
      <w:r w:rsidRPr="007F74FD">
        <w:rPr>
          <w:sz w:val="20"/>
          <w:szCs w:val="20"/>
        </w:rPr>
        <w:t xml:space="preserve">There are several barriers that can make formative assessment hard to do well. These include lack of time, limited training, and differences in how confident teachers feel using these strategies </w:t>
      </w:r>
      <w:r w:rsidR="00422EC1" w:rsidRPr="00422EC1">
        <w:rPr>
          <w:sz w:val="20"/>
          <w:szCs w:val="20"/>
        </w:rPr>
        <w:t>(Andersson and Palm, 2018)</w:t>
      </w:r>
      <w:r w:rsidR="00422EC1">
        <w:rPr>
          <w:sz w:val="20"/>
          <w:szCs w:val="20"/>
        </w:rPr>
        <w:t xml:space="preserve">. </w:t>
      </w:r>
      <w:r w:rsidRPr="007F74FD">
        <w:rPr>
          <w:sz w:val="20"/>
          <w:szCs w:val="20"/>
        </w:rPr>
        <w:t xml:space="preserve">The Welsh Government’s </w:t>
      </w:r>
      <w:r w:rsidRPr="007F74FD">
        <w:rPr>
          <w:i/>
          <w:iCs/>
          <w:sz w:val="20"/>
          <w:szCs w:val="20"/>
        </w:rPr>
        <w:t>Assessment Guidance for the Curriculum for Wales</w:t>
      </w:r>
      <w:r w:rsidRPr="007F74FD">
        <w:rPr>
          <w:sz w:val="20"/>
          <w:szCs w:val="20"/>
        </w:rPr>
        <w:t xml:space="preserve"> encourages teachers to build assessment into everyday learning, rather than seeing it as something separate</w:t>
      </w:r>
      <w:r w:rsidR="00C154C4">
        <w:rPr>
          <w:sz w:val="20"/>
          <w:szCs w:val="20"/>
        </w:rPr>
        <w:t xml:space="preserve"> </w:t>
      </w:r>
      <w:r w:rsidR="00C154C4" w:rsidRPr="00C154C4">
        <w:rPr>
          <w:sz w:val="20"/>
          <w:szCs w:val="20"/>
        </w:rPr>
        <w:t>(Welsh Government, 2022b)</w:t>
      </w:r>
      <w:r w:rsidRPr="007F74FD">
        <w:rPr>
          <w:sz w:val="20"/>
          <w:szCs w:val="20"/>
        </w:rPr>
        <w:t>.</w:t>
      </w:r>
    </w:p>
    <w:p w14:paraId="4A727DD7" w14:textId="77777777" w:rsidR="00C154C4" w:rsidRPr="007F74FD" w:rsidRDefault="00C154C4" w:rsidP="007F74FD">
      <w:pPr>
        <w:pStyle w:val="Default"/>
        <w:rPr>
          <w:sz w:val="20"/>
          <w:szCs w:val="20"/>
        </w:rPr>
      </w:pPr>
    </w:p>
    <w:p w14:paraId="20A41C13" w14:textId="1C501141" w:rsidR="007F74FD" w:rsidRPr="007F74FD" w:rsidRDefault="007F74FD" w:rsidP="007F74FD">
      <w:pPr>
        <w:pStyle w:val="Default"/>
        <w:rPr>
          <w:sz w:val="20"/>
          <w:szCs w:val="20"/>
        </w:rPr>
      </w:pPr>
      <w:r w:rsidRPr="007F74FD">
        <w:rPr>
          <w:sz w:val="20"/>
          <w:szCs w:val="20"/>
        </w:rPr>
        <w:t xml:space="preserve">Research suggests that successful approaches include creating clear success criteria with pupils, using feedback to plan next steps in learning, and giving learners a voice in their own progress </w:t>
      </w:r>
      <w:r w:rsidR="000E4E19" w:rsidRPr="000E4E19">
        <w:rPr>
          <w:sz w:val="20"/>
          <w:szCs w:val="20"/>
        </w:rPr>
        <w:t>(Clarke, 2014)</w:t>
      </w:r>
      <w:r w:rsidR="00A50059">
        <w:rPr>
          <w:sz w:val="20"/>
          <w:szCs w:val="20"/>
        </w:rPr>
        <w:t xml:space="preserve">. </w:t>
      </w:r>
      <w:r w:rsidRPr="007F74FD">
        <w:rPr>
          <w:sz w:val="20"/>
          <w:szCs w:val="20"/>
        </w:rPr>
        <w:t>These approaches fit with the aims of the Curriculum for Wales, which focuses on helping pupils understand what they are learning, why, and how to improve</w:t>
      </w:r>
      <w:r w:rsidR="00A50059">
        <w:rPr>
          <w:sz w:val="20"/>
          <w:szCs w:val="20"/>
        </w:rPr>
        <w:t xml:space="preserve"> </w:t>
      </w:r>
      <w:r w:rsidR="00A50059" w:rsidRPr="00A50059">
        <w:rPr>
          <w:sz w:val="20"/>
          <w:szCs w:val="20"/>
        </w:rPr>
        <w:t>(Welsh Government, 2022b)</w:t>
      </w:r>
      <w:r w:rsidRPr="007F74FD">
        <w:rPr>
          <w:sz w:val="20"/>
          <w:szCs w:val="20"/>
        </w:rPr>
        <w:t>.</w:t>
      </w:r>
      <w:r w:rsidR="00A50059">
        <w:rPr>
          <w:sz w:val="20"/>
          <w:szCs w:val="20"/>
        </w:rPr>
        <w:t xml:space="preserve"> </w:t>
      </w:r>
      <w:r w:rsidR="00975FA0" w:rsidRPr="00975FA0">
        <w:rPr>
          <w:sz w:val="20"/>
          <w:szCs w:val="20"/>
        </w:rPr>
        <w:t>In summary, research and policy both support the importance of formative assessment, but there are challenges in using</w:t>
      </w:r>
      <w:r w:rsidR="009A18A0" w:rsidRPr="009A18A0">
        <w:rPr>
          <w:sz w:val="20"/>
          <w:szCs w:val="20"/>
        </w:rPr>
        <w:t xml:space="preserve"> formative assessment effectively and consistently across the whole school</w:t>
      </w:r>
      <w:r w:rsidR="00E95A10">
        <w:rPr>
          <w:sz w:val="20"/>
          <w:szCs w:val="20"/>
        </w:rPr>
        <w:t xml:space="preserve"> </w:t>
      </w:r>
      <w:r w:rsidR="00E95A10" w:rsidRPr="00E95A10">
        <w:rPr>
          <w:sz w:val="20"/>
          <w:szCs w:val="20"/>
        </w:rPr>
        <w:t>(Moss and Brookhart, 2019)</w:t>
      </w:r>
      <w:r w:rsidR="009A18A0" w:rsidRPr="009A18A0">
        <w:rPr>
          <w:sz w:val="20"/>
          <w:szCs w:val="20"/>
        </w:rPr>
        <w:t>.</w:t>
      </w:r>
      <w:r w:rsidR="00975FA0">
        <w:rPr>
          <w:sz w:val="20"/>
          <w:szCs w:val="20"/>
        </w:rPr>
        <w:t xml:space="preserve"> </w:t>
      </w:r>
      <w:r w:rsidRPr="007F74FD">
        <w:rPr>
          <w:sz w:val="20"/>
          <w:szCs w:val="20"/>
        </w:rPr>
        <w:t>Ongoing training, time to reflect, and a shared approach among staff are key to helping feedback and assessment have a</w:t>
      </w:r>
      <w:r w:rsidR="001B6986">
        <w:rPr>
          <w:sz w:val="20"/>
          <w:szCs w:val="20"/>
        </w:rPr>
        <w:t xml:space="preserve">n </w:t>
      </w:r>
      <w:r w:rsidRPr="007F74FD">
        <w:rPr>
          <w:sz w:val="20"/>
          <w:szCs w:val="20"/>
        </w:rPr>
        <w:t>impact on learning</w:t>
      </w:r>
      <w:r w:rsidR="00C3305F">
        <w:rPr>
          <w:sz w:val="20"/>
          <w:szCs w:val="20"/>
        </w:rPr>
        <w:t xml:space="preserve"> </w:t>
      </w:r>
      <w:r w:rsidR="00C3305F" w:rsidRPr="00C3305F">
        <w:rPr>
          <w:sz w:val="20"/>
          <w:szCs w:val="20"/>
        </w:rPr>
        <w:t>(Killion and Staff, 2008)</w:t>
      </w:r>
      <w:r w:rsidRPr="007F74FD">
        <w:rPr>
          <w:sz w:val="20"/>
          <w:szCs w:val="20"/>
        </w:rPr>
        <w:t>.</w:t>
      </w:r>
    </w:p>
    <w:p w14:paraId="672F184C" w14:textId="77777777" w:rsidR="00B67516" w:rsidRDefault="00B67516" w:rsidP="00FD3382">
      <w:pPr>
        <w:pStyle w:val="Default"/>
        <w:rPr>
          <w:b/>
          <w:bCs/>
          <w:sz w:val="20"/>
          <w:szCs w:val="20"/>
        </w:rPr>
      </w:pPr>
    </w:p>
    <w:p w14:paraId="0A73BDE2" w14:textId="26ACC377" w:rsidR="00FD3382" w:rsidRDefault="00FD3382" w:rsidP="00FD3382">
      <w:pPr>
        <w:pStyle w:val="Default"/>
        <w:rPr>
          <w:sz w:val="20"/>
          <w:szCs w:val="20"/>
        </w:rPr>
      </w:pPr>
      <w:r>
        <w:rPr>
          <w:b/>
          <w:bCs/>
          <w:sz w:val="20"/>
          <w:szCs w:val="20"/>
        </w:rPr>
        <w:t xml:space="preserve">Developing an Action Point, Reflection and Evaluation </w:t>
      </w:r>
    </w:p>
    <w:p w14:paraId="729A6F75" w14:textId="77777777" w:rsidR="00FD3382" w:rsidRPr="001A0A4D" w:rsidRDefault="00FD3382" w:rsidP="001A0A4D">
      <w:pPr>
        <w:pStyle w:val="Default"/>
        <w:rPr>
          <w:sz w:val="20"/>
          <w:szCs w:val="20"/>
        </w:rPr>
      </w:pPr>
    </w:p>
    <w:p w14:paraId="6D8ECE9C" w14:textId="2F64AE0B" w:rsidR="002D28E7" w:rsidRDefault="002D28E7" w:rsidP="00FD3382">
      <w:pPr>
        <w:pStyle w:val="Default"/>
        <w:rPr>
          <w:sz w:val="20"/>
          <w:szCs w:val="20"/>
        </w:rPr>
      </w:pPr>
      <w:r w:rsidRPr="002D28E7">
        <w:rPr>
          <w:sz w:val="20"/>
          <w:szCs w:val="20"/>
        </w:rPr>
        <w:t xml:space="preserve">The chosen priority from the SDP is Improving the Quality and Quantity of Formative Assessment and Feedback to Support Learner Progress. This target was identified through internal self-evaluation, including book looks, learning walks, and pupil progress meetings, which showed that feedback was not consistent or effective across the school. Pupil voice revealed that some learners were unsure how to improve their work. </w:t>
      </w:r>
      <w:r w:rsidR="00C16A4E" w:rsidRPr="00C16A4E">
        <w:rPr>
          <w:sz w:val="20"/>
          <w:szCs w:val="20"/>
        </w:rPr>
        <w:t>This links to what Estyn has s</w:t>
      </w:r>
      <w:r w:rsidR="00C16A4E">
        <w:rPr>
          <w:sz w:val="20"/>
          <w:szCs w:val="20"/>
        </w:rPr>
        <w:t xml:space="preserve">uggested </w:t>
      </w:r>
      <w:r w:rsidR="00C16A4E" w:rsidRPr="00C16A4E">
        <w:rPr>
          <w:sz w:val="20"/>
          <w:szCs w:val="20"/>
        </w:rPr>
        <w:t>about how important it is for pupils to understand their learning and take responsibility for their progress</w:t>
      </w:r>
      <w:r w:rsidR="00911DDF">
        <w:rPr>
          <w:sz w:val="20"/>
          <w:szCs w:val="20"/>
        </w:rPr>
        <w:t xml:space="preserve"> </w:t>
      </w:r>
      <w:r w:rsidR="00911DDF" w:rsidRPr="00911DDF">
        <w:rPr>
          <w:sz w:val="20"/>
          <w:szCs w:val="20"/>
        </w:rPr>
        <w:t>(ESTYN, 2022)</w:t>
      </w:r>
      <w:r w:rsidR="00911DDF">
        <w:rPr>
          <w:sz w:val="20"/>
          <w:szCs w:val="20"/>
        </w:rPr>
        <w:t>.</w:t>
      </w:r>
    </w:p>
    <w:p w14:paraId="7D32E81A" w14:textId="77777777" w:rsidR="002D28E7" w:rsidRDefault="002D28E7" w:rsidP="00FD3382">
      <w:pPr>
        <w:pStyle w:val="Default"/>
        <w:rPr>
          <w:sz w:val="20"/>
          <w:szCs w:val="20"/>
        </w:rPr>
      </w:pPr>
    </w:p>
    <w:p w14:paraId="017F30D9" w14:textId="20A401E0" w:rsidR="002D28E7" w:rsidRDefault="00490BDB" w:rsidP="00FD3382">
      <w:pPr>
        <w:pStyle w:val="Default"/>
        <w:rPr>
          <w:sz w:val="20"/>
          <w:szCs w:val="20"/>
        </w:rPr>
      </w:pPr>
      <w:r w:rsidRPr="00490BDB">
        <w:rPr>
          <w:sz w:val="20"/>
          <w:szCs w:val="20"/>
        </w:rPr>
        <w:t>To address the target, the school introduced a clear action plan. This included updating the marking policy using the ‘Marking Mouse’ system, training staff on effective Assessment for Learning</w:t>
      </w:r>
      <w:r w:rsidR="002F17C7">
        <w:rPr>
          <w:sz w:val="20"/>
          <w:szCs w:val="20"/>
        </w:rPr>
        <w:t xml:space="preserve"> </w:t>
      </w:r>
      <w:r w:rsidRPr="00490BDB">
        <w:rPr>
          <w:sz w:val="20"/>
          <w:szCs w:val="20"/>
        </w:rPr>
        <w:t xml:space="preserve">strategies, and creating a school-wide assessment toolkit. Teachers now use success criteria in lessons by </w:t>
      </w:r>
      <w:r w:rsidR="00DF0FF8">
        <w:rPr>
          <w:sz w:val="20"/>
          <w:szCs w:val="20"/>
        </w:rPr>
        <w:t xml:space="preserve">sharing </w:t>
      </w:r>
      <w:r w:rsidRPr="00490BDB">
        <w:rPr>
          <w:sz w:val="20"/>
          <w:szCs w:val="20"/>
        </w:rPr>
        <w:t>them with pupils at the start of learning, encourage peer and self-assessment through structured activities such as ‘tickled pink and green for growth’, and deliver feedback through marking codes, verbal comments, and reflection prompts that help learners understand how to improve</w:t>
      </w:r>
      <w:r w:rsidR="00BD5B31">
        <w:rPr>
          <w:sz w:val="20"/>
          <w:szCs w:val="20"/>
        </w:rPr>
        <w:t xml:space="preserve"> </w:t>
      </w:r>
      <w:r w:rsidR="00BD5B31" w:rsidRPr="003B3D59">
        <w:rPr>
          <w:sz w:val="20"/>
          <w:szCs w:val="20"/>
        </w:rPr>
        <w:t>(Appendix 1).</w:t>
      </w:r>
      <w:r w:rsidRPr="00490BDB">
        <w:rPr>
          <w:sz w:val="20"/>
          <w:szCs w:val="20"/>
        </w:rPr>
        <w:t xml:space="preserve"> Regular INSET sessions and peer observations have supported staff to share good practice. These steps are informed by guidance such as the Assessment for Learning in Wales document which </w:t>
      </w:r>
      <w:r w:rsidR="00DF0FF8">
        <w:rPr>
          <w:sz w:val="20"/>
          <w:szCs w:val="20"/>
        </w:rPr>
        <w:t xml:space="preserve">emphasises </w:t>
      </w:r>
      <w:r w:rsidRPr="00490BDB">
        <w:rPr>
          <w:sz w:val="20"/>
          <w:szCs w:val="20"/>
        </w:rPr>
        <w:t xml:space="preserve">the </w:t>
      </w:r>
      <w:r w:rsidR="00BD5B31">
        <w:rPr>
          <w:sz w:val="20"/>
          <w:szCs w:val="20"/>
        </w:rPr>
        <w:t>importance</w:t>
      </w:r>
      <w:r w:rsidRPr="00490BDB">
        <w:rPr>
          <w:sz w:val="20"/>
          <w:szCs w:val="20"/>
        </w:rPr>
        <w:t xml:space="preserve"> of clear learning </w:t>
      </w:r>
      <w:r w:rsidR="00FF2958">
        <w:rPr>
          <w:sz w:val="20"/>
          <w:szCs w:val="20"/>
        </w:rPr>
        <w:t>intentions</w:t>
      </w:r>
      <w:r w:rsidRPr="00490BDB">
        <w:rPr>
          <w:sz w:val="20"/>
          <w:szCs w:val="20"/>
        </w:rPr>
        <w:t xml:space="preserve"> and feedback</w:t>
      </w:r>
      <w:r w:rsidR="005E455E">
        <w:rPr>
          <w:sz w:val="20"/>
          <w:szCs w:val="20"/>
        </w:rPr>
        <w:t xml:space="preserve"> </w:t>
      </w:r>
      <w:r w:rsidR="005E455E" w:rsidRPr="005E455E">
        <w:rPr>
          <w:sz w:val="20"/>
          <w:szCs w:val="20"/>
        </w:rPr>
        <w:t>(Welsh Government, 2020)</w:t>
      </w:r>
      <w:r w:rsidRPr="00490BDB">
        <w:rPr>
          <w:sz w:val="20"/>
          <w:szCs w:val="20"/>
        </w:rPr>
        <w:t>.</w:t>
      </w:r>
    </w:p>
    <w:p w14:paraId="2A5DF60F" w14:textId="77777777" w:rsidR="0011406F" w:rsidRDefault="0011406F" w:rsidP="00FD3382">
      <w:pPr>
        <w:pStyle w:val="Default"/>
        <w:rPr>
          <w:sz w:val="20"/>
          <w:szCs w:val="20"/>
        </w:rPr>
      </w:pPr>
    </w:p>
    <w:p w14:paraId="1F3456BA" w14:textId="0612EE14" w:rsidR="001B4E9F" w:rsidRPr="001B4E9F" w:rsidRDefault="0011406F" w:rsidP="001B4E9F">
      <w:pPr>
        <w:pStyle w:val="Default"/>
        <w:rPr>
          <w:sz w:val="20"/>
          <w:szCs w:val="20"/>
        </w:rPr>
      </w:pPr>
      <w:r w:rsidRPr="0011406F">
        <w:rPr>
          <w:sz w:val="20"/>
          <w:szCs w:val="20"/>
        </w:rPr>
        <w:t>In my teaching, I supported this target by using success criteria templates and giving feedback linked to pupils’ self-assessment. This helped learners understand what they were aiming for and reflect on their progress. However, some pupils, especially those less confident, needed extra support with self-reflection. Research shows that for feedback to be useful, pupils must understand and act on it</w:t>
      </w:r>
      <w:r w:rsidR="003B33DE">
        <w:rPr>
          <w:sz w:val="20"/>
          <w:szCs w:val="20"/>
        </w:rPr>
        <w:t xml:space="preserve"> </w:t>
      </w:r>
      <w:r w:rsidR="003B33DE" w:rsidRPr="003B33DE">
        <w:rPr>
          <w:sz w:val="20"/>
          <w:szCs w:val="20"/>
        </w:rPr>
        <w:t>(</w:t>
      </w:r>
      <w:r w:rsidR="00F1106E">
        <w:rPr>
          <w:sz w:val="20"/>
          <w:szCs w:val="20"/>
        </w:rPr>
        <w:t>Black and Wiliam</w:t>
      </w:r>
      <w:r w:rsidR="003B33DE" w:rsidRPr="003B33DE">
        <w:rPr>
          <w:sz w:val="20"/>
          <w:szCs w:val="20"/>
        </w:rPr>
        <w:t xml:space="preserve"> 2005)</w:t>
      </w:r>
      <w:r w:rsidRPr="0011406F">
        <w:rPr>
          <w:sz w:val="20"/>
          <w:szCs w:val="20"/>
        </w:rPr>
        <w:t xml:space="preserve">. </w:t>
      </w:r>
      <w:r w:rsidR="00E23446" w:rsidRPr="00E23446">
        <w:rPr>
          <w:sz w:val="20"/>
          <w:szCs w:val="20"/>
        </w:rPr>
        <w:t xml:space="preserve">To support this, I used guiding questions like “What did you do well?” and “What could you improve?” to help pupils think about their work. I also tried peer-assessment by getting pupils to swap books and give each other feedback using a checklist. This helped them understand what to look for in their learning. I plan to try digital tools like Google Forms, where pupils can share their </w:t>
      </w:r>
      <w:r w:rsidR="000A0D41" w:rsidRPr="00E23446">
        <w:rPr>
          <w:sz w:val="20"/>
          <w:szCs w:val="20"/>
        </w:rPr>
        <w:t>thoughts,</w:t>
      </w:r>
      <w:r w:rsidR="00E23446" w:rsidRPr="00E23446">
        <w:rPr>
          <w:sz w:val="20"/>
          <w:szCs w:val="20"/>
        </w:rPr>
        <w:t xml:space="preserve"> and I can give quick feedback using short comments or voice recordings.</w:t>
      </w:r>
      <w:r w:rsidR="004265A0">
        <w:rPr>
          <w:sz w:val="20"/>
          <w:szCs w:val="20"/>
        </w:rPr>
        <w:t xml:space="preserve"> According to </w:t>
      </w:r>
      <w:r w:rsidR="004265A0" w:rsidRPr="001B4E9F">
        <w:rPr>
          <w:sz w:val="20"/>
          <w:szCs w:val="20"/>
        </w:rPr>
        <w:t>(</w:t>
      </w:r>
      <w:proofErr w:type="spellStart"/>
      <w:r w:rsidR="004265A0" w:rsidRPr="001B4E9F">
        <w:rPr>
          <w:sz w:val="20"/>
          <w:szCs w:val="20"/>
        </w:rPr>
        <w:t>Hepplestone</w:t>
      </w:r>
      <w:proofErr w:type="spellEnd"/>
      <w:r w:rsidR="004265A0" w:rsidRPr="001B4E9F">
        <w:rPr>
          <w:sz w:val="20"/>
          <w:szCs w:val="20"/>
        </w:rPr>
        <w:t xml:space="preserve"> et al., 2011)</w:t>
      </w:r>
      <w:r w:rsidR="004265A0">
        <w:t xml:space="preserve"> </w:t>
      </w:r>
      <w:r w:rsidR="00BA7F2F" w:rsidRPr="00BA7F2F">
        <w:rPr>
          <w:sz w:val="20"/>
          <w:szCs w:val="20"/>
        </w:rPr>
        <w:t>using technology can make feedback quicker and more interesting for pupils</w:t>
      </w:r>
      <w:r w:rsidR="004265A0">
        <w:rPr>
          <w:sz w:val="20"/>
          <w:szCs w:val="20"/>
        </w:rPr>
        <w:t xml:space="preserve">. </w:t>
      </w:r>
    </w:p>
    <w:p w14:paraId="595227B1" w14:textId="5131D7E0" w:rsidR="0011406F" w:rsidRDefault="00BA7F2F" w:rsidP="00FD3382">
      <w:pPr>
        <w:pStyle w:val="Default"/>
        <w:rPr>
          <w:sz w:val="20"/>
          <w:szCs w:val="20"/>
        </w:rPr>
      </w:pPr>
      <w:r w:rsidRPr="00BA7F2F">
        <w:rPr>
          <w:sz w:val="20"/>
          <w:szCs w:val="20"/>
        </w:rPr>
        <w:t>.</w:t>
      </w:r>
      <w:r w:rsidR="000A0D41" w:rsidRPr="000A0D41">
        <w:t xml:space="preserve"> </w:t>
      </w:r>
    </w:p>
    <w:p w14:paraId="48019721" w14:textId="32E06761" w:rsidR="007570BB" w:rsidRDefault="007570BB" w:rsidP="00FD3382">
      <w:pPr>
        <w:pStyle w:val="Default"/>
        <w:rPr>
          <w:sz w:val="20"/>
          <w:szCs w:val="20"/>
        </w:rPr>
      </w:pPr>
      <w:r w:rsidRPr="007570BB">
        <w:rPr>
          <w:sz w:val="20"/>
          <w:szCs w:val="20"/>
        </w:rPr>
        <w:t xml:space="preserve">The school measures the success of this target using </w:t>
      </w:r>
      <w:r w:rsidR="00D347A5">
        <w:rPr>
          <w:sz w:val="20"/>
          <w:szCs w:val="20"/>
        </w:rPr>
        <w:t xml:space="preserve">different </w:t>
      </w:r>
      <w:r w:rsidRPr="007570BB">
        <w:rPr>
          <w:sz w:val="20"/>
          <w:szCs w:val="20"/>
        </w:rPr>
        <w:t xml:space="preserve">methods, including </w:t>
      </w:r>
      <w:r w:rsidR="00597420">
        <w:rPr>
          <w:sz w:val="20"/>
          <w:szCs w:val="20"/>
        </w:rPr>
        <w:t>monitoring books</w:t>
      </w:r>
      <w:r w:rsidRPr="007570BB">
        <w:rPr>
          <w:sz w:val="20"/>
          <w:szCs w:val="20"/>
        </w:rPr>
        <w:t>, pupil progress data, lesson observations and pupil surveys. Pupil voice is a key part of the process, in line with the Curriculum for Wales focus on learner agency</w:t>
      </w:r>
      <w:r w:rsidR="00C4681D">
        <w:rPr>
          <w:sz w:val="20"/>
          <w:szCs w:val="20"/>
        </w:rPr>
        <w:t xml:space="preserve"> </w:t>
      </w:r>
      <w:r w:rsidR="00C4681D" w:rsidRPr="00C4681D">
        <w:rPr>
          <w:sz w:val="20"/>
          <w:szCs w:val="20"/>
        </w:rPr>
        <w:t>(Welsh Government, 2024)</w:t>
      </w:r>
      <w:r w:rsidRPr="007570BB">
        <w:rPr>
          <w:sz w:val="20"/>
          <w:szCs w:val="20"/>
        </w:rPr>
        <w:t xml:space="preserve">. While there are signs of improvement, especially in pupil awareness of learning </w:t>
      </w:r>
      <w:r w:rsidR="00F54A8F">
        <w:rPr>
          <w:sz w:val="20"/>
          <w:szCs w:val="20"/>
        </w:rPr>
        <w:t>intentions</w:t>
      </w:r>
      <w:r w:rsidRPr="007570BB">
        <w:rPr>
          <w:sz w:val="20"/>
          <w:szCs w:val="20"/>
        </w:rPr>
        <w:t xml:space="preserve">, more work is needed to make sure good practice is consistent across the school. A next step could be </w:t>
      </w:r>
      <w:r w:rsidR="00576257">
        <w:rPr>
          <w:sz w:val="20"/>
          <w:szCs w:val="20"/>
        </w:rPr>
        <w:t>adjusting</w:t>
      </w:r>
      <w:r w:rsidRPr="007570BB">
        <w:rPr>
          <w:sz w:val="20"/>
          <w:szCs w:val="20"/>
        </w:rPr>
        <w:t xml:space="preserve"> feedback strategies to support all learners, including those with additional learning needs, by developing differentiated success criteria, offering scaffolded self-assessment tools</w:t>
      </w:r>
      <w:r w:rsidR="00F1106E">
        <w:rPr>
          <w:sz w:val="20"/>
          <w:szCs w:val="20"/>
        </w:rPr>
        <w:t xml:space="preserve">, </w:t>
      </w:r>
      <w:r w:rsidRPr="007570BB">
        <w:rPr>
          <w:sz w:val="20"/>
          <w:szCs w:val="20"/>
        </w:rPr>
        <w:t>such as sentence starters or visual checklists, and using pupil-friendly digital platforms that allow for voice notes or visual feedback, helping to make guidance more accessible and inclusive</w:t>
      </w:r>
      <w:r w:rsidR="00576257">
        <w:rPr>
          <w:sz w:val="20"/>
          <w:szCs w:val="20"/>
        </w:rPr>
        <w:t xml:space="preserve"> </w:t>
      </w:r>
      <w:r w:rsidR="00576257" w:rsidRPr="00576257">
        <w:rPr>
          <w:sz w:val="20"/>
          <w:szCs w:val="20"/>
        </w:rPr>
        <w:t>(UNESCO, 2017)</w:t>
      </w:r>
      <w:r w:rsidRPr="007570BB">
        <w:rPr>
          <w:sz w:val="20"/>
          <w:szCs w:val="20"/>
        </w:rPr>
        <w:t>.</w:t>
      </w:r>
    </w:p>
    <w:p w14:paraId="2F2D1372" w14:textId="77777777" w:rsidR="007570BB" w:rsidRDefault="007570BB" w:rsidP="00FD3382">
      <w:pPr>
        <w:pStyle w:val="Default"/>
        <w:rPr>
          <w:sz w:val="20"/>
          <w:szCs w:val="20"/>
        </w:rPr>
      </w:pPr>
    </w:p>
    <w:p w14:paraId="29B2C874" w14:textId="4CD384A5" w:rsidR="00FD3382" w:rsidRDefault="00FD3382" w:rsidP="00FD3382">
      <w:pPr>
        <w:pStyle w:val="Default"/>
        <w:rPr>
          <w:sz w:val="20"/>
          <w:szCs w:val="20"/>
        </w:rPr>
      </w:pPr>
      <w:r>
        <w:rPr>
          <w:b/>
          <w:bCs/>
          <w:sz w:val="20"/>
          <w:szCs w:val="20"/>
        </w:rPr>
        <w:t xml:space="preserve">Conclusion </w:t>
      </w:r>
    </w:p>
    <w:p w14:paraId="7CAED746" w14:textId="77777777" w:rsidR="001A0A4D" w:rsidRDefault="001A0A4D" w:rsidP="009A7449">
      <w:pPr>
        <w:rPr>
          <w:rFonts w:ascii="Arial" w:hAnsi="Arial" w:cs="Arial"/>
          <w:sz w:val="20"/>
          <w:szCs w:val="20"/>
        </w:rPr>
      </w:pPr>
    </w:p>
    <w:p w14:paraId="449A6405" w14:textId="67DD0C73" w:rsidR="009A7449" w:rsidRPr="003F064C" w:rsidRDefault="00F54A8F" w:rsidP="009A7449">
      <w:pPr>
        <w:rPr>
          <w:rFonts w:ascii="Arial" w:hAnsi="Arial" w:cs="Arial"/>
          <w:sz w:val="20"/>
          <w:szCs w:val="20"/>
        </w:rPr>
      </w:pPr>
      <w:r>
        <w:rPr>
          <w:rFonts w:ascii="Arial" w:hAnsi="Arial" w:cs="Arial"/>
          <w:sz w:val="20"/>
          <w:szCs w:val="20"/>
        </w:rPr>
        <w:t xml:space="preserve">In conclusion, this </w:t>
      </w:r>
      <w:r w:rsidR="003F064C" w:rsidRPr="003F064C">
        <w:rPr>
          <w:rFonts w:ascii="Arial" w:hAnsi="Arial" w:cs="Arial"/>
          <w:sz w:val="20"/>
          <w:szCs w:val="20"/>
        </w:rPr>
        <w:t xml:space="preserve">assignment explored how </w:t>
      </w:r>
      <w:r>
        <w:rPr>
          <w:rFonts w:ascii="Arial" w:hAnsi="Arial" w:cs="Arial"/>
          <w:sz w:val="20"/>
          <w:szCs w:val="20"/>
        </w:rPr>
        <w:t xml:space="preserve">School X </w:t>
      </w:r>
      <w:r w:rsidR="003F064C" w:rsidRPr="003F064C">
        <w:rPr>
          <w:rFonts w:ascii="Arial" w:hAnsi="Arial" w:cs="Arial"/>
          <w:sz w:val="20"/>
          <w:szCs w:val="20"/>
        </w:rPr>
        <w:t xml:space="preserve">is working to improve the quality and quantity of formative assessment and feedback. It looked at why the target was chosen, how the school is putting it into action, and how the impact is being checked. </w:t>
      </w:r>
      <w:r w:rsidR="0039509C" w:rsidRPr="0039509C">
        <w:rPr>
          <w:rFonts w:ascii="Arial" w:hAnsi="Arial" w:cs="Arial"/>
          <w:sz w:val="20"/>
          <w:szCs w:val="20"/>
        </w:rPr>
        <w:t xml:space="preserve">I now understand that using pupil feedback and lesson observations helps schools decide what changes to make and whether they are working. </w:t>
      </w:r>
      <w:r w:rsidR="003F064C" w:rsidRPr="003F064C">
        <w:rPr>
          <w:rFonts w:ascii="Arial" w:hAnsi="Arial" w:cs="Arial"/>
          <w:sz w:val="20"/>
          <w:szCs w:val="20"/>
        </w:rPr>
        <w:t xml:space="preserve">I have learned that school improvement is a continuous process, based on self-evaluation, listening to pupils, and working together as a school. </w:t>
      </w:r>
      <w:r w:rsidR="007C1399" w:rsidRPr="007C1399">
        <w:rPr>
          <w:rFonts w:ascii="Arial" w:hAnsi="Arial" w:cs="Arial"/>
          <w:sz w:val="20"/>
          <w:szCs w:val="20"/>
        </w:rPr>
        <w:t>Instead of following a fixed, step-by-step process, schools often need to reflect and adjust their plans over time</w:t>
      </w:r>
      <w:r w:rsidR="00701366">
        <w:rPr>
          <w:rFonts w:ascii="Arial" w:hAnsi="Arial" w:cs="Arial"/>
          <w:sz w:val="20"/>
          <w:szCs w:val="20"/>
        </w:rPr>
        <w:t xml:space="preserve"> </w:t>
      </w:r>
      <w:r w:rsidR="00701366" w:rsidRPr="00701366">
        <w:rPr>
          <w:rFonts w:ascii="Arial" w:hAnsi="Arial" w:cs="Arial"/>
          <w:sz w:val="20"/>
          <w:szCs w:val="20"/>
        </w:rPr>
        <w:t>(Chapman et al., 2013)</w:t>
      </w:r>
      <w:r w:rsidR="007C1399" w:rsidRPr="007C1399">
        <w:rPr>
          <w:rFonts w:ascii="Arial" w:hAnsi="Arial" w:cs="Arial"/>
          <w:sz w:val="20"/>
          <w:szCs w:val="20"/>
        </w:rPr>
        <w:t xml:space="preserve">. </w:t>
      </w:r>
      <w:r w:rsidR="007C1399" w:rsidRPr="00701366">
        <w:rPr>
          <w:rFonts w:ascii="Arial" w:hAnsi="Arial" w:cs="Arial"/>
          <w:sz w:val="20"/>
          <w:szCs w:val="20"/>
        </w:rPr>
        <w:t>This cyclical approach helps ensure that teaching and learning meet the ongoing needs of all learners</w:t>
      </w:r>
      <w:r w:rsidR="00DE34F0">
        <w:rPr>
          <w:rFonts w:ascii="Arial" w:hAnsi="Arial" w:cs="Arial"/>
          <w:sz w:val="20"/>
          <w:szCs w:val="20"/>
        </w:rPr>
        <w:t xml:space="preserve"> </w:t>
      </w:r>
      <w:r w:rsidR="00DE34F0" w:rsidRPr="00DE34F0">
        <w:rPr>
          <w:rFonts w:ascii="Arial" w:hAnsi="Arial" w:cs="Arial"/>
          <w:sz w:val="20"/>
          <w:szCs w:val="20"/>
        </w:rPr>
        <w:t>(Pollock, 2008)</w:t>
      </w:r>
      <w:r w:rsidR="007C1399" w:rsidRPr="00701366">
        <w:rPr>
          <w:rFonts w:ascii="Arial" w:hAnsi="Arial" w:cs="Arial"/>
          <w:sz w:val="20"/>
          <w:szCs w:val="20"/>
        </w:rPr>
        <w:t>.</w:t>
      </w:r>
      <w:r w:rsidR="008A0AE8" w:rsidRPr="00701366">
        <w:rPr>
          <w:rFonts w:ascii="Arial" w:hAnsi="Arial" w:cs="Arial"/>
          <w:sz w:val="20"/>
          <w:szCs w:val="20"/>
        </w:rPr>
        <w:t xml:space="preserve"> </w:t>
      </w:r>
      <w:r w:rsidR="003F064C" w:rsidRPr="003F064C">
        <w:rPr>
          <w:rFonts w:ascii="Arial" w:hAnsi="Arial" w:cs="Arial"/>
          <w:sz w:val="20"/>
          <w:szCs w:val="20"/>
        </w:rPr>
        <w:t>This experience has shown me how I can support school priorities through my own teaching, especially by using clear success criteria and feedback that helps learners move forward</w:t>
      </w:r>
      <w:r>
        <w:rPr>
          <w:rFonts w:ascii="Arial" w:hAnsi="Arial" w:cs="Arial"/>
          <w:sz w:val="20"/>
          <w:szCs w:val="20"/>
        </w:rPr>
        <w:t xml:space="preserve"> and progress</w:t>
      </w:r>
      <w:r w:rsidR="003F064C" w:rsidRPr="003F064C">
        <w:rPr>
          <w:rFonts w:ascii="Arial" w:hAnsi="Arial" w:cs="Arial"/>
          <w:sz w:val="20"/>
          <w:szCs w:val="20"/>
        </w:rPr>
        <w:t xml:space="preserve">. It has also helped me become more reflective in my </w:t>
      </w:r>
      <w:r w:rsidRPr="003F064C">
        <w:rPr>
          <w:rFonts w:ascii="Arial" w:hAnsi="Arial" w:cs="Arial"/>
          <w:sz w:val="20"/>
          <w:szCs w:val="20"/>
        </w:rPr>
        <w:t>practice and</w:t>
      </w:r>
      <w:r w:rsidR="003F064C" w:rsidRPr="003F064C">
        <w:rPr>
          <w:rFonts w:ascii="Arial" w:hAnsi="Arial" w:cs="Arial"/>
          <w:sz w:val="20"/>
          <w:szCs w:val="20"/>
        </w:rPr>
        <w:t xml:space="preserve"> supports my progress towards the Professional Standards in areas such as pedagogy, working with others, and helping </w:t>
      </w:r>
      <w:r>
        <w:rPr>
          <w:rFonts w:ascii="Arial" w:hAnsi="Arial" w:cs="Arial"/>
          <w:sz w:val="20"/>
          <w:szCs w:val="20"/>
        </w:rPr>
        <w:t>pupils</w:t>
      </w:r>
      <w:r w:rsidR="003F064C" w:rsidRPr="003F064C">
        <w:rPr>
          <w:rFonts w:ascii="Arial" w:hAnsi="Arial" w:cs="Arial"/>
          <w:sz w:val="20"/>
          <w:szCs w:val="20"/>
        </w:rPr>
        <w:t xml:space="preserve"> achieve their best.</w:t>
      </w:r>
    </w:p>
    <w:p w14:paraId="51FAEA4F" w14:textId="77777777" w:rsidR="009A7449" w:rsidRDefault="009A7449" w:rsidP="009A7449">
      <w:pPr>
        <w:rPr>
          <w:rFonts w:ascii="Arial" w:hAnsi="Arial" w:cs="Arial"/>
          <w:b/>
          <w:bCs/>
          <w:sz w:val="20"/>
          <w:szCs w:val="20"/>
        </w:rPr>
      </w:pPr>
    </w:p>
    <w:p w14:paraId="58B8D473" w14:textId="41CDF00A" w:rsidR="00496D9E" w:rsidRDefault="00C063CC">
      <w:pPr>
        <w:rPr>
          <w:rFonts w:ascii="Arial" w:hAnsi="Arial" w:cs="Arial"/>
          <w:b/>
          <w:bCs/>
          <w:sz w:val="20"/>
          <w:szCs w:val="20"/>
        </w:rPr>
      </w:pPr>
      <w:r>
        <w:rPr>
          <w:rFonts w:ascii="Arial" w:hAnsi="Arial" w:cs="Arial"/>
          <w:b/>
          <w:bCs/>
          <w:sz w:val="20"/>
          <w:szCs w:val="20"/>
        </w:rPr>
        <w:t xml:space="preserve">References </w:t>
      </w:r>
    </w:p>
    <w:p w14:paraId="5410E847" w14:textId="77777777" w:rsidR="00383EF2" w:rsidRPr="00496D9E" w:rsidRDefault="00383EF2">
      <w:pPr>
        <w:rPr>
          <w:rFonts w:ascii="Arial" w:hAnsi="Arial" w:cs="Arial"/>
          <w:b/>
          <w:bCs/>
          <w:sz w:val="20"/>
          <w:szCs w:val="20"/>
        </w:rPr>
      </w:pPr>
    </w:p>
    <w:p w14:paraId="1E478F67" w14:textId="5F2893EE" w:rsidR="0068785A" w:rsidRPr="008C6B67" w:rsidRDefault="008C6B67" w:rsidP="008C6B67">
      <w:pPr>
        <w:rPr>
          <w:rFonts w:ascii="Arial" w:hAnsi="Arial" w:cs="Arial"/>
          <w:i/>
          <w:sz w:val="20"/>
          <w:szCs w:val="20"/>
        </w:rPr>
      </w:pPr>
      <w:r w:rsidRPr="008C6B67">
        <w:rPr>
          <w:rFonts w:ascii="Arial" w:hAnsi="Arial" w:cs="Arial"/>
          <w:i/>
          <w:sz w:val="20"/>
          <w:szCs w:val="20"/>
        </w:rPr>
        <w:t xml:space="preserve">Andersson, C. and Palm, T. (2018). Reasons for teachers’ successful development of a formative assessment practice through professional development – a motivation perspective. </w:t>
      </w:r>
      <w:r w:rsidRPr="008C6B67">
        <w:rPr>
          <w:rFonts w:ascii="Arial" w:hAnsi="Arial" w:cs="Arial"/>
          <w:i/>
          <w:iCs/>
          <w:sz w:val="20"/>
          <w:szCs w:val="20"/>
        </w:rPr>
        <w:t>Assessment in Education: Principles, Policy &amp; Practice</w:t>
      </w:r>
      <w:r w:rsidRPr="008C6B67">
        <w:rPr>
          <w:rFonts w:ascii="Arial" w:hAnsi="Arial" w:cs="Arial"/>
          <w:i/>
          <w:sz w:val="20"/>
          <w:szCs w:val="20"/>
        </w:rPr>
        <w:t xml:space="preserve">, 25(6), pp.576–597. </w:t>
      </w:r>
      <w:proofErr w:type="spellStart"/>
      <w:r w:rsidR="0068785A" w:rsidRPr="008C6B67">
        <w:rPr>
          <w:rFonts w:ascii="Arial" w:hAnsi="Arial" w:cs="Arial"/>
          <w:i/>
          <w:sz w:val="20"/>
          <w:szCs w:val="20"/>
        </w:rPr>
        <w:t>doi</w:t>
      </w:r>
      <w:proofErr w:type="spellEnd"/>
      <w:r w:rsidR="0068785A" w:rsidRPr="008C6B67">
        <w:rPr>
          <w:rFonts w:ascii="Arial" w:hAnsi="Arial" w:cs="Arial"/>
          <w:i/>
          <w:sz w:val="20"/>
          <w:szCs w:val="20"/>
        </w:rPr>
        <w:t xml:space="preserve">: </w:t>
      </w:r>
      <w:hyperlink r:id="rId8" w:history="1">
        <w:r w:rsidR="003B3D59" w:rsidRPr="004E6667">
          <w:rPr>
            <w:rStyle w:val="Hyperlink"/>
            <w:rFonts w:ascii="Arial" w:hAnsi="Arial" w:cs="Arial"/>
            <w:i/>
            <w:sz w:val="20"/>
            <w:szCs w:val="20"/>
          </w:rPr>
          <w:t>https://doi.org/10.1080/0969594x.2018.1430685</w:t>
        </w:r>
      </w:hyperlink>
      <w:r w:rsidRPr="008C6B67">
        <w:rPr>
          <w:rFonts w:ascii="Arial" w:hAnsi="Arial" w:cs="Arial"/>
          <w:i/>
          <w:sz w:val="20"/>
          <w:szCs w:val="20"/>
        </w:rPr>
        <w:t>.</w:t>
      </w:r>
    </w:p>
    <w:p w14:paraId="63817529" w14:textId="42E5BA37" w:rsidR="0068785A" w:rsidRPr="008C6B67" w:rsidRDefault="008C6B67" w:rsidP="008C6B67">
      <w:pPr>
        <w:rPr>
          <w:rFonts w:ascii="Arial" w:hAnsi="Arial" w:cs="Arial"/>
          <w:i/>
          <w:sz w:val="20"/>
          <w:szCs w:val="20"/>
        </w:rPr>
      </w:pPr>
      <w:r w:rsidRPr="008C6B67">
        <w:rPr>
          <w:rFonts w:ascii="Arial" w:hAnsi="Arial" w:cs="Arial"/>
          <w:i/>
          <w:sz w:val="20"/>
          <w:szCs w:val="20"/>
        </w:rPr>
        <w:t xml:space="preserve">BLACK, P. and WILIAM, D. (2005). The Formative Purpose: Assessment Must First Promote Learning. </w:t>
      </w:r>
      <w:r w:rsidRPr="008C6B67">
        <w:rPr>
          <w:rFonts w:ascii="Arial" w:hAnsi="Arial" w:cs="Arial"/>
          <w:i/>
          <w:iCs/>
          <w:sz w:val="20"/>
          <w:szCs w:val="20"/>
        </w:rPr>
        <w:t>Yearbook of the National Society for the Study of Education</w:t>
      </w:r>
      <w:r w:rsidRPr="008C6B67">
        <w:rPr>
          <w:rFonts w:ascii="Arial" w:hAnsi="Arial" w:cs="Arial"/>
          <w:i/>
          <w:sz w:val="20"/>
          <w:szCs w:val="20"/>
        </w:rPr>
        <w:t xml:space="preserve">, 103(2), pp.20–50. </w:t>
      </w:r>
      <w:proofErr w:type="spellStart"/>
      <w:r w:rsidR="009C6327" w:rsidRPr="008C6B67">
        <w:rPr>
          <w:rFonts w:ascii="Arial" w:hAnsi="Arial" w:cs="Arial"/>
          <w:i/>
          <w:sz w:val="20"/>
          <w:szCs w:val="20"/>
        </w:rPr>
        <w:t>doi</w:t>
      </w:r>
      <w:proofErr w:type="spellEnd"/>
      <w:r w:rsidR="009C6327" w:rsidRPr="008C6B67">
        <w:rPr>
          <w:rFonts w:ascii="Arial" w:hAnsi="Arial" w:cs="Arial"/>
          <w:i/>
          <w:sz w:val="20"/>
          <w:szCs w:val="20"/>
        </w:rPr>
        <w:t xml:space="preserve">: </w:t>
      </w:r>
      <w:hyperlink r:id="rId9" w:history="1">
        <w:r w:rsidR="0068785A" w:rsidRPr="004E6667">
          <w:rPr>
            <w:rStyle w:val="Hyperlink"/>
            <w:rFonts w:ascii="Arial" w:hAnsi="Arial" w:cs="Arial"/>
            <w:i/>
            <w:sz w:val="20"/>
            <w:szCs w:val="20"/>
          </w:rPr>
          <w:t>https://doi.org/10.1111/j.1744-7984.2004.tb00047.x</w:t>
        </w:r>
      </w:hyperlink>
      <w:r w:rsidRPr="008C6B67">
        <w:rPr>
          <w:rFonts w:ascii="Arial" w:hAnsi="Arial" w:cs="Arial"/>
          <w:i/>
          <w:sz w:val="20"/>
          <w:szCs w:val="20"/>
        </w:rPr>
        <w:t>.</w:t>
      </w:r>
    </w:p>
    <w:p w14:paraId="61D198CD" w14:textId="683C2816" w:rsidR="003B3D59" w:rsidRPr="008C6B67" w:rsidRDefault="008C6B67" w:rsidP="008C6B67">
      <w:pPr>
        <w:rPr>
          <w:rFonts w:ascii="Arial" w:hAnsi="Arial" w:cs="Arial"/>
          <w:i/>
          <w:sz w:val="20"/>
          <w:szCs w:val="20"/>
        </w:rPr>
      </w:pPr>
      <w:r w:rsidRPr="008C6B67">
        <w:rPr>
          <w:rFonts w:ascii="Arial" w:hAnsi="Arial" w:cs="Arial"/>
          <w:i/>
          <w:sz w:val="20"/>
          <w:szCs w:val="20"/>
        </w:rPr>
        <w:t xml:space="preserve">Black, P. and Wiliam, D. (2009). Developing the Theory of Formative Assessment. </w:t>
      </w:r>
      <w:r w:rsidRPr="008C6B67">
        <w:rPr>
          <w:rFonts w:ascii="Arial" w:hAnsi="Arial" w:cs="Arial"/>
          <w:i/>
          <w:iCs/>
          <w:sz w:val="20"/>
          <w:szCs w:val="20"/>
        </w:rPr>
        <w:t>Educational Assessment, Evaluation and Accountability</w:t>
      </w:r>
      <w:r w:rsidRPr="008C6B67">
        <w:rPr>
          <w:rFonts w:ascii="Arial" w:hAnsi="Arial" w:cs="Arial"/>
          <w:i/>
          <w:sz w:val="20"/>
          <w:szCs w:val="20"/>
        </w:rPr>
        <w:t xml:space="preserve">, [online] 21(1), pp.5–31. Available </w:t>
      </w:r>
      <w:proofErr w:type="spellStart"/>
      <w:r w:rsidRPr="008C6B67">
        <w:rPr>
          <w:rFonts w:ascii="Arial" w:hAnsi="Arial" w:cs="Arial"/>
          <w:i/>
          <w:sz w:val="20"/>
          <w:szCs w:val="20"/>
        </w:rPr>
        <w:t>at:</w:t>
      </w:r>
      <w:hyperlink r:id="rId10" w:history="1">
        <w:r w:rsidR="003B3D59" w:rsidRPr="008C6B67">
          <w:rPr>
            <w:rStyle w:val="Hyperlink"/>
            <w:rFonts w:ascii="Arial" w:hAnsi="Arial" w:cs="Arial"/>
            <w:i/>
            <w:sz w:val="20"/>
            <w:szCs w:val="20"/>
          </w:rPr>
          <w:t>https</w:t>
        </w:r>
        <w:proofErr w:type="spellEnd"/>
        <w:r w:rsidR="003B3D59" w:rsidRPr="008C6B67">
          <w:rPr>
            <w:rStyle w:val="Hyperlink"/>
            <w:rFonts w:ascii="Arial" w:hAnsi="Arial" w:cs="Arial"/>
            <w:i/>
            <w:sz w:val="20"/>
            <w:szCs w:val="20"/>
          </w:rPr>
          <w:t>://link.springer.com/article/10.1007/s11092-008-9068-5</w:t>
        </w:r>
      </w:hyperlink>
      <w:r w:rsidR="003B3D59">
        <w:rPr>
          <w:rFonts w:ascii="Arial" w:hAnsi="Arial" w:cs="Arial"/>
          <w:i/>
          <w:sz w:val="20"/>
          <w:szCs w:val="20"/>
        </w:rPr>
        <w:t>.</w:t>
      </w:r>
    </w:p>
    <w:p w14:paraId="55A89DF8"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Black, P. and Wiliam, D. (2018). </w:t>
      </w:r>
      <w:r w:rsidRPr="008C6B67">
        <w:rPr>
          <w:rFonts w:ascii="Arial" w:hAnsi="Arial" w:cs="Arial"/>
          <w:i/>
          <w:iCs/>
          <w:sz w:val="20"/>
          <w:szCs w:val="20"/>
        </w:rPr>
        <w:t>Inside the black box: Raising standards through classroom assessment</w:t>
      </w:r>
      <w:r w:rsidRPr="008C6B67">
        <w:rPr>
          <w:rFonts w:ascii="Arial" w:hAnsi="Arial" w:cs="Arial"/>
          <w:i/>
          <w:sz w:val="20"/>
          <w:szCs w:val="20"/>
        </w:rPr>
        <w:t>. London: GL Assessment.</w:t>
      </w:r>
    </w:p>
    <w:p w14:paraId="40C10930"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Booth, T., Masterson, M., Potts, P. and Swann, W. (2013). </w:t>
      </w:r>
      <w:r w:rsidRPr="008C6B67">
        <w:rPr>
          <w:rFonts w:ascii="Arial" w:hAnsi="Arial" w:cs="Arial"/>
          <w:i/>
          <w:iCs/>
          <w:sz w:val="20"/>
          <w:szCs w:val="20"/>
        </w:rPr>
        <w:t>Policies for Diversity in Education</w:t>
      </w:r>
      <w:r w:rsidRPr="008C6B67">
        <w:rPr>
          <w:rFonts w:ascii="Arial" w:hAnsi="Arial" w:cs="Arial"/>
          <w:i/>
          <w:sz w:val="20"/>
          <w:szCs w:val="20"/>
        </w:rPr>
        <w:t>. Routledge.</w:t>
      </w:r>
    </w:p>
    <w:p w14:paraId="488A44F6" w14:textId="4D47B475" w:rsidR="008C6B67" w:rsidRPr="00496D9E" w:rsidRDefault="008C6B67" w:rsidP="009A7449">
      <w:pPr>
        <w:rPr>
          <w:rFonts w:ascii="Arial" w:hAnsi="Arial" w:cs="Arial"/>
          <w:i/>
          <w:sz w:val="20"/>
          <w:szCs w:val="20"/>
        </w:rPr>
      </w:pPr>
      <w:r w:rsidRPr="00496D9E">
        <w:rPr>
          <w:rFonts w:ascii="Arial" w:hAnsi="Arial" w:cs="Arial"/>
          <w:i/>
          <w:sz w:val="20"/>
          <w:szCs w:val="20"/>
        </w:rPr>
        <w:t xml:space="preserve">British Educational Research Association (BERA) (2024) Ethical </w:t>
      </w:r>
      <w:proofErr w:type="spellStart"/>
      <w:r w:rsidRPr="00496D9E">
        <w:rPr>
          <w:rFonts w:ascii="Arial" w:hAnsi="Arial" w:cs="Arial"/>
          <w:i/>
          <w:sz w:val="20"/>
          <w:szCs w:val="20"/>
        </w:rPr>
        <w:t>guildlines</w:t>
      </w:r>
      <w:proofErr w:type="spellEnd"/>
      <w:r w:rsidRPr="00496D9E">
        <w:rPr>
          <w:rFonts w:ascii="Arial" w:hAnsi="Arial" w:cs="Arial"/>
          <w:i/>
          <w:sz w:val="20"/>
          <w:szCs w:val="20"/>
        </w:rPr>
        <w:t xml:space="preserve"> for educational research 5</w:t>
      </w:r>
      <w:r w:rsidRPr="00496D9E">
        <w:rPr>
          <w:rFonts w:ascii="Arial" w:hAnsi="Arial" w:cs="Arial"/>
          <w:i/>
          <w:sz w:val="20"/>
          <w:szCs w:val="20"/>
          <w:vertAlign w:val="superscript"/>
        </w:rPr>
        <w:t>th</w:t>
      </w:r>
      <w:r w:rsidRPr="00496D9E">
        <w:rPr>
          <w:rFonts w:ascii="Arial" w:hAnsi="Arial" w:cs="Arial"/>
          <w:i/>
          <w:sz w:val="20"/>
          <w:szCs w:val="20"/>
        </w:rPr>
        <w:t xml:space="preserve"> edition. Available at: </w:t>
      </w:r>
      <w:hyperlink r:id="rId11" w:history="1">
        <w:r w:rsidRPr="00496D9E">
          <w:rPr>
            <w:rStyle w:val="Hyperlink"/>
            <w:rFonts w:ascii="Arial" w:hAnsi="Arial" w:cs="Arial"/>
            <w:i/>
            <w:sz w:val="20"/>
            <w:szCs w:val="20"/>
          </w:rPr>
          <w:t>Ethical Guidelines for Educational Research, fifth edition (2024) | BERA</w:t>
        </w:r>
      </w:hyperlink>
      <w:r w:rsidRPr="00496D9E">
        <w:rPr>
          <w:rFonts w:ascii="Arial" w:hAnsi="Arial" w:cs="Arial"/>
          <w:i/>
          <w:sz w:val="20"/>
          <w:szCs w:val="20"/>
        </w:rPr>
        <w:t xml:space="preserve">(Assessed: </w:t>
      </w:r>
      <w:r w:rsidR="00FC7695">
        <w:rPr>
          <w:rFonts w:ascii="Arial" w:hAnsi="Arial" w:cs="Arial"/>
          <w:i/>
          <w:sz w:val="20"/>
          <w:szCs w:val="20"/>
        </w:rPr>
        <w:t>22 April</w:t>
      </w:r>
      <w:r w:rsidRPr="00496D9E">
        <w:rPr>
          <w:rFonts w:ascii="Arial" w:hAnsi="Arial" w:cs="Arial"/>
          <w:i/>
          <w:sz w:val="20"/>
          <w:szCs w:val="20"/>
        </w:rPr>
        <w:t xml:space="preserve"> 202</w:t>
      </w:r>
      <w:r w:rsidR="00FC7695">
        <w:rPr>
          <w:rFonts w:ascii="Arial" w:hAnsi="Arial" w:cs="Arial"/>
          <w:i/>
          <w:sz w:val="20"/>
          <w:szCs w:val="20"/>
        </w:rPr>
        <w:t>5</w:t>
      </w:r>
      <w:r w:rsidRPr="00496D9E">
        <w:rPr>
          <w:rFonts w:ascii="Arial" w:hAnsi="Arial" w:cs="Arial"/>
          <w:i/>
          <w:sz w:val="20"/>
          <w:szCs w:val="20"/>
        </w:rPr>
        <w:t>)</w:t>
      </w:r>
    </w:p>
    <w:p w14:paraId="7B8478FD"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Chapman, C., Sammons, P., </w:t>
      </w:r>
      <w:proofErr w:type="spellStart"/>
      <w:r w:rsidRPr="008C6B67">
        <w:rPr>
          <w:rFonts w:ascii="Arial" w:hAnsi="Arial" w:cs="Arial"/>
          <w:i/>
          <w:sz w:val="20"/>
          <w:szCs w:val="20"/>
        </w:rPr>
        <w:t>Cfbt</w:t>
      </w:r>
      <w:proofErr w:type="spellEnd"/>
      <w:r w:rsidRPr="008C6B67">
        <w:rPr>
          <w:rFonts w:ascii="Arial" w:hAnsi="Arial" w:cs="Arial"/>
          <w:i/>
          <w:sz w:val="20"/>
          <w:szCs w:val="20"/>
        </w:rPr>
        <w:t xml:space="preserve"> Education Trust (Great Britain, University Of Oxford (England), Department Of Education and University Of Glasgow (Great Britain (2013). </w:t>
      </w:r>
      <w:r w:rsidRPr="008C6B67">
        <w:rPr>
          <w:rFonts w:ascii="Arial" w:hAnsi="Arial" w:cs="Arial"/>
          <w:i/>
          <w:iCs/>
          <w:sz w:val="20"/>
          <w:szCs w:val="20"/>
        </w:rPr>
        <w:t>School Self-Evaluation for School Improvement : What Works and Why?</w:t>
      </w:r>
      <w:r w:rsidRPr="008C6B67">
        <w:rPr>
          <w:rFonts w:ascii="Arial" w:hAnsi="Arial" w:cs="Arial"/>
          <w:i/>
          <w:sz w:val="20"/>
          <w:szCs w:val="20"/>
        </w:rPr>
        <w:t xml:space="preserve"> Distributed by Eric Clearinghouse.</w:t>
      </w:r>
    </w:p>
    <w:p w14:paraId="678018EB" w14:textId="2EC1BC0A" w:rsidR="003B3D59" w:rsidRPr="008C6B67" w:rsidRDefault="008C6B67" w:rsidP="008C6B67">
      <w:pPr>
        <w:rPr>
          <w:rFonts w:ascii="Arial" w:hAnsi="Arial" w:cs="Arial"/>
          <w:i/>
          <w:sz w:val="20"/>
          <w:szCs w:val="20"/>
        </w:rPr>
      </w:pPr>
      <w:r w:rsidRPr="008C6B67">
        <w:rPr>
          <w:rFonts w:ascii="Arial" w:hAnsi="Arial" w:cs="Arial"/>
          <w:i/>
          <w:sz w:val="20"/>
          <w:szCs w:val="20"/>
        </w:rPr>
        <w:t xml:space="preserve">Clark, I. (2012). Formative Assessment: Assessment Is for Self-regulated Learning. </w:t>
      </w:r>
      <w:r w:rsidRPr="008C6B67">
        <w:rPr>
          <w:rFonts w:ascii="Arial" w:hAnsi="Arial" w:cs="Arial"/>
          <w:i/>
          <w:iCs/>
          <w:sz w:val="20"/>
          <w:szCs w:val="20"/>
        </w:rPr>
        <w:t>Educational Psychology Review</w:t>
      </w:r>
      <w:r w:rsidRPr="008C6B67">
        <w:rPr>
          <w:rFonts w:ascii="Arial" w:hAnsi="Arial" w:cs="Arial"/>
          <w:i/>
          <w:sz w:val="20"/>
          <w:szCs w:val="20"/>
        </w:rPr>
        <w:t xml:space="preserve">, [online] 24(2), pp.205–249. </w:t>
      </w:r>
      <w:proofErr w:type="spellStart"/>
      <w:r w:rsidR="003B3D59" w:rsidRPr="008C6B67">
        <w:rPr>
          <w:rFonts w:ascii="Arial" w:hAnsi="Arial" w:cs="Arial"/>
          <w:i/>
          <w:sz w:val="20"/>
          <w:szCs w:val="20"/>
        </w:rPr>
        <w:t>doi</w:t>
      </w:r>
      <w:proofErr w:type="spellEnd"/>
      <w:r w:rsidR="003B3D59" w:rsidRPr="008C6B67">
        <w:rPr>
          <w:rFonts w:ascii="Arial" w:hAnsi="Arial" w:cs="Arial"/>
          <w:i/>
          <w:sz w:val="20"/>
          <w:szCs w:val="20"/>
        </w:rPr>
        <w:t xml:space="preserve">: </w:t>
      </w:r>
      <w:hyperlink r:id="rId12" w:history="1">
        <w:r w:rsidR="003B3D59" w:rsidRPr="004E6667">
          <w:rPr>
            <w:rStyle w:val="Hyperlink"/>
            <w:rFonts w:ascii="Arial" w:hAnsi="Arial" w:cs="Arial"/>
            <w:i/>
            <w:sz w:val="20"/>
            <w:szCs w:val="20"/>
          </w:rPr>
          <w:t>https://doi.org/10.1007/s10648-011-9191-6</w:t>
        </w:r>
      </w:hyperlink>
      <w:r w:rsidRPr="008C6B67">
        <w:rPr>
          <w:rFonts w:ascii="Arial" w:hAnsi="Arial" w:cs="Arial"/>
          <w:i/>
          <w:sz w:val="20"/>
          <w:szCs w:val="20"/>
        </w:rPr>
        <w:t>.</w:t>
      </w:r>
    </w:p>
    <w:p w14:paraId="5C19F685"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Clarke, S. (2014). </w:t>
      </w:r>
      <w:r w:rsidRPr="008C6B67">
        <w:rPr>
          <w:rFonts w:ascii="Arial" w:hAnsi="Arial" w:cs="Arial"/>
          <w:i/>
          <w:iCs/>
          <w:sz w:val="20"/>
          <w:szCs w:val="20"/>
        </w:rPr>
        <w:t>Outstanding Formative Assessment: Culture and Practice</w:t>
      </w:r>
      <w:r w:rsidRPr="008C6B67">
        <w:rPr>
          <w:rFonts w:ascii="Arial" w:hAnsi="Arial" w:cs="Arial"/>
          <w:i/>
          <w:sz w:val="20"/>
          <w:szCs w:val="20"/>
        </w:rPr>
        <w:t>. London: Hodder Education.</w:t>
      </w:r>
    </w:p>
    <w:p w14:paraId="76AE2B99" w14:textId="048E956B" w:rsidR="0068785A" w:rsidRPr="008C6B67" w:rsidRDefault="008C6B67" w:rsidP="008C6B67">
      <w:pPr>
        <w:rPr>
          <w:rFonts w:ascii="Arial" w:hAnsi="Arial" w:cs="Arial"/>
          <w:i/>
          <w:sz w:val="20"/>
          <w:szCs w:val="20"/>
        </w:rPr>
      </w:pPr>
      <w:r w:rsidRPr="008C6B67">
        <w:rPr>
          <w:rFonts w:ascii="Arial" w:hAnsi="Arial" w:cs="Arial"/>
          <w:i/>
          <w:sz w:val="20"/>
          <w:szCs w:val="20"/>
        </w:rPr>
        <w:t xml:space="preserve">ESTYN (2022). </w:t>
      </w:r>
      <w:r w:rsidRPr="008C6B67">
        <w:rPr>
          <w:rFonts w:ascii="Arial" w:hAnsi="Arial" w:cs="Arial"/>
          <w:i/>
          <w:iCs/>
          <w:sz w:val="20"/>
          <w:szCs w:val="20"/>
        </w:rPr>
        <w:t>Effective Approaches to Assessment That Improve Teaching and Learning</w:t>
      </w:r>
      <w:r w:rsidRPr="008C6B67">
        <w:rPr>
          <w:rFonts w:ascii="Arial" w:hAnsi="Arial" w:cs="Arial"/>
          <w:i/>
          <w:sz w:val="20"/>
          <w:szCs w:val="20"/>
        </w:rPr>
        <w:t xml:space="preserve">. [online] Available at: </w:t>
      </w:r>
      <w:hyperlink r:id="rId13" w:history="1">
        <w:r w:rsidR="0068785A" w:rsidRPr="008C6B67">
          <w:rPr>
            <w:rStyle w:val="Hyperlink"/>
            <w:rFonts w:ascii="Arial" w:hAnsi="Arial" w:cs="Arial"/>
            <w:i/>
            <w:sz w:val="20"/>
            <w:szCs w:val="20"/>
          </w:rPr>
          <w:t>https://www.estyn.llyw.cymru/system/files/2022-10/Effective%20approaches%20to%20assessment%20that%20improve%20teaching%20and%20learning.pdf</w:t>
        </w:r>
      </w:hyperlink>
      <w:r w:rsidR="0068785A">
        <w:rPr>
          <w:rFonts w:ascii="Arial" w:hAnsi="Arial" w:cs="Arial"/>
          <w:i/>
          <w:sz w:val="20"/>
          <w:szCs w:val="20"/>
        </w:rPr>
        <w:t xml:space="preserve"> </w:t>
      </w:r>
      <w:r w:rsidRPr="008C6B67">
        <w:rPr>
          <w:rFonts w:ascii="Arial" w:hAnsi="Arial" w:cs="Arial"/>
          <w:i/>
          <w:sz w:val="20"/>
          <w:szCs w:val="20"/>
        </w:rPr>
        <w:t xml:space="preserve"> [Accessed 22 Apr. 2025].</w:t>
      </w:r>
    </w:p>
    <w:p w14:paraId="05506391" w14:textId="1C2CFFF3" w:rsidR="0068785A" w:rsidRDefault="008C6B67" w:rsidP="008C6B67">
      <w:pPr>
        <w:rPr>
          <w:rFonts w:ascii="Arial" w:hAnsi="Arial" w:cs="Arial"/>
          <w:i/>
          <w:sz w:val="20"/>
          <w:szCs w:val="20"/>
        </w:rPr>
      </w:pPr>
      <w:r w:rsidRPr="008C6B67">
        <w:rPr>
          <w:rFonts w:ascii="Arial" w:hAnsi="Arial" w:cs="Arial"/>
          <w:i/>
          <w:sz w:val="20"/>
          <w:szCs w:val="20"/>
        </w:rPr>
        <w:lastRenderedPageBreak/>
        <w:t xml:space="preserve">ESTYN (2024). </w:t>
      </w:r>
      <w:r w:rsidRPr="008C6B67">
        <w:rPr>
          <w:rFonts w:ascii="Arial" w:hAnsi="Arial" w:cs="Arial"/>
          <w:i/>
          <w:iCs/>
          <w:sz w:val="20"/>
          <w:szCs w:val="20"/>
        </w:rPr>
        <w:t>Effective Approaches to Assessment That Improve Teaching and Learning - Estyn</w:t>
      </w:r>
      <w:r w:rsidRPr="008C6B67">
        <w:rPr>
          <w:rFonts w:ascii="Arial" w:hAnsi="Arial" w:cs="Arial"/>
          <w:i/>
          <w:sz w:val="20"/>
          <w:szCs w:val="20"/>
        </w:rPr>
        <w:t xml:space="preserve">. [online] Estyn. Available at: </w:t>
      </w:r>
      <w:hyperlink r:id="rId14" w:history="1">
        <w:r w:rsidR="0068785A" w:rsidRPr="008C6B67">
          <w:rPr>
            <w:rStyle w:val="Hyperlink"/>
            <w:rFonts w:ascii="Arial" w:hAnsi="Arial" w:cs="Arial"/>
            <w:i/>
            <w:sz w:val="20"/>
            <w:szCs w:val="20"/>
          </w:rPr>
          <w:t>https://estyn.gov.wales/improvement-resources/effective-approaches-to-assessment-that-improve-teaching-and-learning/</w:t>
        </w:r>
      </w:hyperlink>
      <w:r w:rsidR="0068785A">
        <w:rPr>
          <w:rFonts w:ascii="Arial" w:hAnsi="Arial" w:cs="Arial"/>
          <w:i/>
          <w:sz w:val="20"/>
          <w:szCs w:val="20"/>
        </w:rPr>
        <w:t>.</w:t>
      </w:r>
    </w:p>
    <w:p w14:paraId="299B0C3E" w14:textId="77777777" w:rsidR="0068785A" w:rsidRPr="008C6B67" w:rsidRDefault="0068785A" w:rsidP="008C6B67">
      <w:pPr>
        <w:rPr>
          <w:rFonts w:ascii="Arial" w:hAnsi="Arial" w:cs="Arial"/>
          <w:i/>
          <w:sz w:val="20"/>
          <w:szCs w:val="20"/>
        </w:rPr>
      </w:pPr>
    </w:p>
    <w:p w14:paraId="332D8E4F" w14:textId="27D8BB46" w:rsidR="003B3D59" w:rsidRPr="008C6B67" w:rsidRDefault="008C6B67" w:rsidP="008C6B67">
      <w:pPr>
        <w:rPr>
          <w:rFonts w:ascii="Arial" w:hAnsi="Arial" w:cs="Arial"/>
          <w:i/>
          <w:sz w:val="20"/>
          <w:szCs w:val="20"/>
        </w:rPr>
      </w:pPr>
      <w:proofErr w:type="spellStart"/>
      <w:r w:rsidRPr="008C6B67">
        <w:rPr>
          <w:rFonts w:ascii="Arial" w:hAnsi="Arial" w:cs="Arial"/>
          <w:i/>
          <w:sz w:val="20"/>
          <w:szCs w:val="20"/>
        </w:rPr>
        <w:t>Hepplestone</w:t>
      </w:r>
      <w:proofErr w:type="spellEnd"/>
      <w:r w:rsidRPr="008C6B67">
        <w:rPr>
          <w:rFonts w:ascii="Arial" w:hAnsi="Arial" w:cs="Arial"/>
          <w:i/>
          <w:sz w:val="20"/>
          <w:szCs w:val="20"/>
        </w:rPr>
        <w:t xml:space="preserve">, S., Holden, G., Irwin, B., Parkin, H.J. and Thorpe, L. (2011). Using technology to encourage student engagement with feedback: a literature review. </w:t>
      </w:r>
      <w:r w:rsidRPr="008C6B67">
        <w:rPr>
          <w:rFonts w:ascii="Arial" w:hAnsi="Arial" w:cs="Arial"/>
          <w:i/>
          <w:iCs/>
          <w:sz w:val="20"/>
          <w:szCs w:val="20"/>
        </w:rPr>
        <w:t>Research in Learning Technology</w:t>
      </w:r>
      <w:r w:rsidRPr="008C6B67">
        <w:rPr>
          <w:rFonts w:ascii="Arial" w:hAnsi="Arial" w:cs="Arial"/>
          <w:i/>
          <w:sz w:val="20"/>
          <w:szCs w:val="20"/>
        </w:rPr>
        <w:t xml:space="preserve">, 19(2). </w:t>
      </w:r>
      <w:proofErr w:type="spellStart"/>
      <w:r w:rsidR="003B3D59" w:rsidRPr="008C6B67">
        <w:rPr>
          <w:rFonts w:ascii="Arial" w:hAnsi="Arial" w:cs="Arial"/>
          <w:i/>
          <w:sz w:val="20"/>
          <w:szCs w:val="20"/>
        </w:rPr>
        <w:t>doi</w:t>
      </w:r>
      <w:proofErr w:type="spellEnd"/>
      <w:r w:rsidR="003B3D59" w:rsidRPr="008C6B67">
        <w:rPr>
          <w:rFonts w:ascii="Arial" w:hAnsi="Arial" w:cs="Arial"/>
          <w:i/>
          <w:sz w:val="20"/>
          <w:szCs w:val="20"/>
        </w:rPr>
        <w:t xml:space="preserve">: </w:t>
      </w:r>
      <w:hyperlink r:id="rId15" w:history="1">
        <w:r w:rsidR="003B3D59" w:rsidRPr="004E6667">
          <w:rPr>
            <w:rStyle w:val="Hyperlink"/>
            <w:rFonts w:ascii="Arial" w:hAnsi="Arial" w:cs="Arial"/>
            <w:i/>
            <w:sz w:val="20"/>
            <w:szCs w:val="20"/>
          </w:rPr>
          <w:t>https://doi.org/10.3402/rlt.v19i2.10347</w:t>
        </w:r>
      </w:hyperlink>
      <w:r w:rsidRPr="008C6B67">
        <w:rPr>
          <w:rFonts w:ascii="Arial" w:hAnsi="Arial" w:cs="Arial"/>
          <w:i/>
          <w:sz w:val="20"/>
          <w:szCs w:val="20"/>
        </w:rPr>
        <w:t>.</w:t>
      </w:r>
    </w:p>
    <w:p w14:paraId="45943B73"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Heritage, M. (2010). </w:t>
      </w:r>
      <w:r w:rsidRPr="008C6B67">
        <w:rPr>
          <w:rFonts w:ascii="Arial" w:hAnsi="Arial" w:cs="Arial"/>
          <w:i/>
          <w:iCs/>
          <w:sz w:val="20"/>
          <w:szCs w:val="20"/>
        </w:rPr>
        <w:t>Formative Assessment</w:t>
      </w:r>
      <w:r w:rsidRPr="008C6B67">
        <w:rPr>
          <w:rFonts w:ascii="Arial" w:hAnsi="Arial" w:cs="Arial"/>
          <w:i/>
          <w:sz w:val="20"/>
          <w:szCs w:val="20"/>
        </w:rPr>
        <w:t>. Corwin Press.</w:t>
      </w:r>
    </w:p>
    <w:p w14:paraId="62B98D4E"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Irons, A. and Elkington, S. (2021). </w:t>
      </w:r>
      <w:r w:rsidRPr="008C6B67">
        <w:rPr>
          <w:rFonts w:ascii="Arial" w:hAnsi="Arial" w:cs="Arial"/>
          <w:i/>
          <w:iCs/>
          <w:sz w:val="20"/>
          <w:szCs w:val="20"/>
        </w:rPr>
        <w:t>Enhancing Learning through Formative Assessment and Feedback</w:t>
      </w:r>
      <w:r w:rsidRPr="008C6B67">
        <w:rPr>
          <w:rFonts w:ascii="Arial" w:hAnsi="Arial" w:cs="Arial"/>
          <w:i/>
          <w:sz w:val="20"/>
          <w:szCs w:val="20"/>
        </w:rPr>
        <w:t>. Milton: Taylor &amp; Francis Group.</w:t>
      </w:r>
    </w:p>
    <w:p w14:paraId="036EE413"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Jones, K., Giorgio </w:t>
      </w:r>
      <w:proofErr w:type="spellStart"/>
      <w:r w:rsidRPr="008C6B67">
        <w:rPr>
          <w:rFonts w:ascii="Arial" w:hAnsi="Arial" w:cs="Arial"/>
          <w:i/>
          <w:sz w:val="20"/>
          <w:szCs w:val="20"/>
        </w:rPr>
        <w:t>Ostinelli</w:t>
      </w:r>
      <w:proofErr w:type="spellEnd"/>
      <w:r w:rsidRPr="008C6B67">
        <w:rPr>
          <w:rFonts w:ascii="Arial" w:hAnsi="Arial" w:cs="Arial"/>
          <w:i/>
          <w:sz w:val="20"/>
          <w:szCs w:val="20"/>
        </w:rPr>
        <w:t xml:space="preserve"> and Crescentini, A. (2023). </w:t>
      </w:r>
      <w:r w:rsidRPr="008C6B67">
        <w:rPr>
          <w:rFonts w:ascii="Arial" w:hAnsi="Arial" w:cs="Arial"/>
          <w:i/>
          <w:iCs/>
          <w:sz w:val="20"/>
          <w:szCs w:val="20"/>
        </w:rPr>
        <w:t>Innovation in Teacher Professional Learning in Europe</w:t>
      </w:r>
      <w:r w:rsidRPr="008C6B67">
        <w:rPr>
          <w:rFonts w:ascii="Arial" w:hAnsi="Arial" w:cs="Arial"/>
          <w:i/>
          <w:sz w:val="20"/>
          <w:szCs w:val="20"/>
        </w:rPr>
        <w:t>. Taylor &amp; Francis.</w:t>
      </w:r>
    </w:p>
    <w:p w14:paraId="50304E3F"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Killion, J. and Staff, N. (2008). </w:t>
      </w:r>
      <w:r w:rsidRPr="008C6B67">
        <w:rPr>
          <w:rFonts w:ascii="Arial" w:hAnsi="Arial" w:cs="Arial"/>
          <w:i/>
          <w:iCs/>
          <w:sz w:val="20"/>
          <w:szCs w:val="20"/>
        </w:rPr>
        <w:t>Assessing Impact : Evaluating Staff Development</w:t>
      </w:r>
      <w:r w:rsidRPr="008C6B67">
        <w:rPr>
          <w:rFonts w:ascii="Arial" w:hAnsi="Arial" w:cs="Arial"/>
          <w:i/>
          <w:sz w:val="20"/>
          <w:szCs w:val="20"/>
        </w:rPr>
        <w:t>. Thousand Oaks, Ca: Corwin Press.</w:t>
      </w:r>
    </w:p>
    <w:p w14:paraId="68369A34"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Moss, C.M. and Brookhart, S.M. (2019). </w:t>
      </w:r>
      <w:r w:rsidRPr="008C6B67">
        <w:rPr>
          <w:rFonts w:ascii="Arial" w:hAnsi="Arial" w:cs="Arial"/>
          <w:i/>
          <w:iCs/>
          <w:sz w:val="20"/>
          <w:szCs w:val="20"/>
        </w:rPr>
        <w:t>Advancing Formative Assessment in Every Classroom: a Guide for Instructional Leaders</w:t>
      </w:r>
      <w:r w:rsidRPr="008C6B67">
        <w:rPr>
          <w:rFonts w:ascii="Arial" w:hAnsi="Arial" w:cs="Arial"/>
          <w:i/>
          <w:sz w:val="20"/>
          <w:szCs w:val="20"/>
        </w:rPr>
        <w:t xml:space="preserve">. 2nd ed. Alexandria, Virginia: </w:t>
      </w:r>
      <w:proofErr w:type="spellStart"/>
      <w:r w:rsidRPr="008C6B67">
        <w:rPr>
          <w:rFonts w:ascii="Arial" w:hAnsi="Arial" w:cs="Arial"/>
          <w:i/>
          <w:sz w:val="20"/>
          <w:szCs w:val="20"/>
        </w:rPr>
        <w:t>Ascd</w:t>
      </w:r>
      <w:proofErr w:type="spellEnd"/>
      <w:r w:rsidRPr="008C6B67">
        <w:rPr>
          <w:rFonts w:ascii="Arial" w:hAnsi="Arial" w:cs="Arial"/>
          <w:i/>
          <w:sz w:val="20"/>
          <w:szCs w:val="20"/>
        </w:rPr>
        <w:t>.</w:t>
      </w:r>
    </w:p>
    <w:p w14:paraId="11C6BC7F"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Pollock, J.E. (2008). </w:t>
      </w:r>
      <w:r w:rsidRPr="008C6B67">
        <w:rPr>
          <w:rFonts w:ascii="Arial" w:hAnsi="Arial" w:cs="Arial"/>
          <w:i/>
          <w:iCs/>
          <w:sz w:val="20"/>
          <w:szCs w:val="20"/>
        </w:rPr>
        <w:t>Improving Student Learning One Teacher at a Time</w:t>
      </w:r>
      <w:r w:rsidRPr="008C6B67">
        <w:rPr>
          <w:rFonts w:ascii="Arial" w:hAnsi="Arial" w:cs="Arial"/>
          <w:i/>
          <w:sz w:val="20"/>
          <w:szCs w:val="20"/>
        </w:rPr>
        <w:t xml:space="preserve">. </w:t>
      </w:r>
      <w:proofErr w:type="spellStart"/>
      <w:r w:rsidRPr="008C6B67">
        <w:rPr>
          <w:rFonts w:ascii="Arial" w:hAnsi="Arial" w:cs="Arial"/>
          <w:i/>
          <w:sz w:val="20"/>
          <w:szCs w:val="20"/>
        </w:rPr>
        <w:t>Moorabin</w:t>
      </w:r>
      <w:proofErr w:type="spellEnd"/>
      <w:r w:rsidRPr="008C6B67">
        <w:rPr>
          <w:rFonts w:ascii="Arial" w:hAnsi="Arial" w:cs="Arial"/>
          <w:i/>
          <w:sz w:val="20"/>
          <w:szCs w:val="20"/>
        </w:rPr>
        <w:t>: Hawker Brownlow.</w:t>
      </w:r>
    </w:p>
    <w:p w14:paraId="103A146E"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Smith, D., Frey, N., </w:t>
      </w:r>
      <w:proofErr w:type="spellStart"/>
      <w:r w:rsidRPr="008C6B67">
        <w:rPr>
          <w:rFonts w:ascii="Arial" w:hAnsi="Arial" w:cs="Arial"/>
          <w:i/>
          <w:sz w:val="20"/>
          <w:szCs w:val="20"/>
        </w:rPr>
        <w:t>Pumpian</w:t>
      </w:r>
      <w:proofErr w:type="spellEnd"/>
      <w:r w:rsidRPr="008C6B67">
        <w:rPr>
          <w:rFonts w:ascii="Arial" w:hAnsi="Arial" w:cs="Arial"/>
          <w:i/>
          <w:sz w:val="20"/>
          <w:szCs w:val="20"/>
        </w:rPr>
        <w:t xml:space="preserve">, I. and Fisher, D. (2017). </w:t>
      </w:r>
      <w:r w:rsidRPr="008C6B67">
        <w:rPr>
          <w:rFonts w:ascii="Arial" w:hAnsi="Arial" w:cs="Arial"/>
          <w:i/>
          <w:iCs/>
          <w:sz w:val="20"/>
          <w:szCs w:val="20"/>
        </w:rPr>
        <w:t>Building equity : policies and practices to empower all learners</w:t>
      </w:r>
      <w:r w:rsidRPr="008C6B67">
        <w:rPr>
          <w:rFonts w:ascii="Arial" w:hAnsi="Arial" w:cs="Arial"/>
          <w:i/>
          <w:sz w:val="20"/>
          <w:szCs w:val="20"/>
        </w:rPr>
        <w:t xml:space="preserve">. Alexandria, Virginia: </w:t>
      </w:r>
      <w:proofErr w:type="spellStart"/>
      <w:r w:rsidRPr="008C6B67">
        <w:rPr>
          <w:rFonts w:ascii="Arial" w:hAnsi="Arial" w:cs="Arial"/>
          <w:i/>
          <w:sz w:val="20"/>
          <w:szCs w:val="20"/>
        </w:rPr>
        <w:t>Ascd</w:t>
      </w:r>
      <w:proofErr w:type="spellEnd"/>
      <w:r w:rsidRPr="008C6B67">
        <w:rPr>
          <w:rFonts w:ascii="Arial" w:hAnsi="Arial" w:cs="Arial"/>
          <w:i/>
          <w:sz w:val="20"/>
          <w:szCs w:val="20"/>
        </w:rPr>
        <w:t>.</w:t>
      </w:r>
    </w:p>
    <w:p w14:paraId="1F2E6D98" w14:textId="77777777" w:rsidR="008C6B67" w:rsidRPr="008C6B67" w:rsidRDefault="008C6B67" w:rsidP="008C6B67">
      <w:pPr>
        <w:rPr>
          <w:rFonts w:ascii="Arial" w:hAnsi="Arial" w:cs="Arial"/>
          <w:i/>
          <w:sz w:val="20"/>
          <w:szCs w:val="20"/>
        </w:rPr>
      </w:pPr>
      <w:r w:rsidRPr="008C6B67">
        <w:rPr>
          <w:rFonts w:ascii="Arial" w:hAnsi="Arial" w:cs="Arial"/>
          <w:i/>
          <w:sz w:val="20"/>
          <w:szCs w:val="20"/>
        </w:rPr>
        <w:t xml:space="preserve">UNESCO (2017). </w:t>
      </w:r>
      <w:r w:rsidRPr="008C6B67">
        <w:rPr>
          <w:rFonts w:ascii="Arial" w:hAnsi="Arial" w:cs="Arial"/>
          <w:i/>
          <w:iCs/>
          <w:sz w:val="20"/>
          <w:szCs w:val="20"/>
        </w:rPr>
        <w:t>A Guide for Ensuring Inclusion and Equity in Education</w:t>
      </w:r>
      <w:r w:rsidRPr="008C6B67">
        <w:rPr>
          <w:rFonts w:ascii="Arial" w:hAnsi="Arial" w:cs="Arial"/>
          <w:i/>
          <w:sz w:val="20"/>
          <w:szCs w:val="20"/>
        </w:rPr>
        <w:t>. UNESCO Publishing.</w:t>
      </w:r>
    </w:p>
    <w:p w14:paraId="715851F9" w14:textId="5E776C3C"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(2015). </w:t>
      </w:r>
      <w:r w:rsidRPr="008C6B67">
        <w:rPr>
          <w:rFonts w:ascii="Arial" w:hAnsi="Arial" w:cs="Arial"/>
          <w:i/>
          <w:iCs/>
          <w:sz w:val="20"/>
          <w:szCs w:val="20"/>
        </w:rPr>
        <w:t>Well-being of Future Generations (Wales) Act 2015: the Essentials Guidance on Our Law to Improve social, economic, Environmental and Cultural well-being</w:t>
      </w:r>
      <w:r w:rsidRPr="008C6B67">
        <w:rPr>
          <w:rFonts w:ascii="Arial" w:hAnsi="Arial" w:cs="Arial"/>
          <w:i/>
          <w:sz w:val="20"/>
          <w:szCs w:val="20"/>
        </w:rPr>
        <w:t xml:space="preserve">. [online] Available at: </w:t>
      </w:r>
      <w:hyperlink r:id="rId16" w:history="1">
        <w:r w:rsidR="0068785A" w:rsidRPr="008C6B67">
          <w:rPr>
            <w:rStyle w:val="Hyperlink"/>
            <w:rFonts w:ascii="Arial" w:hAnsi="Arial" w:cs="Arial"/>
            <w:i/>
            <w:sz w:val="20"/>
            <w:szCs w:val="20"/>
          </w:rPr>
          <w:t>https://www.gov.wales/sites/default/files/pdf-versions/2025/2/2/1740501518/well-being-future-generations-act-essentials.pdf</w:t>
        </w:r>
      </w:hyperlink>
      <w:r w:rsidRPr="008C6B67">
        <w:rPr>
          <w:rFonts w:ascii="Arial" w:hAnsi="Arial" w:cs="Arial"/>
          <w:i/>
          <w:sz w:val="20"/>
          <w:szCs w:val="20"/>
        </w:rPr>
        <w:t>.</w:t>
      </w:r>
    </w:p>
    <w:p w14:paraId="35A9FAEB" w14:textId="38E431B2"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(2018). </w:t>
      </w:r>
      <w:r w:rsidRPr="008C6B67">
        <w:rPr>
          <w:rFonts w:ascii="Arial" w:hAnsi="Arial" w:cs="Arial"/>
          <w:i/>
          <w:iCs/>
          <w:sz w:val="20"/>
          <w:szCs w:val="20"/>
        </w:rPr>
        <w:t>Additional Learning Needs and Education Tribunal (Wales) Act 2018</w:t>
      </w:r>
      <w:r w:rsidRPr="008C6B67">
        <w:rPr>
          <w:rFonts w:ascii="Arial" w:hAnsi="Arial" w:cs="Arial"/>
          <w:i/>
          <w:sz w:val="20"/>
          <w:szCs w:val="20"/>
        </w:rPr>
        <w:t xml:space="preserve">. [online] Legislation.gov.uk. Available at: </w:t>
      </w:r>
      <w:hyperlink r:id="rId17" w:history="1">
        <w:r w:rsidR="0068785A" w:rsidRPr="008C6B67">
          <w:rPr>
            <w:rStyle w:val="Hyperlink"/>
            <w:rFonts w:ascii="Arial" w:hAnsi="Arial" w:cs="Arial"/>
            <w:i/>
            <w:sz w:val="20"/>
            <w:szCs w:val="20"/>
          </w:rPr>
          <w:t>https://www.legislation.gov.uk/anaw/2018/2/contents</w:t>
        </w:r>
      </w:hyperlink>
      <w:r w:rsidRPr="008C6B67">
        <w:rPr>
          <w:rFonts w:ascii="Arial" w:hAnsi="Arial" w:cs="Arial"/>
          <w:i/>
          <w:sz w:val="20"/>
          <w:szCs w:val="20"/>
        </w:rPr>
        <w:t>.</w:t>
      </w:r>
    </w:p>
    <w:p w14:paraId="5D3AFCD7" w14:textId="65FC533E"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(2020). </w:t>
      </w:r>
      <w:r w:rsidRPr="008C6B67">
        <w:rPr>
          <w:rFonts w:ascii="Arial" w:hAnsi="Arial" w:cs="Arial"/>
          <w:i/>
          <w:iCs/>
          <w:sz w:val="20"/>
          <w:szCs w:val="20"/>
        </w:rPr>
        <w:t>Supporting Learner Progression Assessment Guidance - Hwb</w:t>
      </w:r>
      <w:r w:rsidRPr="008C6B67">
        <w:rPr>
          <w:rFonts w:ascii="Arial" w:hAnsi="Arial" w:cs="Arial"/>
          <w:i/>
          <w:sz w:val="20"/>
          <w:szCs w:val="20"/>
        </w:rPr>
        <w:t xml:space="preserve">. [online] </w:t>
      </w:r>
      <w:proofErr w:type="spellStart"/>
      <w:r w:rsidRPr="008C6B67">
        <w:rPr>
          <w:rFonts w:ascii="Arial" w:hAnsi="Arial" w:cs="Arial"/>
          <w:i/>
          <w:sz w:val="20"/>
          <w:szCs w:val="20"/>
        </w:rPr>
        <w:t>hwb.gov.wales</w:t>
      </w:r>
      <w:proofErr w:type="spellEnd"/>
      <w:r w:rsidRPr="008C6B67">
        <w:rPr>
          <w:rFonts w:ascii="Arial" w:hAnsi="Arial" w:cs="Arial"/>
          <w:i/>
          <w:sz w:val="20"/>
          <w:szCs w:val="20"/>
        </w:rPr>
        <w:t xml:space="preserve">. Available at: </w:t>
      </w:r>
      <w:hyperlink r:id="rId18" w:history="1">
        <w:r w:rsidR="0068785A" w:rsidRPr="008C6B67">
          <w:rPr>
            <w:rStyle w:val="Hyperlink"/>
            <w:rFonts w:ascii="Arial" w:hAnsi="Arial" w:cs="Arial"/>
            <w:i/>
            <w:sz w:val="20"/>
            <w:szCs w:val="20"/>
          </w:rPr>
          <w:t>https://hwb.gov.wales/curriculum-for-wales/assessment-arrangements/supporting-learner-progression-assessment-guidance/</w:t>
        </w:r>
      </w:hyperlink>
      <w:r w:rsidRPr="008C6B67">
        <w:rPr>
          <w:rFonts w:ascii="Arial" w:hAnsi="Arial" w:cs="Arial"/>
          <w:i/>
          <w:sz w:val="20"/>
          <w:szCs w:val="20"/>
        </w:rPr>
        <w:t>.</w:t>
      </w:r>
    </w:p>
    <w:p w14:paraId="30F80DFD" w14:textId="653F7A51"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(2022a). </w:t>
      </w:r>
      <w:r w:rsidRPr="008C6B67">
        <w:rPr>
          <w:rFonts w:ascii="Arial" w:hAnsi="Arial" w:cs="Arial"/>
          <w:i/>
          <w:iCs/>
          <w:sz w:val="20"/>
          <w:szCs w:val="20"/>
        </w:rPr>
        <w:t xml:space="preserve">Curriculum for Wales </w:t>
      </w:r>
      <w:r w:rsidRPr="008C6B67">
        <w:rPr>
          <w:rFonts w:ascii="Arial" w:hAnsi="Arial" w:cs="Arial"/>
          <w:i/>
          <w:sz w:val="20"/>
          <w:szCs w:val="20"/>
        </w:rPr>
        <w:t xml:space="preserve">. [online] </w:t>
      </w:r>
      <w:proofErr w:type="spellStart"/>
      <w:r w:rsidRPr="008C6B67">
        <w:rPr>
          <w:rFonts w:ascii="Arial" w:hAnsi="Arial" w:cs="Arial"/>
          <w:i/>
          <w:sz w:val="20"/>
          <w:szCs w:val="20"/>
        </w:rPr>
        <w:t>hwb.gov.wales</w:t>
      </w:r>
      <w:proofErr w:type="spellEnd"/>
      <w:r w:rsidRPr="008C6B67">
        <w:rPr>
          <w:rFonts w:ascii="Arial" w:hAnsi="Arial" w:cs="Arial"/>
          <w:i/>
          <w:sz w:val="20"/>
          <w:szCs w:val="20"/>
        </w:rPr>
        <w:t xml:space="preserve">. Available at: </w:t>
      </w:r>
      <w:hyperlink r:id="rId19" w:history="1">
        <w:r w:rsidR="0068785A" w:rsidRPr="008C6B67">
          <w:rPr>
            <w:rStyle w:val="Hyperlink"/>
            <w:rFonts w:ascii="Arial" w:hAnsi="Arial" w:cs="Arial"/>
            <w:i/>
            <w:sz w:val="20"/>
            <w:szCs w:val="20"/>
          </w:rPr>
          <w:t>https://hwb.gov.wales/curriculum-for-wales</w:t>
        </w:r>
      </w:hyperlink>
      <w:r w:rsidRPr="008C6B67">
        <w:rPr>
          <w:rFonts w:ascii="Arial" w:hAnsi="Arial" w:cs="Arial"/>
          <w:i/>
          <w:sz w:val="20"/>
          <w:szCs w:val="20"/>
        </w:rPr>
        <w:t>.</w:t>
      </w:r>
    </w:p>
    <w:p w14:paraId="31E3FBF0" w14:textId="0C395A56"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(2022b). </w:t>
      </w:r>
      <w:r w:rsidRPr="008C6B67">
        <w:rPr>
          <w:rFonts w:ascii="Arial" w:hAnsi="Arial" w:cs="Arial"/>
          <w:i/>
          <w:iCs/>
          <w:sz w:val="20"/>
          <w:szCs w:val="20"/>
        </w:rPr>
        <w:t xml:space="preserve">Curriculum for Wales </w:t>
      </w:r>
      <w:r w:rsidRPr="008C6B67">
        <w:rPr>
          <w:rFonts w:ascii="Arial" w:hAnsi="Arial" w:cs="Arial"/>
          <w:i/>
          <w:sz w:val="20"/>
          <w:szCs w:val="20"/>
        </w:rPr>
        <w:t xml:space="preserve">. [online] </w:t>
      </w:r>
      <w:proofErr w:type="spellStart"/>
      <w:r w:rsidRPr="008C6B67">
        <w:rPr>
          <w:rFonts w:ascii="Arial" w:hAnsi="Arial" w:cs="Arial"/>
          <w:i/>
          <w:sz w:val="20"/>
          <w:szCs w:val="20"/>
        </w:rPr>
        <w:t>hwb.gov.wales</w:t>
      </w:r>
      <w:proofErr w:type="spellEnd"/>
      <w:r w:rsidRPr="008C6B67">
        <w:rPr>
          <w:rFonts w:ascii="Arial" w:hAnsi="Arial" w:cs="Arial"/>
          <w:i/>
          <w:sz w:val="20"/>
          <w:szCs w:val="20"/>
        </w:rPr>
        <w:t xml:space="preserve">. Available at: </w:t>
      </w:r>
      <w:hyperlink r:id="rId20" w:history="1">
        <w:r w:rsidR="0068785A" w:rsidRPr="008C6B67">
          <w:rPr>
            <w:rStyle w:val="Hyperlink"/>
            <w:rFonts w:ascii="Arial" w:hAnsi="Arial" w:cs="Arial"/>
            <w:i/>
            <w:sz w:val="20"/>
            <w:szCs w:val="20"/>
          </w:rPr>
          <w:t>https://hwb.gov.wales/curriculum-for-wales</w:t>
        </w:r>
      </w:hyperlink>
      <w:r w:rsidRPr="008C6B67">
        <w:rPr>
          <w:rFonts w:ascii="Arial" w:hAnsi="Arial" w:cs="Arial"/>
          <w:i/>
          <w:sz w:val="20"/>
          <w:szCs w:val="20"/>
        </w:rPr>
        <w:t>.</w:t>
      </w:r>
    </w:p>
    <w:p w14:paraId="3DA2BDCD" w14:textId="55F9699A"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(2022c). </w:t>
      </w:r>
      <w:r w:rsidRPr="008C6B67">
        <w:rPr>
          <w:rFonts w:ascii="Arial" w:hAnsi="Arial" w:cs="Arial"/>
          <w:i/>
          <w:iCs/>
          <w:sz w:val="20"/>
          <w:szCs w:val="20"/>
        </w:rPr>
        <w:t>School Improvement guidance: Framework for evaluation, Improvement and Accountability - Hwb</w:t>
      </w:r>
      <w:r w:rsidRPr="008C6B67">
        <w:rPr>
          <w:rFonts w:ascii="Arial" w:hAnsi="Arial" w:cs="Arial"/>
          <w:i/>
          <w:sz w:val="20"/>
          <w:szCs w:val="20"/>
        </w:rPr>
        <w:t xml:space="preserve">. [online] </w:t>
      </w:r>
      <w:proofErr w:type="spellStart"/>
      <w:r w:rsidRPr="008C6B67">
        <w:rPr>
          <w:rFonts w:ascii="Arial" w:hAnsi="Arial" w:cs="Arial"/>
          <w:i/>
          <w:sz w:val="20"/>
          <w:szCs w:val="20"/>
        </w:rPr>
        <w:t>hwb.gov.wales</w:t>
      </w:r>
      <w:proofErr w:type="spellEnd"/>
      <w:r w:rsidRPr="008C6B67">
        <w:rPr>
          <w:rFonts w:ascii="Arial" w:hAnsi="Arial" w:cs="Arial"/>
          <w:i/>
          <w:sz w:val="20"/>
          <w:szCs w:val="20"/>
        </w:rPr>
        <w:t xml:space="preserve">. Available at: </w:t>
      </w:r>
      <w:hyperlink r:id="rId21" w:history="1">
        <w:r w:rsidR="0068785A" w:rsidRPr="008C6B67">
          <w:rPr>
            <w:rStyle w:val="Hyperlink"/>
            <w:rFonts w:ascii="Arial" w:hAnsi="Arial" w:cs="Arial"/>
            <w:i/>
            <w:sz w:val="20"/>
            <w:szCs w:val="20"/>
          </w:rPr>
          <w:t>https://hwb.gov.wales/evaluation-improvement-and-accountability/school-improvement-guidance-framework-for-evaluation-improvement-and-accountability/</w:t>
        </w:r>
      </w:hyperlink>
      <w:r w:rsidRPr="008C6B67">
        <w:rPr>
          <w:rFonts w:ascii="Arial" w:hAnsi="Arial" w:cs="Arial"/>
          <w:i/>
          <w:sz w:val="20"/>
          <w:szCs w:val="20"/>
        </w:rPr>
        <w:t>.</w:t>
      </w:r>
    </w:p>
    <w:p w14:paraId="08D3D714" w14:textId="39CFC1F9"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(2023a). </w:t>
      </w:r>
      <w:r w:rsidRPr="008C6B67">
        <w:rPr>
          <w:rFonts w:ascii="Arial" w:hAnsi="Arial" w:cs="Arial"/>
          <w:i/>
          <w:iCs/>
          <w:sz w:val="20"/>
          <w:szCs w:val="20"/>
        </w:rPr>
        <w:t>Our National mission: High Standards and Aspirations for All [HTML] | GOV.WALES</w:t>
      </w:r>
      <w:r w:rsidRPr="008C6B67">
        <w:rPr>
          <w:rFonts w:ascii="Arial" w:hAnsi="Arial" w:cs="Arial"/>
          <w:i/>
          <w:sz w:val="20"/>
          <w:szCs w:val="20"/>
        </w:rPr>
        <w:t xml:space="preserve">. [online] www.gov.wales. Available at: </w:t>
      </w:r>
      <w:hyperlink r:id="rId22" w:history="1">
        <w:r w:rsidR="0068785A" w:rsidRPr="008C6B67">
          <w:rPr>
            <w:rStyle w:val="Hyperlink"/>
            <w:rFonts w:ascii="Arial" w:hAnsi="Arial" w:cs="Arial"/>
            <w:i/>
            <w:sz w:val="20"/>
            <w:szCs w:val="20"/>
          </w:rPr>
          <w:t>https://www.gov.wales/our-national-mission-high-standards-and-aspirations-all-html</w:t>
        </w:r>
      </w:hyperlink>
      <w:r w:rsidRPr="008C6B67">
        <w:rPr>
          <w:rFonts w:ascii="Arial" w:hAnsi="Arial" w:cs="Arial"/>
          <w:i/>
          <w:sz w:val="20"/>
          <w:szCs w:val="20"/>
        </w:rPr>
        <w:t>.</w:t>
      </w:r>
    </w:p>
    <w:p w14:paraId="3D7D14BA" w14:textId="3D1CD7FB" w:rsidR="0068785A" w:rsidRPr="008C6B67" w:rsidRDefault="008C6B67" w:rsidP="008C6B67">
      <w:pPr>
        <w:rPr>
          <w:rFonts w:ascii="Arial" w:hAnsi="Arial" w:cs="Arial"/>
          <w:i/>
          <w:sz w:val="20"/>
          <w:szCs w:val="20"/>
        </w:rPr>
      </w:pPr>
      <w:r w:rsidRPr="008C6B67">
        <w:rPr>
          <w:rFonts w:ascii="Arial" w:hAnsi="Arial" w:cs="Arial"/>
          <w:i/>
          <w:sz w:val="20"/>
          <w:szCs w:val="20"/>
        </w:rPr>
        <w:t xml:space="preserve">Welsh Government (2023b). </w:t>
      </w:r>
      <w:r w:rsidRPr="008C6B67">
        <w:rPr>
          <w:rFonts w:ascii="Arial" w:hAnsi="Arial" w:cs="Arial"/>
          <w:i/>
          <w:iCs/>
          <w:sz w:val="20"/>
          <w:szCs w:val="20"/>
        </w:rPr>
        <w:t>Our National mission: High Standards and Aspirations for All [HTML] | GOV.WALES</w:t>
      </w:r>
      <w:r w:rsidRPr="008C6B67">
        <w:rPr>
          <w:rFonts w:ascii="Arial" w:hAnsi="Arial" w:cs="Arial"/>
          <w:i/>
          <w:sz w:val="20"/>
          <w:szCs w:val="20"/>
        </w:rPr>
        <w:t xml:space="preserve">. [online] www.gov.wales. Available at: </w:t>
      </w:r>
      <w:hyperlink r:id="rId23" w:history="1">
        <w:r w:rsidR="0068785A" w:rsidRPr="008C6B67">
          <w:rPr>
            <w:rStyle w:val="Hyperlink"/>
            <w:rFonts w:ascii="Arial" w:hAnsi="Arial" w:cs="Arial"/>
            <w:i/>
            <w:sz w:val="20"/>
            <w:szCs w:val="20"/>
          </w:rPr>
          <w:t>https://www.gov.wales/our-national-mission-high-standards-and-aspirations-all-html</w:t>
        </w:r>
      </w:hyperlink>
      <w:r w:rsidRPr="008C6B67">
        <w:rPr>
          <w:rFonts w:ascii="Arial" w:hAnsi="Arial" w:cs="Arial"/>
          <w:i/>
          <w:sz w:val="20"/>
          <w:szCs w:val="20"/>
        </w:rPr>
        <w:t>.</w:t>
      </w:r>
    </w:p>
    <w:p w14:paraId="092EE549" w14:textId="03863345" w:rsidR="008C6B67" w:rsidRDefault="008C6B67" w:rsidP="008C6B67">
      <w:pPr>
        <w:rPr>
          <w:rFonts w:ascii="Arial" w:hAnsi="Arial" w:cs="Arial"/>
          <w:i/>
          <w:sz w:val="20"/>
          <w:szCs w:val="20"/>
        </w:rPr>
      </w:pPr>
      <w:r w:rsidRPr="008C6B67">
        <w:rPr>
          <w:rFonts w:ascii="Arial" w:hAnsi="Arial" w:cs="Arial"/>
          <w:i/>
          <w:sz w:val="20"/>
          <w:szCs w:val="20"/>
        </w:rPr>
        <w:lastRenderedPageBreak/>
        <w:t xml:space="preserve">Welsh Government (2023c). </w:t>
      </w:r>
      <w:r w:rsidRPr="008C6B67">
        <w:rPr>
          <w:rFonts w:ascii="Arial" w:hAnsi="Arial" w:cs="Arial"/>
          <w:i/>
          <w:iCs/>
          <w:sz w:val="20"/>
          <w:szCs w:val="20"/>
        </w:rPr>
        <w:t>Our National mission: High Standards and Aspirations for All [HTML] | GOV.WALES</w:t>
      </w:r>
      <w:r w:rsidRPr="008C6B67">
        <w:rPr>
          <w:rFonts w:ascii="Arial" w:hAnsi="Arial" w:cs="Arial"/>
          <w:i/>
          <w:sz w:val="20"/>
          <w:szCs w:val="20"/>
        </w:rPr>
        <w:t xml:space="preserve">. [online] www.gov.wales. Available at: </w:t>
      </w:r>
      <w:hyperlink r:id="rId24" w:history="1">
        <w:r w:rsidR="0068785A" w:rsidRPr="008C6B67">
          <w:rPr>
            <w:rStyle w:val="Hyperlink"/>
            <w:rFonts w:ascii="Arial" w:hAnsi="Arial" w:cs="Arial"/>
            <w:i/>
            <w:sz w:val="20"/>
            <w:szCs w:val="20"/>
          </w:rPr>
          <w:t>https://www.gov.wales/our-national-mission-high-standards-and-aspirations-all-html</w:t>
        </w:r>
      </w:hyperlink>
      <w:r w:rsidRPr="008C6B67">
        <w:rPr>
          <w:rFonts w:ascii="Arial" w:hAnsi="Arial" w:cs="Arial"/>
          <w:i/>
          <w:sz w:val="20"/>
          <w:szCs w:val="20"/>
        </w:rPr>
        <w:t>.</w:t>
      </w:r>
    </w:p>
    <w:p w14:paraId="6B426C9E" w14:textId="77777777" w:rsidR="0068785A" w:rsidRPr="008C6B67" w:rsidRDefault="0068785A" w:rsidP="008C6B67">
      <w:pPr>
        <w:rPr>
          <w:rFonts w:ascii="Arial" w:hAnsi="Arial" w:cs="Arial"/>
          <w:i/>
          <w:sz w:val="20"/>
          <w:szCs w:val="20"/>
        </w:rPr>
      </w:pPr>
    </w:p>
    <w:p w14:paraId="671ED54B" w14:textId="231B7A17" w:rsidR="008C6B67" w:rsidRDefault="008C6B67" w:rsidP="008C6B67">
      <w:pPr>
        <w:rPr>
          <w:rFonts w:ascii="Arial" w:hAnsi="Arial" w:cs="Arial"/>
          <w:i/>
          <w:sz w:val="20"/>
          <w:szCs w:val="20"/>
        </w:rPr>
      </w:pPr>
      <w:r w:rsidRPr="008C6B67">
        <w:rPr>
          <w:rFonts w:ascii="Arial" w:hAnsi="Arial" w:cs="Arial"/>
          <w:i/>
          <w:sz w:val="20"/>
          <w:szCs w:val="20"/>
        </w:rPr>
        <w:t xml:space="preserve">Welsh Government (2024). </w:t>
      </w:r>
      <w:r w:rsidRPr="008C6B67">
        <w:rPr>
          <w:rFonts w:ascii="Arial" w:hAnsi="Arial" w:cs="Arial"/>
          <w:i/>
          <w:iCs/>
          <w:sz w:val="20"/>
          <w:szCs w:val="20"/>
        </w:rPr>
        <w:t>Curriculum for Wales: Continuing the Journey - Hwb</w:t>
      </w:r>
      <w:r w:rsidRPr="008C6B67">
        <w:rPr>
          <w:rFonts w:ascii="Arial" w:hAnsi="Arial" w:cs="Arial"/>
          <w:i/>
          <w:sz w:val="20"/>
          <w:szCs w:val="20"/>
        </w:rPr>
        <w:t xml:space="preserve">. [online] </w:t>
      </w:r>
      <w:proofErr w:type="spellStart"/>
      <w:r w:rsidRPr="008C6B67">
        <w:rPr>
          <w:rFonts w:ascii="Arial" w:hAnsi="Arial" w:cs="Arial"/>
          <w:i/>
          <w:sz w:val="20"/>
          <w:szCs w:val="20"/>
        </w:rPr>
        <w:t>hwb.gov.wales</w:t>
      </w:r>
      <w:proofErr w:type="spellEnd"/>
      <w:r w:rsidRPr="008C6B67">
        <w:rPr>
          <w:rFonts w:ascii="Arial" w:hAnsi="Arial" w:cs="Arial"/>
          <w:i/>
          <w:sz w:val="20"/>
          <w:szCs w:val="20"/>
        </w:rPr>
        <w:t xml:space="preserve">. Available at: </w:t>
      </w:r>
      <w:hyperlink r:id="rId25" w:history="1">
        <w:r w:rsidR="0068785A" w:rsidRPr="008C6B67">
          <w:rPr>
            <w:rStyle w:val="Hyperlink"/>
            <w:rFonts w:ascii="Arial" w:hAnsi="Arial" w:cs="Arial"/>
            <w:i/>
            <w:sz w:val="20"/>
            <w:szCs w:val="20"/>
          </w:rPr>
          <w:t>https://hwb.gov.wales/curriculum-for-wales/curriculum-for-wales-continuing-the-journey/</w:t>
        </w:r>
      </w:hyperlink>
      <w:r w:rsidRPr="008C6B67">
        <w:rPr>
          <w:rFonts w:ascii="Arial" w:hAnsi="Arial" w:cs="Arial"/>
          <w:i/>
          <w:sz w:val="20"/>
          <w:szCs w:val="20"/>
        </w:rPr>
        <w:t>.</w:t>
      </w:r>
    </w:p>
    <w:p w14:paraId="1D01EAC3" w14:textId="77777777" w:rsidR="0068785A" w:rsidRPr="00CA1DF8" w:rsidRDefault="0068785A" w:rsidP="00AF52DD">
      <w:pPr>
        <w:rPr>
          <w:rFonts w:ascii="Arial" w:hAnsi="Arial" w:cs="Arial"/>
          <w:b/>
          <w:bCs/>
          <w:i/>
          <w:sz w:val="20"/>
          <w:szCs w:val="20"/>
        </w:rPr>
      </w:pPr>
    </w:p>
    <w:p w14:paraId="625F3938" w14:textId="538B2B59" w:rsidR="00CA1DF8" w:rsidRDefault="00AF52DD" w:rsidP="00AF52DD">
      <w:pPr>
        <w:rPr>
          <w:rFonts w:ascii="Arial" w:hAnsi="Arial" w:cs="Arial"/>
          <w:b/>
          <w:bCs/>
          <w:sz w:val="20"/>
          <w:szCs w:val="20"/>
        </w:rPr>
      </w:pPr>
      <w:r w:rsidRPr="00CA1DF8">
        <w:rPr>
          <w:rFonts w:ascii="Arial" w:hAnsi="Arial" w:cs="Arial"/>
          <w:b/>
          <w:bCs/>
          <w:sz w:val="20"/>
          <w:szCs w:val="20"/>
        </w:rPr>
        <w:t>Appendi</w:t>
      </w:r>
      <w:r w:rsidR="00CA1DF8" w:rsidRPr="00CA1DF8">
        <w:rPr>
          <w:rFonts w:ascii="Arial" w:hAnsi="Arial" w:cs="Arial"/>
          <w:b/>
          <w:bCs/>
          <w:sz w:val="20"/>
          <w:szCs w:val="20"/>
        </w:rPr>
        <w:t xml:space="preserve">ces </w:t>
      </w:r>
    </w:p>
    <w:p w14:paraId="4175CB45" w14:textId="77777777" w:rsidR="00CA1DF8" w:rsidRDefault="00CA1DF8" w:rsidP="00AF52DD">
      <w:pPr>
        <w:rPr>
          <w:rFonts w:ascii="Arial" w:hAnsi="Arial" w:cs="Arial"/>
          <w:b/>
          <w:bCs/>
          <w:sz w:val="20"/>
          <w:szCs w:val="20"/>
        </w:rPr>
      </w:pPr>
    </w:p>
    <w:p w14:paraId="2B00366D" w14:textId="24858D99" w:rsidR="00CA1DF8" w:rsidRDefault="00CA1DF8" w:rsidP="00AF52DD">
      <w:pPr>
        <w:rPr>
          <w:rFonts w:ascii="Arial" w:hAnsi="Arial" w:cs="Arial"/>
          <w:sz w:val="20"/>
          <w:szCs w:val="20"/>
        </w:rPr>
      </w:pPr>
      <w:r w:rsidRPr="00CA1DF8">
        <w:rPr>
          <w:rFonts w:ascii="Arial" w:hAnsi="Arial" w:cs="Arial"/>
          <w:sz w:val="20"/>
          <w:szCs w:val="20"/>
        </w:rPr>
        <w:t xml:space="preserve">Appendix 1 </w:t>
      </w:r>
      <w:r w:rsidR="003D6ED3">
        <w:rPr>
          <w:rFonts w:ascii="Arial" w:hAnsi="Arial" w:cs="Arial"/>
          <w:sz w:val="20"/>
          <w:szCs w:val="20"/>
        </w:rPr>
        <w:t xml:space="preserve">– Marking Policy </w:t>
      </w:r>
    </w:p>
    <w:p w14:paraId="3E8CCD10" w14:textId="69D0E149" w:rsidR="003D6ED3" w:rsidRPr="008C6B67" w:rsidRDefault="0048359A" w:rsidP="00AF52DD">
      <w:pPr>
        <w:rPr>
          <w:rFonts w:ascii="Arial" w:hAnsi="Arial" w:cs="Arial"/>
          <w:sz w:val="20"/>
          <w:szCs w:val="20"/>
        </w:rPr>
      </w:pPr>
      <w:r w:rsidRPr="0048359A">
        <w:rPr>
          <w:rFonts w:ascii="Arial" w:hAnsi="Arial" w:cs="Arial"/>
          <w:noProof/>
          <w:sz w:val="20"/>
          <w:szCs w:val="20"/>
        </w:rPr>
        <w:drawing>
          <wp:inline distT="0" distB="0" distL="0" distR="0" wp14:anchorId="0D5F9C44" wp14:editId="5526279A">
            <wp:extent cx="3657917" cy="5197290"/>
            <wp:effectExtent l="0" t="0" r="0" b="3810"/>
            <wp:docPr id="1618462458" name="Picture 1" descr="A diagram of a m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62458" name="Picture 1" descr="A diagram of a mouse&#10;&#10;AI-generated content may be incorrect."/>
                    <pic:cNvPicPr/>
                  </pic:nvPicPr>
                  <pic:blipFill>
                    <a:blip r:embed="rId26"/>
                    <a:stretch>
                      <a:fillRect/>
                    </a:stretch>
                  </pic:blipFill>
                  <pic:spPr>
                    <a:xfrm>
                      <a:off x="0" y="0"/>
                      <a:ext cx="3657917" cy="5197290"/>
                    </a:xfrm>
                    <a:prstGeom prst="rect">
                      <a:avLst/>
                    </a:prstGeom>
                  </pic:spPr>
                </pic:pic>
              </a:graphicData>
            </a:graphic>
          </wp:inline>
        </w:drawing>
      </w:r>
    </w:p>
    <w:sectPr w:rsidR="003D6ED3" w:rsidRPr="008C6B67">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EF151" w14:textId="77777777" w:rsidR="00C94F18" w:rsidRDefault="00C94F18" w:rsidP="009A7449">
      <w:pPr>
        <w:spacing w:after="0" w:line="240" w:lineRule="auto"/>
      </w:pPr>
      <w:r>
        <w:separator/>
      </w:r>
    </w:p>
  </w:endnote>
  <w:endnote w:type="continuationSeparator" w:id="0">
    <w:p w14:paraId="7B7D985C" w14:textId="77777777" w:rsidR="00C94F18" w:rsidRDefault="00C94F18" w:rsidP="009A7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93655" w14:textId="77777777" w:rsidR="00C94F18" w:rsidRDefault="00C94F18" w:rsidP="009A7449">
      <w:pPr>
        <w:spacing w:after="0" w:line="240" w:lineRule="auto"/>
      </w:pPr>
      <w:r>
        <w:separator/>
      </w:r>
    </w:p>
  </w:footnote>
  <w:footnote w:type="continuationSeparator" w:id="0">
    <w:p w14:paraId="3F3E2855" w14:textId="77777777" w:rsidR="00C94F18" w:rsidRDefault="00C94F18" w:rsidP="009A74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D7436" w14:textId="52DC1385" w:rsidR="009A7449" w:rsidRPr="009A7449" w:rsidRDefault="009A7449">
    <w:pPr>
      <w:pStyle w:val="Header"/>
      <w:rPr>
        <w:rFonts w:ascii="Arial" w:hAnsi="Arial" w:cs="Arial"/>
        <w:sz w:val="20"/>
        <w:szCs w:val="20"/>
      </w:rPr>
    </w:pPr>
    <w:r w:rsidRPr="009A7449">
      <w:rPr>
        <w:rFonts w:ascii="Arial" w:hAnsi="Arial" w:cs="Arial"/>
        <w:sz w:val="20"/>
        <w:szCs w:val="20"/>
      </w:rPr>
      <w:t>Milly Hands 2205042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4E5F7F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8B67A2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438204E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582BCD5E"/>
    <w:multiLevelType w:val="hybridMultilevel"/>
    <w:tmpl w:val="FFFFFFFF"/>
    <w:lvl w:ilvl="0" w:tplc="FFFFFFFF">
      <w:start w:val="1"/>
      <w:numFmt w:val="bullet"/>
      <w:lvlText w:val="•"/>
      <w:lvlJc w:val="left"/>
    </w:lvl>
    <w:lvl w:ilvl="1" w:tplc="C7E59145">
      <w:start w:val="1"/>
      <w:numFmt w:val="bullet"/>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64319841">
    <w:abstractNumId w:val="1"/>
  </w:num>
  <w:num w:numId="2" w16cid:durableId="2016960674">
    <w:abstractNumId w:val="0"/>
  </w:num>
  <w:num w:numId="3" w16cid:durableId="1793356137">
    <w:abstractNumId w:val="3"/>
  </w:num>
  <w:num w:numId="4" w16cid:durableId="418675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449"/>
    <w:rsid w:val="00016634"/>
    <w:rsid w:val="00023F7B"/>
    <w:rsid w:val="00035FDC"/>
    <w:rsid w:val="00043C15"/>
    <w:rsid w:val="000910DE"/>
    <w:rsid w:val="00095393"/>
    <w:rsid w:val="000A0D41"/>
    <w:rsid w:val="000A6652"/>
    <w:rsid w:val="000B352D"/>
    <w:rsid w:val="000D3DE2"/>
    <w:rsid w:val="000E146E"/>
    <w:rsid w:val="000E4E19"/>
    <w:rsid w:val="000F62B3"/>
    <w:rsid w:val="00103A52"/>
    <w:rsid w:val="00106D4D"/>
    <w:rsid w:val="0011406F"/>
    <w:rsid w:val="00145134"/>
    <w:rsid w:val="00146E26"/>
    <w:rsid w:val="0015216D"/>
    <w:rsid w:val="00152CE3"/>
    <w:rsid w:val="0016025D"/>
    <w:rsid w:val="00170196"/>
    <w:rsid w:val="0017266C"/>
    <w:rsid w:val="001A0A4D"/>
    <w:rsid w:val="001B4E9F"/>
    <w:rsid w:val="001B6986"/>
    <w:rsid w:val="001E04D1"/>
    <w:rsid w:val="001E7BEF"/>
    <w:rsid w:val="00225D2C"/>
    <w:rsid w:val="0027646C"/>
    <w:rsid w:val="002B04E5"/>
    <w:rsid w:val="002D28E7"/>
    <w:rsid w:val="002F17C7"/>
    <w:rsid w:val="002F714D"/>
    <w:rsid w:val="0033245F"/>
    <w:rsid w:val="00351CA3"/>
    <w:rsid w:val="0036426E"/>
    <w:rsid w:val="003802DC"/>
    <w:rsid w:val="00383944"/>
    <w:rsid w:val="00383EF2"/>
    <w:rsid w:val="003858F2"/>
    <w:rsid w:val="0039509C"/>
    <w:rsid w:val="003A76AD"/>
    <w:rsid w:val="003B33DE"/>
    <w:rsid w:val="003B3D59"/>
    <w:rsid w:val="003C5945"/>
    <w:rsid w:val="003D6ED3"/>
    <w:rsid w:val="003F064C"/>
    <w:rsid w:val="00422EC1"/>
    <w:rsid w:val="004265A0"/>
    <w:rsid w:val="00426AC5"/>
    <w:rsid w:val="004340E4"/>
    <w:rsid w:val="00463B03"/>
    <w:rsid w:val="00465640"/>
    <w:rsid w:val="0048359A"/>
    <w:rsid w:val="00490BDB"/>
    <w:rsid w:val="00491CCB"/>
    <w:rsid w:val="00496D9E"/>
    <w:rsid w:val="004C1A49"/>
    <w:rsid w:val="004F4958"/>
    <w:rsid w:val="00500298"/>
    <w:rsid w:val="00554532"/>
    <w:rsid w:val="00566500"/>
    <w:rsid w:val="0056654A"/>
    <w:rsid w:val="00576257"/>
    <w:rsid w:val="00597420"/>
    <w:rsid w:val="005A73ED"/>
    <w:rsid w:val="005D0853"/>
    <w:rsid w:val="005D57C1"/>
    <w:rsid w:val="005E1201"/>
    <w:rsid w:val="005E455E"/>
    <w:rsid w:val="005F45A6"/>
    <w:rsid w:val="00624F69"/>
    <w:rsid w:val="00636963"/>
    <w:rsid w:val="00662EC7"/>
    <w:rsid w:val="0068785A"/>
    <w:rsid w:val="006D013E"/>
    <w:rsid w:val="006D5074"/>
    <w:rsid w:val="006E2EBB"/>
    <w:rsid w:val="006F0741"/>
    <w:rsid w:val="00701366"/>
    <w:rsid w:val="007435F5"/>
    <w:rsid w:val="0074403B"/>
    <w:rsid w:val="00750B2B"/>
    <w:rsid w:val="007570BB"/>
    <w:rsid w:val="007851FD"/>
    <w:rsid w:val="007C1399"/>
    <w:rsid w:val="007F74FD"/>
    <w:rsid w:val="008516BE"/>
    <w:rsid w:val="0087573D"/>
    <w:rsid w:val="00877430"/>
    <w:rsid w:val="00882F3E"/>
    <w:rsid w:val="008A0AE8"/>
    <w:rsid w:val="008A2C89"/>
    <w:rsid w:val="008A40FE"/>
    <w:rsid w:val="008C6B67"/>
    <w:rsid w:val="00911DDF"/>
    <w:rsid w:val="0095091C"/>
    <w:rsid w:val="00975FA0"/>
    <w:rsid w:val="0098499F"/>
    <w:rsid w:val="009A18A0"/>
    <w:rsid w:val="009A24E0"/>
    <w:rsid w:val="009A7449"/>
    <w:rsid w:val="009C186D"/>
    <w:rsid w:val="009C3DA9"/>
    <w:rsid w:val="009C6327"/>
    <w:rsid w:val="00A026CC"/>
    <w:rsid w:val="00A452DD"/>
    <w:rsid w:val="00A50059"/>
    <w:rsid w:val="00A56EBF"/>
    <w:rsid w:val="00AC2C1A"/>
    <w:rsid w:val="00AF52DD"/>
    <w:rsid w:val="00B049FB"/>
    <w:rsid w:val="00B22B16"/>
    <w:rsid w:val="00B53C4D"/>
    <w:rsid w:val="00B67350"/>
    <w:rsid w:val="00B67516"/>
    <w:rsid w:val="00BA2427"/>
    <w:rsid w:val="00BA4496"/>
    <w:rsid w:val="00BA7F2F"/>
    <w:rsid w:val="00BD4E2F"/>
    <w:rsid w:val="00BD5B31"/>
    <w:rsid w:val="00BE217B"/>
    <w:rsid w:val="00C06159"/>
    <w:rsid w:val="00C063CC"/>
    <w:rsid w:val="00C154C4"/>
    <w:rsid w:val="00C16A4E"/>
    <w:rsid w:val="00C2018F"/>
    <w:rsid w:val="00C3305F"/>
    <w:rsid w:val="00C440AA"/>
    <w:rsid w:val="00C4681D"/>
    <w:rsid w:val="00C94F18"/>
    <w:rsid w:val="00CA1DF8"/>
    <w:rsid w:val="00CB0175"/>
    <w:rsid w:val="00CB42F4"/>
    <w:rsid w:val="00CC0914"/>
    <w:rsid w:val="00CE3BE5"/>
    <w:rsid w:val="00CF2C6A"/>
    <w:rsid w:val="00D22D67"/>
    <w:rsid w:val="00D26BC0"/>
    <w:rsid w:val="00D27EB9"/>
    <w:rsid w:val="00D347A5"/>
    <w:rsid w:val="00D418FE"/>
    <w:rsid w:val="00DA3109"/>
    <w:rsid w:val="00DB09C1"/>
    <w:rsid w:val="00DD5F3B"/>
    <w:rsid w:val="00DE34F0"/>
    <w:rsid w:val="00DF0FF8"/>
    <w:rsid w:val="00E15B80"/>
    <w:rsid w:val="00E23446"/>
    <w:rsid w:val="00E334B5"/>
    <w:rsid w:val="00E95A10"/>
    <w:rsid w:val="00F1106E"/>
    <w:rsid w:val="00F1636B"/>
    <w:rsid w:val="00F31655"/>
    <w:rsid w:val="00F54A8F"/>
    <w:rsid w:val="00F71E88"/>
    <w:rsid w:val="00FB1EC7"/>
    <w:rsid w:val="00FC465B"/>
    <w:rsid w:val="00FC7695"/>
    <w:rsid w:val="00FD3382"/>
    <w:rsid w:val="00FF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9A517"/>
  <w15:chartTrackingRefBased/>
  <w15:docId w15:val="{E6A93F7B-2F4A-4102-9327-971118A13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449"/>
  </w:style>
  <w:style w:type="paragraph" w:styleId="Heading1">
    <w:name w:val="heading 1"/>
    <w:basedOn w:val="Normal"/>
    <w:next w:val="Normal"/>
    <w:link w:val="Heading1Char"/>
    <w:uiPriority w:val="9"/>
    <w:qFormat/>
    <w:rsid w:val="009A74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4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4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4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4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4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74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4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4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4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449"/>
    <w:rPr>
      <w:rFonts w:eastAsiaTheme="majorEastAsia" w:cstheme="majorBidi"/>
      <w:color w:val="272727" w:themeColor="text1" w:themeTint="D8"/>
    </w:rPr>
  </w:style>
  <w:style w:type="paragraph" w:styleId="Title">
    <w:name w:val="Title"/>
    <w:basedOn w:val="Normal"/>
    <w:next w:val="Normal"/>
    <w:link w:val="TitleChar"/>
    <w:uiPriority w:val="10"/>
    <w:qFormat/>
    <w:rsid w:val="009A7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449"/>
    <w:pPr>
      <w:spacing w:before="160"/>
      <w:jc w:val="center"/>
    </w:pPr>
    <w:rPr>
      <w:i/>
      <w:iCs/>
      <w:color w:val="404040" w:themeColor="text1" w:themeTint="BF"/>
    </w:rPr>
  </w:style>
  <w:style w:type="character" w:customStyle="1" w:styleId="QuoteChar">
    <w:name w:val="Quote Char"/>
    <w:basedOn w:val="DefaultParagraphFont"/>
    <w:link w:val="Quote"/>
    <w:uiPriority w:val="29"/>
    <w:rsid w:val="009A7449"/>
    <w:rPr>
      <w:i/>
      <w:iCs/>
      <w:color w:val="404040" w:themeColor="text1" w:themeTint="BF"/>
    </w:rPr>
  </w:style>
  <w:style w:type="paragraph" w:styleId="ListParagraph">
    <w:name w:val="List Paragraph"/>
    <w:basedOn w:val="Normal"/>
    <w:uiPriority w:val="34"/>
    <w:qFormat/>
    <w:rsid w:val="009A7449"/>
    <w:pPr>
      <w:ind w:left="720"/>
      <w:contextualSpacing/>
    </w:pPr>
  </w:style>
  <w:style w:type="character" w:styleId="IntenseEmphasis">
    <w:name w:val="Intense Emphasis"/>
    <w:basedOn w:val="DefaultParagraphFont"/>
    <w:uiPriority w:val="21"/>
    <w:qFormat/>
    <w:rsid w:val="009A7449"/>
    <w:rPr>
      <w:i/>
      <w:iCs/>
      <w:color w:val="0F4761" w:themeColor="accent1" w:themeShade="BF"/>
    </w:rPr>
  </w:style>
  <w:style w:type="paragraph" w:styleId="IntenseQuote">
    <w:name w:val="Intense Quote"/>
    <w:basedOn w:val="Normal"/>
    <w:next w:val="Normal"/>
    <w:link w:val="IntenseQuoteChar"/>
    <w:uiPriority w:val="30"/>
    <w:qFormat/>
    <w:rsid w:val="009A74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449"/>
    <w:rPr>
      <w:i/>
      <w:iCs/>
      <w:color w:val="0F4761" w:themeColor="accent1" w:themeShade="BF"/>
    </w:rPr>
  </w:style>
  <w:style w:type="character" w:styleId="IntenseReference">
    <w:name w:val="Intense Reference"/>
    <w:basedOn w:val="DefaultParagraphFont"/>
    <w:uiPriority w:val="32"/>
    <w:qFormat/>
    <w:rsid w:val="009A7449"/>
    <w:rPr>
      <w:b/>
      <w:bCs/>
      <w:smallCaps/>
      <w:color w:val="0F4761" w:themeColor="accent1" w:themeShade="BF"/>
      <w:spacing w:val="5"/>
    </w:rPr>
  </w:style>
  <w:style w:type="table" w:styleId="TableGrid">
    <w:name w:val="Table Grid"/>
    <w:basedOn w:val="TableNormal"/>
    <w:uiPriority w:val="39"/>
    <w:rsid w:val="009A7449"/>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7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449"/>
  </w:style>
  <w:style w:type="paragraph" w:styleId="Footer">
    <w:name w:val="footer"/>
    <w:basedOn w:val="Normal"/>
    <w:link w:val="FooterChar"/>
    <w:uiPriority w:val="99"/>
    <w:unhideWhenUsed/>
    <w:rsid w:val="009A7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449"/>
  </w:style>
  <w:style w:type="paragraph" w:customStyle="1" w:styleId="Default">
    <w:name w:val="Default"/>
    <w:rsid w:val="00FD3382"/>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rsid w:val="00C063CC"/>
    <w:rPr>
      <w:color w:val="0000FF"/>
      <w:u w:val="single"/>
    </w:rPr>
  </w:style>
  <w:style w:type="character" w:styleId="UnresolvedMention">
    <w:name w:val="Unresolved Mention"/>
    <w:basedOn w:val="DefaultParagraphFont"/>
    <w:uiPriority w:val="99"/>
    <w:semiHidden/>
    <w:unhideWhenUsed/>
    <w:rsid w:val="00496D9E"/>
    <w:rPr>
      <w:color w:val="605E5C"/>
      <w:shd w:val="clear" w:color="auto" w:fill="E1DFDD"/>
    </w:rPr>
  </w:style>
  <w:style w:type="character" w:styleId="FollowedHyperlink">
    <w:name w:val="FollowedHyperlink"/>
    <w:basedOn w:val="DefaultParagraphFont"/>
    <w:uiPriority w:val="99"/>
    <w:semiHidden/>
    <w:unhideWhenUsed/>
    <w:rsid w:val="006878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038198">
      <w:bodyDiv w:val="1"/>
      <w:marLeft w:val="0"/>
      <w:marRight w:val="0"/>
      <w:marTop w:val="0"/>
      <w:marBottom w:val="0"/>
      <w:divBdr>
        <w:top w:val="none" w:sz="0" w:space="0" w:color="auto"/>
        <w:left w:val="none" w:sz="0" w:space="0" w:color="auto"/>
        <w:bottom w:val="none" w:sz="0" w:space="0" w:color="auto"/>
        <w:right w:val="none" w:sz="0" w:space="0" w:color="auto"/>
      </w:divBdr>
    </w:div>
    <w:div w:id="80488796">
      <w:bodyDiv w:val="1"/>
      <w:marLeft w:val="0"/>
      <w:marRight w:val="0"/>
      <w:marTop w:val="0"/>
      <w:marBottom w:val="0"/>
      <w:divBdr>
        <w:top w:val="none" w:sz="0" w:space="0" w:color="auto"/>
        <w:left w:val="none" w:sz="0" w:space="0" w:color="auto"/>
        <w:bottom w:val="none" w:sz="0" w:space="0" w:color="auto"/>
        <w:right w:val="none" w:sz="0" w:space="0" w:color="auto"/>
      </w:divBdr>
    </w:div>
    <w:div w:id="123933656">
      <w:bodyDiv w:val="1"/>
      <w:marLeft w:val="0"/>
      <w:marRight w:val="0"/>
      <w:marTop w:val="0"/>
      <w:marBottom w:val="0"/>
      <w:divBdr>
        <w:top w:val="none" w:sz="0" w:space="0" w:color="auto"/>
        <w:left w:val="none" w:sz="0" w:space="0" w:color="auto"/>
        <w:bottom w:val="none" w:sz="0" w:space="0" w:color="auto"/>
        <w:right w:val="none" w:sz="0" w:space="0" w:color="auto"/>
      </w:divBdr>
    </w:div>
    <w:div w:id="144514125">
      <w:bodyDiv w:val="1"/>
      <w:marLeft w:val="0"/>
      <w:marRight w:val="0"/>
      <w:marTop w:val="0"/>
      <w:marBottom w:val="0"/>
      <w:divBdr>
        <w:top w:val="none" w:sz="0" w:space="0" w:color="auto"/>
        <w:left w:val="none" w:sz="0" w:space="0" w:color="auto"/>
        <w:bottom w:val="none" w:sz="0" w:space="0" w:color="auto"/>
        <w:right w:val="none" w:sz="0" w:space="0" w:color="auto"/>
      </w:divBdr>
    </w:div>
    <w:div w:id="162942154">
      <w:bodyDiv w:val="1"/>
      <w:marLeft w:val="0"/>
      <w:marRight w:val="0"/>
      <w:marTop w:val="0"/>
      <w:marBottom w:val="0"/>
      <w:divBdr>
        <w:top w:val="none" w:sz="0" w:space="0" w:color="auto"/>
        <w:left w:val="none" w:sz="0" w:space="0" w:color="auto"/>
        <w:bottom w:val="none" w:sz="0" w:space="0" w:color="auto"/>
        <w:right w:val="none" w:sz="0" w:space="0" w:color="auto"/>
      </w:divBdr>
    </w:div>
    <w:div w:id="199634864">
      <w:bodyDiv w:val="1"/>
      <w:marLeft w:val="0"/>
      <w:marRight w:val="0"/>
      <w:marTop w:val="0"/>
      <w:marBottom w:val="0"/>
      <w:divBdr>
        <w:top w:val="none" w:sz="0" w:space="0" w:color="auto"/>
        <w:left w:val="none" w:sz="0" w:space="0" w:color="auto"/>
        <w:bottom w:val="none" w:sz="0" w:space="0" w:color="auto"/>
        <w:right w:val="none" w:sz="0" w:space="0" w:color="auto"/>
      </w:divBdr>
    </w:div>
    <w:div w:id="215514938">
      <w:bodyDiv w:val="1"/>
      <w:marLeft w:val="0"/>
      <w:marRight w:val="0"/>
      <w:marTop w:val="0"/>
      <w:marBottom w:val="0"/>
      <w:divBdr>
        <w:top w:val="none" w:sz="0" w:space="0" w:color="auto"/>
        <w:left w:val="none" w:sz="0" w:space="0" w:color="auto"/>
        <w:bottom w:val="none" w:sz="0" w:space="0" w:color="auto"/>
        <w:right w:val="none" w:sz="0" w:space="0" w:color="auto"/>
      </w:divBdr>
    </w:div>
    <w:div w:id="248345177">
      <w:bodyDiv w:val="1"/>
      <w:marLeft w:val="0"/>
      <w:marRight w:val="0"/>
      <w:marTop w:val="0"/>
      <w:marBottom w:val="0"/>
      <w:divBdr>
        <w:top w:val="none" w:sz="0" w:space="0" w:color="auto"/>
        <w:left w:val="none" w:sz="0" w:space="0" w:color="auto"/>
        <w:bottom w:val="none" w:sz="0" w:space="0" w:color="auto"/>
        <w:right w:val="none" w:sz="0" w:space="0" w:color="auto"/>
      </w:divBdr>
    </w:div>
    <w:div w:id="269896935">
      <w:bodyDiv w:val="1"/>
      <w:marLeft w:val="0"/>
      <w:marRight w:val="0"/>
      <w:marTop w:val="0"/>
      <w:marBottom w:val="0"/>
      <w:divBdr>
        <w:top w:val="none" w:sz="0" w:space="0" w:color="auto"/>
        <w:left w:val="none" w:sz="0" w:space="0" w:color="auto"/>
        <w:bottom w:val="none" w:sz="0" w:space="0" w:color="auto"/>
        <w:right w:val="none" w:sz="0" w:space="0" w:color="auto"/>
      </w:divBdr>
    </w:div>
    <w:div w:id="275991606">
      <w:bodyDiv w:val="1"/>
      <w:marLeft w:val="0"/>
      <w:marRight w:val="0"/>
      <w:marTop w:val="0"/>
      <w:marBottom w:val="0"/>
      <w:divBdr>
        <w:top w:val="none" w:sz="0" w:space="0" w:color="auto"/>
        <w:left w:val="none" w:sz="0" w:space="0" w:color="auto"/>
        <w:bottom w:val="none" w:sz="0" w:space="0" w:color="auto"/>
        <w:right w:val="none" w:sz="0" w:space="0" w:color="auto"/>
      </w:divBdr>
    </w:div>
    <w:div w:id="302544782">
      <w:bodyDiv w:val="1"/>
      <w:marLeft w:val="0"/>
      <w:marRight w:val="0"/>
      <w:marTop w:val="0"/>
      <w:marBottom w:val="0"/>
      <w:divBdr>
        <w:top w:val="none" w:sz="0" w:space="0" w:color="auto"/>
        <w:left w:val="none" w:sz="0" w:space="0" w:color="auto"/>
        <w:bottom w:val="none" w:sz="0" w:space="0" w:color="auto"/>
        <w:right w:val="none" w:sz="0" w:space="0" w:color="auto"/>
      </w:divBdr>
    </w:div>
    <w:div w:id="356855958">
      <w:bodyDiv w:val="1"/>
      <w:marLeft w:val="0"/>
      <w:marRight w:val="0"/>
      <w:marTop w:val="0"/>
      <w:marBottom w:val="0"/>
      <w:divBdr>
        <w:top w:val="none" w:sz="0" w:space="0" w:color="auto"/>
        <w:left w:val="none" w:sz="0" w:space="0" w:color="auto"/>
        <w:bottom w:val="none" w:sz="0" w:space="0" w:color="auto"/>
        <w:right w:val="none" w:sz="0" w:space="0" w:color="auto"/>
      </w:divBdr>
    </w:div>
    <w:div w:id="374280488">
      <w:bodyDiv w:val="1"/>
      <w:marLeft w:val="0"/>
      <w:marRight w:val="0"/>
      <w:marTop w:val="0"/>
      <w:marBottom w:val="0"/>
      <w:divBdr>
        <w:top w:val="none" w:sz="0" w:space="0" w:color="auto"/>
        <w:left w:val="none" w:sz="0" w:space="0" w:color="auto"/>
        <w:bottom w:val="none" w:sz="0" w:space="0" w:color="auto"/>
        <w:right w:val="none" w:sz="0" w:space="0" w:color="auto"/>
      </w:divBdr>
    </w:div>
    <w:div w:id="381101864">
      <w:bodyDiv w:val="1"/>
      <w:marLeft w:val="0"/>
      <w:marRight w:val="0"/>
      <w:marTop w:val="0"/>
      <w:marBottom w:val="0"/>
      <w:divBdr>
        <w:top w:val="none" w:sz="0" w:space="0" w:color="auto"/>
        <w:left w:val="none" w:sz="0" w:space="0" w:color="auto"/>
        <w:bottom w:val="none" w:sz="0" w:space="0" w:color="auto"/>
        <w:right w:val="none" w:sz="0" w:space="0" w:color="auto"/>
      </w:divBdr>
    </w:div>
    <w:div w:id="432558238">
      <w:bodyDiv w:val="1"/>
      <w:marLeft w:val="0"/>
      <w:marRight w:val="0"/>
      <w:marTop w:val="0"/>
      <w:marBottom w:val="0"/>
      <w:divBdr>
        <w:top w:val="none" w:sz="0" w:space="0" w:color="auto"/>
        <w:left w:val="none" w:sz="0" w:space="0" w:color="auto"/>
        <w:bottom w:val="none" w:sz="0" w:space="0" w:color="auto"/>
        <w:right w:val="none" w:sz="0" w:space="0" w:color="auto"/>
      </w:divBdr>
    </w:div>
    <w:div w:id="435488345">
      <w:bodyDiv w:val="1"/>
      <w:marLeft w:val="0"/>
      <w:marRight w:val="0"/>
      <w:marTop w:val="0"/>
      <w:marBottom w:val="0"/>
      <w:divBdr>
        <w:top w:val="none" w:sz="0" w:space="0" w:color="auto"/>
        <w:left w:val="none" w:sz="0" w:space="0" w:color="auto"/>
        <w:bottom w:val="none" w:sz="0" w:space="0" w:color="auto"/>
        <w:right w:val="none" w:sz="0" w:space="0" w:color="auto"/>
      </w:divBdr>
    </w:div>
    <w:div w:id="438137522">
      <w:bodyDiv w:val="1"/>
      <w:marLeft w:val="0"/>
      <w:marRight w:val="0"/>
      <w:marTop w:val="0"/>
      <w:marBottom w:val="0"/>
      <w:divBdr>
        <w:top w:val="none" w:sz="0" w:space="0" w:color="auto"/>
        <w:left w:val="none" w:sz="0" w:space="0" w:color="auto"/>
        <w:bottom w:val="none" w:sz="0" w:space="0" w:color="auto"/>
        <w:right w:val="none" w:sz="0" w:space="0" w:color="auto"/>
      </w:divBdr>
    </w:div>
    <w:div w:id="438575175">
      <w:bodyDiv w:val="1"/>
      <w:marLeft w:val="0"/>
      <w:marRight w:val="0"/>
      <w:marTop w:val="0"/>
      <w:marBottom w:val="0"/>
      <w:divBdr>
        <w:top w:val="none" w:sz="0" w:space="0" w:color="auto"/>
        <w:left w:val="none" w:sz="0" w:space="0" w:color="auto"/>
        <w:bottom w:val="none" w:sz="0" w:space="0" w:color="auto"/>
        <w:right w:val="none" w:sz="0" w:space="0" w:color="auto"/>
      </w:divBdr>
    </w:div>
    <w:div w:id="469173901">
      <w:bodyDiv w:val="1"/>
      <w:marLeft w:val="0"/>
      <w:marRight w:val="0"/>
      <w:marTop w:val="0"/>
      <w:marBottom w:val="0"/>
      <w:divBdr>
        <w:top w:val="none" w:sz="0" w:space="0" w:color="auto"/>
        <w:left w:val="none" w:sz="0" w:space="0" w:color="auto"/>
        <w:bottom w:val="none" w:sz="0" w:space="0" w:color="auto"/>
        <w:right w:val="none" w:sz="0" w:space="0" w:color="auto"/>
      </w:divBdr>
    </w:div>
    <w:div w:id="472216638">
      <w:bodyDiv w:val="1"/>
      <w:marLeft w:val="0"/>
      <w:marRight w:val="0"/>
      <w:marTop w:val="0"/>
      <w:marBottom w:val="0"/>
      <w:divBdr>
        <w:top w:val="none" w:sz="0" w:space="0" w:color="auto"/>
        <w:left w:val="none" w:sz="0" w:space="0" w:color="auto"/>
        <w:bottom w:val="none" w:sz="0" w:space="0" w:color="auto"/>
        <w:right w:val="none" w:sz="0" w:space="0" w:color="auto"/>
      </w:divBdr>
    </w:div>
    <w:div w:id="489490603">
      <w:bodyDiv w:val="1"/>
      <w:marLeft w:val="0"/>
      <w:marRight w:val="0"/>
      <w:marTop w:val="0"/>
      <w:marBottom w:val="0"/>
      <w:divBdr>
        <w:top w:val="none" w:sz="0" w:space="0" w:color="auto"/>
        <w:left w:val="none" w:sz="0" w:space="0" w:color="auto"/>
        <w:bottom w:val="none" w:sz="0" w:space="0" w:color="auto"/>
        <w:right w:val="none" w:sz="0" w:space="0" w:color="auto"/>
      </w:divBdr>
    </w:div>
    <w:div w:id="529028977">
      <w:bodyDiv w:val="1"/>
      <w:marLeft w:val="0"/>
      <w:marRight w:val="0"/>
      <w:marTop w:val="0"/>
      <w:marBottom w:val="0"/>
      <w:divBdr>
        <w:top w:val="none" w:sz="0" w:space="0" w:color="auto"/>
        <w:left w:val="none" w:sz="0" w:space="0" w:color="auto"/>
        <w:bottom w:val="none" w:sz="0" w:space="0" w:color="auto"/>
        <w:right w:val="none" w:sz="0" w:space="0" w:color="auto"/>
      </w:divBdr>
    </w:div>
    <w:div w:id="675813984">
      <w:bodyDiv w:val="1"/>
      <w:marLeft w:val="0"/>
      <w:marRight w:val="0"/>
      <w:marTop w:val="0"/>
      <w:marBottom w:val="0"/>
      <w:divBdr>
        <w:top w:val="none" w:sz="0" w:space="0" w:color="auto"/>
        <w:left w:val="none" w:sz="0" w:space="0" w:color="auto"/>
        <w:bottom w:val="none" w:sz="0" w:space="0" w:color="auto"/>
        <w:right w:val="none" w:sz="0" w:space="0" w:color="auto"/>
      </w:divBdr>
    </w:div>
    <w:div w:id="687759153">
      <w:bodyDiv w:val="1"/>
      <w:marLeft w:val="0"/>
      <w:marRight w:val="0"/>
      <w:marTop w:val="0"/>
      <w:marBottom w:val="0"/>
      <w:divBdr>
        <w:top w:val="none" w:sz="0" w:space="0" w:color="auto"/>
        <w:left w:val="none" w:sz="0" w:space="0" w:color="auto"/>
        <w:bottom w:val="none" w:sz="0" w:space="0" w:color="auto"/>
        <w:right w:val="none" w:sz="0" w:space="0" w:color="auto"/>
      </w:divBdr>
    </w:div>
    <w:div w:id="710150543">
      <w:bodyDiv w:val="1"/>
      <w:marLeft w:val="0"/>
      <w:marRight w:val="0"/>
      <w:marTop w:val="0"/>
      <w:marBottom w:val="0"/>
      <w:divBdr>
        <w:top w:val="none" w:sz="0" w:space="0" w:color="auto"/>
        <w:left w:val="none" w:sz="0" w:space="0" w:color="auto"/>
        <w:bottom w:val="none" w:sz="0" w:space="0" w:color="auto"/>
        <w:right w:val="none" w:sz="0" w:space="0" w:color="auto"/>
      </w:divBdr>
    </w:div>
    <w:div w:id="758598211">
      <w:bodyDiv w:val="1"/>
      <w:marLeft w:val="0"/>
      <w:marRight w:val="0"/>
      <w:marTop w:val="0"/>
      <w:marBottom w:val="0"/>
      <w:divBdr>
        <w:top w:val="none" w:sz="0" w:space="0" w:color="auto"/>
        <w:left w:val="none" w:sz="0" w:space="0" w:color="auto"/>
        <w:bottom w:val="none" w:sz="0" w:space="0" w:color="auto"/>
        <w:right w:val="none" w:sz="0" w:space="0" w:color="auto"/>
      </w:divBdr>
    </w:div>
    <w:div w:id="795367070">
      <w:bodyDiv w:val="1"/>
      <w:marLeft w:val="0"/>
      <w:marRight w:val="0"/>
      <w:marTop w:val="0"/>
      <w:marBottom w:val="0"/>
      <w:divBdr>
        <w:top w:val="none" w:sz="0" w:space="0" w:color="auto"/>
        <w:left w:val="none" w:sz="0" w:space="0" w:color="auto"/>
        <w:bottom w:val="none" w:sz="0" w:space="0" w:color="auto"/>
        <w:right w:val="none" w:sz="0" w:space="0" w:color="auto"/>
      </w:divBdr>
    </w:div>
    <w:div w:id="821194059">
      <w:bodyDiv w:val="1"/>
      <w:marLeft w:val="0"/>
      <w:marRight w:val="0"/>
      <w:marTop w:val="0"/>
      <w:marBottom w:val="0"/>
      <w:divBdr>
        <w:top w:val="none" w:sz="0" w:space="0" w:color="auto"/>
        <w:left w:val="none" w:sz="0" w:space="0" w:color="auto"/>
        <w:bottom w:val="none" w:sz="0" w:space="0" w:color="auto"/>
        <w:right w:val="none" w:sz="0" w:space="0" w:color="auto"/>
      </w:divBdr>
    </w:div>
    <w:div w:id="826282687">
      <w:bodyDiv w:val="1"/>
      <w:marLeft w:val="0"/>
      <w:marRight w:val="0"/>
      <w:marTop w:val="0"/>
      <w:marBottom w:val="0"/>
      <w:divBdr>
        <w:top w:val="none" w:sz="0" w:space="0" w:color="auto"/>
        <w:left w:val="none" w:sz="0" w:space="0" w:color="auto"/>
        <w:bottom w:val="none" w:sz="0" w:space="0" w:color="auto"/>
        <w:right w:val="none" w:sz="0" w:space="0" w:color="auto"/>
      </w:divBdr>
    </w:div>
    <w:div w:id="911428665">
      <w:bodyDiv w:val="1"/>
      <w:marLeft w:val="0"/>
      <w:marRight w:val="0"/>
      <w:marTop w:val="0"/>
      <w:marBottom w:val="0"/>
      <w:divBdr>
        <w:top w:val="none" w:sz="0" w:space="0" w:color="auto"/>
        <w:left w:val="none" w:sz="0" w:space="0" w:color="auto"/>
        <w:bottom w:val="none" w:sz="0" w:space="0" w:color="auto"/>
        <w:right w:val="none" w:sz="0" w:space="0" w:color="auto"/>
      </w:divBdr>
    </w:div>
    <w:div w:id="931740941">
      <w:bodyDiv w:val="1"/>
      <w:marLeft w:val="0"/>
      <w:marRight w:val="0"/>
      <w:marTop w:val="0"/>
      <w:marBottom w:val="0"/>
      <w:divBdr>
        <w:top w:val="none" w:sz="0" w:space="0" w:color="auto"/>
        <w:left w:val="none" w:sz="0" w:space="0" w:color="auto"/>
        <w:bottom w:val="none" w:sz="0" w:space="0" w:color="auto"/>
        <w:right w:val="none" w:sz="0" w:space="0" w:color="auto"/>
      </w:divBdr>
    </w:div>
    <w:div w:id="933175130">
      <w:bodyDiv w:val="1"/>
      <w:marLeft w:val="0"/>
      <w:marRight w:val="0"/>
      <w:marTop w:val="0"/>
      <w:marBottom w:val="0"/>
      <w:divBdr>
        <w:top w:val="none" w:sz="0" w:space="0" w:color="auto"/>
        <w:left w:val="none" w:sz="0" w:space="0" w:color="auto"/>
        <w:bottom w:val="none" w:sz="0" w:space="0" w:color="auto"/>
        <w:right w:val="none" w:sz="0" w:space="0" w:color="auto"/>
      </w:divBdr>
    </w:div>
    <w:div w:id="935596109">
      <w:bodyDiv w:val="1"/>
      <w:marLeft w:val="0"/>
      <w:marRight w:val="0"/>
      <w:marTop w:val="0"/>
      <w:marBottom w:val="0"/>
      <w:divBdr>
        <w:top w:val="none" w:sz="0" w:space="0" w:color="auto"/>
        <w:left w:val="none" w:sz="0" w:space="0" w:color="auto"/>
        <w:bottom w:val="none" w:sz="0" w:space="0" w:color="auto"/>
        <w:right w:val="none" w:sz="0" w:space="0" w:color="auto"/>
      </w:divBdr>
    </w:div>
    <w:div w:id="954867830">
      <w:bodyDiv w:val="1"/>
      <w:marLeft w:val="0"/>
      <w:marRight w:val="0"/>
      <w:marTop w:val="0"/>
      <w:marBottom w:val="0"/>
      <w:divBdr>
        <w:top w:val="none" w:sz="0" w:space="0" w:color="auto"/>
        <w:left w:val="none" w:sz="0" w:space="0" w:color="auto"/>
        <w:bottom w:val="none" w:sz="0" w:space="0" w:color="auto"/>
        <w:right w:val="none" w:sz="0" w:space="0" w:color="auto"/>
      </w:divBdr>
    </w:div>
    <w:div w:id="959191620">
      <w:bodyDiv w:val="1"/>
      <w:marLeft w:val="0"/>
      <w:marRight w:val="0"/>
      <w:marTop w:val="0"/>
      <w:marBottom w:val="0"/>
      <w:divBdr>
        <w:top w:val="none" w:sz="0" w:space="0" w:color="auto"/>
        <w:left w:val="none" w:sz="0" w:space="0" w:color="auto"/>
        <w:bottom w:val="none" w:sz="0" w:space="0" w:color="auto"/>
        <w:right w:val="none" w:sz="0" w:space="0" w:color="auto"/>
      </w:divBdr>
    </w:div>
    <w:div w:id="977609702">
      <w:bodyDiv w:val="1"/>
      <w:marLeft w:val="0"/>
      <w:marRight w:val="0"/>
      <w:marTop w:val="0"/>
      <w:marBottom w:val="0"/>
      <w:divBdr>
        <w:top w:val="none" w:sz="0" w:space="0" w:color="auto"/>
        <w:left w:val="none" w:sz="0" w:space="0" w:color="auto"/>
        <w:bottom w:val="none" w:sz="0" w:space="0" w:color="auto"/>
        <w:right w:val="none" w:sz="0" w:space="0" w:color="auto"/>
      </w:divBdr>
    </w:div>
    <w:div w:id="1031296460">
      <w:bodyDiv w:val="1"/>
      <w:marLeft w:val="0"/>
      <w:marRight w:val="0"/>
      <w:marTop w:val="0"/>
      <w:marBottom w:val="0"/>
      <w:divBdr>
        <w:top w:val="none" w:sz="0" w:space="0" w:color="auto"/>
        <w:left w:val="none" w:sz="0" w:space="0" w:color="auto"/>
        <w:bottom w:val="none" w:sz="0" w:space="0" w:color="auto"/>
        <w:right w:val="none" w:sz="0" w:space="0" w:color="auto"/>
      </w:divBdr>
      <w:divsChild>
        <w:div w:id="1245798632">
          <w:marLeft w:val="0"/>
          <w:marRight w:val="0"/>
          <w:marTop w:val="0"/>
          <w:marBottom w:val="0"/>
          <w:divBdr>
            <w:top w:val="none" w:sz="0" w:space="0" w:color="auto"/>
            <w:left w:val="none" w:sz="0" w:space="0" w:color="auto"/>
            <w:bottom w:val="none" w:sz="0" w:space="0" w:color="auto"/>
            <w:right w:val="none" w:sz="0" w:space="0" w:color="auto"/>
          </w:divBdr>
        </w:div>
      </w:divsChild>
    </w:div>
    <w:div w:id="1044670395">
      <w:bodyDiv w:val="1"/>
      <w:marLeft w:val="0"/>
      <w:marRight w:val="0"/>
      <w:marTop w:val="0"/>
      <w:marBottom w:val="0"/>
      <w:divBdr>
        <w:top w:val="none" w:sz="0" w:space="0" w:color="auto"/>
        <w:left w:val="none" w:sz="0" w:space="0" w:color="auto"/>
        <w:bottom w:val="none" w:sz="0" w:space="0" w:color="auto"/>
        <w:right w:val="none" w:sz="0" w:space="0" w:color="auto"/>
      </w:divBdr>
    </w:div>
    <w:div w:id="1093743291">
      <w:bodyDiv w:val="1"/>
      <w:marLeft w:val="0"/>
      <w:marRight w:val="0"/>
      <w:marTop w:val="0"/>
      <w:marBottom w:val="0"/>
      <w:divBdr>
        <w:top w:val="none" w:sz="0" w:space="0" w:color="auto"/>
        <w:left w:val="none" w:sz="0" w:space="0" w:color="auto"/>
        <w:bottom w:val="none" w:sz="0" w:space="0" w:color="auto"/>
        <w:right w:val="none" w:sz="0" w:space="0" w:color="auto"/>
      </w:divBdr>
    </w:div>
    <w:div w:id="1101602916">
      <w:bodyDiv w:val="1"/>
      <w:marLeft w:val="0"/>
      <w:marRight w:val="0"/>
      <w:marTop w:val="0"/>
      <w:marBottom w:val="0"/>
      <w:divBdr>
        <w:top w:val="none" w:sz="0" w:space="0" w:color="auto"/>
        <w:left w:val="none" w:sz="0" w:space="0" w:color="auto"/>
        <w:bottom w:val="none" w:sz="0" w:space="0" w:color="auto"/>
        <w:right w:val="none" w:sz="0" w:space="0" w:color="auto"/>
      </w:divBdr>
    </w:div>
    <w:div w:id="1121732372">
      <w:bodyDiv w:val="1"/>
      <w:marLeft w:val="0"/>
      <w:marRight w:val="0"/>
      <w:marTop w:val="0"/>
      <w:marBottom w:val="0"/>
      <w:divBdr>
        <w:top w:val="none" w:sz="0" w:space="0" w:color="auto"/>
        <w:left w:val="none" w:sz="0" w:space="0" w:color="auto"/>
        <w:bottom w:val="none" w:sz="0" w:space="0" w:color="auto"/>
        <w:right w:val="none" w:sz="0" w:space="0" w:color="auto"/>
      </w:divBdr>
    </w:div>
    <w:div w:id="1207714167">
      <w:bodyDiv w:val="1"/>
      <w:marLeft w:val="0"/>
      <w:marRight w:val="0"/>
      <w:marTop w:val="0"/>
      <w:marBottom w:val="0"/>
      <w:divBdr>
        <w:top w:val="none" w:sz="0" w:space="0" w:color="auto"/>
        <w:left w:val="none" w:sz="0" w:space="0" w:color="auto"/>
        <w:bottom w:val="none" w:sz="0" w:space="0" w:color="auto"/>
        <w:right w:val="none" w:sz="0" w:space="0" w:color="auto"/>
      </w:divBdr>
    </w:div>
    <w:div w:id="1312057219">
      <w:bodyDiv w:val="1"/>
      <w:marLeft w:val="0"/>
      <w:marRight w:val="0"/>
      <w:marTop w:val="0"/>
      <w:marBottom w:val="0"/>
      <w:divBdr>
        <w:top w:val="none" w:sz="0" w:space="0" w:color="auto"/>
        <w:left w:val="none" w:sz="0" w:space="0" w:color="auto"/>
        <w:bottom w:val="none" w:sz="0" w:space="0" w:color="auto"/>
        <w:right w:val="none" w:sz="0" w:space="0" w:color="auto"/>
      </w:divBdr>
    </w:div>
    <w:div w:id="1358041092">
      <w:bodyDiv w:val="1"/>
      <w:marLeft w:val="0"/>
      <w:marRight w:val="0"/>
      <w:marTop w:val="0"/>
      <w:marBottom w:val="0"/>
      <w:divBdr>
        <w:top w:val="none" w:sz="0" w:space="0" w:color="auto"/>
        <w:left w:val="none" w:sz="0" w:space="0" w:color="auto"/>
        <w:bottom w:val="none" w:sz="0" w:space="0" w:color="auto"/>
        <w:right w:val="none" w:sz="0" w:space="0" w:color="auto"/>
      </w:divBdr>
    </w:div>
    <w:div w:id="1399136627">
      <w:bodyDiv w:val="1"/>
      <w:marLeft w:val="0"/>
      <w:marRight w:val="0"/>
      <w:marTop w:val="0"/>
      <w:marBottom w:val="0"/>
      <w:divBdr>
        <w:top w:val="none" w:sz="0" w:space="0" w:color="auto"/>
        <w:left w:val="none" w:sz="0" w:space="0" w:color="auto"/>
        <w:bottom w:val="none" w:sz="0" w:space="0" w:color="auto"/>
        <w:right w:val="none" w:sz="0" w:space="0" w:color="auto"/>
      </w:divBdr>
    </w:div>
    <w:div w:id="1431313241">
      <w:bodyDiv w:val="1"/>
      <w:marLeft w:val="0"/>
      <w:marRight w:val="0"/>
      <w:marTop w:val="0"/>
      <w:marBottom w:val="0"/>
      <w:divBdr>
        <w:top w:val="none" w:sz="0" w:space="0" w:color="auto"/>
        <w:left w:val="none" w:sz="0" w:space="0" w:color="auto"/>
        <w:bottom w:val="none" w:sz="0" w:space="0" w:color="auto"/>
        <w:right w:val="none" w:sz="0" w:space="0" w:color="auto"/>
      </w:divBdr>
    </w:div>
    <w:div w:id="1459294349">
      <w:bodyDiv w:val="1"/>
      <w:marLeft w:val="0"/>
      <w:marRight w:val="0"/>
      <w:marTop w:val="0"/>
      <w:marBottom w:val="0"/>
      <w:divBdr>
        <w:top w:val="none" w:sz="0" w:space="0" w:color="auto"/>
        <w:left w:val="none" w:sz="0" w:space="0" w:color="auto"/>
        <w:bottom w:val="none" w:sz="0" w:space="0" w:color="auto"/>
        <w:right w:val="none" w:sz="0" w:space="0" w:color="auto"/>
      </w:divBdr>
    </w:div>
    <w:div w:id="1465611853">
      <w:bodyDiv w:val="1"/>
      <w:marLeft w:val="0"/>
      <w:marRight w:val="0"/>
      <w:marTop w:val="0"/>
      <w:marBottom w:val="0"/>
      <w:divBdr>
        <w:top w:val="none" w:sz="0" w:space="0" w:color="auto"/>
        <w:left w:val="none" w:sz="0" w:space="0" w:color="auto"/>
        <w:bottom w:val="none" w:sz="0" w:space="0" w:color="auto"/>
        <w:right w:val="none" w:sz="0" w:space="0" w:color="auto"/>
      </w:divBdr>
    </w:div>
    <w:div w:id="1527479749">
      <w:bodyDiv w:val="1"/>
      <w:marLeft w:val="0"/>
      <w:marRight w:val="0"/>
      <w:marTop w:val="0"/>
      <w:marBottom w:val="0"/>
      <w:divBdr>
        <w:top w:val="none" w:sz="0" w:space="0" w:color="auto"/>
        <w:left w:val="none" w:sz="0" w:space="0" w:color="auto"/>
        <w:bottom w:val="none" w:sz="0" w:space="0" w:color="auto"/>
        <w:right w:val="none" w:sz="0" w:space="0" w:color="auto"/>
      </w:divBdr>
    </w:div>
    <w:div w:id="1539972858">
      <w:bodyDiv w:val="1"/>
      <w:marLeft w:val="0"/>
      <w:marRight w:val="0"/>
      <w:marTop w:val="0"/>
      <w:marBottom w:val="0"/>
      <w:divBdr>
        <w:top w:val="none" w:sz="0" w:space="0" w:color="auto"/>
        <w:left w:val="none" w:sz="0" w:space="0" w:color="auto"/>
        <w:bottom w:val="none" w:sz="0" w:space="0" w:color="auto"/>
        <w:right w:val="none" w:sz="0" w:space="0" w:color="auto"/>
      </w:divBdr>
    </w:div>
    <w:div w:id="1548957386">
      <w:bodyDiv w:val="1"/>
      <w:marLeft w:val="0"/>
      <w:marRight w:val="0"/>
      <w:marTop w:val="0"/>
      <w:marBottom w:val="0"/>
      <w:divBdr>
        <w:top w:val="none" w:sz="0" w:space="0" w:color="auto"/>
        <w:left w:val="none" w:sz="0" w:space="0" w:color="auto"/>
        <w:bottom w:val="none" w:sz="0" w:space="0" w:color="auto"/>
        <w:right w:val="none" w:sz="0" w:space="0" w:color="auto"/>
      </w:divBdr>
    </w:div>
    <w:div w:id="1571113407">
      <w:bodyDiv w:val="1"/>
      <w:marLeft w:val="0"/>
      <w:marRight w:val="0"/>
      <w:marTop w:val="0"/>
      <w:marBottom w:val="0"/>
      <w:divBdr>
        <w:top w:val="none" w:sz="0" w:space="0" w:color="auto"/>
        <w:left w:val="none" w:sz="0" w:space="0" w:color="auto"/>
        <w:bottom w:val="none" w:sz="0" w:space="0" w:color="auto"/>
        <w:right w:val="none" w:sz="0" w:space="0" w:color="auto"/>
      </w:divBdr>
    </w:div>
    <w:div w:id="1600483159">
      <w:bodyDiv w:val="1"/>
      <w:marLeft w:val="0"/>
      <w:marRight w:val="0"/>
      <w:marTop w:val="0"/>
      <w:marBottom w:val="0"/>
      <w:divBdr>
        <w:top w:val="none" w:sz="0" w:space="0" w:color="auto"/>
        <w:left w:val="none" w:sz="0" w:space="0" w:color="auto"/>
        <w:bottom w:val="none" w:sz="0" w:space="0" w:color="auto"/>
        <w:right w:val="none" w:sz="0" w:space="0" w:color="auto"/>
      </w:divBdr>
    </w:div>
    <w:div w:id="1710372513">
      <w:bodyDiv w:val="1"/>
      <w:marLeft w:val="0"/>
      <w:marRight w:val="0"/>
      <w:marTop w:val="0"/>
      <w:marBottom w:val="0"/>
      <w:divBdr>
        <w:top w:val="none" w:sz="0" w:space="0" w:color="auto"/>
        <w:left w:val="none" w:sz="0" w:space="0" w:color="auto"/>
        <w:bottom w:val="none" w:sz="0" w:space="0" w:color="auto"/>
        <w:right w:val="none" w:sz="0" w:space="0" w:color="auto"/>
      </w:divBdr>
    </w:div>
    <w:div w:id="1715344559">
      <w:bodyDiv w:val="1"/>
      <w:marLeft w:val="0"/>
      <w:marRight w:val="0"/>
      <w:marTop w:val="0"/>
      <w:marBottom w:val="0"/>
      <w:divBdr>
        <w:top w:val="none" w:sz="0" w:space="0" w:color="auto"/>
        <w:left w:val="none" w:sz="0" w:space="0" w:color="auto"/>
        <w:bottom w:val="none" w:sz="0" w:space="0" w:color="auto"/>
        <w:right w:val="none" w:sz="0" w:space="0" w:color="auto"/>
      </w:divBdr>
    </w:div>
    <w:div w:id="1769689648">
      <w:bodyDiv w:val="1"/>
      <w:marLeft w:val="0"/>
      <w:marRight w:val="0"/>
      <w:marTop w:val="0"/>
      <w:marBottom w:val="0"/>
      <w:divBdr>
        <w:top w:val="none" w:sz="0" w:space="0" w:color="auto"/>
        <w:left w:val="none" w:sz="0" w:space="0" w:color="auto"/>
        <w:bottom w:val="none" w:sz="0" w:space="0" w:color="auto"/>
        <w:right w:val="none" w:sz="0" w:space="0" w:color="auto"/>
      </w:divBdr>
    </w:div>
    <w:div w:id="1833402157">
      <w:bodyDiv w:val="1"/>
      <w:marLeft w:val="0"/>
      <w:marRight w:val="0"/>
      <w:marTop w:val="0"/>
      <w:marBottom w:val="0"/>
      <w:divBdr>
        <w:top w:val="none" w:sz="0" w:space="0" w:color="auto"/>
        <w:left w:val="none" w:sz="0" w:space="0" w:color="auto"/>
        <w:bottom w:val="none" w:sz="0" w:space="0" w:color="auto"/>
        <w:right w:val="none" w:sz="0" w:space="0" w:color="auto"/>
      </w:divBdr>
    </w:div>
    <w:div w:id="1996832236">
      <w:bodyDiv w:val="1"/>
      <w:marLeft w:val="0"/>
      <w:marRight w:val="0"/>
      <w:marTop w:val="0"/>
      <w:marBottom w:val="0"/>
      <w:divBdr>
        <w:top w:val="none" w:sz="0" w:space="0" w:color="auto"/>
        <w:left w:val="none" w:sz="0" w:space="0" w:color="auto"/>
        <w:bottom w:val="none" w:sz="0" w:space="0" w:color="auto"/>
        <w:right w:val="none" w:sz="0" w:space="0" w:color="auto"/>
      </w:divBdr>
    </w:div>
    <w:div w:id="1997414432">
      <w:bodyDiv w:val="1"/>
      <w:marLeft w:val="0"/>
      <w:marRight w:val="0"/>
      <w:marTop w:val="0"/>
      <w:marBottom w:val="0"/>
      <w:divBdr>
        <w:top w:val="none" w:sz="0" w:space="0" w:color="auto"/>
        <w:left w:val="none" w:sz="0" w:space="0" w:color="auto"/>
        <w:bottom w:val="none" w:sz="0" w:space="0" w:color="auto"/>
        <w:right w:val="none" w:sz="0" w:space="0" w:color="auto"/>
      </w:divBdr>
      <w:divsChild>
        <w:div w:id="1963027343">
          <w:marLeft w:val="0"/>
          <w:marRight w:val="0"/>
          <w:marTop w:val="0"/>
          <w:marBottom w:val="0"/>
          <w:divBdr>
            <w:top w:val="none" w:sz="0" w:space="0" w:color="auto"/>
            <w:left w:val="none" w:sz="0" w:space="0" w:color="auto"/>
            <w:bottom w:val="none" w:sz="0" w:space="0" w:color="auto"/>
            <w:right w:val="none" w:sz="0" w:space="0" w:color="auto"/>
          </w:divBdr>
        </w:div>
      </w:divsChild>
    </w:div>
    <w:div w:id="2003581642">
      <w:bodyDiv w:val="1"/>
      <w:marLeft w:val="0"/>
      <w:marRight w:val="0"/>
      <w:marTop w:val="0"/>
      <w:marBottom w:val="0"/>
      <w:divBdr>
        <w:top w:val="none" w:sz="0" w:space="0" w:color="auto"/>
        <w:left w:val="none" w:sz="0" w:space="0" w:color="auto"/>
        <w:bottom w:val="none" w:sz="0" w:space="0" w:color="auto"/>
        <w:right w:val="none" w:sz="0" w:space="0" w:color="auto"/>
      </w:divBdr>
    </w:div>
    <w:div w:id="2031179870">
      <w:bodyDiv w:val="1"/>
      <w:marLeft w:val="0"/>
      <w:marRight w:val="0"/>
      <w:marTop w:val="0"/>
      <w:marBottom w:val="0"/>
      <w:divBdr>
        <w:top w:val="none" w:sz="0" w:space="0" w:color="auto"/>
        <w:left w:val="none" w:sz="0" w:space="0" w:color="auto"/>
        <w:bottom w:val="none" w:sz="0" w:space="0" w:color="auto"/>
        <w:right w:val="none" w:sz="0" w:space="0" w:color="auto"/>
      </w:divBdr>
    </w:div>
    <w:div w:id="2040356182">
      <w:bodyDiv w:val="1"/>
      <w:marLeft w:val="0"/>
      <w:marRight w:val="0"/>
      <w:marTop w:val="0"/>
      <w:marBottom w:val="0"/>
      <w:divBdr>
        <w:top w:val="none" w:sz="0" w:space="0" w:color="auto"/>
        <w:left w:val="none" w:sz="0" w:space="0" w:color="auto"/>
        <w:bottom w:val="none" w:sz="0" w:space="0" w:color="auto"/>
        <w:right w:val="none" w:sz="0" w:space="0" w:color="auto"/>
      </w:divBdr>
    </w:div>
    <w:div w:id="2077624496">
      <w:bodyDiv w:val="1"/>
      <w:marLeft w:val="0"/>
      <w:marRight w:val="0"/>
      <w:marTop w:val="0"/>
      <w:marBottom w:val="0"/>
      <w:divBdr>
        <w:top w:val="none" w:sz="0" w:space="0" w:color="auto"/>
        <w:left w:val="none" w:sz="0" w:space="0" w:color="auto"/>
        <w:bottom w:val="none" w:sz="0" w:space="0" w:color="auto"/>
        <w:right w:val="none" w:sz="0" w:space="0" w:color="auto"/>
      </w:divBdr>
    </w:div>
    <w:div w:id="2082212334">
      <w:bodyDiv w:val="1"/>
      <w:marLeft w:val="0"/>
      <w:marRight w:val="0"/>
      <w:marTop w:val="0"/>
      <w:marBottom w:val="0"/>
      <w:divBdr>
        <w:top w:val="none" w:sz="0" w:space="0" w:color="auto"/>
        <w:left w:val="none" w:sz="0" w:space="0" w:color="auto"/>
        <w:bottom w:val="none" w:sz="0" w:space="0" w:color="auto"/>
        <w:right w:val="none" w:sz="0" w:space="0" w:color="auto"/>
      </w:divBdr>
    </w:div>
    <w:div w:id="2127502088">
      <w:bodyDiv w:val="1"/>
      <w:marLeft w:val="0"/>
      <w:marRight w:val="0"/>
      <w:marTop w:val="0"/>
      <w:marBottom w:val="0"/>
      <w:divBdr>
        <w:top w:val="none" w:sz="0" w:space="0" w:color="auto"/>
        <w:left w:val="none" w:sz="0" w:space="0" w:color="auto"/>
        <w:bottom w:val="none" w:sz="0" w:space="0" w:color="auto"/>
        <w:right w:val="none" w:sz="0" w:space="0" w:color="auto"/>
      </w:divBdr>
    </w:div>
    <w:div w:id="2137723343">
      <w:bodyDiv w:val="1"/>
      <w:marLeft w:val="0"/>
      <w:marRight w:val="0"/>
      <w:marTop w:val="0"/>
      <w:marBottom w:val="0"/>
      <w:divBdr>
        <w:top w:val="none" w:sz="0" w:space="0" w:color="auto"/>
        <w:left w:val="none" w:sz="0" w:space="0" w:color="auto"/>
        <w:bottom w:val="none" w:sz="0" w:space="0" w:color="auto"/>
        <w:right w:val="none" w:sz="0" w:space="0" w:color="auto"/>
      </w:divBdr>
    </w:div>
    <w:div w:id="2141266223">
      <w:bodyDiv w:val="1"/>
      <w:marLeft w:val="0"/>
      <w:marRight w:val="0"/>
      <w:marTop w:val="0"/>
      <w:marBottom w:val="0"/>
      <w:divBdr>
        <w:top w:val="none" w:sz="0" w:space="0" w:color="auto"/>
        <w:left w:val="none" w:sz="0" w:space="0" w:color="auto"/>
        <w:bottom w:val="none" w:sz="0" w:space="0" w:color="auto"/>
        <w:right w:val="none" w:sz="0" w:space="0" w:color="auto"/>
      </w:divBdr>
    </w:div>
    <w:div w:id="2143384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9594x.2018.1430685" TargetMode="External"/><Relationship Id="rId13" Type="http://schemas.openxmlformats.org/officeDocument/2006/relationships/hyperlink" Target="https://www.estyn.llyw.cymru/system/files/2022-10/Effective%20approaches%20to%20assessment%20that%20improve%20teaching%20and%20learning.pdf" TargetMode="External"/><Relationship Id="rId18" Type="http://schemas.openxmlformats.org/officeDocument/2006/relationships/hyperlink" Target="https://hwb.gov.wales/curriculum-for-wales/assessment-arrangements/supporting-learner-progression-assessment-guidance/" TargetMode="External"/><Relationship Id="rId26"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hwb.gov.wales/evaluation-improvement-and-accountability/school-improvement-guidance-framework-for-evaluation-improvement-and-accountability/" TargetMode="External"/><Relationship Id="rId7" Type="http://schemas.openxmlformats.org/officeDocument/2006/relationships/image" Target="media/image1.png"/><Relationship Id="rId12" Type="http://schemas.openxmlformats.org/officeDocument/2006/relationships/hyperlink" Target="https://doi.org/10.1007/s10648-011-9191-6" TargetMode="External"/><Relationship Id="rId17" Type="http://schemas.openxmlformats.org/officeDocument/2006/relationships/hyperlink" Target="https://www.legislation.gov.uk/anaw/2018/2/contents" TargetMode="External"/><Relationship Id="rId25" Type="http://schemas.openxmlformats.org/officeDocument/2006/relationships/hyperlink" Target="https://hwb.gov.wales/curriculum-for-wales/curriculum-for-wales-continuing-the-journey/" TargetMode="External"/><Relationship Id="rId2" Type="http://schemas.openxmlformats.org/officeDocument/2006/relationships/styles" Target="styles.xml"/><Relationship Id="rId16" Type="http://schemas.openxmlformats.org/officeDocument/2006/relationships/hyperlink" Target="https://www.gov.wales/sites/default/files/pdf-versions/2025/2/2/1740501518/well-being-future-generations-act-essentials.pdf" TargetMode="External"/><Relationship Id="rId20" Type="http://schemas.openxmlformats.org/officeDocument/2006/relationships/hyperlink" Target="https://hwb.gov.wales/curriculum-for-wal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publication/ethical-guidelines-for-educational-research-fifth-edition-2024-online" TargetMode="External"/><Relationship Id="rId24" Type="http://schemas.openxmlformats.org/officeDocument/2006/relationships/hyperlink" Target="https://www.gov.wales/our-national-mission-high-standards-and-aspirations-all-html" TargetMode="External"/><Relationship Id="rId5" Type="http://schemas.openxmlformats.org/officeDocument/2006/relationships/footnotes" Target="footnotes.xml"/><Relationship Id="rId15" Type="http://schemas.openxmlformats.org/officeDocument/2006/relationships/hyperlink" Target="https://doi.org/10.3402/rlt.v19i2.10347" TargetMode="External"/><Relationship Id="rId23" Type="http://schemas.openxmlformats.org/officeDocument/2006/relationships/hyperlink" Target="https://www.gov.wales/our-national-mission-high-standards-and-aspirations-all-html" TargetMode="External"/><Relationship Id="rId28" Type="http://schemas.openxmlformats.org/officeDocument/2006/relationships/fontTable" Target="fontTable.xml"/><Relationship Id="rId10" Type="http://schemas.openxmlformats.org/officeDocument/2006/relationships/hyperlink" Target="https://link.springer.com/article/10.1007/s11092-008-9068-5" TargetMode="External"/><Relationship Id="rId19"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doi.org/10.1111/j.1744-7984.2004.tb00047.x" TargetMode="External"/><Relationship Id="rId14" Type="http://schemas.openxmlformats.org/officeDocument/2006/relationships/hyperlink" Target="https://estyn.gov.wales/improvement-resources/effective-approaches-to-assessment-that-improve-teaching-and-learning/" TargetMode="External"/><Relationship Id="rId22" Type="http://schemas.openxmlformats.org/officeDocument/2006/relationships/hyperlink" Target="https://www.gov.wales/our-national-mission-high-standards-and-aspirations-all-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7</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176</cp:revision>
  <dcterms:created xsi:type="dcterms:W3CDTF">2025-04-04T12:21:00Z</dcterms:created>
  <dcterms:modified xsi:type="dcterms:W3CDTF">2025-04-24T19:40:00Z</dcterms:modified>
</cp:coreProperties>
</file>