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B56300" w14:textId="10E5D6A9" w:rsidR="00E85290" w:rsidRPr="00133103" w:rsidRDefault="00E85290" w:rsidP="00717E48">
      <w:pPr>
        <w:spacing w:line="360" w:lineRule="auto"/>
        <w:jc w:val="both"/>
        <w:rPr>
          <w:rFonts w:ascii="Arial" w:hAnsi="Arial" w:cs="Arial"/>
          <w:sz w:val="52"/>
          <w:szCs w:val="52"/>
        </w:rPr>
      </w:pPr>
      <w:r w:rsidRPr="00133103">
        <w:rPr>
          <w:rFonts w:ascii="Arial" w:hAnsi="Arial" w:cs="Arial"/>
          <w:b/>
          <w:bCs/>
          <w:sz w:val="52"/>
          <w:szCs w:val="52"/>
        </w:rPr>
        <w:t>Name:</w:t>
      </w:r>
      <w:r w:rsidRPr="00133103">
        <w:rPr>
          <w:rFonts w:ascii="Arial" w:hAnsi="Arial" w:cs="Arial"/>
          <w:sz w:val="52"/>
          <w:szCs w:val="52"/>
        </w:rPr>
        <w:t xml:space="preserve"> Shazad Iqbal</w:t>
      </w:r>
    </w:p>
    <w:p w14:paraId="77A3B3C4" w14:textId="16CD3475" w:rsidR="00E85290" w:rsidRPr="00133103" w:rsidRDefault="00E85290" w:rsidP="00717E48">
      <w:pPr>
        <w:spacing w:line="360" w:lineRule="auto"/>
        <w:jc w:val="both"/>
        <w:rPr>
          <w:rFonts w:ascii="Arial" w:hAnsi="Arial" w:cs="Arial"/>
          <w:sz w:val="52"/>
          <w:szCs w:val="52"/>
        </w:rPr>
      </w:pPr>
      <w:r w:rsidRPr="00133103">
        <w:rPr>
          <w:rFonts w:ascii="Arial" w:hAnsi="Arial" w:cs="Arial"/>
          <w:b/>
          <w:bCs/>
          <w:sz w:val="52"/>
          <w:szCs w:val="52"/>
        </w:rPr>
        <w:t>Student Number:</w:t>
      </w:r>
      <w:r w:rsidRPr="00133103">
        <w:rPr>
          <w:rFonts w:ascii="Arial" w:hAnsi="Arial" w:cs="Arial"/>
          <w:sz w:val="52"/>
          <w:szCs w:val="52"/>
        </w:rPr>
        <w:t xml:space="preserve"> 2406671</w:t>
      </w:r>
    </w:p>
    <w:p w14:paraId="726719DD" w14:textId="785821CD" w:rsidR="00E85290" w:rsidRPr="00133103" w:rsidRDefault="00E85290" w:rsidP="00717E48">
      <w:pPr>
        <w:spacing w:line="360" w:lineRule="auto"/>
        <w:jc w:val="both"/>
        <w:rPr>
          <w:rFonts w:ascii="Arial" w:hAnsi="Arial" w:cs="Arial"/>
          <w:sz w:val="52"/>
          <w:szCs w:val="52"/>
        </w:rPr>
      </w:pPr>
      <w:r w:rsidRPr="00133103">
        <w:rPr>
          <w:rFonts w:ascii="Arial" w:hAnsi="Arial" w:cs="Arial"/>
          <w:b/>
          <w:bCs/>
          <w:sz w:val="52"/>
          <w:szCs w:val="52"/>
        </w:rPr>
        <w:t>Course:</w:t>
      </w:r>
      <w:r w:rsidRPr="00133103">
        <w:rPr>
          <w:rFonts w:ascii="Arial" w:hAnsi="Arial" w:cs="Arial"/>
          <w:sz w:val="52"/>
          <w:szCs w:val="52"/>
        </w:rPr>
        <w:t xml:space="preserve"> BA Hons Leadership and Management Skills for the Workplace</w:t>
      </w:r>
    </w:p>
    <w:p w14:paraId="00BF1FD3" w14:textId="31FECAC3" w:rsidR="00E85290" w:rsidRPr="00133103" w:rsidRDefault="00E85290" w:rsidP="00717E48">
      <w:pPr>
        <w:spacing w:line="360" w:lineRule="auto"/>
        <w:jc w:val="both"/>
        <w:rPr>
          <w:rFonts w:ascii="Arial" w:hAnsi="Arial" w:cs="Arial"/>
          <w:sz w:val="52"/>
          <w:szCs w:val="52"/>
        </w:rPr>
      </w:pPr>
      <w:r w:rsidRPr="00133103">
        <w:rPr>
          <w:rFonts w:ascii="Arial" w:hAnsi="Arial" w:cs="Arial"/>
          <w:b/>
          <w:bCs/>
          <w:sz w:val="52"/>
          <w:szCs w:val="52"/>
        </w:rPr>
        <w:t>Lecturer:</w:t>
      </w:r>
      <w:r w:rsidRPr="00133103">
        <w:rPr>
          <w:rFonts w:ascii="Arial" w:hAnsi="Arial" w:cs="Arial"/>
          <w:sz w:val="52"/>
          <w:szCs w:val="52"/>
        </w:rPr>
        <w:t xml:space="preserve"> Abdallah Naser</w:t>
      </w:r>
    </w:p>
    <w:p w14:paraId="55829722" w14:textId="77777777" w:rsidR="00E85290" w:rsidRPr="00133103" w:rsidRDefault="00E85290" w:rsidP="00717E48">
      <w:pPr>
        <w:spacing w:line="360" w:lineRule="auto"/>
        <w:jc w:val="both"/>
        <w:rPr>
          <w:rFonts w:ascii="Arial" w:hAnsi="Arial" w:cs="Arial"/>
          <w:sz w:val="52"/>
          <w:szCs w:val="52"/>
        </w:rPr>
      </w:pPr>
      <w:r w:rsidRPr="00133103">
        <w:rPr>
          <w:rFonts w:ascii="Arial" w:hAnsi="Arial" w:cs="Arial"/>
          <w:b/>
          <w:bCs/>
          <w:sz w:val="52"/>
          <w:szCs w:val="52"/>
        </w:rPr>
        <w:t>Module Code:</w:t>
      </w:r>
      <w:r w:rsidRPr="00133103">
        <w:rPr>
          <w:rFonts w:ascii="Arial" w:hAnsi="Arial" w:cs="Arial"/>
          <w:sz w:val="52"/>
          <w:szCs w:val="52"/>
        </w:rPr>
        <w:t xml:space="preserve"> LCLM5006 </w:t>
      </w:r>
    </w:p>
    <w:p w14:paraId="5E344BF4" w14:textId="4ABF8431" w:rsidR="00E85290" w:rsidRPr="00133103" w:rsidRDefault="00E85290" w:rsidP="00717E48">
      <w:pPr>
        <w:spacing w:line="360" w:lineRule="auto"/>
        <w:jc w:val="both"/>
        <w:rPr>
          <w:rFonts w:ascii="Arial" w:hAnsi="Arial" w:cs="Arial"/>
          <w:sz w:val="52"/>
          <w:szCs w:val="52"/>
        </w:rPr>
      </w:pPr>
      <w:r w:rsidRPr="00133103">
        <w:rPr>
          <w:rFonts w:ascii="Arial" w:hAnsi="Arial" w:cs="Arial"/>
          <w:b/>
          <w:bCs/>
          <w:sz w:val="52"/>
          <w:szCs w:val="52"/>
        </w:rPr>
        <w:t>Module Title:</w:t>
      </w:r>
      <w:r w:rsidRPr="00133103">
        <w:rPr>
          <w:rFonts w:ascii="Arial" w:hAnsi="Arial" w:cs="Arial"/>
          <w:sz w:val="52"/>
          <w:szCs w:val="52"/>
        </w:rPr>
        <w:t xml:space="preserve"> Developing Emotional Intelligence Skills for the Workplace</w:t>
      </w:r>
    </w:p>
    <w:p w14:paraId="5EE06375" w14:textId="2C9381DC" w:rsidR="00133103" w:rsidRDefault="00E85290" w:rsidP="00717E48">
      <w:pPr>
        <w:spacing w:line="360" w:lineRule="auto"/>
        <w:jc w:val="both"/>
        <w:rPr>
          <w:rFonts w:ascii="Arial" w:hAnsi="Arial" w:cs="Arial"/>
          <w:sz w:val="52"/>
          <w:szCs w:val="52"/>
        </w:rPr>
      </w:pPr>
      <w:r w:rsidRPr="00133103">
        <w:rPr>
          <w:rFonts w:ascii="Arial" w:hAnsi="Arial" w:cs="Arial"/>
          <w:b/>
          <w:bCs/>
          <w:sz w:val="52"/>
          <w:szCs w:val="52"/>
        </w:rPr>
        <w:t>Component 2:</w:t>
      </w:r>
      <w:r w:rsidRPr="00133103">
        <w:rPr>
          <w:rFonts w:ascii="Arial" w:hAnsi="Arial" w:cs="Arial"/>
          <w:sz w:val="52"/>
          <w:szCs w:val="52"/>
        </w:rPr>
        <w:t xml:space="preserve"> Assignment Title: An Analytical Report on Emotional Intelligence, Mindfulness, and Multigenerational Leadership in Contemporary Organisation</w:t>
      </w:r>
    </w:p>
    <w:p w14:paraId="79627717" w14:textId="77777777" w:rsidR="00717E48" w:rsidRPr="00133103" w:rsidRDefault="00717E48" w:rsidP="00E85290">
      <w:pPr>
        <w:spacing w:line="360" w:lineRule="auto"/>
        <w:rPr>
          <w:rFonts w:ascii="Arial" w:hAnsi="Arial" w:cs="Arial"/>
          <w:sz w:val="52"/>
          <w:szCs w:val="52"/>
        </w:rPr>
      </w:pPr>
    </w:p>
    <w:sdt>
      <w:sdtPr>
        <w:rPr>
          <w:rFonts w:asciiTheme="minorHAnsi" w:eastAsiaTheme="minorHAnsi" w:hAnsiTheme="minorHAnsi" w:cstheme="minorBidi"/>
          <w:color w:val="auto"/>
          <w:kern w:val="2"/>
          <w:sz w:val="24"/>
          <w:szCs w:val="24"/>
          <w:lang w:eastAsia="en-US"/>
          <w14:ligatures w14:val="standardContextual"/>
        </w:rPr>
        <w:id w:val="-1511974880"/>
        <w:docPartObj>
          <w:docPartGallery w:val="Table of Contents"/>
          <w:docPartUnique/>
        </w:docPartObj>
      </w:sdtPr>
      <w:sdtEndPr>
        <w:rPr>
          <w:b/>
          <w:bCs/>
        </w:rPr>
      </w:sdtEndPr>
      <w:sdtContent>
        <w:p w14:paraId="618AEFA1" w14:textId="78FB1212" w:rsidR="00133103" w:rsidRDefault="00133103">
          <w:pPr>
            <w:pStyle w:val="TOCHeading"/>
          </w:pPr>
          <w:r>
            <w:t>Contents</w:t>
          </w:r>
        </w:p>
        <w:p w14:paraId="317DD006" w14:textId="06E068DA" w:rsidR="006D1598" w:rsidRDefault="0013310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4580020" w:history="1">
            <w:r w:rsidR="006D1598" w:rsidRPr="009B38AD">
              <w:rPr>
                <w:rStyle w:val="Hyperlink"/>
                <w:noProof/>
              </w:rPr>
              <w:t>Introduction</w:t>
            </w:r>
            <w:r w:rsidR="006D1598">
              <w:rPr>
                <w:noProof/>
                <w:webHidden/>
              </w:rPr>
              <w:tab/>
            </w:r>
            <w:r w:rsidR="006D1598">
              <w:rPr>
                <w:noProof/>
                <w:webHidden/>
              </w:rPr>
              <w:fldChar w:fldCharType="begin"/>
            </w:r>
            <w:r w:rsidR="006D1598">
              <w:rPr>
                <w:noProof/>
                <w:webHidden/>
              </w:rPr>
              <w:instrText xml:space="preserve"> PAGEREF _Toc234580020 \h </w:instrText>
            </w:r>
            <w:r w:rsidR="006D1598">
              <w:rPr>
                <w:noProof/>
                <w:webHidden/>
              </w:rPr>
            </w:r>
            <w:r w:rsidR="006D1598">
              <w:rPr>
                <w:noProof/>
                <w:webHidden/>
              </w:rPr>
              <w:fldChar w:fldCharType="separate"/>
            </w:r>
            <w:r w:rsidR="006D1598">
              <w:rPr>
                <w:noProof/>
                <w:webHidden/>
              </w:rPr>
              <w:t>2</w:t>
            </w:r>
            <w:r w:rsidR="006D1598">
              <w:rPr>
                <w:noProof/>
                <w:webHidden/>
              </w:rPr>
              <w:fldChar w:fldCharType="end"/>
            </w:r>
          </w:hyperlink>
        </w:p>
        <w:p w14:paraId="42A24262" w14:textId="62C5D830" w:rsidR="006D1598" w:rsidRDefault="006D1598">
          <w:pPr>
            <w:pStyle w:val="TOC1"/>
            <w:tabs>
              <w:tab w:val="right" w:leader="dot" w:pos="9016"/>
            </w:tabs>
            <w:rPr>
              <w:rFonts w:eastAsiaTheme="minorEastAsia"/>
              <w:noProof/>
              <w:lang w:eastAsia="en-GB"/>
            </w:rPr>
          </w:pPr>
          <w:hyperlink w:anchor="_Toc234580021" w:history="1">
            <w:r w:rsidRPr="009B38AD">
              <w:rPr>
                <w:rStyle w:val="Hyperlink"/>
                <w:noProof/>
              </w:rPr>
              <w:t>Task 1: Emotional Intelligence in the Workplace</w:t>
            </w:r>
            <w:r>
              <w:rPr>
                <w:noProof/>
                <w:webHidden/>
              </w:rPr>
              <w:tab/>
            </w:r>
            <w:r>
              <w:rPr>
                <w:noProof/>
                <w:webHidden/>
              </w:rPr>
              <w:fldChar w:fldCharType="begin"/>
            </w:r>
            <w:r>
              <w:rPr>
                <w:noProof/>
                <w:webHidden/>
              </w:rPr>
              <w:instrText xml:space="preserve"> PAGEREF _Toc234580021 \h </w:instrText>
            </w:r>
            <w:r>
              <w:rPr>
                <w:noProof/>
                <w:webHidden/>
              </w:rPr>
            </w:r>
            <w:r>
              <w:rPr>
                <w:noProof/>
                <w:webHidden/>
              </w:rPr>
              <w:fldChar w:fldCharType="separate"/>
            </w:r>
            <w:r>
              <w:rPr>
                <w:noProof/>
                <w:webHidden/>
              </w:rPr>
              <w:t>3</w:t>
            </w:r>
            <w:r>
              <w:rPr>
                <w:noProof/>
                <w:webHidden/>
              </w:rPr>
              <w:fldChar w:fldCharType="end"/>
            </w:r>
          </w:hyperlink>
        </w:p>
        <w:p w14:paraId="65D97906" w14:textId="330932DC" w:rsidR="006D1598" w:rsidRDefault="006D1598">
          <w:pPr>
            <w:pStyle w:val="TOC2"/>
            <w:tabs>
              <w:tab w:val="right" w:leader="dot" w:pos="9016"/>
            </w:tabs>
            <w:rPr>
              <w:rFonts w:eastAsiaTheme="minorEastAsia"/>
              <w:noProof/>
              <w:lang w:eastAsia="en-GB"/>
            </w:rPr>
          </w:pPr>
          <w:hyperlink w:anchor="_Toc234580022" w:history="1">
            <w:r w:rsidRPr="009B38AD">
              <w:rPr>
                <w:rStyle w:val="Hyperlink"/>
                <w:noProof/>
              </w:rPr>
              <w:t>1.1 Understanding Emotional Intelligence</w:t>
            </w:r>
            <w:r>
              <w:rPr>
                <w:noProof/>
                <w:webHidden/>
              </w:rPr>
              <w:tab/>
            </w:r>
            <w:r>
              <w:rPr>
                <w:noProof/>
                <w:webHidden/>
              </w:rPr>
              <w:fldChar w:fldCharType="begin"/>
            </w:r>
            <w:r>
              <w:rPr>
                <w:noProof/>
                <w:webHidden/>
              </w:rPr>
              <w:instrText xml:space="preserve"> PAGEREF _Toc234580022 \h </w:instrText>
            </w:r>
            <w:r>
              <w:rPr>
                <w:noProof/>
                <w:webHidden/>
              </w:rPr>
            </w:r>
            <w:r>
              <w:rPr>
                <w:noProof/>
                <w:webHidden/>
              </w:rPr>
              <w:fldChar w:fldCharType="separate"/>
            </w:r>
            <w:r>
              <w:rPr>
                <w:noProof/>
                <w:webHidden/>
              </w:rPr>
              <w:t>3</w:t>
            </w:r>
            <w:r>
              <w:rPr>
                <w:noProof/>
                <w:webHidden/>
              </w:rPr>
              <w:fldChar w:fldCharType="end"/>
            </w:r>
          </w:hyperlink>
        </w:p>
        <w:p w14:paraId="6304C9B2" w14:textId="70594C22" w:rsidR="006D1598" w:rsidRDefault="006D1598">
          <w:pPr>
            <w:pStyle w:val="TOC2"/>
            <w:tabs>
              <w:tab w:val="right" w:leader="dot" w:pos="9016"/>
            </w:tabs>
            <w:rPr>
              <w:rFonts w:eastAsiaTheme="minorEastAsia"/>
              <w:noProof/>
              <w:lang w:eastAsia="en-GB"/>
            </w:rPr>
          </w:pPr>
          <w:hyperlink w:anchor="_Toc234580023" w:history="1">
            <w:r w:rsidRPr="009B38AD">
              <w:rPr>
                <w:rStyle w:val="Hyperlink"/>
                <w:noProof/>
              </w:rPr>
              <w:t>1.2 Mayer and Salovey’s Ability Model</w:t>
            </w:r>
            <w:r>
              <w:rPr>
                <w:noProof/>
                <w:webHidden/>
              </w:rPr>
              <w:tab/>
            </w:r>
            <w:r>
              <w:rPr>
                <w:noProof/>
                <w:webHidden/>
              </w:rPr>
              <w:fldChar w:fldCharType="begin"/>
            </w:r>
            <w:r>
              <w:rPr>
                <w:noProof/>
                <w:webHidden/>
              </w:rPr>
              <w:instrText xml:space="preserve"> PAGEREF _Toc234580023 \h </w:instrText>
            </w:r>
            <w:r>
              <w:rPr>
                <w:noProof/>
                <w:webHidden/>
              </w:rPr>
            </w:r>
            <w:r>
              <w:rPr>
                <w:noProof/>
                <w:webHidden/>
              </w:rPr>
              <w:fldChar w:fldCharType="separate"/>
            </w:r>
            <w:r>
              <w:rPr>
                <w:noProof/>
                <w:webHidden/>
              </w:rPr>
              <w:t>3</w:t>
            </w:r>
            <w:r>
              <w:rPr>
                <w:noProof/>
                <w:webHidden/>
              </w:rPr>
              <w:fldChar w:fldCharType="end"/>
            </w:r>
          </w:hyperlink>
        </w:p>
        <w:p w14:paraId="49BAAECB" w14:textId="745E7836" w:rsidR="006D1598" w:rsidRDefault="006D1598">
          <w:pPr>
            <w:pStyle w:val="TOC2"/>
            <w:tabs>
              <w:tab w:val="right" w:leader="dot" w:pos="9016"/>
            </w:tabs>
            <w:rPr>
              <w:rFonts w:eastAsiaTheme="minorEastAsia"/>
              <w:noProof/>
              <w:lang w:eastAsia="en-GB"/>
            </w:rPr>
          </w:pPr>
          <w:hyperlink w:anchor="_Toc234580024" w:history="1">
            <w:r w:rsidRPr="009B38AD">
              <w:rPr>
                <w:rStyle w:val="Hyperlink"/>
                <w:noProof/>
              </w:rPr>
              <w:t>1.3 Goleman’s Emotional Intelligence Framework</w:t>
            </w:r>
            <w:r>
              <w:rPr>
                <w:noProof/>
                <w:webHidden/>
              </w:rPr>
              <w:tab/>
            </w:r>
            <w:r>
              <w:rPr>
                <w:noProof/>
                <w:webHidden/>
              </w:rPr>
              <w:fldChar w:fldCharType="begin"/>
            </w:r>
            <w:r>
              <w:rPr>
                <w:noProof/>
                <w:webHidden/>
              </w:rPr>
              <w:instrText xml:space="preserve"> PAGEREF _Toc234580024 \h </w:instrText>
            </w:r>
            <w:r>
              <w:rPr>
                <w:noProof/>
                <w:webHidden/>
              </w:rPr>
            </w:r>
            <w:r>
              <w:rPr>
                <w:noProof/>
                <w:webHidden/>
              </w:rPr>
              <w:fldChar w:fldCharType="separate"/>
            </w:r>
            <w:r>
              <w:rPr>
                <w:noProof/>
                <w:webHidden/>
              </w:rPr>
              <w:t>4</w:t>
            </w:r>
            <w:r>
              <w:rPr>
                <w:noProof/>
                <w:webHidden/>
              </w:rPr>
              <w:fldChar w:fldCharType="end"/>
            </w:r>
          </w:hyperlink>
        </w:p>
        <w:p w14:paraId="19D088A0" w14:textId="35CD9697" w:rsidR="006D1598" w:rsidRDefault="006D1598">
          <w:pPr>
            <w:pStyle w:val="TOC2"/>
            <w:tabs>
              <w:tab w:val="right" w:leader="dot" w:pos="9016"/>
            </w:tabs>
            <w:rPr>
              <w:rFonts w:eastAsiaTheme="minorEastAsia"/>
              <w:noProof/>
              <w:lang w:eastAsia="en-GB"/>
            </w:rPr>
          </w:pPr>
          <w:hyperlink w:anchor="_Toc234580025" w:history="1">
            <w:r w:rsidRPr="009B38AD">
              <w:rPr>
                <w:rStyle w:val="Hyperlink"/>
                <w:noProof/>
              </w:rPr>
              <w:t>1.4 Bar</w:t>
            </w:r>
            <w:r w:rsidRPr="009B38AD">
              <w:rPr>
                <w:rStyle w:val="Hyperlink"/>
                <w:rFonts w:ascii="Cambria Math" w:hAnsi="Cambria Math" w:cs="Cambria Math"/>
                <w:noProof/>
              </w:rPr>
              <w:t>‑</w:t>
            </w:r>
            <w:r w:rsidRPr="009B38AD">
              <w:rPr>
                <w:rStyle w:val="Hyperlink"/>
                <w:noProof/>
              </w:rPr>
              <w:t>On’s Emotional</w:t>
            </w:r>
            <w:r w:rsidRPr="009B38AD">
              <w:rPr>
                <w:rStyle w:val="Hyperlink"/>
                <w:rFonts w:ascii="Cambria Math" w:hAnsi="Cambria Math" w:cs="Cambria Math"/>
                <w:noProof/>
              </w:rPr>
              <w:t>‑</w:t>
            </w:r>
            <w:r w:rsidRPr="009B38AD">
              <w:rPr>
                <w:rStyle w:val="Hyperlink"/>
                <w:noProof/>
              </w:rPr>
              <w:t>Social Intelligence Model</w:t>
            </w:r>
            <w:r>
              <w:rPr>
                <w:noProof/>
                <w:webHidden/>
              </w:rPr>
              <w:tab/>
            </w:r>
            <w:r>
              <w:rPr>
                <w:noProof/>
                <w:webHidden/>
              </w:rPr>
              <w:fldChar w:fldCharType="begin"/>
            </w:r>
            <w:r>
              <w:rPr>
                <w:noProof/>
                <w:webHidden/>
              </w:rPr>
              <w:instrText xml:space="preserve"> PAGEREF _Toc234580025 \h </w:instrText>
            </w:r>
            <w:r>
              <w:rPr>
                <w:noProof/>
                <w:webHidden/>
              </w:rPr>
            </w:r>
            <w:r>
              <w:rPr>
                <w:noProof/>
                <w:webHidden/>
              </w:rPr>
              <w:fldChar w:fldCharType="separate"/>
            </w:r>
            <w:r>
              <w:rPr>
                <w:noProof/>
                <w:webHidden/>
              </w:rPr>
              <w:t>4</w:t>
            </w:r>
            <w:r>
              <w:rPr>
                <w:noProof/>
                <w:webHidden/>
              </w:rPr>
              <w:fldChar w:fldCharType="end"/>
            </w:r>
          </w:hyperlink>
        </w:p>
        <w:p w14:paraId="701624A9" w14:textId="2883D68A" w:rsidR="006D1598" w:rsidRDefault="006D1598">
          <w:pPr>
            <w:pStyle w:val="TOC2"/>
            <w:tabs>
              <w:tab w:val="right" w:leader="dot" w:pos="9016"/>
            </w:tabs>
            <w:rPr>
              <w:rFonts w:eastAsiaTheme="minorEastAsia"/>
              <w:noProof/>
              <w:lang w:eastAsia="en-GB"/>
            </w:rPr>
          </w:pPr>
          <w:hyperlink w:anchor="_Toc234580026" w:history="1">
            <w:r w:rsidRPr="009B38AD">
              <w:rPr>
                <w:rStyle w:val="Hyperlink"/>
                <w:noProof/>
              </w:rPr>
              <w:t>1.5 Emotional Intelligence and Workplace Performance</w:t>
            </w:r>
            <w:r>
              <w:rPr>
                <w:noProof/>
                <w:webHidden/>
              </w:rPr>
              <w:tab/>
            </w:r>
            <w:r>
              <w:rPr>
                <w:noProof/>
                <w:webHidden/>
              </w:rPr>
              <w:fldChar w:fldCharType="begin"/>
            </w:r>
            <w:r>
              <w:rPr>
                <w:noProof/>
                <w:webHidden/>
              </w:rPr>
              <w:instrText xml:space="preserve"> PAGEREF _Toc234580026 \h </w:instrText>
            </w:r>
            <w:r>
              <w:rPr>
                <w:noProof/>
                <w:webHidden/>
              </w:rPr>
            </w:r>
            <w:r>
              <w:rPr>
                <w:noProof/>
                <w:webHidden/>
              </w:rPr>
              <w:fldChar w:fldCharType="separate"/>
            </w:r>
            <w:r>
              <w:rPr>
                <w:noProof/>
                <w:webHidden/>
              </w:rPr>
              <w:t>5</w:t>
            </w:r>
            <w:r>
              <w:rPr>
                <w:noProof/>
                <w:webHidden/>
              </w:rPr>
              <w:fldChar w:fldCharType="end"/>
            </w:r>
          </w:hyperlink>
        </w:p>
        <w:p w14:paraId="1C894CA0" w14:textId="3D672497" w:rsidR="006D1598" w:rsidRDefault="006D1598">
          <w:pPr>
            <w:pStyle w:val="TOC2"/>
            <w:tabs>
              <w:tab w:val="right" w:leader="dot" w:pos="9016"/>
            </w:tabs>
            <w:rPr>
              <w:rFonts w:eastAsiaTheme="minorEastAsia"/>
              <w:noProof/>
              <w:lang w:eastAsia="en-GB"/>
            </w:rPr>
          </w:pPr>
          <w:hyperlink w:anchor="_Toc234580027" w:history="1">
            <w:r w:rsidRPr="009B38AD">
              <w:rPr>
                <w:rStyle w:val="Hyperlink"/>
                <w:noProof/>
              </w:rPr>
              <w:t>1.6 Emotional Intelligence and Employee Well</w:t>
            </w:r>
            <w:r w:rsidRPr="009B38AD">
              <w:rPr>
                <w:rStyle w:val="Hyperlink"/>
                <w:rFonts w:ascii="Cambria Math" w:hAnsi="Cambria Math" w:cs="Cambria Math"/>
                <w:noProof/>
              </w:rPr>
              <w:t>‑</w:t>
            </w:r>
            <w:r w:rsidRPr="009B38AD">
              <w:rPr>
                <w:rStyle w:val="Hyperlink"/>
                <w:noProof/>
              </w:rPr>
              <w:t>Being</w:t>
            </w:r>
            <w:r>
              <w:rPr>
                <w:noProof/>
                <w:webHidden/>
              </w:rPr>
              <w:tab/>
            </w:r>
            <w:r>
              <w:rPr>
                <w:noProof/>
                <w:webHidden/>
              </w:rPr>
              <w:fldChar w:fldCharType="begin"/>
            </w:r>
            <w:r>
              <w:rPr>
                <w:noProof/>
                <w:webHidden/>
              </w:rPr>
              <w:instrText xml:space="preserve"> PAGEREF _Toc234580027 \h </w:instrText>
            </w:r>
            <w:r>
              <w:rPr>
                <w:noProof/>
                <w:webHidden/>
              </w:rPr>
            </w:r>
            <w:r>
              <w:rPr>
                <w:noProof/>
                <w:webHidden/>
              </w:rPr>
              <w:fldChar w:fldCharType="separate"/>
            </w:r>
            <w:r>
              <w:rPr>
                <w:noProof/>
                <w:webHidden/>
              </w:rPr>
              <w:t>5</w:t>
            </w:r>
            <w:r>
              <w:rPr>
                <w:noProof/>
                <w:webHidden/>
              </w:rPr>
              <w:fldChar w:fldCharType="end"/>
            </w:r>
          </w:hyperlink>
        </w:p>
        <w:p w14:paraId="5A4D58E3" w14:textId="6FC7D616" w:rsidR="006D1598" w:rsidRDefault="006D1598">
          <w:pPr>
            <w:pStyle w:val="TOC2"/>
            <w:tabs>
              <w:tab w:val="right" w:leader="dot" w:pos="9016"/>
            </w:tabs>
            <w:rPr>
              <w:rFonts w:eastAsiaTheme="minorEastAsia"/>
              <w:noProof/>
              <w:lang w:eastAsia="en-GB"/>
            </w:rPr>
          </w:pPr>
          <w:hyperlink w:anchor="_Toc234580028" w:history="1">
            <w:r w:rsidRPr="009B38AD">
              <w:rPr>
                <w:rStyle w:val="Hyperlink"/>
                <w:noProof/>
              </w:rPr>
              <w:t>1.7 Critical Evaluation</w:t>
            </w:r>
            <w:r>
              <w:rPr>
                <w:noProof/>
                <w:webHidden/>
              </w:rPr>
              <w:tab/>
            </w:r>
            <w:r>
              <w:rPr>
                <w:noProof/>
                <w:webHidden/>
              </w:rPr>
              <w:fldChar w:fldCharType="begin"/>
            </w:r>
            <w:r>
              <w:rPr>
                <w:noProof/>
                <w:webHidden/>
              </w:rPr>
              <w:instrText xml:space="preserve"> PAGEREF _Toc234580028 \h </w:instrText>
            </w:r>
            <w:r>
              <w:rPr>
                <w:noProof/>
                <w:webHidden/>
              </w:rPr>
            </w:r>
            <w:r>
              <w:rPr>
                <w:noProof/>
                <w:webHidden/>
              </w:rPr>
              <w:fldChar w:fldCharType="separate"/>
            </w:r>
            <w:r>
              <w:rPr>
                <w:noProof/>
                <w:webHidden/>
              </w:rPr>
              <w:t>6</w:t>
            </w:r>
            <w:r>
              <w:rPr>
                <w:noProof/>
                <w:webHidden/>
              </w:rPr>
              <w:fldChar w:fldCharType="end"/>
            </w:r>
          </w:hyperlink>
        </w:p>
        <w:p w14:paraId="6457D03C" w14:textId="52525027" w:rsidR="006D1598" w:rsidRDefault="006D1598">
          <w:pPr>
            <w:pStyle w:val="TOC1"/>
            <w:tabs>
              <w:tab w:val="right" w:leader="dot" w:pos="9016"/>
            </w:tabs>
            <w:rPr>
              <w:rFonts w:eastAsiaTheme="minorEastAsia"/>
              <w:noProof/>
              <w:lang w:eastAsia="en-GB"/>
            </w:rPr>
          </w:pPr>
          <w:hyperlink w:anchor="_Toc234580029" w:history="1">
            <w:r w:rsidRPr="009B38AD">
              <w:rPr>
                <w:rStyle w:val="Hyperlink"/>
                <w:noProof/>
              </w:rPr>
              <w:t>Task 2: Managing a Multigenerational Workforce</w:t>
            </w:r>
            <w:r>
              <w:rPr>
                <w:noProof/>
                <w:webHidden/>
              </w:rPr>
              <w:tab/>
            </w:r>
            <w:r>
              <w:rPr>
                <w:noProof/>
                <w:webHidden/>
              </w:rPr>
              <w:fldChar w:fldCharType="begin"/>
            </w:r>
            <w:r>
              <w:rPr>
                <w:noProof/>
                <w:webHidden/>
              </w:rPr>
              <w:instrText xml:space="preserve"> PAGEREF _Toc234580029 \h </w:instrText>
            </w:r>
            <w:r>
              <w:rPr>
                <w:noProof/>
                <w:webHidden/>
              </w:rPr>
            </w:r>
            <w:r>
              <w:rPr>
                <w:noProof/>
                <w:webHidden/>
              </w:rPr>
              <w:fldChar w:fldCharType="separate"/>
            </w:r>
            <w:r>
              <w:rPr>
                <w:noProof/>
                <w:webHidden/>
              </w:rPr>
              <w:t>6</w:t>
            </w:r>
            <w:r>
              <w:rPr>
                <w:noProof/>
                <w:webHidden/>
              </w:rPr>
              <w:fldChar w:fldCharType="end"/>
            </w:r>
          </w:hyperlink>
        </w:p>
        <w:p w14:paraId="17DC6A7C" w14:textId="525B9136" w:rsidR="006D1598" w:rsidRDefault="006D1598">
          <w:pPr>
            <w:pStyle w:val="TOC2"/>
            <w:tabs>
              <w:tab w:val="right" w:leader="dot" w:pos="9016"/>
            </w:tabs>
            <w:rPr>
              <w:rFonts w:eastAsiaTheme="minorEastAsia"/>
              <w:noProof/>
              <w:lang w:eastAsia="en-GB"/>
            </w:rPr>
          </w:pPr>
          <w:hyperlink w:anchor="_Toc234580030" w:history="1">
            <w:r w:rsidRPr="009B38AD">
              <w:rPr>
                <w:rStyle w:val="Hyperlink"/>
                <w:noProof/>
              </w:rPr>
              <w:t>2.1 Introduction</w:t>
            </w:r>
            <w:r>
              <w:rPr>
                <w:noProof/>
                <w:webHidden/>
              </w:rPr>
              <w:tab/>
            </w:r>
            <w:r>
              <w:rPr>
                <w:noProof/>
                <w:webHidden/>
              </w:rPr>
              <w:fldChar w:fldCharType="begin"/>
            </w:r>
            <w:r>
              <w:rPr>
                <w:noProof/>
                <w:webHidden/>
              </w:rPr>
              <w:instrText xml:space="preserve"> PAGEREF _Toc234580030 \h </w:instrText>
            </w:r>
            <w:r>
              <w:rPr>
                <w:noProof/>
                <w:webHidden/>
              </w:rPr>
            </w:r>
            <w:r>
              <w:rPr>
                <w:noProof/>
                <w:webHidden/>
              </w:rPr>
              <w:fldChar w:fldCharType="separate"/>
            </w:r>
            <w:r>
              <w:rPr>
                <w:noProof/>
                <w:webHidden/>
              </w:rPr>
              <w:t>6</w:t>
            </w:r>
            <w:r>
              <w:rPr>
                <w:noProof/>
                <w:webHidden/>
              </w:rPr>
              <w:fldChar w:fldCharType="end"/>
            </w:r>
          </w:hyperlink>
        </w:p>
        <w:p w14:paraId="7DEDE4F8" w14:textId="02F88315" w:rsidR="006D1598" w:rsidRDefault="006D1598">
          <w:pPr>
            <w:pStyle w:val="TOC2"/>
            <w:tabs>
              <w:tab w:val="right" w:leader="dot" w:pos="9016"/>
            </w:tabs>
            <w:rPr>
              <w:rFonts w:eastAsiaTheme="minorEastAsia"/>
              <w:noProof/>
              <w:lang w:eastAsia="en-GB"/>
            </w:rPr>
          </w:pPr>
          <w:hyperlink w:anchor="_Toc234580031" w:history="1">
            <w:r w:rsidRPr="009B38AD">
              <w:rPr>
                <w:rStyle w:val="Hyperlink"/>
                <w:noProof/>
              </w:rPr>
              <w:t>2.2 Characteristics of Generational Groups</w:t>
            </w:r>
            <w:r>
              <w:rPr>
                <w:noProof/>
                <w:webHidden/>
              </w:rPr>
              <w:tab/>
            </w:r>
            <w:r>
              <w:rPr>
                <w:noProof/>
                <w:webHidden/>
              </w:rPr>
              <w:fldChar w:fldCharType="begin"/>
            </w:r>
            <w:r>
              <w:rPr>
                <w:noProof/>
                <w:webHidden/>
              </w:rPr>
              <w:instrText xml:space="preserve"> PAGEREF _Toc234580031 \h </w:instrText>
            </w:r>
            <w:r>
              <w:rPr>
                <w:noProof/>
                <w:webHidden/>
              </w:rPr>
            </w:r>
            <w:r>
              <w:rPr>
                <w:noProof/>
                <w:webHidden/>
              </w:rPr>
              <w:fldChar w:fldCharType="separate"/>
            </w:r>
            <w:r>
              <w:rPr>
                <w:noProof/>
                <w:webHidden/>
              </w:rPr>
              <w:t>7</w:t>
            </w:r>
            <w:r>
              <w:rPr>
                <w:noProof/>
                <w:webHidden/>
              </w:rPr>
              <w:fldChar w:fldCharType="end"/>
            </w:r>
          </w:hyperlink>
        </w:p>
        <w:p w14:paraId="2A75FAB3" w14:textId="53D33982" w:rsidR="006D1598" w:rsidRDefault="006D1598">
          <w:pPr>
            <w:pStyle w:val="TOC2"/>
            <w:tabs>
              <w:tab w:val="right" w:leader="dot" w:pos="9016"/>
            </w:tabs>
            <w:rPr>
              <w:rFonts w:eastAsiaTheme="minorEastAsia"/>
              <w:noProof/>
              <w:lang w:eastAsia="en-GB"/>
            </w:rPr>
          </w:pPr>
          <w:hyperlink w:anchor="_Toc234580032" w:history="1">
            <w:r w:rsidRPr="009B38AD">
              <w:rPr>
                <w:rStyle w:val="Hyperlink"/>
                <w:noProof/>
              </w:rPr>
              <w:t>2.3 Impact on Organisational Effectiveness</w:t>
            </w:r>
            <w:r>
              <w:rPr>
                <w:noProof/>
                <w:webHidden/>
              </w:rPr>
              <w:tab/>
            </w:r>
            <w:r>
              <w:rPr>
                <w:noProof/>
                <w:webHidden/>
              </w:rPr>
              <w:fldChar w:fldCharType="begin"/>
            </w:r>
            <w:r>
              <w:rPr>
                <w:noProof/>
                <w:webHidden/>
              </w:rPr>
              <w:instrText xml:space="preserve"> PAGEREF _Toc234580032 \h </w:instrText>
            </w:r>
            <w:r>
              <w:rPr>
                <w:noProof/>
                <w:webHidden/>
              </w:rPr>
            </w:r>
            <w:r>
              <w:rPr>
                <w:noProof/>
                <w:webHidden/>
              </w:rPr>
              <w:fldChar w:fldCharType="separate"/>
            </w:r>
            <w:r>
              <w:rPr>
                <w:noProof/>
                <w:webHidden/>
              </w:rPr>
              <w:t>7</w:t>
            </w:r>
            <w:r>
              <w:rPr>
                <w:noProof/>
                <w:webHidden/>
              </w:rPr>
              <w:fldChar w:fldCharType="end"/>
            </w:r>
          </w:hyperlink>
        </w:p>
        <w:p w14:paraId="0B1F8191" w14:textId="0EABD992" w:rsidR="006D1598" w:rsidRDefault="006D1598">
          <w:pPr>
            <w:pStyle w:val="TOC2"/>
            <w:tabs>
              <w:tab w:val="right" w:leader="dot" w:pos="9016"/>
            </w:tabs>
            <w:rPr>
              <w:rFonts w:eastAsiaTheme="minorEastAsia"/>
              <w:noProof/>
              <w:lang w:eastAsia="en-GB"/>
            </w:rPr>
          </w:pPr>
          <w:hyperlink w:anchor="_Toc234580033" w:history="1">
            <w:r w:rsidRPr="009B38AD">
              <w:rPr>
                <w:rStyle w:val="Hyperlink"/>
                <w:noProof/>
              </w:rPr>
              <w:t>2.4 Emotional Intelligence in Managing Generational Diversity</w:t>
            </w:r>
            <w:r>
              <w:rPr>
                <w:noProof/>
                <w:webHidden/>
              </w:rPr>
              <w:tab/>
            </w:r>
            <w:r>
              <w:rPr>
                <w:noProof/>
                <w:webHidden/>
              </w:rPr>
              <w:fldChar w:fldCharType="begin"/>
            </w:r>
            <w:r>
              <w:rPr>
                <w:noProof/>
                <w:webHidden/>
              </w:rPr>
              <w:instrText xml:space="preserve"> PAGEREF _Toc234580033 \h </w:instrText>
            </w:r>
            <w:r>
              <w:rPr>
                <w:noProof/>
                <w:webHidden/>
              </w:rPr>
            </w:r>
            <w:r>
              <w:rPr>
                <w:noProof/>
                <w:webHidden/>
              </w:rPr>
              <w:fldChar w:fldCharType="separate"/>
            </w:r>
            <w:r>
              <w:rPr>
                <w:noProof/>
                <w:webHidden/>
              </w:rPr>
              <w:t>8</w:t>
            </w:r>
            <w:r>
              <w:rPr>
                <w:noProof/>
                <w:webHidden/>
              </w:rPr>
              <w:fldChar w:fldCharType="end"/>
            </w:r>
          </w:hyperlink>
        </w:p>
        <w:p w14:paraId="52BA57AA" w14:textId="64E471F3" w:rsidR="006D1598" w:rsidRDefault="006D1598">
          <w:pPr>
            <w:pStyle w:val="TOC2"/>
            <w:tabs>
              <w:tab w:val="right" w:leader="dot" w:pos="9016"/>
            </w:tabs>
            <w:rPr>
              <w:rFonts w:eastAsiaTheme="minorEastAsia"/>
              <w:noProof/>
              <w:lang w:eastAsia="en-GB"/>
            </w:rPr>
          </w:pPr>
          <w:hyperlink w:anchor="_Toc234580034" w:history="1">
            <w:r w:rsidRPr="009B38AD">
              <w:rPr>
                <w:rStyle w:val="Hyperlink"/>
                <w:noProof/>
              </w:rPr>
              <w:t>2.5 Mindfulness and Psychological Safety</w:t>
            </w:r>
            <w:r>
              <w:rPr>
                <w:noProof/>
                <w:webHidden/>
              </w:rPr>
              <w:tab/>
            </w:r>
            <w:r>
              <w:rPr>
                <w:noProof/>
                <w:webHidden/>
              </w:rPr>
              <w:fldChar w:fldCharType="begin"/>
            </w:r>
            <w:r>
              <w:rPr>
                <w:noProof/>
                <w:webHidden/>
              </w:rPr>
              <w:instrText xml:space="preserve"> PAGEREF _Toc234580034 \h </w:instrText>
            </w:r>
            <w:r>
              <w:rPr>
                <w:noProof/>
                <w:webHidden/>
              </w:rPr>
            </w:r>
            <w:r>
              <w:rPr>
                <w:noProof/>
                <w:webHidden/>
              </w:rPr>
              <w:fldChar w:fldCharType="separate"/>
            </w:r>
            <w:r>
              <w:rPr>
                <w:noProof/>
                <w:webHidden/>
              </w:rPr>
              <w:t>8</w:t>
            </w:r>
            <w:r>
              <w:rPr>
                <w:noProof/>
                <w:webHidden/>
              </w:rPr>
              <w:fldChar w:fldCharType="end"/>
            </w:r>
          </w:hyperlink>
        </w:p>
        <w:p w14:paraId="51C1F33E" w14:textId="7C7F1F0C" w:rsidR="006D1598" w:rsidRDefault="006D1598">
          <w:pPr>
            <w:pStyle w:val="TOC2"/>
            <w:tabs>
              <w:tab w:val="right" w:leader="dot" w:pos="9016"/>
            </w:tabs>
            <w:rPr>
              <w:rFonts w:eastAsiaTheme="minorEastAsia"/>
              <w:noProof/>
              <w:lang w:eastAsia="en-GB"/>
            </w:rPr>
          </w:pPr>
          <w:hyperlink w:anchor="_Toc234580035" w:history="1">
            <w:r w:rsidRPr="009B38AD">
              <w:rPr>
                <w:rStyle w:val="Hyperlink"/>
                <w:noProof/>
              </w:rPr>
              <w:t>2.6 Strategies for Recruitment, Management, and Retention</w:t>
            </w:r>
            <w:r>
              <w:rPr>
                <w:noProof/>
                <w:webHidden/>
              </w:rPr>
              <w:tab/>
            </w:r>
            <w:r>
              <w:rPr>
                <w:noProof/>
                <w:webHidden/>
              </w:rPr>
              <w:fldChar w:fldCharType="begin"/>
            </w:r>
            <w:r>
              <w:rPr>
                <w:noProof/>
                <w:webHidden/>
              </w:rPr>
              <w:instrText xml:space="preserve"> PAGEREF _Toc234580035 \h </w:instrText>
            </w:r>
            <w:r>
              <w:rPr>
                <w:noProof/>
                <w:webHidden/>
              </w:rPr>
            </w:r>
            <w:r>
              <w:rPr>
                <w:noProof/>
                <w:webHidden/>
              </w:rPr>
              <w:fldChar w:fldCharType="separate"/>
            </w:r>
            <w:r>
              <w:rPr>
                <w:noProof/>
                <w:webHidden/>
              </w:rPr>
              <w:t>8</w:t>
            </w:r>
            <w:r>
              <w:rPr>
                <w:noProof/>
                <w:webHidden/>
              </w:rPr>
              <w:fldChar w:fldCharType="end"/>
            </w:r>
          </w:hyperlink>
        </w:p>
        <w:p w14:paraId="189D6D3D" w14:textId="5A66311D" w:rsidR="006D1598" w:rsidRDefault="006D1598">
          <w:pPr>
            <w:pStyle w:val="TOC1"/>
            <w:tabs>
              <w:tab w:val="right" w:leader="dot" w:pos="9016"/>
            </w:tabs>
            <w:rPr>
              <w:rFonts w:eastAsiaTheme="minorEastAsia"/>
              <w:noProof/>
              <w:lang w:eastAsia="en-GB"/>
            </w:rPr>
          </w:pPr>
          <w:hyperlink w:anchor="_Toc234580036" w:history="1">
            <w:r w:rsidRPr="009B38AD">
              <w:rPr>
                <w:rStyle w:val="Hyperlink"/>
                <w:noProof/>
              </w:rPr>
              <w:t>Conclusion</w:t>
            </w:r>
            <w:r>
              <w:rPr>
                <w:noProof/>
                <w:webHidden/>
              </w:rPr>
              <w:tab/>
            </w:r>
            <w:r>
              <w:rPr>
                <w:noProof/>
                <w:webHidden/>
              </w:rPr>
              <w:fldChar w:fldCharType="begin"/>
            </w:r>
            <w:r>
              <w:rPr>
                <w:noProof/>
                <w:webHidden/>
              </w:rPr>
              <w:instrText xml:space="preserve"> PAGEREF _Toc234580036 \h </w:instrText>
            </w:r>
            <w:r>
              <w:rPr>
                <w:noProof/>
                <w:webHidden/>
              </w:rPr>
            </w:r>
            <w:r>
              <w:rPr>
                <w:noProof/>
                <w:webHidden/>
              </w:rPr>
              <w:fldChar w:fldCharType="separate"/>
            </w:r>
            <w:r>
              <w:rPr>
                <w:noProof/>
                <w:webHidden/>
              </w:rPr>
              <w:t>9</w:t>
            </w:r>
            <w:r>
              <w:rPr>
                <w:noProof/>
                <w:webHidden/>
              </w:rPr>
              <w:fldChar w:fldCharType="end"/>
            </w:r>
          </w:hyperlink>
        </w:p>
        <w:p w14:paraId="6A747D39" w14:textId="7A0D2D96" w:rsidR="006D1598" w:rsidRDefault="006D1598">
          <w:pPr>
            <w:pStyle w:val="TOC1"/>
            <w:tabs>
              <w:tab w:val="right" w:leader="dot" w:pos="9016"/>
            </w:tabs>
            <w:rPr>
              <w:rFonts w:eastAsiaTheme="minorEastAsia"/>
              <w:noProof/>
              <w:lang w:eastAsia="en-GB"/>
            </w:rPr>
          </w:pPr>
          <w:hyperlink w:anchor="_Toc234580037" w:history="1">
            <w:r w:rsidRPr="009B38AD">
              <w:rPr>
                <w:rStyle w:val="Hyperlink"/>
                <w:noProof/>
              </w:rPr>
              <w:t>Reference List</w:t>
            </w:r>
            <w:r>
              <w:rPr>
                <w:noProof/>
                <w:webHidden/>
              </w:rPr>
              <w:tab/>
            </w:r>
            <w:r>
              <w:rPr>
                <w:noProof/>
                <w:webHidden/>
              </w:rPr>
              <w:fldChar w:fldCharType="begin"/>
            </w:r>
            <w:r>
              <w:rPr>
                <w:noProof/>
                <w:webHidden/>
              </w:rPr>
              <w:instrText xml:space="preserve"> PAGEREF _Toc234580037 \h </w:instrText>
            </w:r>
            <w:r>
              <w:rPr>
                <w:noProof/>
                <w:webHidden/>
              </w:rPr>
            </w:r>
            <w:r>
              <w:rPr>
                <w:noProof/>
                <w:webHidden/>
              </w:rPr>
              <w:fldChar w:fldCharType="separate"/>
            </w:r>
            <w:r>
              <w:rPr>
                <w:noProof/>
                <w:webHidden/>
              </w:rPr>
              <w:t>9</w:t>
            </w:r>
            <w:r>
              <w:rPr>
                <w:noProof/>
                <w:webHidden/>
              </w:rPr>
              <w:fldChar w:fldCharType="end"/>
            </w:r>
          </w:hyperlink>
        </w:p>
        <w:p w14:paraId="640211B1" w14:textId="11F4D92A" w:rsidR="00E85290" w:rsidRPr="00133103" w:rsidRDefault="00133103" w:rsidP="00133103">
          <w:r>
            <w:rPr>
              <w:b/>
              <w:bCs/>
            </w:rPr>
            <w:fldChar w:fldCharType="end"/>
          </w:r>
        </w:p>
      </w:sdtContent>
    </w:sdt>
    <w:p w14:paraId="5DFD18AE" w14:textId="77777777" w:rsidR="00F050E3" w:rsidRPr="00133103" w:rsidRDefault="00F050E3" w:rsidP="00717E48">
      <w:pPr>
        <w:pStyle w:val="Heading1"/>
        <w:jc w:val="both"/>
      </w:pPr>
      <w:bookmarkStart w:id="0" w:name="_Toc234580020"/>
      <w:r w:rsidRPr="00133103">
        <w:t>Introduction</w:t>
      </w:r>
      <w:bookmarkEnd w:id="0"/>
    </w:p>
    <w:p w14:paraId="50B37428" w14:textId="17CF00D9"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Contemporary organisations operate within increasingly complex, diverse, and emotionally demanding environments. As workplaces evolve, emotional intelligence (EI) and mindfulness have emerged as essential capabilities for enhancing leadership effectiveness, employee performance, and organisational well</w:t>
      </w:r>
      <w:r w:rsidRPr="00133103">
        <w:rPr>
          <w:rFonts w:ascii="Cambria Math" w:hAnsi="Cambria Math" w:cs="Cambria Math"/>
          <w:sz w:val="22"/>
          <w:szCs w:val="22"/>
        </w:rPr>
        <w:t>‑</w:t>
      </w:r>
      <w:r w:rsidRPr="00133103">
        <w:rPr>
          <w:rFonts w:ascii="Arial" w:hAnsi="Arial" w:cs="Arial"/>
          <w:sz w:val="22"/>
          <w:szCs w:val="22"/>
        </w:rPr>
        <w:t>being. Following improvements in team morale, communication, and conflict resolution within the department, senior leadership has requested a comprehensive analytical report to inform strategic planning for September 2026. This report critically examines the role of emotional intelligence and mindfulness in modern organisations, with a particular focus on employee performance, collaboration, and the management of multigenerational workforces. Part One evaluates how employees can apply the core components of emotional intelligence to improve performance and well</w:t>
      </w:r>
      <w:r w:rsidRPr="00133103">
        <w:rPr>
          <w:rFonts w:ascii="Cambria Math" w:hAnsi="Cambria Math" w:cs="Cambria Math"/>
          <w:sz w:val="22"/>
          <w:szCs w:val="22"/>
        </w:rPr>
        <w:t>‑</w:t>
      </w:r>
      <w:r w:rsidRPr="00133103">
        <w:rPr>
          <w:rFonts w:ascii="Arial" w:hAnsi="Arial" w:cs="Arial"/>
          <w:sz w:val="22"/>
          <w:szCs w:val="22"/>
        </w:rPr>
        <w:t xml:space="preserve">being, drawing on established EI models such as Mayer and Salovey’s Ability Model, Goleman’s Mixed Model, </w:t>
      </w:r>
      <w:r w:rsidRPr="00133103">
        <w:rPr>
          <w:rFonts w:ascii="Arial" w:hAnsi="Arial" w:cs="Arial"/>
          <w:sz w:val="22"/>
          <w:szCs w:val="22"/>
        </w:rPr>
        <w:lastRenderedPageBreak/>
        <w:t>and Bar</w:t>
      </w:r>
      <w:r w:rsidRPr="00133103">
        <w:rPr>
          <w:rFonts w:ascii="Cambria Math" w:hAnsi="Cambria Math" w:cs="Cambria Math"/>
          <w:sz w:val="22"/>
          <w:szCs w:val="22"/>
        </w:rPr>
        <w:t>‑</w:t>
      </w:r>
      <w:r w:rsidRPr="00133103">
        <w:rPr>
          <w:rFonts w:ascii="Arial" w:hAnsi="Arial" w:cs="Arial"/>
          <w:sz w:val="22"/>
          <w:szCs w:val="22"/>
        </w:rPr>
        <w:t>On’s Emotional</w:t>
      </w:r>
      <w:r w:rsidRPr="00133103">
        <w:rPr>
          <w:rFonts w:ascii="Cambria Math" w:hAnsi="Cambria Math" w:cs="Cambria Math"/>
          <w:sz w:val="22"/>
          <w:szCs w:val="22"/>
        </w:rPr>
        <w:t>‑</w:t>
      </w:r>
      <w:r w:rsidRPr="00133103">
        <w:rPr>
          <w:rFonts w:ascii="Arial" w:hAnsi="Arial" w:cs="Arial"/>
          <w:sz w:val="22"/>
          <w:szCs w:val="22"/>
        </w:rPr>
        <w:t>Social Intelligence Model. Part Two explores the characteristics of Generation X, Generation Y (Millennials), and Generation Z, analysing how emotional intelligence and mindfulness can support inclusive leadership and effective management across generational boundaries.</w:t>
      </w:r>
    </w:p>
    <w:p w14:paraId="0F7C0AFC" w14:textId="77777777" w:rsidR="00F050E3" w:rsidRPr="00133103" w:rsidRDefault="00F050E3" w:rsidP="00717E48">
      <w:pPr>
        <w:pStyle w:val="Heading1"/>
        <w:jc w:val="both"/>
      </w:pPr>
      <w:bookmarkStart w:id="1" w:name="_Toc234580021"/>
      <w:r w:rsidRPr="00133103">
        <w:t>Task 1: Emotional Intelligence in the Workplace</w:t>
      </w:r>
      <w:bookmarkEnd w:id="1"/>
    </w:p>
    <w:p w14:paraId="24BE20F8" w14:textId="77777777" w:rsidR="00F050E3" w:rsidRPr="00133103" w:rsidRDefault="00F050E3" w:rsidP="00717E48">
      <w:pPr>
        <w:pStyle w:val="Heading2"/>
        <w:jc w:val="both"/>
      </w:pPr>
      <w:bookmarkStart w:id="2" w:name="_Toc234580022"/>
      <w:r w:rsidRPr="00133103">
        <w:t>1.1 Understanding Emotional Intelligence</w:t>
      </w:r>
      <w:bookmarkEnd w:id="2"/>
    </w:p>
    <w:p w14:paraId="7A3178FE" w14:textId="75CFFF3E"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Emotional intelligence has become a central concept in organisational psychology due to its strong association with interpersonal effectiveness, leadership capability, and workplace performance. Mayer and Salovey (1990) define EI as the ability to perceive, understand, regulate, and use emotions to guide thinking and behaviour. This definition positions EI as a cognitive ability that enables individuals to process emotional information and apply it constructively. Goleman (1995) expanded the concept by arguing that EI is a stronger predictor of workplace success than cognitive intelligence alone, particularly in roles requiring interpersonal interaction, leadership, and collaboration.</w:t>
      </w:r>
    </w:p>
    <w:p w14:paraId="0DF153DD" w14:textId="3903564A"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Research consistently demonstrates that EI contributes to improved communication, conflict resolution, teamwork, and decision</w:t>
      </w:r>
      <w:r w:rsidRPr="00133103">
        <w:rPr>
          <w:rFonts w:ascii="Cambria Math" w:hAnsi="Cambria Math" w:cs="Cambria Math"/>
          <w:sz w:val="22"/>
          <w:szCs w:val="22"/>
        </w:rPr>
        <w:t>‑</w:t>
      </w:r>
      <w:r w:rsidRPr="00133103">
        <w:rPr>
          <w:rFonts w:ascii="Arial" w:hAnsi="Arial" w:cs="Arial"/>
          <w:sz w:val="22"/>
          <w:szCs w:val="22"/>
        </w:rPr>
        <w:t>making (Côté, 2014). Employees with high EI are better able to interpret emotional cues, respond appropriately to interpersonal challenges, and maintain positive working relationships. These capabilities are increasingly important in contemporary organisations characterised by rapid change, cultural diversity, and heightened emotional demands.</w:t>
      </w:r>
    </w:p>
    <w:p w14:paraId="7E2AFB61" w14:textId="77777777" w:rsidR="00F050E3" w:rsidRPr="00133103" w:rsidRDefault="00F050E3" w:rsidP="00717E48">
      <w:pPr>
        <w:pStyle w:val="Heading2"/>
        <w:jc w:val="both"/>
      </w:pPr>
      <w:bookmarkStart w:id="3" w:name="_Toc234580023"/>
      <w:r w:rsidRPr="00133103">
        <w:t>1.2 Mayer and Salovey’s Ability Model</w:t>
      </w:r>
      <w:bookmarkEnd w:id="3"/>
    </w:p>
    <w:p w14:paraId="1B574F3B" w14:textId="5BDC628C"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Mayer and Salovey’s Ability Model conceptualises emotional intelligence as a set of four interrelated cognitive abilities: perceiving emotions, using emotions to facilitate thinking, understanding emotions, and managing emotions (Mayer, Salovey and Caruso, 2004). Perceiving emotions involves accurately identifying emotional expressions in oneself and others. This ability supports early recognition of conflict, stress, or disengagement within teams. Using emotions to facilitate thinking refers to the capacity to harness emotional states to support cognitive processes such as creativity, problem</w:t>
      </w:r>
      <w:r w:rsidRPr="00133103">
        <w:rPr>
          <w:rFonts w:ascii="Cambria Math" w:hAnsi="Cambria Math" w:cs="Cambria Math"/>
          <w:sz w:val="22"/>
          <w:szCs w:val="22"/>
        </w:rPr>
        <w:t>‑</w:t>
      </w:r>
      <w:r w:rsidRPr="00133103">
        <w:rPr>
          <w:rFonts w:ascii="Arial" w:hAnsi="Arial" w:cs="Arial"/>
          <w:sz w:val="22"/>
          <w:szCs w:val="22"/>
        </w:rPr>
        <w:t>solving, and decision</w:t>
      </w:r>
      <w:r w:rsidRPr="00133103">
        <w:rPr>
          <w:rFonts w:ascii="Cambria Math" w:hAnsi="Cambria Math" w:cs="Cambria Math"/>
          <w:sz w:val="22"/>
          <w:szCs w:val="22"/>
        </w:rPr>
        <w:t>‑</w:t>
      </w:r>
      <w:r w:rsidRPr="00133103">
        <w:rPr>
          <w:rFonts w:ascii="Arial" w:hAnsi="Arial" w:cs="Arial"/>
          <w:sz w:val="22"/>
          <w:szCs w:val="22"/>
        </w:rPr>
        <w:t>making. Fredrickson’s (2001) broaden</w:t>
      </w:r>
      <w:r w:rsidRPr="00133103">
        <w:rPr>
          <w:rFonts w:ascii="Cambria Math" w:hAnsi="Cambria Math" w:cs="Cambria Math"/>
          <w:sz w:val="22"/>
          <w:szCs w:val="22"/>
        </w:rPr>
        <w:t>‑</w:t>
      </w:r>
      <w:r w:rsidRPr="00133103">
        <w:rPr>
          <w:rFonts w:ascii="Arial" w:hAnsi="Arial" w:cs="Arial"/>
          <w:sz w:val="22"/>
          <w:szCs w:val="22"/>
        </w:rPr>
        <w:t>and</w:t>
      </w:r>
      <w:r w:rsidRPr="00133103">
        <w:rPr>
          <w:rFonts w:ascii="Cambria Math" w:hAnsi="Cambria Math" w:cs="Cambria Math"/>
          <w:sz w:val="22"/>
          <w:szCs w:val="22"/>
        </w:rPr>
        <w:t>‑</w:t>
      </w:r>
      <w:r w:rsidRPr="00133103">
        <w:rPr>
          <w:rFonts w:ascii="Arial" w:hAnsi="Arial" w:cs="Arial"/>
          <w:sz w:val="22"/>
          <w:szCs w:val="22"/>
        </w:rPr>
        <w:t>build theory supports this, demonstrating that positive emotions expand cognitive flexibility and enhance innovative thinking.</w:t>
      </w:r>
    </w:p>
    <w:p w14:paraId="03A3B6B5" w14:textId="32F975A8"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 xml:space="preserve">Understanding emotions involves interpreting emotional patterns, recognising causes and consequences of emotions, and predicting emotional trajectories. This ability reduces miscommunication and supports more accurate interpretation of workplace behaviours. </w:t>
      </w:r>
      <w:r w:rsidRPr="00133103">
        <w:rPr>
          <w:rFonts w:ascii="Arial" w:hAnsi="Arial" w:cs="Arial"/>
          <w:sz w:val="22"/>
          <w:szCs w:val="22"/>
        </w:rPr>
        <w:lastRenderedPageBreak/>
        <w:t>Managing emotions refers to regulating emotional responses in oneself and others to achieve desired outcomes. Effective emotional regulation is essential for maintaining professionalism, particularly in high</w:t>
      </w:r>
      <w:r w:rsidRPr="00133103">
        <w:rPr>
          <w:rFonts w:ascii="Cambria Math" w:hAnsi="Cambria Math" w:cs="Cambria Math"/>
          <w:sz w:val="22"/>
          <w:szCs w:val="22"/>
        </w:rPr>
        <w:t>‑</w:t>
      </w:r>
      <w:r w:rsidRPr="00133103">
        <w:rPr>
          <w:rFonts w:ascii="Arial" w:hAnsi="Arial" w:cs="Arial"/>
          <w:sz w:val="22"/>
          <w:szCs w:val="22"/>
        </w:rPr>
        <w:t>pressure environments where resilience and composure are required.</w:t>
      </w:r>
    </w:p>
    <w:p w14:paraId="63ECBFEF" w14:textId="789E2D16"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The Ability Model’s strength lies in its clarity and cognitive focus. However, critics argue that it underestimates the influence of personality traits, motivation, and social competencies (Petrides, 2009). This limitation is addressed in mixed models such as Goleman’s, which incorporate behavioural and interpersonal dimensions.</w:t>
      </w:r>
    </w:p>
    <w:p w14:paraId="0C8C1383" w14:textId="77777777" w:rsidR="00F050E3" w:rsidRPr="00133103" w:rsidRDefault="00F050E3" w:rsidP="00717E48">
      <w:pPr>
        <w:pStyle w:val="Heading2"/>
        <w:jc w:val="both"/>
      </w:pPr>
      <w:bookmarkStart w:id="4" w:name="_Toc234580024"/>
      <w:r w:rsidRPr="00133103">
        <w:t>1.3 Goleman’s Emotional Intelligence Framework</w:t>
      </w:r>
      <w:bookmarkEnd w:id="4"/>
    </w:p>
    <w:p w14:paraId="332C0CD3" w14:textId="3F4B581B"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Goleman’s Mixed Model expands emotional intelligence into a broader set of emotional and social competencies that contribute to workplace performance. His model comprises four domains: self</w:t>
      </w:r>
      <w:r w:rsidRPr="00133103">
        <w:rPr>
          <w:rFonts w:ascii="Cambria Math" w:hAnsi="Cambria Math" w:cs="Cambria Math"/>
          <w:sz w:val="22"/>
          <w:szCs w:val="22"/>
        </w:rPr>
        <w:t>‑</w:t>
      </w:r>
      <w:r w:rsidRPr="00133103">
        <w:rPr>
          <w:rFonts w:ascii="Arial" w:hAnsi="Arial" w:cs="Arial"/>
          <w:sz w:val="22"/>
          <w:szCs w:val="22"/>
        </w:rPr>
        <w:t>awareness, self</w:t>
      </w:r>
      <w:r w:rsidRPr="00133103">
        <w:rPr>
          <w:rFonts w:ascii="Cambria Math" w:hAnsi="Cambria Math" w:cs="Cambria Math"/>
          <w:sz w:val="22"/>
          <w:szCs w:val="22"/>
        </w:rPr>
        <w:t>‑</w:t>
      </w:r>
      <w:r w:rsidRPr="00133103">
        <w:rPr>
          <w:rFonts w:ascii="Arial" w:hAnsi="Arial" w:cs="Arial"/>
          <w:sz w:val="22"/>
          <w:szCs w:val="22"/>
        </w:rPr>
        <w:t>management, social awareness, and relationship management (Goleman, 1998). Self</w:t>
      </w:r>
      <w:r w:rsidRPr="00133103">
        <w:rPr>
          <w:rFonts w:ascii="Cambria Math" w:hAnsi="Cambria Math" w:cs="Cambria Math"/>
          <w:sz w:val="22"/>
          <w:szCs w:val="22"/>
        </w:rPr>
        <w:t>‑</w:t>
      </w:r>
      <w:r w:rsidRPr="00133103">
        <w:rPr>
          <w:rFonts w:ascii="Arial" w:hAnsi="Arial" w:cs="Arial"/>
          <w:sz w:val="22"/>
          <w:szCs w:val="22"/>
        </w:rPr>
        <w:t>awareness involves recognising one’s emotions, strengths, limitations, and their impact on others. This supports accurate self</w:t>
      </w:r>
      <w:r w:rsidRPr="00133103">
        <w:rPr>
          <w:rFonts w:ascii="Cambria Math" w:hAnsi="Cambria Math" w:cs="Cambria Math"/>
          <w:sz w:val="22"/>
          <w:szCs w:val="22"/>
        </w:rPr>
        <w:t>‑</w:t>
      </w:r>
      <w:r w:rsidRPr="00133103">
        <w:rPr>
          <w:rFonts w:ascii="Arial" w:hAnsi="Arial" w:cs="Arial"/>
          <w:sz w:val="22"/>
          <w:szCs w:val="22"/>
        </w:rPr>
        <w:t>assessment, ethical decision</w:t>
      </w:r>
      <w:r w:rsidRPr="00133103">
        <w:rPr>
          <w:rFonts w:ascii="Cambria Math" w:hAnsi="Cambria Math" w:cs="Cambria Math"/>
          <w:sz w:val="22"/>
          <w:szCs w:val="22"/>
        </w:rPr>
        <w:t>‑</w:t>
      </w:r>
      <w:r w:rsidRPr="00133103">
        <w:rPr>
          <w:rFonts w:ascii="Arial" w:hAnsi="Arial" w:cs="Arial"/>
          <w:sz w:val="22"/>
          <w:szCs w:val="22"/>
        </w:rPr>
        <w:t>making, and professional growth. Self</w:t>
      </w:r>
      <w:r w:rsidRPr="00133103">
        <w:rPr>
          <w:rFonts w:ascii="Cambria Math" w:hAnsi="Cambria Math" w:cs="Cambria Math"/>
          <w:sz w:val="22"/>
          <w:szCs w:val="22"/>
        </w:rPr>
        <w:t>‑</w:t>
      </w:r>
      <w:r w:rsidRPr="00133103">
        <w:rPr>
          <w:rFonts w:ascii="Arial" w:hAnsi="Arial" w:cs="Arial"/>
          <w:sz w:val="22"/>
          <w:szCs w:val="22"/>
        </w:rPr>
        <w:t>management refers to the ability to regulate emotions, maintain composure under pressure, and adapt to change. These skills are essential for maintaining productivity and avoiding impulsive behaviour.</w:t>
      </w:r>
    </w:p>
    <w:p w14:paraId="376F5B24" w14:textId="3D9F1D87"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Social awareness, particularly empathy, enables employees to understand the emotions and perspectives of others. Empathy enhances collaboration, customer service, and conflict prevention. Relationship management involves building rapport, influencing others, resolving conflict, and leading change. These competencies underpin effective leadership and team cohesion.</w:t>
      </w:r>
    </w:p>
    <w:p w14:paraId="458B5A19" w14:textId="6BF2CAB8"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Goleman’s model is widely used in leadership development due to its emphasis on behavioural competencies. However, critics argue that its broad scope makes EI difficult to measure objectively (Locke, 2005). Despite this, the model remains influential due to its practical relevance and strong alignment with organisational behaviour research.</w:t>
      </w:r>
    </w:p>
    <w:p w14:paraId="0E0C49BA" w14:textId="77777777" w:rsidR="00F050E3" w:rsidRPr="00133103" w:rsidRDefault="00F050E3" w:rsidP="00717E48">
      <w:pPr>
        <w:pStyle w:val="Heading2"/>
        <w:jc w:val="both"/>
      </w:pPr>
      <w:bookmarkStart w:id="5" w:name="_Toc234580025"/>
      <w:r w:rsidRPr="00133103">
        <w:t>1.4 Bar</w:t>
      </w:r>
      <w:r w:rsidRPr="00133103">
        <w:rPr>
          <w:rFonts w:ascii="Cambria Math" w:hAnsi="Cambria Math" w:cs="Cambria Math"/>
        </w:rPr>
        <w:t>‑</w:t>
      </w:r>
      <w:r w:rsidRPr="00133103">
        <w:t>On’s Emotional</w:t>
      </w:r>
      <w:r w:rsidRPr="00133103">
        <w:rPr>
          <w:rFonts w:ascii="Cambria Math" w:hAnsi="Cambria Math" w:cs="Cambria Math"/>
        </w:rPr>
        <w:t>‑</w:t>
      </w:r>
      <w:r w:rsidRPr="00133103">
        <w:t>Social Intelligence Model</w:t>
      </w:r>
      <w:bookmarkEnd w:id="5"/>
    </w:p>
    <w:p w14:paraId="0E78FDEC" w14:textId="7D5E9C80"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Bar</w:t>
      </w:r>
      <w:r w:rsidRPr="00133103">
        <w:rPr>
          <w:rFonts w:ascii="Cambria Math" w:hAnsi="Cambria Math" w:cs="Cambria Math"/>
          <w:sz w:val="22"/>
          <w:szCs w:val="22"/>
        </w:rPr>
        <w:t>‑</w:t>
      </w:r>
      <w:r w:rsidRPr="00133103">
        <w:rPr>
          <w:rFonts w:ascii="Arial" w:hAnsi="Arial" w:cs="Arial"/>
          <w:sz w:val="22"/>
          <w:szCs w:val="22"/>
        </w:rPr>
        <w:t>On’s Emotional</w:t>
      </w:r>
      <w:r w:rsidRPr="00133103">
        <w:rPr>
          <w:rFonts w:ascii="Cambria Math" w:hAnsi="Cambria Math" w:cs="Cambria Math"/>
          <w:sz w:val="22"/>
          <w:szCs w:val="22"/>
        </w:rPr>
        <w:t>‑</w:t>
      </w:r>
      <w:r w:rsidRPr="00133103">
        <w:rPr>
          <w:rFonts w:ascii="Arial" w:hAnsi="Arial" w:cs="Arial"/>
          <w:sz w:val="22"/>
          <w:szCs w:val="22"/>
        </w:rPr>
        <w:t>Social Intelligence Model conceptualises EI as a set of emotional and social competencies that influence how individuals understand themselves, relate to others, and cope with environmental demands (Bar</w:t>
      </w:r>
      <w:r w:rsidRPr="00133103">
        <w:rPr>
          <w:rFonts w:ascii="Cambria Math" w:hAnsi="Cambria Math" w:cs="Cambria Math"/>
          <w:sz w:val="22"/>
          <w:szCs w:val="22"/>
        </w:rPr>
        <w:t>‑</w:t>
      </w:r>
      <w:r w:rsidRPr="00133103">
        <w:rPr>
          <w:rFonts w:ascii="Arial" w:hAnsi="Arial" w:cs="Arial"/>
          <w:sz w:val="22"/>
          <w:szCs w:val="22"/>
        </w:rPr>
        <w:t>On, 2006). The model includes intrapersonal skills such as emotional self</w:t>
      </w:r>
      <w:r w:rsidRPr="00133103">
        <w:rPr>
          <w:rFonts w:ascii="Cambria Math" w:hAnsi="Cambria Math" w:cs="Cambria Math"/>
          <w:sz w:val="22"/>
          <w:szCs w:val="22"/>
        </w:rPr>
        <w:t>‑</w:t>
      </w:r>
      <w:r w:rsidRPr="00133103">
        <w:rPr>
          <w:rFonts w:ascii="Arial" w:hAnsi="Arial" w:cs="Arial"/>
          <w:sz w:val="22"/>
          <w:szCs w:val="22"/>
        </w:rPr>
        <w:t>awareness and self</w:t>
      </w:r>
      <w:r w:rsidRPr="00133103">
        <w:rPr>
          <w:rFonts w:ascii="Cambria Math" w:hAnsi="Cambria Math" w:cs="Cambria Math"/>
          <w:sz w:val="22"/>
          <w:szCs w:val="22"/>
        </w:rPr>
        <w:t>‑</w:t>
      </w:r>
      <w:r w:rsidRPr="00133103">
        <w:rPr>
          <w:rFonts w:ascii="Arial" w:hAnsi="Arial" w:cs="Arial"/>
          <w:sz w:val="22"/>
          <w:szCs w:val="22"/>
        </w:rPr>
        <w:t>regard; interpersonal skills such as empathy and social responsibility; stress management skills such as impulse control and stress tolerance; adaptability skills such as problem</w:t>
      </w:r>
      <w:r w:rsidRPr="00133103">
        <w:rPr>
          <w:rFonts w:ascii="Cambria Math" w:hAnsi="Cambria Math" w:cs="Cambria Math"/>
          <w:sz w:val="22"/>
          <w:szCs w:val="22"/>
        </w:rPr>
        <w:t>‑</w:t>
      </w:r>
      <w:r w:rsidRPr="00133103">
        <w:rPr>
          <w:rFonts w:ascii="Arial" w:hAnsi="Arial" w:cs="Arial"/>
          <w:sz w:val="22"/>
          <w:szCs w:val="22"/>
        </w:rPr>
        <w:t>solving and flexibility; and general mood indicators such as optimism and happiness.</w:t>
      </w:r>
    </w:p>
    <w:p w14:paraId="13F4F778" w14:textId="706A5BD3"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lastRenderedPageBreak/>
        <w:t>Bar</w:t>
      </w:r>
      <w:r w:rsidRPr="00133103">
        <w:rPr>
          <w:rFonts w:ascii="Cambria Math" w:hAnsi="Cambria Math" w:cs="Cambria Math"/>
          <w:sz w:val="22"/>
          <w:szCs w:val="22"/>
        </w:rPr>
        <w:t>‑</w:t>
      </w:r>
      <w:r w:rsidRPr="00133103">
        <w:rPr>
          <w:rFonts w:ascii="Arial" w:hAnsi="Arial" w:cs="Arial"/>
          <w:sz w:val="22"/>
          <w:szCs w:val="22"/>
        </w:rPr>
        <w:t>On argues that these competencies predict both workplace performance and psychological well</w:t>
      </w:r>
      <w:r w:rsidRPr="00133103">
        <w:rPr>
          <w:rFonts w:ascii="Cambria Math" w:hAnsi="Cambria Math" w:cs="Cambria Math"/>
          <w:sz w:val="22"/>
          <w:szCs w:val="22"/>
        </w:rPr>
        <w:t>‑</w:t>
      </w:r>
      <w:r w:rsidRPr="00133103">
        <w:rPr>
          <w:rFonts w:ascii="Arial" w:hAnsi="Arial" w:cs="Arial"/>
          <w:sz w:val="22"/>
          <w:szCs w:val="22"/>
        </w:rPr>
        <w:t>being. Employees with strong stress management skills are better able to cope with workload pressures, while those with strong interpersonal skills contribute to positive team dynamics. Adaptability is particularly important in dynamic organisational environments where employees must respond flexibly to shifting priorities.</w:t>
      </w:r>
    </w:p>
    <w:p w14:paraId="533616D2" w14:textId="6B299A67"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Although Bar</w:t>
      </w:r>
      <w:r w:rsidRPr="00133103">
        <w:rPr>
          <w:rFonts w:ascii="Cambria Math" w:hAnsi="Cambria Math" w:cs="Cambria Math"/>
          <w:sz w:val="22"/>
          <w:szCs w:val="22"/>
        </w:rPr>
        <w:t>‑</w:t>
      </w:r>
      <w:r w:rsidRPr="00133103">
        <w:rPr>
          <w:rFonts w:ascii="Arial" w:hAnsi="Arial" w:cs="Arial"/>
          <w:sz w:val="22"/>
          <w:szCs w:val="22"/>
        </w:rPr>
        <w:t>On’s model provides a holistic understanding of EI, critics argue that it overlaps with personality traits, making it difficult to distinguish EI from broader psychological constructs (Petrides, 2009). Nevertheless, the model remains valuable for understanding the relationship between emotional functioning, social behaviour, and workplace performance.</w:t>
      </w:r>
    </w:p>
    <w:p w14:paraId="5D1657FE" w14:textId="77777777" w:rsidR="00F050E3" w:rsidRPr="00133103" w:rsidRDefault="00F050E3" w:rsidP="00717E48">
      <w:pPr>
        <w:pStyle w:val="Heading2"/>
        <w:jc w:val="both"/>
      </w:pPr>
      <w:bookmarkStart w:id="6" w:name="_Toc234580026"/>
      <w:r w:rsidRPr="00133103">
        <w:t>1.5 Emotional Intelligence and Workplace Performance</w:t>
      </w:r>
      <w:bookmarkEnd w:id="6"/>
    </w:p>
    <w:p w14:paraId="0E02424F" w14:textId="4AECABC0"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Performance at work is commonly defined as the accomplishment of tasks measured against standards of accuracy, completeness, cost, quality, and speed (Campbell, 1990). Emotional intelligence contributes to performance through enhanced communication, improved conflict management, stronger leadership capability, and more effective decision</w:t>
      </w:r>
      <w:r w:rsidRPr="00133103">
        <w:rPr>
          <w:rFonts w:ascii="Cambria Math" w:hAnsi="Cambria Math" w:cs="Cambria Math"/>
          <w:sz w:val="22"/>
          <w:szCs w:val="22"/>
        </w:rPr>
        <w:t>‑</w:t>
      </w:r>
      <w:r w:rsidRPr="00133103">
        <w:rPr>
          <w:rFonts w:ascii="Arial" w:hAnsi="Arial" w:cs="Arial"/>
          <w:sz w:val="22"/>
          <w:szCs w:val="22"/>
        </w:rPr>
        <w:t>making. Employees with high EI interpret non</w:t>
      </w:r>
      <w:r w:rsidRPr="00133103">
        <w:rPr>
          <w:rFonts w:ascii="Cambria Math" w:hAnsi="Cambria Math" w:cs="Cambria Math"/>
          <w:sz w:val="22"/>
          <w:szCs w:val="22"/>
        </w:rPr>
        <w:t>‑</w:t>
      </w:r>
      <w:r w:rsidRPr="00133103">
        <w:rPr>
          <w:rFonts w:ascii="Arial" w:hAnsi="Arial" w:cs="Arial"/>
          <w:sz w:val="22"/>
          <w:szCs w:val="22"/>
        </w:rPr>
        <w:t>verbal cues accurately, express themselves clearly, and adjust their communication style to different audiences (Côté, 2014). These skills reduce misunderstandings and support effective teamwork.</w:t>
      </w:r>
    </w:p>
    <w:p w14:paraId="7E615661" w14:textId="2AAD3705"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In conflict situations, EI enables employees to regulate their emotional responses, remain composed, and facilitate constructive dialogue. This reduces the likelihood of escalation and supports collaborative problem</w:t>
      </w:r>
      <w:r w:rsidRPr="00133103">
        <w:rPr>
          <w:rFonts w:ascii="Cambria Math" w:hAnsi="Cambria Math" w:cs="Cambria Math"/>
          <w:sz w:val="22"/>
          <w:szCs w:val="22"/>
        </w:rPr>
        <w:t>‑</w:t>
      </w:r>
      <w:r w:rsidRPr="00133103">
        <w:rPr>
          <w:rFonts w:ascii="Arial" w:hAnsi="Arial" w:cs="Arial"/>
          <w:sz w:val="22"/>
          <w:szCs w:val="22"/>
        </w:rPr>
        <w:t>solving. In leadership contexts, EI supports the ability to inspire trust, motivate teams, and navigate change. Leaders with high EI are better able to recognise the emotional needs of their teams, provide appropriate support, and foster a positive organisational climate.</w:t>
      </w:r>
    </w:p>
    <w:p w14:paraId="4CC37BC3" w14:textId="25C12421"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Emotional intelligence also enhances decision</w:t>
      </w:r>
      <w:r w:rsidRPr="00133103">
        <w:rPr>
          <w:rFonts w:ascii="Cambria Math" w:hAnsi="Cambria Math" w:cs="Cambria Math"/>
          <w:sz w:val="22"/>
          <w:szCs w:val="22"/>
        </w:rPr>
        <w:t>‑</w:t>
      </w:r>
      <w:r w:rsidRPr="00133103">
        <w:rPr>
          <w:rFonts w:ascii="Arial" w:hAnsi="Arial" w:cs="Arial"/>
          <w:sz w:val="22"/>
          <w:szCs w:val="22"/>
        </w:rPr>
        <w:t>making by enabling employees to balance emotional and rational information. Research suggests that emotions play a critical role in judgement and decision</w:t>
      </w:r>
      <w:r w:rsidRPr="00133103">
        <w:rPr>
          <w:rFonts w:ascii="Cambria Math" w:hAnsi="Cambria Math" w:cs="Cambria Math"/>
          <w:sz w:val="22"/>
          <w:szCs w:val="22"/>
        </w:rPr>
        <w:t>‑</w:t>
      </w:r>
      <w:r w:rsidRPr="00133103">
        <w:rPr>
          <w:rFonts w:ascii="Arial" w:hAnsi="Arial" w:cs="Arial"/>
          <w:sz w:val="22"/>
          <w:szCs w:val="22"/>
        </w:rPr>
        <w:t>making, influencing risk perception, problem</w:t>
      </w:r>
      <w:r w:rsidRPr="00133103">
        <w:rPr>
          <w:rFonts w:ascii="Cambria Math" w:hAnsi="Cambria Math" w:cs="Cambria Math"/>
          <w:sz w:val="22"/>
          <w:szCs w:val="22"/>
        </w:rPr>
        <w:t>‑</w:t>
      </w:r>
      <w:r w:rsidRPr="00133103">
        <w:rPr>
          <w:rFonts w:ascii="Arial" w:hAnsi="Arial" w:cs="Arial"/>
          <w:sz w:val="22"/>
          <w:szCs w:val="22"/>
        </w:rPr>
        <w:t>solving, and ethical reasoning (Lerner et al., 2015). Employees with high EI are better able to recognise emotional influences, avoid impulsive decisions, and consider the emotional impact of their choices on others.</w:t>
      </w:r>
    </w:p>
    <w:p w14:paraId="026FBBFD" w14:textId="77777777" w:rsidR="00F050E3" w:rsidRPr="00133103" w:rsidRDefault="00F050E3" w:rsidP="00717E48">
      <w:pPr>
        <w:pStyle w:val="Heading2"/>
        <w:jc w:val="both"/>
      </w:pPr>
      <w:bookmarkStart w:id="7" w:name="_Toc234580027"/>
      <w:r w:rsidRPr="00133103">
        <w:t>1.6 Emotional Intelligence and Employee Well</w:t>
      </w:r>
      <w:r w:rsidRPr="00133103">
        <w:rPr>
          <w:rFonts w:ascii="Cambria Math" w:hAnsi="Cambria Math" w:cs="Cambria Math"/>
        </w:rPr>
        <w:t>‑</w:t>
      </w:r>
      <w:r w:rsidRPr="00133103">
        <w:t>Being</w:t>
      </w:r>
      <w:bookmarkEnd w:id="7"/>
    </w:p>
    <w:p w14:paraId="6B7BA4CD" w14:textId="2C0AF7E0"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Emotional intelligence supports employee well</w:t>
      </w:r>
      <w:r w:rsidRPr="00133103">
        <w:rPr>
          <w:rFonts w:ascii="Cambria Math" w:hAnsi="Cambria Math" w:cs="Cambria Math"/>
          <w:sz w:val="22"/>
          <w:szCs w:val="22"/>
        </w:rPr>
        <w:t>‑</w:t>
      </w:r>
      <w:r w:rsidRPr="00133103">
        <w:rPr>
          <w:rFonts w:ascii="Arial" w:hAnsi="Arial" w:cs="Arial"/>
          <w:sz w:val="22"/>
          <w:szCs w:val="22"/>
        </w:rPr>
        <w:t xml:space="preserve">being by reducing stress through emotional regulation, enhancing social support networks, and improving resilience. Employees with high EI are better equipped to manage workload pressures, maintain focus, and prevent burnout (Zeidner, Matthews and Roberts, 2012). EI contributes not only to performance but also to the </w:t>
      </w:r>
      <w:r w:rsidRPr="00133103">
        <w:rPr>
          <w:rFonts w:ascii="Arial" w:hAnsi="Arial" w:cs="Arial"/>
          <w:sz w:val="22"/>
          <w:szCs w:val="22"/>
        </w:rPr>
        <w:lastRenderedPageBreak/>
        <w:t>sustainability of employee engagement and satisfaction. Research indicates that employees with high EI experience greater job satisfaction, stronger interpersonal relationships, and lower levels of emotional exhaustion (Wong and Law, 2002).</w:t>
      </w:r>
    </w:p>
    <w:p w14:paraId="7CF0F814" w14:textId="256AAA42"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Mindfulness further enhances well</w:t>
      </w:r>
      <w:r w:rsidRPr="00133103">
        <w:rPr>
          <w:rFonts w:ascii="Cambria Math" w:hAnsi="Cambria Math" w:cs="Cambria Math"/>
          <w:sz w:val="22"/>
          <w:szCs w:val="22"/>
        </w:rPr>
        <w:t>‑</w:t>
      </w:r>
      <w:r w:rsidRPr="00133103">
        <w:rPr>
          <w:rFonts w:ascii="Arial" w:hAnsi="Arial" w:cs="Arial"/>
          <w:sz w:val="22"/>
          <w:szCs w:val="22"/>
        </w:rPr>
        <w:t>being by promoting present</w:t>
      </w:r>
      <w:r w:rsidRPr="00133103">
        <w:rPr>
          <w:rFonts w:ascii="Cambria Math" w:hAnsi="Cambria Math" w:cs="Cambria Math"/>
          <w:sz w:val="22"/>
          <w:szCs w:val="22"/>
        </w:rPr>
        <w:t>‑</w:t>
      </w:r>
      <w:r w:rsidRPr="00133103">
        <w:rPr>
          <w:rFonts w:ascii="Arial" w:hAnsi="Arial" w:cs="Arial"/>
          <w:sz w:val="22"/>
          <w:szCs w:val="22"/>
        </w:rPr>
        <w:t>moment awareness, reducing emotional reactivity, and supporting reflective decision</w:t>
      </w:r>
      <w:r w:rsidRPr="00133103">
        <w:rPr>
          <w:rFonts w:ascii="Cambria Math" w:hAnsi="Cambria Math" w:cs="Cambria Math"/>
          <w:sz w:val="22"/>
          <w:szCs w:val="22"/>
        </w:rPr>
        <w:t>‑</w:t>
      </w:r>
      <w:r w:rsidRPr="00133103">
        <w:rPr>
          <w:rFonts w:ascii="Arial" w:hAnsi="Arial" w:cs="Arial"/>
          <w:sz w:val="22"/>
          <w:szCs w:val="22"/>
        </w:rPr>
        <w:t>making. Good et al. (2016) argue that mindfulness strengthens the ethical application of EI by encouraging non</w:t>
      </w:r>
      <w:r w:rsidRPr="00133103">
        <w:rPr>
          <w:rFonts w:ascii="Cambria Math" w:hAnsi="Cambria Math" w:cs="Cambria Math"/>
          <w:sz w:val="22"/>
          <w:szCs w:val="22"/>
        </w:rPr>
        <w:t>‑</w:t>
      </w:r>
      <w:r w:rsidRPr="00133103">
        <w:rPr>
          <w:rFonts w:ascii="Arial" w:hAnsi="Arial" w:cs="Arial"/>
          <w:sz w:val="22"/>
          <w:szCs w:val="22"/>
        </w:rPr>
        <w:t>judgemental awareness and reducing impulsive reactions. Together, EI and mindfulness offer a holistic approach to enhancing interpersonal effectiveness and psychological resilience.</w:t>
      </w:r>
    </w:p>
    <w:p w14:paraId="436A0A82" w14:textId="77777777" w:rsidR="00F050E3" w:rsidRPr="00133103" w:rsidRDefault="00F050E3" w:rsidP="00717E48">
      <w:pPr>
        <w:pStyle w:val="Heading2"/>
        <w:jc w:val="both"/>
      </w:pPr>
      <w:bookmarkStart w:id="8" w:name="_Toc234580028"/>
      <w:r w:rsidRPr="00133103">
        <w:t>1.7 Critical Evaluation</w:t>
      </w:r>
      <w:bookmarkEnd w:id="8"/>
    </w:p>
    <w:p w14:paraId="6E21AF17" w14:textId="324A4B80"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A further limitation of emotional intelligence research concerns the ongoing debate about whether EI is genuinely distinct from established psychological constructs such as personality and cognitive intelligence. Critics such as Locke (2005) argue that EI lacks conceptual clarity and overlaps significantly with traits such as agreeableness, openness, and emotional stability. Despite these criticisms, proponents maintain that EI captures dynamic emotional processes that traditional personality models cannot fully explain, particularly in relation to interpersonal functioning and emotional regulation (Mayer, Roberts and Barsade, 2008).</w:t>
      </w:r>
    </w:p>
    <w:p w14:paraId="45997422" w14:textId="0F6207BE"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Another challenge relates to the cultural variability of emotional expression. Matsumoto et al. (2008) argue that cultural differences in emotional expression can influence how EI is interpreted and assessed, raising concerns about the universal applicability of EI frameworks. There is also a risk that EI can be used manipulatively. Kilduff, Chiaburu and Menges (2010) highlight that individuals with high emotional awareness may exploit this skill to influence or control others for personal gain. Despite these limitations, EI remains a valuable framework for understanding workplace behaviour, particularly when combined with mindfulness practices that promote self</w:t>
      </w:r>
      <w:r w:rsidRPr="00133103">
        <w:rPr>
          <w:rFonts w:ascii="Cambria Math" w:hAnsi="Cambria Math" w:cs="Cambria Math"/>
          <w:sz w:val="22"/>
          <w:szCs w:val="22"/>
        </w:rPr>
        <w:t>‑</w:t>
      </w:r>
      <w:r w:rsidRPr="00133103">
        <w:rPr>
          <w:rFonts w:ascii="Arial" w:hAnsi="Arial" w:cs="Arial"/>
          <w:sz w:val="22"/>
          <w:szCs w:val="22"/>
        </w:rPr>
        <w:t>awareness, emotional regulation, and reflective decision</w:t>
      </w:r>
      <w:r w:rsidRPr="00133103">
        <w:rPr>
          <w:rFonts w:ascii="Cambria Math" w:hAnsi="Cambria Math" w:cs="Cambria Math"/>
          <w:sz w:val="22"/>
          <w:szCs w:val="22"/>
        </w:rPr>
        <w:t>‑</w:t>
      </w:r>
      <w:r w:rsidRPr="00133103">
        <w:rPr>
          <w:rFonts w:ascii="Arial" w:hAnsi="Arial" w:cs="Arial"/>
          <w:sz w:val="22"/>
          <w:szCs w:val="22"/>
        </w:rPr>
        <w:t>making (Good et al., 2016).</w:t>
      </w:r>
    </w:p>
    <w:p w14:paraId="2B0906FB" w14:textId="77777777" w:rsidR="00F050E3" w:rsidRPr="00133103" w:rsidRDefault="00F050E3" w:rsidP="00717E48">
      <w:pPr>
        <w:pStyle w:val="Heading1"/>
        <w:jc w:val="both"/>
      </w:pPr>
      <w:bookmarkStart w:id="9" w:name="_Toc234580029"/>
      <w:r w:rsidRPr="00133103">
        <w:t>Task 2: Managing a Multigenerational Workforce</w:t>
      </w:r>
      <w:bookmarkEnd w:id="9"/>
    </w:p>
    <w:p w14:paraId="145DA1BB" w14:textId="77777777" w:rsidR="00F050E3" w:rsidRPr="00133103" w:rsidRDefault="00F050E3" w:rsidP="00717E48">
      <w:pPr>
        <w:pStyle w:val="Heading2"/>
        <w:jc w:val="both"/>
      </w:pPr>
      <w:bookmarkStart w:id="10" w:name="_Toc234580030"/>
      <w:r w:rsidRPr="00133103">
        <w:t>2.1 Introduction</w:t>
      </w:r>
      <w:bookmarkEnd w:id="10"/>
    </w:p>
    <w:p w14:paraId="3F905965" w14:textId="47BEACF0"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Modern organisations increasingly comprise employees from multiple generational cohorts, each shaped by distinct social, economic, and technological contexts. These generations differ in their values, communication preferences, motivations, and expectations of leadership. Emotional intelligence and mindfulness play a critical role in enabling managers to navigate these differences constructively and create inclusive, productive work environments.</w:t>
      </w:r>
    </w:p>
    <w:p w14:paraId="1FC25BCC" w14:textId="77777777" w:rsidR="00F050E3" w:rsidRPr="00133103" w:rsidRDefault="00F050E3" w:rsidP="00717E48">
      <w:pPr>
        <w:pStyle w:val="Heading2"/>
        <w:jc w:val="both"/>
      </w:pPr>
      <w:bookmarkStart w:id="11" w:name="_Toc234580031"/>
      <w:r w:rsidRPr="00133103">
        <w:lastRenderedPageBreak/>
        <w:t>2.2 Characteristics of Generational Groups</w:t>
      </w:r>
      <w:bookmarkEnd w:id="11"/>
    </w:p>
    <w:p w14:paraId="3BBEA3AD" w14:textId="4E316721"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Generation X, typically born between 1961 and 1980, is often described as independent, adaptable, and technologically literate. This generation values autonomy, informality, and egalitarian leadership (Smola and Sutton, 2002). Their formative experiences of economic uncertainty and dual</w:t>
      </w:r>
      <w:r w:rsidRPr="00133103">
        <w:rPr>
          <w:rFonts w:ascii="Cambria Math" w:hAnsi="Cambria Math" w:cs="Cambria Math"/>
          <w:sz w:val="22"/>
          <w:szCs w:val="22"/>
        </w:rPr>
        <w:t>‑</w:t>
      </w:r>
      <w:r w:rsidRPr="00133103">
        <w:rPr>
          <w:rFonts w:ascii="Arial" w:hAnsi="Arial" w:cs="Arial"/>
          <w:sz w:val="22"/>
          <w:szCs w:val="22"/>
        </w:rPr>
        <w:t>income households contributed to their preference for self</w:t>
      </w:r>
      <w:r w:rsidRPr="00133103">
        <w:rPr>
          <w:rFonts w:ascii="Cambria Math" w:hAnsi="Cambria Math" w:cs="Cambria Math"/>
          <w:sz w:val="22"/>
          <w:szCs w:val="22"/>
        </w:rPr>
        <w:t>‑</w:t>
      </w:r>
      <w:r w:rsidRPr="00133103">
        <w:rPr>
          <w:rFonts w:ascii="Arial" w:hAnsi="Arial" w:cs="Arial"/>
          <w:sz w:val="22"/>
          <w:szCs w:val="22"/>
        </w:rPr>
        <w:t>reliance and flexible working arrangements.</w:t>
      </w:r>
    </w:p>
    <w:p w14:paraId="7DDF9805" w14:textId="17AE9FB3"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Generation Y, or Millennials, born between 1980 and 1995, are characterised by their team</w:t>
      </w:r>
      <w:r w:rsidRPr="00133103">
        <w:rPr>
          <w:rFonts w:ascii="Cambria Math" w:hAnsi="Cambria Math" w:cs="Cambria Math"/>
          <w:sz w:val="22"/>
          <w:szCs w:val="22"/>
        </w:rPr>
        <w:t>‑</w:t>
      </w:r>
      <w:r w:rsidRPr="00133103">
        <w:rPr>
          <w:rFonts w:ascii="Arial" w:hAnsi="Arial" w:cs="Arial"/>
          <w:sz w:val="22"/>
          <w:szCs w:val="22"/>
        </w:rPr>
        <w:t>oriented mindset, desire for meaningful work, and preference for leaders who promote collaboration and harmony. Myers and Sadaghiani (2010) argue that Millennials value continuous feedback, opportunities for development, and alignment between personal and organisational values.</w:t>
      </w:r>
    </w:p>
    <w:p w14:paraId="4866F42B" w14:textId="23047EFE"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Generation Z, the emerging cohort born after 1995, is described as technologically driven, collaborative, and socially conscious. Schroth (2019) notes that Generation Z expects workplaces to embrace digital tools, diversity, and flexible working arrangements. However, research on this cohort remains limited, and age ranges are not universally agreed upon (Twenge, 2010).</w:t>
      </w:r>
    </w:p>
    <w:p w14:paraId="30B1EEA3" w14:textId="77777777" w:rsidR="00F050E3" w:rsidRPr="00133103" w:rsidRDefault="00F050E3" w:rsidP="00717E48">
      <w:pPr>
        <w:pStyle w:val="Heading2"/>
        <w:jc w:val="both"/>
      </w:pPr>
      <w:bookmarkStart w:id="12" w:name="_Toc234580032"/>
      <w:r w:rsidRPr="00133103">
        <w:t>2.3 Impact on Organisational Effectiveness</w:t>
      </w:r>
      <w:bookmarkEnd w:id="12"/>
    </w:p>
    <w:p w14:paraId="295721BA" w14:textId="488EE653"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Generational diversity can enhance innovation and problem</w:t>
      </w:r>
      <w:r w:rsidRPr="00133103">
        <w:rPr>
          <w:rFonts w:ascii="Cambria Math" w:hAnsi="Cambria Math" w:cs="Cambria Math"/>
          <w:sz w:val="22"/>
          <w:szCs w:val="22"/>
        </w:rPr>
        <w:t>‑</w:t>
      </w:r>
      <w:r w:rsidRPr="00133103">
        <w:rPr>
          <w:rFonts w:ascii="Arial" w:hAnsi="Arial" w:cs="Arial"/>
          <w:sz w:val="22"/>
          <w:szCs w:val="22"/>
        </w:rPr>
        <w:t>solving by bringing varied perspectives to organisational challenges. However, differences in communication preferences, motivational drivers, and technological adaptability can also create misunderstandings and conflict. If managers adopt a one</w:t>
      </w:r>
      <w:r w:rsidRPr="00133103">
        <w:rPr>
          <w:rFonts w:ascii="Cambria Math" w:hAnsi="Cambria Math" w:cs="Cambria Math"/>
          <w:sz w:val="22"/>
          <w:szCs w:val="22"/>
        </w:rPr>
        <w:t>‑</w:t>
      </w:r>
      <w:r w:rsidRPr="00133103">
        <w:rPr>
          <w:rFonts w:ascii="Arial" w:hAnsi="Arial" w:cs="Arial"/>
          <w:sz w:val="22"/>
          <w:szCs w:val="22"/>
        </w:rPr>
        <w:t>size</w:t>
      </w:r>
      <w:r w:rsidRPr="00133103">
        <w:rPr>
          <w:rFonts w:ascii="Cambria Math" w:hAnsi="Cambria Math" w:cs="Cambria Math"/>
          <w:sz w:val="22"/>
          <w:szCs w:val="22"/>
        </w:rPr>
        <w:t>‑</w:t>
      </w:r>
      <w:r w:rsidRPr="00133103">
        <w:rPr>
          <w:rFonts w:ascii="Arial" w:hAnsi="Arial" w:cs="Arial"/>
          <w:sz w:val="22"/>
          <w:szCs w:val="22"/>
        </w:rPr>
        <w:t>fits</w:t>
      </w:r>
      <w:r w:rsidRPr="00133103">
        <w:rPr>
          <w:rFonts w:ascii="Cambria Math" w:hAnsi="Cambria Math" w:cs="Cambria Math"/>
          <w:sz w:val="22"/>
          <w:szCs w:val="22"/>
        </w:rPr>
        <w:t>‑</w:t>
      </w:r>
      <w:r w:rsidRPr="00133103">
        <w:rPr>
          <w:rFonts w:ascii="Arial" w:hAnsi="Arial" w:cs="Arial"/>
          <w:sz w:val="22"/>
          <w:szCs w:val="22"/>
        </w:rPr>
        <w:t>all approach to motivation or communication, they risk disengaging significant portions of the workforce.</w:t>
      </w:r>
    </w:p>
    <w:p w14:paraId="69C806F9" w14:textId="44CAC09C"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Generational differences also influence expectations of leadership and organisational culture. Generation X employees often prefer leaders who provide autonomy and trust them to manage their own workload. Millennials tend to value leaders who are approachable, communicative, and invested in their personal development. Generation Z employees may expect leaders to be technologically competent, socially aware, and responsive to issues such as diversity and mental health (Schroth, 2019). Emotional intelligence enables leaders to recognise these differences and adapt their leadership style accordingly.</w:t>
      </w:r>
    </w:p>
    <w:p w14:paraId="262D0912" w14:textId="65A7DC40"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Workplace learning preferences also vary across generations. Generation X may prefer self</w:t>
      </w:r>
      <w:r w:rsidRPr="00133103">
        <w:rPr>
          <w:rFonts w:ascii="Cambria Math" w:hAnsi="Cambria Math" w:cs="Cambria Math"/>
          <w:sz w:val="22"/>
          <w:szCs w:val="22"/>
        </w:rPr>
        <w:t>‑</w:t>
      </w:r>
      <w:r w:rsidRPr="00133103">
        <w:rPr>
          <w:rFonts w:ascii="Arial" w:hAnsi="Arial" w:cs="Arial"/>
          <w:sz w:val="22"/>
          <w:szCs w:val="22"/>
        </w:rPr>
        <w:t>directed learning and practical, experience</w:t>
      </w:r>
      <w:r w:rsidRPr="00133103">
        <w:rPr>
          <w:rFonts w:ascii="Cambria Math" w:hAnsi="Cambria Math" w:cs="Cambria Math"/>
          <w:sz w:val="22"/>
          <w:szCs w:val="22"/>
        </w:rPr>
        <w:t>‑</w:t>
      </w:r>
      <w:r w:rsidRPr="00133103">
        <w:rPr>
          <w:rFonts w:ascii="Arial" w:hAnsi="Arial" w:cs="Arial"/>
          <w:sz w:val="22"/>
          <w:szCs w:val="22"/>
        </w:rPr>
        <w:t>based development opportunities. Millennials often value collaborative learning environments and continuous feedback, while Generation Z may favour digital learning platforms, micro</w:t>
      </w:r>
      <w:r w:rsidRPr="00133103">
        <w:rPr>
          <w:rFonts w:ascii="Cambria Math" w:hAnsi="Cambria Math" w:cs="Cambria Math"/>
          <w:sz w:val="22"/>
          <w:szCs w:val="22"/>
        </w:rPr>
        <w:t>‑</w:t>
      </w:r>
      <w:r w:rsidRPr="00133103">
        <w:rPr>
          <w:rFonts w:ascii="Arial" w:hAnsi="Arial" w:cs="Arial"/>
          <w:sz w:val="22"/>
          <w:szCs w:val="22"/>
        </w:rPr>
        <w:t xml:space="preserve">learning, and interactive technologies (Seemiller </w:t>
      </w:r>
      <w:r w:rsidRPr="00133103">
        <w:rPr>
          <w:rFonts w:ascii="Arial" w:hAnsi="Arial" w:cs="Arial"/>
          <w:sz w:val="22"/>
          <w:szCs w:val="22"/>
        </w:rPr>
        <w:lastRenderedPageBreak/>
        <w:t>and Grace, 2016). Mindfulness supports leaders in recognising these preferences and designing development opportunities that accommodate diverse learning needs.</w:t>
      </w:r>
    </w:p>
    <w:p w14:paraId="2E060DDC" w14:textId="20373F79"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Generational differences also influence attitudes towards work</w:t>
      </w:r>
      <w:r w:rsidRPr="00133103">
        <w:rPr>
          <w:rFonts w:ascii="Cambria Math" w:hAnsi="Cambria Math" w:cs="Cambria Math"/>
          <w:sz w:val="22"/>
          <w:szCs w:val="22"/>
        </w:rPr>
        <w:t>‑</w:t>
      </w:r>
      <w:r w:rsidRPr="00133103">
        <w:rPr>
          <w:rFonts w:ascii="Arial" w:hAnsi="Arial" w:cs="Arial"/>
          <w:sz w:val="22"/>
          <w:szCs w:val="22"/>
        </w:rPr>
        <w:t>life balance. Generation X employees often prioritise stability and flexibility, Millennials tend to seek meaningful work and alignment with organisational values, and Generation Z may expect hybrid working arrangements and greater autonomy over how and when work is completed (Twenge, 2010). Leaders who apply EI and mindfulness are better equipped to negotiate these expectations, communicate organisational constraints, and create working arrangements that balance individual needs with organisational goals.</w:t>
      </w:r>
    </w:p>
    <w:p w14:paraId="394E8810" w14:textId="77777777" w:rsidR="00F050E3" w:rsidRPr="00133103" w:rsidRDefault="00F050E3" w:rsidP="00717E48">
      <w:pPr>
        <w:pStyle w:val="Heading2"/>
        <w:jc w:val="both"/>
      </w:pPr>
      <w:bookmarkStart w:id="13" w:name="_Toc234580033"/>
      <w:r w:rsidRPr="00133103">
        <w:t>2.4 Emotional Intelligence in Managing Generational Diversity</w:t>
      </w:r>
      <w:bookmarkEnd w:id="13"/>
    </w:p>
    <w:p w14:paraId="258792EB" w14:textId="3DCE631C"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Emotional intelligence provides managers with the skills needed to navigate generational differences effectively. Self</w:t>
      </w:r>
      <w:r w:rsidRPr="00133103">
        <w:rPr>
          <w:rFonts w:ascii="Cambria Math" w:hAnsi="Cambria Math" w:cs="Cambria Math"/>
          <w:sz w:val="22"/>
          <w:szCs w:val="22"/>
        </w:rPr>
        <w:t>‑</w:t>
      </w:r>
      <w:r w:rsidRPr="00133103">
        <w:rPr>
          <w:rFonts w:ascii="Arial" w:hAnsi="Arial" w:cs="Arial"/>
          <w:sz w:val="22"/>
          <w:szCs w:val="22"/>
        </w:rPr>
        <w:t>awareness enables managers to recognise their own biases and assumptions. Self</w:t>
      </w:r>
      <w:r w:rsidRPr="00133103">
        <w:rPr>
          <w:rFonts w:ascii="Cambria Math" w:hAnsi="Cambria Math" w:cs="Cambria Math"/>
          <w:sz w:val="22"/>
          <w:szCs w:val="22"/>
        </w:rPr>
        <w:t>‑</w:t>
      </w:r>
      <w:r w:rsidRPr="00133103">
        <w:rPr>
          <w:rFonts w:ascii="Arial" w:hAnsi="Arial" w:cs="Arial"/>
          <w:sz w:val="22"/>
          <w:szCs w:val="22"/>
        </w:rPr>
        <w:t>management supports the regulation of emotional responses when faced with generational conflict. Social awareness, particularly empathy, is crucial for understanding the perspectives and needs of employees from different generations. Relationship management enables managers to build trust, facilitate collaboration, and resolve conflict across generational lines.</w:t>
      </w:r>
    </w:p>
    <w:p w14:paraId="5D1C021C" w14:textId="77777777" w:rsidR="00F050E3" w:rsidRPr="00133103" w:rsidRDefault="00F050E3" w:rsidP="00717E48">
      <w:pPr>
        <w:pStyle w:val="Heading2"/>
        <w:jc w:val="both"/>
      </w:pPr>
      <w:bookmarkStart w:id="14" w:name="_Toc234580034"/>
      <w:r w:rsidRPr="00133103">
        <w:t>2.5 Mindfulness and Psychological Safety</w:t>
      </w:r>
      <w:bookmarkEnd w:id="14"/>
    </w:p>
    <w:p w14:paraId="3E2236E7" w14:textId="6A235B3C"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Mindfulness complements emotional intelligence by enhancing present</w:t>
      </w:r>
      <w:r w:rsidRPr="00133103">
        <w:rPr>
          <w:rFonts w:ascii="Cambria Math" w:hAnsi="Cambria Math" w:cs="Cambria Math"/>
          <w:sz w:val="22"/>
          <w:szCs w:val="22"/>
        </w:rPr>
        <w:t>‑</w:t>
      </w:r>
      <w:r w:rsidRPr="00133103">
        <w:rPr>
          <w:rFonts w:ascii="Arial" w:hAnsi="Arial" w:cs="Arial"/>
          <w:sz w:val="22"/>
          <w:szCs w:val="22"/>
        </w:rPr>
        <w:t>moment awareness, reducing reactivity, and promoting thoughtful responses. Mindful managers are better equipped to listen actively, observe subtle emotional cues, and respond with clarity rather than judgement. Mindfulness supports psychological safety, which is essential for inclusive workplaces where employees feel safe to express their ideas and concerns (Edmondson, 2019). Psychological safety enhances collaboration, innovation, and engagement across generational boundaries.</w:t>
      </w:r>
    </w:p>
    <w:p w14:paraId="41A0FFBA" w14:textId="77777777" w:rsidR="00F050E3" w:rsidRPr="00133103" w:rsidRDefault="00F050E3" w:rsidP="00717E48">
      <w:pPr>
        <w:pStyle w:val="Heading2"/>
        <w:jc w:val="both"/>
      </w:pPr>
      <w:bookmarkStart w:id="15" w:name="_Toc234580035"/>
      <w:r w:rsidRPr="00133103">
        <w:t>2.6 Strategies for Recruitment, Management, and Retention</w:t>
      </w:r>
      <w:bookmarkEnd w:id="15"/>
    </w:p>
    <w:p w14:paraId="2B3F4057" w14:textId="761E9DD9"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Managers can use emotional intelligence and mindfulness to enhance recruitment, management, and retention across generations. During recruitment, emotionally intelligent managers recognise the differing expectations of each generation and communicate organisational values in ways that resonate with diverse candidates. In management, EI enables leaders to tailor communication, feedback, and motivation strategies to individual needs. For retention, mindfulness supports the creation of supportive environments where employees feel valued, reducing turnover and enhancing engagement.</w:t>
      </w:r>
    </w:p>
    <w:p w14:paraId="34941CC7" w14:textId="77777777" w:rsidR="00F050E3" w:rsidRPr="00133103" w:rsidRDefault="00F050E3" w:rsidP="00717E48">
      <w:pPr>
        <w:pStyle w:val="Heading1"/>
        <w:jc w:val="both"/>
      </w:pPr>
      <w:bookmarkStart w:id="16" w:name="_Toc234580036"/>
      <w:r w:rsidRPr="00133103">
        <w:lastRenderedPageBreak/>
        <w:t>Conclusion</w:t>
      </w:r>
      <w:bookmarkEnd w:id="16"/>
    </w:p>
    <w:p w14:paraId="51E2BB1D" w14:textId="2E53DA48"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This report has critically examined the role of emotional intelligence and mindfulness in contemporary organisations, demonstrating their importance for enhancing performance, collaboration, and well</w:t>
      </w:r>
      <w:r w:rsidRPr="00133103">
        <w:rPr>
          <w:rFonts w:ascii="Cambria Math" w:hAnsi="Cambria Math" w:cs="Cambria Math"/>
          <w:sz w:val="22"/>
          <w:szCs w:val="22"/>
        </w:rPr>
        <w:t>‑</w:t>
      </w:r>
      <w:r w:rsidRPr="00133103">
        <w:rPr>
          <w:rFonts w:ascii="Arial" w:hAnsi="Arial" w:cs="Arial"/>
          <w:sz w:val="22"/>
          <w:szCs w:val="22"/>
        </w:rPr>
        <w:t>being. Part One explored how employees can apply the core components of emotional intelligence to improve communication, conflict management, leadership, and decision</w:t>
      </w:r>
      <w:r w:rsidRPr="00133103">
        <w:rPr>
          <w:rFonts w:ascii="Cambria Math" w:hAnsi="Cambria Math" w:cs="Cambria Math"/>
          <w:sz w:val="22"/>
          <w:szCs w:val="22"/>
        </w:rPr>
        <w:t>‑</w:t>
      </w:r>
      <w:r w:rsidRPr="00133103">
        <w:rPr>
          <w:rFonts w:ascii="Arial" w:hAnsi="Arial" w:cs="Arial"/>
          <w:sz w:val="22"/>
          <w:szCs w:val="22"/>
        </w:rPr>
        <w:t>making. Part Two examined the challenges and opportunities associated with managing a multigenerational workforce. Emotional intelligence and mindfulness were shown to be essential tools for managers seeking to create inclusive, productive, and psychologically safe environments. Ultimately, the integration of emotional intelligence and mindfulness into organisational strategy represents a forward</w:t>
      </w:r>
      <w:r w:rsidRPr="00133103">
        <w:rPr>
          <w:rFonts w:ascii="Cambria Math" w:hAnsi="Cambria Math" w:cs="Cambria Math"/>
          <w:sz w:val="22"/>
          <w:szCs w:val="22"/>
        </w:rPr>
        <w:t>‑</w:t>
      </w:r>
      <w:r w:rsidRPr="00133103">
        <w:rPr>
          <w:rFonts w:ascii="Arial" w:hAnsi="Arial" w:cs="Arial"/>
          <w:sz w:val="22"/>
          <w:szCs w:val="22"/>
        </w:rPr>
        <w:t>thinking approach to leadership and workforce development. As organisations navigate increasing complexity, technological change, and demographic diversity, these capabilities will become even more essential. By embedding EI and mindfulness into recruitment, leadership development, and performance management, organisations can cultivate a workforce capable of meeting future challenges with adaptability, empathy, and strategic insight.</w:t>
      </w:r>
    </w:p>
    <w:p w14:paraId="02311AC9" w14:textId="77777777" w:rsidR="00F050E3" w:rsidRPr="00133103" w:rsidRDefault="00F050E3" w:rsidP="00717E48">
      <w:pPr>
        <w:pStyle w:val="Heading1"/>
        <w:jc w:val="both"/>
      </w:pPr>
      <w:bookmarkStart w:id="17" w:name="_Toc234580037"/>
      <w:r w:rsidRPr="00133103">
        <w:t>Reference List</w:t>
      </w:r>
      <w:bookmarkEnd w:id="17"/>
    </w:p>
    <w:p w14:paraId="30DD3CEE" w14:textId="77777777"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Bar</w:t>
      </w:r>
      <w:r w:rsidRPr="00133103">
        <w:rPr>
          <w:rFonts w:ascii="Cambria Math" w:hAnsi="Cambria Math" w:cs="Cambria Math"/>
          <w:sz w:val="22"/>
          <w:szCs w:val="22"/>
        </w:rPr>
        <w:t>‑</w:t>
      </w:r>
      <w:r w:rsidRPr="00133103">
        <w:rPr>
          <w:rFonts w:ascii="Arial" w:hAnsi="Arial" w:cs="Arial"/>
          <w:sz w:val="22"/>
          <w:szCs w:val="22"/>
        </w:rPr>
        <w:t>On, R. (2006) ‘The Bar</w:t>
      </w:r>
      <w:r w:rsidRPr="00133103">
        <w:rPr>
          <w:rFonts w:ascii="Cambria Math" w:hAnsi="Cambria Math" w:cs="Cambria Math"/>
          <w:sz w:val="22"/>
          <w:szCs w:val="22"/>
        </w:rPr>
        <w:t>‑</w:t>
      </w:r>
      <w:r w:rsidRPr="00133103">
        <w:rPr>
          <w:rFonts w:ascii="Arial" w:hAnsi="Arial" w:cs="Arial"/>
          <w:sz w:val="22"/>
          <w:szCs w:val="22"/>
        </w:rPr>
        <w:t>On model of emotional</w:t>
      </w:r>
      <w:r w:rsidRPr="00133103">
        <w:rPr>
          <w:rFonts w:ascii="Cambria Math" w:hAnsi="Cambria Math" w:cs="Cambria Math"/>
          <w:sz w:val="22"/>
          <w:szCs w:val="22"/>
        </w:rPr>
        <w:t>‑</w:t>
      </w:r>
      <w:r w:rsidRPr="00133103">
        <w:rPr>
          <w:rFonts w:ascii="Arial" w:hAnsi="Arial" w:cs="Arial"/>
          <w:sz w:val="22"/>
          <w:szCs w:val="22"/>
        </w:rPr>
        <w:t>social intelligence’, Psicothema, 18, pp. 13–25.</w:t>
      </w:r>
    </w:p>
    <w:p w14:paraId="32773AE0" w14:textId="77777777"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Campbell, J. (1990) ‘Modelling the performance prediction problem in industrial and organisational psychology’, Handbook of Industrial and Organizational Psychology, 1, pp. 687–732.</w:t>
      </w:r>
    </w:p>
    <w:p w14:paraId="231A67A3" w14:textId="77777777"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Côté, S. (2014) ‘Emotional intelligence in organisations’, Annual Review of Organizational Psychology and Organizational Behavior, 1, pp. 459–488.</w:t>
      </w:r>
    </w:p>
    <w:p w14:paraId="47069DE6" w14:textId="77777777"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Edmondson, A. (2019) The Fearless Organization. Wiley.</w:t>
      </w:r>
    </w:p>
    <w:p w14:paraId="63E4578B" w14:textId="77777777"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Fredrickson, B. (2001) ‘The broaden</w:t>
      </w:r>
      <w:r w:rsidRPr="00133103">
        <w:rPr>
          <w:rFonts w:ascii="Cambria Math" w:hAnsi="Cambria Math" w:cs="Cambria Math"/>
          <w:sz w:val="22"/>
          <w:szCs w:val="22"/>
        </w:rPr>
        <w:t>‑</w:t>
      </w:r>
      <w:r w:rsidRPr="00133103">
        <w:rPr>
          <w:rFonts w:ascii="Arial" w:hAnsi="Arial" w:cs="Arial"/>
          <w:sz w:val="22"/>
          <w:szCs w:val="22"/>
        </w:rPr>
        <w:t>and</w:t>
      </w:r>
      <w:r w:rsidRPr="00133103">
        <w:rPr>
          <w:rFonts w:ascii="Cambria Math" w:hAnsi="Cambria Math" w:cs="Cambria Math"/>
          <w:sz w:val="22"/>
          <w:szCs w:val="22"/>
        </w:rPr>
        <w:t>‑</w:t>
      </w:r>
      <w:r w:rsidRPr="00133103">
        <w:rPr>
          <w:rFonts w:ascii="Arial" w:hAnsi="Arial" w:cs="Arial"/>
          <w:sz w:val="22"/>
          <w:szCs w:val="22"/>
        </w:rPr>
        <w:t>build theory of positive emotions’, American Psychologist, 56(3), pp. 218–226.</w:t>
      </w:r>
    </w:p>
    <w:p w14:paraId="49FF6B47" w14:textId="77777777"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Goleman, D. (1995) Emotional Intelligence. Bantam Books.</w:t>
      </w:r>
    </w:p>
    <w:p w14:paraId="66C35F54" w14:textId="77777777"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Goleman, D. (1998) Working with Emotional Intelligence. Bantam Books.</w:t>
      </w:r>
    </w:p>
    <w:p w14:paraId="702CFFDD" w14:textId="77777777"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Good, D. et al. (2016) ‘Contemplating mindfulness at work’, Journal of Management, 42(1), pp. 114–142.</w:t>
      </w:r>
    </w:p>
    <w:p w14:paraId="0960C623" w14:textId="77777777"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lastRenderedPageBreak/>
        <w:t>Kilduff, M., Chiaburu, D. and Menges, J. (2010) ‘Strategic use of emotional intelligence’, Administrative Science Quarterly, 55(1), pp. 1–32.</w:t>
      </w:r>
    </w:p>
    <w:p w14:paraId="609DE223" w14:textId="77777777"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Lerner, J. et al. (2015) ‘Emotion and decision making’, Annual Review of Psychology, 66, pp. 799–823.</w:t>
      </w:r>
    </w:p>
    <w:p w14:paraId="23F9461D" w14:textId="77777777"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Locke, E. (2005) ‘Why emotional intelligence is an invalid concept’, Journal of Organizational Behavior, 26(4), pp. 425–431.</w:t>
      </w:r>
    </w:p>
    <w:p w14:paraId="2D038181" w14:textId="77777777"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Matsumoto, D. et al. (2008) ‘Cultural differences in emotional expression’, Journal of Personality and Social Psychology, 94(6), pp. 925–937.</w:t>
      </w:r>
    </w:p>
    <w:p w14:paraId="7A8C09D3" w14:textId="77777777"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Mayer, J., Roberts, R. and Barsade, S. (2008) ‘Human abilities: Emotional intelligence’, Annual Review of Psychology, 59, pp. 507–536.</w:t>
      </w:r>
    </w:p>
    <w:p w14:paraId="6961ED4B" w14:textId="77777777"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Mayer, J., Salovey, P. and Caruso, D. (2004) ‘Emotional intelligence: Theory, findings, and implications’, Psychological Inquiry, 15(3), pp. 197–215.</w:t>
      </w:r>
    </w:p>
    <w:p w14:paraId="6CD94A02" w14:textId="77777777"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Myers, K. and Sadaghiani, K. (2010) ‘Millennials in the workplace’, Journal of Business and Psychology, 25(2), pp. 225–238.</w:t>
      </w:r>
    </w:p>
    <w:p w14:paraId="66F920EA" w14:textId="77777777"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Petrides, K. (2009) ‘Trait emotional intelligence theory’, European Journal of Personality, 23(2), pp. 121–132.</w:t>
      </w:r>
    </w:p>
    <w:p w14:paraId="7E70AA50" w14:textId="77777777"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Schroth, H. (2019) ‘Are you ready for Gen Z?’, California Management Review, 61(3), pp. 5–18.</w:t>
      </w:r>
    </w:p>
    <w:p w14:paraId="4342C230" w14:textId="77777777"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Seemiller, C. and Grace, M. (2016) Generation Z Goes to College. Jossey</w:t>
      </w:r>
      <w:r w:rsidRPr="00133103">
        <w:rPr>
          <w:rFonts w:ascii="Cambria Math" w:hAnsi="Cambria Math" w:cs="Cambria Math"/>
          <w:sz w:val="22"/>
          <w:szCs w:val="22"/>
        </w:rPr>
        <w:t>‑</w:t>
      </w:r>
      <w:r w:rsidRPr="00133103">
        <w:rPr>
          <w:rFonts w:ascii="Arial" w:hAnsi="Arial" w:cs="Arial"/>
          <w:sz w:val="22"/>
          <w:szCs w:val="22"/>
        </w:rPr>
        <w:t>Bass.</w:t>
      </w:r>
    </w:p>
    <w:p w14:paraId="7320807A" w14:textId="77777777" w:rsidR="00F050E3"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Smola, K. and Sutton, C. (2002) ‘Generational differences’, Journal of Organizational Behavior, 23(4), pp. 363–382.</w:t>
      </w:r>
    </w:p>
    <w:p w14:paraId="6C04CBB6" w14:textId="40EDCEBE" w:rsidR="00E85290" w:rsidRPr="00133103" w:rsidRDefault="00F050E3" w:rsidP="00717E48">
      <w:pPr>
        <w:spacing w:line="360" w:lineRule="auto"/>
        <w:jc w:val="both"/>
        <w:rPr>
          <w:rFonts w:ascii="Arial" w:hAnsi="Arial" w:cs="Arial"/>
          <w:sz w:val="22"/>
          <w:szCs w:val="22"/>
        </w:rPr>
      </w:pPr>
      <w:r w:rsidRPr="00133103">
        <w:rPr>
          <w:rFonts w:ascii="Arial" w:hAnsi="Arial" w:cs="Arial"/>
          <w:sz w:val="22"/>
          <w:szCs w:val="22"/>
        </w:rPr>
        <w:t>Twenge, J. (2010) ‘A review of generational differences’, Journal of Managerial Psychology, 25(8), pp. 859–877.</w:t>
      </w:r>
    </w:p>
    <w:p w14:paraId="5458F8DA" w14:textId="13962839" w:rsidR="00133103" w:rsidRPr="00E85290" w:rsidRDefault="00133103" w:rsidP="00717E48">
      <w:pPr>
        <w:spacing w:line="360" w:lineRule="auto"/>
        <w:jc w:val="both"/>
        <w:rPr>
          <w:rFonts w:ascii="Arial" w:hAnsi="Arial" w:cs="Arial"/>
          <w:sz w:val="22"/>
          <w:szCs w:val="22"/>
        </w:rPr>
      </w:pPr>
      <w:r w:rsidRPr="00133103">
        <w:rPr>
          <w:rFonts w:ascii="Arial" w:hAnsi="Arial" w:cs="Arial"/>
          <w:sz w:val="22"/>
          <w:szCs w:val="22"/>
        </w:rPr>
        <w:t>Wong, C. and Law, K. (2002) ‘The effects of leader and follower emotional intelligence on performance and attitude: An exploratory study’, The Leadership Quarterly, 13(3), pp. 243–274.</w:t>
      </w:r>
    </w:p>
    <w:sectPr w:rsidR="00133103" w:rsidRPr="00E852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290"/>
    <w:rsid w:val="00133103"/>
    <w:rsid w:val="0039539C"/>
    <w:rsid w:val="003D08B7"/>
    <w:rsid w:val="003E5E34"/>
    <w:rsid w:val="006736DC"/>
    <w:rsid w:val="006D1598"/>
    <w:rsid w:val="00717E48"/>
    <w:rsid w:val="00722561"/>
    <w:rsid w:val="00917CC6"/>
    <w:rsid w:val="00E01570"/>
    <w:rsid w:val="00E85290"/>
    <w:rsid w:val="00F050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489C7"/>
  <w15:chartTrackingRefBased/>
  <w15:docId w15:val="{2522840D-9AD7-413A-8709-D1C76DFFB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52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852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52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52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52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52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52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52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52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52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852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52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52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52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52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52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52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5290"/>
    <w:rPr>
      <w:rFonts w:eastAsiaTheme="majorEastAsia" w:cstheme="majorBidi"/>
      <w:color w:val="272727" w:themeColor="text1" w:themeTint="D8"/>
    </w:rPr>
  </w:style>
  <w:style w:type="paragraph" w:styleId="Title">
    <w:name w:val="Title"/>
    <w:basedOn w:val="Normal"/>
    <w:next w:val="Normal"/>
    <w:link w:val="TitleChar"/>
    <w:uiPriority w:val="10"/>
    <w:qFormat/>
    <w:rsid w:val="00E852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52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52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52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5290"/>
    <w:pPr>
      <w:spacing w:before="160"/>
      <w:jc w:val="center"/>
    </w:pPr>
    <w:rPr>
      <w:i/>
      <w:iCs/>
      <w:color w:val="404040" w:themeColor="text1" w:themeTint="BF"/>
    </w:rPr>
  </w:style>
  <w:style w:type="character" w:customStyle="1" w:styleId="QuoteChar">
    <w:name w:val="Quote Char"/>
    <w:basedOn w:val="DefaultParagraphFont"/>
    <w:link w:val="Quote"/>
    <w:uiPriority w:val="29"/>
    <w:rsid w:val="00E85290"/>
    <w:rPr>
      <w:i/>
      <w:iCs/>
      <w:color w:val="404040" w:themeColor="text1" w:themeTint="BF"/>
    </w:rPr>
  </w:style>
  <w:style w:type="paragraph" w:styleId="ListParagraph">
    <w:name w:val="List Paragraph"/>
    <w:basedOn w:val="Normal"/>
    <w:uiPriority w:val="34"/>
    <w:qFormat/>
    <w:rsid w:val="00E85290"/>
    <w:pPr>
      <w:ind w:left="720"/>
      <w:contextualSpacing/>
    </w:pPr>
  </w:style>
  <w:style w:type="character" w:styleId="IntenseEmphasis">
    <w:name w:val="Intense Emphasis"/>
    <w:basedOn w:val="DefaultParagraphFont"/>
    <w:uiPriority w:val="21"/>
    <w:qFormat/>
    <w:rsid w:val="00E85290"/>
    <w:rPr>
      <w:i/>
      <w:iCs/>
      <w:color w:val="0F4761" w:themeColor="accent1" w:themeShade="BF"/>
    </w:rPr>
  </w:style>
  <w:style w:type="paragraph" w:styleId="IntenseQuote">
    <w:name w:val="Intense Quote"/>
    <w:basedOn w:val="Normal"/>
    <w:next w:val="Normal"/>
    <w:link w:val="IntenseQuoteChar"/>
    <w:uiPriority w:val="30"/>
    <w:qFormat/>
    <w:rsid w:val="00E852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5290"/>
    <w:rPr>
      <w:i/>
      <w:iCs/>
      <w:color w:val="0F4761" w:themeColor="accent1" w:themeShade="BF"/>
    </w:rPr>
  </w:style>
  <w:style w:type="character" w:styleId="IntenseReference">
    <w:name w:val="Intense Reference"/>
    <w:basedOn w:val="DefaultParagraphFont"/>
    <w:uiPriority w:val="32"/>
    <w:qFormat/>
    <w:rsid w:val="00E85290"/>
    <w:rPr>
      <w:b/>
      <w:bCs/>
      <w:smallCaps/>
      <w:color w:val="0F4761" w:themeColor="accent1" w:themeShade="BF"/>
      <w:spacing w:val="5"/>
    </w:rPr>
  </w:style>
  <w:style w:type="paragraph" w:styleId="TOCHeading">
    <w:name w:val="TOC Heading"/>
    <w:basedOn w:val="Heading1"/>
    <w:next w:val="Normal"/>
    <w:uiPriority w:val="39"/>
    <w:unhideWhenUsed/>
    <w:qFormat/>
    <w:rsid w:val="00133103"/>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133103"/>
    <w:pPr>
      <w:spacing w:after="100"/>
    </w:pPr>
  </w:style>
  <w:style w:type="paragraph" w:styleId="TOC2">
    <w:name w:val="toc 2"/>
    <w:basedOn w:val="Normal"/>
    <w:next w:val="Normal"/>
    <w:autoRedefine/>
    <w:uiPriority w:val="39"/>
    <w:unhideWhenUsed/>
    <w:rsid w:val="00133103"/>
    <w:pPr>
      <w:spacing w:after="100"/>
      <w:ind w:left="240"/>
    </w:pPr>
  </w:style>
  <w:style w:type="character" w:styleId="Hyperlink">
    <w:name w:val="Hyperlink"/>
    <w:basedOn w:val="DefaultParagraphFont"/>
    <w:uiPriority w:val="99"/>
    <w:unhideWhenUsed/>
    <w:rsid w:val="0013310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577E97-42C9-44A5-9C58-7D0E8E2C5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10</Pages>
  <Words>3418</Words>
  <Characters>19487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Humayrah .S</dc:creator>
  <cp:keywords/>
  <dc:description/>
  <cp:lastModifiedBy>Humayrah .S</cp:lastModifiedBy>
  <cp:revision>6</cp:revision>
  <dcterms:created xsi:type="dcterms:W3CDTF">2026-06-23T16:30:00Z</dcterms:created>
  <dcterms:modified xsi:type="dcterms:W3CDTF">2026-07-10T11:46:00Z</dcterms:modified>
</cp:coreProperties>
</file>