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4ECD6" w14:textId="77777777" w:rsidR="00A66FB4" w:rsidRDefault="00A66FB4" w:rsidP="00A66FB4">
      <w:pPr>
        <w:pStyle w:val="NormalWeb"/>
        <w:rPr>
          <w:color w:val="000000"/>
        </w:rPr>
      </w:pPr>
    </w:p>
    <w:p w14:paraId="1EE0D5DD" w14:textId="77777777" w:rsidR="00A66FB4" w:rsidRDefault="00A66FB4" w:rsidP="00A66FB4">
      <w:pPr>
        <w:pStyle w:val="NormalWeb"/>
        <w:rPr>
          <w:color w:val="000000"/>
        </w:rPr>
      </w:pPr>
    </w:p>
    <w:p w14:paraId="728E9C94" w14:textId="77777777" w:rsidR="00A66FB4" w:rsidRDefault="00A66FB4" w:rsidP="00A66FB4">
      <w:pPr>
        <w:pStyle w:val="NormalWeb"/>
        <w:rPr>
          <w:color w:val="000000"/>
        </w:rPr>
      </w:pPr>
    </w:p>
    <w:p w14:paraId="63C313A2" w14:textId="77777777" w:rsidR="00A66FB4" w:rsidRDefault="00A66FB4" w:rsidP="00A66FB4">
      <w:pPr>
        <w:pStyle w:val="NormalWeb"/>
        <w:rPr>
          <w:color w:val="000000"/>
        </w:rPr>
      </w:pPr>
    </w:p>
    <w:p w14:paraId="01F0B354" w14:textId="77777777" w:rsidR="00A66FB4" w:rsidRDefault="00A66FB4" w:rsidP="00A66FB4">
      <w:pPr>
        <w:pStyle w:val="NormalWeb"/>
        <w:rPr>
          <w:color w:val="000000"/>
        </w:rPr>
      </w:pPr>
    </w:p>
    <w:p w14:paraId="7B4D9297" w14:textId="77777777" w:rsidR="00A66FB4" w:rsidRDefault="00A66FB4" w:rsidP="00A66FB4">
      <w:pPr>
        <w:pStyle w:val="NormalWeb"/>
        <w:rPr>
          <w:color w:val="000000"/>
        </w:rPr>
      </w:pPr>
    </w:p>
    <w:p w14:paraId="444FCBE8" w14:textId="77777777" w:rsidR="00A66FB4" w:rsidRDefault="00A66FB4" w:rsidP="00A66FB4">
      <w:pPr>
        <w:pStyle w:val="NormalWeb"/>
        <w:rPr>
          <w:color w:val="000000"/>
        </w:rPr>
      </w:pPr>
    </w:p>
    <w:p w14:paraId="4EB1F1EE" w14:textId="77777777" w:rsidR="00A66FB4" w:rsidRDefault="00A66FB4" w:rsidP="00A66FB4">
      <w:pPr>
        <w:pStyle w:val="NormalWeb"/>
        <w:rPr>
          <w:color w:val="000000"/>
        </w:rPr>
      </w:pPr>
    </w:p>
    <w:p w14:paraId="26B16B9F" w14:textId="77777777" w:rsidR="00A66FB4" w:rsidRDefault="00A66FB4" w:rsidP="00A66FB4">
      <w:pPr>
        <w:pStyle w:val="NormalWeb"/>
        <w:jc w:val="center"/>
        <w:rPr>
          <w:color w:val="000000"/>
        </w:rPr>
      </w:pPr>
    </w:p>
    <w:p w14:paraId="18548571" w14:textId="77777777" w:rsidR="00A66FB4" w:rsidRPr="00A66FB4" w:rsidRDefault="00A66FB4" w:rsidP="00A66FB4">
      <w:pPr>
        <w:pStyle w:val="NormalWeb"/>
        <w:spacing w:line="480" w:lineRule="auto"/>
        <w:jc w:val="center"/>
        <w:rPr>
          <w:color w:val="000000"/>
          <w:u w:val="single"/>
        </w:rPr>
      </w:pPr>
    </w:p>
    <w:p w14:paraId="20F8B7C4" w14:textId="7F7A77D8" w:rsidR="00A66FB4" w:rsidRPr="00A66FB4" w:rsidRDefault="00A66FB4" w:rsidP="00A66FB4">
      <w:pPr>
        <w:pStyle w:val="NormalWeb"/>
        <w:spacing w:line="480" w:lineRule="auto"/>
        <w:jc w:val="center"/>
        <w:rPr>
          <w:color w:val="000000"/>
          <w:u w:val="single"/>
        </w:rPr>
      </w:pPr>
      <w:r w:rsidRPr="00A66FB4">
        <w:rPr>
          <w:color w:val="000000"/>
          <w:u w:val="single"/>
        </w:rPr>
        <w:t>The critical analysis of the impact of parental mental illness on children's mental health and well-being: A case study approach.</w:t>
      </w:r>
    </w:p>
    <w:p w14:paraId="1AC86251" w14:textId="77777777" w:rsidR="00A66FB4" w:rsidRDefault="00A66FB4" w:rsidP="00A66FB4">
      <w:pPr>
        <w:pStyle w:val="NormalWeb"/>
        <w:spacing w:line="480" w:lineRule="auto"/>
        <w:rPr>
          <w:color w:val="000000"/>
        </w:rPr>
      </w:pPr>
    </w:p>
    <w:p w14:paraId="386322B2" w14:textId="77777777" w:rsidR="00A66FB4" w:rsidRDefault="00A66FB4" w:rsidP="00A66FB4">
      <w:pPr>
        <w:pStyle w:val="NormalWeb"/>
        <w:spacing w:line="480" w:lineRule="auto"/>
        <w:rPr>
          <w:color w:val="000000"/>
        </w:rPr>
      </w:pPr>
    </w:p>
    <w:p w14:paraId="27D1633F" w14:textId="77777777" w:rsidR="00A66FB4" w:rsidRDefault="00A66FB4" w:rsidP="00A66FB4">
      <w:pPr>
        <w:pStyle w:val="NormalWeb"/>
        <w:spacing w:line="480" w:lineRule="auto"/>
        <w:rPr>
          <w:color w:val="000000"/>
        </w:rPr>
      </w:pPr>
    </w:p>
    <w:p w14:paraId="76C9D91A" w14:textId="77777777" w:rsidR="00A66FB4" w:rsidRDefault="00A66FB4" w:rsidP="00A66FB4">
      <w:pPr>
        <w:pStyle w:val="NormalWeb"/>
        <w:spacing w:line="480" w:lineRule="auto"/>
        <w:rPr>
          <w:color w:val="000000"/>
        </w:rPr>
      </w:pPr>
    </w:p>
    <w:p w14:paraId="23088347" w14:textId="77777777" w:rsidR="00A66FB4" w:rsidRDefault="00A66FB4" w:rsidP="00A66FB4">
      <w:pPr>
        <w:pStyle w:val="NormalWeb"/>
        <w:spacing w:line="480" w:lineRule="auto"/>
        <w:rPr>
          <w:color w:val="000000"/>
        </w:rPr>
      </w:pPr>
    </w:p>
    <w:p w14:paraId="73E6DBF2" w14:textId="77777777" w:rsidR="00A66FB4" w:rsidRDefault="00A66FB4" w:rsidP="00A66FB4">
      <w:pPr>
        <w:pStyle w:val="NormalWeb"/>
        <w:spacing w:line="480" w:lineRule="auto"/>
        <w:rPr>
          <w:color w:val="000000"/>
        </w:rPr>
      </w:pPr>
    </w:p>
    <w:p w14:paraId="2187117F" w14:textId="77777777" w:rsidR="00A66FB4" w:rsidRDefault="00A66FB4" w:rsidP="00A66FB4">
      <w:pPr>
        <w:pStyle w:val="NormalWeb"/>
        <w:spacing w:line="480" w:lineRule="auto"/>
        <w:rPr>
          <w:color w:val="000000"/>
        </w:rPr>
      </w:pPr>
    </w:p>
    <w:p w14:paraId="43010D2B" w14:textId="77777777" w:rsidR="00A66FB4" w:rsidRDefault="00A66FB4" w:rsidP="00A66FB4">
      <w:pPr>
        <w:pStyle w:val="NormalWeb"/>
        <w:spacing w:line="480" w:lineRule="auto"/>
        <w:rPr>
          <w:color w:val="000000"/>
        </w:rPr>
      </w:pPr>
    </w:p>
    <w:p w14:paraId="23E9B8E4" w14:textId="77777777" w:rsidR="00A66FB4" w:rsidRDefault="00A66FB4" w:rsidP="00A66FB4">
      <w:pPr>
        <w:pStyle w:val="NormalWeb"/>
        <w:spacing w:line="480" w:lineRule="auto"/>
        <w:rPr>
          <w:color w:val="000000"/>
        </w:rPr>
      </w:pPr>
      <w:r>
        <w:rPr>
          <w:color w:val="000000"/>
        </w:rPr>
        <w:lastRenderedPageBreak/>
        <w:t>Childhood experiences can significantly shape a person's mental health and well-being, both in childhood and later in life (Gu et al., 2022). Adverse childhood experiences (ACEs) are a range of stressful events and conditions that can have a profound impact on a child's physical and mental health, as well as their social and emotional development (Webster, 2022). These experiences can include abuse, neglect, household dysfunction, and exposure to violence. Research has shown that ACEs can increase the risk of a range of health problems in adulthood, including chronic diseases, mental health disorders, and substance abuse (Tzouvara et al., 2023). Identifying and addressing ACEs to promote healthy development and prevent long-term health consequences is essential.</w:t>
      </w:r>
    </w:p>
    <w:p w14:paraId="454A0931" w14:textId="49462AEE" w:rsidR="00A66FB4" w:rsidRDefault="00A66FB4" w:rsidP="00A66FB4">
      <w:pPr>
        <w:pStyle w:val="NormalWeb"/>
        <w:spacing w:line="480" w:lineRule="auto"/>
        <w:ind w:firstLine="720"/>
        <w:rPr>
          <w:color w:val="000000"/>
        </w:rPr>
      </w:pPr>
      <w:r>
        <w:rPr>
          <w:color w:val="000000"/>
        </w:rPr>
        <w:t>This essay will critically analyse the complex impact of ACEs related to parental mental illness. This essay will also discuss the outcomes and experiences that stem from this ACE, including mental health difficulties, social isolation, academic pressure, self-harm, family conflict and legal consequences. These experiences represent the challenges faced by children growing up in environments affected by parental mental illness (Wang et al., 2022). By analysing the case study through a critical lens, the essay seeks to unravel the underlying mechanisms through which parental mental illness shapes children's experiences. Moreover, it highlights the significance of early intervention and comprehensive support systems in mitigating the adverse effects of ACEs and fostering resilience in affected children and young people.</w:t>
      </w:r>
    </w:p>
    <w:p w14:paraId="444F6F00" w14:textId="77777777" w:rsidR="00A66FB4" w:rsidRDefault="00A66FB4" w:rsidP="00A66FB4">
      <w:pPr>
        <w:pStyle w:val="NormalWeb"/>
        <w:spacing w:line="480" w:lineRule="auto"/>
        <w:ind w:firstLine="720"/>
        <w:rPr>
          <w:color w:val="000000"/>
        </w:rPr>
      </w:pPr>
      <w:r>
        <w:rPr>
          <w:color w:val="000000"/>
        </w:rPr>
        <w:t xml:space="preserve">This essay will focus on a case study about Ben, a 15-year-old who is struggling with severe mental health challenges. He exhibits a refusal to attend school, experiencing intense anxiety and panic attacks when leaving the house—Ben resorts to self-harm, engaging in scratching and cutting his wrists. Despite attempts to transport him to school, he endures distressing symptoms such as stomach cramps and nausea. Furthermore, Ben locks his </w:t>
      </w:r>
      <w:r>
        <w:rPr>
          <w:color w:val="000000"/>
        </w:rPr>
        <w:lastRenderedPageBreak/>
        <w:t>bedroom door to hinder parental intervention. Consequently, his parents are deeply concerned and feel pressured by the school's expectations.</w:t>
      </w:r>
    </w:p>
    <w:p w14:paraId="36621BE8" w14:textId="77777777" w:rsidR="00A66FB4" w:rsidRDefault="00A66FB4" w:rsidP="00A66FB4">
      <w:pPr>
        <w:pStyle w:val="NormalWeb"/>
        <w:spacing w:line="480" w:lineRule="auto"/>
        <w:ind w:firstLine="720"/>
        <w:rPr>
          <w:color w:val="000000"/>
        </w:rPr>
      </w:pPr>
      <w:r>
        <w:rPr>
          <w:color w:val="000000"/>
        </w:rPr>
        <w:t>Ben's pronounced anxiety, recurrent panic attacks, and engagement in self-harming behaviours present alarming indicators of his vulnerability to developing various mental health disorders. The intensity of his symptoms suggests a potential manifestation of conditions such as generalised anxiety disorder, panic disorder, or depression. These disorders, characterised by persistent feelings of apprehension, debilitating panic episodes, and profound emotional distress, pose significant challenges to Ben's well-being and functioning. Moreover, the stressors associated with his parent's mental health condition likely exacerbate these symptoms, amplifying the complexity and severity of his psychological distress. The cumulative impact of these intertwined factors underscores the critical need for timely intervention and comprehensive support to address Ben's mental health needs effectively (Schickedanz et al., 2018).</w:t>
      </w:r>
    </w:p>
    <w:p w14:paraId="6CD56301" w14:textId="77777777" w:rsidR="00A66FB4" w:rsidRDefault="00A66FB4" w:rsidP="00A66FB4">
      <w:pPr>
        <w:pStyle w:val="NormalWeb"/>
        <w:spacing w:line="480" w:lineRule="auto"/>
        <w:ind w:firstLine="720"/>
        <w:rPr>
          <w:color w:val="000000"/>
        </w:rPr>
      </w:pPr>
      <w:r>
        <w:rPr>
          <w:color w:val="000000"/>
        </w:rPr>
        <w:t>Ben's consistent refusal to attend school, coupled with his evident struggle to cope with the associated stressors, significantly heightens his susceptibility to academic failure. His avoidance of school attendance may stem from the overwhelming anxiety and emotional turmoil he experiences, which restricts his capacity to engage in academic activities effectively. Furthermore, the instability within Ben's home environment, heightened by his parent's mental health issues, likely compounds his academic challenges. The unpredictable nature of living with a parent who is grappling with mental illness can disrupt Ben's daily routines, undermine his concentration levels, and hinder his academic progress. Consequently, Ben may find it increasingly challenging to maintain focus, meet academic expectations, and achieve satisfactory academic outcomes (Deng et al., 2022).</w:t>
      </w:r>
    </w:p>
    <w:p w14:paraId="51440164" w14:textId="77777777" w:rsidR="00A66FB4" w:rsidRDefault="00A66FB4" w:rsidP="00A66FB4">
      <w:pPr>
        <w:pStyle w:val="NormalWeb"/>
        <w:spacing w:line="480" w:lineRule="auto"/>
        <w:ind w:firstLine="720"/>
        <w:rPr>
          <w:color w:val="000000"/>
        </w:rPr>
      </w:pPr>
      <w:r>
        <w:rPr>
          <w:color w:val="000000"/>
        </w:rPr>
        <w:lastRenderedPageBreak/>
        <w:t>Ben's engagement in self-harming behaviours, notably scratching and cutting his wrists, exposes him to a range of physical health complications that extend beyond the immediate act. These actions place Ben at risk of developing infections, enduring permanent scarring, and even sustaining severe injuries. While these behaviours may initially serve as coping mechanisms to alleviate the emotional distress stemming from his parent's mental health condition, they inadvertently subject him to significant physical harm. The repetitive nature of self-harm increases the likelihood of complications, as each instance heightens the risk of infection and intensity of existing wounds. Furthermore, the potential for severe injuries underscores the urgency of addressing Ben's underlying emotional distress and providing him with alternative coping strategies to mitigate the risk of further harm. It is imperative to approach Ben's self-harming behaviours holistically, addressing the emotional turmoil fuelling these actions and the physical health implications to ensure his overall well-being and safety (Mitchell, 2021).</w:t>
      </w:r>
    </w:p>
    <w:p w14:paraId="38F6460D" w14:textId="77777777" w:rsidR="00A66FB4" w:rsidRDefault="00A66FB4" w:rsidP="00A66FB4">
      <w:pPr>
        <w:pStyle w:val="NormalWeb"/>
        <w:spacing w:line="480" w:lineRule="auto"/>
        <w:ind w:firstLine="720"/>
        <w:rPr>
          <w:color w:val="000000"/>
        </w:rPr>
      </w:pPr>
      <w:r>
        <w:rPr>
          <w:color w:val="000000"/>
        </w:rPr>
        <w:t xml:space="preserve">Ben's persistent avoidance of school attendance and withdrawal from social activities indicate his vulnerability to social isolation, which can have profound implications for his overall well-being. By refraining from participating in school and extracurricular activities, Ben deprives himself of crucial opportunities for social interaction, peer support, and the development of meaningful relationships (Coplan, 2021). The absence of these social connections may exacerbate feelings of loneliness and emotional distress and impede his ability to navigate the challenges he faces. Furthermore, Ben's isolation may be compounded by his parents' mental health issues, which can create an emotionally unstable home environment incapable of providing him with the necessary emotional support and encouragement (Christiansen et al., 2021). If Ben's parents are preoccupied with managing their mental health challenges, they may inadvertently neglect his emotional needs, exacerbating his sense of isolation and further distancing him from potential sources of </w:t>
      </w:r>
      <w:r>
        <w:rPr>
          <w:color w:val="000000"/>
        </w:rPr>
        <w:lastRenderedPageBreak/>
        <w:t>support. Ben's persistent avoidance of social interaction could be exacerbating his stress levels, notably as he anticipates returning to school (Campagne, 2019). By depriving himself of these interactions, he may not develop the coping mechanisms necessary to navigate social situations effectively. This avoidance might also hinder his social development and understanding of appropriate social behaviours, potentially leading to further difficulties interacting with peers and authority figures. As Ben continues to isolate himself, he may find it increasingly challenging to reintegrate into social settings, such as school, where social interaction is unavoidable. The heightened stress resulting from this avoidance can manifest in various ways, including physical symptoms like headaches or stomach aches, as well as emotional symptoms like anxiety or depression. Moreover, prolonged social isolation can have long-term consequences on Ben's mental health and overall well-being (Almeida et al., 2021).</w:t>
      </w:r>
    </w:p>
    <w:p w14:paraId="5AEA29B4" w14:textId="368A99A8" w:rsidR="00A66FB4" w:rsidRDefault="00A66FB4" w:rsidP="00A66FB4">
      <w:pPr>
        <w:pStyle w:val="NormalWeb"/>
        <w:spacing w:line="480" w:lineRule="auto"/>
        <w:ind w:firstLine="720"/>
        <w:rPr>
          <w:color w:val="000000"/>
        </w:rPr>
      </w:pPr>
      <w:r>
        <w:rPr>
          <w:color w:val="000000"/>
        </w:rPr>
        <w:t xml:space="preserve">Ben's challenges with school attendance and mental health issues may precipitate heightened tension and conflict within his family dynamic, compounding the already significant stressors stemming from his parent's mental illness. The strain of navigating a parent's mental health condition can create a pervasive atmosphere of tension and discord within the household, potentially exacerbating Ben's emotional distress and restricting his ability to cope effectively. As family relationships become strained under the weight of these challenges, Ben may find himself caught in the crossfire of family conflict, further exacerbating his emotional </w:t>
      </w:r>
      <w:r>
        <w:rPr>
          <w:color w:val="000000"/>
        </w:rPr>
        <w:t>turmoil,</w:t>
      </w:r>
      <w:r>
        <w:rPr>
          <w:color w:val="000000"/>
        </w:rPr>
        <w:t xml:space="preserve"> and complicating his efforts to manage his mental health (Reupert et al., 2020).</w:t>
      </w:r>
    </w:p>
    <w:p w14:paraId="644EB515" w14:textId="77777777" w:rsidR="00A66FB4" w:rsidRDefault="00A66FB4" w:rsidP="00A66FB4">
      <w:pPr>
        <w:pStyle w:val="NormalWeb"/>
        <w:spacing w:line="480" w:lineRule="auto"/>
        <w:ind w:firstLine="720"/>
        <w:rPr>
          <w:color w:val="000000"/>
        </w:rPr>
      </w:pPr>
      <w:r>
        <w:rPr>
          <w:color w:val="000000"/>
        </w:rPr>
        <w:t xml:space="preserve">The long-term implications of Ben's untreated mental health struggles are profound and far-reaching, potentially impacting various facets of his life well into the future. Without timely and effective intervention, Ben may encounter significant obstacles in forming and </w:t>
      </w:r>
      <w:r>
        <w:rPr>
          <w:color w:val="000000"/>
        </w:rPr>
        <w:lastRenderedPageBreak/>
        <w:t>maintaining meaningful relationships, as his emotional distress and coping mechanisms may restrict his ability to connect with others on a deep and meaningful level (Kamis, 2020). Furthermore, his struggles with mental health and social interaction could hinder his prospects for employment, as the emotional and psychological toll of his condition may interfere with his ability to perform effectively in the workplace. Additionally, Ben's overall well-being may be compromised, as the cumulative effects of his untreated mental health issues may manifest in ongoing emotional distress and reduced quality of life. Moreover, the challenges posed by his parent's mental health issues may exacerbate these long-term consequences, further complicating Ben's path to success and happiness. Ben must receive the necessary support and intervention to address his mental health needs comprehensively, thereby mitigating the potential long-term impact and fostering his resilience and well-being in the years to come.</w:t>
      </w:r>
    </w:p>
    <w:p w14:paraId="3A85C68A" w14:textId="77777777" w:rsidR="00A66FB4" w:rsidRDefault="00A66FB4" w:rsidP="00A66FB4">
      <w:pPr>
        <w:pStyle w:val="NormalWeb"/>
        <w:spacing w:line="480" w:lineRule="auto"/>
        <w:ind w:firstLine="720"/>
        <w:rPr>
          <w:color w:val="000000"/>
        </w:rPr>
      </w:pPr>
      <w:r>
        <w:rPr>
          <w:color w:val="000000"/>
        </w:rPr>
        <w:t>Ben's persistent truancy from school, stemming from his ongoing struggles with mental health, poses potential legal ramifications for both him and his parents. His continued absence from school may trigger legal intervention or consequences, such as fines or legal proceedings if his absences are not effectively addressed and supported. These legal implications add yet another layer of stress and complexity to an already challenging situation for Ben and his family. The threat of legal consequences further compounds the pressure on Ben, exacerbating his mental health struggles and hindering his ability to cope effectively with his circumstances. Moreover, the potential legal repercussions may strain familial relationships and exacerbate tensions within the household, creating additional barriers to Ben's recovery and well-being (Steare et al., 2023).</w:t>
      </w:r>
    </w:p>
    <w:p w14:paraId="47351E5E" w14:textId="3FF014DF" w:rsidR="00A66FB4" w:rsidRDefault="00A66FB4" w:rsidP="00A66FB4">
      <w:pPr>
        <w:pStyle w:val="NormalWeb"/>
        <w:spacing w:line="480" w:lineRule="auto"/>
        <w:ind w:firstLine="720"/>
        <w:rPr>
          <w:color w:val="000000"/>
        </w:rPr>
      </w:pPr>
      <w:r>
        <w:rPr>
          <w:color w:val="000000"/>
        </w:rPr>
        <w:t xml:space="preserve">Implementing interventions to address Ben's complex challenges requires a detailed understanding of his needs and the circumstances surrounding his situation. Each intervention </w:t>
      </w:r>
      <w:r>
        <w:rPr>
          <w:color w:val="000000"/>
        </w:rPr>
        <w:lastRenderedPageBreak/>
        <w:t>presents opportunities to support Ben's well-being while posing potential limitations that must be carefully considered.</w:t>
      </w:r>
      <w:r>
        <w:rPr>
          <w:color w:val="000000"/>
        </w:rPr>
        <w:t xml:space="preserve"> </w:t>
      </w:r>
      <w:r>
        <w:rPr>
          <w:color w:val="000000"/>
        </w:rPr>
        <w:t>Cognitive-behavioural therapy (CBT) stands out as a promising approach to tackle his symptoms and equip him with effective coping strategies (Kendall et al., 2023). Moreover, incorporating family therapy into his treatment plan is crucial to addressing the impact of his parent's mental health condition on his well-being. By fostering healthier family dynamics, this intervention can create a more supportive environment for Ben's recovery (Sigurvinsdóttir et al., 2019).</w:t>
      </w:r>
      <w:r>
        <w:rPr>
          <w:color w:val="000000"/>
        </w:rPr>
        <w:t xml:space="preserve"> </w:t>
      </w:r>
      <w:r>
        <w:rPr>
          <w:color w:val="000000"/>
        </w:rPr>
        <w:t>Acknowledging the limitations of cognitive-</w:t>
      </w:r>
      <w:r>
        <w:rPr>
          <w:color w:val="000000"/>
        </w:rPr>
        <w:t>behavioural</w:t>
      </w:r>
      <w:r>
        <w:rPr>
          <w:color w:val="000000"/>
        </w:rPr>
        <w:t xml:space="preserve"> therapy (CBT) is essential in providing a comprehensive approach to addressing Ben's mental health challenges. Firstly, Ben's issues may be complex and deeply ingrained, extending beyond the scope of what CBT alone can effectively target. While CBT offers practical skills for managing symptoms such as anxiety and self-harming behaviours, it may not adequately address underlying issues related to Ben's family dynamics, trauma history, or co-occurring mental health conditions. Additionally, while CBT teaches valuable skills, there may be limitations in how well these skills generalise to real-life situations for Ben (Shimshoni, 2024). Environmental stressors, social dynamics, and personal triggers may impact his ability to consistently apply CBT techniques outside of therapy sessions, potentially reducing the overall effectiveness of the intervention. </w:t>
      </w:r>
    </w:p>
    <w:p w14:paraId="76726F84" w14:textId="081EFB00" w:rsidR="00A66FB4" w:rsidRDefault="00A66FB4" w:rsidP="00A66FB4">
      <w:pPr>
        <w:pStyle w:val="NormalWeb"/>
        <w:spacing w:line="480" w:lineRule="auto"/>
        <w:ind w:firstLine="720"/>
        <w:rPr>
          <w:color w:val="000000"/>
        </w:rPr>
      </w:pPr>
      <w:r>
        <w:rPr>
          <w:color w:val="000000"/>
        </w:rPr>
        <w:t xml:space="preserve">In addition to mental health support, Ben requires academic assistance to navigate his educational challenges. Collaborating with school staff to develop an Individualised Education Plan (IEP) would be beneficial, providing accommodations for his mental health needs and strategies to support his academic progress despite his attendance difficulties. McKenzie, J. E. (2023). Moreover, ensuring access to a school counsellor or psychologist can offer ongoing guidance and support as he manages the stressors associated with his academic responsibilities. Integrating mental health and academic support systems is essential to comprehensively addressing Ben's complex needs and promoting his overall well-being and </w:t>
      </w:r>
      <w:r>
        <w:rPr>
          <w:color w:val="000000"/>
        </w:rPr>
        <w:lastRenderedPageBreak/>
        <w:t>success (Zabek et al., 2022).</w:t>
      </w:r>
      <w:r>
        <w:rPr>
          <w:color w:val="000000"/>
        </w:rPr>
        <w:t xml:space="preserve"> </w:t>
      </w:r>
      <w:r>
        <w:rPr>
          <w:color w:val="000000"/>
        </w:rPr>
        <w:t>While addressing Ben's academic challenges is undoubtedly essential, there is a danger of inadvertently side-lining his underlying mental health issues by primarily focusing on academic accommodations. It is imperative to prioritise Ben's mental health needs and integrate academic support seamlessly into his broader mental health treatment plan rather than treating it as a separate issue. This approach ensures that Ben receives holistic care that addresses all aspects of his well-being (Zabek et al., 2022).</w:t>
      </w:r>
    </w:p>
    <w:p w14:paraId="2143B606" w14:textId="6CB0468E" w:rsidR="00A66FB4" w:rsidRDefault="00A66FB4" w:rsidP="00A66FB4">
      <w:pPr>
        <w:pStyle w:val="NormalWeb"/>
        <w:spacing w:line="480" w:lineRule="auto"/>
        <w:ind w:firstLine="720"/>
        <w:rPr>
          <w:color w:val="000000"/>
        </w:rPr>
      </w:pPr>
      <w:r>
        <w:rPr>
          <w:color w:val="000000"/>
        </w:rPr>
        <w:t xml:space="preserve">Peer support and social skills development initiatives hold promise in reducing Ben's social isolation and enhancing his confidence. However, accessing supportive peer groups may be challenging, particularly if Ben experiences social anxiety or lacks opportunities for meaningful social interaction. Safety planning offers a structured approach to managing crises, empowering </w:t>
      </w:r>
      <w:r>
        <w:rPr>
          <w:color w:val="000000"/>
        </w:rPr>
        <w:t>Ben,</w:t>
      </w:r>
      <w:r>
        <w:rPr>
          <w:color w:val="000000"/>
        </w:rPr>
        <w:t xml:space="preserve"> and his family to respond effectively to emergencies (Simmons et al., 2023).</w:t>
      </w:r>
      <w:r>
        <w:rPr>
          <w:color w:val="000000"/>
        </w:rPr>
        <w:t xml:space="preserve"> </w:t>
      </w:r>
      <w:r>
        <w:rPr>
          <w:color w:val="000000"/>
        </w:rPr>
        <w:t>While peer support and social skills development initiatives offer potential benefits for Ben's social well-being, several limitations must be considered. Firstly, accessing supportive peer groups may prove challenging for Ben, especially if he experiences social anxiety or lacks opportunities for meaningful social interaction. Even if supportive peer groups are available, Ben may need help to overcome social barriers to participation, limiting the effectiveness of this intervention. Additionally, while safety planning provides a structured approach to managing crises, its success relies heavily on proactive communication, cooperation among family members, and regular review and adaptation to changing circumstances. If any of these elements are lacking, the effectiveness of the safety plan may be compromised, leaving Ben and his family ill-prepared to respond to emergencies effectively. Therefore, while these interventions offer valuable support, their limitations highlight the importance of considering individual needs and circumstances when designing and implementing treatment plans for Ben (Simmons et al., 2023).</w:t>
      </w:r>
    </w:p>
    <w:p w14:paraId="3DAAC585" w14:textId="77777777" w:rsidR="00A66FB4" w:rsidRDefault="00A66FB4" w:rsidP="00A66FB4">
      <w:pPr>
        <w:pStyle w:val="NormalWeb"/>
        <w:spacing w:line="480" w:lineRule="auto"/>
        <w:rPr>
          <w:color w:val="000000"/>
        </w:rPr>
      </w:pPr>
      <w:r>
        <w:rPr>
          <w:color w:val="000000"/>
        </w:rPr>
        <w:lastRenderedPageBreak/>
        <w:t>Parental education and support are pivotal in empowering Ben's parents to support him effectively. Despite potential implementation challenges, such as time constraints or resistance to new approaches, the value of these resources must be balanced. Similarly, community resources and referrals offer a lifeline of support beyond the home and school, connecting Ben and his family with specialised services tailored to their needs. While accessibility may vary, the existence of these resources is a reassuring factor (Kusaka et al., 2022).</w:t>
      </w:r>
    </w:p>
    <w:p w14:paraId="5B6841C7" w14:textId="77777777" w:rsidR="00A66FB4" w:rsidRDefault="00A66FB4" w:rsidP="00A66FB4">
      <w:pPr>
        <w:pStyle w:val="NormalWeb"/>
        <w:spacing w:line="480" w:lineRule="auto"/>
        <w:ind w:firstLine="720"/>
        <w:rPr>
          <w:color w:val="000000"/>
        </w:rPr>
      </w:pPr>
      <w:r>
        <w:rPr>
          <w:color w:val="000000"/>
        </w:rPr>
        <w:t>In conclusion, the critical analysis of the impact of parental mental illness on children's mental health and well-being, as illustrated through the case study of Ben, underscores the multifaceted challenges faced by individuals growing up in environments affected by parental mental illness. Ben's struggles with severe mental health challenges highlight the urgent need for comprehensive interventions to address his complex needs effectively. The identified interventions offer valuable avenues for supporting Ben's well-being and fostering resilience. However, it is crucial to acknowledge each intervention's limitations and potential drawbacks. Ultimately, addressing Ben's complex challenges requires a tailored and holistic approach that considers his individual needs, circumstances, and preferences while also advocating for systemic changes to support families affected by parental mental illness more effectively. By prioritising early intervention, comprehensive support systems, and collaborative care approaches, we can foster resilience and promote the well-being of children like Ben, enabling them to thrive despite the challenges they face.</w:t>
      </w:r>
    </w:p>
    <w:p w14:paraId="53BC8AB3" w14:textId="77777777" w:rsidR="007319AC" w:rsidRDefault="007319AC" w:rsidP="00A66FB4">
      <w:pPr>
        <w:spacing w:line="480" w:lineRule="auto"/>
      </w:pPr>
    </w:p>
    <w:p w14:paraId="1A3B7B3F" w14:textId="77777777" w:rsidR="00A66FB4" w:rsidRDefault="00A66FB4" w:rsidP="00A66FB4">
      <w:pPr>
        <w:spacing w:line="480" w:lineRule="auto"/>
      </w:pPr>
    </w:p>
    <w:p w14:paraId="03DDBE81" w14:textId="77777777" w:rsidR="00A66FB4" w:rsidRDefault="00A66FB4" w:rsidP="00A66FB4">
      <w:pPr>
        <w:spacing w:line="480" w:lineRule="auto"/>
      </w:pPr>
    </w:p>
    <w:p w14:paraId="1B158BED" w14:textId="77777777" w:rsidR="00A66FB4" w:rsidRDefault="00A66FB4" w:rsidP="00A66FB4">
      <w:pPr>
        <w:spacing w:line="480" w:lineRule="auto"/>
      </w:pPr>
    </w:p>
    <w:p w14:paraId="2D4007FA" w14:textId="77777777" w:rsidR="00A66FB4" w:rsidRPr="009110ED" w:rsidRDefault="00A66FB4" w:rsidP="00A66FB4">
      <w:pPr>
        <w:spacing w:line="480" w:lineRule="atLeast"/>
        <w:jc w:val="center"/>
        <w:outlineLvl w:val="0"/>
        <w:rPr>
          <w:rFonts w:ascii="Times New Roman" w:eastAsia="Times New Roman" w:hAnsi="Times New Roman" w:cs="Times New Roman"/>
          <w:b/>
          <w:bCs/>
          <w:color w:val="000000"/>
          <w:kern w:val="36"/>
          <w:lang w:eastAsia="en-GB"/>
          <w14:ligatures w14:val="none"/>
        </w:rPr>
      </w:pPr>
      <w:r w:rsidRPr="009110ED">
        <w:rPr>
          <w:rFonts w:ascii="Times New Roman" w:eastAsia="Times New Roman" w:hAnsi="Times New Roman" w:cs="Times New Roman"/>
          <w:b/>
          <w:bCs/>
          <w:color w:val="000000"/>
          <w:kern w:val="36"/>
          <w:lang w:eastAsia="en-GB"/>
          <w14:ligatures w14:val="none"/>
        </w:rPr>
        <w:lastRenderedPageBreak/>
        <w:t>References</w:t>
      </w:r>
    </w:p>
    <w:p w14:paraId="0C7ED5F8"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Almeida, I. L. de L., Rego, J. F., Teixeira, A. C. G., &amp; Moreira, M. R. (2021). Social Isolation and Its Impact on Child and Adolescent Development: a Systematic Review. </w:t>
      </w:r>
      <w:r w:rsidRPr="009110ED">
        <w:rPr>
          <w:rFonts w:ascii="Times New Roman" w:eastAsia="Times New Roman" w:hAnsi="Times New Roman" w:cs="Times New Roman"/>
          <w:i/>
          <w:iCs/>
          <w:color w:val="000000"/>
          <w:kern w:val="0"/>
          <w:lang w:eastAsia="en-GB"/>
          <w14:ligatures w14:val="none"/>
        </w:rPr>
        <w:t>Revista Paulista de Pediatria</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40</w:t>
      </w:r>
      <w:r w:rsidRPr="009110ED">
        <w:rPr>
          <w:rFonts w:ascii="Times New Roman" w:eastAsia="Times New Roman" w:hAnsi="Times New Roman" w:cs="Times New Roman"/>
          <w:color w:val="000000"/>
          <w:kern w:val="0"/>
          <w:lang w:eastAsia="en-GB"/>
          <w14:ligatures w14:val="none"/>
        </w:rPr>
        <w:t>(40). National Library of Medicine. https://doi.org/10.1590/1984-0462/2022/40/2020385</w:t>
      </w:r>
    </w:p>
    <w:p w14:paraId="78E33DE4"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Campagne, D. M. (2019). Stress and perceived social isolation (loneliness). </w:t>
      </w:r>
      <w:r w:rsidRPr="009110ED">
        <w:rPr>
          <w:rFonts w:ascii="Times New Roman" w:eastAsia="Times New Roman" w:hAnsi="Times New Roman" w:cs="Times New Roman"/>
          <w:i/>
          <w:iCs/>
          <w:color w:val="000000"/>
          <w:kern w:val="0"/>
          <w:lang w:eastAsia="en-GB"/>
          <w14:ligatures w14:val="none"/>
        </w:rPr>
        <w:t>Archives of Gerontology and Geriatrics</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82</w:t>
      </w:r>
      <w:r w:rsidRPr="009110ED">
        <w:rPr>
          <w:rFonts w:ascii="Times New Roman" w:eastAsia="Times New Roman" w:hAnsi="Times New Roman" w:cs="Times New Roman"/>
          <w:color w:val="000000"/>
          <w:kern w:val="0"/>
          <w:lang w:eastAsia="en-GB"/>
          <w14:ligatures w14:val="none"/>
        </w:rPr>
        <w:t>, 192–199. https://doi.org/10.1016/j.archger.2019.02.007</w:t>
      </w:r>
    </w:p>
    <w:p w14:paraId="40CA59E0"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Christiansen, J., Qualter, P., Friis, K., Pedersen, S., Lund, R., Andersen, C., Bekker-Jeppesen, M., &amp; Lasgaard, M. (2021). Associations of loneliness and social isolation with physical and mental health among adolescents and young adults. </w:t>
      </w:r>
      <w:r w:rsidRPr="009110ED">
        <w:rPr>
          <w:rFonts w:ascii="Times New Roman" w:eastAsia="Times New Roman" w:hAnsi="Times New Roman" w:cs="Times New Roman"/>
          <w:i/>
          <w:iCs/>
          <w:color w:val="000000"/>
          <w:kern w:val="0"/>
          <w:lang w:eastAsia="en-GB"/>
          <w14:ligatures w14:val="none"/>
        </w:rPr>
        <w:t>Perspectives in Public Health</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141</w:t>
      </w:r>
      <w:r w:rsidRPr="009110ED">
        <w:rPr>
          <w:rFonts w:ascii="Times New Roman" w:eastAsia="Times New Roman" w:hAnsi="Times New Roman" w:cs="Times New Roman"/>
          <w:color w:val="000000"/>
          <w:kern w:val="0"/>
          <w:lang w:eastAsia="en-GB"/>
          <w14:ligatures w14:val="none"/>
        </w:rPr>
        <w:t>(4), 226–236. https://doi.org/10.1177/17579139211016077</w:t>
      </w:r>
    </w:p>
    <w:p w14:paraId="2DE6BE91"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Coplan, R. . J. (2021). </w:t>
      </w:r>
      <w:r w:rsidRPr="009110ED">
        <w:rPr>
          <w:rFonts w:ascii="Times New Roman" w:eastAsia="Times New Roman" w:hAnsi="Times New Roman" w:cs="Times New Roman"/>
          <w:i/>
          <w:iCs/>
          <w:color w:val="000000"/>
          <w:kern w:val="0"/>
          <w:lang w:eastAsia="en-GB"/>
          <w14:ligatures w14:val="none"/>
        </w:rPr>
        <w:t>HANDBOOK OF SOLITUDE : psychological perspectives on social isolation.</w:t>
      </w:r>
      <w:r w:rsidRPr="009110ED">
        <w:rPr>
          <w:rFonts w:ascii="Times New Roman" w:eastAsia="Times New Roman" w:hAnsi="Times New Roman" w:cs="Times New Roman"/>
          <w:color w:val="000000"/>
          <w:kern w:val="0"/>
          <w:lang w:eastAsia="en-GB"/>
          <w14:ligatures w14:val="none"/>
        </w:rPr>
        <w:t> Willey.</w:t>
      </w:r>
    </w:p>
    <w:p w14:paraId="08299280"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Deng, Y., Cherian, J., Khan, N. U. N., Kumari, K., Sial, M. S., Comite, U., Gavurova, B., &amp; Popp, J. (2022). Family and Academic Stress and Their Impact on Students’ Depression Level and Academic Performance. </w:t>
      </w:r>
      <w:r w:rsidRPr="009110ED">
        <w:rPr>
          <w:rFonts w:ascii="Times New Roman" w:eastAsia="Times New Roman" w:hAnsi="Times New Roman" w:cs="Times New Roman"/>
          <w:i/>
          <w:iCs/>
          <w:color w:val="000000"/>
          <w:kern w:val="0"/>
          <w:lang w:eastAsia="en-GB"/>
          <w14:ligatures w14:val="none"/>
        </w:rPr>
        <w:t>Frontiers in Psychiatry</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13</w:t>
      </w:r>
      <w:r w:rsidRPr="009110ED">
        <w:rPr>
          <w:rFonts w:ascii="Times New Roman" w:eastAsia="Times New Roman" w:hAnsi="Times New Roman" w:cs="Times New Roman"/>
          <w:color w:val="000000"/>
          <w:kern w:val="0"/>
          <w:lang w:eastAsia="en-GB"/>
          <w14:ligatures w14:val="none"/>
        </w:rPr>
        <w:t>(869337). https://doi.org/10.3389/fpsyt.2022.869337</w:t>
      </w:r>
    </w:p>
    <w:p w14:paraId="3DE5F977"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Gu, W., Zhao, Q., Yuan, C., Yi, Z., Zhao, M., &amp; Wang, Z. (2022). Impact of adverse childhood experiences on the symptom severity of different mental disorders: A cross-diagnostic study. </w:t>
      </w:r>
      <w:r w:rsidRPr="009110ED">
        <w:rPr>
          <w:rFonts w:ascii="Times New Roman" w:eastAsia="Times New Roman" w:hAnsi="Times New Roman" w:cs="Times New Roman"/>
          <w:i/>
          <w:iCs/>
          <w:color w:val="000000"/>
          <w:kern w:val="0"/>
          <w:lang w:eastAsia="en-GB"/>
          <w14:ligatures w14:val="none"/>
        </w:rPr>
        <w:t>General Psychiatry</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35</w:t>
      </w:r>
      <w:r w:rsidRPr="009110ED">
        <w:rPr>
          <w:rFonts w:ascii="Times New Roman" w:eastAsia="Times New Roman" w:hAnsi="Times New Roman" w:cs="Times New Roman"/>
          <w:color w:val="000000"/>
          <w:kern w:val="0"/>
          <w:lang w:eastAsia="en-GB"/>
          <w14:ligatures w14:val="none"/>
        </w:rPr>
        <w:t>(2). https://doi.org/10.1136/gpsych-2021-100741 </w:t>
      </w:r>
    </w:p>
    <w:p w14:paraId="3AA01037"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Kamis, C. (2020). The Long-Term Impact of Parental Mental Health on Children’s Distress Trajectories in Adulthood. </w:t>
      </w:r>
      <w:r w:rsidRPr="009110ED">
        <w:rPr>
          <w:rFonts w:ascii="Times New Roman" w:eastAsia="Times New Roman" w:hAnsi="Times New Roman" w:cs="Times New Roman"/>
          <w:i/>
          <w:iCs/>
          <w:color w:val="000000"/>
          <w:kern w:val="0"/>
          <w:lang w:eastAsia="en-GB"/>
          <w14:ligatures w14:val="none"/>
        </w:rPr>
        <w:t>Society and Mental Health</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11</w:t>
      </w:r>
      <w:r w:rsidRPr="009110ED">
        <w:rPr>
          <w:rFonts w:ascii="Times New Roman" w:eastAsia="Times New Roman" w:hAnsi="Times New Roman" w:cs="Times New Roman"/>
          <w:color w:val="000000"/>
          <w:kern w:val="0"/>
          <w:lang w:eastAsia="en-GB"/>
          <w14:ligatures w14:val="none"/>
        </w:rPr>
        <w:t>(1), 215686932091252. https://doi.org/10.1177/2156869320912520</w:t>
      </w:r>
    </w:p>
    <w:p w14:paraId="299ADA7C"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Kendall, P. C., Ney, J. S., Maxwell, C. A., Lehrbach, K. R., Jakubovic, R. J., McKnight, D. S., &amp; Friedman, A. L. (2023). Adapting CBT for youth anxiety: Flexibility, within fidelity, in different settings. </w:t>
      </w:r>
      <w:r w:rsidRPr="009110ED">
        <w:rPr>
          <w:rFonts w:ascii="Times New Roman" w:eastAsia="Times New Roman" w:hAnsi="Times New Roman" w:cs="Times New Roman"/>
          <w:i/>
          <w:iCs/>
          <w:color w:val="000000"/>
          <w:kern w:val="0"/>
          <w:lang w:eastAsia="en-GB"/>
          <w14:ligatures w14:val="none"/>
        </w:rPr>
        <w:t>Frontiers in Psychiatry</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14</w:t>
      </w:r>
      <w:r w:rsidRPr="009110ED">
        <w:rPr>
          <w:rFonts w:ascii="Times New Roman" w:eastAsia="Times New Roman" w:hAnsi="Times New Roman" w:cs="Times New Roman"/>
          <w:color w:val="000000"/>
          <w:kern w:val="0"/>
          <w:lang w:eastAsia="en-GB"/>
          <w14:ligatures w14:val="none"/>
        </w:rPr>
        <w:t>. https://doi.org/10.3389/fpsyt.2023.1067047</w:t>
      </w:r>
    </w:p>
    <w:p w14:paraId="34BC8BFB"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Kusaka, S., Yamaguchi, S., Foo, J. C., Togo, F., &amp; Sasaki, T. (2022). Mental Health Literacy Programs for Parents of Adolescents: A Systematic Review. </w:t>
      </w:r>
      <w:r w:rsidRPr="009110ED">
        <w:rPr>
          <w:rFonts w:ascii="Times New Roman" w:eastAsia="Times New Roman" w:hAnsi="Times New Roman" w:cs="Times New Roman"/>
          <w:i/>
          <w:iCs/>
          <w:color w:val="000000"/>
          <w:kern w:val="0"/>
          <w:lang w:eastAsia="en-GB"/>
          <w14:ligatures w14:val="none"/>
        </w:rPr>
        <w:t>Frontiers in Psychiatry</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13</w:t>
      </w:r>
      <w:r w:rsidRPr="009110ED">
        <w:rPr>
          <w:rFonts w:ascii="Times New Roman" w:eastAsia="Times New Roman" w:hAnsi="Times New Roman" w:cs="Times New Roman"/>
          <w:color w:val="000000"/>
          <w:kern w:val="0"/>
          <w:lang w:eastAsia="en-GB"/>
          <w14:ligatures w14:val="none"/>
        </w:rPr>
        <w:t>. https://doi.org/10.3389/fpsyt.2022.816508</w:t>
      </w:r>
    </w:p>
    <w:p w14:paraId="4052FA38"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lastRenderedPageBreak/>
        <w:t>McKenzie, J. E. (2023). </w:t>
      </w:r>
      <w:r w:rsidRPr="009110ED">
        <w:rPr>
          <w:rFonts w:ascii="Times New Roman" w:eastAsia="Times New Roman" w:hAnsi="Times New Roman" w:cs="Times New Roman"/>
          <w:i/>
          <w:iCs/>
          <w:color w:val="000000"/>
          <w:kern w:val="0"/>
          <w:lang w:eastAsia="en-GB"/>
          <w14:ligatures w14:val="none"/>
        </w:rPr>
        <w:t>Anxiety and Depression in Middle School: A Qualitative Inquiry of General Education Teachers’ Experiences Implementing Section 504 and IEP Policies </w:t>
      </w:r>
      <w:r w:rsidRPr="009110ED">
        <w:rPr>
          <w:rFonts w:ascii="Times New Roman" w:eastAsia="Times New Roman" w:hAnsi="Times New Roman" w:cs="Times New Roman"/>
          <w:color w:val="000000"/>
          <w:kern w:val="0"/>
          <w:lang w:eastAsia="en-GB"/>
          <w14:ligatures w14:val="none"/>
        </w:rPr>
        <w:t>(Order No. 30529722). Available from ProQuest Dissertations &amp; Theses Global. (2829615255). https://www.proquest.com/dissertations-theses/anxiety-depression-middle-school-qualitative/docview/2829615255/se-2 </w:t>
      </w:r>
    </w:p>
    <w:p w14:paraId="4A560E9C"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Mitchell, A. (2021). Self-harm wounds: assessment and management. </w:t>
      </w:r>
      <w:r w:rsidRPr="009110ED">
        <w:rPr>
          <w:rFonts w:ascii="Times New Roman" w:eastAsia="Times New Roman" w:hAnsi="Times New Roman" w:cs="Times New Roman"/>
          <w:i/>
          <w:iCs/>
          <w:color w:val="000000"/>
          <w:kern w:val="0"/>
          <w:lang w:eastAsia="en-GB"/>
          <w14:ligatures w14:val="none"/>
        </w:rPr>
        <w:t>British Journal of Nursing</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30</w:t>
      </w:r>
      <w:r w:rsidRPr="009110ED">
        <w:rPr>
          <w:rFonts w:ascii="Times New Roman" w:eastAsia="Times New Roman" w:hAnsi="Times New Roman" w:cs="Times New Roman"/>
          <w:color w:val="000000"/>
          <w:kern w:val="0"/>
          <w:lang w:eastAsia="en-GB"/>
          <w14:ligatures w14:val="none"/>
        </w:rPr>
        <w:t>(12), S16–S20. https://doi.org/10.12968/bjon.2021.30.12.s16</w:t>
      </w:r>
    </w:p>
    <w:p w14:paraId="627B4F76"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Reupert, A., Gladstone, B., Helena Hine, R., Yates, S., McGaw, V., Charles, G., Drost, L., &amp; Foster, K. (2020). Stigma in relation to families living with parental mental illness: An integrative review. </w:t>
      </w:r>
      <w:r w:rsidRPr="009110ED">
        <w:rPr>
          <w:rFonts w:ascii="Times New Roman" w:eastAsia="Times New Roman" w:hAnsi="Times New Roman" w:cs="Times New Roman"/>
          <w:i/>
          <w:iCs/>
          <w:color w:val="000000"/>
          <w:kern w:val="0"/>
          <w:lang w:eastAsia="en-GB"/>
          <w14:ligatures w14:val="none"/>
        </w:rPr>
        <w:t>International Journal of Mental Health Nursing</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30</w:t>
      </w:r>
      <w:r w:rsidRPr="009110ED">
        <w:rPr>
          <w:rFonts w:ascii="Times New Roman" w:eastAsia="Times New Roman" w:hAnsi="Times New Roman" w:cs="Times New Roman"/>
          <w:color w:val="000000"/>
          <w:kern w:val="0"/>
          <w:lang w:eastAsia="en-GB"/>
          <w14:ligatures w14:val="none"/>
        </w:rPr>
        <w:t>(1). https://doi.org/10.1111/inm.12820</w:t>
      </w:r>
    </w:p>
    <w:p w14:paraId="2FA44513"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Schickedanz, A., Halfon, N., Sastry, N., &amp; Chung, P. J. (2018). Parents’ Adverse Childhood Experiences and Their Children’s Behavioral Health Problems. </w:t>
      </w:r>
      <w:r w:rsidRPr="009110ED">
        <w:rPr>
          <w:rFonts w:ascii="Times New Roman" w:eastAsia="Times New Roman" w:hAnsi="Times New Roman" w:cs="Times New Roman"/>
          <w:i/>
          <w:iCs/>
          <w:color w:val="000000"/>
          <w:kern w:val="0"/>
          <w:lang w:eastAsia="en-GB"/>
          <w14:ligatures w14:val="none"/>
        </w:rPr>
        <w:t>Pediatrics</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142</w:t>
      </w:r>
      <w:r w:rsidRPr="009110ED">
        <w:rPr>
          <w:rFonts w:ascii="Times New Roman" w:eastAsia="Times New Roman" w:hAnsi="Times New Roman" w:cs="Times New Roman"/>
          <w:color w:val="000000"/>
          <w:kern w:val="0"/>
          <w:lang w:eastAsia="en-GB"/>
          <w14:ligatures w14:val="none"/>
        </w:rPr>
        <w:t>(2), e20180023. National Library of Medicine. https://doi.org/10.1542/peds.2018-0023</w:t>
      </w:r>
    </w:p>
    <w:p w14:paraId="4BFAB042"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Shimshoni, Y. (2024). </w:t>
      </w:r>
      <w:r w:rsidRPr="009110ED">
        <w:rPr>
          <w:rFonts w:ascii="Times New Roman" w:eastAsia="Times New Roman" w:hAnsi="Times New Roman" w:cs="Times New Roman"/>
          <w:i/>
          <w:iCs/>
          <w:color w:val="000000"/>
          <w:kern w:val="0"/>
          <w:lang w:eastAsia="en-GB"/>
          <w14:ligatures w14:val="none"/>
        </w:rPr>
        <w:t>Child Anxiety</w:t>
      </w:r>
      <w:r w:rsidRPr="009110ED">
        <w:rPr>
          <w:rFonts w:ascii="Times New Roman" w:eastAsia="Times New Roman" w:hAnsi="Times New Roman" w:cs="Times New Roman"/>
          <w:color w:val="000000"/>
          <w:kern w:val="0"/>
          <w:lang w:eastAsia="en-GB"/>
          <w14:ligatures w14:val="none"/>
        </w:rPr>
        <w:t>. 1–12. https://cipi.fedcapgroup.org/wp-content/uploads/2024/03/Final-Community-Impact-Policy-Institute-Anxiety-Paper-Published-2.pdf</w:t>
      </w:r>
    </w:p>
    <w:p w14:paraId="6B48C351"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Sigurvinsdóttir, A. L., Jensínudóttir, K. B., Baldvinsdóttir, K. D., Smárason, O., &amp; Skarphedinsson, G. (2019). Effectiveness of cognitive behavioral therapy (CBT) for child and adolescent anxiety disorders across different CBT modalities and comparisons: a systematic review and meta-analysis. </w:t>
      </w:r>
      <w:r w:rsidRPr="009110ED">
        <w:rPr>
          <w:rFonts w:ascii="Times New Roman" w:eastAsia="Times New Roman" w:hAnsi="Times New Roman" w:cs="Times New Roman"/>
          <w:i/>
          <w:iCs/>
          <w:color w:val="000000"/>
          <w:kern w:val="0"/>
          <w:lang w:eastAsia="en-GB"/>
          <w14:ligatures w14:val="none"/>
        </w:rPr>
        <w:t>Nordic Journal of Psychiatry</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74</w:t>
      </w:r>
      <w:r w:rsidRPr="009110ED">
        <w:rPr>
          <w:rFonts w:ascii="Times New Roman" w:eastAsia="Times New Roman" w:hAnsi="Times New Roman" w:cs="Times New Roman"/>
          <w:color w:val="000000"/>
          <w:kern w:val="0"/>
          <w:lang w:eastAsia="en-GB"/>
          <w14:ligatures w14:val="none"/>
        </w:rPr>
        <w:t>(3), 1–13. https://doi.org/10.1080/08039488.2019.1686653</w:t>
      </w:r>
    </w:p>
    <w:p w14:paraId="6179F77B"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Simmons, M. B., Cartner, S., MacDonald, R., Whitson, S., Bailey, A., &amp; Brown, E. (2023). The effectiveness of peer support from a person with lived experience of mental health challenges for young people with anxiety and depression: a systematic review. </w:t>
      </w:r>
      <w:r w:rsidRPr="009110ED">
        <w:rPr>
          <w:rFonts w:ascii="Times New Roman" w:eastAsia="Times New Roman" w:hAnsi="Times New Roman" w:cs="Times New Roman"/>
          <w:i/>
          <w:iCs/>
          <w:color w:val="000000"/>
          <w:kern w:val="0"/>
          <w:lang w:eastAsia="en-GB"/>
          <w14:ligatures w14:val="none"/>
        </w:rPr>
        <w:t>BMC Psychiatry</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23</w:t>
      </w:r>
      <w:r w:rsidRPr="009110ED">
        <w:rPr>
          <w:rFonts w:ascii="Times New Roman" w:eastAsia="Times New Roman" w:hAnsi="Times New Roman" w:cs="Times New Roman"/>
          <w:color w:val="000000"/>
          <w:kern w:val="0"/>
          <w:lang w:eastAsia="en-GB"/>
          <w14:ligatures w14:val="none"/>
        </w:rPr>
        <w:t>(1). https://doi.org/10.1186/s12888-023-04578-2</w:t>
      </w:r>
    </w:p>
    <w:p w14:paraId="1F1809AB"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Steare, T., G . M, C., Sullivan, A., &amp; Lewis, G. (2023). The association between academic pressure and adolescent mental health problems: A systematic review. </w:t>
      </w:r>
      <w:r w:rsidRPr="009110ED">
        <w:rPr>
          <w:rFonts w:ascii="Times New Roman" w:eastAsia="Times New Roman" w:hAnsi="Times New Roman" w:cs="Times New Roman"/>
          <w:i/>
          <w:iCs/>
          <w:color w:val="000000"/>
          <w:kern w:val="0"/>
          <w:lang w:eastAsia="en-GB"/>
          <w14:ligatures w14:val="none"/>
        </w:rPr>
        <w:t>Journal of Affective Disorders </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339</w:t>
      </w:r>
      <w:r w:rsidRPr="009110ED">
        <w:rPr>
          <w:rFonts w:ascii="Times New Roman" w:eastAsia="Times New Roman" w:hAnsi="Times New Roman" w:cs="Times New Roman"/>
          <w:color w:val="000000"/>
          <w:kern w:val="0"/>
          <w:lang w:eastAsia="en-GB"/>
          <w14:ligatures w14:val="none"/>
        </w:rPr>
        <w:t>, 302–317. https://doi.org/10.1016/j.jad.2023.07.028</w:t>
      </w:r>
    </w:p>
    <w:p w14:paraId="7837B2BE"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lastRenderedPageBreak/>
        <w:t>Tzouvara, V., Kupdere, P., Wilson, K., Matthews, L., Simpson, A., &amp; Foye, U. (2023). Adverse childhood experiences, mental health, and social functioning: A scoping review of the literature. </w:t>
      </w:r>
      <w:r w:rsidRPr="009110ED">
        <w:rPr>
          <w:rFonts w:ascii="Times New Roman" w:eastAsia="Times New Roman" w:hAnsi="Times New Roman" w:cs="Times New Roman"/>
          <w:i/>
          <w:iCs/>
          <w:color w:val="000000"/>
          <w:kern w:val="0"/>
          <w:lang w:eastAsia="en-GB"/>
          <w14:ligatures w14:val="none"/>
        </w:rPr>
        <w:t>Child Abuse &amp; Neglect</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139</w:t>
      </w:r>
      <w:r w:rsidRPr="009110ED">
        <w:rPr>
          <w:rFonts w:ascii="Times New Roman" w:eastAsia="Times New Roman" w:hAnsi="Times New Roman" w:cs="Times New Roman"/>
          <w:color w:val="000000"/>
          <w:kern w:val="0"/>
          <w:lang w:eastAsia="en-GB"/>
          <w14:ligatures w14:val="none"/>
        </w:rPr>
        <w:t>(139), 106092. https://doi.org/10.1016/j.chiabu.2023.106092</w:t>
      </w:r>
    </w:p>
    <w:p w14:paraId="0BD12A1F"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Wang, X., Chen, W., Wen, L., Yang, X., Chen, B., Zhang, T., Zhang, C., Du, C., Hua, J., Tang, Q., Hong, X., Liu, W., Xie, C., Ma, H., Yu, X., Chen, D., &amp; Guan, L. (2022). Adverse childhood experiences in offspring living with parental mental illness: a controlled study from China. </w:t>
      </w:r>
      <w:r w:rsidRPr="009110ED">
        <w:rPr>
          <w:rFonts w:ascii="Times New Roman" w:eastAsia="Times New Roman" w:hAnsi="Times New Roman" w:cs="Times New Roman"/>
          <w:i/>
          <w:iCs/>
          <w:color w:val="000000"/>
          <w:kern w:val="0"/>
          <w:lang w:eastAsia="en-GB"/>
          <w14:ligatures w14:val="none"/>
        </w:rPr>
        <w:t>Journal of Mental Health</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32</w:t>
      </w:r>
      <w:r w:rsidRPr="009110ED">
        <w:rPr>
          <w:rFonts w:ascii="Times New Roman" w:eastAsia="Times New Roman" w:hAnsi="Times New Roman" w:cs="Times New Roman"/>
          <w:color w:val="000000"/>
          <w:kern w:val="0"/>
          <w:lang w:eastAsia="en-GB"/>
          <w14:ligatures w14:val="none"/>
        </w:rPr>
        <w:t>(3), 1–10. https://doi.org/10.1080/09638237.2022.2091765</w:t>
      </w:r>
    </w:p>
    <w:p w14:paraId="7249ADEB"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Webster, E. M. (2022). The Impact of Adverse Childhood Experiences on Health and Development in Young Children. </w:t>
      </w:r>
      <w:r w:rsidRPr="009110ED">
        <w:rPr>
          <w:rFonts w:ascii="Times New Roman" w:eastAsia="Times New Roman" w:hAnsi="Times New Roman" w:cs="Times New Roman"/>
          <w:i/>
          <w:iCs/>
          <w:color w:val="000000"/>
          <w:kern w:val="0"/>
          <w:lang w:eastAsia="en-GB"/>
          <w14:ligatures w14:val="none"/>
        </w:rPr>
        <w:t>Global Pediatric Health</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9</w:t>
      </w:r>
      <w:r w:rsidRPr="009110ED">
        <w:rPr>
          <w:rFonts w:ascii="Times New Roman" w:eastAsia="Times New Roman" w:hAnsi="Times New Roman" w:cs="Times New Roman"/>
          <w:color w:val="000000"/>
          <w:kern w:val="0"/>
          <w:lang w:eastAsia="en-GB"/>
          <w14:ligatures w14:val="none"/>
        </w:rPr>
        <w:t>. https://doi.org/10.1177/2333794x221078708</w:t>
      </w:r>
    </w:p>
    <w:p w14:paraId="0FA1F53A" w14:textId="77777777" w:rsidR="00A66FB4" w:rsidRPr="009110ED" w:rsidRDefault="00A66FB4" w:rsidP="00A66FB4">
      <w:pPr>
        <w:spacing w:line="480" w:lineRule="atLeast"/>
        <w:ind w:hanging="720"/>
        <w:rPr>
          <w:rFonts w:ascii="Times New Roman" w:eastAsia="Times New Roman" w:hAnsi="Times New Roman" w:cs="Times New Roman"/>
          <w:color w:val="000000"/>
          <w:kern w:val="0"/>
          <w:lang w:eastAsia="en-GB"/>
          <w14:ligatures w14:val="none"/>
        </w:rPr>
      </w:pPr>
      <w:r w:rsidRPr="009110ED">
        <w:rPr>
          <w:rFonts w:ascii="Times New Roman" w:eastAsia="Times New Roman" w:hAnsi="Times New Roman" w:cs="Times New Roman"/>
          <w:color w:val="000000"/>
          <w:kern w:val="0"/>
          <w:lang w:eastAsia="en-GB"/>
          <w14:ligatures w14:val="none"/>
        </w:rPr>
        <w:t>Zabek, F., Lyons, M. D., Alwani, N., Taylor, J. V., Brown-Meredith, E., Cruz, M. A., &amp; Southall, V. H. (2022). Roles and functions of school mental health professionals within comprehensive school mental health systems. </w:t>
      </w:r>
      <w:r w:rsidRPr="009110ED">
        <w:rPr>
          <w:rFonts w:ascii="Times New Roman" w:eastAsia="Times New Roman" w:hAnsi="Times New Roman" w:cs="Times New Roman"/>
          <w:i/>
          <w:iCs/>
          <w:color w:val="000000"/>
          <w:kern w:val="0"/>
          <w:lang w:eastAsia="en-GB"/>
          <w14:ligatures w14:val="none"/>
        </w:rPr>
        <w:t>School Mental Health</w:t>
      </w:r>
      <w:r w:rsidRPr="009110ED">
        <w:rPr>
          <w:rFonts w:ascii="Times New Roman" w:eastAsia="Times New Roman" w:hAnsi="Times New Roman" w:cs="Times New Roman"/>
          <w:color w:val="000000"/>
          <w:kern w:val="0"/>
          <w:lang w:eastAsia="en-GB"/>
          <w14:ligatures w14:val="none"/>
        </w:rPr>
        <w:t>, </w:t>
      </w:r>
      <w:r w:rsidRPr="009110ED">
        <w:rPr>
          <w:rFonts w:ascii="Times New Roman" w:eastAsia="Times New Roman" w:hAnsi="Times New Roman" w:cs="Times New Roman"/>
          <w:i/>
          <w:iCs/>
          <w:color w:val="000000"/>
          <w:kern w:val="0"/>
          <w:lang w:eastAsia="en-GB"/>
          <w14:ligatures w14:val="none"/>
        </w:rPr>
        <w:t>15</w:t>
      </w:r>
      <w:r w:rsidRPr="009110ED">
        <w:rPr>
          <w:rFonts w:ascii="Times New Roman" w:eastAsia="Times New Roman" w:hAnsi="Times New Roman" w:cs="Times New Roman"/>
          <w:color w:val="000000"/>
          <w:kern w:val="0"/>
          <w:lang w:eastAsia="en-GB"/>
          <w14:ligatures w14:val="none"/>
        </w:rPr>
        <w:t>(1). https://doi.org/10.1007/s12310-022-09535-0</w:t>
      </w:r>
    </w:p>
    <w:p w14:paraId="53497847" w14:textId="77777777" w:rsidR="00A66FB4" w:rsidRPr="00AD4F76" w:rsidRDefault="00A66FB4" w:rsidP="00A66FB4">
      <w:pPr>
        <w:spacing w:line="480" w:lineRule="auto"/>
        <w:ind w:firstLine="720"/>
        <w:rPr>
          <w:rFonts w:ascii="Times New Roman" w:hAnsi="Times New Roman" w:cs="Times New Roman"/>
          <w:color w:val="000000"/>
        </w:rPr>
      </w:pPr>
    </w:p>
    <w:p w14:paraId="07FA6D4E" w14:textId="77777777" w:rsidR="00A66FB4" w:rsidRDefault="00A66FB4" w:rsidP="00A66FB4">
      <w:pPr>
        <w:spacing w:line="480" w:lineRule="auto"/>
      </w:pPr>
    </w:p>
    <w:sectPr w:rsidR="00A66F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FB4"/>
    <w:rsid w:val="006A6D29"/>
    <w:rsid w:val="007319AC"/>
    <w:rsid w:val="007D6547"/>
    <w:rsid w:val="00A048BA"/>
    <w:rsid w:val="00A66FB4"/>
    <w:rsid w:val="00CC7142"/>
    <w:rsid w:val="00CD4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F900DC"/>
  <w15:chartTrackingRefBased/>
  <w15:docId w15:val="{2056F1D9-0FCF-264E-9F9D-A1C79006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F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6F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6F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F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F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F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F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F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F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F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6F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F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F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F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F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F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F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FB4"/>
    <w:rPr>
      <w:rFonts w:eastAsiaTheme="majorEastAsia" w:cstheme="majorBidi"/>
      <w:color w:val="272727" w:themeColor="text1" w:themeTint="D8"/>
    </w:rPr>
  </w:style>
  <w:style w:type="paragraph" w:styleId="Title">
    <w:name w:val="Title"/>
    <w:basedOn w:val="Normal"/>
    <w:next w:val="Normal"/>
    <w:link w:val="TitleChar"/>
    <w:uiPriority w:val="10"/>
    <w:qFormat/>
    <w:rsid w:val="00A66F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F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F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F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F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6FB4"/>
    <w:rPr>
      <w:i/>
      <w:iCs/>
      <w:color w:val="404040" w:themeColor="text1" w:themeTint="BF"/>
    </w:rPr>
  </w:style>
  <w:style w:type="paragraph" w:styleId="ListParagraph">
    <w:name w:val="List Paragraph"/>
    <w:basedOn w:val="Normal"/>
    <w:uiPriority w:val="34"/>
    <w:qFormat/>
    <w:rsid w:val="00A66FB4"/>
    <w:pPr>
      <w:ind w:left="720"/>
      <w:contextualSpacing/>
    </w:pPr>
  </w:style>
  <w:style w:type="character" w:styleId="IntenseEmphasis">
    <w:name w:val="Intense Emphasis"/>
    <w:basedOn w:val="DefaultParagraphFont"/>
    <w:uiPriority w:val="21"/>
    <w:qFormat/>
    <w:rsid w:val="00A66FB4"/>
    <w:rPr>
      <w:i/>
      <w:iCs/>
      <w:color w:val="0F4761" w:themeColor="accent1" w:themeShade="BF"/>
    </w:rPr>
  </w:style>
  <w:style w:type="paragraph" w:styleId="IntenseQuote">
    <w:name w:val="Intense Quote"/>
    <w:basedOn w:val="Normal"/>
    <w:next w:val="Normal"/>
    <w:link w:val="IntenseQuoteChar"/>
    <w:uiPriority w:val="30"/>
    <w:qFormat/>
    <w:rsid w:val="00A66F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FB4"/>
    <w:rPr>
      <w:i/>
      <w:iCs/>
      <w:color w:val="0F4761" w:themeColor="accent1" w:themeShade="BF"/>
    </w:rPr>
  </w:style>
  <w:style w:type="character" w:styleId="IntenseReference">
    <w:name w:val="Intense Reference"/>
    <w:basedOn w:val="DefaultParagraphFont"/>
    <w:uiPriority w:val="32"/>
    <w:qFormat/>
    <w:rsid w:val="00A66FB4"/>
    <w:rPr>
      <w:b/>
      <w:bCs/>
      <w:smallCaps/>
      <w:color w:val="0F4761" w:themeColor="accent1" w:themeShade="BF"/>
      <w:spacing w:val="5"/>
    </w:rPr>
  </w:style>
  <w:style w:type="paragraph" w:styleId="NormalWeb">
    <w:name w:val="Normal (Web)"/>
    <w:basedOn w:val="Normal"/>
    <w:uiPriority w:val="99"/>
    <w:semiHidden/>
    <w:unhideWhenUsed/>
    <w:rsid w:val="00A66FB4"/>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06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3271</Words>
  <Characters>18649</Characters>
  <Application>Microsoft Office Word</Application>
  <DocSecurity>0</DocSecurity>
  <Lines>155</Lines>
  <Paragraphs>43</Paragraphs>
  <ScaleCrop>false</ScaleCrop>
  <Company/>
  <LinksUpToDate>false</LinksUpToDate>
  <CharactersWithSpaces>21877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Hooper (1802572)</dc:creator>
  <cp:keywords/>
  <dc:description/>
  <cp:lastModifiedBy>Saskia Hooper (1802572)</cp:lastModifiedBy>
  <cp:revision>1</cp:revision>
  <dcterms:created xsi:type="dcterms:W3CDTF">2024-04-23T21:49:00Z</dcterms:created>
  <dcterms:modified xsi:type="dcterms:W3CDTF">2024-04-23T21:56:00Z</dcterms:modified>
</cp:coreProperties>
</file>