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87B5E" w14:textId="77777777" w:rsidR="006D2B1C" w:rsidRDefault="006D2B1C" w:rsidP="00046B64">
      <w:pPr>
        <w:jc w:val="both"/>
        <w:rPr>
          <w:rFonts w:ascii="Arial" w:hAnsi="Arial" w:cs="Arial"/>
          <w:b/>
          <w:bCs/>
          <w:sz w:val="28"/>
          <w:szCs w:val="28"/>
        </w:rPr>
      </w:pP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753AF0">
        <w:rPr>
          <w:rFonts w:ascii="Arial" w:hAnsi="Arial" w:cs="Arial"/>
          <w:b/>
          <w:bCs/>
          <w:sz w:val="28"/>
          <w:szCs w:val="28"/>
        </w:rPr>
        <w:t xml:space="preserve"> </w:t>
      </w:r>
      <w:r w:rsidR="00753AF0">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Pr="006D2B1C">
        <w:rPr>
          <w:rFonts w:ascii="Arial" w:hAnsi="Arial" w:cs="Arial"/>
          <w:b/>
          <w:bCs/>
          <w:sz w:val="28"/>
          <w:szCs w:val="28"/>
        </w:rPr>
        <w:tab/>
      </w:r>
      <w:r>
        <w:rPr>
          <w:rFonts w:ascii="Arial" w:hAnsi="Arial" w:cs="Arial"/>
          <w:b/>
          <w:bCs/>
          <w:noProof/>
          <w:sz w:val="28"/>
          <w:szCs w:val="28"/>
        </w:rPr>
        <w:drawing>
          <wp:inline distT="0" distB="0" distL="0" distR="0" wp14:anchorId="4B96C53F" wp14:editId="49C3E228">
            <wp:extent cx="1898007" cy="971550"/>
            <wp:effectExtent l="0" t="0" r="7620" b="0"/>
            <wp:docPr id="1543515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02067" cy="973628"/>
                    </a:xfrm>
                    <a:prstGeom prst="rect">
                      <a:avLst/>
                    </a:prstGeom>
                    <a:noFill/>
                  </pic:spPr>
                </pic:pic>
              </a:graphicData>
            </a:graphic>
          </wp:inline>
        </w:drawing>
      </w:r>
    </w:p>
    <w:p w14:paraId="3BE19506" w14:textId="65BE1F4E" w:rsidR="00534F5E" w:rsidRPr="006D2B1C" w:rsidRDefault="006D2B1C" w:rsidP="00046B64">
      <w:pPr>
        <w:jc w:val="both"/>
        <w:rPr>
          <w:rFonts w:ascii="Arial" w:hAnsi="Arial" w:cs="Arial"/>
          <w:b/>
          <w:bCs/>
          <w:sz w:val="28"/>
          <w:szCs w:val="28"/>
        </w:rPr>
      </w:pPr>
      <w:r w:rsidRPr="006D2B1C">
        <w:rPr>
          <w:rFonts w:ascii="Arial" w:hAnsi="Arial" w:cs="Arial"/>
          <w:b/>
          <w:bCs/>
          <w:sz w:val="28"/>
          <w:szCs w:val="28"/>
        </w:rPr>
        <w:tab/>
      </w:r>
      <w:r w:rsidRPr="006D2B1C">
        <w:rPr>
          <w:rFonts w:ascii="Arial" w:hAnsi="Arial" w:cs="Arial"/>
          <w:b/>
          <w:bCs/>
          <w:sz w:val="28"/>
          <w:szCs w:val="28"/>
        </w:rPr>
        <w:tab/>
        <w:t xml:space="preserve">       </w:t>
      </w:r>
      <w:r>
        <w:rPr>
          <w:rFonts w:ascii="Arial" w:hAnsi="Arial" w:cs="Arial"/>
          <w:b/>
          <w:bCs/>
          <w:sz w:val="28"/>
          <w:szCs w:val="28"/>
        </w:rPr>
        <w:tab/>
      </w:r>
      <w:r>
        <w:rPr>
          <w:rFonts w:ascii="Arial" w:hAnsi="Arial" w:cs="Arial"/>
          <w:b/>
          <w:bCs/>
          <w:sz w:val="28"/>
          <w:szCs w:val="28"/>
        </w:rPr>
        <w:tab/>
      </w:r>
      <w:r w:rsidRPr="006D2B1C">
        <w:rPr>
          <w:rFonts w:ascii="Arial" w:hAnsi="Arial" w:cs="Arial"/>
          <w:b/>
          <w:bCs/>
          <w:sz w:val="28"/>
          <w:szCs w:val="28"/>
        </w:rPr>
        <w:t xml:space="preserve"> Week </w:t>
      </w:r>
      <w:r w:rsidR="00FB685C">
        <w:rPr>
          <w:rFonts w:ascii="Arial" w:hAnsi="Arial" w:cs="Arial"/>
          <w:b/>
          <w:bCs/>
          <w:sz w:val="28"/>
          <w:szCs w:val="28"/>
        </w:rPr>
        <w:t>8</w:t>
      </w:r>
      <w:r w:rsidRPr="006D2B1C">
        <w:rPr>
          <w:rFonts w:ascii="Arial" w:hAnsi="Arial" w:cs="Arial"/>
          <w:b/>
          <w:bCs/>
          <w:sz w:val="28"/>
          <w:szCs w:val="28"/>
        </w:rPr>
        <w:t xml:space="preserve"> </w:t>
      </w:r>
    </w:p>
    <w:p w14:paraId="581ED2C8" w14:textId="77777777" w:rsidR="006D2B1C" w:rsidRDefault="006D2B1C" w:rsidP="00046B64">
      <w:pPr>
        <w:jc w:val="both"/>
        <w:rPr>
          <w:rFonts w:ascii="Arial" w:hAnsi="Arial" w:cs="Arial"/>
          <w:sz w:val="24"/>
          <w:szCs w:val="24"/>
        </w:rPr>
      </w:pPr>
      <w:r w:rsidRPr="006D2B1C">
        <w:rPr>
          <w:rFonts w:ascii="Arial" w:hAnsi="Arial" w:cs="Arial"/>
          <w:b/>
          <w:bCs/>
          <w:sz w:val="24"/>
          <w:szCs w:val="24"/>
        </w:rPr>
        <w:t>Exercise 1:</w:t>
      </w:r>
      <w:r w:rsidRPr="006D2B1C">
        <w:rPr>
          <w:rFonts w:ascii="Arial" w:hAnsi="Arial" w:cs="Arial"/>
          <w:sz w:val="24"/>
          <w:szCs w:val="24"/>
        </w:rPr>
        <w:t xml:space="preserve"> Read the following case stud</w:t>
      </w:r>
      <w:r>
        <w:rPr>
          <w:rFonts w:ascii="Arial" w:hAnsi="Arial" w:cs="Arial"/>
          <w:sz w:val="24"/>
          <w:szCs w:val="24"/>
        </w:rPr>
        <w:t>y</w:t>
      </w:r>
      <w:r w:rsidRPr="006D2B1C">
        <w:rPr>
          <w:rFonts w:ascii="Arial" w:hAnsi="Arial" w:cs="Arial"/>
          <w:sz w:val="24"/>
          <w:szCs w:val="24"/>
        </w:rPr>
        <w:t xml:space="preserve"> and </w:t>
      </w:r>
      <w:r>
        <w:rPr>
          <w:rFonts w:ascii="Arial" w:hAnsi="Arial" w:cs="Arial"/>
          <w:sz w:val="24"/>
          <w:szCs w:val="24"/>
        </w:rPr>
        <w:t xml:space="preserve">discuss the kind of discrimination that occurred </w:t>
      </w:r>
    </w:p>
    <w:p w14:paraId="31892710" w14:textId="77777777" w:rsidR="006D2B1C" w:rsidRPr="006D2B1C" w:rsidRDefault="006D2B1C" w:rsidP="00046B64">
      <w:pPr>
        <w:jc w:val="both"/>
        <w:rPr>
          <w:rFonts w:ascii="Arial" w:hAnsi="Arial" w:cs="Arial"/>
          <w:b/>
          <w:bCs/>
          <w:sz w:val="24"/>
          <w:szCs w:val="24"/>
        </w:rPr>
      </w:pPr>
      <w:r w:rsidRPr="006D2B1C">
        <w:rPr>
          <w:rFonts w:ascii="Arial" w:hAnsi="Arial" w:cs="Arial"/>
          <w:b/>
          <w:bCs/>
          <w:sz w:val="24"/>
          <w:szCs w:val="24"/>
        </w:rPr>
        <w:t>Case study 1: Discrimination in practice</w:t>
      </w:r>
    </w:p>
    <w:p w14:paraId="75AC5392" w14:textId="77777777" w:rsidR="006D2B1C" w:rsidRDefault="006D2B1C" w:rsidP="00046B64">
      <w:pPr>
        <w:jc w:val="both"/>
        <w:rPr>
          <w:rFonts w:ascii="Arial" w:hAnsi="Arial" w:cs="Arial"/>
          <w:b/>
          <w:bCs/>
          <w:sz w:val="24"/>
          <w:szCs w:val="24"/>
        </w:rPr>
      </w:pPr>
      <w:r w:rsidRPr="006D2B1C">
        <w:rPr>
          <w:rFonts w:ascii="Arial" w:hAnsi="Arial" w:cs="Arial"/>
          <w:sz w:val="24"/>
          <w:szCs w:val="24"/>
        </w:rPr>
        <w:t>James is an older Afro-Caribbean man starting to need help form health and social care as he becomes more frail. When trying to access local services, he found that most staff and other service users were from a white UK background, that it was difficult to cater for his dietary needs and that some service users subjected him to racist remarks. He often found that staff did nothing to stop this, and sometimes even joined in – seeing this as ‘gentle teasing’ and ‘banter’ rather than anything worse. Many other service users were also women and he was keen to find some male friends as well</w:t>
      </w:r>
      <w:r w:rsidRPr="006D2B1C">
        <w:rPr>
          <w:rFonts w:ascii="Arial" w:hAnsi="Arial" w:cs="Arial"/>
          <w:b/>
          <w:bCs/>
          <w:sz w:val="24"/>
          <w:szCs w:val="24"/>
        </w:rPr>
        <w:t>.</w:t>
      </w:r>
    </w:p>
    <w:p w14:paraId="6F0F022B" w14:textId="77777777" w:rsidR="006D2B1C" w:rsidRDefault="006D2B1C" w:rsidP="00046B64">
      <w:pPr>
        <w:jc w:val="both"/>
        <w:rPr>
          <w:rFonts w:ascii="Arial" w:hAnsi="Arial" w:cs="Arial"/>
          <w:b/>
          <w:bCs/>
          <w:sz w:val="24"/>
          <w:szCs w:val="24"/>
        </w:rPr>
      </w:pPr>
    </w:p>
    <w:p w14:paraId="2DD32ED2" w14:textId="77777777" w:rsidR="006D2B1C" w:rsidRDefault="006D2B1C" w:rsidP="00046B64">
      <w:pPr>
        <w:jc w:val="both"/>
        <w:rPr>
          <w:rFonts w:ascii="Arial" w:hAnsi="Arial" w:cs="Arial"/>
          <w:sz w:val="24"/>
          <w:szCs w:val="24"/>
        </w:rPr>
      </w:pPr>
      <w:r>
        <w:rPr>
          <w:rFonts w:ascii="Arial" w:hAnsi="Arial" w:cs="Arial"/>
          <w:b/>
          <w:bCs/>
          <w:sz w:val="24"/>
          <w:szCs w:val="24"/>
        </w:rPr>
        <w:t xml:space="preserve">Source: </w:t>
      </w:r>
      <w:r w:rsidRPr="006D2B1C">
        <w:rPr>
          <w:rFonts w:ascii="Arial" w:hAnsi="Arial" w:cs="Arial"/>
          <w:sz w:val="24"/>
          <w:szCs w:val="24"/>
        </w:rPr>
        <w:t>Glasby, J. (2012) </w:t>
      </w:r>
      <w:r w:rsidRPr="006D2B1C">
        <w:rPr>
          <w:rFonts w:ascii="Arial" w:hAnsi="Arial" w:cs="Arial"/>
          <w:i/>
          <w:iCs/>
          <w:sz w:val="24"/>
          <w:szCs w:val="24"/>
        </w:rPr>
        <w:t>Understanding Health and Social Care</w:t>
      </w:r>
      <w:r w:rsidRPr="006D2B1C">
        <w:rPr>
          <w:rFonts w:ascii="Arial" w:hAnsi="Arial" w:cs="Arial"/>
          <w:sz w:val="24"/>
          <w:szCs w:val="24"/>
        </w:rPr>
        <w:t>. London: Policy Press</w:t>
      </w:r>
    </w:p>
    <w:p w14:paraId="19B80A3B" w14:textId="77777777" w:rsidR="005D686D" w:rsidRDefault="005D686D" w:rsidP="00046B64">
      <w:pPr>
        <w:jc w:val="both"/>
        <w:rPr>
          <w:rFonts w:ascii="Arial" w:hAnsi="Arial" w:cs="Arial"/>
          <w:sz w:val="24"/>
          <w:szCs w:val="24"/>
        </w:rPr>
      </w:pPr>
    </w:p>
    <w:p w14:paraId="446D280A" w14:textId="77777777" w:rsidR="005D686D" w:rsidRPr="005D686D" w:rsidRDefault="005D686D" w:rsidP="00046B64">
      <w:pPr>
        <w:jc w:val="both"/>
      </w:pPr>
      <w:r w:rsidRPr="005D686D">
        <w:rPr>
          <w:rFonts w:ascii="Arial" w:hAnsi="Arial" w:cs="Arial"/>
          <w:b/>
          <w:bCs/>
          <w:sz w:val="24"/>
          <w:szCs w:val="24"/>
        </w:rPr>
        <w:t>Exercise 2:</w:t>
      </w:r>
      <w:r>
        <w:rPr>
          <w:rFonts w:ascii="Arial" w:hAnsi="Arial" w:cs="Arial"/>
          <w:b/>
          <w:bCs/>
          <w:sz w:val="24"/>
          <w:szCs w:val="24"/>
        </w:rPr>
        <w:t xml:space="preserve"> </w:t>
      </w:r>
      <w:r w:rsidRPr="005D686D">
        <w:rPr>
          <w:rFonts w:ascii="Arial" w:hAnsi="Arial" w:cs="Arial"/>
          <w:sz w:val="24"/>
          <w:szCs w:val="24"/>
        </w:rPr>
        <w:t>Read the following case studies in discuss them in groups</w:t>
      </w:r>
      <w:r>
        <w:rPr>
          <w:rFonts w:ascii="Arial" w:hAnsi="Arial" w:cs="Arial"/>
          <w:sz w:val="24"/>
          <w:szCs w:val="24"/>
        </w:rPr>
        <w:t>. What type of discrimination occurred in each of these cases? Is this direct or in-direct discrimination?</w:t>
      </w:r>
    </w:p>
    <w:p w14:paraId="2AA5E0B9" w14:textId="77777777" w:rsidR="005D686D" w:rsidRDefault="005D686D" w:rsidP="00046B64">
      <w:pPr>
        <w:jc w:val="both"/>
        <w:rPr>
          <w:rFonts w:ascii="Arial" w:hAnsi="Arial" w:cs="Arial"/>
          <w:sz w:val="24"/>
          <w:szCs w:val="24"/>
        </w:rPr>
      </w:pPr>
    </w:p>
    <w:p w14:paraId="38AAF1EC" w14:textId="77777777" w:rsidR="005D686D" w:rsidRPr="005D686D" w:rsidRDefault="005D686D" w:rsidP="00046B64">
      <w:pPr>
        <w:jc w:val="both"/>
        <w:rPr>
          <w:rFonts w:ascii="Arial" w:hAnsi="Arial" w:cs="Arial"/>
          <w:b/>
          <w:bCs/>
          <w:sz w:val="24"/>
          <w:szCs w:val="24"/>
        </w:rPr>
      </w:pPr>
      <w:r w:rsidRPr="005D686D">
        <w:rPr>
          <w:rFonts w:ascii="Arial" w:hAnsi="Arial" w:cs="Arial"/>
          <w:b/>
          <w:bCs/>
          <w:sz w:val="24"/>
          <w:szCs w:val="24"/>
        </w:rPr>
        <w:t>Case study 1:</w:t>
      </w:r>
    </w:p>
    <w:p w14:paraId="110FC6F9" w14:textId="77777777" w:rsidR="005D686D" w:rsidRDefault="005D686D" w:rsidP="00046B64">
      <w:pPr>
        <w:jc w:val="both"/>
        <w:rPr>
          <w:rFonts w:ascii="Arial" w:hAnsi="Arial" w:cs="Arial"/>
          <w:sz w:val="24"/>
          <w:szCs w:val="24"/>
        </w:rPr>
      </w:pPr>
      <w:r w:rsidRPr="005D686D">
        <w:rPr>
          <w:rFonts w:ascii="Arial" w:hAnsi="Arial" w:cs="Arial"/>
          <w:sz w:val="24"/>
          <w:szCs w:val="24"/>
        </w:rPr>
        <w:t xml:space="preserve">A social care provider which runs a day centre decides to apply a ‘no hats or other headgear’ rule to service users. </w:t>
      </w:r>
    </w:p>
    <w:p w14:paraId="255108F0" w14:textId="77777777" w:rsidR="005D686D" w:rsidRDefault="005D686D" w:rsidP="00046B64">
      <w:pPr>
        <w:jc w:val="both"/>
        <w:rPr>
          <w:rFonts w:ascii="Arial" w:hAnsi="Arial" w:cs="Arial"/>
          <w:sz w:val="24"/>
          <w:szCs w:val="24"/>
        </w:rPr>
      </w:pPr>
    </w:p>
    <w:p w14:paraId="30D0A7CB" w14:textId="77777777" w:rsidR="005D686D" w:rsidRPr="005D686D" w:rsidRDefault="005D686D" w:rsidP="00046B64">
      <w:pPr>
        <w:jc w:val="both"/>
        <w:rPr>
          <w:rFonts w:ascii="Arial" w:hAnsi="Arial" w:cs="Arial"/>
          <w:b/>
          <w:bCs/>
          <w:sz w:val="24"/>
          <w:szCs w:val="24"/>
        </w:rPr>
      </w:pPr>
      <w:r w:rsidRPr="005D686D">
        <w:rPr>
          <w:rFonts w:ascii="Arial" w:hAnsi="Arial" w:cs="Arial"/>
          <w:b/>
          <w:bCs/>
          <w:sz w:val="24"/>
          <w:szCs w:val="24"/>
        </w:rPr>
        <w:t>Case study 2:</w:t>
      </w:r>
    </w:p>
    <w:p w14:paraId="4FC1F0F6" w14:textId="77777777" w:rsidR="005D686D" w:rsidRDefault="005D686D" w:rsidP="00046B64">
      <w:pPr>
        <w:jc w:val="both"/>
        <w:rPr>
          <w:rFonts w:ascii="Arial" w:hAnsi="Arial" w:cs="Arial"/>
          <w:sz w:val="24"/>
          <w:szCs w:val="24"/>
        </w:rPr>
      </w:pPr>
      <w:r w:rsidRPr="005D686D">
        <w:rPr>
          <w:rFonts w:ascii="Arial" w:hAnsi="Arial" w:cs="Arial"/>
          <w:sz w:val="24"/>
          <w:szCs w:val="24"/>
        </w:rPr>
        <w:t xml:space="preserve">A disabled person who is a wheelchair user has a hospital appointment but is refused a consultation in a small consultation room as the wheelchair takes up a lot of room. They are interviewed in a curtained cubicle near the public waiting area, but this provides much less privacy than a consultation room. </w:t>
      </w:r>
    </w:p>
    <w:p w14:paraId="5E45DB84" w14:textId="77777777" w:rsidR="005D686D" w:rsidRDefault="005D686D" w:rsidP="00046B64">
      <w:pPr>
        <w:jc w:val="both"/>
        <w:rPr>
          <w:rFonts w:ascii="Arial" w:hAnsi="Arial" w:cs="Arial"/>
          <w:sz w:val="24"/>
          <w:szCs w:val="24"/>
        </w:rPr>
      </w:pPr>
    </w:p>
    <w:p w14:paraId="3903421A" w14:textId="77777777" w:rsidR="00753AF0" w:rsidRDefault="00753AF0" w:rsidP="00046B64">
      <w:pPr>
        <w:jc w:val="both"/>
        <w:rPr>
          <w:rFonts w:ascii="Arial" w:hAnsi="Arial" w:cs="Arial"/>
          <w:sz w:val="24"/>
          <w:szCs w:val="24"/>
        </w:rPr>
      </w:pPr>
    </w:p>
    <w:p w14:paraId="4D0BAF8B" w14:textId="77777777" w:rsidR="005D686D" w:rsidRDefault="005D686D" w:rsidP="00046B64">
      <w:pPr>
        <w:jc w:val="both"/>
        <w:rPr>
          <w:rFonts w:ascii="Arial" w:hAnsi="Arial" w:cs="Arial"/>
          <w:sz w:val="24"/>
          <w:szCs w:val="24"/>
        </w:rPr>
      </w:pPr>
    </w:p>
    <w:p w14:paraId="545A4801" w14:textId="77777777" w:rsidR="005D686D" w:rsidRPr="005D686D" w:rsidRDefault="005D686D" w:rsidP="00046B64">
      <w:pPr>
        <w:jc w:val="both"/>
        <w:rPr>
          <w:rFonts w:ascii="Arial" w:hAnsi="Arial" w:cs="Arial"/>
          <w:b/>
          <w:bCs/>
          <w:sz w:val="24"/>
          <w:szCs w:val="24"/>
        </w:rPr>
      </w:pPr>
      <w:r w:rsidRPr="005D686D">
        <w:rPr>
          <w:rFonts w:ascii="Arial" w:hAnsi="Arial" w:cs="Arial"/>
          <w:b/>
          <w:bCs/>
          <w:sz w:val="24"/>
          <w:szCs w:val="24"/>
        </w:rPr>
        <w:lastRenderedPageBreak/>
        <w:t>Case study 3:</w:t>
      </w:r>
    </w:p>
    <w:p w14:paraId="26892668" w14:textId="77777777" w:rsidR="005D686D" w:rsidRDefault="005D686D" w:rsidP="00046B64">
      <w:pPr>
        <w:jc w:val="both"/>
        <w:rPr>
          <w:rFonts w:ascii="Arial" w:hAnsi="Arial" w:cs="Arial"/>
          <w:sz w:val="24"/>
          <w:szCs w:val="24"/>
        </w:rPr>
      </w:pPr>
      <w:r w:rsidRPr="005D686D">
        <w:rPr>
          <w:rFonts w:ascii="Arial" w:hAnsi="Arial" w:cs="Arial"/>
          <w:sz w:val="24"/>
          <w:szCs w:val="24"/>
        </w:rPr>
        <w:t xml:space="preserve">A small privately run homecare provider refuses to assist an older client at home because they discover that the older person’s partner is HIV positive. </w:t>
      </w:r>
    </w:p>
    <w:p w14:paraId="769327AA" w14:textId="77777777" w:rsidR="005D686D" w:rsidRDefault="005D686D" w:rsidP="00046B64">
      <w:pPr>
        <w:jc w:val="both"/>
        <w:rPr>
          <w:rFonts w:ascii="Arial" w:hAnsi="Arial" w:cs="Arial"/>
          <w:sz w:val="24"/>
          <w:szCs w:val="24"/>
        </w:rPr>
      </w:pPr>
    </w:p>
    <w:p w14:paraId="06659454" w14:textId="77777777" w:rsidR="005D686D" w:rsidRPr="005D686D" w:rsidRDefault="005D686D" w:rsidP="00046B64">
      <w:pPr>
        <w:jc w:val="both"/>
        <w:rPr>
          <w:rFonts w:ascii="Arial" w:hAnsi="Arial" w:cs="Arial"/>
          <w:sz w:val="24"/>
          <w:szCs w:val="24"/>
        </w:rPr>
      </w:pPr>
      <w:r w:rsidRPr="00046B64">
        <w:rPr>
          <w:rFonts w:ascii="Arial" w:hAnsi="Arial" w:cs="Arial"/>
          <w:b/>
          <w:bCs/>
          <w:sz w:val="24"/>
          <w:szCs w:val="24"/>
        </w:rPr>
        <w:t>Source</w:t>
      </w:r>
      <w:r>
        <w:rPr>
          <w:rFonts w:ascii="Arial" w:hAnsi="Arial" w:cs="Arial"/>
          <w:sz w:val="24"/>
          <w:szCs w:val="24"/>
        </w:rPr>
        <w:t xml:space="preserve">: </w:t>
      </w:r>
      <w:r w:rsidRPr="005D686D">
        <w:rPr>
          <w:rFonts w:ascii="Arial" w:hAnsi="Arial" w:cs="Arial"/>
          <w:sz w:val="24"/>
          <w:szCs w:val="24"/>
        </w:rPr>
        <w:t>Glasby, J. (2012) </w:t>
      </w:r>
      <w:r w:rsidRPr="005D686D">
        <w:rPr>
          <w:rFonts w:ascii="Arial" w:hAnsi="Arial" w:cs="Arial"/>
          <w:i/>
          <w:iCs/>
          <w:sz w:val="24"/>
          <w:szCs w:val="24"/>
        </w:rPr>
        <w:t>Understanding Health and Social Care</w:t>
      </w:r>
      <w:r w:rsidRPr="005D686D">
        <w:rPr>
          <w:rFonts w:ascii="Arial" w:hAnsi="Arial" w:cs="Arial"/>
          <w:sz w:val="24"/>
          <w:szCs w:val="24"/>
        </w:rPr>
        <w:t>.</w:t>
      </w:r>
      <w:r>
        <w:rPr>
          <w:rFonts w:ascii="Arial" w:hAnsi="Arial" w:cs="Arial"/>
          <w:sz w:val="24"/>
          <w:szCs w:val="24"/>
        </w:rPr>
        <w:t xml:space="preserve"> 3</w:t>
      </w:r>
      <w:r w:rsidRPr="005D686D">
        <w:rPr>
          <w:rFonts w:ascii="Arial" w:hAnsi="Arial" w:cs="Arial"/>
          <w:sz w:val="24"/>
          <w:szCs w:val="24"/>
          <w:vertAlign w:val="superscript"/>
        </w:rPr>
        <w:t>rd</w:t>
      </w:r>
      <w:r>
        <w:rPr>
          <w:rFonts w:ascii="Arial" w:hAnsi="Arial" w:cs="Arial"/>
          <w:sz w:val="24"/>
          <w:szCs w:val="24"/>
        </w:rPr>
        <w:t xml:space="preserve"> ed.</w:t>
      </w:r>
      <w:r w:rsidRPr="005D686D">
        <w:rPr>
          <w:rFonts w:ascii="Arial" w:hAnsi="Arial" w:cs="Arial"/>
          <w:sz w:val="24"/>
          <w:szCs w:val="24"/>
        </w:rPr>
        <w:t xml:space="preserve"> London: Policy Press</w:t>
      </w:r>
    </w:p>
    <w:p w14:paraId="01F81FD4" w14:textId="77777777" w:rsidR="00595C25" w:rsidRDefault="00595C25" w:rsidP="00046B64">
      <w:pPr>
        <w:jc w:val="both"/>
        <w:rPr>
          <w:rFonts w:ascii="Arial" w:hAnsi="Arial" w:cs="Arial"/>
          <w:sz w:val="24"/>
          <w:szCs w:val="24"/>
        </w:rPr>
      </w:pPr>
    </w:p>
    <w:p w14:paraId="26E9BC2B" w14:textId="77777777" w:rsidR="00046B64" w:rsidRDefault="00046B64" w:rsidP="00046B64">
      <w:pPr>
        <w:jc w:val="both"/>
        <w:rPr>
          <w:rFonts w:ascii="Arial" w:hAnsi="Arial" w:cs="Arial"/>
          <w:sz w:val="24"/>
          <w:szCs w:val="24"/>
        </w:rPr>
      </w:pPr>
      <w:r w:rsidRPr="00046B64">
        <w:rPr>
          <w:rFonts w:ascii="Arial" w:hAnsi="Arial" w:cs="Arial"/>
          <w:b/>
          <w:bCs/>
          <w:sz w:val="24"/>
          <w:szCs w:val="24"/>
        </w:rPr>
        <w:t>Exercise 3:</w:t>
      </w:r>
      <w:r>
        <w:rPr>
          <w:rFonts w:ascii="Arial" w:hAnsi="Arial" w:cs="Arial"/>
          <w:sz w:val="24"/>
          <w:szCs w:val="24"/>
        </w:rPr>
        <w:t xml:space="preserve"> Discrimination in the UK’S Mental Health System</w:t>
      </w:r>
    </w:p>
    <w:p w14:paraId="6FE48148" w14:textId="77777777" w:rsidR="00046B64" w:rsidRDefault="00046B64" w:rsidP="00046B64">
      <w:pPr>
        <w:jc w:val="both"/>
        <w:rPr>
          <w:rFonts w:ascii="Arial" w:hAnsi="Arial" w:cs="Arial"/>
          <w:sz w:val="24"/>
          <w:szCs w:val="24"/>
        </w:rPr>
      </w:pPr>
      <w:r w:rsidRPr="00046B64">
        <w:rPr>
          <w:rFonts w:ascii="Arial" w:hAnsi="Arial" w:cs="Arial"/>
          <w:sz w:val="24"/>
          <w:szCs w:val="24"/>
        </w:rPr>
        <w:t xml:space="preserve">In mental health services, all the available evidence suggests </w:t>
      </w:r>
      <w:r>
        <w:rPr>
          <w:rFonts w:ascii="Arial" w:hAnsi="Arial" w:cs="Arial"/>
          <w:sz w:val="24"/>
          <w:szCs w:val="24"/>
        </w:rPr>
        <w:t>that w</w:t>
      </w:r>
      <w:r w:rsidRPr="00046B64">
        <w:rPr>
          <w:rFonts w:ascii="Arial" w:hAnsi="Arial" w:cs="Arial"/>
          <w:sz w:val="24"/>
          <w:szCs w:val="24"/>
        </w:rPr>
        <w:t xml:space="preserve">omen may be disproportionately represented in some sections of the system – more likely than men to be treated for conditions such as depression and anxiety, less likely to receive prompt treatment as a result of a tendency to focus on the needs of men (who are perceived as being more potentially violent) and often having experienced some form of sexual or physical abuse (or both). </w:t>
      </w:r>
    </w:p>
    <w:p w14:paraId="2C4098D3" w14:textId="77777777" w:rsidR="00046B64" w:rsidRDefault="00046B64" w:rsidP="00046B64">
      <w:pPr>
        <w:jc w:val="both"/>
        <w:rPr>
          <w:rFonts w:ascii="Arial" w:hAnsi="Arial" w:cs="Arial"/>
          <w:sz w:val="24"/>
          <w:szCs w:val="24"/>
        </w:rPr>
      </w:pPr>
      <w:r w:rsidRPr="00046B64">
        <w:rPr>
          <w:rFonts w:ascii="Arial" w:hAnsi="Arial" w:cs="Arial"/>
          <w:sz w:val="24"/>
          <w:szCs w:val="24"/>
        </w:rPr>
        <w:t xml:space="preserve">Despite the latter, inpatient mental health services in particular have been the subject of ongoing allegations of sexual harassment. Unlike other areas of the health system (where people in higher socioeconomic positions tend to have more contact with services), those from lower social classes are overrepresented in mental health services. </w:t>
      </w:r>
    </w:p>
    <w:p w14:paraId="45339F42" w14:textId="77777777" w:rsidR="00046B64" w:rsidRDefault="00046B64" w:rsidP="00046B64">
      <w:pPr>
        <w:jc w:val="both"/>
        <w:rPr>
          <w:rFonts w:ascii="Arial" w:hAnsi="Arial" w:cs="Arial"/>
          <w:sz w:val="24"/>
          <w:szCs w:val="24"/>
        </w:rPr>
      </w:pPr>
      <w:r w:rsidRPr="00046B64">
        <w:rPr>
          <w:rFonts w:ascii="Arial" w:hAnsi="Arial" w:cs="Arial"/>
          <w:sz w:val="24"/>
          <w:szCs w:val="24"/>
        </w:rPr>
        <w:t xml:space="preserve">Above all, the evidence suggests that poorer people are more likely than richer people to experience coercive rather than voluntary forms of treatment and biological rather than psychological interventions. While social stresses may contribute to the incidence of mental ill health, it is also possible that a ‘cultural gap’ between some mental health workers (who may come from very different class backgrounds) and their patients may have a part to play. </w:t>
      </w:r>
    </w:p>
    <w:p w14:paraId="68718130" w14:textId="77777777" w:rsidR="00046B64" w:rsidRDefault="00046B64" w:rsidP="00046B64">
      <w:pPr>
        <w:jc w:val="both"/>
        <w:rPr>
          <w:rFonts w:ascii="Arial" w:hAnsi="Arial" w:cs="Arial"/>
          <w:sz w:val="24"/>
          <w:szCs w:val="24"/>
        </w:rPr>
      </w:pPr>
      <w:r w:rsidRPr="00046B64">
        <w:rPr>
          <w:rFonts w:ascii="Arial" w:hAnsi="Arial" w:cs="Arial"/>
          <w:sz w:val="24"/>
          <w:szCs w:val="24"/>
        </w:rPr>
        <w:t>Although legalised in 1967, homosexuality continues to be seen as a form of mental illness by some groups, and people’s sexuality is often inappropriately seen as a contributing factor to their mental health problem. All the evidence suggests that gay men, lesbians and bisexual people can experience discrimination and victimisation in mental health services and that services sometimes try to ‘cure’ their sexuality or to use it to explain their mental distress</w:t>
      </w:r>
      <w:r>
        <w:rPr>
          <w:rFonts w:ascii="Arial" w:hAnsi="Arial" w:cs="Arial"/>
          <w:sz w:val="24"/>
          <w:szCs w:val="24"/>
        </w:rPr>
        <w:t xml:space="preserve">. </w:t>
      </w:r>
    </w:p>
    <w:p w14:paraId="657602F3" w14:textId="77777777" w:rsidR="00046B64" w:rsidRDefault="00046B64" w:rsidP="00046B64">
      <w:pPr>
        <w:jc w:val="both"/>
        <w:rPr>
          <w:rFonts w:ascii="Arial" w:hAnsi="Arial" w:cs="Arial"/>
          <w:sz w:val="24"/>
          <w:szCs w:val="24"/>
        </w:rPr>
      </w:pPr>
    </w:p>
    <w:p w14:paraId="7B5C0F6C" w14:textId="77777777" w:rsidR="00046B64" w:rsidRDefault="00046B64" w:rsidP="00046B64">
      <w:pPr>
        <w:jc w:val="both"/>
        <w:rPr>
          <w:rFonts w:ascii="Arial" w:hAnsi="Arial" w:cs="Arial"/>
          <w:sz w:val="24"/>
          <w:szCs w:val="24"/>
        </w:rPr>
      </w:pPr>
      <w:r w:rsidRPr="00046B64">
        <w:rPr>
          <w:rFonts w:ascii="Arial" w:hAnsi="Arial" w:cs="Arial"/>
          <w:b/>
          <w:bCs/>
          <w:sz w:val="24"/>
          <w:szCs w:val="24"/>
        </w:rPr>
        <w:t>Source</w:t>
      </w:r>
      <w:r>
        <w:rPr>
          <w:rFonts w:ascii="Arial" w:hAnsi="Arial" w:cs="Arial"/>
          <w:sz w:val="24"/>
          <w:szCs w:val="24"/>
        </w:rPr>
        <w:t>:</w:t>
      </w:r>
      <w:r w:rsidRPr="00046B64">
        <w:rPr>
          <w:rFonts w:ascii="Arial" w:hAnsi="Arial" w:cs="Arial"/>
          <w:sz w:val="24"/>
          <w:szCs w:val="24"/>
        </w:rPr>
        <w:t xml:space="preserve"> Glasby, J. (2012) </w:t>
      </w:r>
      <w:r w:rsidRPr="00046B64">
        <w:rPr>
          <w:rFonts w:ascii="Arial" w:hAnsi="Arial" w:cs="Arial"/>
          <w:i/>
          <w:iCs/>
          <w:sz w:val="24"/>
          <w:szCs w:val="24"/>
        </w:rPr>
        <w:t>Understanding Health and Social Care</w:t>
      </w:r>
      <w:r w:rsidRPr="00046B64">
        <w:rPr>
          <w:rFonts w:ascii="Arial" w:hAnsi="Arial" w:cs="Arial"/>
          <w:sz w:val="24"/>
          <w:szCs w:val="24"/>
        </w:rPr>
        <w:t>. 3</w:t>
      </w:r>
      <w:r w:rsidRPr="00046B64">
        <w:rPr>
          <w:rFonts w:ascii="Arial" w:hAnsi="Arial" w:cs="Arial"/>
          <w:sz w:val="24"/>
          <w:szCs w:val="24"/>
          <w:vertAlign w:val="superscript"/>
        </w:rPr>
        <w:t>rd</w:t>
      </w:r>
      <w:r w:rsidRPr="00046B64">
        <w:rPr>
          <w:rFonts w:ascii="Arial" w:hAnsi="Arial" w:cs="Arial"/>
          <w:sz w:val="24"/>
          <w:szCs w:val="24"/>
        </w:rPr>
        <w:t xml:space="preserve"> ed. London: Policy Press</w:t>
      </w:r>
    </w:p>
    <w:p w14:paraId="15C898B3" w14:textId="77777777" w:rsidR="00046B64" w:rsidRPr="005D686D" w:rsidRDefault="00046B64" w:rsidP="00046B64">
      <w:pPr>
        <w:jc w:val="both"/>
        <w:rPr>
          <w:rFonts w:ascii="Arial" w:hAnsi="Arial" w:cs="Arial"/>
          <w:sz w:val="24"/>
          <w:szCs w:val="24"/>
        </w:rPr>
      </w:pPr>
    </w:p>
    <w:sectPr w:rsidR="00046B64" w:rsidRPr="005D6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1C"/>
    <w:rsid w:val="00046B64"/>
    <w:rsid w:val="00242683"/>
    <w:rsid w:val="00534F5E"/>
    <w:rsid w:val="00595C25"/>
    <w:rsid w:val="005D686D"/>
    <w:rsid w:val="006D2B1C"/>
    <w:rsid w:val="00753AF0"/>
    <w:rsid w:val="00D954C9"/>
    <w:rsid w:val="00FB6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1AEE71"/>
  <w15:chartTrackingRefBased/>
  <w15:docId w15:val="{795E0281-2C89-4360-8016-75B5C20F2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582</Words>
  <Characters>2999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3</cp:revision>
  <dcterms:created xsi:type="dcterms:W3CDTF">2023-11-12T20:53:00Z</dcterms:created>
  <dcterms:modified xsi:type="dcterms:W3CDTF">2023-11-12T20:54:00Z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81f53416c72ad56815ee70b8319b6de18dc27f1d6406185e10cb35c57cf719c2</vt:lpwstr>
  </property>
</Properties>
</file>