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B6ED5F" w14:textId="77777777" w:rsidR="00953C0B" w:rsidRDefault="00953C0B" w:rsidP="00953C0B">
      <w:pPr>
        <w:pStyle w:val="paragraph"/>
        <w:spacing w:before="0" w:beforeAutospacing="0" w:after="0" w:afterAutospacing="0"/>
        <w:textAlignment w:val="baseline"/>
        <w:rPr>
          <w:rStyle w:val="Emphasis"/>
          <w:rFonts w:ascii="Arial" w:hAnsi="Arial" w:cs="Arial"/>
          <w:color w:val="373A3C"/>
          <w:sz w:val="21"/>
          <w:szCs w:val="21"/>
          <w:lang w:val="en"/>
        </w:rPr>
      </w:pPr>
      <w:r>
        <w:rPr>
          <w:rStyle w:val="eop"/>
          <w:rFonts w:ascii="Calibri" w:hAnsi="Calibri" w:cs="Calibri"/>
          <w:sz w:val="22"/>
          <w:szCs w:val="22"/>
        </w:rPr>
        <w:t> </w:t>
      </w:r>
      <w:r w:rsidR="00B3372F">
        <w:rPr>
          <w:rStyle w:val="Emphasis"/>
          <w:rFonts w:ascii="Arial" w:hAnsi="Arial" w:cs="Arial"/>
          <w:color w:val="373A3C"/>
          <w:sz w:val="21"/>
          <w:szCs w:val="21"/>
          <w:lang w:val="en"/>
        </w:rPr>
        <w:t>How can coinage be used to reconstruct socio-political developments in Roman Britain during the 100 years prior to Claudius’ invasion in AD43? Based on coinage and complementary evidence, discuss the extent to which the terms ‘tribe’ and ‘state’ are appropriate when describing this period?</w:t>
      </w:r>
    </w:p>
    <w:p w14:paraId="78BD1859" w14:textId="77777777" w:rsidR="00FB4D64" w:rsidRDefault="00FB4D64" w:rsidP="00953C0B">
      <w:pPr>
        <w:pStyle w:val="paragraph"/>
        <w:spacing w:before="0" w:beforeAutospacing="0" w:after="0" w:afterAutospacing="0"/>
        <w:textAlignment w:val="baseline"/>
        <w:rPr>
          <w:rFonts w:ascii="Segoe UI" w:hAnsi="Segoe UI" w:cs="Segoe UI"/>
          <w:sz w:val="18"/>
          <w:szCs w:val="18"/>
        </w:rPr>
      </w:pPr>
    </w:p>
    <w:p w14:paraId="095C0011" w14:textId="7028A3A6" w:rsidR="00953C0B" w:rsidRDefault="00953C0B" w:rsidP="00953C0B">
      <w:pPr>
        <w:pStyle w:val="paragraph"/>
        <w:spacing w:before="0" w:beforeAutospacing="0" w:after="0" w:afterAutospacing="0"/>
        <w:textAlignment w:val="baseline"/>
        <w:rPr>
          <w:rStyle w:val="normaltextrun"/>
          <w:rFonts w:ascii="Calibri" w:hAnsi="Calibri" w:cs="Calibri"/>
          <w:sz w:val="22"/>
          <w:szCs w:val="22"/>
          <w:lang w:val="en-GB"/>
        </w:rPr>
      </w:pPr>
      <w:r>
        <w:rPr>
          <w:rStyle w:val="normaltextrun"/>
          <w:rFonts w:ascii="Calibri" w:hAnsi="Calibri" w:cs="Calibri"/>
          <w:sz w:val="22"/>
          <w:szCs w:val="22"/>
          <w:lang w:val="en-GB"/>
        </w:rPr>
        <w:t>When Caesar launched his invasions in 55 and 54 BC he described the Island of Britain as being inhabited by primitive peoples</w:t>
      </w:r>
      <w:r w:rsidR="00613F93">
        <w:rPr>
          <w:rStyle w:val="FootnoteReference"/>
          <w:rFonts w:ascii="Calibri" w:hAnsi="Calibri" w:cs="Calibri"/>
          <w:sz w:val="22"/>
          <w:szCs w:val="22"/>
          <w:lang w:val="en-GB"/>
        </w:rPr>
        <w:footnoteReference w:id="1"/>
      </w:r>
      <w:r>
        <w:rPr>
          <w:rStyle w:val="normaltextrun"/>
          <w:rFonts w:ascii="Calibri" w:hAnsi="Calibri" w:cs="Calibri"/>
          <w:sz w:val="22"/>
          <w:szCs w:val="22"/>
          <w:lang w:val="en-GB"/>
        </w:rPr>
        <w:t>, however the existence of Oppida and coins in Britain suggest that even before Caesar’s arriv</w:t>
      </w:r>
      <w:r w:rsidR="003C50A1">
        <w:rPr>
          <w:rStyle w:val="normaltextrun"/>
          <w:rFonts w:ascii="Calibri" w:hAnsi="Calibri" w:cs="Calibri"/>
          <w:sz w:val="22"/>
          <w:szCs w:val="22"/>
          <w:lang w:val="en-GB"/>
        </w:rPr>
        <w:t xml:space="preserve">al, </w:t>
      </w:r>
      <w:r>
        <w:rPr>
          <w:rStyle w:val="normaltextrun"/>
          <w:rFonts w:ascii="Calibri" w:hAnsi="Calibri" w:cs="Calibri"/>
          <w:sz w:val="22"/>
          <w:szCs w:val="22"/>
          <w:lang w:val="en-GB"/>
        </w:rPr>
        <w:t xml:space="preserve">at least in the </w:t>
      </w:r>
      <w:proofErr w:type="gramStart"/>
      <w:r>
        <w:rPr>
          <w:rStyle w:val="normaltextrun"/>
          <w:rFonts w:ascii="Calibri" w:hAnsi="Calibri" w:cs="Calibri"/>
          <w:sz w:val="22"/>
          <w:szCs w:val="22"/>
          <w:lang w:val="en-GB"/>
        </w:rPr>
        <w:t>south eastern</w:t>
      </w:r>
      <w:proofErr w:type="gramEnd"/>
      <w:r>
        <w:rPr>
          <w:rStyle w:val="normaltextrun"/>
          <w:rFonts w:ascii="Calibri" w:hAnsi="Calibri" w:cs="Calibri"/>
          <w:sz w:val="22"/>
          <w:szCs w:val="22"/>
          <w:lang w:val="en-GB"/>
        </w:rPr>
        <w:t xml:space="preserve"> parts of the islands complex societies already existed. </w:t>
      </w:r>
      <w:proofErr w:type="gramStart"/>
      <w:r>
        <w:rPr>
          <w:rStyle w:val="normaltextrun"/>
          <w:rFonts w:ascii="Calibri" w:hAnsi="Calibri" w:cs="Calibri"/>
          <w:sz w:val="22"/>
          <w:szCs w:val="22"/>
          <w:lang w:val="en-GB"/>
        </w:rPr>
        <w:t>However</w:t>
      </w:r>
      <w:proofErr w:type="gramEnd"/>
      <w:r>
        <w:rPr>
          <w:rStyle w:val="normaltextrun"/>
          <w:rFonts w:ascii="Calibri" w:hAnsi="Calibri" w:cs="Calibri"/>
          <w:sz w:val="22"/>
          <w:szCs w:val="22"/>
          <w:lang w:val="en-GB"/>
        </w:rPr>
        <w:t xml:space="preserve"> it is undeniable that around the time of Caesar’s invasions</w:t>
      </w:r>
      <w:r w:rsidR="003C50A1">
        <w:rPr>
          <w:rStyle w:val="normaltextrun"/>
          <w:rFonts w:ascii="Calibri" w:hAnsi="Calibri" w:cs="Calibri"/>
          <w:sz w:val="22"/>
          <w:szCs w:val="22"/>
          <w:lang w:val="en-GB"/>
        </w:rPr>
        <w:t>,</w:t>
      </w:r>
      <w:r>
        <w:rPr>
          <w:rStyle w:val="normaltextrun"/>
          <w:rFonts w:ascii="Calibri" w:hAnsi="Calibri" w:cs="Calibri"/>
          <w:sz w:val="22"/>
          <w:szCs w:val="22"/>
          <w:lang w:val="en-GB"/>
        </w:rPr>
        <w:t xml:space="preserve"> dramatic socio-political developments were taking place. One of the primary ways that we can examine these developments is by the study of coins, </w:t>
      </w:r>
      <w:r w:rsidR="004B2181">
        <w:rPr>
          <w:rStyle w:val="normaltextrun"/>
          <w:rFonts w:ascii="Calibri" w:hAnsi="Calibri" w:cs="Calibri"/>
          <w:sz w:val="22"/>
          <w:szCs w:val="22"/>
          <w:lang w:val="en-GB"/>
        </w:rPr>
        <w:t>hillforts,</w:t>
      </w:r>
      <w:r>
        <w:rPr>
          <w:rStyle w:val="normaltextrun"/>
          <w:rFonts w:ascii="Calibri" w:hAnsi="Calibri" w:cs="Calibri"/>
          <w:sz w:val="22"/>
          <w:szCs w:val="22"/>
          <w:lang w:val="en-GB"/>
        </w:rPr>
        <w:t xml:space="preserve"> and other archaeological evidence alongside the limited textual sources we have on this period.</w:t>
      </w:r>
      <w:r w:rsidR="005109F1">
        <w:rPr>
          <w:rStyle w:val="normaltextrun"/>
          <w:rFonts w:ascii="Calibri" w:hAnsi="Calibri" w:cs="Calibri"/>
          <w:sz w:val="22"/>
          <w:szCs w:val="22"/>
          <w:lang w:val="en-GB"/>
        </w:rPr>
        <w:t xml:space="preserve"> In this essay the term </w:t>
      </w:r>
      <w:r w:rsidR="003C50A1">
        <w:rPr>
          <w:rStyle w:val="normaltextrun"/>
          <w:rFonts w:ascii="Calibri" w:hAnsi="Calibri" w:cs="Calibri"/>
          <w:sz w:val="22"/>
          <w:szCs w:val="22"/>
          <w:lang w:val="en-GB"/>
        </w:rPr>
        <w:t>‘</w:t>
      </w:r>
      <w:r w:rsidR="005109F1">
        <w:rPr>
          <w:rStyle w:val="normaltextrun"/>
          <w:rFonts w:ascii="Calibri" w:hAnsi="Calibri" w:cs="Calibri"/>
          <w:sz w:val="22"/>
          <w:szCs w:val="22"/>
          <w:lang w:val="en-GB"/>
        </w:rPr>
        <w:t>tribe</w:t>
      </w:r>
      <w:r w:rsidR="003C50A1">
        <w:rPr>
          <w:rStyle w:val="normaltextrun"/>
          <w:rFonts w:ascii="Calibri" w:hAnsi="Calibri" w:cs="Calibri"/>
          <w:sz w:val="22"/>
          <w:szCs w:val="22"/>
          <w:lang w:val="en-GB"/>
        </w:rPr>
        <w:t>’</w:t>
      </w:r>
      <w:r w:rsidR="005109F1">
        <w:rPr>
          <w:rStyle w:val="normaltextrun"/>
          <w:rFonts w:ascii="Calibri" w:hAnsi="Calibri" w:cs="Calibri"/>
          <w:sz w:val="22"/>
          <w:szCs w:val="22"/>
          <w:lang w:val="en-GB"/>
        </w:rPr>
        <w:t xml:space="preserve"> is defined as “a notional form of human social</w:t>
      </w:r>
      <w:r w:rsidR="003C50A1">
        <w:rPr>
          <w:rStyle w:val="normaltextrun"/>
          <w:rFonts w:ascii="Calibri" w:hAnsi="Calibri" w:cs="Calibri"/>
          <w:sz w:val="22"/>
          <w:szCs w:val="22"/>
          <w:lang w:val="en-GB"/>
        </w:rPr>
        <w:t xml:space="preserve"> organisation</w:t>
      </w:r>
      <w:r w:rsidR="005109F1">
        <w:rPr>
          <w:rStyle w:val="normaltextrun"/>
          <w:rFonts w:ascii="Calibri" w:hAnsi="Calibri" w:cs="Calibri"/>
          <w:sz w:val="22"/>
          <w:szCs w:val="22"/>
          <w:lang w:val="en-GB"/>
        </w:rPr>
        <w:t xml:space="preserve"> based on a set of smaller groups, having temporary or permanent digital integration and defined by traditions of common descent, </w:t>
      </w:r>
      <w:r w:rsidR="0054526E">
        <w:rPr>
          <w:rStyle w:val="normaltextrun"/>
          <w:rFonts w:ascii="Calibri" w:hAnsi="Calibri" w:cs="Calibri"/>
          <w:sz w:val="22"/>
          <w:szCs w:val="22"/>
          <w:lang w:val="en-GB"/>
        </w:rPr>
        <w:t>language, culture and ideology”,</w:t>
      </w:r>
      <w:r w:rsidR="005109F1">
        <w:rPr>
          <w:rStyle w:val="FootnoteReference"/>
          <w:rFonts w:ascii="Calibri" w:hAnsi="Calibri" w:cs="Calibri"/>
          <w:sz w:val="22"/>
          <w:szCs w:val="22"/>
          <w:lang w:val="en-GB"/>
        </w:rPr>
        <w:footnoteReference w:id="2"/>
      </w:r>
      <w:r w:rsidR="0054526E">
        <w:rPr>
          <w:rStyle w:val="normaltextrun"/>
          <w:rFonts w:ascii="Calibri" w:hAnsi="Calibri" w:cs="Calibri"/>
          <w:sz w:val="22"/>
          <w:szCs w:val="22"/>
          <w:lang w:val="en-GB"/>
        </w:rPr>
        <w:t xml:space="preserve"> a state will be defined as “</w:t>
      </w:r>
      <w:r w:rsidR="0054526E" w:rsidRPr="0054526E">
        <w:rPr>
          <w:rStyle w:val="normaltextrun"/>
          <w:rFonts w:ascii="Calibri" w:hAnsi="Calibri" w:cs="Calibri"/>
          <w:sz w:val="22"/>
          <w:szCs w:val="22"/>
          <w:lang w:val="en-GB"/>
        </w:rPr>
        <w:t>a form of human association distinguished from other social groups by its purpose, the establishment of order and security; its methods, the laws and their enforcement; its territory, the area of jurisdiction or geographic boundaries; and finally by its sovereignty</w:t>
      </w:r>
      <w:r w:rsidR="0054526E">
        <w:rPr>
          <w:rStyle w:val="normaltextrun"/>
          <w:rFonts w:ascii="Calibri" w:hAnsi="Calibri" w:cs="Calibri"/>
          <w:sz w:val="22"/>
          <w:szCs w:val="22"/>
          <w:lang w:val="en-GB"/>
        </w:rPr>
        <w:t>”</w:t>
      </w:r>
      <w:r w:rsidR="0054526E">
        <w:rPr>
          <w:rStyle w:val="FootnoteReference"/>
          <w:rFonts w:ascii="Calibri" w:hAnsi="Calibri" w:cs="Calibri"/>
          <w:sz w:val="22"/>
          <w:szCs w:val="22"/>
          <w:lang w:val="en-GB"/>
        </w:rPr>
        <w:footnoteReference w:id="3"/>
      </w:r>
      <w:r w:rsidR="0054526E">
        <w:rPr>
          <w:rStyle w:val="normaltextrun"/>
          <w:rFonts w:ascii="Calibri" w:hAnsi="Calibri" w:cs="Calibri"/>
          <w:sz w:val="22"/>
          <w:szCs w:val="22"/>
          <w:lang w:val="en-GB"/>
        </w:rPr>
        <w:t xml:space="preserve"> </w:t>
      </w:r>
      <w:r w:rsidR="00EF48A5">
        <w:rPr>
          <w:rStyle w:val="normaltextrun"/>
          <w:rFonts w:ascii="Calibri" w:hAnsi="Calibri" w:cs="Calibri"/>
          <w:sz w:val="22"/>
          <w:szCs w:val="22"/>
          <w:lang w:val="en-GB"/>
        </w:rPr>
        <w:t>and a chiefdom will be defined as “</w:t>
      </w:r>
      <w:r w:rsidR="00EF48A5" w:rsidRPr="00EF48A5">
        <w:rPr>
          <w:rStyle w:val="normaltextrun"/>
          <w:rFonts w:ascii="Calibri" w:hAnsi="Calibri" w:cs="Calibri"/>
          <w:sz w:val="22"/>
          <w:szCs w:val="22"/>
          <w:lang w:val="en-GB"/>
        </w:rPr>
        <w:t xml:space="preserve">Chiefdom, in anthropology, a notional form of </w:t>
      </w:r>
      <w:proofErr w:type="spellStart"/>
      <w:r w:rsidR="00EF48A5" w:rsidRPr="00EF48A5">
        <w:rPr>
          <w:rStyle w:val="normaltextrun"/>
          <w:rFonts w:ascii="Calibri" w:hAnsi="Calibri" w:cs="Calibri"/>
          <w:sz w:val="22"/>
          <w:szCs w:val="22"/>
          <w:lang w:val="en-GB"/>
        </w:rPr>
        <w:t>sociopolitical</w:t>
      </w:r>
      <w:proofErr w:type="spellEnd"/>
      <w:r w:rsidR="00EF48A5" w:rsidRPr="00EF48A5">
        <w:rPr>
          <w:rStyle w:val="normaltextrun"/>
          <w:rFonts w:ascii="Calibri" w:hAnsi="Calibri" w:cs="Calibri"/>
          <w:sz w:val="22"/>
          <w:szCs w:val="22"/>
          <w:lang w:val="en-GB"/>
        </w:rPr>
        <w:t xml:space="preserve"> organization in which political and economic power is exercised by a single person (or group of persons) over many communities.</w:t>
      </w:r>
      <w:r w:rsidR="00EF48A5">
        <w:rPr>
          <w:rStyle w:val="normaltextrun"/>
          <w:rFonts w:ascii="Calibri" w:hAnsi="Calibri" w:cs="Calibri"/>
          <w:sz w:val="22"/>
          <w:szCs w:val="22"/>
          <w:lang w:val="en-GB"/>
        </w:rPr>
        <w:t>”</w:t>
      </w:r>
      <w:r w:rsidR="00EF48A5">
        <w:rPr>
          <w:rStyle w:val="FootnoteReference"/>
          <w:rFonts w:ascii="Calibri" w:hAnsi="Calibri" w:cs="Calibri"/>
          <w:sz w:val="22"/>
          <w:szCs w:val="22"/>
          <w:lang w:val="en-GB"/>
        </w:rPr>
        <w:footnoteReference w:id="4"/>
      </w:r>
    </w:p>
    <w:p w14:paraId="297B4C8A" w14:textId="77777777" w:rsidR="00953C0B" w:rsidRDefault="00953C0B" w:rsidP="00953C0B">
      <w:pPr>
        <w:pStyle w:val="paragraph"/>
        <w:spacing w:before="0" w:beforeAutospacing="0" w:after="0" w:afterAutospacing="0"/>
        <w:textAlignment w:val="baseline"/>
        <w:rPr>
          <w:rStyle w:val="normaltextrun"/>
          <w:rFonts w:ascii="Calibri" w:hAnsi="Calibri" w:cs="Calibri"/>
          <w:sz w:val="22"/>
          <w:szCs w:val="22"/>
          <w:lang w:val="en-GB"/>
        </w:rPr>
      </w:pPr>
    </w:p>
    <w:p w14:paraId="7A342518" w14:textId="219BD173" w:rsidR="00953C0B" w:rsidRDefault="00953C0B" w:rsidP="00953C0B">
      <w:pPr>
        <w:pStyle w:val="paragraph"/>
        <w:spacing w:before="0" w:beforeAutospacing="0" w:after="0" w:afterAutospacing="0"/>
        <w:textAlignment w:val="baseline"/>
        <w:rPr>
          <w:rStyle w:val="normaltextrun"/>
          <w:rFonts w:ascii="Calibri" w:hAnsi="Calibri" w:cs="Calibri"/>
          <w:sz w:val="22"/>
          <w:szCs w:val="22"/>
          <w:lang w:val="en-GB"/>
        </w:rPr>
      </w:pPr>
      <w:r>
        <w:rPr>
          <w:rStyle w:val="normaltextrun"/>
          <w:rFonts w:ascii="Calibri" w:hAnsi="Calibri" w:cs="Calibri"/>
          <w:sz w:val="22"/>
          <w:szCs w:val="22"/>
          <w:lang w:val="en-GB"/>
        </w:rPr>
        <w:t>Prior to Roman invasion</w:t>
      </w:r>
      <w:r w:rsidR="003C50A1">
        <w:rPr>
          <w:rStyle w:val="normaltextrun"/>
          <w:rFonts w:ascii="Calibri" w:hAnsi="Calibri" w:cs="Calibri"/>
          <w:sz w:val="22"/>
          <w:szCs w:val="22"/>
          <w:lang w:val="en-GB"/>
        </w:rPr>
        <w:t>,</w:t>
      </w:r>
      <w:r>
        <w:rPr>
          <w:rStyle w:val="normaltextrun"/>
          <w:rFonts w:ascii="Calibri" w:hAnsi="Calibri" w:cs="Calibri"/>
          <w:sz w:val="22"/>
          <w:szCs w:val="22"/>
          <w:lang w:val="en-GB"/>
        </w:rPr>
        <w:t xml:space="preserve"> the island of Britain w</w:t>
      </w:r>
      <w:r w:rsidR="003C50A1">
        <w:rPr>
          <w:rStyle w:val="normaltextrun"/>
          <w:rFonts w:ascii="Calibri" w:hAnsi="Calibri" w:cs="Calibri"/>
          <w:sz w:val="22"/>
          <w:szCs w:val="22"/>
          <w:lang w:val="en-GB"/>
        </w:rPr>
        <w:t>as</w:t>
      </w:r>
      <w:r>
        <w:rPr>
          <w:rStyle w:val="normaltextrun"/>
          <w:rFonts w:ascii="Calibri" w:hAnsi="Calibri" w:cs="Calibri"/>
          <w:sz w:val="22"/>
          <w:szCs w:val="22"/>
          <w:lang w:val="en-GB"/>
        </w:rPr>
        <w:t xml:space="preserve"> not a unified land. Britain was in fact home to a vast number of peoples such as the Iceni, the</w:t>
      </w:r>
      <w:r w:rsidR="004B2181">
        <w:rPr>
          <w:rStyle w:val="normaltextrun"/>
          <w:rFonts w:ascii="Calibri" w:hAnsi="Calibri" w:cs="Calibri"/>
          <w:sz w:val="22"/>
          <w:szCs w:val="22"/>
          <w:lang w:val="en-GB"/>
        </w:rPr>
        <w:t xml:space="preserve"> </w:t>
      </w:r>
      <w:proofErr w:type="spellStart"/>
      <w:r w:rsidR="004B2181">
        <w:rPr>
          <w:rStyle w:val="normaltextrun"/>
          <w:rFonts w:ascii="Calibri" w:hAnsi="Calibri" w:cs="Calibri"/>
          <w:sz w:val="22"/>
          <w:szCs w:val="22"/>
          <w:lang w:val="en-GB"/>
        </w:rPr>
        <w:t>Brigantes</w:t>
      </w:r>
      <w:proofErr w:type="spellEnd"/>
      <w:r w:rsidR="004B2181">
        <w:rPr>
          <w:rStyle w:val="normaltextrun"/>
          <w:rFonts w:ascii="Calibri" w:hAnsi="Calibri" w:cs="Calibri"/>
          <w:sz w:val="22"/>
          <w:szCs w:val="22"/>
          <w:lang w:val="en-GB"/>
        </w:rPr>
        <w:t xml:space="preserve"> and the </w:t>
      </w:r>
      <w:proofErr w:type="spellStart"/>
      <w:r w:rsidR="004B2181">
        <w:rPr>
          <w:rStyle w:val="normaltextrun"/>
          <w:rFonts w:ascii="Calibri" w:hAnsi="Calibri" w:cs="Calibri"/>
          <w:sz w:val="22"/>
          <w:szCs w:val="22"/>
          <w:lang w:val="en-GB"/>
        </w:rPr>
        <w:t>Parisi</w:t>
      </w:r>
      <w:proofErr w:type="spellEnd"/>
      <w:r w:rsidR="000E18F0">
        <w:rPr>
          <w:rStyle w:val="FootnoteReference"/>
          <w:rFonts w:ascii="Calibri" w:hAnsi="Calibri" w:cs="Calibri"/>
          <w:sz w:val="22"/>
          <w:szCs w:val="22"/>
          <w:lang w:val="en-GB"/>
        </w:rPr>
        <w:footnoteReference w:id="5"/>
      </w:r>
      <w:r w:rsidR="004B2181">
        <w:rPr>
          <w:rStyle w:val="normaltextrun"/>
          <w:rFonts w:ascii="Calibri" w:hAnsi="Calibri" w:cs="Calibri"/>
          <w:sz w:val="22"/>
          <w:szCs w:val="22"/>
          <w:lang w:val="en-GB"/>
        </w:rPr>
        <w:t xml:space="preserve">. </w:t>
      </w:r>
      <w:r w:rsidR="00D27BDF">
        <w:rPr>
          <w:rStyle w:val="normaltextrun"/>
          <w:rFonts w:ascii="Calibri" w:hAnsi="Calibri" w:cs="Calibri"/>
          <w:sz w:val="22"/>
          <w:szCs w:val="22"/>
          <w:lang w:val="en-GB"/>
        </w:rPr>
        <w:t>The peoples of Britain can be divided and looked at in two separate groups</w:t>
      </w:r>
      <w:r w:rsidR="003C50A1">
        <w:rPr>
          <w:rStyle w:val="normaltextrun"/>
          <w:rFonts w:ascii="Calibri" w:hAnsi="Calibri" w:cs="Calibri"/>
          <w:sz w:val="22"/>
          <w:szCs w:val="22"/>
          <w:lang w:val="en-GB"/>
        </w:rPr>
        <w:t>,</w:t>
      </w:r>
      <w:r w:rsidR="00D27BDF">
        <w:rPr>
          <w:rStyle w:val="normaltextrun"/>
          <w:rFonts w:ascii="Calibri" w:hAnsi="Calibri" w:cs="Calibri"/>
          <w:sz w:val="22"/>
          <w:szCs w:val="22"/>
          <w:lang w:val="en-GB"/>
        </w:rPr>
        <w:t xml:space="preserve"> defined by geographical characteristics</w:t>
      </w:r>
      <w:r w:rsidR="00D27BDF">
        <w:rPr>
          <w:rStyle w:val="FootnoteReference"/>
          <w:rFonts w:ascii="Calibri" w:hAnsi="Calibri" w:cs="Calibri"/>
          <w:sz w:val="22"/>
          <w:szCs w:val="22"/>
          <w:lang w:val="en-GB"/>
        </w:rPr>
        <w:footnoteReference w:id="6"/>
      </w:r>
      <w:r w:rsidR="00D27BDF">
        <w:rPr>
          <w:rStyle w:val="normaltextrun"/>
          <w:rFonts w:ascii="Calibri" w:hAnsi="Calibri" w:cs="Calibri"/>
          <w:sz w:val="22"/>
          <w:szCs w:val="22"/>
          <w:lang w:val="en-GB"/>
        </w:rPr>
        <w:t xml:space="preserve">. </w:t>
      </w:r>
      <w:proofErr w:type="gramStart"/>
      <w:r w:rsidR="00D27BDF">
        <w:rPr>
          <w:rStyle w:val="normaltextrun"/>
          <w:rFonts w:ascii="Calibri" w:hAnsi="Calibri" w:cs="Calibri"/>
          <w:sz w:val="22"/>
          <w:szCs w:val="22"/>
          <w:lang w:val="en-GB"/>
        </w:rPr>
        <w:t>F</w:t>
      </w:r>
      <w:r w:rsidR="004B2181">
        <w:rPr>
          <w:rStyle w:val="normaltextrun"/>
          <w:rFonts w:ascii="Calibri" w:hAnsi="Calibri" w:cs="Calibri"/>
          <w:sz w:val="22"/>
          <w:szCs w:val="22"/>
          <w:lang w:val="en-GB"/>
        </w:rPr>
        <w:t>irstly</w:t>
      </w:r>
      <w:proofErr w:type="gramEnd"/>
      <w:r w:rsidR="004B2181">
        <w:rPr>
          <w:rStyle w:val="normaltextrun"/>
          <w:rFonts w:ascii="Calibri" w:hAnsi="Calibri" w:cs="Calibri"/>
          <w:sz w:val="22"/>
          <w:szCs w:val="22"/>
          <w:lang w:val="en-GB"/>
        </w:rPr>
        <w:t xml:space="preserve"> we will look at the peoples in south-eastern England. These peoples lived in the lowlands of Britain and appear to have more centralised societies.</w:t>
      </w:r>
      <w:r w:rsidR="00B21B27">
        <w:rPr>
          <w:rStyle w:val="normaltextrun"/>
          <w:rFonts w:ascii="Calibri" w:hAnsi="Calibri" w:cs="Calibri"/>
          <w:sz w:val="22"/>
          <w:szCs w:val="22"/>
          <w:lang w:val="en-GB"/>
        </w:rPr>
        <w:t xml:space="preserve"> The area t</w:t>
      </w:r>
      <w:r w:rsidR="00821AC1">
        <w:rPr>
          <w:rStyle w:val="normaltextrun"/>
          <w:rFonts w:ascii="Calibri" w:hAnsi="Calibri" w:cs="Calibri"/>
          <w:sz w:val="22"/>
          <w:szCs w:val="22"/>
          <w:lang w:val="en-GB"/>
        </w:rPr>
        <w:t xml:space="preserve">hat is called lowland Britain stretches from the territory of the </w:t>
      </w:r>
      <w:proofErr w:type="spellStart"/>
      <w:r w:rsidR="00821AC1">
        <w:rPr>
          <w:rStyle w:val="normaltextrun"/>
          <w:rFonts w:ascii="Calibri" w:hAnsi="Calibri" w:cs="Calibri"/>
          <w:sz w:val="22"/>
          <w:szCs w:val="22"/>
          <w:lang w:val="en-GB"/>
        </w:rPr>
        <w:t>Cantiaci</w:t>
      </w:r>
      <w:proofErr w:type="spellEnd"/>
      <w:r w:rsidR="00821AC1">
        <w:rPr>
          <w:rStyle w:val="normaltextrun"/>
          <w:rFonts w:ascii="Calibri" w:hAnsi="Calibri" w:cs="Calibri"/>
          <w:sz w:val="22"/>
          <w:szCs w:val="22"/>
          <w:lang w:val="en-GB"/>
        </w:rPr>
        <w:t xml:space="preserve"> in modern day Kent to the territory of the </w:t>
      </w:r>
      <w:proofErr w:type="spellStart"/>
      <w:r w:rsidR="003C50A1">
        <w:rPr>
          <w:rStyle w:val="normaltextrun"/>
          <w:rFonts w:ascii="Calibri" w:hAnsi="Calibri" w:cs="Calibri"/>
          <w:sz w:val="22"/>
          <w:szCs w:val="22"/>
          <w:lang w:val="en-GB"/>
        </w:rPr>
        <w:t>Corieltauvi</w:t>
      </w:r>
      <w:proofErr w:type="spellEnd"/>
      <w:r w:rsidR="003C50A1">
        <w:rPr>
          <w:rStyle w:val="normaltextrun"/>
          <w:rFonts w:ascii="Calibri" w:hAnsi="Calibri" w:cs="Calibri"/>
          <w:sz w:val="22"/>
          <w:szCs w:val="22"/>
          <w:lang w:val="en-GB"/>
        </w:rPr>
        <w:t xml:space="preserve"> </w:t>
      </w:r>
      <w:r w:rsidR="00821AC1">
        <w:rPr>
          <w:rStyle w:val="normaltextrun"/>
          <w:rFonts w:ascii="Calibri" w:hAnsi="Calibri" w:cs="Calibri"/>
          <w:sz w:val="22"/>
          <w:szCs w:val="22"/>
          <w:lang w:val="en-GB"/>
        </w:rPr>
        <w:t>in modern day Lincolnshire</w:t>
      </w:r>
      <w:r w:rsidR="003C50A1">
        <w:rPr>
          <w:rStyle w:val="normaltextrun"/>
          <w:rFonts w:ascii="Calibri" w:hAnsi="Calibri" w:cs="Calibri"/>
          <w:sz w:val="22"/>
          <w:szCs w:val="22"/>
          <w:lang w:val="en-GB"/>
        </w:rPr>
        <w:t>;</w:t>
      </w:r>
      <w:r w:rsidR="00821AC1">
        <w:rPr>
          <w:rStyle w:val="normaltextrun"/>
          <w:rFonts w:ascii="Calibri" w:hAnsi="Calibri" w:cs="Calibri"/>
          <w:sz w:val="22"/>
          <w:szCs w:val="22"/>
          <w:lang w:val="en-GB"/>
        </w:rPr>
        <w:t xml:space="preserve"> it also stretches west to the territory of the </w:t>
      </w:r>
      <w:proofErr w:type="spellStart"/>
      <w:r w:rsidR="00821AC1">
        <w:rPr>
          <w:rStyle w:val="normaltextrun"/>
          <w:rFonts w:ascii="Calibri" w:hAnsi="Calibri" w:cs="Calibri"/>
          <w:sz w:val="22"/>
          <w:szCs w:val="22"/>
          <w:lang w:val="en-GB"/>
        </w:rPr>
        <w:t>Durotriges</w:t>
      </w:r>
      <w:proofErr w:type="spellEnd"/>
      <w:r w:rsidR="00821AC1">
        <w:rPr>
          <w:rStyle w:val="normaltextrun"/>
          <w:rFonts w:ascii="Calibri" w:hAnsi="Calibri" w:cs="Calibri"/>
          <w:sz w:val="22"/>
          <w:szCs w:val="22"/>
          <w:lang w:val="en-GB"/>
        </w:rPr>
        <w:t xml:space="preserve"> and the </w:t>
      </w:r>
      <w:proofErr w:type="spellStart"/>
      <w:r w:rsidR="00E66D14">
        <w:rPr>
          <w:rStyle w:val="normaltextrun"/>
          <w:rFonts w:ascii="Calibri" w:hAnsi="Calibri" w:cs="Calibri"/>
          <w:sz w:val="22"/>
          <w:szCs w:val="22"/>
          <w:lang w:val="en-GB"/>
        </w:rPr>
        <w:t>Doubunni</w:t>
      </w:r>
      <w:proofErr w:type="spellEnd"/>
      <w:r w:rsidR="00E66D14">
        <w:rPr>
          <w:rStyle w:val="normaltextrun"/>
          <w:rFonts w:ascii="Calibri" w:hAnsi="Calibri" w:cs="Calibri"/>
          <w:sz w:val="22"/>
          <w:szCs w:val="22"/>
          <w:lang w:val="en-GB"/>
        </w:rPr>
        <w:t xml:space="preserve"> in modern day Somerset, Dorset and into Gloucestershire. </w:t>
      </w:r>
      <w:r w:rsidR="003C50A1">
        <w:rPr>
          <w:rStyle w:val="normaltextrun"/>
          <w:rFonts w:ascii="Calibri" w:hAnsi="Calibri" w:cs="Calibri"/>
          <w:sz w:val="22"/>
          <w:szCs w:val="22"/>
          <w:lang w:val="en-GB"/>
        </w:rPr>
        <w:t>However,</w:t>
      </w:r>
      <w:r w:rsidR="004B2181">
        <w:rPr>
          <w:rStyle w:val="normaltextrun"/>
          <w:rFonts w:ascii="Calibri" w:hAnsi="Calibri" w:cs="Calibri"/>
          <w:sz w:val="22"/>
          <w:szCs w:val="22"/>
          <w:lang w:val="en-GB"/>
        </w:rPr>
        <w:t xml:space="preserve"> the coin producing peoples of south-eastern Britain were not the only inhabitants</w:t>
      </w:r>
      <w:r w:rsidR="003C50A1">
        <w:rPr>
          <w:rStyle w:val="normaltextrun"/>
          <w:rFonts w:ascii="Calibri" w:hAnsi="Calibri" w:cs="Calibri"/>
          <w:sz w:val="22"/>
          <w:szCs w:val="22"/>
          <w:lang w:val="en-GB"/>
        </w:rPr>
        <w:t>,</w:t>
      </w:r>
      <w:r w:rsidR="004B2181">
        <w:rPr>
          <w:rStyle w:val="normaltextrun"/>
          <w:rFonts w:ascii="Calibri" w:hAnsi="Calibri" w:cs="Calibri"/>
          <w:sz w:val="22"/>
          <w:szCs w:val="22"/>
          <w:lang w:val="en-GB"/>
        </w:rPr>
        <w:t xml:space="preserve"> and this essay shall also look at the peoples who lived in the highland areas of Britain such as Wales, Cornwall and northern England.</w:t>
      </w:r>
    </w:p>
    <w:p w14:paraId="3D7FF731" w14:textId="77777777" w:rsidR="00E66D14" w:rsidRPr="00E66D14" w:rsidRDefault="00E66D14" w:rsidP="00953C0B">
      <w:pPr>
        <w:pStyle w:val="paragraph"/>
        <w:spacing w:before="0" w:beforeAutospacing="0" w:after="0" w:afterAutospacing="0"/>
        <w:textAlignment w:val="baseline"/>
        <w:rPr>
          <w:rFonts w:ascii="Segoe UI" w:hAnsi="Segoe UI" w:cs="Segoe UI"/>
          <w:sz w:val="22"/>
          <w:szCs w:val="22"/>
        </w:rPr>
      </w:pPr>
    </w:p>
    <w:p w14:paraId="713AD4CF" w14:textId="3F2A9E7B" w:rsidR="00E66D14" w:rsidRPr="00E66D14" w:rsidRDefault="00E66D14" w:rsidP="00953C0B">
      <w:pPr>
        <w:pStyle w:val="paragraph"/>
        <w:spacing w:before="0" w:beforeAutospacing="0" w:after="0" w:afterAutospacing="0"/>
        <w:textAlignment w:val="baseline"/>
        <w:rPr>
          <w:rFonts w:asciiTheme="minorHAnsi" w:hAnsiTheme="minorHAnsi" w:cstheme="minorHAnsi"/>
          <w:sz w:val="22"/>
          <w:szCs w:val="22"/>
        </w:rPr>
      </w:pPr>
      <w:r w:rsidRPr="00E66D14">
        <w:rPr>
          <w:rFonts w:asciiTheme="minorHAnsi" w:hAnsiTheme="minorHAnsi" w:cstheme="minorHAnsi"/>
          <w:sz w:val="22"/>
          <w:szCs w:val="22"/>
        </w:rPr>
        <w:t>The geographical location of a peoples will affect its sociopolitical developments in a variety of ways. One way</w:t>
      </w:r>
      <w:r w:rsidR="003C50A1">
        <w:rPr>
          <w:rFonts w:asciiTheme="minorHAnsi" w:hAnsiTheme="minorHAnsi" w:cstheme="minorHAnsi"/>
          <w:sz w:val="22"/>
          <w:szCs w:val="22"/>
        </w:rPr>
        <w:t xml:space="preserve"> in</w:t>
      </w:r>
      <w:r w:rsidRPr="00E66D14">
        <w:rPr>
          <w:rFonts w:asciiTheme="minorHAnsi" w:hAnsiTheme="minorHAnsi" w:cstheme="minorHAnsi"/>
          <w:sz w:val="22"/>
          <w:szCs w:val="22"/>
        </w:rPr>
        <w:t xml:space="preserve"> which geographical location </w:t>
      </w:r>
      <w:r w:rsidR="003C50A1">
        <w:rPr>
          <w:rFonts w:asciiTheme="minorHAnsi" w:hAnsiTheme="minorHAnsi" w:cstheme="minorHAnsi"/>
          <w:sz w:val="22"/>
          <w:szCs w:val="22"/>
        </w:rPr>
        <w:t xml:space="preserve">can </w:t>
      </w:r>
      <w:r w:rsidR="003C50A1" w:rsidRPr="00E66D14">
        <w:rPr>
          <w:rFonts w:asciiTheme="minorHAnsi" w:hAnsiTheme="minorHAnsi" w:cstheme="minorHAnsi"/>
          <w:sz w:val="22"/>
          <w:szCs w:val="22"/>
        </w:rPr>
        <w:t>affect</w:t>
      </w:r>
      <w:r w:rsidRPr="00E66D14">
        <w:rPr>
          <w:rFonts w:asciiTheme="minorHAnsi" w:hAnsiTheme="minorHAnsi" w:cstheme="minorHAnsi"/>
          <w:sz w:val="22"/>
          <w:szCs w:val="22"/>
        </w:rPr>
        <w:t xml:space="preserve"> sociopolitical development is that the peoples in lowland Britain are closer to mainland Europe</w:t>
      </w:r>
      <w:r w:rsidR="003C50A1">
        <w:rPr>
          <w:rFonts w:asciiTheme="minorHAnsi" w:hAnsiTheme="minorHAnsi" w:cstheme="minorHAnsi"/>
          <w:sz w:val="22"/>
          <w:szCs w:val="22"/>
        </w:rPr>
        <w:t>. A</w:t>
      </w:r>
      <w:r>
        <w:rPr>
          <w:rFonts w:asciiTheme="minorHAnsi" w:hAnsiTheme="minorHAnsi" w:cstheme="minorHAnsi"/>
          <w:sz w:val="22"/>
          <w:szCs w:val="22"/>
        </w:rPr>
        <w:t>s a result</w:t>
      </w:r>
      <w:r w:rsidR="0023488D">
        <w:rPr>
          <w:rFonts w:asciiTheme="minorHAnsi" w:hAnsiTheme="minorHAnsi" w:cstheme="minorHAnsi"/>
          <w:sz w:val="22"/>
          <w:szCs w:val="22"/>
        </w:rPr>
        <w:t>,</w:t>
      </w:r>
      <w:r>
        <w:rPr>
          <w:rFonts w:asciiTheme="minorHAnsi" w:hAnsiTheme="minorHAnsi" w:cstheme="minorHAnsi"/>
          <w:sz w:val="22"/>
          <w:szCs w:val="22"/>
        </w:rPr>
        <w:t xml:space="preserve"> these peoples engaged in trade more freq</w:t>
      </w:r>
      <w:r w:rsidR="0023488D">
        <w:rPr>
          <w:rFonts w:asciiTheme="minorHAnsi" w:hAnsiTheme="minorHAnsi" w:cstheme="minorHAnsi"/>
          <w:sz w:val="22"/>
          <w:szCs w:val="22"/>
        </w:rPr>
        <w:t>uently;</w:t>
      </w:r>
      <w:r>
        <w:rPr>
          <w:rFonts w:asciiTheme="minorHAnsi" w:hAnsiTheme="minorHAnsi" w:cstheme="minorHAnsi"/>
          <w:sz w:val="22"/>
          <w:szCs w:val="22"/>
        </w:rPr>
        <w:t xml:space="preserve"> this is shown by </w:t>
      </w:r>
      <w:proofErr w:type="gramStart"/>
      <w:r>
        <w:rPr>
          <w:rFonts w:asciiTheme="minorHAnsi" w:hAnsiTheme="minorHAnsi" w:cstheme="minorHAnsi"/>
          <w:sz w:val="22"/>
          <w:szCs w:val="22"/>
        </w:rPr>
        <w:t>a number of</w:t>
      </w:r>
      <w:proofErr w:type="gramEnd"/>
      <w:r>
        <w:rPr>
          <w:rFonts w:asciiTheme="minorHAnsi" w:hAnsiTheme="minorHAnsi" w:cstheme="minorHAnsi"/>
          <w:sz w:val="22"/>
          <w:szCs w:val="22"/>
        </w:rPr>
        <w:t xml:space="preserve"> Gallo-Belgic coins that have been found in south-eastern Britain</w:t>
      </w:r>
      <w:r>
        <w:rPr>
          <w:rStyle w:val="FootnoteReference"/>
          <w:rFonts w:asciiTheme="minorHAnsi" w:hAnsiTheme="minorHAnsi" w:cstheme="minorHAnsi"/>
          <w:sz w:val="22"/>
          <w:szCs w:val="22"/>
        </w:rPr>
        <w:footnoteReference w:id="7"/>
      </w:r>
      <w:r>
        <w:rPr>
          <w:rFonts w:asciiTheme="minorHAnsi" w:hAnsiTheme="minorHAnsi" w:cstheme="minorHAnsi"/>
          <w:sz w:val="22"/>
          <w:szCs w:val="22"/>
        </w:rPr>
        <w:t xml:space="preserve">. Increased trade with mainland Europe would mean that the people in south-eastern Britain have more need </w:t>
      </w:r>
      <w:r w:rsidR="0023488D">
        <w:rPr>
          <w:rFonts w:asciiTheme="minorHAnsi" w:hAnsiTheme="minorHAnsi" w:cstheme="minorHAnsi"/>
          <w:sz w:val="22"/>
          <w:szCs w:val="22"/>
        </w:rPr>
        <w:t xml:space="preserve">of </w:t>
      </w:r>
      <w:r>
        <w:rPr>
          <w:rFonts w:asciiTheme="minorHAnsi" w:hAnsiTheme="minorHAnsi" w:cstheme="minorHAnsi"/>
          <w:sz w:val="22"/>
          <w:szCs w:val="22"/>
        </w:rPr>
        <w:t>coinage than those in the highland zones as they are actively trading with peoples who also use coinage.</w:t>
      </w:r>
      <w:r w:rsidR="00D27BDF">
        <w:rPr>
          <w:rFonts w:asciiTheme="minorHAnsi" w:hAnsiTheme="minorHAnsi" w:cstheme="minorHAnsi"/>
          <w:sz w:val="22"/>
          <w:szCs w:val="22"/>
        </w:rPr>
        <w:t xml:space="preserve"> </w:t>
      </w:r>
    </w:p>
    <w:p w14:paraId="79030A5F" w14:textId="77777777" w:rsidR="00973386" w:rsidRDefault="00973386"/>
    <w:p w14:paraId="04B1E46A" w14:textId="408BF1B8" w:rsidR="00B21B27" w:rsidRDefault="001E1DCB">
      <w:proofErr w:type="gramStart"/>
      <w:r>
        <w:t>Firstly</w:t>
      </w:r>
      <w:proofErr w:type="gramEnd"/>
      <w:r>
        <w:t xml:space="preserve"> this essay shall examine what can be learnt from coinage about the </w:t>
      </w:r>
      <w:proofErr w:type="spellStart"/>
      <w:r>
        <w:t>sociopolitical</w:t>
      </w:r>
      <w:proofErr w:type="spellEnd"/>
      <w:r>
        <w:t xml:space="preserve"> situation at the start of the period discussed. There are many different styles of coin dating to the </w:t>
      </w:r>
      <w:r w:rsidR="00EB04B2">
        <w:t>same period and found in the territory of the same peoples</w:t>
      </w:r>
      <w:r w:rsidR="00EB04B2">
        <w:rPr>
          <w:rStyle w:val="FootnoteReference"/>
        </w:rPr>
        <w:footnoteReference w:id="8"/>
      </w:r>
      <w:r w:rsidR="00EB04B2">
        <w:t xml:space="preserve">, this suggests that coin production was done </w:t>
      </w:r>
      <w:r w:rsidR="00EB04B2">
        <w:lastRenderedPageBreak/>
        <w:t>regionally and there was no centralised minting happening.</w:t>
      </w:r>
      <w:r w:rsidR="00BF4C77">
        <w:t xml:space="preserve"> The localisation of coin </w:t>
      </w:r>
      <w:r>
        <w:t>production</w:t>
      </w:r>
      <w:r w:rsidR="00BF4C77">
        <w:t xml:space="preserve"> supports the account which Caesar gives of four Kentish </w:t>
      </w:r>
      <w:r>
        <w:t>“</w:t>
      </w:r>
      <w:r w:rsidR="00BF4C77">
        <w:t>kings</w:t>
      </w:r>
      <w:r>
        <w:t>”</w:t>
      </w:r>
      <w:r w:rsidR="00BF4C77">
        <w:rPr>
          <w:rStyle w:val="FootnoteReference"/>
        </w:rPr>
        <w:footnoteReference w:id="9"/>
      </w:r>
      <w:r w:rsidR="00BF4C77">
        <w:t xml:space="preserve"> as this suggests that </w:t>
      </w:r>
      <w:proofErr w:type="gramStart"/>
      <w:r w:rsidR="00BF4C77">
        <w:t xml:space="preserve">a lot of power was held </w:t>
      </w:r>
      <w:r w:rsidR="0023488D">
        <w:t>by local elite and the people</w:t>
      </w:r>
      <w:r w:rsidR="00BF4C77">
        <w:t>s</w:t>
      </w:r>
      <w:proofErr w:type="gramEnd"/>
      <w:r w:rsidR="00BF4C77">
        <w:t xml:space="preserve"> did not have one ruler</w:t>
      </w:r>
      <w:r w:rsidR="0023488D">
        <w:t>,</w:t>
      </w:r>
      <w:r w:rsidR="00BF4C77">
        <w:t xml:space="preserve"> even within their individual cultural groups.</w:t>
      </w:r>
      <w:r>
        <w:t xml:space="preserve"> </w:t>
      </w:r>
      <w:proofErr w:type="gramStart"/>
      <w:r>
        <w:t>However</w:t>
      </w:r>
      <w:proofErr w:type="gramEnd"/>
      <w:r>
        <w:t xml:space="preserve"> although the local elite appear to have held great power</w:t>
      </w:r>
      <w:r w:rsidR="0023488D">
        <w:t>,</w:t>
      </w:r>
      <w:r>
        <w:t xml:space="preserve"> there is little evidence to support them being independent kings </w:t>
      </w:r>
      <w:r w:rsidR="0023488D">
        <w:t>as Caesar states. E</w:t>
      </w:r>
      <w:r w:rsidR="00CA72CB">
        <w:t>ven though coin production appears to have been done locally</w:t>
      </w:r>
      <w:r w:rsidR="0023488D">
        <w:t>,</w:t>
      </w:r>
      <w:r w:rsidR="00CA72CB">
        <w:t xml:space="preserve"> there are many coin hoards that have been found containing a variety of different styles of coins from the local area</w:t>
      </w:r>
      <w:r w:rsidR="0023488D">
        <w:t>,</w:t>
      </w:r>
      <w:r w:rsidR="00CA72CB">
        <w:t xml:space="preserve"> such as the hoard of 25 gold coins in the Sevenoaks district of Kent which contains eight different varieties of coin</w:t>
      </w:r>
      <w:r w:rsidR="002B7CF5">
        <w:rPr>
          <w:rStyle w:val="FootnoteReference"/>
        </w:rPr>
        <w:footnoteReference w:id="10"/>
      </w:r>
      <w:r w:rsidR="00CA72CB">
        <w:t xml:space="preserve">. The variety of coins found in this hoard suggests that although there are many different coin types in the territory of the </w:t>
      </w:r>
      <w:proofErr w:type="spellStart"/>
      <w:r w:rsidR="00CA72CB">
        <w:t>Cantiaci</w:t>
      </w:r>
      <w:proofErr w:type="spellEnd"/>
      <w:r w:rsidR="00CA72CB">
        <w:t xml:space="preserve"> who inhabited Kent</w:t>
      </w:r>
      <w:r w:rsidR="0023488D">
        <w:t>,</w:t>
      </w:r>
      <w:r w:rsidR="00CA72CB">
        <w:rPr>
          <w:rStyle w:val="FootnoteReference"/>
        </w:rPr>
        <w:footnoteReference w:id="11"/>
      </w:r>
      <w:r w:rsidR="00CA72CB">
        <w:t xml:space="preserve"> these coins were recognised by all the </w:t>
      </w:r>
      <w:proofErr w:type="spellStart"/>
      <w:r w:rsidR="00CA72CB">
        <w:t>Cantiaci</w:t>
      </w:r>
      <w:proofErr w:type="spellEnd"/>
      <w:r w:rsidR="00CA72CB">
        <w:t xml:space="preserve">. The fact that the </w:t>
      </w:r>
      <w:proofErr w:type="spellStart"/>
      <w:r w:rsidR="00CA72CB">
        <w:t>Cantiaci</w:t>
      </w:r>
      <w:proofErr w:type="spellEnd"/>
      <w:r w:rsidR="00CA72CB">
        <w:t xml:space="preserve"> appear to mint coins regionally </w:t>
      </w:r>
      <w:r w:rsidR="0023488D">
        <w:t>and</w:t>
      </w:r>
      <w:r w:rsidR="00CA72CB">
        <w:t xml:space="preserve"> many different styles have been found in one</w:t>
      </w:r>
      <w:r w:rsidR="005109F1">
        <w:t xml:space="preserve"> hoard implies that 100 years before Claudius’ invasion</w:t>
      </w:r>
      <w:r w:rsidR="0023488D">
        <w:t>,</w:t>
      </w:r>
      <w:r w:rsidR="005109F1">
        <w:t xml:space="preserve"> the </w:t>
      </w:r>
      <w:proofErr w:type="spellStart"/>
      <w:r w:rsidR="005109F1">
        <w:t>Cantiaci</w:t>
      </w:r>
      <w:proofErr w:type="spellEnd"/>
      <w:r w:rsidR="005109F1">
        <w:t xml:space="preserve"> appear to have been a tribal society</w:t>
      </w:r>
      <w:r w:rsidR="0023488D">
        <w:t>,</w:t>
      </w:r>
      <w:r w:rsidR="005109F1">
        <w:t xml:space="preserve"> </w:t>
      </w:r>
      <w:r w:rsidR="002B7CF5">
        <w:t>as power to mint coins was held by</w:t>
      </w:r>
      <w:r w:rsidR="00D27BDF">
        <w:t xml:space="preserve"> localised </w:t>
      </w:r>
      <w:r w:rsidR="002B7CF5">
        <w:t>elite who Caesar refers to as “Kings”</w:t>
      </w:r>
      <w:r w:rsidR="0023488D">
        <w:t xml:space="preserve">. </w:t>
      </w:r>
      <w:proofErr w:type="gramStart"/>
      <w:r w:rsidR="0023488D">
        <w:t>H</w:t>
      </w:r>
      <w:r w:rsidR="002B7CF5">
        <w:t>owever</w:t>
      </w:r>
      <w:proofErr w:type="gramEnd"/>
      <w:r w:rsidR="002B7CF5">
        <w:t xml:space="preserve"> they are loosely unified and there </w:t>
      </w:r>
      <w:r w:rsidR="0023488D">
        <w:t>appears to be</w:t>
      </w:r>
      <w:r w:rsidR="002B7CF5">
        <w:t xml:space="preserve"> some form of centralisation.</w:t>
      </w:r>
      <w:r w:rsidR="00B21B27">
        <w:t xml:space="preserve"> This </w:t>
      </w:r>
      <w:proofErr w:type="spellStart"/>
      <w:r w:rsidR="00B21B27">
        <w:t>sociopolitical</w:t>
      </w:r>
      <w:proofErr w:type="spellEnd"/>
      <w:r w:rsidR="00B21B27">
        <w:t xml:space="preserve"> structure is not unique to the </w:t>
      </w:r>
      <w:proofErr w:type="spellStart"/>
      <w:r w:rsidR="00B21B27">
        <w:t>Cantiaci</w:t>
      </w:r>
      <w:proofErr w:type="spellEnd"/>
      <w:r w:rsidR="00B21B27">
        <w:t xml:space="preserve"> and similar inferences can be made from all tribes in lowland Britain.</w:t>
      </w:r>
    </w:p>
    <w:p w14:paraId="43B0061F" w14:textId="2386A097" w:rsidR="00EE2EB0" w:rsidRDefault="00D27BDF">
      <w:r>
        <w:t xml:space="preserve">Another point about coinage at the start of the period is that the design on the </w:t>
      </w:r>
      <w:r w:rsidR="0023488D">
        <w:t>coins were generally patterns and did</w:t>
      </w:r>
      <w:r>
        <w:t xml:space="preserve"> not include any names or images of rulers. This suggests a more tribal society as no individual appears to </w:t>
      </w:r>
      <w:r w:rsidR="0023488D">
        <w:t xml:space="preserve">have </w:t>
      </w:r>
      <w:r>
        <w:t>be</w:t>
      </w:r>
      <w:r w:rsidR="0023488D">
        <w:t>en</w:t>
      </w:r>
      <w:r>
        <w:t xml:space="preserve"> prominent enough or powerful enough to be depicted on coinage</w:t>
      </w:r>
      <w:r w:rsidR="0023488D">
        <w:t>,</w:t>
      </w:r>
      <w:r>
        <w:t xml:space="preserve"> therefore suggesting that </w:t>
      </w:r>
      <w:proofErr w:type="gramStart"/>
      <w:r>
        <w:t xml:space="preserve">the localised coin production was done by a community and </w:t>
      </w:r>
      <w:r w:rsidR="0023488D">
        <w:t xml:space="preserve">coin </w:t>
      </w:r>
      <w:r>
        <w:t>production</w:t>
      </w:r>
      <w:proofErr w:type="gramEnd"/>
      <w:r>
        <w:t xml:space="preserve"> was not necessarily controlled by an individual as is seen later. One exception to this is that some Iceni coinage appears to depict</w:t>
      </w:r>
      <w:r w:rsidR="0023488D">
        <w:t xml:space="preserve"> a man;</w:t>
      </w:r>
      <w:r w:rsidR="00E57AF9">
        <w:t xml:space="preserve"> one coin has been dated between the dates of 50 B.C. and 10 A.D</w:t>
      </w:r>
      <w:r w:rsidR="0023488D">
        <w:t>;</w:t>
      </w:r>
      <w:r w:rsidR="00E57AF9">
        <w:rPr>
          <w:rStyle w:val="FootnoteReference"/>
        </w:rPr>
        <w:footnoteReference w:id="12"/>
      </w:r>
      <w:r w:rsidR="00E57AF9">
        <w:t xml:space="preserve"> another coin which is dated between 10 and 40 A.D. depicts a different man with a moustache</w:t>
      </w:r>
      <w:r w:rsidR="00E57AF9">
        <w:rPr>
          <w:rStyle w:val="FootnoteReference"/>
        </w:rPr>
        <w:footnoteReference w:id="13"/>
      </w:r>
      <w:r w:rsidR="00E57AF9">
        <w:t>. This could be a dynasty as the coins have been dated as occurring one after the other which could suggest succession of a ruler, however these could als</w:t>
      </w:r>
      <w:r w:rsidR="00645279">
        <w:t>o be depictions of deities. If th</w:t>
      </w:r>
      <w:r w:rsidR="00E57AF9">
        <w:t>ese Iceni coins depict a dynasty then it is only of local elite</w:t>
      </w:r>
      <w:r w:rsidR="00645279">
        <w:t>,</w:t>
      </w:r>
      <w:r w:rsidR="00E57AF9">
        <w:t xml:space="preserve"> as many other coins have been found</w:t>
      </w:r>
      <w:r w:rsidR="006A1131">
        <w:t xml:space="preserve"> dating to the same time </w:t>
      </w:r>
      <w:r w:rsidR="00645279">
        <w:t xml:space="preserve">and the same area </w:t>
      </w:r>
      <w:r w:rsidR="006A1131">
        <w:t>without depictions of people.</w:t>
      </w:r>
      <w:r w:rsidR="00EE2EB0">
        <w:rPr>
          <w:rStyle w:val="FootnoteReference"/>
        </w:rPr>
        <w:footnoteReference w:id="14"/>
      </w:r>
    </w:p>
    <w:p w14:paraId="56F933B7" w14:textId="6315257B" w:rsidR="00AC3D14" w:rsidRDefault="00AC3D14">
      <w:r>
        <w:t xml:space="preserve">By the time of Claudius’s invasion coinage in Britain was very different. </w:t>
      </w:r>
      <w:r w:rsidR="0054526E">
        <w:t xml:space="preserve">One change was that coinage was now more standardised for example the </w:t>
      </w:r>
      <w:proofErr w:type="spellStart"/>
      <w:r w:rsidR="0054526E">
        <w:t>Cantiaci</w:t>
      </w:r>
      <w:proofErr w:type="spellEnd"/>
      <w:r w:rsidR="0054526E">
        <w:t>, between the years of 30 and 40 A.D., appear to have only been using one style of coin.</w:t>
      </w:r>
      <w:r w:rsidR="0054526E">
        <w:rPr>
          <w:rStyle w:val="FootnoteReference"/>
        </w:rPr>
        <w:footnoteReference w:id="15"/>
      </w:r>
      <w:r w:rsidR="0054526E">
        <w:t xml:space="preserve"> This would suggest that coin minting is now done by a central power</w:t>
      </w:r>
      <w:r w:rsidR="004233CD">
        <w:t>,</w:t>
      </w:r>
      <w:r w:rsidR="0054526E">
        <w:t xml:space="preserve"> implying that society </w:t>
      </w:r>
      <w:proofErr w:type="gramStart"/>
      <w:r w:rsidR="0054526E">
        <w:t>as a whole would</w:t>
      </w:r>
      <w:proofErr w:type="gramEnd"/>
      <w:r w:rsidR="0054526E">
        <w:t xml:space="preserve"> be more structured and less power was devolved to local authorities.</w:t>
      </w:r>
      <w:r w:rsidR="00EF48A5">
        <w:t xml:space="preserve"> At this </w:t>
      </w:r>
      <w:proofErr w:type="gramStart"/>
      <w:r w:rsidR="00EF48A5">
        <w:t>time</w:t>
      </w:r>
      <w:proofErr w:type="gramEnd"/>
      <w:r w:rsidR="00EF48A5">
        <w:t xml:space="preserve"> we also start to get inscribed coins for example the coins of the </w:t>
      </w:r>
      <w:proofErr w:type="spellStart"/>
      <w:r w:rsidR="00EF48A5">
        <w:t>Cantiaci</w:t>
      </w:r>
      <w:proofErr w:type="spellEnd"/>
      <w:r w:rsidR="00EF48A5">
        <w:t xml:space="preserve"> which are discussed above are all inscribed with the name </w:t>
      </w:r>
      <w:proofErr w:type="spellStart"/>
      <w:r w:rsidR="00EF48A5">
        <w:t>Amminus</w:t>
      </w:r>
      <w:proofErr w:type="spellEnd"/>
      <w:r w:rsidR="00EF48A5">
        <w:t>.</w:t>
      </w:r>
      <w:r w:rsidR="00EF48A5">
        <w:rPr>
          <w:rStyle w:val="FootnoteReference"/>
        </w:rPr>
        <w:footnoteReference w:id="16"/>
      </w:r>
      <w:r w:rsidR="00EF48A5">
        <w:t xml:space="preserve"> The fact that the </w:t>
      </w:r>
      <w:proofErr w:type="spellStart"/>
      <w:r w:rsidR="00EF48A5">
        <w:t>Cantiaci</w:t>
      </w:r>
      <w:proofErr w:type="spellEnd"/>
      <w:r w:rsidR="00EF48A5">
        <w:t xml:space="preserve"> appear to have had one person who controls coin production and also inscribed his coins suggests that we now have a sole ruler controlling an area. </w:t>
      </w:r>
      <w:proofErr w:type="gramStart"/>
      <w:r w:rsidR="00EF48A5">
        <w:t>However</w:t>
      </w:r>
      <w:proofErr w:type="gramEnd"/>
      <w:r w:rsidR="00EF48A5">
        <w:t xml:space="preserve"> there is not enough evidence to say that the </w:t>
      </w:r>
      <w:proofErr w:type="spellStart"/>
      <w:r w:rsidR="00EF48A5">
        <w:t>Cantiaci</w:t>
      </w:r>
      <w:proofErr w:type="spellEnd"/>
      <w:r w:rsidR="00EF48A5">
        <w:t xml:space="preserve"> are now a ‘state’</w:t>
      </w:r>
      <w:r w:rsidR="008C2FF4">
        <w:t xml:space="preserve"> but the evidence suggests that an individual has power over the society implying that the </w:t>
      </w:r>
      <w:proofErr w:type="spellStart"/>
      <w:r w:rsidR="008C2FF4">
        <w:t>Cantiaci</w:t>
      </w:r>
      <w:proofErr w:type="spellEnd"/>
      <w:r w:rsidR="008C2FF4">
        <w:t xml:space="preserve"> are definitely a ‘chiefdom’. As before I have used the </w:t>
      </w:r>
      <w:proofErr w:type="spellStart"/>
      <w:r w:rsidR="008C2FF4">
        <w:t>Cantiaci</w:t>
      </w:r>
      <w:proofErr w:type="spellEnd"/>
      <w:r w:rsidR="008C2FF4">
        <w:t xml:space="preserve"> as a case study; however similar developments can be seen across south-eastern Britain </w:t>
      </w:r>
      <w:r w:rsidR="008C2FF4">
        <w:lastRenderedPageBreak/>
        <w:t xml:space="preserve">for example </w:t>
      </w:r>
      <w:proofErr w:type="spellStart"/>
      <w:r w:rsidR="008C2FF4">
        <w:t>Cunobelinus</w:t>
      </w:r>
      <w:proofErr w:type="spellEnd"/>
      <w:r w:rsidR="008C2FF4">
        <w:t xml:space="preserve"> also meant that his own coins in the region controlled by the </w:t>
      </w:r>
      <w:proofErr w:type="spellStart"/>
      <w:r w:rsidR="008C2FF4">
        <w:rPr>
          <w:lang w:val="en"/>
        </w:rPr>
        <w:t>Catuvellauni</w:t>
      </w:r>
      <w:proofErr w:type="spellEnd"/>
      <w:r w:rsidR="008C2FF4">
        <w:rPr>
          <w:rStyle w:val="FootnoteReference"/>
          <w:lang w:val="en"/>
        </w:rPr>
        <w:footnoteReference w:id="17"/>
      </w:r>
      <w:r w:rsidR="008C2FF4">
        <w:rPr>
          <w:lang w:val="en"/>
        </w:rPr>
        <w:t>.</w:t>
      </w:r>
    </w:p>
    <w:p w14:paraId="0954A657" w14:textId="54643FEE" w:rsidR="00D95A5C" w:rsidRDefault="00D95A5C">
      <w:r>
        <w:t>Coins are not the only way of examining social political developments</w:t>
      </w:r>
      <w:r w:rsidR="0084765A">
        <w:t>, we can also look at Oppida and Hillforts.</w:t>
      </w:r>
      <w:r w:rsidR="009E0297">
        <w:t xml:space="preserve"> Snyder states that in the 1</w:t>
      </w:r>
      <w:r w:rsidR="009E0297" w:rsidRPr="009E0297">
        <w:rPr>
          <w:vertAlign w:val="superscript"/>
        </w:rPr>
        <w:t>st</w:t>
      </w:r>
      <w:r w:rsidR="009E0297">
        <w:t xml:space="preserve"> century BC in south-eastern Britain, Hillforts were abandoned in favour of new settlements</w:t>
      </w:r>
      <w:r w:rsidR="0008307D">
        <w:t xml:space="preserve"> referred to as Oppida</w:t>
      </w:r>
      <w:r w:rsidR="007061CD">
        <w:t>.</w:t>
      </w:r>
      <w:r w:rsidR="007061CD">
        <w:rPr>
          <w:rStyle w:val="FootnoteReference"/>
        </w:rPr>
        <w:footnoteReference w:id="18"/>
      </w:r>
      <w:r w:rsidR="0008307D">
        <w:t xml:space="preserve"> The urbanisation of lowland Britain appears to be a </w:t>
      </w:r>
      <w:proofErr w:type="spellStart"/>
      <w:r w:rsidR="0008307D">
        <w:t>sociopolitical</w:t>
      </w:r>
      <w:proofErr w:type="spellEnd"/>
      <w:r w:rsidR="0008307D">
        <w:t xml:space="preserve"> development which had begun prior to Caesar’s invasions of Britain in 55 and 54 BC however the process of urbanisation continues throughout the period discussed. Jones and Mattingly argue that the urbanisation of southern Britain was</w:t>
      </w:r>
      <w:r w:rsidR="005E6FEA">
        <w:t xml:space="preserve"> due to “a combination of warfare and leadership by ambitious elites or individuals”</w:t>
      </w:r>
      <w:r w:rsidR="005E6FEA">
        <w:rPr>
          <w:rStyle w:val="FootnoteReference"/>
        </w:rPr>
        <w:footnoteReference w:id="19"/>
      </w:r>
      <w:r w:rsidR="005E6FEA">
        <w:t xml:space="preserve"> although the increased power of individuals by warfare would account for larger urban centres it does not explain why these changes did not happen in the highland zones of Britain it also does not explain why people move to Oppida instead of larger hill forts. Snyder puts forward a different theory for why we see urbanisation happening in this period</w:t>
      </w:r>
      <w:r w:rsidR="006A4A04">
        <w:t>;</w:t>
      </w:r>
      <w:r w:rsidR="005E6FEA">
        <w:t xml:space="preserve"> Snyder argues that this is as a result of</w:t>
      </w:r>
      <w:r w:rsidR="00AC3D14">
        <w:t xml:space="preserve"> the Roman conquest of Gaul and that this affected trade routes, this in</w:t>
      </w:r>
      <w:r w:rsidR="006A4A04">
        <w:t xml:space="preserve"> tu</w:t>
      </w:r>
      <w:r w:rsidR="00AC3D14">
        <w:t>rn</w:t>
      </w:r>
      <w:r w:rsidR="006A4A04">
        <w:t xml:space="preserve"> </w:t>
      </w:r>
      <w:r w:rsidR="00AC3D14">
        <w:t>me</w:t>
      </w:r>
      <w:r w:rsidR="006A4A04">
        <w:t>ant</w:t>
      </w:r>
      <w:bookmarkStart w:id="0" w:name="_GoBack"/>
      <w:bookmarkEnd w:id="0"/>
      <w:r w:rsidR="00AC3D14">
        <w:t xml:space="preserve"> that the Britons could exploit these new trade routes and increase their wealth. Snyder argues that the increased trade caused by the Roman conquest of Gaul meant that people were moving to new urban centres built along trade routes.</w:t>
      </w:r>
      <w:r w:rsidR="00AC3D14">
        <w:rPr>
          <w:rStyle w:val="FootnoteReference"/>
        </w:rPr>
        <w:footnoteReference w:id="20"/>
      </w:r>
      <w:r w:rsidR="00AC3D14">
        <w:t xml:space="preserve"> Snyder’s argument would account for this </w:t>
      </w:r>
      <w:proofErr w:type="spellStart"/>
      <w:r w:rsidR="00AC3D14">
        <w:t>sociopolitical</w:t>
      </w:r>
      <w:proofErr w:type="spellEnd"/>
      <w:r w:rsidR="00AC3D14">
        <w:t xml:space="preserve"> development happening only in south-eastern Britain as the peoples of south-eastern Britain were closest to the continent and therefore could exploit the trading opportunities presented by the Roman conquest of Gaul more effectively than those in the highland zones of Wales and Northern England.</w:t>
      </w:r>
    </w:p>
    <w:p w14:paraId="6ADF22BE" w14:textId="33841822" w:rsidR="00EE2EB0" w:rsidRDefault="001064F0">
      <w:r>
        <w:t xml:space="preserve">Finally, not all the peoples in Britain produced coins and this makes it difficult to examine </w:t>
      </w:r>
      <w:proofErr w:type="spellStart"/>
      <w:r>
        <w:t>sociopolitical</w:t>
      </w:r>
      <w:proofErr w:type="spellEnd"/>
      <w:r>
        <w:t xml:space="preserve"> developments. The </w:t>
      </w:r>
      <w:proofErr w:type="spellStart"/>
      <w:r>
        <w:t>Brigantes</w:t>
      </w:r>
      <w:proofErr w:type="spellEnd"/>
      <w:r>
        <w:t xml:space="preserve"> controlled the majority of Northern England. The </w:t>
      </w:r>
      <w:proofErr w:type="spellStart"/>
      <w:r>
        <w:t>Brigantes</w:t>
      </w:r>
      <w:proofErr w:type="spellEnd"/>
      <w:r w:rsidR="008267D6">
        <w:t xml:space="preserve"> did not produce their own coinage nor did they appear to use the coinage of other peoples, therefore we cannot learn anything about social political developments through coinage however Snyder states that the </w:t>
      </w:r>
      <w:proofErr w:type="spellStart"/>
      <w:r w:rsidR="008267D6">
        <w:t>Brigantes</w:t>
      </w:r>
      <w:proofErr w:type="spellEnd"/>
      <w:r w:rsidR="008267D6">
        <w:t xml:space="preserve"> had many hill forts and “no apparent Oppida”</w:t>
      </w:r>
      <w:r w:rsidR="008267D6">
        <w:rPr>
          <w:rStyle w:val="FootnoteReference"/>
        </w:rPr>
        <w:footnoteReference w:id="21"/>
      </w:r>
      <w:r w:rsidR="008267D6">
        <w:t xml:space="preserve"> this suggests that the </w:t>
      </w:r>
      <w:proofErr w:type="spellStart"/>
      <w:r w:rsidR="008267D6">
        <w:t>Brigantes</w:t>
      </w:r>
      <w:proofErr w:type="spellEnd"/>
      <w:r w:rsidR="008267D6">
        <w:t xml:space="preserve"> did not experience the same </w:t>
      </w:r>
      <w:proofErr w:type="spellStart"/>
      <w:r w:rsidR="008267D6">
        <w:t>sociopolitical</w:t>
      </w:r>
      <w:proofErr w:type="spellEnd"/>
      <w:r w:rsidR="008267D6">
        <w:t xml:space="preserve"> developments as the peoples in south-eastern Britain as the scattered hill forts suggest a lot of power was held locally. The same pattern can be seen in Wales and Cornwall</w:t>
      </w:r>
      <w:r w:rsidR="008267D6">
        <w:rPr>
          <w:rStyle w:val="FootnoteReference"/>
        </w:rPr>
        <w:footnoteReference w:id="22"/>
      </w:r>
      <w:r w:rsidR="007C5E06">
        <w:t xml:space="preserve">. The lack of Oppida and coinage in the highland areas of Britain supports Snyder’s argument that increased urbanisation and other </w:t>
      </w:r>
      <w:proofErr w:type="spellStart"/>
      <w:r w:rsidR="007C5E06">
        <w:t>sociopolitical</w:t>
      </w:r>
      <w:proofErr w:type="spellEnd"/>
      <w:r w:rsidR="007C5E06">
        <w:t xml:space="preserve"> developments were brought about partly by trade as the society’s in northern England and Wales were not as well positioned geographically to benefit from the increase in trade caused by the Roman conquest of Gaul.</w:t>
      </w:r>
      <w:r w:rsidR="00613F93">
        <w:t xml:space="preserve"> Although we cannot infer much from the evidence about </w:t>
      </w:r>
      <w:proofErr w:type="spellStart"/>
      <w:r w:rsidR="00613F93">
        <w:t>sociopolitical</w:t>
      </w:r>
      <w:proofErr w:type="spellEnd"/>
      <w:r w:rsidR="00613F93">
        <w:t xml:space="preserve"> developments in the highland zones of Britain that does not mean that </w:t>
      </w:r>
      <w:proofErr w:type="spellStart"/>
      <w:r w:rsidR="00613F93">
        <w:t>sociopolitical</w:t>
      </w:r>
      <w:proofErr w:type="spellEnd"/>
      <w:r w:rsidR="00613F93">
        <w:t xml:space="preserve"> developments were not taking place</w:t>
      </w:r>
      <w:r w:rsidR="000B06A2">
        <w:t xml:space="preserve"> as we have very little information on these areas and people’s left for we cannot prove whether </w:t>
      </w:r>
      <w:proofErr w:type="spellStart"/>
      <w:r w:rsidR="000B06A2">
        <w:t>sociopolitical</w:t>
      </w:r>
      <w:proofErr w:type="spellEnd"/>
      <w:r w:rsidR="000B06A2">
        <w:t xml:space="preserve"> developments were or were not taken place.</w:t>
      </w:r>
    </w:p>
    <w:p w14:paraId="64589907" w14:textId="35F3807A" w:rsidR="007C5E06" w:rsidRDefault="007C5E06"/>
    <w:p w14:paraId="5994A77A" w14:textId="549B9825" w:rsidR="007C5E06" w:rsidRDefault="007C5E06">
      <w:r>
        <w:t xml:space="preserve">In conclusion coinage is vital to the understanding of political developments in Iron Age Britain and through the study of iconography on coins as well the distribution of coins we can inference that societies in south-eastern Britain developed from ‘tribal’ societies ‘chiefdom’ or ‘state’ societies. </w:t>
      </w:r>
      <w:proofErr w:type="gramStart"/>
      <w:r>
        <w:lastRenderedPageBreak/>
        <w:t>However</w:t>
      </w:r>
      <w:proofErr w:type="gramEnd"/>
      <w:r>
        <w:t xml:space="preserve"> coinage cannot be used to distinguish between chiefdom and the state as although it can tell us that an individual has control over the minting of coins it does not tell us anything about other aspects of society needed to create a state such as laws of the society.</w:t>
      </w:r>
      <w:r w:rsidR="00613F93">
        <w:t xml:space="preserve"> Coinage is not the only evidence we have about </w:t>
      </w:r>
      <w:proofErr w:type="spellStart"/>
      <w:r w:rsidR="00613F93">
        <w:t>sociopolitical</w:t>
      </w:r>
      <w:proofErr w:type="spellEnd"/>
      <w:r w:rsidR="00613F93">
        <w:t xml:space="preserve"> developments in south-eastern Britain, the hill forts and Oppida can tell us information about urbanisation that is harder to inference from coinage.</w:t>
      </w:r>
      <w:r>
        <w:t xml:space="preserve"> Coinage</w:t>
      </w:r>
      <w:r w:rsidR="00613F93">
        <w:t xml:space="preserve"> cannot tell us about the whole of Iron Age Britain as only the south-eastern part produced coinage; this makes studying the rest the Britain in the Iron Age much harder and we are forced to rely on other evidence such as hill forts.</w:t>
      </w:r>
    </w:p>
    <w:p w14:paraId="515CD51E" w14:textId="77777777" w:rsidR="00FB4D64" w:rsidRDefault="00FB4D64">
      <w:pPr>
        <w:rPr>
          <w:u w:val="single"/>
        </w:rPr>
      </w:pPr>
      <w:r>
        <w:rPr>
          <w:u w:val="single"/>
        </w:rPr>
        <w:t>Bibliography</w:t>
      </w:r>
    </w:p>
    <w:p w14:paraId="7168C679" w14:textId="26C3A3E8" w:rsidR="00FB4D64" w:rsidRDefault="00FB4D64">
      <w:r>
        <w:t>Jones. B. Mattingly. D</w:t>
      </w:r>
      <w:r w:rsidR="00387ED2">
        <w:t xml:space="preserve"> 1990 “</w:t>
      </w:r>
      <w:r w:rsidR="00387ED2">
        <w:rPr>
          <w:i/>
        </w:rPr>
        <w:t xml:space="preserve">An Atlas of Roman Britain” </w:t>
      </w:r>
      <w:r w:rsidR="00387ED2">
        <w:t>Blackwell Publishing</w:t>
      </w:r>
    </w:p>
    <w:p w14:paraId="3A73B8A6" w14:textId="422A1518" w:rsidR="007061CD" w:rsidRDefault="007061CD">
      <w:r>
        <w:t xml:space="preserve">Snyder C.A. 2003 “the Britons” Blackwell publishing </w:t>
      </w:r>
    </w:p>
    <w:p w14:paraId="5B930358" w14:textId="57873061" w:rsidR="00BF4C77" w:rsidRDefault="00BF4C77">
      <w:r>
        <w:t>Portable Antiquities Scheme</w:t>
      </w:r>
      <w:r w:rsidR="00645279">
        <w:t xml:space="preserve"> (PAS) </w:t>
      </w:r>
      <w:r>
        <w:t xml:space="preserve"> </w:t>
      </w:r>
      <w:hyperlink r:id="rId7" w:history="1">
        <w:r w:rsidRPr="0067299A">
          <w:rPr>
            <w:rStyle w:val="Hyperlink"/>
          </w:rPr>
          <w:t>https://finds.org.uk/</w:t>
        </w:r>
      </w:hyperlink>
      <w:r>
        <w:t xml:space="preserve"> (Accessed </w:t>
      </w:r>
      <w:r w:rsidR="005109F1">
        <w:t>11/7</w:t>
      </w:r>
      <w:r>
        <w:t xml:space="preserve">/17) </w:t>
      </w:r>
    </w:p>
    <w:p w14:paraId="31F43CAF" w14:textId="3E431D88" w:rsidR="005109F1" w:rsidRDefault="005109F1" w:rsidP="005109F1">
      <w:pPr>
        <w:spacing w:line="480" w:lineRule="auto"/>
      </w:pPr>
      <w:r>
        <w:t>Encyclopaedia Britannica “</w:t>
      </w:r>
      <w:proofErr w:type="gramStart"/>
      <w:r>
        <w:t>Tribe”  1998</w:t>
      </w:r>
      <w:proofErr w:type="gramEnd"/>
      <w:r>
        <w:t xml:space="preserve"> </w:t>
      </w:r>
      <w:hyperlink r:id="rId8" w:history="1">
        <w:r w:rsidRPr="0067299A">
          <w:rPr>
            <w:rStyle w:val="Hyperlink"/>
          </w:rPr>
          <w:t>https://www.britannica.com/topic/tribe-anthropology</w:t>
        </w:r>
      </w:hyperlink>
      <w:r>
        <w:t xml:space="preserve"> (Accessed 7/11/17)</w:t>
      </w:r>
    </w:p>
    <w:p w14:paraId="2FD0CFEF" w14:textId="32467477" w:rsidR="0054526E" w:rsidRDefault="0054526E" w:rsidP="005109F1">
      <w:pPr>
        <w:spacing w:line="480" w:lineRule="auto"/>
      </w:pPr>
      <w:r>
        <w:t xml:space="preserve">Encyclopaedia Britannica “state” 1998 </w:t>
      </w:r>
      <w:hyperlink r:id="rId9" w:history="1">
        <w:r w:rsidRPr="00864323">
          <w:rPr>
            <w:rStyle w:val="Hyperlink"/>
          </w:rPr>
          <w:t>https://www.britannica.com/topic/state-sovereign-political-entity</w:t>
        </w:r>
      </w:hyperlink>
      <w:r>
        <w:t xml:space="preserve"> (accessed 8/11/17)</w:t>
      </w:r>
    </w:p>
    <w:p w14:paraId="01C8C6C4" w14:textId="6879B65E" w:rsidR="001E1DCB" w:rsidRDefault="00EF48A5" w:rsidP="008267D6">
      <w:pPr>
        <w:spacing w:line="480" w:lineRule="auto"/>
      </w:pPr>
      <w:r>
        <w:t xml:space="preserve">Encyclopaedia Britannica “chiefdom” 2009 </w:t>
      </w:r>
      <w:hyperlink r:id="rId10" w:history="1">
        <w:r w:rsidRPr="00864323">
          <w:rPr>
            <w:rStyle w:val="Hyperlink"/>
          </w:rPr>
          <w:t>https://www.britannica.com/topic/chiefdom</w:t>
        </w:r>
      </w:hyperlink>
      <w:r>
        <w:t xml:space="preserve"> (accessed 8/11/17)</w:t>
      </w:r>
    </w:p>
    <w:p w14:paraId="205624EB" w14:textId="047BFF57" w:rsidR="008267D6" w:rsidRPr="00387ED2" w:rsidRDefault="007C5E06" w:rsidP="008267D6">
      <w:pPr>
        <w:spacing w:line="480" w:lineRule="auto"/>
      </w:pPr>
      <w:r>
        <w:t xml:space="preserve">Oxford University “Atlas of hill forts” </w:t>
      </w:r>
      <w:hyperlink r:id="rId11" w:history="1">
        <w:r w:rsidRPr="00864323">
          <w:rPr>
            <w:rStyle w:val="Hyperlink"/>
          </w:rPr>
          <w:t>https://hillforts.arch.ox.ac.uk/</w:t>
        </w:r>
      </w:hyperlink>
      <w:r>
        <w:t xml:space="preserve"> (accessed 8/11/17)</w:t>
      </w:r>
    </w:p>
    <w:sectPr w:rsidR="008267D6" w:rsidRPr="00387E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8DBCA6" w14:textId="77777777" w:rsidR="00973386" w:rsidRDefault="00973386" w:rsidP="000E18F0">
      <w:pPr>
        <w:spacing w:after="0" w:line="240" w:lineRule="auto"/>
      </w:pPr>
      <w:r>
        <w:separator/>
      </w:r>
    </w:p>
  </w:endnote>
  <w:endnote w:type="continuationSeparator" w:id="0">
    <w:p w14:paraId="4A947056" w14:textId="77777777" w:rsidR="00973386" w:rsidRDefault="00973386" w:rsidP="000E18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F147B6" w14:textId="77777777" w:rsidR="00973386" w:rsidRDefault="00973386" w:rsidP="000E18F0">
      <w:pPr>
        <w:spacing w:after="0" w:line="240" w:lineRule="auto"/>
      </w:pPr>
      <w:r>
        <w:separator/>
      </w:r>
    </w:p>
  </w:footnote>
  <w:footnote w:type="continuationSeparator" w:id="0">
    <w:p w14:paraId="0059A6CD" w14:textId="77777777" w:rsidR="00973386" w:rsidRDefault="00973386" w:rsidP="000E18F0">
      <w:pPr>
        <w:spacing w:after="0" w:line="240" w:lineRule="auto"/>
      </w:pPr>
      <w:r>
        <w:continuationSeparator/>
      </w:r>
    </w:p>
  </w:footnote>
  <w:footnote w:id="1">
    <w:p w14:paraId="621B10D6" w14:textId="5329DA39" w:rsidR="00613F93" w:rsidRPr="00613F93" w:rsidRDefault="00613F93">
      <w:pPr>
        <w:pStyle w:val="FootnoteText"/>
        <w:rPr>
          <w:lang w:val="en-US"/>
        </w:rPr>
      </w:pPr>
      <w:r>
        <w:rPr>
          <w:rStyle w:val="FootnoteReference"/>
        </w:rPr>
        <w:footnoteRef/>
      </w:r>
      <w:r>
        <w:t xml:space="preserve"> </w:t>
      </w:r>
      <w:proofErr w:type="spellStart"/>
      <w:r>
        <w:t>Caes</w:t>
      </w:r>
      <w:proofErr w:type="spellEnd"/>
      <w:r>
        <w:t>. Gal. 5.15</w:t>
      </w:r>
    </w:p>
  </w:footnote>
  <w:footnote w:id="2">
    <w:p w14:paraId="299C134A" w14:textId="752294E5" w:rsidR="005109F1" w:rsidRPr="005109F1" w:rsidRDefault="005109F1">
      <w:pPr>
        <w:pStyle w:val="FootnoteText"/>
        <w:rPr>
          <w:lang w:val="en-US"/>
        </w:rPr>
      </w:pPr>
      <w:r>
        <w:rPr>
          <w:rStyle w:val="FootnoteReference"/>
        </w:rPr>
        <w:footnoteRef/>
      </w:r>
      <w:r>
        <w:t xml:space="preserve"> Encyclopaedia </w:t>
      </w:r>
      <w:proofErr w:type="spellStart"/>
      <w:r>
        <w:t>Brittanica</w:t>
      </w:r>
      <w:proofErr w:type="spellEnd"/>
      <w:r w:rsidR="0054526E">
        <w:t xml:space="preserve"> 1998</w:t>
      </w:r>
    </w:p>
  </w:footnote>
  <w:footnote w:id="3">
    <w:p w14:paraId="297269B0" w14:textId="5CE3A1CA" w:rsidR="0054526E" w:rsidRPr="0054526E" w:rsidRDefault="0054526E">
      <w:pPr>
        <w:pStyle w:val="FootnoteText"/>
        <w:rPr>
          <w:lang w:val="en-US"/>
        </w:rPr>
      </w:pPr>
      <w:r>
        <w:rPr>
          <w:rStyle w:val="FootnoteReference"/>
        </w:rPr>
        <w:footnoteRef/>
      </w:r>
      <w:r>
        <w:t xml:space="preserve"> Encyclopaedia </w:t>
      </w:r>
      <w:proofErr w:type="spellStart"/>
      <w:r>
        <w:t>Brittanica</w:t>
      </w:r>
      <w:proofErr w:type="spellEnd"/>
      <w:r>
        <w:t xml:space="preserve"> 1998</w:t>
      </w:r>
    </w:p>
  </w:footnote>
  <w:footnote w:id="4">
    <w:p w14:paraId="7FA02B17" w14:textId="61631C6D" w:rsidR="00EF48A5" w:rsidRPr="00EF48A5" w:rsidRDefault="00EF48A5">
      <w:pPr>
        <w:pStyle w:val="FootnoteText"/>
        <w:rPr>
          <w:lang w:val="en-US"/>
        </w:rPr>
      </w:pPr>
      <w:r>
        <w:rPr>
          <w:rStyle w:val="FootnoteReference"/>
        </w:rPr>
        <w:footnoteRef/>
      </w:r>
      <w:r>
        <w:t xml:space="preserve"> </w:t>
      </w:r>
      <w:proofErr w:type="spellStart"/>
      <w:r>
        <w:rPr>
          <w:lang w:val="en-US"/>
        </w:rPr>
        <w:t>Encyclopaedia</w:t>
      </w:r>
      <w:proofErr w:type="spellEnd"/>
      <w:r>
        <w:rPr>
          <w:lang w:val="en-US"/>
        </w:rPr>
        <w:t xml:space="preserve"> </w:t>
      </w:r>
      <w:proofErr w:type="spellStart"/>
      <w:r>
        <w:rPr>
          <w:lang w:val="en-US"/>
        </w:rPr>
        <w:t>Brittanica</w:t>
      </w:r>
      <w:proofErr w:type="spellEnd"/>
      <w:r>
        <w:rPr>
          <w:lang w:val="en-US"/>
        </w:rPr>
        <w:t xml:space="preserve"> 2009</w:t>
      </w:r>
    </w:p>
  </w:footnote>
  <w:footnote w:id="5">
    <w:p w14:paraId="639CD685" w14:textId="77777777" w:rsidR="00973386" w:rsidRDefault="00973386">
      <w:pPr>
        <w:pStyle w:val="FootnoteText"/>
      </w:pPr>
      <w:r>
        <w:rPr>
          <w:rStyle w:val="FootnoteReference"/>
        </w:rPr>
        <w:footnoteRef/>
      </w:r>
      <w:r>
        <w:t xml:space="preserve"> Jones. B. Mattingly. D. 1990: 45</w:t>
      </w:r>
    </w:p>
  </w:footnote>
  <w:footnote w:id="6">
    <w:p w14:paraId="12DEA7F3" w14:textId="77777777" w:rsidR="00D27BDF" w:rsidRPr="00D27BDF" w:rsidRDefault="00D27BDF">
      <w:pPr>
        <w:pStyle w:val="FootnoteText"/>
        <w:rPr>
          <w:lang w:val="en-US"/>
        </w:rPr>
      </w:pPr>
      <w:r>
        <w:rPr>
          <w:rStyle w:val="FootnoteReference"/>
        </w:rPr>
        <w:footnoteRef/>
      </w:r>
      <w:r>
        <w:t xml:space="preserve"> Jones. B. Mattingly. D. 1990: 1</w:t>
      </w:r>
    </w:p>
  </w:footnote>
  <w:footnote w:id="7">
    <w:p w14:paraId="02DDE3E2" w14:textId="503BA375" w:rsidR="00E66D14" w:rsidRPr="00E66D14" w:rsidRDefault="00E66D14">
      <w:pPr>
        <w:pStyle w:val="FootnoteText"/>
        <w:rPr>
          <w:lang w:val="en-US"/>
        </w:rPr>
      </w:pPr>
      <w:r>
        <w:rPr>
          <w:rStyle w:val="FootnoteReference"/>
        </w:rPr>
        <w:footnoteRef/>
      </w:r>
      <w:r>
        <w:t xml:space="preserve"> </w:t>
      </w:r>
      <w:r w:rsidR="000554EA">
        <w:rPr>
          <w:lang w:val="en-US"/>
        </w:rPr>
        <w:t>PAS</w:t>
      </w:r>
    </w:p>
  </w:footnote>
  <w:footnote w:id="8">
    <w:p w14:paraId="157BF6F9" w14:textId="31286312" w:rsidR="00EB04B2" w:rsidRPr="00EB04B2" w:rsidRDefault="00EB04B2">
      <w:pPr>
        <w:pStyle w:val="FootnoteText"/>
        <w:rPr>
          <w:lang w:val="en-US"/>
        </w:rPr>
      </w:pPr>
      <w:r>
        <w:rPr>
          <w:rStyle w:val="FootnoteReference"/>
        </w:rPr>
        <w:footnoteRef/>
      </w:r>
      <w:r>
        <w:t xml:space="preserve"> </w:t>
      </w:r>
      <w:r w:rsidR="000554EA">
        <w:rPr>
          <w:lang w:val="en-US"/>
        </w:rPr>
        <w:t>PAS</w:t>
      </w:r>
    </w:p>
  </w:footnote>
  <w:footnote w:id="9">
    <w:p w14:paraId="4FBE65D5" w14:textId="77777777" w:rsidR="00BF4C77" w:rsidRPr="00BF4C77" w:rsidRDefault="00BF4C77">
      <w:pPr>
        <w:pStyle w:val="FootnoteText"/>
        <w:rPr>
          <w:lang w:val="en-US"/>
        </w:rPr>
      </w:pPr>
      <w:r>
        <w:rPr>
          <w:rStyle w:val="FootnoteReference"/>
        </w:rPr>
        <w:footnoteRef/>
      </w:r>
      <w:r w:rsidR="001E1DCB">
        <w:t xml:space="preserve"> </w:t>
      </w:r>
      <w:proofErr w:type="spellStart"/>
      <w:r w:rsidR="001E1DCB" w:rsidRPr="001E1DCB">
        <w:t>Caes</w:t>
      </w:r>
      <w:proofErr w:type="spellEnd"/>
      <w:r w:rsidR="001E1DCB" w:rsidRPr="001E1DCB">
        <w:t>. Gal. 5.22</w:t>
      </w:r>
    </w:p>
  </w:footnote>
  <w:footnote w:id="10">
    <w:p w14:paraId="56556FC6" w14:textId="11D90E16" w:rsidR="002B7CF5" w:rsidRPr="002B7CF5" w:rsidRDefault="002B7CF5">
      <w:pPr>
        <w:pStyle w:val="FootnoteText"/>
        <w:rPr>
          <w:lang w:val="en-US"/>
        </w:rPr>
      </w:pPr>
      <w:r>
        <w:rPr>
          <w:rStyle w:val="FootnoteReference"/>
        </w:rPr>
        <w:footnoteRef/>
      </w:r>
      <w:r>
        <w:t xml:space="preserve"> </w:t>
      </w:r>
      <w:r w:rsidR="005814E7">
        <w:rPr>
          <w:lang w:val="en-US"/>
        </w:rPr>
        <w:t xml:space="preserve">PAS </w:t>
      </w:r>
      <w:r w:rsidR="000554EA">
        <w:rPr>
          <w:rStyle w:val="fourfigure"/>
        </w:rPr>
        <w:t>KENT-BAA048 (</w:t>
      </w:r>
      <w:hyperlink r:id="rId1" w:history="1">
        <w:r w:rsidR="000554EA" w:rsidRPr="009609B0">
          <w:rPr>
            <w:rStyle w:val="Hyperlink"/>
          </w:rPr>
          <w:t>https://finds.org.uk/database/artefacts/record/id/490971</w:t>
        </w:r>
      </w:hyperlink>
      <w:r w:rsidR="000554EA">
        <w:rPr>
          <w:rStyle w:val="fourfigure"/>
        </w:rPr>
        <w:t>)</w:t>
      </w:r>
    </w:p>
  </w:footnote>
  <w:footnote w:id="11">
    <w:p w14:paraId="4505B1F1" w14:textId="486C8DF1" w:rsidR="007061CD" w:rsidRPr="007061CD" w:rsidRDefault="00CA72CB">
      <w:pPr>
        <w:pStyle w:val="FootnoteText"/>
      </w:pPr>
      <w:r>
        <w:rPr>
          <w:rStyle w:val="FootnoteReference"/>
        </w:rPr>
        <w:footnoteRef/>
      </w:r>
      <w:r>
        <w:t xml:space="preserve"> Jones. B. Mattingly. D. 1990: 45</w:t>
      </w:r>
    </w:p>
  </w:footnote>
  <w:footnote w:id="12">
    <w:p w14:paraId="7756243E" w14:textId="608E56A2" w:rsidR="00E57AF9" w:rsidRPr="00E57AF9" w:rsidRDefault="00E57AF9" w:rsidP="00EE2EB0">
      <w:pPr>
        <w:pStyle w:val="FootnoteText"/>
        <w:spacing w:before="240"/>
        <w:rPr>
          <w:lang w:val="en-US"/>
        </w:rPr>
      </w:pPr>
      <w:r>
        <w:rPr>
          <w:rStyle w:val="FootnoteReference"/>
        </w:rPr>
        <w:footnoteRef/>
      </w:r>
      <w:r>
        <w:t xml:space="preserve"> </w:t>
      </w:r>
      <w:r w:rsidR="00EE2EB0">
        <w:rPr>
          <w:lang w:val="en-US"/>
        </w:rPr>
        <w:t xml:space="preserve">PAS </w:t>
      </w:r>
      <w:r w:rsidR="00EE2EB0">
        <w:rPr>
          <w:rStyle w:val="fourfigure"/>
        </w:rPr>
        <w:t>SF-BB1895 (</w:t>
      </w:r>
      <w:proofErr w:type="gramStart"/>
      <w:r w:rsidR="00EE2EB0" w:rsidRPr="00EE2EB0">
        <w:rPr>
          <w:rStyle w:val="fourfigure"/>
        </w:rPr>
        <w:t>https://finds.org.uk/database/artefacts/record/id/868825</w:t>
      </w:r>
      <w:r w:rsidR="00EE2EB0">
        <w:rPr>
          <w:rStyle w:val="fourfigure"/>
        </w:rPr>
        <w:t xml:space="preserve"> )</w:t>
      </w:r>
      <w:proofErr w:type="gramEnd"/>
    </w:p>
  </w:footnote>
  <w:footnote w:id="13">
    <w:p w14:paraId="3EB95942" w14:textId="07D961CC" w:rsidR="00E57AF9" w:rsidRPr="00E57AF9" w:rsidRDefault="00E57AF9">
      <w:pPr>
        <w:pStyle w:val="FootnoteText"/>
        <w:rPr>
          <w:lang w:val="en-US"/>
        </w:rPr>
      </w:pPr>
      <w:r>
        <w:rPr>
          <w:rStyle w:val="FootnoteReference"/>
        </w:rPr>
        <w:footnoteRef/>
      </w:r>
      <w:r>
        <w:t xml:space="preserve"> </w:t>
      </w:r>
      <w:r w:rsidR="000554EA">
        <w:rPr>
          <w:lang w:val="en-US"/>
        </w:rPr>
        <w:t xml:space="preserve">PAS </w:t>
      </w:r>
      <w:r w:rsidR="000554EA">
        <w:rPr>
          <w:rStyle w:val="fourfigure"/>
        </w:rPr>
        <w:t>SF-9D5F44 (</w:t>
      </w:r>
      <w:hyperlink r:id="rId2" w:history="1">
        <w:r w:rsidR="000554EA" w:rsidRPr="009609B0">
          <w:rPr>
            <w:rStyle w:val="Hyperlink"/>
          </w:rPr>
          <w:t>https://finds.org.uk/database/artefacts/record/id/870851</w:t>
        </w:r>
      </w:hyperlink>
      <w:r w:rsidR="000554EA">
        <w:rPr>
          <w:rStyle w:val="fourfigure"/>
        </w:rPr>
        <w:t xml:space="preserve">) </w:t>
      </w:r>
    </w:p>
  </w:footnote>
  <w:footnote w:id="14">
    <w:p w14:paraId="15A8A7FF" w14:textId="5974A6D2" w:rsidR="00D95A5C" w:rsidRDefault="00EE2EB0">
      <w:pPr>
        <w:pStyle w:val="FootnoteText"/>
      </w:pPr>
      <w:r>
        <w:rPr>
          <w:rStyle w:val="FootnoteReference"/>
        </w:rPr>
        <w:footnoteRef/>
      </w:r>
      <w:r>
        <w:t xml:space="preserve"> PAS</w:t>
      </w:r>
    </w:p>
  </w:footnote>
  <w:footnote w:id="15">
    <w:p w14:paraId="4ADBBEFB" w14:textId="18989FBC" w:rsidR="0054526E" w:rsidRPr="0054526E" w:rsidRDefault="0054526E">
      <w:pPr>
        <w:pStyle w:val="FootnoteText"/>
        <w:rPr>
          <w:lang w:val="en-US"/>
        </w:rPr>
      </w:pPr>
      <w:r>
        <w:rPr>
          <w:rStyle w:val="FootnoteReference"/>
        </w:rPr>
        <w:footnoteRef/>
      </w:r>
      <w:r>
        <w:t xml:space="preserve"> </w:t>
      </w:r>
      <w:r>
        <w:rPr>
          <w:lang w:val="en-US"/>
        </w:rPr>
        <w:t>PAS</w:t>
      </w:r>
    </w:p>
  </w:footnote>
  <w:footnote w:id="16">
    <w:p w14:paraId="4E5166ED" w14:textId="58BE9A54" w:rsidR="00EF48A5" w:rsidRPr="00EF48A5" w:rsidRDefault="00EF48A5">
      <w:pPr>
        <w:pStyle w:val="FootnoteText"/>
        <w:rPr>
          <w:lang w:val="en-US"/>
        </w:rPr>
      </w:pPr>
      <w:r>
        <w:rPr>
          <w:rStyle w:val="FootnoteReference"/>
        </w:rPr>
        <w:footnoteRef/>
      </w:r>
      <w:r>
        <w:t xml:space="preserve"> </w:t>
      </w:r>
      <w:r>
        <w:rPr>
          <w:lang w:val="en-US"/>
        </w:rPr>
        <w:t>PAS</w:t>
      </w:r>
      <w:r w:rsidRPr="00EF48A5">
        <w:t xml:space="preserve"> </w:t>
      </w:r>
      <w:r>
        <w:rPr>
          <w:rStyle w:val="fourfigure"/>
        </w:rPr>
        <w:t>KENT-0B3BA1</w:t>
      </w:r>
      <w:r w:rsidRPr="00EF48A5">
        <w:t xml:space="preserve"> </w:t>
      </w:r>
      <w:r>
        <w:t>(</w:t>
      </w:r>
      <w:hyperlink r:id="rId3" w:history="1">
        <w:r w:rsidRPr="00864323">
          <w:rPr>
            <w:rStyle w:val="Hyperlink"/>
          </w:rPr>
          <w:t>https://finds.org.uk/database/artefacts/record/id/871817</w:t>
        </w:r>
      </w:hyperlink>
      <w:r>
        <w:rPr>
          <w:rStyle w:val="fourfigure"/>
        </w:rPr>
        <w:t xml:space="preserve"> )</w:t>
      </w:r>
    </w:p>
  </w:footnote>
  <w:footnote w:id="17">
    <w:p w14:paraId="6E8AD27F" w14:textId="633CE5FF" w:rsidR="008C2FF4" w:rsidRPr="008C2FF4" w:rsidRDefault="008C2FF4">
      <w:pPr>
        <w:pStyle w:val="FootnoteText"/>
        <w:rPr>
          <w:lang w:val="en-US"/>
        </w:rPr>
      </w:pPr>
      <w:r>
        <w:rPr>
          <w:rStyle w:val="FootnoteReference"/>
        </w:rPr>
        <w:footnoteRef/>
      </w:r>
      <w:r>
        <w:t xml:space="preserve"> </w:t>
      </w:r>
      <w:r>
        <w:rPr>
          <w:lang w:val="en-US"/>
        </w:rPr>
        <w:t xml:space="preserve">PAS </w:t>
      </w:r>
      <w:r w:rsidR="001064F0">
        <w:rPr>
          <w:rStyle w:val="fourfigure"/>
        </w:rPr>
        <w:t>LON-5283E3</w:t>
      </w:r>
      <w:r w:rsidR="001064F0">
        <w:rPr>
          <w:lang w:val="en-US"/>
        </w:rPr>
        <w:t xml:space="preserve"> (</w:t>
      </w:r>
      <w:r w:rsidRPr="008C2FF4">
        <w:rPr>
          <w:lang w:val="en-US"/>
        </w:rPr>
        <w:t>https://finds.org.uk/database/artefacts/record/id/850936</w:t>
      </w:r>
      <w:r w:rsidR="001064F0">
        <w:rPr>
          <w:lang w:val="en-US"/>
        </w:rPr>
        <w:t>)</w:t>
      </w:r>
    </w:p>
  </w:footnote>
  <w:footnote w:id="18">
    <w:p w14:paraId="284FFBFD" w14:textId="64EB0249" w:rsidR="007061CD" w:rsidRPr="007061CD" w:rsidRDefault="007061CD">
      <w:pPr>
        <w:pStyle w:val="FootnoteText"/>
        <w:rPr>
          <w:lang w:val="en-US"/>
        </w:rPr>
      </w:pPr>
      <w:r>
        <w:rPr>
          <w:rStyle w:val="FootnoteReference"/>
        </w:rPr>
        <w:footnoteRef/>
      </w:r>
      <w:r>
        <w:t xml:space="preserve"> Snyder C.A. 2003: 18</w:t>
      </w:r>
    </w:p>
  </w:footnote>
  <w:footnote w:id="19">
    <w:p w14:paraId="4762A844" w14:textId="4162927A" w:rsidR="005E6FEA" w:rsidRPr="005E6FEA" w:rsidRDefault="005E6FEA">
      <w:pPr>
        <w:pStyle w:val="FootnoteText"/>
        <w:rPr>
          <w:lang w:val="en-US"/>
        </w:rPr>
      </w:pPr>
      <w:r>
        <w:rPr>
          <w:rStyle w:val="FootnoteReference"/>
        </w:rPr>
        <w:footnoteRef/>
      </w:r>
      <w:r>
        <w:t xml:space="preserve"> Jones. B. Mattingly. D. 1990: 47</w:t>
      </w:r>
    </w:p>
  </w:footnote>
  <w:footnote w:id="20">
    <w:p w14:paraId="07C6E1CD" w14:textId="57D4F767" w:rsidR="00AC3D14" w:rsidRPr="00AC3D14" w:rsidRDefault="00AC3D14">
      <w:pPr>
        <w:pStyle w:val="FootnoteText"/>
        <w:rPr>
          <w:lang w:val="en-US"/>
        </w:rPr>
      </w:pPr>
      <w:r>
        <w:rPr>
          <w:rStyle w:val="FootnoteReference"/>
        </w:rPr>
        <w:footnoteRef/>
      </w:r>
      <w:r>
        <w:t xml:space="preserve"> Snyder C.A. 2003: 18</w:t>
      </w:r>
    </w:p>
  </w:footnote>
  <w:footnote w:id="21">
    <w:p w14:paraId="6D45609A" w14:textId="7598F518" w:rsidR="008267D6" w:rsidRPr="008267D6" w:rsidRDefault="008267D6">
      <w:pPr>
        <w:pStyle w:val="FootnoteText"/>
        <w:rPr>
          <w:lang w:val="en-US"/>
        </w:rPr>
      </w:pPr>
      <w:r>
        <w:rPr>
          <w:rStyle w:val="FootnoteReference"/>
        </w:rPr>
        <w:footnoteRef/>
      </w:r>
      <w:r>
        <w:t xml:space="preserve"> Snyder C.A. 2003: 200</w:t>
      </w:r>
    </w:p>
  </w:footnote>
  <w:footnote w:id="22">
    <w:p w14:paraId="3644289D" w14:textId="1F925CF2" w:rsidR="008267D6" w:rsidRPr="008267D6" w:rsidRDefault="008267D6">
      <w:pPr>
        <w:pStyle w:val="FootnoteText"/>
        <w:rPr>
          <w:lang w:val="en-US"/>
        </w:rPr>
      </w:pPr>
      <w:r>
        <w:rPr>
          <w:rStyle w:val="FootnoteReference"/>
        </w:rPr>
        <w:footnoteRef/>
      </w:r>
      <w:r>
        <w:t xml:space="preserve"> </w:t>
      </w:r>
      <w:r>
        <w:rPr>
          <w:lang w:val="en-US"/>
        </w:rPr>
        <w:t>Oxford university</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67DFCD69-98D7-4E7E-BF21-40D564917CEF}"/>
    <w:docVar w:name="dgnword-eventsink" w:val="427649192"/>
  </w:docVars>
  <w:rsids>
    <w:rsidRoot w:val="00953C0B"/>
    <w:rsid w:val="000554EA"/>
    <w:rsid w:val="00055B54"/>
    <w:rsid w:val="0008307D"/>
    <w:rsid w:val="000B06A2"/>
    <w:rsid w:val="000E18F0"/>
    <w:rsid w:val="001064F0"/>
    <w:rsid w:val="00182A34"/>
    <w:rsid w:val="001E1DCB"/>
    <w:rsid w:val="0023156A"/>
    <w:rsid w:val="0023488D"/>
    <w:rsid w:val="002460C0"/>
    <w:rsid w:val="002B7CF5"/>
    <w:rsid w:val="00387ED2"/>
    <w:rsid w:val="003C50A1"/>
    <w:rsid w:val="004233CD"/>
    <w:rsid w:val="004B2181"/>
    <w:rsid w:val="005109F1"/>
    <w:rsid w:val="0054526E"/>
    <w:rsid w:val="005814E7"/>
    <w:rsid w:val="005E6FEA"/>
    <w:rsid w:val="00613F93"/>
    <w:rsid w:val="00645279"/>
    <w:rsid w:val="006A1131"/>
    <w:rsid w:val="006A4A04"/>
    <w:rsid w:val="007061CD"/>
    <w:rsid w:val="007C1184"/>
    <w:rsid w:val="007C5E06"/>
    <w:rsid w:val="00821AC1"/>
    <w:rsid w:val="008267D6"/>
    <w:rsid w:val="0084765A"/>
    <w:rsid w:val="008B2D5F"/>
    <w:rsid w:val="008C2FF4"/>
    <w:rsid w:val="00953C0B"/>
    <w:rsid w:val="00973386"/>
    <w:rsid w:val="009B4998"/>
    <w:rsid w:val="009E0297"/>
    <w:rsid w:val="00A1646C"/>
    <w:rsid w:val="00AC3D14"/>
    <w:rsid w:val="00B21B27"/>
    <w:rsid w:val="00B3372F"/>
    <w:rsid w:val="00B51AFA"/>
    <w:rsid w:val="00BF4C77"/>
    <w:rsid w:val="00C658F4"/>
    <w:rsid w:val="00CA72CB"/>
    <w:rsid w:val="00D27BDF"/>
    <w:rsid w:val="00D34885"/>
    <w:rsid w:val="00D95A5C"/>
    <w:rsid w:val="00E22CFA"/>
    <w:rsid w:val="00E56DD6"/>
    <w:rsid w:val="00E573FE"/>
    <w:rsid w:val="00E57AF9"/>
    <w:rsid w:val="00E66D14"/>
    <w:rsid w:val="00EB04B2"/>
    <w:rsid w:val="00EE2EB0"/>
    <w:rsid w:val="00EF48A5"/>
    <w:rsid w:val="00F57C7A"/>
    <w:rsid w:val="00FB4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6652EF"/>
  <w15:chartTrackingRefBased/>
  <w15:docId w15:val="{33DAEEF6-CE95-450A-9F38-21A5AFBA6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53C0B"/>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eop">
    <w:name w:val="eop"/>
    <w:basedOn w:val="DefaultParagraphFont"/>
    <w:rsid w:val="00953C0B"/>
  </w:style>
  <w:style w:type="character" w:customStyle="1" w:styleId="normaltextrun">
    <w:name w:val="normaltextrun"/>
    <w:basedOn w:val="DefaultParagraphFont"/>
    <w:rsid w:val="00953C0B"/>
  </w:style>
  <w:style w:type="paragraph" w:styleId="FootnoteText">
    <w:name w:val="footnote text"/>
    <w:basedOn w:val="Normal"/>
    <w:link w:val="FootnoteTextChar"/>
    <w:uiPriority w:val="99"/>
    <w:semiHidden/>
    <w:unhideWhenUsed/>
    <w:rsid w:val="000E18F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E18F0"/>
    <w:rPr>
      <w:sz w:val="20"/>
      <w:szCs w:val="20"/>
    </w:rPr>
  </w:style>
  <w:style w:type="character" w:styleId="FootnoteReference">
    <w:name w:val="footnote reference"/>
    <w:basedOn w:val="DefaultParagraphFont"/>
    <w:uiPriority w:val="99"/>
    <w:semiHidden/>
    <w:unhideWhenUsed/>
    <w:rsid w:val="000E18F0"/>
    <w:rPr>
      <w:vertAlign w:val="superscript"/>
    </w:rPr>
  </w:style>
  <w:style w:type="character" w:styleId="Emphasis">
    <w:name w:val="Emphasis"/>
    <w:basedOn w:val="DefaultParagraphFont"/>
    <w:uiPriority w:val="20"/>
    <w:qFormat/>
    <w:rsid w:val="00B3372F"/>
    <w:rPr>
      <w:i/>
      <w:iCs/>
    </w:rPr>
  </w:style>
  <w:style w:type="character" w:styleId="Hyperlink">
    <w:name w:val="Hyperlink"/>
    <w:basedOn w:val="DefaultParagraphFont"/>
    <w:uiPriority w:val="99"/>
    <w:unhideWhenUsed/>
    <w:rsid w:val="00BF4C77"/>
    <w:rPr>
      <w:color w:val="0563C1" w:themeColor="hyperlink"/>
      <w:u w:val="single"/>
    </w:rPr>
  </w:style>
  <w:style w:type="character" w:styleId="UnresolvedMention">
    <w:name w:val="Unresolved Mention"/>
    <w:basedOn w:val="DefaultParagraphFont"/>
    <w:uiPriority w:val="99"/>
    <w:semiHidden/>
    <w:unhideWhenUsed/>
    <w:rsid w:val="00BF4C77"/>
    <w:rPr>
      <w:color w:val="808080"/>
      <w:shd w:val="clear" w:color="auto" w:fill="E6E6E6"/>
    </w:rPr>
  </w:style>
  <w:style w:type="paragraph" w:styleId="ListParagraph">
    <w:name w:val="List Paragraph"/>
    <w:basedOn w:val="Normal"/>
    <w:uiPriority w:val="34"/>
    <w:qFormat/>
    <w:rsid w:val="006A1131"/>
    <w:pPr>
      <w:ind w:left="720"/>
      <w:contextualSpacing/>
    </w:pPr>
  </w:style>
  <w:style w:type="character" w:customStyle="1" w:styleId="fourfigure">
    <w:name w:val="fourfigure"/>
    <w:basedOn w:val="DefaultParagraphFont"/>
    <w:rsid w:val="000554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9665518">
      <w:bodyDiv w:val="1"/>
      <w:marLeft w:val="0"/>
      <w:marRight w:val="0"/>
      <w:marTop w:val="0"/>
      <w:marBottom w:val="0"/>
      <w:divBdr>
        <w:top w:val="none" w:sz="0" w:space="0" w:color="auto"/>
        <w:left w:val="none" w:sz="0" w:space="0" w:color="auto"/>
        <w:bottom w:val="none" w:sz="0" w:space="0" w:color="auto"/>
        <w:right w:val="none" w:sz="0" w:space="0" w:color="auto"/>
      </w:divBdr>
      <w:divsChild>
        <w:div w:id="1093235884">
          <w:marLeft w:val="0"/>
          <w:marRight w:val="0"/>
          <w:marTop w:val="0"/>
          <w:marBottom w:val="0"/>
          <w:divBdr>
            <w:top w:val="none" w:sz="0" w:space="0" w:color="auto"/>
            <w:left w:val="none" w:sz="0" w:space="0" w:color="auto"/>
            <w:bottom w:val="none" w:sz="0" w:space="0" w:color="auto"/>
            <w:right w:val="none" w:sz="0" w:space="0" w:color="auto"/>
          </w:divBdr>
        </w:div>
        <w:div w:id="5636416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tribe-anthropolog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finds.org.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illforts.arch.ox.ac.uk/" TargetMode="External"/><Relationship Id="rId5" Type="http://schemas.openxmlformats.org/officeDocument/2006/relationships/footnotes" Target="footnotes.xml"/><Relationship Id="rId10" Type="http://schemas.openxmlformats.org/officeDocument/2006/relationships/hyperlink" Target="https://www.britannica.com/topic/chiefdom" TargetMode="External"/><Relationship Id="rId4" Type="http://schemas.openxmlformats.org/officeDocument/2006/relationships/webSettings" Target="webSettings.xml"/><Relationship Id="rId9" Type="http://schemas.openxmlformats.org/officeDocument/2006/relationships/hyperlink" Target="https://www.britannica.com/topic/state-sovereign-political-entity"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finds.org.uk/database/artefacts/record/id/871817" TargetMode="External"/><Relationship Id="rId2" Type="http://schemas.openxmlformats.org/officeDocument/2006/relationships/hyperlink" Target="https://finds.org.uk/database/artefacts/record/id/870851" TargetMode="External"/><Relationship Id="rId1" Type="http://schemas.openxmlformats.org/officeDocument/2006/relationships/hyperlink" Target="https://finds.org.uk/database/artefacts/record/id/4909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353238-723F-4126-8E7D-E65BD47DAB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1852</Words>
  <Characters>10559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Garters</dc:creator>
  <cp:keywords/>
  <dc:description/>
  <cp:lastModifiedBy>Peter Garters (1600311)</cp:lastModifiedBy>
  <cp:revision>2</cp:revision>
  <dcterms:created xsi:type="dcterms:W3CDTF">2017-11-12T20:45:00Z</dcterms:created>
  <dcterms:modified xsi:type="dcterms:W3CDTF">2017-11-12T20:45:00Z</dcterms:modified>
</cp:coreProperties>
</file>