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pPr>
      <w:r>
        <w:rPr>
          <w:rtl w:val="0"/>
          <w:lang w:val="en-US"/>
        </w:rPr>
        <w:t>This assignment will look at some of the many barriers to accessing education in Niger such as poverty, gender inequality, child marriage and lack of quality education due to poor infrastructure and low teacher numbers. It will consider the role of organisations and governments to overcome these barriers with particular reference to global policies such as the Sustainable Development Agenda (2015), the UNCRC (1989) and the ACRWC (1990). Additionally it will draw comparison with provision in the United Kingdom and consider theories of education.</w:t>
      </w:r>
    </w:p>
    <w:p>
      <w:pPr>
        <w:pStyle w:val="Default"/>
      </w:pPr>
    </w:p>
    <w:p>
      <w:pPr>
        <w:pStyle w:val="Default"/>
      </w:pPr>
      <w:r>
        <w:rPr>
          <w:rtl w:val="0"/>
          <w:lang w:val="en-US"/>
        </w:rPr>
        <w:t xml:space="preserve">UNESCO Institute for Statistics (2018, p.7) tells us that </w:t>
      </w:r>
      <w:r>
        <w:rPr>
          <w:rtl w:val="0"/>
          <w:lang w:val="en-US"/>
        </w:rPr>
        <w:t>‘</w:t>
      </w:r>
      <w:r>
        <w:rPr>
          <w:rtl w:val="0"/>
          <w:lang w:val="en-US"/>
        </w:rPr>
        <w:t>of the 63 million out-of-school children of primary school age, 34 million, or more than one-half, live in sub-Saharan Africa</w:t>
      </w:r>
      <w:r>
        <w:rPr>
          <w:rtl w:val="0"/>
          <w:lang w:val="en-US"/>
        </w:rPr>
        <w:t>’</w:t>
      </w:r>
      <w:r>
        <w:rPr>
          <w:rtl w:val="0"/>
          <w:lang w:val="en-US"/>
        </w:rPr>
        <w:t>. Niger is a large landlocked sub-Saharan country in the west of Africa, and in contrast to the United Kingdom</w:t>
      </w:r>
      <w:r>
        <w:rPr>
          <w:rtl w:val="0"/>
          <w:lang w:val="en-US"/>
        </w:rPr>
        <w:t>’</w:t>
      </w:r>
      <w:r>
        <w:rPr>
          <w:rtl w:val="0"/>
          <w:lang w:val="en-US"/>
        </w:rPr>
        <w:t xml:space="preserve">s temperate rainy conditions, the Nigerien climate is one of the hottest in the world. Due to harsh desert conditions in two-thirds of the country, the 21.48 million population inhabits less than one-third of the land, predominantly concentrated on the border with Nigeria in the south. </w:t>
      </w:r>
      <w:r>
        <w:rPr>
          <w:rtl w:val="0"/>
          <w:lang w:val="en-US"/>
        </w:rPr>
        <w:t>‘</w:t>
      </w:r>
      <w:r>
        <w:rPr>
          <w:rtl w:val="0"/>
          <w:lang w:val="en-US"/>
        </w:rPr>
        <w:t>With 82% of the population living in rural areas, the majority of inhabitants rely heavily on agriculture and rearing livestock</w:t>
      </w:r>
      <w:r>
        <w:rPr>
          <w:rtl w:val="0"/>
          <w:lang w:val="en-US"/>
        </w:rPr>
        <w:t xml:space="preserve">’ </w:t>
      </w:r>
      <w:r>
        <w:rPr>
          <w:rtl w:val="0"/>
          <w:lang w:val="en-US"/>
        </w:rPr>
        <w:t xml:space="preserve">to provide food and income </w:t>
      </w:r>
      <w:r>
        <w:rPr>
          <w:rtl w:val="0"/>
        </w:rPr>
        <w:t>(World Bank, 2014, p.1)</w:t>
      </w:r>
      <w:r>
        <w:rPr>
          <w:rtl w:val="0"/>
          <w:lang w:val="en-US"/>
        </w:rPr>
        <w:t xml:space="preserve">. </w:t>
      </w:r>
      <w:r>
        <w:rPr>
          <w:rtl w:val="0"/>
          <w:lang w:val="en-US"/>
        </w:rPr>
        <w:t xml:space="preserve">The economic prosperity of Niger is therefore heavily reliant on weather related factors, and prolonged annual droughts have led to </w:t>
      </w:r>
      <w:r>
        <w:rPr>
          <w:rtl w:val="0"/>
          <w:lang w:val="en-US"/>
        </w:rPr>
        <w:t xml:space="preserve">a shortage of food, famine and </w:t>
      </w:r>
      <w:r>
        <w:rPr>
          <w:rtl w:val="0"/>
          <w:lang w:val="it-IT"/>
        </w:rPr>
        <w:t>severe poverty</w:t>
      </w:r>
      <w:r>
        <w:rPr>
          <w:rtl w:val="0"/>
          <w:lang w:val="en-US"/>
        </w:rPr>
        <w:t xml:space="preserve"> with `</w:t>
      </w:r>
      <w:r>
        <w:rPr>
          <w:rtl w:val="0"/>
        </w:rPr>
        <w:t>48.5</w:t>
      </w:r>
      <w:r>
        <w:rPr>
          <w:rtl w:val="0"/>
          <w:lang w:val="en-US"/>
        </w:rPr>
        <w:t xml:space="preserve"> percent </w:t>
      </w:r>
      <w:r>
        <w:rPr>
          <w:rtl w:val="0"/>
          <w:lang w:val="en-US"/>
        </w:rPr>
        <w:t>of the population liv</w:t>
      </w:r>
      <w:r>
        <w:rPr>
          <w:rtl w:val="0"/>
          <w:lang w:val="en-US"/>
        </w:rPr>
        <w:t>ing</w:t>
      </w:r>
      <w:r>
        <w:rPr>
          <w:rtl w:val="0"/>
          <w:lang w:val="en-US"/>
        </w:rPr>
        <w:t xml:space="preserve"> below the poverty line</w:t>
      </w:r>
      <w:r>
        <w:rPr>
          <w:rtl w:val="1"/>
        </w:rPr>
        <w:t xml:space="preserve">’ </w:t>
      </w:r>
      <w:r>
        <w:rPr>
          <w:rtl w:val="0"/>
        </w:rPr>
        <w:t>(World Bank, 2014, p.1)</w:t>
      </w:r>
      <w:r>
        <w:rPr>
          <w:rtl w:val="0"/>
          <w:lang w:val="en-US"/>
        </w:rPr>
        <w:t xml:space="preserve"> compared to just 15 percent  poverty in the UK. Niger is one of the poorest in the world, rated by the United Nations Human Development Index Report (2019, p.25) as 189 out of 189 countries. Whilst poverty is a factor in both the UK and Niger, the type of poverty is very different. In the UK we see relative poverty where </w:t>
      </w:r>
      <w:r>
        <w:rPr>
          <w:rtl w:val="0"/>
          <w:lang w:val="en-US"/>
        </w:rPr>
        <w:t>‘</w:t>
      </w:r>
      <w:r>
        <w:rPr>
          <w:rtl w:val="0"/>
          <w:lang w:val="en-US"/>
        </w:rPr>
        <w:t>people lack the minimum amount of income needed in order to maintain the average standard of living in the society in which they live</w:t>
      </w:r>
      <w:r>
        <w:rPr>
          <w:rtl w:val="0"/>
          <w:lang w:val="en-US"/>
        </w:rPr>
        <w:t xml:space="preserve">’ </w:t>
      </w:r>
      <w:r>
        <w:rPr>
          <w:rtl w:val="0"/>
          <w:lang w:val="en-US"/>
        </w:rPr>
        <w:t>(</w:t>
      </w:r>
      <w:r>
        <w:rPr>
          <w:rStyle w:val="Hyperlink.0"/>
        </w:rPr>
        <w:fldChar w:fldCharType="begin" w:fldLock="0"/>
      </w:r>
      <w:r>
        <w:rPr>
          <w:rStyle w:val="Hyperlink.0"/>
        </w:rPr>
        <w:instrText xml:space="preserve"> HYPERLINK "http://study.com"</w:instrText>
      </w:r>
      <w:r>
        <w:rPr>
          <w:rStyle w:val="Hyperlink.0"/>
        </w:rPr>
        <w:fldChar w:fldCharType="separate" w:fldLock="0"/>
      </w:r>
      <w:r>
        <w:rPr>
          <w:rStyle w:val="Hyperlink.0"/>
          <w:rtl w:val="0"/>
          <w:lang w:val="en-US"/>
        </w:rPr>
        <w:t>study.com</w:t>
      </w:r>
      <w:r>
        <w:rPr/>
        <w:fldChar w:fldCharType="end" w:fldLock="0"/>
      </w:r>
      <w:r>
        <w:rPr>
          <w:rtl w:val="0"/>
          <w:lang w:val="en-US"/>
        </w:rPr>
        <w:t xml:space="preserve">). In Niger we see absolute poverty which the UN (1995, article 19) defines as </w:t>
      </w:r>
      <w:r>
        <w:rPr>
          <w:rtl w:val="0"/>
          <w:lang w:val="en-US"/>
        </w:rPr>
        <w:t>‘</w:t>
      </w:r>
      <w:r>
        <w:rPr>
          <w:rtl w:val="0"/>
          <w:lang w:val="en-US"/>
        </w:rPr>
        <w:t>a severe deprivation of basic human needs, including food, safe drinking water, sanitation facilities, health, shelter, education and information</w:t>
      </w:r>
      <w:r>
        <w:rPr>
          <w:rtl w:val="0"/>
          <w:lang w:val="en-US"/>
        </w:rPr>
        <w:t>’</w:t>
      </w:r>
      <w:r>
        <w:rPr>
          <w:rtl w:val="0"/>
          <w:lang w:val="en-US"/>
        </w:rPr>
        <w:t xml:space="preserve">. Absolute poverty is prevalent in Niger where children </w:t>
      </w:r>
      <w:r>
        <w:rPr>
          <w:rtl w:val="0"/>
          <w:lang w:val="en-US"/>
        </w:rPr>
        <w:t>‘</w:t>
      </w:r>
      <w:r>
        <w:rPr>
          <w:rtl w:val="0"/>
          <w:lang w:val="en-US"/>
        </w:rPr>
        <w:t>face malnutrition, recurrent disease epidemics and outbreaks, cyclical floods, drought and displacement</w:t>
      </w:r>
      <w:r>
        <w:rPr>
          <w:rtl w:val="0"/>
          <w:lang w:val="en-US"/>
        </w:rPr>
        <w:t xml:space="preserve">’ </w:t>
      </w:r>
      <w:r>
        <w:rPr>
          <w:rtl w:val="0"/>
          <w:lang w:val="en-US"/>
        </w:rPr>
        <w:t xml:space="preserve">(unicef.org, 2019). Consequently, </w:t>
      </w:r>
      <w:r>
        <w:rPr>
          <w:rtl w:val="0"/>
          <w:lang w:val="en-US"/>
        </w:rPr>
        <w:t>Maslow</w:t>
      </w:r>
      <w:r>
        <w:rPr>
          <w:rtl w:val="1"/>
        </w:rPr>
        <w:t>’</w:t>
      </w:r>
      <w:r>
        <w:rPr>
          <w:rtl w:val="0"/>
          <w:lang w:val="en-US"/>
        </w:rPr>
        <w:t>s Hierarchy of Needs (1943) informs us that if basic needs such as food, water and shelter are not met then learning will not occur, and so poverty here, as elsewhere in the world, is a major barrier to education.</w:t>
      </w:r>
      <w:r>
        <w:rPr>
          <w:rtl w:val="0"/>
          <w:lang w:val="en-US"/>
        </w:rPr>
        <w:t xml:space="preserve"> Poor nutrition and hunger can also have long term effects on growth, brain development and cognitive functions of the child, leading to poor concentration and lower educational outcomes, and lack of basic sanitation can result in disease transmission.</w:t>
      </w:r>
    </w:p>
    <w:p>
      <w:pPr>
        <w:pStyle w:val="Default"/>
      </w:pPr>
    </w:p>
    <w:p>
      <w:pPr>
        <w:pStyle w:val="Default"/>
      </w:pPr>
      <w:r>
        <w:rPr>
          <w:rtl w:val="0"/>
          <w:lang w:val="en-US"/>
        </w:rPr>
        <w:t xml:space="preserve">Niger is bordered by several countries: Algeria, Libya, Chad, Benin, Nigeria, Burkina Faso and Mali (World Atlas, 2018). Violence and conflict in many of these neighbouring countries </w:t>
      </w:r>
      <w:r>
        <w:rPr>
          <w:rtl w:val="0"/>
          <w:lang w:val="en-US"/>
        </w:rPr>
        <w:t>mean that Niger</w:t>
      </w:r>
      <w:r>
        <w:rPr>
          <w:rtl w:val="1"/>
        </w:rPr>
        <w:t>’</w:t>
      </w:r>
      <w:r>
        <w:rPr>
          <w:rtl w:val="0"/>
          <w:lang w:val="en-US"/>
        </w:rPr>
        <w:t xml:space="preserve">s borders are threatened resulting in </w:t>
      </w:r>
      <w:r>
        <w:rPr>
          <w:rtl w:val="1"/>
        </w:rPr>
        <w:t>‘</w:t>
      </w:r>
      <w:r>
        <w:rPr>
          <w:rtl w:val="0"/>
          <w:lang w:val="en-US"/>
        </w:rPr>
        <w:t>economic, security, and humanitarian challenges for Niger, and expose the country to significant macro-economic risks</w:t>
      </w:r>
      <w:r>
        <w:rPr>
          <w:rtl w:val="1"/>
        </w:rPr>
        <w:t xml:space="preserve">’ </w:t>
      </w:r>
      <w:r>
        <w:rPr>
          <w:rtl w:val="0"/>
          <w:lang w:val="en-US"/>
        </w:rPr>
        <w:t>(World Bank, 2014, p.2)</w:t>
      </w:r>
      <w:r>
        <w:rPr>
          <w:rtl w:val="0"/>
          <w:lang w:val="en-US"/>
        </w:rPr>
        <w:t>. The i</w:t>
      </w:r>
      <w:r>
        <w:rPr>
          <w:rtl w:val="0"/>
          <w:lang w:val="en-US"/>
        </w:rPr>
        <w:t xml:space="preserve">nflux of migrants seeking work, and refugees </w:t>
      </w:r>
      <w:r>
        <w:rPr>
          <w:rtl w:val="0"/>
          <w:lang w:val="en-US"/>
        </w:rPr>
        <w:t xml:space="preserve">needing aid also </w:t>
      </w:r>
      <w:r>
        <w:rPr>
          <w:rtl w:val="0"/>
          <w:lang w:val="it-IT"/>
        </w:rPr>
        <w:t>divert</w:t>
      </w:r>
      <w:r>
        <w:rPr>
          <w:rtl w:val="0"/>
          <w:lang w:val="en-US"/>
        </w:rPr>
        <w:t>s</w:t>
      </w:r>
      <w:r>
        <w:rPr>
          <w:rtl w:val="0"/>
        </w:rPr>
        <w:t xml:space="preserve"> </w:t>
      </w:r>
      <w:r>
        <w:rPr>
          <w:rtl w:val="0"/>
          <w:lang w:val="en-US"/>
        </w:rPr>
        <w:t xml:space="preserve">essential </w:t>
      </w:r>
      <w:r>
        <w:rPr>
          <w:rtl w:val="0"/>
          <w:lang w:val="en-US"/>
        </w:rPr>
        <w:t>resources</w:t>
      </w:r>
      <w:r>
        <w:rPr>
          <w:rtl w:val="0"/>
          <w:lang w:val="en-US"/>
        </w:rPr>
        <w:t xml:space="preserve">. </w:t>
      </w:r>
      <w:r>
        <w:rPr>
          <w:rtl w:val="0"/>
          <w:lang w:val="en-US"/>
        </w:rPr>
        <w:t>Countries such as Niger don</w:t>
      </w:r>
      <w:r>
        <w:rPr>
          <w:rtl w:val="1"/>
        </w:rPr>
        <w:t>’</w:t>
      </w:r>
      <w:r>
        <w:rPr>
          <w:rtl w:val="0"/>
        </w:rPr>
        <w:t xml:space="preserve">t invest </w:t>
      </w:r>
      <w:r>
        <w:rPr>
          <w:rtl w:val="0"/>
          <w:lang w:val="en-US"/>
        </w:rPr>
        <w:t xml:space="preserve">heavily </w:t>
      </w:r>
      <w:r>
        <w:rPr>
          <w:rtl w:val="0"/>
          <w:lang w:val="en-US"/>
        </w:rPr>
        <w:t>into education because the economy is so poor</w:t>
      </w:r>
      <w:r>
        <w:rPr>
          <w:rtl w:val="0"/>
          <w:lang w:val="en-US"/>
        </w:rPr>
        <w:t>: just 3.6 percent Gross Domestic Product (GDP) is invested in education in Niger, whilst 5.5 percent GDP is invested in education by the UK. The world</w:t>
      </w:r>
      <w:r>
        <w:rPr>
          <w:rtl w:val="0"/>
          <w:lang w:val="en-US"/>
        </w:rPr>
        <w:t>’</w:t>
      </w:r>
      <w:r>
        <w:rPr>
          <w:rtl w:val="0"/>
          <w:lang w:val="en-US"/>
        </w:rPr>
        <w:t>s highest investor in education is Norway with 6.4 percent GDP.</w:t>
      </w:r>
    </w:p>
    <w:p>
      <w:pPr>
        <w:pStyle w:val="Default"/>
      </w:pPr>
    </w:p>
    <w:p>
      <w:pPr>
        <w:pStyle w:val="Default"/>
      </w:pPr>
      <w:r>
        <w:rPr>
          <w:rtl w:val="0"/>
          <w:lang w:val="en-US"/>
        </w:rPr>
        <w:t xml:space="preserve">In contrast to the </w:t>
      </w:r>
      <w:r>
        <w:rPr>
          <w:rtl w:val="0"/>
        </w:rPr>
        <w:t>UK</w:t>
      </w:r>
      <w:r>
        <w:rPr>
          <w:rtl w:val="1"/>
        </w:rPr>
        <w:t>’</w:t>
      </w:r>
      <w:r>
        <w:rPr>
          <w:rtl w:val="0"/>
          <w:lang w:val="en-US"/>
        </w:rPr>
        <w:t>s democratic political system</w:t>
      </w:r>
      <w:r>
        <w:rPr>
          <w:rtl w:val="0"/>
          <w:lang w:val="en-US"/>
        </w:rPr>
        <w:t xml:space="preserve"> which is relatively stable, Niger</w:t>
      </w:r>
      <w:r>
        <w:rPr>
          <w:rtl w:val="0"/>
          <w:lang w:val="en-US"/>
        </w:rPr>
        <w:t>’</w:t>
      </w:r>
      <w:r>
        <w:rPr>
          <w:rtl w:val="0"/>
          <w:lang w:val="en-US"/>
        </w:rPr>
        <w:t xml:space="preserve">s political history has been turbulent with militia rule and political coups in recent years, which has led to much unrest, corruption and rulers who </w:t>
      </w:r>
      <w:r>
        <w:rPr>
          <w:rtl w:val="0"/>
          <w:lang w:val="en-US"/>
        </w:rPr>
        <w:t>‘</w:t>
      </w:r>
      <w:r>
        <w:rPr>
          <w:rtl w:val="0"/>
          <w:lang w:val="en-US"/>
        </w:rPr>
        <w:t xml:space="preserve">divert the assistance, provided to build institutions, for </w:t>
      </w:r>
      <w:r>
        <w:rPr/>
        <w:fldChar w:fldCharType="begin" w:fldLock="0"/>
      </w:r>
      <w:r>
        <w:instrText xml:space="preserve"> HYPERLINK "https://www.brookings.edu/research/the-dubious-joys-of-standing-up-militias-and-building-partner-capacity-lessons-from-afghanistan-and-mexico-for-prosecuting-security-policy-through-proxies/"</w:instrText>
      </w:r>
      <w:r>
        <w:rPr/>
        <w:fldChar w:fldCharType="separate" w:fldLock="0"/>
      </w:r>
      <w:r>
        <w:rPr>
          <w:rtl w:val="0"/>
          <w:lang w:val="en-US"/>
        </w:rPr>
        <w:t>the contrary purpose</w:t>
      </w:r>
      <w:r>
        <w:rPr/>
        <w:fldChar w:fldCharType="end" w:fldLock="0"/>
      </w:r>
      <w:r>
        <w:rPr>
          <w:rtl w:val="0"/>
          <w:lang w:val="en-US"/>
        </w:rPr>
        <w:t xml:space="preserve"> of strengthening their own problematic rule</w:t>
      </w:r>
      <w:r>
        <w:rPr>
          <w:rtl w:val="0"/>
          <w:lang w:val="en-US"/>
        </w:rPr>
        <w:t xml:space="preserve">’ </w:t>
      </w:r>
      <w:r>
        <w:rPr>
          <w:rtl w:val="0"/>
          <w:lang w:val="en-US"/>
        </w:rPr>
        <w:t>(Felbab-Brown, 2017, www.brookings.edu). Education systems are usually destroyed during times of war, and children can be displaced from their home or become refugees. They are also exposed to violence which can have detrimental effects on mental health and wellbeing.</w:t>
      </w:r>
    </w:p>
    <w:p>
      <w:pPr>
        <w:pStyle w:val="Default"/>
      </w:pPr>
    </w:p>
    <w:p>
      <w:pPr>
        <w:pStyle w:val="Default"/>
      </w:pPr>
      <w:r>
        <w:rPr>
          <w:rtl w:val="0"/>
          <w:lang w:val="en-US"/>
        </w:rPr>
        <w:t xml:space="preserve">According to the CIA (2020) Niger is also a very youthful country with almost 70% of the population under the age of 25. Whilst infant mortality rates are high, Niger also has the highest total fertility rate (TFR) of any country in the world, averaging close to 7 children per woman in 2016, resulting in an estimated growth rate in 2020 of 3.66% </w:t>
      </w:r>
      <w:r>
        <w:rPr>
          <w:rtl w:val="0"/>
        </w:rPr>
        <w:t>(</w:t>
      </w:r>
      <w:r>
        <w:rPr>
          <w:rtl w:val="0"/>
          <w:lang w:val="en-US"/>
        </w:rPr>
        <w:t>W</w:t>
      </w:r>
      <w:r>
        <w:rPr>
          <w:rtl w:val="0"/>
          <w:lang w:val="en-US"/>
        </w:rPr>
        <w:t xml:space="preserve">orld </w:t>
      </w:r>
      <w:r>
        <w:rPr>
          <w:rtl w:val="0"/>
          <w:lang w:val="en-US"/>
        </w:rPr>
        <w:t>B</w:t>
      </w:r>
      <w:r>
        <w:rPr>
          <w:rtl w:val="0"/>
        </w:rPr>
        <w:t>ank, 2014)</w:t>
      </w:r>
      <w:r>
        <w:rPr>
          <w:rtl w:val="0"/>
          <w:lang w:val="en-US"/>
        </w:rPr>
        <w:t>. This means that for Niger, great pressure will be put on essential resources such as food, and a massive burden placed on the education system in the immediate future. The UK has a growth rate of just 0.49% in comparison, and a TFR of just 1.8 children per mother.</w:t>
      </w:r>
    </w:p>
    <w:p>
      <w:pPr>
        <w:pStyle w:val="Default"/>
      </w:pPr>
    </w:p>
    <w:p>
      <w:pPr>
        <w:pStyle w:val="Default"/>
      </w:pPr>
      <w:r>
        <w:rPr>
          <w:rtl w:val="0"/>
          <w:lang w:val="en-US"/>
        </w:rPr>
        <w:t>Furthermore, gender inequality is a major barrier to education in Niger and other Sub-Saharan African countries due to cultural and economic reasons. For large families poverty means that children are sent out to work at a young age to provide for the rest of their family. Tomasevski (2001, p.17) tells us that `child labour constitutes a huge obstacle for children</w:t>
      </w:r>
      <w:r>
        <w:rPr>
          <w:rtl w:val="0"/>
          <w:lang w:val="en-US"/>
        </w:rPr>
        <w:t>’</w:t>
      </w:r>
      <w:r>
        <w:rPr>
          <w:rtl w:val="0"/>
          <w:lang w:val="en-US"/>
        </w:rPr>
        <w:t>s education because it is mostly poverty-driven as children have to contribute to the survival of their families</w:t>
      </w:r>
      <w:r>
        <w:rPr>
          <w:rtl w:val="0"/>
          <w:lang w:val="en-US"/>
        </w:rPr>
        <w:t>’</w:t>
      </w:r>
      <w:r>
        <w:rPr>
          <w:rtl w:val="0"/>
          <w:lang w:val="en-US"/>
        </w:rPr>
        <w:t>. Often a choice has to be made about which child from the family should be educated. Culturally it is thought more beneficial for males to be educated, and so females are left to tend to siblings and household chores. Additionally, many girls are married and have children at a young age, at which point they usually stop attending school. Unicef (2019) informs us that 76 per cent of Nigerien girls are married before 18, and 36 per cent of girls aged 15 to 19 have already given birth or are pregnant. In comparison, the average age for first birth in the UK is 28.5 (CIA, 2014), meaning that students are free to finish their education before having children. This evidently contributes to the UNESCO out-of-school statistics (2015) which show that for lower secondary and upper secondary the out-of-school rates for Sub-Saharan countries are 36.1 percent and 57.4 percent respectively (compared to 1.8 percent and 7.8 percent for Europe and North America). This is also highlighted by Bronfenbrenner</w:t>
      </w:r>
      <w:r>
        <w:rPr>
          <w:rtl w:val="0"/>
          <w:lang w:val="en-US"/>
        </w:rPr>
        <w:t>’</w:t>
      </w:r>
      <w:r>
        <w:rPr>
          <w:rtl w:val="0"/>
          <w:lang w:val="en-US"/>
        </w:rPr>
        <w:t>s Ecological Systems Theory (1979) which informs us that cultural traditions practiced by the adults of a community, such as parents, can have a negative effect on the education of a girl child. Consequently, the literacy rate for adults over the age of 15 in Niger is just 19.1 percent compared to the adult literacy rate in the UK of 99 percent (CIA, 2020). If this cultural mindset is to change, Niger</w:t>
      </w:r>
      <w:r>
        <w:rPr>
          <w:rtl w:val="0"/>
          <w:lang w:val="en-US"/>
        </w:rPr>
        <w:t>’</w:t>
      </w:r>
      <w:r>
        <w:rPr>
          <w:rtl w:val="0"/>
          <w:lang w:val="en-US"/>
        </w:rPr>
        <w:t>s people would need to be educated on the benefits of education to women.</w:t>
      </w:r>
    </w:p>
    <w:p>
      <w:pPr>
        <w:pStyle w:val="Default"/>
      </w:pPr>
    </w:p>
    <w:p>
      <w:pPr>
        <w:pStyle w:val="Default"/>
      </w:pPr>
      <w:r>
        <w:rPr>
          <w:rtl w:val="0"/>
          <w:lang w:val="en-US"/>
        </w:rPr>
        <w:t xml:space="preserve">But why is education so important? </w:t>
      </w:r>
      <w:r>
        <w:rPr>
          <w:rtl w:val="0"/>
          <w:lang w:val="en-US"/>
        </w:rPr>
        <w:t>‘</w:t>
      </w:r>
      <w:r>
        <w:rPr>
          <w:rtl w:val="0"/>
          <w:lang w:val="en-US"/>
        </w:rPr>
        <w:t>Education is truly one of the most powerful instruments for reducing poverty and inequality and it sets the foundation for sustained economic growth</w:t>
      </w:r>
      <w:r>
        <w:rPr>
          <w:rtl w:val="0"/>
          <w:lang w:val="en-US"/>
        </w:rPr>
        <w:t xml:space="preserve">’ </w:t>
      </w:r>
      <w:r>
        <w:rPr>
          <w:rtl w:val="0"/>
          <w:lang w:val="en-US"/>
        </w:rPr>
        <w:t xml:space="preserve">(World Bank, 2016 website). Without economic growth, a country slips further into poverty, and the cycle is self-perpetuating. Those who are educated tend to earn more, have better health and learn necessary life skills. Additionally, </w:t>
      </w:r>
      <w:r>
        <w:rPr>
          <w:rtl w:val="0"/>
          <w:lang w:val="en-US"/>
        </w:rPr>
        <w:t>‘</w:t>
      </w:r>
      <w:r>
        <w:rPr>
          <w:rtl w:val="0"/>
          <w:lang w:val="en-US"/>
        </w:rPr>
        <w:t>many human rights can only be accessed through education, particularly rights associated with employment and social security</w:t>
      </w:r>
      <w:r>
        <w:rPr>
          <w:rtl w:val="0"/>
          <w:lang w:val="en-US"/>
        </w:rPr>
        <w:t xml:space="preserve">’ </w:t>
      </w:r>
      <w:r>
        <w:rPr>
          <w:rtl w:val="0"/>
          <w:lang w:val="en-US"/>
        </w:rPr>
        <w:t>(Tomasevski, 2001, p.9). In order to make an impact on human rights issues we need to start with education. According to UNESCO (2017) if all adults completed secondary school, the global poverty rate would be more than halved.</w:t>
      </w:r>
    </w:p>
    <w:p>
      <w:pPr>
        <w:pStyle w:val="Default"/>
      </w:pPr>
    </w:p>
    <w:p>
      <w:pPr>
        <w:pStyle w:val="Default"/>
      </w:pPr>
      <w:r>
        <w:rPr>
          <w:rtl w:val="0"/>
          <w:lang w:val="en-US"/>
        </w:rPr>
        <w:t xml:space="preserve">To counteract the inter-generational cycle of illiteracy and poverty the United Nations Conventions of the Rights of the Child (UNCRC, 1989, p.9) Article 28 states that all members should </w:t>
      </w:r>
      <w:r>
        <w:rPr>
          <w:rtl w:val="0"/>
          <w:lang w:val="en-US"/>
        </w:rPr>
        <w:t>‘</w:t>
      </w:r>
      <w:r>
        <w:rPr>
          <w:rtl w:val="0"/>
          <w:lang w:val="en-US"/>
        </w:rPr>
        <w:t xml:space="preserve">recognise the right of the child to education, in particular, make primary education compulsory and free to all </w:t>
      </w:r>
      <w:r>
        <w:rPr>
          <w:rtl w:val="0"/>
          <w:lang w:val="en-US"/>
        </w:rPr>
        <w:t>…</w:t>
      </w:r>
      <w:r>
        <w:rPr>
          <w:rtl w:val="0"/>
          <w:lang w:val="en-US"/>
        </w:rPr>
        <w:t>. and offering financial assistance in case of need</w:t>
      </w:r>
      <w:r>
        <w:rPr>
          <w:rtl w:val="0"/>
          <w:lang w:val="en-US"/>
        </w:rPr>
        <w:t>’</w:t>
      </w:r>
      <w:r>
        <w:rPr>
          <w:rtl w:val="0"/>
          <w:lang w:val="en-US"/>
        </w:rPr>
        <w:t>. However, the reality is that often parents cannot afford to send their children to school due compulsory items such as uniforms, books and exam fees. Additionally, the lack of a functioning government in many of the areas of Niger means that there are no schools, except privately owned low-fee schools which many cannot afford. In the UK there is provision for those who are on lower incomes such as free school meals, contribution to uniforms, and the pupil deprivation fund for those who require additional support in school. The Welsh Government also offers a free breakfast before school for all primary aged children. A food provision scheme in a country such as Niger could have great benefits in enrolment and attendance rates. The UK also provides free education up to the age of sixteen, and the education maintenance grant to incentivise those who are over sixteen to remain in education.</w:t>
      </w:r>
    </w:p>
    <w:p>
      <w:pPr>
        <w:pStyle w:val="Default"/>
      </w:pPr>
    </w:p>
    <w:p>
      <w:pPr>
        <w:pStyle w:val="Default"/>
      </w:pPr>
      <w:r>
        <w:rPr>
          <w:rtl w:val="0"/>
          <w:lang w:val="en-US"/>
        </w:rPr>
        <w:t xml:space="preserve">A similar policy which also governs Niger is the African Charter on the Rights and Welfare of the Child (ACRWC, 1990) which contains many of the UNCRC conditions but has special provision for African issues, such as: </w:t>
      </w:r>
      <w:r>
        <w:rPr>
          <w:rtl w:val="0"/>
          <w:lang w:val="en-US"/>
        </w:rPr>
        <w:t>’</w:t>
      </w:r>
      <w:r>
        <w:rPr>
          <w:rtl w:val="0"/>
          <w:lang w:val="en-US"/>
        </w:rPr>
        <w:t>including</w:t>
      </w:r>
      <w:r>
        <w:rPr>
          <w:rtl w:val="0"/>
          <w:lang w:val="en-US"/>
        </w:rPr>
        <w:t xml:space="preserve"> the preservation and strengthening of positive African morals, traditional values and cultures</w:t>
      </w:r>
      <w:r>
        <w:rPr>
          <w:rtl w:val="0"/>
          <w:lang w:val="en-US"/>
        </w:rPr>
        <w:t xml:space="preserve">’ </w:t>
      </w:r>
      <w:r>
        <w:rPr>
          <w:rtl w:val="0"/>
          <w:lang w:val="en-US"/>
        </w:rPr>
        <w:t xml:space="preserve">and </w:t>
      </w:r>
      <w:r>
        <w:rPr>
          <w:rtl w:val="0"/>
          <w:lang w:val="en-US"/>
        </w:rPr>
        <w:t>‘</w:t>
      </w:r>
      <w:r>
        <w:rPr>
          <w:rtl w:val="0"/>
          <w:lang w:val="en-US"/>
        </w:rPr>
        <w:t>shall take all appropriate measures to ensure that children who become pregnant before completing their education shall have an opportunity to continue their education.</w:t>
      </w:r>
      <w:r>
        <w:rPr>
          <w:rtl w:val="0"/>
          <w:lang w:val="en-US"/>
        </w:rPr>
        <w:t xml:space="preserve">’ </w:t>
      </w:r>
      <w:r>
        <w:rPr>
          <w:rtl w:val="0"/>
          <w:lang w:val="en-US"/>
        </w:rPr>
        <w:t xml:space="preserve">(ACRWC, 1990, </w:t>
      </w:r>
      <w:r>
        <w:rPr>
          <w:rtl w:val="0"/>
          <w:lang w:val="fr-FR"/>
        </w:rPr>
        <w:t>Article 11</w:t>
      </w:r>
      <w:r>
        <w:rPr>
          <w:rtl w:val="0"/>
          <w:lang w:val="en-US"/>
        </w:rPr>
        <w:t>, p.1). The charter is also more explicit about safeguarding children from being recruited as soldiers, protection from child marriage and trafficking, and that children have responsibilities within their communities. Despite this, it is not as well known (even in Africa) as the UNCRC, and has not been ratified by all African countries. Protection is however afforded to citizens by both policies.</w:t>
      </w:r>
    </w:p>
    <w:p>
      <w:pPr>
        <w:pStyle w:val="Default"/>
        <w:ind w:right="0"/>
        <w:rPr>
          <w:outline w:val="0"/>
          <w:color w:val="4c4c4c"/>
          <w:shd w:val="clear" w:color="auto" w:fill="ffffff"/>
          <w14:textFill>
            <w14:solidFill>
              <w14:srgbClr w14:val="4D4D4D"/>
            </w14:solidFill>
          </w14:textFill>
        </w:rPr>
      </w:pPr>
    </w:p>
    <w:p>
      <w:pPr>
        <w:pStyle w:val="Default"/>
        <w:shd w:val="clear" w:color="auto" w:fill="fefefe"/>
        <w:ind w:right="0"/>
        <w:rPr>
          <w:outline w:val="0"/>
          <w:color w:val="303030"/>
          <w:shd w:val="clear" w:color="auto" w:fill="ffffff"/>
          <w14:textFill>
            <w14:solidFill>
              <w14:srgbClr w14:val="303030"/>
            </w14:solidFill>
          </w14:textFill>
        </w:rPr>
      </w:pPr>
      <w:r>
        <w:rPr>
          <w:outline w:val="0"/>
          <w:color w:val="303030"/>
          <w:shd w:val="clear" w:color="auto" w:fill="ffffff"/>
          <w:rtl w:val="0"/>
          <w:lang w:val="en-US"/>
          <w14:textFill>
            <w14:solidFill>
              <w14:srgbClr w14:val="303030"/>
            </w14:solidFill>
          </w14:textFill>
        </w:rPr>
        <w:t xml:space="preserve">The Dakar Framework for Action (2000) </w:t>
      </w:r>
      <w:r>
        <w:rPr>
          <w:outline w:val="0"/>
          <w:color w:val="303030"/>
          <w:shd w:val="clear" w:color="auto" w:fill="ffffff"/>
          <w:rtl w:val="0"/>
          <w:lang w:val="fr-FR"/>
          <w14:textFill>
            <w14:solidFill>
              <w14:srgbClr w14:val="303030"/>
            </w14:solidFill>
          </w14:textFill>
        </w:rPr>
        <w:t xml:space="preserve">re-affirmed </w:t>
      </w:r>
      <w:r>
        <w:rPr>
          <w:outline w:val="0"/>
          <w:color w:val="303030"/>
          <w:shd w:val="clear" w:color="auto" w:fill="ffffff"/>
          <w:rtl w:val="0"/>
          <w:lang w:val="en-US"/>
          <w14:textFill>
            <w14:solidFill>
              <w14:srgbClr w14:val="303030"/>
            </w14:solidFill>
          </w14:textFill>
        </w:rPr>
        <w:t>world leaders</w:t>
      </w:r>
      <w:r>
        <w:rPr>
          <w:outline w:val="0"/>
          <w:color w:val="303030"/>
          <w:shd w:val="clear" w:color="auto" w:fill="ffffff"/>
          <w:rtl w:val="0"/>
          <w:lang w:val="en-US"/>
          <w14:textFill>
            <w14:solidFill>
              <w14:srgbClr w14:val="303030"/>
            </w14:solidFill>
          </w14:textFill>
        </w:rPr>
        <w:t>’</w:t>
      </w:r>
      <w:r>
        <w:rPr>
          <w:outline w:val="0"/>
          <w:color w:val="303030"/>
          <w:shd w:val="clear" w:color="auto" w:fill="ffffff"/>
          <w:rtl w:val="0"/>
          <w:lang w:val="en-US"/>
          <w14:textFill>
            <w14:solidFill>
              <w14:srgbClr w14:val="303030"/>
            </w14:solidFill>
          </w14:textFill>
        </w:rPr>
        <w:t xml:space="preserve"> commitment to achieving Education for All by the year 2015, and identified six key measurable education goals which aim</w:t>
      </w:r>
      <w:r>
        <w:rPr>
          <w:outline w:val="0"/>
          <w:color w:val="303030"/>
          <w:shd w:val="clear" w:color="auto" w:fill="ffffff"/>
          <w:rtl w:val="0"/>
          <w:lang w:val="en-US"/>
          <w14:textFill>
            <w14:solidFill>
              <w14:srgbClr w14:val="303030"/>
            </w14:solidFill>
          </w14:textFill>
        </w:rPr>
        <w:t>ed</w:t>
      </w:r>
      <w:r>
        <w:rPr>
          <w:outline w:val="0"/>
          <w:color w:val="303030"/>
          <w:shd w:val="clear" w:color="auto" w:fill="ffffff"/>
          <w:rtl w:val="0"/>
          <w:lang w:val="en-US"/>
          <w14:textFill>
            <w14:solidFill>
              <w14:srgbClr w14:val="303030"/>
            </w14:solidFill>
          </w14:textFill>
        </w:rPr>
        <w:t xml:space="preserve"> to meet the learning needs of all </w:t>
      </w:r>
      <w:r>
        <w:rPr>
          <w:outline w:val="0"/>
          <w:color w:val="303030"/>
          <w:shd w:val="clear" w:color="auto" w:fill="ffffff"/>
          <w:rtl w:val="0"/>
          <w:lang w:val="en-US"/>
          <w14:textFill>
            <w14:solidFill>
              <w14:srgbClr w14:val="303030"/>
            </w14:solidFill>
          </w14:textFill>
        </w:rPr>
        <w:t xml:space="preserve">by </w:t>
      </w:r>
      <w:r>
        <w:rPr>
          <w:outline w:val="0"/>
          <w:color w:val="303030"/>
          <w:shd w:val="clear" w:color="auto" w:fill="ffffff"/>
          <w:rtl w:val="0"/>
          <w14:textFill>
            <w14:solidFill>
              <w14:srgbClr w14:val="303030"/>
            </w14:solidFill>
          </w14:textFill>
        </w:rPr>
        <w:t>2015</w:t>
      </w:r>
      <w:r>
        <w:rPr>
          <w:outline w:val="0"/>
          <w:color w:val="303030"/>
          <w:shd w:val="clear" w:color="auto" w:fill="ffffff"/>
          <w:rtl w:val="0"/>
          <w:lang w:val="en-US"/>
          <w14:textFill>
            <w14:solidFill>
              <w14:srgbClr w14:val="303030"/>
            </w14:solidFill>
          </w14:textFill>
        </w:rPr>
        <w:t xml:space="preserve">, with special attention given to </w:t>
      </w:r>
      <w:r>
        <w:rPr>
          <w:outline w:val="0"/>
          <w:color w:val="303030"/>
          <w:shd w:val="clear" w:color="auto" w:fill="ffffff"/>
          <w:rtl w:val="0"/>
          <w:lang w:val="en-US"/>
          <w14:textFill>
            <w14:solidFill>
              <w14:srgbClr w14:val="303030"/>
            </w14:solidFill>
          </w14:textFill>
        </w:rPr>
        <w:t>‘</w:t>
      </w:r>
      <w:r>
        <w:rPr>
          <w:outline w:val="0"/>
          <w:color w:val="303030"/>
          <w:shd w:val="clear" w:color="auto" w:fill="ffffff"/>
          <w:rtl w:val="0"/>
          <w:lang w:val="en-US"/>
          <w14:textFill>
            <w14:solidFill>
              <w14:srgbClr w14:val="303030"/>
            </w14:solidFill>
          </w14:textFill>
        </w:rPr>
        <w:t xml:space="preserve">early childhood education, school health, education of girls and women, adult literacy and education </w:t>
      </w:r>
      <w:r>
        <w:rPr>
          <w:outline w:val="0"/>
          <w:color w:val="303030"/>
          <w:shd w:val="clear" w:color="auto" w:fill="ffffff"/>
          <w:rtl w:val="0"/>
          <w:lang w:val="en-US"/>
          <w14:textFill>
            <w14:solidFill>
              <w14:srgbClr w14:val="303030"/>
            </w14:solidFill>
          </w14:textFill>
        </w:rPr>
        <w:t>(UNESCO, 2000, p.8). The EFA goals also contributed to the Millennium Development Goals (MDG</w:t>
      </w:r>
      <w:r>
        <w:rPr>
          <w:outline w:val="0"/>
          <w:color w:val="303030"/>
          <w:shd w:val="clear" w:color="auto" w:fill="ffffff"/>
          <w:rtl w:val="0"/>
          <w:lang w:val="en-US"/>
          <w14:textFill>
            <w14:solidFill>
              <w14:srgbClr w14:val="303030"/>
            </w14:solidFill>
          </w14:textFill>
        </w:rPr>
        <w:t>’</w:t>
      </w:r>
      <w:r>
        <w:rPr>
          <w:outline w:val="0"/>
          <w:color w:val="303030"/>
          <w:shd w:val="clear" w:color="auto" w:fill="ffffff"/>
          <w:rtl w:val="0"/>
          <w:lang w:val="en-US"/>
          <w14:textFill>
            <w14:solidFill>
              <w14:srgbClr w14:val="303030"/>
            </w14:solidFill>
          </w14:textFill>
        </w:rPr>
        <w:t xml:space="preserve">s) </w:t>
      </w:r>
      <w:r>
        <w:rPr>
          <w:outline w:val="0"/>
          <w:color w:val="303030"/>
          <w:shd w:val="clear" w:color="auto" w:fill="ffffff"/>
          <w:rtl w:val="0"/>
          <w:lang w:val="en-US"/>
          <w14:textFill>
            <w14:solidFill>
              <w14:srgbClr w14:val="303030"/>
            </w14:solidFill>
          </w14:textFill>
        </w:rPr>
        <w:t>especially MDG 2</w:t>
      </w:r>
      <w:r>
        <w:rPr>
          <w:outline w:val="0"/>
          <w:color w:val="303030"/>
          <w:shd w:val="clear" w:color="auto" w:fill="ffffff"/>
          <w:rtl w:val="0"/>
          <w:lang w:val="en-US"/>
          <w14:textFill>
            <w14:solidFill>
              <w14:srgbClr w14:val="303030"/>
            </w14:solidFill>
          </w14:textFill>
        </w:rPr>
        <w:t>.2 to achieve universal primary education</w:t>
      </w:r>
      <w:r>
        <w:rPr>
          <w:outline w:val="0"/>
          <w:color w:val="303030"/>
          <w:shd w:val="clear" w:color="auto" w:fill="ffffff"/>
          <w:rtl w:val="0"/>
          <w:lang w:val="en-US"/>
          <w14:textFill>
            <w14:solidFill>
              <w14:srgbClr w14:val="303030"/>
            </w14:solidFill>
          </w14:textFill>
        </w:rPr>
        <w:t xml:space="preserve"> and MDG </w:t>
      </w:r>
      <w:r>
        <w:rPr>
          <w:outline w:val="0"/>
          <w:color w:val="303030"/>
          <w:shd w:val="clear" w:color="auto" w:fill="ffffff"/>
          <w:rtl w:val="0"/>
          <w:lang w:val="en-US"/>
          <w14:textFill>
            <w14:solidFill>
              <w14:srgbClr w14:val="303030"/>
            </w14:solidFill>
          </w14:textFill>
        </w:rPr>
        <w:t>2.3</w:t>
      </w:r>
      <w:r>
        <w:rPr>
          <w:outline w:val="0"/>
          <w:color w:val="303030"/>
          <w:shd w:val="clear" w:color="auto" w:fill="ffffff"/>
          <w:rtl w:val="0"/>
          <w14:textFill>
            <w14:solidFill>
              <w14:srgbClr w14:val="303030"/>
            </w14:solidFill>
          </w14:textFill>
        </w:rPr>
        <w:t xml:space="preserve"> </w:t>
      </w:r>
      <w:r>
        <w:rPr>
          <w:outline w:val="0"/>
          <w:color w:val="303030"/>
          <w:shd w:val="clear" w:color="auto" w:fill="ffffff"/>
          <w:rtl w:val="0"/>
          <w:lang w:val="en-US"/>
          <w14:textFill>
            <w14:solidFill>
              <w14:srgbClr w14:val="303030"/>
            </w14:solidFill>
          </w14:textFill>
        </w:rPr>
        <w:t>to promote</w:t>
      </w:r>
      <w:r>
        <w:rPr>
          <w:outline w:val="0"/>
          <w:color w:val="303030"/>
          <w:shd w:val="clear" w:color="auto" w:fill="ffffff"/>
          <w:rtl w:val="0"/>
          <w:lang w:val="en-US"/>
          <w14:textFill>
            <w14:solidFill>
              <w14:srgbClr w14:val="303030"/>
            </w14:solidFill>
          </w14:textFill>
        </w:rPr>
        <w:t xml:space="preserve"> gender equality in education.</w:t>
      </w:r>
      <w:r>
        <w:rPr>
          <w:outline w:val="0"/>
          <w:color w:val="303030"/>
          <w:shd w:val="clear" w:color="auto" w:fill="ffffff"/>
          <w:rtl w:val="0"/>
          <w:lang w:val="en-US"/>
          <w14:textFill>
            <w14:solidFill>
              <w14:srgbClr w14:val="303030"/>
            </w14:solidFill>
          </w14:textFill>
        </w:rPr>
        <w:t xml:space="preserve"> However, despite progress being made, goals were not fully met fully and the improvements that were seen were uneven. Despite significant investment in education in 2012 and the increase in enrolment rates, education levels remain low: </w:t>
      </w:r>
      <w:r>
        <w:rPr>
          <w:outline w:val="0"/>
          <w:color w:val="303030"/>
          <w:shd w:val="clear" w:color="auto" w:fill="ffffff"/>
          <w:rtl w:val="0"/>
          <w:lang w:val="en-US"/>
          <w14:textFill>
            <w14:solidFill>
              <w14:srgbClr w14:val="303030"/>
            </w14:solidFill>
          </w14:textFill>
        </w:rPr>
        <w:t>‘</w:t>
      </w:r>
      <w:r>
        <w:rPr>
          <w:outline w:val="0"/>
          <w:color w:val="303030"/>
          <w:shd w:val="clear" w:color="auto" w:fill="ffffff"/>
          <w:rtl w:val="0"/>
          <w:lang w:val="en-US"/>
          <w14:textFill>
            <w14:solidFill>
              <w14:srgbClr w14:val="303030"/>
            </w14:solidFill>
          </w14:textFill>
        </w:rPr>
        <w:t>o</w:t>
      </w:r>
      <w:r>
        <w:rPr>
          <w:outline w:val="0"/>
          <w:color w:val="303030"/>
          <w:shd w:val="clear" w:color="auto" w:fill="ffffff"/>
          <w:rtl w:val="0"/>
          <w:lang w:val="en-US"/>
          <w14:textFill>
            <w14:solidFill>
              <w14:srgbClr w14:val="303030"/>
            </w14:solidFill>
          </w14:textFill>
        </w:rPr>
        <w:t>ver 50 per cent of children aged 7-16 are not in school</w:t>
      </w:r>
      <w:r>
        <w:rPr>
          <w:outline w:val="0"/>
          <w:color w:val="303030"/>
          <w:shd w:val="clear" w:color="auto" w:fill="ffffff"/>
          <w:rtl w:val="0"/>
          <w:lang w:val="en-US"/>
          <w14:textFill>
            <w14:solidFill>
              <w14:srgbClr w14:val="303030"/>
            </w14:solidFill>
          </w14:textFill>
        </w:rPr>
        <w:t xml:space="preserve">’ </w:t>
      </w:r>
      <w:r>
        <w:rPr>
          <w:outline w:val="0"/>
          <w:color w:val="303030"/>
          <w:shd w:val="clear" w:color="auto" w:fill="ffffff"/>
          <w:rtl w:val="0"/>
          <w:lang w:val="en-US"/>
          <w14:textFill>
            <w14:solidFill>
              <w14:srgbClr w14:val="303030"/>
            </w14:solidFill>
          </w14:textFill>
        </w:rPr>
        <w:t>(</w:t>
      </w:r>
      <w:r>
        <w:rPr>
          <w:rStyle w:val="Link"/>
          <w:outline w:val="0"/>
          <w:color w:val="303030"/>
          <w:shd w:val="clear" w:color="auto" w:fill="ffffff"/>
          <w14:textFill>
            <w14:solidFill>
              <w14:srgbClr w14:val="303030"/>
            </w14:solidFill>
          </w14:textFill>
        </w:rPr>
        <w:fldChar w:fldCharType="begin" w:fldLock="0"/>
      </w:r>
      <w:r>
        <w:rPr>
          <w:rStyle w:val="Link"/>
          <w:outline w:val="0"/>
          <w:color w:val="303030"/>
          <w:shd w:val="clear" w:color="auto" w:fill="ffffff"/>
          <w14:textFill>
            <w14:solidFill>
              <w14:srgbClr w14:val="303030"/>
            </w14:solidFill>
          </w14:textFill>
        </w:rPr>
        <w:instrText xml:space="preserve"> HYPERLINK "http://unicef.org"</w:instrText>
      </w:r>
      <w:r>
        <w:rPr>
          <w:rStyle w:val="Link"/>
          <w:outline w:val="0"/>
          <w:color w:val="303030"/>
          <w:shd w:val="clear" w:color="auto" w:fill="ffffff"/>
          <w14:textFill>
            <w14:solidFill>
              <w14:srgbClr w14:val="303030"/>
            </w14:solidFill>
          </w14:textFill>
        </w:rPr>
        <w:fldChar w:fldCharType="separate" w:fldLock="0"/>
      </w:r>
      <w:r>
        <w:rPr>
          <w:rStyle w:val="Link"/>
          <w:outline w:val="0"/>
          <w:color w:val="303030"/>
          <w:shd w:val="clear" w:color="auto" w:fill="ffffff"/>
          <w:rtl w:val="0"/>
          <w14:textFill>
            <w14:solidFill>
              <w14:srgbClr w14:val="303030"/>
            </w14:solidFill>
          </w14:textFill>
        </w:rPr>
        <w:t>unicef.org</w:t>
      </w:r>
      <w:r>
        <w:rPr>
          <w:outline w:val="0"/>
          <w:color w:val="303030"/>
          <w:shd w:val="clear" w:color="auto" w:fill="ffffff"/>
          <w14:textFill>
            <w14:solidFill>
              <w14:srgbClr w14:val="303030"/>
            </w14:solidFill>
          </w14:textFill>
        </w:rPr>
        <w:fldChar w:fldCharType="end" w:fldLock="0"/>
      </w:r>
      <w:r>
        <w:rPr>
          <w:outline w:val="0"/>
          <w:color w:val="303030"/>
          <w:shd w:val="clear" w:color="auto" w:fill="ffffff"/>
          <w:rtl w:val="0"/>
          <w:lang w:val="en-US"/>
          <w14:textFill>
            <w14:solidFill>
              <w14:srgbClr w14:val="303030"/>
            </w14:solidFill>
          </w14:textFill>
        </w:rPr>
        <w:t xml:space="preserve"> 2014).</w:t>
      </w:r>
    </w:p>
    <w:p>
      <w:pPr>
        <w:pStyle w:val="Default"/>
      </w:pPr>
    </w:p>
    <w:p>
      <w:pPr>
        <w:pStyle w:val="Default"/>
      </w:pPr>
      <w:r>
        <w:rPr>
          <w:rtl w:val="0"/>
          <w:lang w:val="en-US"/>
        </w:rPr>
        <w:t>Following on from this, the Sustainable Development Goals (SDG</w:t>
      </w:r>
      <w:r>
        <w:rPr>
          <w:rtl w:val="0"/>
          <w:lang w:val="en-US"/>
        </w:rPr>
        <w:t>’</w:t>
      </w:r>
      <w:r>
        <w:rPr>
          <w:rtl w:val="0"/>
          <w:lang w:val="en-US"/>
        </w:rPr>
        <w:t>s, 2015) were adopted by UN member states as part of the</w:t>
      </w:r>
      <w:r>
        <w:rPr>
          <w:rtl w:val="0"/>
          <w:lang w:val="en-US"/>
        </w:rPr>
        <w:t> </w:t>
      </w:r>
      <w:r>
        <w:rPr>
          <w:rStyle w:val="Hyperlink.1"/>
        </w:rPr>
        <w:fldChar w:fldCharType="begin" w:fldLock="0"/>
      </w:r>
      <w:r>
        <w:rPr>
          <w:rStyle w:val="Hyperlink.1"/>
        </w:rPr>
        <w:instrText xml:space="preserve"> HYPERLINK "http://www.un.org/ga/search/view_doc.asp?symbol=A/RES/70/1&amp;Lang=E"</w:instrText>
      </w:r>
      <w:r>
        <w:rPr>
          <w:rStyle w:val="Hyperlink.1"/>
        </w:rPr>
        <w:fldChar w:fldCharType="separate" w:fldLock="0"/>
      </w:r>
      <w:r>
        <w:rPr>
          <w:rStyle w:val="Hyperlink.1"/>
          <w:rtl w:val="0"/>
          <w:lang w:val="en-US"/>
        </w:rPr>
        <w:t>2030 Agenda for Sustainable Development</w:t>
      </w:r>
      <w:r>
        <w:rPr/>
        <w:fldChar w:fldCharType="end" w:fldLock="0"/>
      </w:r>
      <w:r>
        <w:rPr>
          <w:rtl w:val="0"/>
          <w:lang w:val="en-US"/>
        </w:rPr>
        <w:t xml:space="preserve"> which set out a further 15-year plan to ensure that no-one is left behind, and continued to work on those goals still yet to be achieved by the 2015 MDG</w:t>
      </w:r>
      <w:r>
        <w:rPr>
          <w:rtl w:val="0"/>
          <w:lang w:val="en-US"/>
        </w:rPr>
        <w:t>’</w:t>
      </w:r>
      <w:r>
        <w:rPr>
          <w:rtl w:val="0"/>
          <w:lang w:val="en-US"/>
        </w:rPr>
        <w:t>s deadline. Specifically for education, SDG 4: Q</w:t>
      </w:r>
      <w:r>
        <w:rPr>
          <w:rtl w:val="0"/>
          <w:lang w:val="en-US"/>
        </w:rPr>
        <w:t xml:space="preserve">uality </w:t>
      </w:r>
      <w:r>
        <w:rPr>
          <w:rtl w:val="0"/>
          <w:lang w:val="en-US"/>
        </w:rPr>
        <w:t>E</w:t>
      </w:r>
      <w:r>
        <w:rPr>
          <w:rtl w:val="0"/>
          <w:lang w:val="fr-FR"/>
        </w:rPr>
        <w:t>ducation</w:t>
      </w:r>
      <w:r>
        <w:rPr>
          <w:rtl w:val="0"/>
          <w:lang w:val="en-US"/>
        </w:rPr>
        <w:t xml:space="preserve"> states that </w:t>
      </w:r>
      <w:r>
        <w:rPr>
          <w:rtl w:val="0"/>
          <w:lang w:val="en-US"/>
        </w:rPr>
        <w:t>‘</w:t>
      </w:r>
      <w:r>
        <w:rPr>
          <w:rtl w:val="0"/>
          <w:lang w:val="en-US"/>
        </w:rPr>
        <w:t>investment is needed in educational scholarships, teacher training workshops, school building and improvement of water and electricity access to schools</w:t>
      </w:r>
      <w:r>
        <w:rPr>
          <w:rtl w:val="0"/>
          <w:lang w:val="en-US"/>
        </w:rPr>
        <w:t>’</w:t>
      </w:r>
      <w:r>
        <w:rPr>
          <w:rtl w:val="0"/>
          <w:lang w:val="en-US"/>
        </w:rPr>
        <w:t xml:space="preserve">. But, after an initial improvement the out-of-school rates have not shown much progress, and the UN admits that targets are a long way from being met: </w:t>
      </w:r>
      <w:r>
        <w:rPr>
          <w:rtl w:val="0"/>
          <w:lang w:val="en-US"/>
        </w:rPr>
        <w:t>‘</w:t>
      </w:r>
      <w:r>
        <w:rPr>
          <w:rtl w:val="0"/>
          <w:lang w:val="en-US"/>
        </w:rPr>
        <w:t>2020 needs to usher in a decade of ambitious action to deliver the Goals by 2030</w:t>
      </w:r>
      <w:r>
        <w:rPr>
          <w:rtl w:val="0"/>
          <w:lang w:val="en-US"/>
        </w:rPr>
        <w:t xml:space="preserve">’ </w:t>
      </w:r>
      <w:r>
        <w:rPr>
          <w:rtl w:val="0"/>
          <w:lang w:val="en-US"/>
        </w:rPr>
        <w:t>(</w:t>
      </w:r>
      <w:r>
        <w:rPr>
          <w:rStyle w:val="Link"/>
        </w:rPr>
        <w:fldChar w:fldCharType="begin" w:fldLock="0"/>
      </w:r>
      <w:r>
        <w:rPr>
          <w:rStyle w:val="Link"/>
        </w:rPr>
        <w:instrText xml:space="preserve"> HYPERLINK "http://un.org"</w:instrText>
      </w:r>
      <w:r>
        <w:rPr>
          <w:rStyle w:val="Link"/>
        </w:rPr>
        <w:fldChar w:fldCharType="separate" w:fldLock="0"/>
      </w:r>
      <w:r>
        <w:rPr>
          <w:rStyle w:val="Link"/>
          <w:rtl w:val="0"/>
          <w:lang w:val="en-US"/>
        </w:rPr>
        <w:t>un.org</w:t>
      </w:r>
      <w:r>
        <w:rPr/>
        <w:fldChar w:fldCharType="end" w:fldLock="0"/>
      </w:r>
      <w:r>
        <w:rPr>
          <w:rtl w:val="0"/>
          <w:lang w:val="en-US"/>
        </w:rPr>
        <w:t xml:space="preserve"> 2020).</w:t>
      </w:r>
    </w:p>
    <w:p>
      <w:pPr>
        <w:pStyle w:val="Default"/>
      </w:pPr>
    </w:p>
    <w:p>
      <w:pPr>
        <w:pStyle w:val="Default"/>
      </w:pPr>
      <w:r>
        <w:rPr>
          <w:rtl w:val="0"/>
          <w:lang w:val="en-US"/>
        </w:rPr>
        <w:t xml:space="preserve">Another barrier to education in Niger is the French language which is used predominantly in schools, and was inherited from the French colonial era. It is the official language used by the government, media and business community. However, it is only spoken as a second language by the educated few. Hausa is the language spoken most widely by 55% of the population (CIA, 2020) and a further </w:t>
      </w:r>
      <w:r>
        <w:rPr>
          <w:rtl w:val="0"/>
          <w:lang w:val="en-US"/>
        </w:rPr>
        <w:t>11 prominent languages</w:t>
      </w:r>
      <w:r>
        <w:rPr>
          <w:rtl w:val="0"/>
          <w:lang w:val="en-US"/>
        </w:rPr>
        <w:t xml:space="preserve"> are also spoken by various indigenous people, creating barriers to education and a hierarchy of language. One solution to this in Niger has been a shift in the language used for primary instruction, from French to the local language of the people who use the school, which enables access to the curriculum (</w:t>
      </w:r>
      <w:r>
        <w:rPr>
          <w:rtl w:val="0"/>
          <w:lang w:val="fr-FR"/>
        </w:rPr>
        <w:t>education.stateuniversity.com/pages/1099/Niger.html</w:t>
      </w:r>
      <w:r>
        <w:rPr>
          <w:rtl w:val="0"/>
          <w:lang w:val="en-US"/>
        </w:rPr>
        <w:t>). However, secondary school remains in French which is something that could be re-considered for the future.</w:t>
      </w:r>
    </w:p>
    <w:p>
      <w:pPr>
        <w:pStyle w:val="Default"/>
      </w:pPr>
    </w:p>
    <w:p>
      <w:pPr>
        <w:pStyle w:val="Default"/>
      </w:pPr>
      <w:r>
        <w:rPr>
          <w:rtl w:val="0"/>
          <w:lang w:val="en-US"/>
        </w:rPr>
        <w:t>The infrastructure of Niger</w:t>
      </w:r>
      <w:r>
        <w:rPr>
          <w:rtl w:val="0"/>
          <w:lang w:val="en-US"/>
        </w:rPr>
        <w:t>’</w:t>
      </w:r>
      <w:r>
        <w:rPr>
          <w:rtl w:val="0"/>
          <w:lang w:val="en-US"/>
        </w:rPr>
        <w:t xml:space="preserve">s schools, and those that teach in them provide further barriers to education. Schools that are available are often too far away to allow safe passage for young children to walk, and are often make-shift buildings with no sanitation, electricity or running water. Access to these buildings, and the distance to be travelled is prohibitive to those with physical disabilities of any kind. Pupils have no access to pens, paper and basic equipment, and the teacher to student ratio in Niger is 1:42 (UNICEF, 2014). In the UK this ratio is approximately 1:30 in secondary, and can be 1:15 in primary settings, allowing for much greater focus on individual children. Those who are employed are not adequately trained, and poor salaries and lack of funding mean that those who are sufficiently educated are not attracted to the profession. The African Development Bank (1998) identifies low salaries as the most harmful factor for the education sector in general. Teachers of nomadic people should move with the community and interventions to improve the quality and quantity of teachers trained. In the UK teacher training is rigorous and completed at degree level, with continual professional development as an essential part of the job, and renumeration is in-line with other careers. Indeed, UNCRC (1989, p.8) suggests </w:t>
      </w:r>
      <w:r>
        <w:rPr>
          <w:rtl w:val="0"/>
          <w:lang w:val="en-US"/>
        </w:rPr>
        <w:t>’</w:t>
      </w:r>
      <w:r>
        <w:rPr>
          <w:rtl w:val="0"/>
          <w:lang w:val="en-US"/>
        </w:rPr>
        <w:t>facilitating access to scientific and technical knowledge and modern teaching methods. In this regard, particular account should be taken of the needs of developing countries.</w:t>
      </w:r>
      <w:r>
        <w:rPr>
          <w:rtl w:val="0"/>
          <w:lang w:val="en-US"/>
        </w:rPr>
        <w:t>’</w:t>
      </w:r>
    </w:p>
    <w:p>
      <w:pPr>
        <w:pStyle w:val="Default"/>
        <w:shd w:val="clear" w:color="auto" w:fill="fefefe"/>
        <w:ind w:right="0"/>
        <w:rPr>
          <w:outline w:val="0"/>
          <w:color w:val="303030"/>
          <w:shd w:val="clear" w:color="auto" w:fill="ffffff"/>
          <w14:textFill>
            <w14:solidFill>
              <w14:srgbClr w14:val="303030"/>
            </w14:solidFill>
          </w14:textFill>
        </w:rPr>
      </w:pPr>
    </w:p>
    <w:p>
      <w:pPr>
        <w:pStyle w:val="Default"/>
        <w:ind w:right="0"/>
        <w:rPr>
          <w:shd w:val="clear" w:color="auto" w:fill="ffffff"/>
        </w:rPr>
      </w:pPr>
      <w:r>
        <w:rPr>
          <w:shd w:val="clear" w:color="auto" w:fill="ffffff"/>
          <w:rtl w:val="0"/>
          <w:lang w:val="en-US"/>
        </w:rPr>
        <w:t>Funded by the Norwegian Agency for Development Cooperation (NORAD) and overseen by the World Bank, Connect My School is an initiative to establish the transition between primary and secondary school in Niger by encouraging children to stay in the school system by promoting their numeracy and literacy skills (</w:t>
      </w:r>
      <w:r>
        <w:rPr>
          <w:rStyle w:val="Link"/>
          <w:shd w:val="clear" w:color="auto" w:fill="ffffff"/>
        </w:rPr>
        <w:fldChar w:fldCharType="begin" w:fldLock="0"/>
      </w:r>
      <w:r>
        <w:rPr>
          <w:rStyle w:val="Link"/>
          <w:shd w:val="clear" w:color="auto" w:fill="ffffff"/>
        </w:rPr>
        <w:instrText xml:space="preserve"> HYPERLINK "http://UNICEF.org"</w:instrText>
      </w:r>
      <w:r>
        <w:rPr>
          <w:rStyle w:val="Link"/>
          <w:shd w:val="clear" w:color="auto" w:fill="ffffff"/>
        </w:rPr>
        <w:fldChar w:fldCharType="separate" w:fldLock="0"/>
      </w:r>
      <w:r>
        <w:rPr>
          <w:rStyle w:val="Link"/>
          <w:shd w:val="clear" w:color="auto" w:fill="ffffff"/>
          <w:rtl w:val="0"/>
          <w:lang w:val="en-US"/>
        </w:rPr>
        <w:t>UNICEF.org</w:t>
      </w:r>
      <w:r>
        <w:rPr>
          <w:shd w:val="clear" w:color="auto" w:fill="ffffff"/>
        </w:rPr>
        <w:fldChar w:fldCharType="end" w:fldLock="0"/>
      </w:r>
      <w:r>
        <w:rPr>
          <w:shd w:val="clear" w:color="auto" w:fill="ffffff"/>
          <w:rtl w:val="0"/>
          <w:lang w:val="en-US"/>
        </w:rPr>
        <w:t xml:space="preserve"> 2014), It aims to </w:t>
      </w:r>
      <w:r>
        <w:rPr>
          <w:shd w:val="clear" w:color="auto" w:fill="ffffff"/>
          <w:rtl w:val="0"/>
          <w:lang w:val="en-US"/>
        </w:rPr>
        <w:t>‘</w:t>
      </w:r>
      <w:r>
        <w:rPr>
          <w:shd w:val="clear" w:color="auto" w:fill="ffffff"/>
          <w:rtl w:val="0"/>
          <w:lang w:val="en-US"/>
        </w:rPr>
        <w:t>develop incentive programs to increase girls</w:t>
      </w:r>
      <w:r>
        <w:rPr>
          <w:shd w:val="clear" w:color="auto" w:fill="ffffff"/>
          <w:rtl w:val="0"/>
          <w:lang w:val="en-US"/>
        </w:rPr>
        <w:t xml:space="preserve">’ </w:t>
      </w:r>
      <w:r>
        <w:rPr>
          <w:shd w:val="clear" w:color="auto" w:fill="ffffff"/>
          <w:rtl w:val="0"/>
          <w:lang w:val="en-US"/>
        </w:rPr>
        <w:t>enrolment and retention, and extend pre-school coverage through building community classrooms (</w:t>
      </w:r>
      <w:r>
        <w:rPr>
          <w:rStyle w:val="Link"/>
          <w:shd w:val="clear" w:color="auto" w:fill="ffffff"/>
        </w:rPr>
        <w:fldChar w:fldCharType="begin" w:fldLock="0"/>
      </w:r>
      <w:r>
        <w:rPr>
          <w:rStyle w:val="Link"/>
          <w:shd w:val="clear" w:color="auto" w:fill="ffffff"/>
        </w:rPr>
        <w:instrText xml:space="preserve"> HYPERLINK "http://globalpartnership.org"</w:instrText>
      </w:r>
      <w:r>
        <w:rPr>
          <w:rStyle w:val="Link"/>
          <w:shd w:val="clear" w:color="auto" w:fill="ffffff"/>
        </w:rPr>
        <w:fldChar w:fldCharType="separate" w:fldLock="0"/>
      </w:r>
      <w:r>
        <w:rPr>
          <w:rStyle w:val="Link"/>
          <w:shd w:val="clear" w:color="auto" w:fill="ffffff"/>
          <w:rtl w:val="0"/>
          <w:lang w:val="en-US"/>
        </w:rPr>
        <w:t>globalpartnership.org</w:t>
      </w:r>
      <w:r>
        <w:rPr>
          <w:shd w:val="clear" w:color="auto" w:fill="ffffff"/>
        </w:rPr>
        <w:fldChar w:fldCharType="end" w:fldLock="0"/>
      </w:r>
      <w:r>
        <w:rPr>
          <w:shd w:val="clear" w:color="auto" w:fill="ffffff"/>
          <w:rtl w:val="0"/>
          <w:lang w:val="en-US"/>
        </w:rPr>
        <w:t>, 2014).</w:t>
      </w:r>
    </w:p>
    <w:p>
      <w:pPr>
        <w:pStyle w:val="Default"/>
      </w:pPr>
    </w:p>
    <w:p>
      <w:pPr>
        <w:pStyle w:val="Default"/>
      </w:pPr>
      <w:r>
        <w:rPr>
          <w:rtl w:val="0"/>
          <w:lang w:val="en-US"/>
        </w:rPr>
        <w:t xml:space="preserve">In conclusion, there are many interacting barriers to education which are a combination of economic, political and environmental factors, but ultimately in order to overcome these barriers contributions need to be made at both the local, regional, and global level to have maximum impact. Many areas not covered here such as focusing on the training and recruitment of new and effective teachers and pedagogy, sharing of best practice and resources with other countries would be of benefit to research. Also, investigation into the role of finance options available to countries who need it: who would be suitable as donor countries, how much aid money actually reaches the places for which it was intended, and how the richer nations of the world can impact directly on those lower income countries? It would also be interesting to note what regulations are imposed on those countries accepting financial aid, and does this detract from the benefit of accepting help? And how can we make life better for those with disabilities and additional learning needs in countries like Niger? It is clear that there are many policies and practises with the intentions of helping diminish barriers to learning, and progress is being made in many areas, but is also clear that much more needs to be done if we are to achieve the target set over 70 years ago, </w:t>
      </w:r>
      <w:r>
        <w:rPr>
          <w:rtl w:val="0"/>
          <w:lang w:val="en-US"/>
        </w:rPr>
        <w:t>The Universal Declaration of Human Rights</w:t>
      </w:r>
      <w:r>
        <w:rPr>
          <w:rtl w:val="0"/>
          <w:lang w:val="en-US"/>
        </w:rPr>
        <w:t>, Article 26:</w:t>
      </w:r>
      <w:r>
        <w:rPr>
          <w:rtl w:val="0"/>
        </w:rPr>
        <w:t xml:space="preserve"> </w:t>
      </w:r>
      <w:r>
        <w:rPr>
          <w:rtl w:val="0"/>
          <w:lang w:val="en-US"/>
        </w:rPr>
        <w:t>‘</w:t>
      </w:r>
      <w:r>
        <w:rPr>
          <w:rtl w:val="0"/>
          <w:lang w:val="en-US"/>
        </w:rPr>
        <w:t>e</w:t>
      </w:r>
      <w:r>
        <w:rPr>
          <w:rtl w:val="0"/>
          <w:lang w:val="en-US"/>
        </w:rPr>
        <w:t>veryone has the right to education</w:t>
      </w:r>
      <w:r>
        <w:rPr>
          <w:rtl w:val="0"/>
          <w:lang w:val="en-US"/>
        </w:rPr>
        <w:t xml:space="preserve">’ </w:t>
      </w:r>
      <w:r>
        <w:rPr>
          <w:rtl w:val="0"/>
          <w:lang w:val="en-US"/>
        </w:rPr>
        <w:t>(UN, 1948).</w:t>
      </w:r>
    </w:p>
    <w:p>
      <w:pPr>
        <w:pStyle w:val="Default"/>
      </w:pPr>
    </w:p>
    <w:p>
      <w:pPr>
        <w:pStyle w:val="Body"/>
        <w:spacing w:line="288" w:lineRule="auto"/>
        <w:jc w:val="left"/>
        <w:rPr>
          <w:rFonts w:ascii="Arial" w:cs="Arial" w:hAnsi="Arial" w:eastAsia="Arial"/>
          <w:sz w:val="24"/>
          <w:szCs w:val="24"/>
          <w:u w:val="single"/>
        </w:rPr>
      </w:pPr>
      <w:r>
        <w:rPr>
          <w:rFonts w:ascii="Arial" w:hAnsi="Arial"/>
          <w:sz w:val="24"/>
          <w:szCs w:val="24"/>
          <w:u w:val="single"/>
          <w:rtl w:val="0"/>
          <w:lang w:val="en-US"/>
        </w:rPr>
        <w:t xml:space="preserve">References </w:t>
      </w:r>
    </w:p>
    <w:p>
      <w:pPr>
        <w:pStyle w:val="Body"/>
        <w:spacing w:line="288" w:lineRule="auto"/>
        <w:jc w:val="left"/>
        <w:rPr>
          <w:rFonts w:ascii="Arial" w:cs="Arial" w:hAnsi="Arial" w:eastAsia="Arial"/>
          <w:sz w:val="24"/>
          <w:szCs w:val="24"/>
        </w:rPr>
      </w:pPr>
    </w:p>
    <w:p>
      <w:pPr>
        <w:pStyle w:val="Body"/>
        <w:spacing w:line="288" w:lineRule="auto"/>
        <w:jc w:val="left"/>
        <w:rPr>
          <w:rFonts w:ascii="Arial" w:cs="Arial" w:hAnsi="Arial" w:eastAsia="Arial"/>
          <w:sz w:val="24"/>
          <w:szCs w:val="24"/>
        </w:rPr>
      </w:pPr>
      <w:r>
        <w:rPr>
          <w:rFonts w:ascii="Arial" w:hAnsi="Arial"/>
          <w:sz w:val="24"/>
          <w:szCs w:val="24"/>
          <w:rtl w:val="0"/>
          <w:lang w:val="en-US"/>
        </w:rPr>
        <w:t xml:space="preserve">Welsh Assembly Government (2008) </w:t>
      </w:r>
      <w:r>
        <w:rPr>
          <w:rStyle w:val="None"/>
          <w:rFonts w:ascii="Arial" w:hAnsi="Arial"/>
          <w:i w:val="1"/>
          <w:iCs w:val="1"/>
          <w:sz w:val="24"/>
          <w:szCs w:val="24"/>
          <w:rtl w:val="0"/>
          <w:lang w:val="en-US"/>
        </w:rPr>
        <w:t>Education for Sustainable Development and Global Citizenship in the Further Education Sector in Wales.</w:t>
      </w:r>
      <w:r>
        <w:rPr>
          <w:rFonts w:ascii="Arial" w:hAnsi="Arial"/>
          <w:sz w:val="24"/>
          <w:szCs w:val="24"/>
          <w:rtl w:val="0"/>
          <w:lang w:val="en-US"/>
        </w:rPr>
        <w:t xml:space="preserve"> Crown Copyright: Cardiff</w:t>
      </w:r>
    </w:p>
    <w:p>
      <w:pPr>
        <w:pStyle w:val="Body"/>
        <w:spacing w:line="288" w:lineRule="auto"/>
        <w:jc w:val="left"/>
        <w:rPr>
          <w:rFonts w:ascii="Arial" w:cs="Arial" w:hAnsi="Arial" w:eastAsia="Arial"/>
          <w:sz w:val="24"/>
          <w:szCs w:val="24"/>
        </w:rPr>
      </w:pPr>
      <w:r>
        <w:rPr>
          <w:rFonts w:ascii="Arial" w:hAnsi="Arial"/>
          <w:sz w:val="24"/>
          <w:szCs w:val="24"/>
          <w:rtl w:val="0"/>
          <w:lang w:val="en-US"/>
        </w:rPr>
        <w:t xml:space="preserve">Available at: </w:t>
      </w:r>
      <w:r>
        <w:rPr>
          <w:rStyle w:val="Link"/>
          <w:rFonts w:ascii="Arial" w:cs="Arial" w:hAnsi="Arial" w:eastAsia="Arial"/>
          <w:sz w:val="24"/>
          <w:szCs w:val="24"/>
        </w:rPr>
        <w:fldChar w:fldCharType="begin" w:fldLock="0"/>
      </w:r>
      <w:r>
        <w:rPr>
          <w:rStyle w:val="Link"/>
          <w:rFonts w:ascii="Arial" w:cs="Arial" w:hAnsi="Arial" w:eastAsia="Arial"/>
          <w:sz w:val="24"/>
          <w:szCs w:val="24"/>
        </w:rPr>
        <w:instrText xml:space="preserve"> HYPERLINK "https://gov.wales/sites/default/files/publications/2018-02/education-for-sustainable-development-and-global-citizenship-in-the-further-education-sector-in-wales_0.pdf"</w:instrText>
      </w:r>
      <w:r>
        <w:rPr>
          <w:rStyle w:val="Link"/>
          <w:rFonts w:ascii="Arial" w:cs="Arial" w:hAnsi="Arial" w:eastAsia="Arial"/>
          <w:sz w:val="24"/>
          <w:szCs w:val="24"/>
        </w:rPr>
        <w:fldChar w:fldCharType="separate" w:fldLock="0"/>
      </w:r>
      <w:r>
        <w:rPr>
          <w:rStyle w:val="Link"/>
          <w:rFonts w:ascii="Arial" w:hAnsi="Arial"/>
          <w:sz w:val="24"/>
          <w:szCs w:val="24"/>
          <w:rtl w:val="0"/>
          <w:lang w:val="en-US"/>
        </w:rPr>
        <w:t>https://gov.wales/sites/default/files/publications/2018-02/education-for-sustainable-development-and-global-citizenship-in-the-further-education-sector-in-wales_0.pdf</w:t>
      </w:r>
      <w:r>
        <w:rPr>
          <w:rFonts w:ascii="Arial" w:cs="Arial" w:hAnsi="Arial" w:eastAsia="Arial"/>
          <w:sz w:val="24"/>
          <w:szCs w:val="24"/>
        </w:rPr>
        <w:fldChar w:fldCharType="end" w:fldLock="0"/>
      </w:r>
      <w:r>
        <w:rPr>
          <w:rFonts w:ascii="Arial" w:hAnsi="Arial"/>
          <w:sz w:val="24"/>
          <w:szCs w:val="24"/>
          <w:rtl w:val="0"/>
          <w:lang w:val="en-US"/>
        </w:rPr>
        <w:t xml:space="preserve"> (Accessed: 18th January 2020)</w:t>
      </w:r>
    </w:p>
    <w:p>
      <w:pPr>
        <w:pStyle w:val="Default"/>
        <w:spacing w:line="288" w:lineRule="auto"/>
        <w:ind w:right="0"/>
        <w:jc w:val="left"/>
        <w:rPr>
          <w:outline w:val="0"/>
          <w:color w:val="303030"/>
          <w:shd w:val="clear" w:color="auto" w:fill="ffffff"/>
          <w14:textFill>
            <w14:solidFill>
              <w14:srgbClr w14:val="303030"/>
            </w14:solidFill>
          </w14:textFill>
        </w:rPr>
      </w:pPr>
    </w:p>
    <w:p>
      <w:pPr>
        <w:pStyle w:val="Body"/>
        <w:spacing w:line="288" w:lineRule="auto"/>
        <w:jc w:val="left"/>
        <w:rPr>
          <w:rFonts w:ascii="Arial" w:cs="Arial" w:hAnsi="Arial" w:eastAsia="Arial"/>
          <w:sz w:val="24"/>
          <w:szCs w:val="24"/>
        </w:rPr>
      </w:pPr>
      <w:r>
        <w:rPr>
          <w:rFonts w:ascii="Arial" w:hAnsi="Arial"/>
          <w:sz w:val="24"/>
          <w:szCs w:val="24"/>
          <w:rtl w:val="0"/>
          <w:lang w:val="en-US"/>
        </w:rPr>
        <w:t>Index Mundi Comparison of Niger and UK Statistics</w:t>
      </w:r>
    </w:p>
    <w:p>
      <w:pPr>
        <w:pStyle w:val="Body"/>
        <w:spacing w:line="288" w:lineRule="auto"/>
        <w:jc w:val="left"/>
        <w:rPr>
          <w:rFonts w:ascii="Arial" w:cs="Arial" w:hAnsi="Arial" w:eastAsia="Arial"/>
          <w:sz w:val="24"/>
          <w:szCs w:val="24"/>
        </w:rPr>
      </w:pPr>
      <w:r>
        <w:rPr>
          <w:rFonts w:ascii="Arial" w:hAnsi="Arial"/>
          <w:sz w:val="24"/>
          <w:szCs w:val="24"/>
          <w:rtl w:val="0"/>
          <w:lang w:val="en-US"/>
        </w:rPr>
        <w:t xml:space="preserve">Available at: </w:t>
      </w:r>
      <w:r>
        <w:rPr>
          <w:rStyle w:val="Link"/>
          <w:rFonts w:ascii="Arial" w:cs="Arial" w:hAnsi="Arial" w:eastAsia="Arial"/>
          <w:sz w:val="24"/>
          <w:szCs w:val="24"/>
        </w:rPr>
        <w:fldChar w:fldCharType="begin" w:fldLock="0"/>
      </w:r>
      <w:r>
        <w:rPr>
          <w:rStyle w:val="Link"/>
          <w:rFonts w:ascii="Arial" w:cs="Arial" w:hAnsi="Arial" w:eastAsia="Arial"/>
          <w:sz w:val="24"/>
          <w:szCs w:val="24"/>
        </w:rPr>
        <w:instrText xml:space="preserve"> HYPERLINK "https://www.indexmundi.com/factbook/compare/niger.united-kingdom"</w:instrText>
      </w:r>
      <w:r>
        <w:rPr>
          <w:rStyle w:val="Link"/>
          <w:rFonts w:ascii="Arial" w:cs="Arial" w:hAnsi="Arial" w:eastAsia="Arial"/>
          <w:sz w:val="24"/>
          <w:szCs w:val="24"/>
        </w:rPr>
        <w:fldChar w:fldCharType="separate" w:fldLock="0"/>
      </w:r>
      <w:r>
        <w:rPr>
          <w:rStyle w:val="Link"/>
          <w:rFonts w:ascii="Arial" w:hAnsi="Arial"/>
          <w:sz w:val="24"/>
          <w:szCs w:val="24"/>
          <w:rtl w:val="0"/>
        </w:rPr>
        <w:t>https://www.indexmundi.com/factbook/compare/niger.united-kingdom</w:t>
      </w:r>
      <w:r>
        <w:rPr>
          <w:rFonts w:ascii="Arial" w:cs="Arial" w:hAnsi="Arial" w:eastAsia="Arial"/>
          <w:sz w:val="24"/>
          <w:szCs w:val="24"/>
        </w:rPr>
        <w:fldChar w:fldCharType="end" w:fldLock="0"/>
      </w:r>
      <w:r>
        <w:rPr>
          <w:rFonts w:ascii="Arial" w:hAnsi="Arial"/>
          <w:sz w:val="24"/>
          <w:szCs w:val="24"/>
          <w:rtl w:val="0"/>
          <w:lang w:val="en-US"/>
        </w:rPr>
        <w:t xml:space="preserve"> (Accessed: 16th Jan 2020)</w:t>
      </w:r>
    </w:p>
    <w:p>
      <w:pPr>
        <w:pStyle w:val="Body"/>
        <w:spacing w:line="288" w:lineRule="auto"/>
        <w:jc w:val="left"/>
        <w:rPr>
          <w:rFonts w:ascii="Arial" w:cs="Arial" w:hAnsi="Arial" w:eastAsia="Arial"/>
          <w:sz w:val="24"/>
          <w:szCs w:val="24"/>
        </w:rPr>
      </w:pPr>
    </w:p>
    <w:p>
      <w:pPr>
        <w:pStyle w:val="Body"/>
        <w:spacing w:line="288" w:lineRule="auto"/>
        <w:jc w:val="left"/>
        <w:rPr>
          <w:rFonts w:ascii="Arial" w:cs="Arial" w:hAnsi="Arial" w:eastAsia="Arial"/>
          <w:sz w:val="24"/>
          <w:szCs w:val="24"/>
        </w:rPr>
      </w:pPr>
    </w:p>
    <w:p>
      <w:pPr>
        <w:pStyle w:val="Body"/>
        <w:spacing w:line="288" w:lineRule="auto"/>
        <w:jc w:val="left"/>
        <w:rPr>
          <w:rStyle w:val="None"/>
          <w:rFonts w:ascii="Arial" w:cs="Arial" w:hAnsi="Arial" w:eastAsia="Arial"/>
          <w:i w:val="1"/>
          <w:iCs w:val="1"/>
          <w:sz w:val="24"/>
          <w:szCs w:val="24"/>
        </w:rPr>
      </w:pPr>
      <w:r>
        <w:rPr>
          <w:rFonts w:ascii="Arial" w:hAnsi="Arial"/>
          <w:sz w:val="24"/>
          <w:szCs w:val="24"/>
          <w:rtl w:val="0"/>
          <w:lang w:val="en-US"/>
        </w:rPr>
        <w:t>African Committee of Experts on the Rights and Welfare of the Chil</w:t>
      </w:r>
      <w:r>
        <w:rPr>
          <w:rFonts w:ascii="Arial" w:hAnsi="Arial"/>
          <w:sz w:val="24"/>
          <w:szCs w:val="24"/>
          <w:rtl w:val="0"/>
          <w:lang w:val="en-US"/>
        </w:rPr>
        <w:t xml:space="preserve">d (1990) </w:t>
      </w:r>
      <w:r>
        <w:rPr>
          <w:rStyle w:val="None"/>
          <w:rFonts w:ascii="Arial" w:hAnsi="Arial"/>
          <w:i w:val="1"/>
          <w:iCs w:val="1"/>
          <w:sz w:val="24"/>
          <w:szCs w:val="24"/>
          <w:rtl w:val="0"/>
          <w:lang w:val="en-US"/>
        </w:rPr>
        <w:t>The African Charter on the Rights and Welfare of the Child (ACRWC)</w:t>
      </w:r>
    </w:p>
    <w:p>
      <w:pPr>
        <w:pStyle w:val="Body"/>
        <w:spacing w:line="288" w:lineRule="auto"/>
        <w:jc w:val="left"/>
        <w:rPr>
          <w:rFonts w:ascii="Arial" w:cs="Arial" w:hAnsi="Arial" w:eastAsia="Arial"/>
          <w:sz w:val="24"/>
          <w:szCs w:val="24"/>
        </w:rPr>
      </w:pPr>
      <w:r>
        <w:rPr>
          <w:rFonts w:ascii="Arial" w:hAnsi="Arial"/>
          <w:sz w:val="24"/>
          <w:szCs w:val="24"/>
          <w:rtl w:val="0"/>
          <w:lang w:val="en-US"/>
        </w:rPr>
        <w:t>https://www.acerwc.africa/wp-content/uploads/2018/04/African_Children_Charter_Website_Version_English_2015.pdf</w:t>
      </w:r>
    </w:p>
    <w:p>
      <w:pPr>
        <w:pStyle w:val="Default"/>
        <w:spacing w:line="288" w:lineRule="auto"/>
        <w:ind w:left="96" w:right="0" w:firstLine="0"/>
        <w:jc w:val="left"/>
      </w:pPr>
    </w:p>
    <w:p>
      <w:pPr>
        <w:pStyle w:val="Default"/>
        <w:spacing w:line="288" w:lineRule="auto"/>
        <w:ind w:right="0"/>
        <w:jc w:val="left"/>
        <w:rPr>
          <w:rStyle w:val="None"/>
          <w:i w:val="1"/>
          <w:iCs w:val="1"/>
          <w:u w:color="0000ed"/>
        </w:rPr>
      </w:pPr>
      <w:r>
        <w:rPr>
          <w:u w:color="0000ed"/>
          <w:rtl w:val="0"/>
          <w:lang w:val="en-US"/>
        </w:rPr>
        <w:t xml:space="preserve">Clarke, P. (2010) </w:t>
      </w:r>
      <w:r>
        <w:rPr>
          <w:rStyle w:val="None"/>
          <w:i w:val="1"/>
          <w:iCs w:val="1"/>
          <w:u w:color="0000ed"/>
          <w:rtl w:val="0"/>
          <w:lang w:val="en-US"/>
        </w:rPr>
        <w:t xml:space="preserve">Education for Sustainability. </w:t>
      </w:r>
    </w:p>
    <w:p>
      <w:pPr>
        <w:pStyle w:val="Default"/>
        <w:spacing w:line="288" w:lineRule="auto"/>
        <w:ind w:right="0"/>
        <w:jc w:val="left"/>
        <w:rPr>
          <w:u w:color="0000ed"/>
        </w:rPr>
      </w:pPr>
      <w:r>
        <w:rPr>
          <w:u w:color="0000ed"/>
          <w:rtl w:val="0"/>
          <w:lang w:val="en-US"/>
        </w:rPr>
        <w:t xml:space="preserve">Available online: </w:t>
      </w:r>
      <w:r>
        <w:rPr>
          <w:u w:color="0000ed"/>
        </w:rPr>
        <w:fldChar w:fldCharType="begin" w:fldLock="0"/>
      </w:r>
      <w:r>
        <w:rPr>
          <w:u w:color="0000ed"/>
        </w:rPr>
        <w:instrText xml:space="preserve"> HYPERLINK "https://www-dawsonera-com.ezproxy.uwtsd.ac.uk/readonline/9780203136621"</w:instrText>
      </w:r>
      <w:r>
        <w:rPr>
          <w:u w:color="0000ed"/>
        </w:rPr>
        <w:fldChar w:fldCharType="separate" w:fldLock="0"/>
      </w:r>
      <w:r>
        <w:rPr>
          <w:u w:color="0000ed"/>
          <w:rtl w:val="0"/>
          <w:lang w:val="en-US"/>
        </w:rPr>
        <w:t>https://www-dawsonera-com.ezproxy.uwtsd.ac.uk/readonline/9780203136621</w:t>
      </w:r>
      <w:r>
        <w:rPr>
          <w:u w:color="0000ed"/>
        </w:rPr>
        <w:fldChar w:fldCharType="end" w:fldLock="0"/>
      </w:r>
      <w:r>
        <w:rPr>
          <w:u w:color="0000ed"/>
          <w:rtl w:val="0"/>
          <w:lang w:val="en-US"/>
        </w:rPr>
        <w:t xml:space="preserve"> (Accessed 23/8/16)</w:t>
      </w:r>
    </w:p>
    <w:p>
      <w:pPr>
        <w:pStyle w:val="Body"/>
        <w:spacing w:line="288" w:lineRule="auto"/>
        <w:jc w:val="left"/>
        <w:rPr>
          <w:rFonts w:ascii="Arial" w:cs="Arial" w:hAnsi="Arial" w:eastAsia="Arial"/>
          <w:sz w:val="24"/>
          <w:szCs w:val="24"/>
        </w:rPr>
      </w:pPr>
    </w:p>
    <w:p>
      <w:pPr>
        <w:pStyle w:val="Body"/>
        <w:spacing w:line="288" w:lineRule="auto"/>
        <w:jc w:val="left"/>
        <w:rPr>
          <w:rStyle w:val="None"/>
          <w:rFonts w:ascii="Arial" w:cs="Arial" w:hAnsi="Arial" w:eastAsia="Arial"/>
          <w:i w:val="1"/>
          <w:iCs w:val="1"/>
          <w:sz w:val="24"/>
          <w:szCs w:val="24"/>
        </w:rPr>
      </w:pPr>
      <w:r>
        <w:rPr>
          <w:rFonts w:ascii="Arial" w:hAnsi="Arial"/>
          <w:sz w:val="24"/>
          <w:szCs w:val="24"/>
          <w:rtl w:val="0"/>
          <w:lang w:val="en-US"/>
        </w:rPr>
        <w:t xml:space="preserve">Epstein, E.H. (2019) </w:t>
      </w:r>
      <w:r>
        <w:rPr>
          <w:rStyle w:val="None"/>
          <w:rFonts w:ascii="Arial" w:hAnsi="Arial"/>
          <w:i w:val="1"/>
          <w:iCs w:val="1"/>
          <w:sz w:val="24"/>
          <w:szCs w:val="24"/>
          <w:rtl w:val="0"/>
          <w:lang w:val="en-US"/>
        </w:rPr>
        <w:t>Globalization of Education</w:t>
      </w:r>
    </w:p>
    <w:p>
      <w:pPr>
        <w:pStyle w:val="Body"/>
        <w:spacing w:line="288" w:lineRule="auto"/>
        <w:jc w:val="left"/>
        <w:rPr>
          <w:rFonts w:ascii="Arial" w:cs="Arial" w:hAnsi="Arial" w:eastAsia="Arial"/>
          <w:sz w:val="24"/>
          <w:szCs w:val="24"/>
        </w:rPr>
      </w:pPr>
      <w:r>
        <w:rPr>
          <w:rStyle w:val="Link"/>
          <w:rFonts w:ascii="Arial" w:cs="Arial" w:hAnsi="Arial" w:eastAsia="Arial"/>
          <w:sz w:val="24"/>
          <w:szCs w:val="24"/>
        </w:rPr>
        <w:fldChar w:fldCharType="begin" w:fldLock="0"/>
      </w:r>
      <w:r>
        <w:rPr>
          <w:rStyle w:val="Link"/>
          <w:rFonts w:ascii="Arial" w:cs="Arial" w:hAnsi="Arial" w:eastAsia="Arial"/>
          <w:sz w:val="24"/>
          <w:szCs w:val="24"/>
        </w:rPr>
        <w:instrText xml:space="preserve"> HYPERLINK "https://www.encyclopedia.com/education/encyclopedias-almanacs-transcripts-and-maps/globalization-education"</w:instrText>
      </w:r>
      <w:r>
        <w:rPr>
          <w:rStyle w:val="Link"/>
          <w:rFonts w:ascii="Arial" w:cs="Arial" w:hAnsi="Arial" w:eastAsia="Arial"/>
          <w:sz w:val="24"/>
          <w:szCs w:val="24"/>
        </w:rPr>
        <w:fldChar w:fldCharType="separate" w:fldLock="0"/>
      </w:r>
      <w:r>
        <w:rPr>
          <w:rStyle w:val="Link"/>
          <w:rFonts w:ascii="Arial" w:hAnsi="Arial"/>
          <w:sz w:val="24"/>
          <w:szCs w:val="24"/>
          <w:rtl w:val="0"/>
          <w:lang w:val="en-US"/>
        </w:rPr>
        <w:t>https://www.encyclopedia.com/education/encyclopedias-almanacs-transcripts-and-maps/globalization-education</w:t>
      </w:r>
      <w:r>
        <w:rPr>
          <w:rFonts w:ascii="Arial" w:cs="Arial" w:hAnsi="Arial" w:eastAsia="Arial"/>
          <w:sz w:val="24"/>
          <w:szCs w:val="24"/>
        </w:rPr>
        <w:fldChar w:fldCharType="end" w:fldLock="0"/>
      </w:r>
    </w:p>
    <w:p>
      <w:pPr>
        <w:pStyle w:val="Body"/>
        <w:spacing w:line="288" w:lineRule="auto"/>
        <w:jc w:val="left"/>
        <w:rPr>
          <w:rFonts w:ascii="Arial" w:cs="Arial" w:hAnsi="Arial" w:eastAsia="Arial"/>
          <w:sz w:val="24"/>
          <w:szCs w:val="24"/>
        </w:rPr>
      </w:pPr>
    </w:p>
    <w:p>
      <w:pPr>
        <w:pStyle w:val="Default"/>
        <w:spacing w:line="288" w:lineRule="auto"/>
        <w:ind w:right="0"/>
        <w:jc w:val="left"/>
      </w:pPr>
    </w:p>
    <w:p>
      <w:pPr>
        <w:pStyle w:val="Default"/>
        <w:spacing w:line="288" w:lineRule="auto"/>
        <w:ind w:right="0"/>
        <w:jc w:val="left"/>
      </w:pPr>
      <w:r>
        <w:rPr>
          <w:rtl w:val="0"/>
          <w:lang w:val="en-US"/>
        </w:rPr>
        <w:t>UNESCO Teaching and Learning for a Sustainable Future. Available at:</w:t>
      </w:r>
      <w:r>
        <w:rPr>
          <w:rtl w:val="0"/>
          <w:lang w:val="en-US"/>
        </w:rPr>
        <w:t xml:space="preserve">    </w:t>
      </w:r>
      <w:r>
        <w:rPr/>
        <w:fldChar w:fldCharType="begin" w:fldLock="0"/>
      </w:r>
      <w:r>
        <w:instrText xml:space="preserve"> HYPERLINK "http://www.unesco.org/education/tlsf/mods/theme_gs/mod0a.html"</w:instrText>
      </w:r>
      <w:r>
        <w:rPr/>
        <w:fldChar w:fldCharType="separate" w:fldLock="0"/>
      </w:r>
      <w:r>
        <w:rPr>
          <w:rtl w:val="0"/>
          <w:lang w:val="en-US"/>
        </w:rPr>
        <w:t>http://www.unesco.org/education/tlsf/mods/theme_gs/mod0a.html</w:t>
      </w:r>
      <w:r>
        <w:rPr/>
        <w:fldChar w:fldCharType="end" w:fldLock="0"/>
      </w:r>
      <w:r>
        <w:rPr>
          <w:rtl w:val="0"/>
          <w:lang w:val="en-US"/>
        </w:rPr>
        <w:t xml:space="preserve"> (Accessed 23/8/16)</w:t>
      </w:r>
    </w:p>
    <w:p>
      <w:pPr>
        <w:pStyle w:val="Default"/>
        <w:spacing w:line="288" w:lineRule="auto"/>
        <w:ind w:right="0"/>
        <w:jc w:val="left"/>
      </w:pPr>
    </w:p>
    <w:p>
      <w:pPr>
        <w:pStyle w:val="Default"/>
        <w:spacing w:line="288" w:lineRule="auto"/>
        <w:ind w:right="0"/>
        <w:jc w:val="left"/>
      </w:pPr>
      <w:r>
        <w:rPr>
          <w:rtl w:val="0"/>
          <w:lang w:val="en-US"/>
        </w:rPr>
        <w:t>UNESCO (2016). C R E AT IN G S US TA IN A B L E F U T U R E S FOR A L L Education for people and planet: Sustainable Development Goals United Nation Educational, Scientific and Cultural Organization</w:t>
      </w:r>
    </w:p>
    <w:p>
      <w:pPr>
        <w:pStyle w:val="Default"/>
        <w:spacing w:line="288" w:lineRule="auto"/>
        <w:ind w:right="0"/>
        <w:jc w:val="left"/>
      </w:pPr>
      <w:r>
        <w:rPr>
          <w:rtl w:val="0"/>
          <w:lang w:val="en-US"/>
        </w:rPr>
        <w:t xml:space="preserve">http://uis.unesco.org/sites/default/files/documents/fs48-one-five-children-adolescents-youth-out-school-2018-en.pdf)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Tomasevski, K. (2001) Right to Education Primers No.1: Removing Obstacles in the Way of the Right to Education. Gothenburg: Novum Grafiska</w:t>
      </w:r>
    </w:p>
    <w:p>
      <w:pPr>
        <w:pStyle w:val="Body"/>
        <w:spacing w:line="360" w:lineRule="auto"/>
      </w:pPr>
      <w:r>
        <w:rPr>
          <w:rFonts w:ascii="Arial" w:hAnsi="Arial"/>
          <w:sz w:val="24"/>
          <w:szCs w:val="24"/>
          <w:rtl w:val="0"/>
          <w:lang w:val="en-US"/>
        </w:rPr>
        <w:t xml:space="preserve">Available at: </w:t>
      </w:r>
      <w:r>
        <w:rPr>
          <w:rStyle w:val="Link"/>
          <w:rFonts w:ascii="Arial" w:cs="Arial" w:hAnsi="Arial" w:eastAsia="Arial"/>
          <w:sz w:val="24"/>
          <w:szCs w:val="24"/>
        </w:rPr>
        <w:fldChar w:fldCharType="begin" w:fldLock="0"/>
      </w:r>
      <w:r>
        <w:rPr>
          <w:rStyle w:val="Link"/>
          <w:rFonts w:ascii="Arial" w:cs="Arial" w:hAnsi="Arial" w:eastAsia="Arial"/>
          <w:sz w:val="24"/>
          <w:szCs w:val="24"/>
        </w:rPr>
        <w:instrText xml:space="preserve"> HYPERLINK "https://www.right-to-education.org/sites/right-to-education.org/files/resource-attachments/Tomasevski_Primer%201.pdf"</w:instrText>
      </w:r>
      <w:r>
        <w:rPr>
          <w:rStyle w:val="Link"/>
          <w:rFonts w:ascii="Arial" w:cs="Arial" w:hAnsi="Arial" w:eastAsia="Arial"/>
          <w:sz w:val="24"/>
          <w:szCs w:val="24"/>
        </w:rPr>
        <w:fldChar w:fldCharType="separate" w:fldLock="0"/>
      </w:r>
      <w:r>
        <w:rPr>
          <w:rStyle w:val="Link"/>
          <w:rFonts w:ascii="Arial" w:hAnsi="Arial"/>
          <w:sz w:val="24"/>
          <w:szCs w:val="24"/>
          <w:rtl w:val="0"/>
          <w:lang w:val="en-US"/>
        </w:rPr>
        <w:t>https://www.right-to-education.org/sites/right-to-education.org/files/resource-attachments/Tomasevski_Primer%201.pdf</w:t>
      </w:r>
      <w:r>
        <w:rPr>
          <w:rFonts w:ascii="Arial" w:cs="Arial" w:hAnsi="Arial" w:eastAsia="Arial"/>
          <w:sz w:val="24"/>
          <w:szCs w:val="24"/>
        </w:rPr>
        <w:fldChar w:fldCharType="end" w:fldLock="0"/>
      </w:r>
      <w:r>
        <w:rPr>
          <w:rFonts w:ascii="Arial" w:hAnsi="Arial"/>
          <w:sz w:val="24"/>
          <w:szCs w:val="24"/>
          <w:rtl w:val="0"/>
          <w:lang w:val="en-US"/>
        </w:rPr>
        <w:t xml:space="preserve"> (Accessed: 16th February 2020)</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Arial" w:hAnsi="Arial"/>
        <w:outline w:val="0"/>
        <w:color w:val="5e5e5e"/>
        <w:sz w:val="20"/>
        <w:szCs w:val="20"/>
        <w:rtl w:val="0"/>
        <w:lang w:val="en-US"/>
        <w14:textFill>
          <w14:solidFill>
            <w14:srgbClr w14:val="5E5E5E"/>
          </w14:solidFill>
        </w14:textFill>
      </w:rPr>
      <w:t>Kate Buffee: 1602220</w:t>
    </w:r>
    <w:r>
      <w:rPr>
        <w:rFonts w:ascii="Arial" w:cs="Arial" w:hAnsi="Arial" w:eastAsia="Arial"/>
        <w:outline w:val="0"/>
        <w:color w:val="5e5e5e"/>
        <w:sz w:val="20"/>
        <w:szCs w:val="20"/>
        <w14:textFill>
          <w14:solidFill>
            <w14:srgbClr w14:val="5E5E5E"/>
          </w14:solidFill>
        </w14:textFill>
      </w:rPr>
      <w:tab/>
      <w:tab/>
    </w:r>
    <w:r>
      <w:rPr>
        <w:rFonts w:ascii="Arial" w:hAnsi="Arial"/>
        <w:outline w:val="0"/>
        <w:color w:val="5e5e5e"/>
        <w:sz w:val="20"/>
        <w:szCs w:val="20"/>
        <w:rtl w:val="0"/>
        <w:lang w:val="en-US"/>
        <w14:textFill>
          <w14:solidFill>
            <w14:srgbClr w14:val="5E5E5E"/>
          </w14:solidFill>
        </w14:textFill>
      </w:rPr>
      <w:t xml:space="preserve">Page </w:t>
    </w:r>
    <w:r>
      <w:rPr>
        <w:rFonts w:ascii="Arial" w:cs="Arial" w:hAnsi="Arial" w:eastAsia="Arial"/>
        <w:outline w:val="0"/>
        <w:color w:val="5e5e5e"/>
        <w:sz w:val="20"/>
        <w:szCs w:val="20"/>
        <w14:textFill>
          <w14:solidFill>
            <w14:srgbClr w14:val="5E5E5E"/>
          </w14:solidFill>
        </w14:textFill>
      </w:rPr>
      <w:fldChar w:fldCharType="begin" w:fldLock="0"/>
    </w:r>
    <w:r>
      <w:rPr>
        <w:rFonts w:ascii="Arial" w:cs="Arial" w:hAnsi="Arial" w:eastAsia="Arial"/>
        <w:outline w:val="0"/>
        <w:color w:val="5e5e5e"/>
        <w:sz w:val="20"/>
        <w:szCs w:val="20"/>
        <w14:textFill>
          <w14:solidFill>
            <w14:srgbClr w14:val="5E5E5E"/>
          </w14:solidFill>
        </w14:textFill>
      </w:rPr>
      <w:instrText xml:space="preserve"> PAGE </w:instrText>
    </w:r>
    <w:r>
      <w:rPr>
        <w:rFonts w:ascii="Arial" w:cs="Arial" w:hAnsi="Arial" w:eastAsia="Arial"/>
        <w:outline w:val="0"/>
        <w:color w:val="5e5e5e"/>
        <w:sz w:val="20"/>
        <w:szCs w:val="20"/>
        <w14:textFill>
          <w14:solidFill>
            <w14:srgbClr w14:val="5E5E5E"/>
          </w14:solidFill>
        </w14:textFill>
      </w:rPr>
      <w:fldChar w:fldCharType="separate" w:fldLock="0"/>
    </w:r>
    <w:r>
      <w:rPr>
        <w:rFonts w:ascii="Arial" w:cs="Arial" w:hAnsi="Arial" w:eastAsia="Arial"/>
        <w:outline w:val="0"/>
        <w:color w:val="5e5e5e"/>
        <w:sz w:val="20"/>
        <w:szCs w:val="20"/>
        <w14:textFill>
          <w14:solidFill>
            <w14:srgbClr w14:val="5E5E5E"/>
          </w14:solidFill>
        </w14:textFill>
      </w:rPr>
    </w:r>
    <w:r>
      <w:rPr>
        <w:rFonts w:ascii="Arial" w:cs="Arial" w:hAnsi="Arial" w:eastAsia="Arial"/>
        <w:outline w:val="0"/>
        <w:color w:val="5e5e5e"/>
        <w:sz w:val="20"/>
        <w:szCs w:val="20"/>
        <w14:textFill>
          <w14:solidFill>
            <w14:srgbClr w14:val="5E5E5E"/>
          </w14:solidFill>
        </w14:textFill>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360" w:lineRule="auto"/>
      <w:ind w:left="0" w:right="278"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u w:val="none"/>
    </w:rPr>
  </w:style>
  <w:style w:type="character" w:styleId="None">
    <w:name w:val="None"/>
  </w:style>
  <w:style w:type="character" w:styleId="Hyperlink.1">
    <w:name w:val="Hyperlink.1"/>
    <w:basedOn w:val="None"/>
    <w:next w:val="Hyperlink.1"/>
    <w:rPr>
      <w:u w:val="singl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