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D3FCD9" w14:textId="1CAF08D9" w:rsidR="007D7C11" w:rsidRDefault="00850002" w:rsidP="00850002">
      <w:pPr>
        <w:jc w:val="center"/>
        <w:rPr>
          <w:u w:val="single"/>
        </w:rPr>
      </w:pPr>
      <w:r w:rsidRPr="00850002">
        <w:rPr>
          <w:u w:val="single"/>
        </w:rPr>
        <w:t>Map out the process of courtship and Marriage in Classical Athens.</w:t>
      </w:r>
    </w:p>
    <w:p w14:paraId="01F336F1" w14:textId="6A8F6150" w:rsidR="00850002" w:rsidRDefault="00850002" w:rsidP="00850002">
      <w:pPr>
        <w:rPr>
          <w:u w:val="single"/>
        </w:rPr>
      </w:pPr>
    </w:p>
    <w:p w14:paraId="199528E3" w14:textId="495AD0A7" w:rsidR="00850002" w:rsidRDefault="00BC162B" w:rsidP="00850002">
      <w:r>
        <w:t xml:space="preserve">I am going to be mapping out the various laws and customs surrounding marriage in classical Athens, some of my research however does not apply directly to Athens but instead to wider Classical culture in general. Most of my sources are </w:t>
      </w:r>
      <w:r w:rsidR="00FE2DC2">
        <w:t>from modern scholars with a few ancient sources.</w:t>
      </w:r>
    </w:p>
    <w:p w14:paraId="3C0370F5" w14:textId="68DD58C7" w:rsidR="00FE2DC2" w:rsidRDefault="00FE2DC2" w:rsidP="00850002">
      <w:r>
        <w:t xml:space="preserve">Most sources on courtship in Ancient Athens focus mostly on </w:t>
      </w:r>
      <w:proofErr w:type="spellStart"/>
      <w:r>
        <w:t>pedastry</w:t>
      </w:r>
      <w:proofErr w:type="spellEnd"/>
      <w:r>
        <w:t xml:space="preserve"> rather than on heterosexual courtship, this would involve a sexual relationship between an adult male and a pubescent boy. According to Sutton (1997), in classical Athens ‘marriage was a contract between the groom and the brides </w:t>
      </w:r>
      <w:proofErr w:type="spellStart"/>
      <w:r>
        <w:t>kyrios</w:t>
      </w:r>
      <w:proofErr w:type="spellEnd"/>
      <w:r>
        <w:t xml:space="preserve">’. </w:t>
      </w:r>
      <w:r w:rsidR="00E959B8">
        <w:t>However,</w:t>
      </w:r>
      <w:r>
        <w:t xml:space="preserve"> he does the specify that love matches were preferred</w:t>
      </w:r>
      <w:r w:rsidR="00E959B8">
        <w:t xml:space="preserve">. </w:t>
      </w:r>
      <w:r w:rsidR="00AF0825">
        <w:t xml:space="preserve">There is also a reference to courtship in the journal of the Walkers art gallery referring to iconography where boys or women were presented with either money, food, small pets or flower wreaths. Also, general displays of affection </w:t>
      </w:r>
      <w:proofErr w:type="gramStart"/>
      <w:r w:rsidR="00AF0825">
        <w:t>is</w:t>
      </w:r>
      <w:proofErr w:type="gramEnd"/>
      <w:r w:rsidR="00AF0825">
        <w:t xml:space="preserve"> also portrayed. Overall it is shows that romance and love was ideal in Classical Greece. </w:t>
      </w:r>
    </w:p>
    <w:p w14:paraId="0EA3C328" w14:textId="11C69040" w:rsidR="00E36B8F" w:rsidRDefault="00096852" w:rsidP="00850002">
      <w:r>
        <w:t xml:space="preserve">In </w:t>
      </w:r>
      <w:r w:rsidR="00AD5FE4">
        <w:t>marriage</w:t>
      </w:r>
      <w:r>
        <w:t xml:space="preserve"> in classical Athens had </w:t>
      </w:r>
      <w:proofErr w:type="gramStart"/>
      <w:r>
        <w:t>a number of</w:t>
      </w:r>
      <w:proofErr w:type="gramEnd"/>
      <w:r>
        <w:t xml:space="preserve"> legal restrictions placed on it </w:t>
      </w:r>
      <w:r w:rsidR="00AD5FE4">
        <w:t>depending</w:t>
      </w:r>
      <w:r>
        <w:t xml:space="preserve"> on citizenship. For </w:t>
      </w:r>
      <w:r w:rsidR="00AD5FE4">
        <w:t>example,</w:t>
      </w:r>
      <w:r>
        <w:t xml:space="preserve"> according to MacDowell (1978) marriage of a citizen in later periods was restricted only for other citizens, with penalties being introduced in later periods if a citizen married an ‘alien’. There was also restriction based on familial relations whereas women could not legally be married to a descendant or an ascendant of themselves, also not to any siblings of the same mother, this was not however the case for siblings that share the same father but not the same mother. They were also allowed to marry their uncles, cousins or other distant relatives. MacDowell (1978). A </w:t>
      </w:r>
      <w:r w:rsidR="00AD5FE4">
        <w:t>woman’s</w:t>
      </w:r>
      <w:r>
        <w:t xml:space="preserve"> consent was not required for a marriage </w:t>
      </w:r>
      <w:r w:rsidR="00AD5FE4">
        <w:t xml:space="preserve">to be legally valid according to MacDowell. If a man desired to marry he would have to go to the woman’s Kyrios and ‘come to an agreement with the father or other </w:t>
      </w:r>
      <w:proofErr w:type="spellStart"/>
      <w:r w:rsidR="00AD5FE4">
        <w:t>kyrios</w:t>
      </w:r>
      <w:proofErr w:type="spellEnd"/>
      <w:r w:rsidR="00AD5FE4">
        <w:t xml:space="preserve">’ of a suitable woman’. An act called an </w:t>
      </w:r>
      <w:proofErr w:type="spellStart"/>
      <w:r w:rsidR="00AD5FE4">
        <w:t>engye</w:t>
      </w:r>
      <w:proofErr w:type="spellEnd"/>
      <w:r w:rsidR="00AD5FE4">
        <w:t xml:space="preserve"> would have to be performed for the marriage to be legally recognised, an </w:t>
      </w:r>
      <w:proofErr w:type="spellStart"/>
      <w:r w:rsidR="00AD5FE4">
        <w:t>epidikasia</w:t>
      </w:r>
      <w:proofErr w:type="spellEnd"/>
      <w:r w:rsidR="00AD5FE4">
        <w:t xml:space="preserve"> was performed if the farther of the prospective bride was dead. In this the </w:t>
      </w:r>
      <w:proofErr w:type="spellStart"/>
      <w:r w:rsidR="00AD5FE4">
        <w:t>kyrios</w:t>
      </w:r>
      <w:proofErr w:type="spellEnd"/>
      <w:r w:rsidR="00AD5FE4">
        <w:t xml:space="preserve"> would grant their daughter/relative to their future husband. MacDowell (1978) In Iconography of the wedding of Helen and Paris there were processions and there was an emphasis placed on their love being on a spiritual level. Sutton (1997). The imagery of marriage was usually very erotic displaying a ‘positive emotional force’ that created the Oikos. </w:t>
      </w:r>
    </w:p>
    <w:p w14:paraId="7E29C97C" w14:textId="77777777" w:rsidR="005903DA" w:rsidRDefault="00AD5FE4" w:rsidP="00850002">
      <w:r>
        <w:t xml:space="preserve">Dowries were apart of marriage also in that they were usually </w:t>
      </w:r>
      <w:r w:rsidR="005903DA">
        <w:t xml:space="preserve">provided alongside the marriage and were essentially bargained between the brides </w:t>
      </w:r>
      <w:proofErr w:type="spellStart"/>
      <w:r w:rsidR="005903DA">
        <w:t>kyrios</w:t>
      </w:r>
      <w:proofErr w:type="spellEnd"/>
      <w:r w:rsidR="005903DA">
        <w:t xml:space="preserve"> and </w:t>
      </w:r>
      <w:proofErr w:type="spellStart"/>
      <w:r w:rsidR="005903DA">
        <w:t>engye</w:t>
      </w:r>
      <w:proofErr w:type="spellEnd"/>
      <w:r w:rsidR="005903DA">
        <w:t xml:space="preserve">. The </w:t>
      </w:r>
      <w:proofErr w:type="spellStart"/>
      <w:r w:rsidR="005903DA">
        <w:t>dowy</w:t>
      </w:r>
      <w:proofErr w:type="spellEnd"/>
      <w:r w:rsidR="005903DA">
        <w:t xml:space="preserve"> was provided by the brides oikos as a contribution to the </w:t>
      </w:r>
      <w:proofErr w:type="gramStart"/>
      <w:r w:rsidR="005903DA">
        <w:t>grooms</w:t>
      </w:r>
      <w:proofErr w:type="gramEnd"/>
      <w:r w:rsidR="005903DA">
        <w:t xml:space="preserve"> family for the upkeep of the bride and any prospective children. This could either be </w:t>
      </w:r>
      <w:proofErr w:type="spellStart"/>
      <w:r w:rsidR="005903DA">
        <w:t>monitary</w:t>
      </w:r>
      <w:proofErr w:type="spellEnd"/>
      <w:r w:rsidR="005903DA">
        <w:t xml:space="preserve"> or in the form of land or property and could be paid in instalments. MacDowell (1978</w:t>
      </w:r>
      <w:proofErr w:type="gramStart"/>
      <w:r w:rsidR="005903DA">
        <w:t>)..</w:t>
      </w:r>
      <w:proofErr w:type="gramEnd"/>
    </w:p>
    <w:p w14:paraId="49D86BB6" w14:textId="77777777" w:rsidR="005903DA" w:rsidRDefault="005903DA" w:rsidP="00850002">
      <w:r>
        <w:t>From what I have found courtship while it would have taken place may not have been recorded as much by the Greeks as it may have been considered unacceptable to have relationships with an unmarried woman as she would require the consent of her Kyrios. Marriage custom is however well documented.</w:t>
      </w:r>
      <w:bookmarkStart w:id="0" w:name="_GoBack"/>
      <w:bookmarkEnd w:id="0"/>
      <w:r>
        <w:t xml:space="preserve"> </w:t>
      </w:r>
    </w:p>
    <w:p w14:paraId="25724A45" w14:textId="2C97F11D" w:rsidR="005903DA" w:rsidRDefault="005903DA" w:rsidP="00850002">
      <w:r>
        <w:t xml:space="preserve">Bibliography: </w:t>
      </w:r>
    </w:p>
    <w:p w14:paraId="5C09BA47" w14:textId="29F5ADBA" w:rsidR="005903DA" w:rsidRDefault="005903DA" w:rsidP="00850002">
      <w:r w:rsidRPr="005903DA">
        <w:t>MacDowell, D., 1986. The Law in Classical Athens. Cornell University Press.</w:t>
      </w:r>
      <w:r>
        <w:t xml:space="preserve"> 86-87</w:t>
      </w:r>
    </w:p>
    <w:p w14:paraId="184E1008" w14:textId="05C9B004" w:rsidR="005903DA" w:rsidRDefault="005903DA" w:rsidP="00850002">
      <w:r>
        <w:t xml:space="preserve">Sutton, RF 1997. </w:t>
      </w:r>
      <w:proofErr w:type="spellStart"/>
      <w:r>
        <w:t>Nuptual</w:t>
      </w:r>
      <w:proofErr w:type="spellEnd"/>
      <w:r>
        <w:t xml:space="preserve"> Eros: The Visual discourse of marriage in Classical Athens. The Journal of the Walters Art Gallery, 55/56pp 27-48</w:t>
      </w:r>
    </w:p>
    <w:p w14:paraId="0998A093" w14:textId="274EE258" w:rsidR="00AD5FE4" w:rsidRPr="00850002" w:rsidRDefault="005903DA" w:rsidP="00850002">
      <w:r>
        <w:lastRenderedPageBreak/>
        <w:t xml:space="preserve"> </w:t>
      </w:r>
    </w:p>
    <w:sectPr w:rsidR="00AD5FE4" w:rsidRPr="00850002">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5A97DF" w14:textId="77777777" w:rsidR="006F1C22" w:rsidRDefault="006F1C22" w:rsidP="005903DA">
      <w:pPr>
        <w:spacing w:after="0" w:line="240" w:lineRule="auto"/>
      </w:pPr>
      <w:r>
        <w:separator/>
      </w:r>
    </w:p>
  </w:endnote>
  <w:endnote w:type="continuationSeparator" w:id="0">
    <w:p w14:paraId="56F20867" w14:textId="77777777" w:rsidR="006F1C22" w:rsidRDefault="006F1C22" w:rsidP="005903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7A34B3" w14:textId="00908CF7" w:rsidR="005903DA" w:rsidRDefault="005903DA">
    <w:pPr>
      <w:pStyle w:val="Footer"/>
    </w:pPr>
    <w:r>
      <w:t>Word Count: 532</w:t>
    </w:r>
  </w:p>
  <w:p w14:paraId="36647A47" w14:textId="77777777" w:rsidR="005903DA" w:rsidRDefault="005903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9B32CC" w14:textId="77777777" w:rsidR="006F1C22" w:rsidRDefault="006F1C22" w:rsidP="005903DA">
      <w:pPr>
        <w:spacing w:after="0" w:line="240" w:lineRule="auto"/>
      </w:pPr>
      <w:r>
        <w:separator/>
      </w:r>
    </w:p>
  </w:footnote>
  <w:footnote w:type="continuationSeparator" w:id="0">
    <w:p w14:paraId="1A0074A2" w14:textId="77777777" w:rsidR="006F1C22" w:rsidRDefault="006F1C22" w:rsidP="005903D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C19F80" w14:textId="67F558CE" w:rsidR="005903DA" w:rsidRDefault="005903DA">
    <w:pPr>
      <w:pStyle w:val="Header"/>
    </w:pPr>
    <w:r>
      <w:t>Sean Kirkham</w:t>
    </w:r>
  </w:p>
  <w:p w14:paraId="6EE34713" w14:textId="77777777" w:rsidR="005903DA" w:rsidRDefault="005903D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0002"/>
    <w:rsid w:val="00096852"/>
    <w:rsid w:val="001960FD"/>
    <w:rsid w:val="002B2ECF"/>
    <w:rsid w:val="005903DA"/>
    <w:rsid w:val="006848FF"/>
    <w:rsid w:val="006F1C22"/>
    <w:rsid w:val="007D7C11"/>
    <w:rsid w:val="00850002"/>
    <w:rsid w:val="00AD5FE4"/>
    <w:rsid w:val="00AF0825"/>
    <w:rsid w:val="00BC162B"/>
    <w:rsid w:val="00E36B8F"/>
    <w:rsid w:val="00E959B8"/>
    <w:rsid w:val="00F413DA"/>
    <w:rsid w:val="00FE2D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B09564"/>
  <w15:chartTrackingRefBased/>
  <w15:docId w15:val="{E47CF4AD-290B-4697-9E5F-261C4D91B0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903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03DA"/>
  </w:style>
  <w:style w:type="paragraph" w:styleId="Footer">
    <w:name w:val="footer"/>
    <w:basedOn w:val="Normal"/>
    <w:link w:val="FooterChar"/>
    <w:uiPriority w:val="99"/>
    <w:unhideWhenUsed/>
    <w:rsid w:val="005903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03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133</TotalTime>
  <Pages>2</Pages>
  <Words>519</Words>
  <Characters>2964</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 kirkham</dc:creator>
  <cp:keywords/>
  <dc:description/>
  <cp:lastModifiedBy>sean kirkham</cp:lastModifiedBy>
  <cp:revision>1</cp:revision>
  <dcterms:created xsi:type="dcterms:W3CDTF">2018-09-26T18:20:00Z</dcterms:created>
  <dcterms:modified xsi:type="dcterms:W3CDTF">2018-09-26T20:33:00Z</dcterms:modified>
</cp:coreProperties>
</file>