
<file path=[Content_Types].xml><?xml version="1.0" encoding="utf-8"?>
<Types xmlns="http://schemas.openxmlformats.org/package/2006/content-types">
  <Default Extension="bin" ContentType="application/vnd.ms-office.activeX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55EDF" w14:textId="3458BF9F" w:rsidR="004A25BD" w:rsidRPr="004A25BD" w:rsidRDefault="004A25BD" w:rsidP="004A25BD">
      <w:pPr>
        <w:shd w:val="clear" w:color="auto" w:fill="FFFFFF"/>
        <w:spacing w:after="100" w:afterAutospacing="1" w:line="240" w:lineRule="auto"/>
        <w:outlineLvl w:val="0"/>
        <w:rPr>
          <w:rFonts w:ascii="Times New Roman" w:eastAsia="Times New Roman" w:hAnsi="Times New Roman" w:cs="Times New Roman"/>
          <w:color w:val="26304D"/>
          <w:kern w:val="36"/>
          <w:sz w:val="48"/>
          <w:szCs w:val="48"/>
        </w:rPr>
      </w:pPr>
      <w:r w:rsidRPr="004A25BD">
        <w:rPr>
          <w:rFonts w:ascii="Times New Roman" w:eastAsia="Times New Roman" w:hAnsi="Times New Roman" w:cs="Times New Roman"/>
          <w:color w:val="26304D"/>
          <w:kern w:val="36"/>
          <w:sz w:val="48"/>
          <w:szCs w:val="48"/>
        </w:rPr>
        <w:t>Multiple choice questions</w:t>
      </w:r>
    </w:p>
    <w:p w14:paraId="5C65823A" w14:textId="77777777" w:rsidR="004A25BD" w:rsidRPr="004A25BD" w:rsidRDefault="004A25BD" w:rsidP="004A25BD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</w:rPr>
      </w:pPr>
      <w:r w:rsidRPr="004A25BD">
        <w:rPr>
          <w:rFonts w:ascii="Arial" w:eastAsia="Times New Roman" w:hAnsi="Arial" w:cs="Arial"/>
          <w:vanish/>
          <w:sz w:val="16"/>
          <w:szCs w:val="16"/>
        </w:rPr>
        <w:t>Top of Form</w:t>
      </w:r>
    </w:p>
    <w:p w14:paraId="3D41D698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1. When issuing equitable remedies, equity acts in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personam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. What does this mean?</w:t>
      </w:r>
    </w:p>
    <w:p w14:paraId="21D251CC" w14:textId="64F94BD4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53C3D07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44" type="#_x0000_t75" style="width:19.9pt;height:16.5pt" o:ole="">
            <v:imagedata r:id="rId4" o:title=""/>
          </v:shape>
          <w:control r:id="rId5" w:name="DefaultOcxName" w:shapeid="_x0000_i1144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Equitable remedies attach to the property in dispute</w:t>
      </w:r>
    </w:p>
    <w:p w14:paraId="1C98CB04" w14:textId="5136156C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A21C797">
          <v:shape id="_x0000_i1143" type="#_x0000_t75" style="width:19.9pt;height:16.5pt" o:ole="">
            <v:imagedata r:id="rId6" o:title=""/>
          </v:shape>
          <w:control r:id="rId7" w:name="DefaultOcxName1" w:shapeid="_x0000_i1143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Equitable remedies only apply to actions within England and Wales</w:t>
      </w:r>
    </w:p>
    <w:p w14:paraId="2CB10C01" w14:textId="569D7BCC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CF2BB95">
          <v:shape id="_x0000_i1142" type="#_x0000_t75" style="width:19.9pt;height:16.5pt" o:ole="">
            <v:imagedata r:id="rId8" o:title=""/>
          </v:shape>
          <w:control r:id="rId9" w:name="DefaultOcxName2" w:shapeid="_x0000_i1142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Equitable remedies order a person to do or refrain from doing some act</w:t>
      </w:r>
    </w:p>
    <w:p w14:paraId="1F265B01" w14:textId="3C427DD2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271300CC">
          <v:shape id="_x0000_i1141" type="#_x0000_t75" style="width:19.9pt;height:16.5pt" o:ole="">
            <v:imagedata r:id="rId10" o:title=""/>
          </v:shape>
          <w:control r:id="rId11" w:name="DefaultOcxName3" w:shapeid="_x0000_i1141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Equitable remedies only apply to property rights within England and Wales</w:t>
      </w:r>
    </w:p>
    <w:p w14:paraId="1D7E0AA2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2. The issue of injunctions is within the discretion of the court. A number of factors may be taken into account. Which of the following factors would </w:t>
      </w:r>
      <w:r w:rsidRPr="004A25BD">
        <w:rPr>
          <w:rFonts w:ascii="Times New Roman" w:eastAsia="Times New Roman" w:hAnsi="Times New Roman" w:cs="Times New Roman"/>
          <w:b/>
          <w:bCs/>
          <w:color w:val="26304D"/>
          <w:sz w:val="23"/>
          <w:szCs w:val="23"/>
        </w:rPr>
        <w:t>not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 justify the granting of an injunction?</w:t>
      </w:r>
    </w:p>
    <w:p w14:paraId="076AB775" w14:textId="1AD90124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1F125865">
          <v:shape id="_x0000_i1140" type="#_x0000_t75" style="width:19.9pt;height:16.5pt" o:ole="">
            <v:imagedata r:id="rId12" o:title=""/>
          </v:shape>
          <w:control r:id="rId13" w:name="DefaultOcxName4" w:shapeid="_x0000_i1140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claimant's proprietary rights are being interfered with</w:t>
      </w:r>
    </w:p>
    <w:p w14:paraId="240CA560" w14:textId="78FAFE42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DD5DCB5">
          <v:shape id="_x0000_i1139" type="#_x0000_t75" style="width:19.9pt;height:16.5pt" o:ole="">
            <v:imagedata r:id="rId14" o:title=""/>
          </v:shape>
          <w:control r:id="rId15" w:name="DefaultOcxName5" w:shapeid="_x0000_i1139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defendant is threatening to infringe the claimant's legal or equitable rights</w:t>
      </w:r>
    </w:p>
    <w:p w14:paraId="14310B40" w14:textId="73293F73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3080C034">
          <v:shape id="_x0000_i1138" type="#_x0000_t75" style="width:19.9pt;height:16.5pt" o:ole="">
            <v:imagedata r:id="rId16" o:title=""/>
          </v:shape>
          <w:control r:id="rId17" w:name="DefaultOcxName6" w:shapeid="_x0000_i1138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court considers the actions of the defendant to be unfair and undesirable</w:t>
      </w:r>
    </w:p>
    <w:p w14:paraId="388952A5" w14:textId="1804FACA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565A6A6C">
          <v:shape id="_x0000_i1137" type="#_x0000_t75" style="width:19.9pt;height:16.5pt" o:ole="">
            <v:imagedata r:id="rId18" o:title=""/>
          </v:shape>
          <w:control r:id="rId19" w:name="DefaultOcxName7" w:shapeid="_x0000_i1137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claimant's rights are being infringed by persons who are not parties to the case</w:t>
      </w:r>
    </w:p>
    <w:p w14:paraId="073446DB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3. When is a party's personal conduct 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  <w:u w:val="single"/>
        </w:rPr>
        <w:t>irrelevant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 to the court's decision to grant or withhold an injunction?</w:t>
      </w:r>
    </w:p>
    <w:p w14:paraId="7B8EFAE6" w14:textId="34EA94B3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65B1A1C6">
          <v:shape id="_x0000_i1136" type="#_x0000_t75" style="width:19.9pt;height:16.5pt" o:ole="">
            <v:imagedata r:id="rId20" o:title=""/>
          </v:shape>
          <w:control r:id="rId21" w:name="DefaultOcxName8" w:shapeid="_x0000_i1136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When it is something that the party may do in the future</w:t>
      </w:r>
    </w:p>
    <w:p w14:paraId="373C445D" w14:textId="38A61392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6A982263">
          <v:shape id="_x0000_i1135" type="#_x0000_t75" style="width:19.9pt;height:16.5pt" o:ole="">
            <v:imagedata r:id="rId22" o:title=""/>
          </v:shape>
          <w:control r:id="rId23" w:name="DefaultOcxName9" w:shapeid="_x0000_i1135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When the personal conduct specifically relates to the application to the court</w:t>
      </w:r>
    </w:p>
    <w:p w14:paraId="1E17728A" w14:textId="12C6E907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696C1AA9">
          <v:shape id="_x0000_i1134" type="#_x0000_t75" style="width:19.9pt;height:16.5pt" o:ole="">
            <v:imagedata r:id="rId24" o:title=""/>
          </v:shape>
          <w:control r:id="rId25" w:name="DefaultOcxName10" w:shapeid="_x0000_i1134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When the party refuses to submit to the directions of the court</w:t>
      </w:r>
    </w:p>
    <w:p w14:paraId="0491C7F1" w14:textId="6BDCCB37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7347B868">
          <v:shape id="_x0000_i1133" type="#_x0000_t75" style="width:19.9pt;height:16.5pt" o:ole="">
            <v:imagedata r:id="rId26" o:title=""/>
          </v:shape>
          <w:control r:id="rId27" w:name="DefaultOcxName11" w:shapeid="_x0000_i1133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When the party is guilty of general depravity</w:t>
      </w:r>
    </w:p>
    <w:p w14:paraId="67B017AE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4. An injunction will only be granted when a common law remedy, such as damages would be inadequate or inappropriate. In which of the following situations would an injunction be granted?</w:t>
      </w:r>
    </w:p>
    <w:p w14:paraId="698951B7" w14:textId="534F5818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217A6704">
          <v:shape id="_x0000_i1132" type="#_x0000_t75" style="width:19.9pt;height:16.5pt" o:ole="">
            <v:imagedata r:id="rId28" o:title=""/>
          </v:shape>
          <w:control r:id="rId29" w:name="DefaultOcxName12" w:shapeid="_x0000_i1132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loss to the claimant can be quantified in financial terms</w:t>
      </w:r>
    </w:p>
    <w:p w14:paraId="5410BBB6" w14:textId="4763DFD7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6FCEDA65">
          <v:shape id="_x0000_i1131" type="#_x0000_t75" style="width:19.9pt;height:16.5pt" o:ole="">
            <v:imagedata r:id="rId30" o:title=""/>
          </v:shape>
          <w:control r:id="rId31" w:name="DefaultOcxName13" w:shapeid="_x0000_i1131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loss to the defendant would be severe</w:t>
      </w:r>
    </w:p>
    <w:p w14:paraId="20FE13FB" w14:textId="37DE7C19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6D9D3BA4">
          <v:shape id="_x0000_i1130" type="#_x0000_t75" style="width:19.9pt;height:16.5pt" o:ole="">
            <v:imagedata r:id="rId32" o:title=""/>
          </v:shape>
          <w:control r:id="rId33" w:name="DefaultOcxName14" w:shapeid="_x0000_i1130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defendant is immensely rich</w:t>
      </w:r>
    </w:p>
    <w:p w14:paraId="4E513603" w14:textId="681C58F6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4405F299">
          <v:shape id="_x0000_i1129" type="#_x0000_t75" style="width:19.9pt;height:16.5pt" o:ole="">
            <v:imagedata r:id="rId22" o:title=""/>
          </v:shape>
          <w:control r:id="rId34" w:name="DefaultOcxName15" w:shapeid="_x0000_i1129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claimant delayed in seeking a remedy</w:t>
      </w:r>
    </w:p>
    <w:p w14:paraId="1C91E2EA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5. According to </w:t>
      </w:r>
      <w:r w:rsidRPr="004A25BD">
        <w:rPr>
          <w:rFonts w:ascii="Times New Roman" w:eastAsia="Times New Roman" w:hAnsi="Times New Roman" w:cs="Times New Roman"/>
          <w:i/>
          <w:iCs/>
          <w:color w:val="26304D"/>
          <w:sz w:val="23"/>
          <w:szCs w:val="23"/>
        </w:rPr>
        <w:t>American Cyanamid Co. v Ethicon Ltd.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 [1975] 1 All ER 504 there are several factors that the court must consider before deciding whether or not to issue an interim injunction. Which of the following is </w:t>
      </w:r>
      <w:r w:rsidRPr="004A25BD">
        <w:rPr>
          <w:rFonts w:ascii="Times New Roman" w:eastAsia="Times New Roman" w:hAnsi="Times New Roman" w:cs="Times New Roman"/>
          <w:b/>
          <w:bCs/>
          <w:color w:val="26304D"/>
          <w:sz w:val="23"/>
          <w:szCs w:val="23"/>
        </w:rPr>
        <w:t>not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 a relevant factor?</w:t>
      </w:r>
    </w:p>
    <w:p w14:paraId="23BAEBF9" w14:textId="4CD68882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3338A057">
          <v:shape id="_x0000_i1128" type="#_x0000_t75" style="width:19.9pt;height:16.5pt" o:ole="">
            <v:imagedata r:id="rId35" o:title=""/>
          </v:shape>
          <w:control r:id="rId36" w:name="DefaultOcxName16" w:shapeid="_x0000_i1128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Damages would be an adequate remedy</w:t>
      </w:r>
    </w:p>
    <w:p w14:paraId="54FB7570" w14:textId="4F51FABE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E6BEB65">
          <v:shape id="_x0000_i1127" type="#_x0000_t75" style="width:19.9pt;height:16.5pt" o:ole="">
            <v:imagedata r:id="rId28" o:title=""/>
          </v:shape>
          <w:control r:id="rId37" w:name="DefaultOcxName17" w:shapeid="_x0000_i1127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claimant has a good case in law and fact</w:t>
      </w:r>
    </w:p>
    <w:p w14:paraId="4DD53C8D" w14:textId="543C0E1A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2D32479A">
          <v:shape id="_x0000_i1126" type="#_x0000_t75" style="width:19.9pt;height:16.5pt" o:ole="">
            <v:imagedata r:id="rId38" o:title=""/>
          </v:shape>
          <w:control r:id="rId39" w:name="DefaultOcxName18" w:shapeid="_x0000_i1126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claimant would be able to compensate the defendant if the claimant fails at the eventual trial</w:t>
      </w:r>
    </w:p>
    <w:p w14:paraId="0880D886" w14:textId="283C108E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7CF1A47A">
          <v:shape id="_x0000_i1125" type="#_x0000_t75" style="width:19.9pt;height:16.5pt" o:ole="">
            <v:imagedata r:id="rId40" o:title=""/>
          </v:shape>
          <w:control r:id="rId41" w:name="DefaultOcxName19" w:shapeid="_x0000_i1125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 balance of convenience</w:t>
      </w:r>
    </w:p>
    <w:p w14:paraId="51FF445A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6. How does the Human Rights Act 1998 affect the granting of interim injunctions?</w:t>
      </w:r>
    </w:p>
    <w:p w14:paraId="48EE08F6" w14:textId="143CA09D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5D3FCBBD">
          <v:shape id="_x0000_i1124" type="#_x0000_t75" style="width:19.9pt;height:16.5pt" o:ole="">
            <v:imagedata r:id="rId42" o:title=""/>
          </v:shape>
          <w:control r:id="rId43" w:name="DefaultOcxName20" w:shapeid="_x0000_i1124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They can no longer be granted</w:t>
      </w:r>
    </w:p>
    <w:p w14:paraId="6EDA9E28" w14:textId="166E2F92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7377EF65">
          <v:shape id="_x0000_i1123" type="#_x0000_t75" style="width:19.9pt;height:16.5pt" o:ole="">
            <v:imagedata r:id="rId44" o:title=""/>
          </v:shape>
          <w:control r:id="rId45" w:name="DefaultOcxName21" w:shapeid="_x0000_i1123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They must not restrict freedom of expression</w:t>
      </w:r>
    </w:p>
    <w:p w14:paraId="53F247BC" w14:textId="4948E342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5B27D872">
          <v:shape id="_x0000_i1122" type="#_x0000_t75" style="width:19.9pt;height:16.5pt" o:ole="">
            <v:imagedata r:id="rId46" o:title=""/>
          </v:shape>
          <w:control r:id="rId47" w:name="DefaultOcxName22" w:shapeid="_x0000_i1122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They must not be used to restrain a breach of confidence</w:t>
      </w:r>
    </w:p>
    <w:p w14:paraId="10B6E405" w14:textId="4F20ECBC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22A776D7">
          <v:shape id="_x0000_i1121" type="#_x0000_t75" style="width:19.9pt;height:16.5pt" o:ole="">
            <v:imagedata r:id="rId48" o:title=""/>
          </v:shape>
          <w:control r:id="rId49" w:name="DefaultOcxName23" w:shapeid="_x0000_i1121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An injunction can only be granted if the claimant is likely to succeed at trial</w:t>
      </w:r>
    </w:p>
    <w:p w14:paraId="53565CCC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7. A "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Mareva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Injunction" freezes the assets of the defendant until the full trial is heard. This could make life very difficult for the defendant. Why did Lord Denning devise the "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Mareva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Injunction"?</w:t>
      </w:r>
    </w:p>
    <w:p w14:paraId="3332D4CD" w14:textId="478ED58D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lastRenderedPageBreak/>
        <w:object w:dxaOrig="1440" w:dyaOrig="1440" w14:anchorId="0D86DF64">
          <v:shape id="_x0000_i1120" type="#_x0000_t75" style="width:19.9pt;height:16.5pt" o:ole="">
            <v:imagedata r:id="rId50" o:title=""/>
          </v:shape>
          <w:control r:id="rId51" w:name="DefaultOcxName24" w:shapeid="_x0000_i1120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deal with the problem of foreign defendants using English courts</w:t>
      </w:r>
    </w:p>
    <w:p w14:paraId="401A9C62" w14:textId="38A06384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0A34A52C">
          <v:shape id="_x0000_i1119" type="#_x0000_t75" style="width:19.9pt;height:16.5pt" o:ole="">
            <v:imagedata r:id="rId52" o:title=""/>
          </v:shape>
          <w:control r:id="rId53" w:name="DefaultOcxName25" w:shapeid="_x0000_i1119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ensure that claimants fully stated their claim</w:t>
      </w:r>
    </w:p>
    <w:p w14:paraId="57EE2242" w14:textId="59CC8244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20B1320C">
          <v:shape id="_x0000_i1118" type="#_x0000_t75" style="width:19.9pt;height:16.5pt" o:ole="">
            <v:imagedata r:id="rId54" o:title=""/>
          </v:shape>
          <w:control r:id="rId55" w:name="DefaultOcxName26" w:shapeid="_x0000_i1118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prevent the defendant removing their assets before judgment</w:t>
      </w:r>
    </w:p>
    <w:p w14:paraId="65A522D4" w14:textId="619E54F8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48D9BE84">
          <v:shape id="_x0000_i1117" type="#_x0000_t75" style="width:19.9pt;height:16.5pt" o:ole="">
            <v:imagedata r:id="rId56" o:title=""/>
          </v:shape>
          <w:control r:id="rId57" w:name="DefaultOcxName27" w:shapeid="_x0000_i1117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ensure that claimants could compensate the defendant</w:t>
      </w:r>
    </w:p>
    <w:p w14:paraId="0B360B97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8. How is an "Anton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Piller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Order" (Search Order) different from a search warrant?</w:t>
      </w:r>
    </w:p>
    <w:p w14:paraId="33675AE6" w14:textId="40A389DF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646EA4B8">
          <v:shape id="_x0000_i1116" type="#_x0000_t75" style="width:19.9pt;height:16.5pt" o:ole="">
            <v:imagedata r:id="rId40" o:title=""/>
          </v:shape>
          <w:control r:id="rId58" w:name="DefaultOcxName28" w:shapeid="_x0000_i1116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An Anton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Piller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Order requires the defendant's permission to enter premises, a search warrant does not</w:t>
      </w:r>
    </w:p>
    <w:p w14:paraId="1F17087E" w14:textId="57B1B104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03B20DB9">
          <v:shape id="_x0000_i1115" type="#_x0000_t75" style="width:19.9pt;height:16.5pt" o:ole="">
            <v:imagedata r:id="rId59" o:title=""/>
          </v:shape>
          <w:control r:id="rId60" w:name="DefaultOcxName29" w:shapeid="_x0000_i1115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A search warrant is issued by the police, an Anton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Piller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Order by the High Court</w:t>
      </w:r>
    </w:p>
    <w:p w14:paraId="51AD8291" w14:textId="44EF55F0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60C534BE">
          <v:shape id="_x0000_i1114" type="#_x0000_t75" style="width:19.9pt;height:16.5pt" o:ole="">
            <v:imagedata r:id="rId42" o:title=""/>
          </v:shape>
          <w:control r:id="rId61" w:name="DefaultOcxName30" w:shapeid="_x0000_i1114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A search warrant may be issued in order to preserve evidence; an Anton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Piller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Order is to copy evidence</w:t>
      </w:r>
    </w:p>
    <w:p w14:paraId="0876E8BE" w14:textId="3DDF61C7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08854241">
          <v:shape id="_x0000_i1113" type="#_x0000_t75" style="width:19.9pt;height:16.5pt" o:ole="">
            <v:imagedata r:id="rId62" o:title=""/>
          </v:shape>
          <w:control r:id="rId63" w:name="DefaultOcxName31" w:shapeid="_x0000_i1113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A search warrant allows the search of premises, under an Anton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Piller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Order they may only be inspected</w:t>
      </w:r>
    </w:p>
    <w:p w14:paraId="54CB825C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9. When an Anton </w:t>
      </w:r>
      <w:proofErr w:type="spellStart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Piller</w:t>
      </w:r>
      <w:proofErr w:type="spellEnd"/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 xml:space="preserve"> order is served on the defendant the claimant should be attended by their solicitor. Why?</w:t>
      </w:r>
    </w:p>
    <w:p w14:paraId="1E54EC40" w14:textId="2A5275A4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7B4B7A4C">
          <v:shape id="_x0000_i1112" type="#_x0000_t75" style="width:19.9pt;height:16.5pt" o:ole="">
            <v:imagedata r:id="rId64" o:title=""/>
          </v:shape>
          <w:control r:id="rId65" w:name="DefaultOcxName32" w:shapeid="_x0000_i1112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In order to prevent any violence</w:t>
      </w:r>
    </w:p>
    <w:p w14:paraId="3AF80B26" w14:textId="39CA984A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99FA8C7">
          <v:shape id="_x0000_i1111" type="#_x0000_t75" style="width:19.9pt;height:16.5pt" o:ole="">
            <v:imagedata r:id="rId66" o:title=""/>
          </v:shape>
          <w:control r:id="rId67" w:name="DefaultOcxName33" w:shapeid="_x0000_i1111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ensure that only material specified in the order is taken</w:t>
      </w:r>
    </w:p>
    <w:p w14:paraId="58D0779C" w14:textId="0D7591BB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D1A94D0">
          <v:shape id="_x0000_i1110" type="#_x0000_t75" style="width:19.9pt;height:16.5pt" o:ole="">
            <v:imagedata r:id="rId28" o:title=""/>
          </v:shape>
          <w:control r:id="rId68" w:name="DefaultOcxName34" w:shapeid="_x0000_i1110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report back to the court</w:t>
      </w:r>
    </w:p>
    <w:p w14:paraId="50898E76" w14:textId="575B453B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FCBC415">
          <v:shape id="_x0000_i1109" type="#_x0000_t75" style="width:19.9pt;height:16.5pt" o:ole="">
            <v:imagedata r:id="rId69" o:title=""/>
          </v:shape>
          <w:control r:id="rId70" w:name="DefaultOcxName35" w:shapeid="_x0000_i1109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To advise the defendants on the meaning of the court order</w:t>
      </w:r>
    </w:p>
    <w:p w14:paraId="482B2932" w14:textId="77777777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10. Specific performance may be granted by a court to enforce a contract. For which of the following contracts would specific performance 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  <w:u w:val="single"/>
        </w:rPr>
        <w:t>not</w: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 be granted?</w:t>
      </w:r>
    </w:p>
    <w:p w14:paraId="3AD84552" w14:textId="2E0981AE" w:rsidR="004A25BD" w:rsidRPr="004A25BD" w:rsidRDefault="004A25BD" w:rsidP="004A25B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6304D"/>
          <w:sz w:val="23"/>
          <w:szCs w:val="23"/>
        </w:rPr>
      </w:pP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object w:dxaOrig="1440" w:dyaOrig="1440" w14:anchorId="672E2F45">
          <v:shape id="_x0000_i1108" type="#_x0000_t75" style="width:19.9pt;height:16.5pt" o:ole="">
            <v:imagedata r:id="rId71" o:title=""/>
          </v:shape>
          <w:control r:id="rId72" w:name="DefaultOcxName36" w:shapeid="_x0000_i1108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A contract for the sale of land</w:t>
      </w:r>
    </w:p>
    <w:p w14:paraId="15E832AF" w14:textId="43019758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71D85B81">
          <v:shape id="_x0000_i1107" type="#_x0000_t75" style="width:19.9pt;height:16.5pt" o:ole="">
            <v:imagedata r:id="rId73" o:title=""/>
          </v:shape>
          <w:control r:id="rId74" w:name="DefaultOcxName37" w:shapeid="_x0000_i1107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A contract for the sale of a valuable chattel</w:t>
      </w:r>
    </w:p>
    <w:p w14:paraId="07ED1987" w14:textId="190ADCB6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143B6438">
          <v:shape id="_x0000_i1106" type="#_x0000_t75" style="width:19.9pt;height:16.5pt" o:ole="">
            <v:imagedata r:id="rId75" o:title=""/>
          </v:shape>
          <w:control r:id="rId76" w:name="DefaultOcxName38" w:shapeid="_x0000_i1106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A contract to write a book for a publisher</w:t>
      </w:r>
    </w:p>
    <w:p w14:paraId="2DF8FB21" w14:textId="2E935EB0" w:rsidR="004A25BD" w:rsidRPr="004A25BD" w:rsidRDefault="004A25BD" w:rsidP="004A25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6304D"/>
          <w:sz w:val="23"/>
          <w:szCs w:val="23"/>
        </w:rPr>
      </w:pPr>
      <w:r w:rsidRPr="004A25BD">
        <w:rPr>
          <w:rFonts w:ascii="Arial" w:eastAsia="Times New Roman" w:hAnsi="Arial" w:cs="Arial"/>
          <w:color w:val="26304D"/>
          <w:sz w:val="23"/>
          <w:szCs w:val="23"/>
        </w:rPr>
        <w:object w:dxaOrig="1440" w:dyaOrig="1440" w14:anchorId="458071AA">
          <v:shape id="_x0000_i1105" type="#_x0000_t75" style="width:19.9pt;height:16.5pt" o:ole="">
            <v:imagedata r:id="rId77" o:title=""/>
          </v:shape>
          <w:control r:id="rId78" w:name="DefaultOcxName39" w:shapeid="_x0000_i1105"/>
        </w:object>
      </w:r>
      <w:r w:rsidRPr="004A25BD">
        <w:rPr>
          <w:rFonts w:ascii="Times New Roman" w:eastAsia="Times New Roman" w:hAnsi="Times New Roman" w:cs="Times New Roman"/>
          <w:color w:val="26304D"/>
          <w:sz w:val="23"/>
          <w:szCs w:val="23"/>
        </w:rPr>
        <w:t>A contract to perform a concert</w:t>
      </w:r>
    </w:p>
    <w:p w14:paraId="43C6E579" w14:textId="77777777" w:rsidR="004A25BD" w:rsidRPr="004A25BD" w:rsidRDefault="004A25BD" w:rsidP="004A25BD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</w:rPr>
      </w:pPr>
      <w:r w:rsidRPr="004A25BD">
        <w:rPr>
          <w:rFonts w:ascii="Arial" w:eastAsia="Times New Roman" w:hAnsi="Arial" w:cs="Arial"/>
          <w:vanish/>
          <w:sz w:val="16"/>
          <w:szCs w:val="16"/>
        </w:rPr>
        <w:t>Bottom of Form</w:t>
      </w:r>
    </w:p>
    <w:p w14:paraId="26EEF8A4" w14:textId="77777777" w:rsidR="00436BE4" w:rsidRDefault="00436BE4"/>
    <w:sectPr w:rsidR="00436B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5BD"/>
    <w:rsid w:val="00436BE4"/>
    <w:rsid w:val="004A2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63C0B"/>
  <w15:chartTrackingRefBased/>
  <w15:docId w15:val="{7572BF64-A4B4-4914-8E0E-411B166C7B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A25B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5BD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A25B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A25BD"/>
    <w:rPr>
      <w:rFonts w:ascii="Arial" w:eastAsia="Times New Roman" w:hAnsi="Arial" w:cs="Arial"/>
      <w:vanish/>
      <w:sz w:val="16"/>
      <w:szCs w:val="16"/>
    </w:rPr>
  </w:style>
  <w:style w:type="character" w:customStyle="1" w:styleId="txt">
    <w:name w:val="txt"/>
    <w:basedOn w:val="DefaultParagraphFont"/>
    <w:rsid w:val="004A25BD"/>
  </w:style>
  <w:style w:type="character" w:customStyle="1" w:styleId="distractor5bc4a33f202a97000f35554c">
    <w:name w:val="distractor5bc4a33f202a97000f35554c"/>
    <w:basedOn w:val="DefaultParagraphFont"/>
    <w:rsid w:val="004A25BD"/>
  </w:style>
  <w:style w:type="character" w:customStyle="1" w:styleId="distractor5bc4a33f202a97000f35554d">
    <w:name w:val="distractor5bc4a33f202a97000f35554d"/>
    <w:basedOn w:val="DefaultParagraphFont"/>
    <w:rsid w:val="004A25BD"/>
  </w:style>
  <w:style w:type="character" w:customStyle="1" w:styleId="distractor5bc4a33f202a97000f35554e">
    <w:name w:val="distractor5bc4a33f202a97000f35554e"/>
    <w:basedOn w:val="DefaultParagraphFont"/>
    <w:rsid w:val="004A25BD"/>
  </w:style>
  <w:style w:type="character" w:customStyle="1" w:styleId="distractor5bc4a33f202a97000f35554f">
    <w:name w:val="distractor5bc4a33f202a97000f35554f"/>
    <w:basedOn w:val="DefaultParagraphFont"/>
    <w:rsid w:val="004A25BD"/>
  </w:style>
  <w:style w:type="character" w:customStyle="1" w:styleId="distractor5bc4a33f202a97000f355550">
    <w:name w:val="distractor5bc4a33f202a97000f355550"/>
    <w:basedOn w:val="DefaultParagraphFont"/>
    <w:rsid w:val="004A25BD"/>
  </w:style>
  <w:style w:type="character" w:customStyle="1" w:styleId="distractor5bc4a33f202a97000f355551">
    <w:name w:val="distractor5bc4a33f202a97000f355551"/>
    <w:basedOn w:val="DefaultParagraphFont"/>
    <w:rsid w:val="004A25BD"/>
  </w:style>
  <w:style w:type="character" w:customStyle="1" w:styleId="distractor5bc4a33f202a97000f355552">
    <w:name w:val="distractor5bc4a33f202a97000f355552"/>
    <w:basedOn w:val="DefaultParagraphFont"/>
    <w:rsid w:val="004A25BD"/>
  </w:style>
  <w:style w:type="character" w:customStyle="1" w:styleId="distractor5bc4a33f202a97000f355553">
    <w:name w:val="distractor5bc4a33f202a97000f355553"/>
    <w:basedOn w:val="DefaultParagraphFont"/>
    <w:rsid w:val="004A25BD"/>
  </w:style>
  <w:style w:type="character" w:customStyle="1" w:styleId="distractor5bc4a33f202a97000f355554">
    <w:name w:val="distractor5bc4a33f202a97000f355554"/>
    <w:basedOn w:val="DefaultParagraphFont"/>
    <w:rsid w:val="004A25BD"/>
  </w:style>
  <w:style w:type="character" w:customStyle="1" w:styleId="distractor5bc4a33f202a97000f355555">
    <w:name w:val="distractor5bc4a33f202a97000f355555"/>
    <w:basedOn w:val="DefaultParagraphFont"/>
    <w:rsid w:val="004A25BD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4A25BD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4A25BD"/>
    <w:rPr>
      <w:rFonts w:ascii="Arial" w:eastAsia="Times New Roman" w:hAnsi="Arial" w:cs="Arial"/>
      <w:vanish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656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9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292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14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884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943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17684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685674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198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8703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984573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5936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111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065954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6676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9347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785470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944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8846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3071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865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200146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146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4053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981467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7570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0112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32628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6533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1712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037051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2888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5977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0983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3616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5608254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058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2164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250559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722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8809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645589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490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22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41954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7118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0367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3509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94071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519108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02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7991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788044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325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020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561550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9404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3427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719883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81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4686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064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6109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434578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0605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9507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894124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038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688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045629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45910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6357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439810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295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6861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6937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70169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300030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7211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6511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742171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0504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71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927205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628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8126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214962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1820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5069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861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3919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2042749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2752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4736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332909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1721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6904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074981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79167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3759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562776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6555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1285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1010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69355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78598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788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749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668861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7004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1179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760227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0903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6540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157679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6461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1478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0023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5913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6237240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40323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1206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887945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5693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031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568248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1053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3814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292871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796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97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0708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4728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529310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32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876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463656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5538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9126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370476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65588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83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399317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0548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396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wmf"/><Relationship Id="rId21" Type="http://schemas.openxmlformats.org/officeDocument/2006/relationships/control" Target="activeX/activeX9.xml"/><Relationship Id="rId42" Type="http://schemas.openxmlformats.org/officeDocument/2006/relationships/image" Target="media/image19.wmf"/><Relationship Id="rId47" Type="http://schemas.openxmlformats.org/officeDocument/2006/relationships/control" Target="activeX/activeX23.xml"/><Relationship Id="rId63" Type="http://schemas.openxmlformats.org/officeDocument/2006/relationships/control" Target="activeX/activeX32.xml"/><Relationship Id="rId68" Type="http://schemas.openxmlformats.org/officeDocument/2006/relationships/control" Target="activeX/activeX35.xml"/><Relationship Id="rId16" Type="http://schemas.openxmlformats.org/officeDocument/2006/relationships/image" Target="media/image7.wmf"/><Relationship Id="rId11" Type="http://schemas.openxmlformats.org/officeDocument/2006/relationships/control" Target="activeX/activeX4.xml"/><Relationship Id="rId24" Type="http://schemas.openxmlformats.org/officeDocument/2006/relationships/image" Target="media/image11.wmf"/><Relationship Id="rId32" Type="http://schemas.openxmlformats.org/officeDocument/2006/relationships/image" Target="media/image15.wmf"/><Relationship Id="rId37" Type="http://schemas.openxmlformats.org/officeDocument/2006/relationships/control" Target="activeX/activeX18.xml"/><Relationship Id="rId40" Type="http://schemas.openxmlformats.org/officeDocument/2006/relationships/image" Target="media/image18.wmf"/><Relationship Id="rId45" Type="http://schemas.openxmlformats.org/officeDocument/2006/relationships/control" Target="activeX/activeX22.xml"/><Relationship Id="rId53" Type="http://schemas.openxmlformats.org/officeDocument/2006/relationships/control" Target="activeX/activeX26.xml"/><Relationship Id="rId58" Type="http://schemas.openxmlformats.org/officeDocument/2006/relationships/control" Target="activeX/activeX29.xml"/><Relationship Id="rId66" Type="http://schemas.openxmlformats.org/officeDocument/2006/relationships/image" Target="media/image30.wmf"/><Relationship Id="rId74" Type="http://schemas.openxmlformats.org/officeDocument/2006/relationships/control" Target="activeX/activeX38.xml"/><Relationship Id="rId79" Type="http://schemas.openxmlformats.org/officeDocument/2006/relationships/fontTable" Target="fontTable.xml"/><Relationship Id="rId5" Type="http://schemas.openxmlformats.org/officeDocument/2006/relationships/control" Target="activeX/activeX1.xml"/><Relationship Id="rId61" Type="http://schemas.openxmlformats.org/officeDocument/2006/relationships/control" Target="activeX/activeX31.xml"/><Relationship Id="rId19" Type="http://schemas.openxmlformats.org/officeDocument/2006/relationships/control" Target="activeX/activeX8.xml"/><Relationship Id="rId14" Type="http://schemas.openxmlformats.org/officeDocument/2006/relationships/image" Target="media/image6.wmf"/><Relationship Id="rId22" Type="http://schemas.openxmlformats.org/officeDocument/2006/relationships/image" Target="media/image10.wmf"/><Relationship Id="rId27" Type="http://schemas.openxmlformats.org/officeDocument/2006/relationships/control" Target="activeX/activeX12.xml"/><Relationship Id="rId30" Type="http://schemas.openxmlformats.org/officeDocument/2006/relationships/image" Target="media/image14.wmf"/><Relationship Id="rId35" Type="http://schemas.openxmlformats.org/officeDocument/2006/relationships/image" Target="media/image16.wmf"/><Relationship Id="rId43" Type="http://schemas.openxmlformats.org/officeDocument/2006/relationships/control" Target="activeX/activeX21.xml"/><Relationship Id="rId48" Type="http://schemas.openxmlformats.org/officeDocument/2006/relationships/image" Target="media/image22.wmf"/><Relationship Id="rId56" Type="http://schemas.openxmlformats.org/officeDocument/2006/relationships/image" Target="media/image26.wmf"/><Relationship Id="rId64" Type="http://schemas.openxmlformats.org/officeDocument/2006/relationships/image" Target="media/image29.wmf"/><Relationship Id="rId69" Type="http://schemas.openxmlformats.org/officeDocument/2006/relationships/image" Target="media/image31.wmf"/><Relationship Id="rId77" Type="http://schemas.openxmlformats.org/officeDocument/2006/relationships/image" Target="media/image35.wmf"/><Relationship Id="rId8" Type="http://schemas.openxmlformats.org/officeDocument/2006/relationships/image" Target="media/image3.wmf"/><Relationship Id="rId51" Type="http://schemas.openxmlformats.org/officeDocument/2006/relationships/control" Target="activeX/activeX25.xml"/><Relationship Id="rId72" Type="http://schemas.openxmlformats.org/officeDocument/2006/relationships/control" Target="activeX/activeX37.xml"/><Relationship Id="rId80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image" Target="media/image5.wmf"/><Relationship Id="rId17" Type="http://schemas.openxmlformats.org/officeDocument/2006/relationships/control" Target="activeX/activeX7.xml"/><Relationship Id="rId25" Type="http://schemas.openxmlformats.org/officeDocument/2006/relationships/control" Target="activeX/activeX11.xml"/><Relationship Id="rId33" Type="http://schemas.openxmlformats.org/officeDocument/2006/relationships/control" Target="activeX/activeX15.xml"/><Relationship Id="rId38" Type="http://schemas.openxmlformats.org/officeDocument/2006/relationships/image" Target="media/image17.wmf"/><Relationship Id="rId46" Type="http://schemas.openxmlformats.org/officeDocument/2006/relationships/image" Target="media/image21.wmf"/><Relationship Id="rId59" Type="http://schemas.openxmlformats.org/officeDocument/2006/relationships/image" Target="media/image27.wmf"/><Relationship Id="rId67" Type="http://schemas.openxmlformats.org/officeDocument/2006/relationships/control" Target="activeX/activeX34.xml"/><Relationship Id="rId20" Type="http://schemas.openxmlformats.org/officeDocument/2006/relationships/image" Target="media/image9.wmf"/><Relationship Id="rId41" Type="http://schemas.openxmlformats.org/officeDocument/2006/relationships/control" Target="activeX/activeX20.xml"/><Relationship Id="rId54" Type="http://schemas.openxmlformats.org/officeDocument/2006/relationships/image" Target="media/image25.wmf"/><Relationship Id="rId62" Type="http://schemas.openxmlformats.org/officeDocument/2006/relationships/image" Target="media/image28.wmf"/><Relationship Id="rId70" Type="http://schemas.openxmlformats.org/officeDocument/2006/relationships/control" Target="activeX/activeX36.xml"/><Relationship Id="rId75" Type="http://schemas.openxmlformats.org/officeDocument/2006/relationships/image" Target="media/image34.wmf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5" Type="http://schemas.openxmlformats.org/officeDocument/2006/relationships/control" Target="activeX/activeX6.xml"/><Relationship Id="rId23" Type="http://schemas.openxmlformats.org/officeDocument/2006/relationships/control" Target="activeX/activeX10.xml"/><Relationship Id="rId28" Type="http://schemas.openxmlformats.org/officeDocument/2006/relationships/image" Target="media/image13.wmf"/><Relationship Id="rId36" Type="http://schemas.openxmlformats.org/officeDocument/2006/relationships/control" Target="activeX/activeX17.xml"/><Relationship Id="rId49" Type="http://schemas.openxmlformats.org/officeDocument/2006/relationships/control" Target="activeX/activeX24.xml"/><Relationship Id="rId57" Type="http://schemas.openxmlformats.org/officeDocument/2006/relationships/control" Target="activeX/activeX28.xml"/><Relationship Id="rId10" Type="http://schemas.openxmlformats.org/officeDocument/2006/relationships/image" Target="media/image4.wmf"/><Relationship Id="rId31" Type="http://schemas.openxmlformats.org/officeDocument/2006/relationships/control" Target="activeX/activeX14.xml"/><Relationship Id="rId44" Type="http://schemas.openxmlformats.org/officeDocument/2006/relationships/image" Target="media/image20.wmf"/><Relationship Id="rId52" Type="http://schemas.openxmlformats.org/officeDocument/2006/relationships/image" Target="media/image24.wmf"/><Relationship Id="rId60" Type="http://schemas.openxmlformats.org/officeDocument/2006/relationships/control" Target="activeX/activeX30.xml"/><Relationship Id="rId65" Type="http://schemas.openxmlformats.org/officeDocument/2006/relationships/control" Target="activeX/activeX33.xml"/><Relationship Id="rId73" Type="http://schemas.openxmlformats.org/officeDocument/2006/relationships/image" Target="media/image33.wmf"/><Relationship Id="rId78" Type="http://schemas.openxmlformats.org/officeDocument/2006/relationships/control" Target="activeX/activeX40.xml"/><Relationship Id="rId4" Type="http://schemas.openxmlformats.org/officeDocument/2006/relationships/image" Target="media/image1.wmf"/><Relationship Id="rId9" Type="http://schemas.openxmlformats.org/officeDocument/2006/relationships/control" Target="activeX/activeX3.xml"/><Relationship Id="rId13" Type="http://schemas.openxmlformats.org/officeDocument/2006/relationships/control" Target="activeX/activeX5.xml"/><Relationship Id="rId18" Type="http://schemas.openxmlformats.org/officeDocument/2006/relationships/image" Target="media/image8.wmf"/><Relationship Id="rId39" Type="http://schemas.openxmlformats.org/officeDocument/2006/relationships/control" Target="activeX/activeX19.xml"/><Relationship Id="rId34" Type="http://schemas.openxmlformats.org/officeDocument/2006/relationships/control" Target="activeX/activeX16.xml"/><Relationship Id="rId50" Type="http://schemas.openxmlformats.org/officeDocument/2006/relationships/image" Target="media/image23.wmf"/><Relationship Id="rId55" Type="http://schemas.openxmlformats.org/officeDocument/2006/relationships/control" Target="activeX/activeX27.xml"/><Relationship Id="rId76" Type="http://schemas.openxmlformats.org/officeDocument/2006/relationships/control" Target="activeX/activeX39.xml"/><Relationship Id="rId7" Type="http://schemas.openxmlformats.org/officeDocument/2006/relationships/control" Target="activeX/activeX2.xml"/><Relationship Id="rId71" Type="http://schemas.openxmlformats.org/officeDocument/2006/relationships/image" Target="media/image32.wmf"/><Relationship Id="rId2" Type="http://schemas.openxmlformats.org/officeDocument/2006/relationships/settings" Target="settings.xml"/><Relationship Id="rId29" Type="http://schemas.openxmlformats.org/officeDocument/2006/relationships/control" Target="activeX/activeX13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798</Words>
  <Characters>4554</Characters>
  <Application>Microsoft Office Word</Application>
  <DocSecurity>0</DocSecurity>
  <Lines>37</Lines>
  <Paragraphs>10</Paragraphs>
  <ScaleCrop>false</ScaleCrop>
  <Company>University of Wales Trinity Saint David</Company>
  <LinksUpToDate>false</LinksUpToDate>
  <CharactersWithSpaces>5342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 (IMH)</dc:creator>
  <cp:keywords/>
  <dc:description/>
  <cp:lastModifiedBy>Louise Holmes (IMH)</cp:lastModifiedBy>
  <cp:revision>1</cp:revision>
  <dcterms:created xsi:type="dcterms:W3CDTF">2021-10-19T09:44:00Z</dcterms:created>
  <dcterms:modified xsi:type="dcterms:W3CDTF">2021-10-19T09:50:00Z</dcterms:modified>
</cp:coreProperties>
</file>