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4E7536C" w14:textId="77777777" w:rsidR="00A36F48" w:rsidRDefault="00A36F48" w:rsidP="021F216E">
      <w:pPr>
        <w:jc w:val="center"/>
        <w:rPr>
          <w:rFonts w:ascii="Arial Nova" w:eastAsia="Arial Nova" w:hAnsi="Arial Nova" w:cs="Arial Nova"/>
          <w:b/>
          <w:bCs/>
          <w:sz w:val="44"/>
          <w:szCs w:val="44"/>
        </w:rPr>
      </w:pPr>
    </w:p>
    <w:p w14:paraId="3CC99A4D" w14:textId="7978382A" w:rsidR="32ADAAF6" w:rsidRPr="00A36F48" w:rsidRDefault="00234292" w:rsidP="021F216E">
      <w:pPr>
        <w:jc w:val="center"/>
        <w:rPr>
          <w:rFonts w:ascii="Arial Nova" w:eastAsia="Arial Nova" w:hAnsi="Arial Nova" w:cs="Arial Nova"/>
          <w:sz w:val="44"/>
          <w:szCs w:val="44"/>
        </w:rPr>
      </w:pPr>
      <w:r w:rsidRPr="00A36F48">
        <w:rPr>
          <w:rFonts w:ascii="Arial Nova" w:eastAsia="Arial Nova" w:hAnsi="Arial Nova" w:cs="Arial Nova"/>
          <w:b/>
          <w:bCs/>
          <w:sz w:val="44"/>
          <w:szCs w:val="44"/>
        </w:rPr>
        <w:t>Name</w:t>
      </w:r>
      <w:r w:rsidRPr="00A36F48">
        <w:rPr>
          <w:rFonts w:ascii="Arial Nova" w:eastAsia="Arial Nova" w:hAnsi="Arial Nova" w:cs="Arial Nova"/>
          <w:sz w:val="44"/>
          <w:szCs w:val="44"/>
        </w:rPr>
        <w:t>:</w:t>
      </w:r>
      <w:r w:rsidR="000B50E8" w:rsidRPr="00A36F48">
        <w:rPr>
          <w:rFonts w:ascii="Arial Nova" w:eastAsia="Arial Nova" w:hAnsi="Arial Nova" w:cs="Arial Nova"/>
          <w:sz w:val="44"/>
          <w:szCs w:val="44"/>
        </w:rPr>
        <w:t xml:space="preserve"> Aimnumhenfo Iyoha</w:t>
      </w:r>
    </w:p>
    <w:p w14:paraId="476BD6F5" w14:textId="1BA7EEF5" w:rsidR="00234292" w:rsidRPr="00A36F48" w:rsidRDefault="00234292" w:rsidP="021F216E">
      <w:pPr>
        <w:jc w:val="center"/>
        <w:rPr>
          <w:rFonts w:ascii="Arial Nova" w:eastAsia="Arial Nova" w:hAnsi="Arial Nova" w:cs="Arial Nova"/>
          <w:sz w:val="44"/>
          <w:szCs w:val="44"/>
        </w:rPr>
      </w:pPr>
      <w:r w:rsidRPr="00A36F48">
        <w:rPr>
          <w:rFonts w:ascii="Arial Nova" w:eastAsia="Arial Nova" w:hAnsi="Arial Nova" w:cs="Arial Nova"/>
          <w:b/>
          <w:bCs/>
          <w:sz w:val="44"/>
          <w:szCs w:val="44"/>
        </w:rPr>
        <w:t>Student</w:t>
      </w:r>
      <w:r w:rsidRPr="00A36F48">
        <w:rPr>
          <w:rFonts w:ascii="Arial Nova" w:eastAsia="Arial Nova" w:hAnsi="Arial Nova" w:cs="Arial Nova"/>
          <w:sz w:val="44"/>
          <w:szCs w:val="44"/>
        </w:rPr>
        <w:t xml:space="preserve"> </w:t>
      </w:r>
      <w:r w:rsidRPr="00A36F48">
        <w:rPr>
          <w:rFonts w:ascii="Arial Nova" w:eastAsia="Arial Nova" w:hAnsi="Arial Nova" w:cs="Arial Nova"/>
          <w:b/>
          <w:bCs/>
          <w:sz w:val="44"/>
          <w:szCs w:val="44"/>
        </w:rPr>
        <w:t>Number</w:t>
      </w:r>
      <w:r w:rsidRPr="00A36F48">
        <w:rPr>
          <w:rFonts w:ascii="Arial Nova" w:eastAsia="Arial Nova" w:hAnsi="Arial Nova" w:cs="Arial Nova"/>
          <w:sz w:val="44"/>
          <w:szCs w:val="44"/>
        </w:rPr>
        <w:t>:</w:t>
      </w:r>
      <w:r w:rsidR="000B50E8" w:rsidRPr="00A36F48">
        <w:rPr>
          <w:rFonts w:ascii="Arial Nova" w:eastAsia="Arial Nova" w:hAnsi="Arial Nova" w:cs="Arial Nova"/>
          <w:sz w:val="44"/>
          <w:szCs w:val="44"/>
        </w:rPr>
        <w:t xml:space="preserve"> </w:t>
      </w:r>
      <w:r w:rsidR="00487A40" w:rsidRPr="00A36F48">
        <w:rPr>
          <w:rFonts w:ascii="Arial Nova" w:eastAsia="Arial Nova" w:hAnsi="Arial Nova" w:cs="Arial Nova"/>
          <w:sz w:val="44"/>
          <w:szCs w:val="44"/>
        </w:rPr>
        <w:t>2329981</w:t>
      </w:r>
    </w:p>
    <w:p w14:paraId="6DF875F8" w14:textId="4C2EC6A8" w:rsidR="00234292" w:rsidRPr="00A36F48" w:rsidRDefault="00234292" w:rsidP="021F216E">
      <w:pPr>
        <w:jc w:val="center"/>
        <w:rPr>
          <w:rFonts w:ascii="Arial Nova" w:eastAsia="Arial Nova" w:hAnsi="Arial Nova" w:cs="Arial Nova"/>
          <w:sz w:val="44"/>
          <w:szCs w:val="44"/>
        </w:rPr>
      </w:pPr>
      <w:r w:rsidRPr="00A36F48">
        <w:rPr>
          <w:rFonts w:ascii="Arial Nova" w:eastAsia="Arial Nova" w:hAnsi="Arial Nova" w:cs="Arial Nova"/>
          <w:b/>
          <w:bCs/>
          <w:sz w:val="44"/>
          <w:szCs w:val="44"/>
        </w:rPr>
        <w:t>Module</w:t>
      </w:r>
      <w:r w:rsidRPr="00A36F48">
        <w:rPr>
          <w:rFonts w:ascii="Arial Nova" w:eastAsia="Arial Nova" w:hAnsi="Arial Nova" w:cs="Arial Nova"/>
          <w:sz w:val="44"/>
          <w:szCs w:val="44"/>
        </w:rPr>
        <w:t xml:space="preserve"> </w:t>
      </w:r>
      <w:r w:rsidRPr="00A36F48">
        <w:rPr>
          <w:rFonts w:ascii="Arial Nova" w:eastAsia="Arial Nova" w:hAnsi="Arial Nova" w:cs="Arial Nova"/>
          <w:b/>
          <w:bCs/>
          <w:sz w:val="44"/>
          <w:szCs w:val="44"/>
        </w:rPr>
        <w:t>Code</w:t>
      </w:r>
      <w:r w:rsidRPr="00A36F48">
        <w:rPr>
          <w:rFonts w:ascii="Arial Nova" w:eastAsia="Arial Nova" w:hAnsi="Arial Nova" w:cs="Arial Nova"/>
          <w:sz w:val="44"/>
          <w:szCs w:val="44"/>
        </w:rPr>
        <w:t xml:space="preserve"> </w:t>
      </w:r>
      <w:r w:rsidR="000B50E8" w:rsidRPr="00A36F48">
        <w:rPr>
          <w:rFonts w:ascii="Arial Nova" w:eastAsia="Arial Nova" w:hAnsi="Arial Nova" w:cs="Arial Nova"/>
          <w:b/>
          <w:bCs/>
          <w:sz w:val="44"/>
          <w:szCs w:val="44"/>
        </w:rPr>
        <w:t>&amp;</w:t>
      </w:r>
      <w:r w:rsidR="000B50E8" w:rsidRPr="00A36F48">
        <w:rPr>
          <w:rFonts w:ascii="Arial Nova" w:eastAsia="Arial Nova" w:hAnsi="Arial Nova" w:cs="Arial Nova"/>
          <w:sz w:val="44"/>
          <w:szCs w:val="44"/>
        </w:rPr>
        <w:t xml:space="preserve"> </w:t>
      </w:r>
      <w:r w:rsidR="000B50E8" w:rsidRPr="00A36F48">
        <w:rPr>
          <w:rFonts w:ascii="Arial Nova" w:eastAsia="Arial Nova" w:hAnsi="Arial Nova" w:cs="Arial Nova"/>
          <w:b/>
          <w:bCs/>
          <w:sz w:val="44"/>
          <w:szCs w:val="44"/>
        </w:rPr>
        <w:t>Title</w:t>
      </w:r>
      <w:r w:rsidR="000B50E8" w:rsidRPr="00A36F48">
        <w:rPr>
          <w:rFonts w:ascii="Arial Nova" w:eastAsia="Arial Nova" w:hAnsi="Arial Nova" w:cs="Arial Nova"/>
          <w:sz w:val="44"/>
          <w:szCs w:val="44"/>
        </w:rPr>
        <w:t>:</w:t>
      </w:r>
      <w:r w:rsidR="00487A40" w:rsidRPr="00A36F48">
        <w:rPr>
          <w:rFonts w:ascii="Arial Nova" w:eastAsia="Arial Nova" w:hAnsi="Arial Nova" w:cs="Arial Nova"/>
          <w:sz w:val="44"/>
          <w:szCs w:val="44"/>
        </w:rPr>
        <w:t xml:space="preserve"> </w:t>
      </w:r>
      <w:r w:rsidR="00405C03" w:rsidRPr="00A36F48">
        <w:rPr>
          <w:rFonts w:ascii="Arial Nova" w:eastAsia="Arial Nova" w:hAnsi="Arial Nova" w:cs="Arial Nova"/>
          <w:sz w:val="44"/>
          <w:szCs w:val="44"/>
        </w:rPr>
        <w:t>BMHP5014</w:t>
      </w:r>
      <w:r w:rsidR="00405C03" w:rsidRPr="00A36F48">
        <w:rPr>
          <w:rFonts w:ascii="Arial Nova" w:eastAsia="Arial Nova" w:hAnsi="Arial Nova" w:cs="Arial Nova"/>
          <w:sz w:val="44"/>
          <w:szCs w:val="44"/>
        </w:rPr>
        <w:t xml:space="preserve"> </w:t>
      </w:r>
      <w:r w:rsidR="009451AE" w:rsidRPr="00A36F48">
        <w:rPr>
          <w:rFonts w:ascii="Arial Nova" w:eastAsia="Arial Nova" w:hAnsi="Arial Nova" w:cs="Arial Nova"/>
          <w:sz w:val="44"/>
          <w:szCs w:val="44"/>
        </w:rPr>
        <w:t>Changemakers: Creativity and Value Creation</w:t>
      </w:r>
    </w:p>
    <w:p w14:paraId="4D7FF92D" w14:textId="003C39D4" w:rsidR="000B50E8" w:rsidRPr="00A36F48" w:rsidRDefault="000B50E8" w:rsidP="021F216E">
      <w:pPr>
        <w:jc w:val="center"/>
        <w:rPr>
          <w:rFonts w:ascii="Arial Nova" w:eastAsia="Arial Nova" w:hAnsi="Arial Nova" w:cs="Arial Nova"/>
          <w:sz w:val="48"/>
          <w:szCs w:val="48"/>
        </w:rPr>
      </w:pPr>
      <w:r w:rsidRPr="00A36F48">
        <w:rPr>
          <w:rFonts w:ascii="Arial Nova" w:eastAsia="Arial Nova" w:hAnsi="Arial Nova" w:cs="Arial Nova"/>
          <w:b/>
          <w:bCs/>
          <w:sz w:val="44"/>
          <w:szCs w:val="44"/>
        </w:rPr>
        <w:t>Assignment</w:t>
      </w:r>
      <w:r w:rsidRPr="00A36F48">
        <w:rPr>
          <w:rFonts w:ascii="Arial Nova" w:eastAsia="Arial Nova" w:hAnsi="Arial Nova" w:cs="Arial Nova"/>
          <w:sz w:val="44"/>
          <w:szCs w:val="44"/>
        </w:rPr>
        <w:t xml:space="preserve"> </w:t>
      </w:r>
      <w:r w:rsidRPr="00A36F48">
        <w:rPr>
          <w:rFonts w:ascii="Arial Nova" w:eastAsia="Arial Nova" w:hAnsi="Arial Nova" w:cs="Arial Nova"/>
          <w:b/>
          <w:bCs/>
          <w:sz w:val="44"/>
          <w:szCs w:val="44"/>
        </w:rPr>
        <w:t>Title</w:t>
      </w:r>
      <w:r w:rsidRPr="00A36F48">
        <w:rPr>
          <w:rFonts w:ascii="Arial Nova" w:eastAsia="Arial Nova" w:hAnsi="Arial Nova" w:cs="Arial Nova"/>
          <w:sz w:val="44"/>
          <w:szCs w:val="44"/>
        </w:rPr>
        <w:t xml:space="preserve">: </w:t>
      </w:r>
      <w:r w:rsidR="00A36F48" w:rsidRPr="00A36F48">
        <w:rPr>
          <w:rFonts w:ascii="Arial Nova" w:eastAsia="Arial Nova" w:hAnsi="Arial Nova" w:cs="Arial Nova"/>
          <w:sz w:val="44"/>
          <w:szCs w:val="44"/>
        </w:rPr>
        <w:t>Component 1: Online Portfolio of Set Exercises</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5C9A0417" w14:textId="77777777" w:rsidR="00A36F48" w:rsidRDefault="00A36F48" w:rsidP="021F216E">
      <w:pPr>
        <w:rPr>
          <w:rFonts w:ascii="Arial Nova" w:eastAsia="Arial Nova" w:hAnsi="Arial Nova" w:cs="Arial Nova"/>
          <w:sz w:val="72"/>
          <w:szCs w:val="72"/>
        </w:rPr>
      </w:pPr>
    </w:p>
    <w:p w14:paraId="5ED067C8" w14:textId="0A828F7B" w:rsidR="32ADAAF6" w:rsidRDefault="00045615" w:rsidP="021F216E">
      <w:pPr>
        <w:rPr>
          <w:rFonts w:ascii="Arial Nova" w:eastAsia="Arial Nova" w:hAnsi="Arial Nova" w:cs="Arial Nova"/>
          <w:sz w:val="72"/>
          <w:szCs w:val="72"/>
        </w:rPr>
      </w:pPr>
      <w:r>
        <w:rPr>
          <w:rFonts w:ascii="Arial Nova" w:eastAsia="Arial Nova" w:hAnsi="Arial Nova" w:cs="Arial Nova"/>
          <w:iCs/>
          <w:noProof/>
          <w:color w:val="000000" w:themeColor="text1"/>
          <w:sz w:val="22"/>
          <w:lang w:val="en-GB"/>
        </w:rPr>
        <w:lastRenderedPageBreak/>
        <w:drawing>
          <wp:anchor distT="0" distB="0" distL="114300" distR="114300" simplePos="0" relativeHeight="251659264" behindDoc="0" locked="0" layoutInCell="1" allowOverlap="1" wp14:anchorId="759E657A" wp14:editId="624BE5EE">
            <wp:simplePos x="0" y="0"/>
            <wp:positionH relativeFrom="column">
              <wp:posOffset>379141</wp:posOffset>
            </wp:positionH>
            <wp:positionV relativeFrom="page">
              <wp:posOffset>1353015</wp:posOffset>
            </wp:positionV>
            <wp:extent cx="4975860" cy="373189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een Simple Concept Map Graph (1).png"/>
                    <pic:cNvPicPr/>
                  </pic:nvPicPr>
                  <pic:blipFill>
                    <a:blip r:embed="rId8">
                      <a:extLst>
                        <a:ext uri="{28A0092B-C50C-407E-A947-70E740481C1C}">
                          <a14:useLocalDpi xmlns:a14="http://schemas.microsoft.com/office/drawing/2010/main" val="0"/>
                        </a:ext>
                      </a:extLst>
                    </a:blip>
                    <a:stretch>
                      <a:fillRect/>
                    </a:stretch>
                  </pic:blipFill>
                  <pic:spPr>
                    <a:xfrm>
                      <a:off x="0" y="0"/>
                      <a:ext cx="4975860" cy="3731895"/>
                    </a:xfrm>
                    <a:prstGeom prst="rect">
                      <a:avLst/>
                    </a:prstGeom>
                  </pic:spPr>
                </pic:pic>
              </a:graphicData>
            </a:graphic>
          </wp:anchor>
        </w:drawing>
      </w:r>
      <w:r w:rsidR="32ADAAF6" w:rsidRPr="021F216E">
        <w:rPr>
          <w:rFonts w:ascii="Arial Nova" w:eastAsia="Arial Nova" w:hAnsi="Arial Nova" w:cs="Arial Nova"/>
          <w:sz w:val="44"/>
          <w:szCs w:val="44"/>
        </w:rPr>
        <w:t>Task 1 – Concept Map</w:t>
      </w:r>
    </w:p>
    <w:p w14:paraId="03CF4291" w14:textId="70A87AF9" w:rsidR="00836055" w:rsidRDefault="00836055" w:rsidP="00836055">
      <w:pPr>
        <w:keepNext/>
        <w:spacing w:line="360" w:lineRule="auto"/>
        <w:jc w:val="both"/>
      </w:pPr>
    </w:p>
    <w:p w14:paraId="5B89BF9E" w14:textId="2C306FD5" w:rsidR="00836055" w:rsidRPr="00836055" w:rsidRDefault="00836055" w:rsidP="00836055">
      <w:pPr>
        <w:pStyle w:val="Caption"/>
        <w:jc w:val="both"/>
        <w:rPr>
          <w:rFonts w:ascii="Arial Nova" w:eastAsia="Arial Nova" w:hAnsi="Arial Nova" w:cs="Arial Nova"/>
          <w:b/>
          <w:i w:val="0"/>
          <w:iCs w:val="0"/>
          <w:color w:val="000000" w:themeColor="text1"/>
          <w:sz w:val="22"/>
          <w:lang w:val="en-GB"/>
        </w:rPr>
      </w:pPr>
      <w:r w:rsidRPr="00836055">
        <w:rPr>
          <w:b/>
          <w:i w:val="0"/>
        </w:rPr>
        <w:t xml:space="preserve">Figure </w:t>
      </w:r>
      <w:r w:rsidRPr="00836055">
        <w:rPr>
          <w:b/>
          <w:i w:val="0"/>
        </w:rPr>
        <w:fldChar w:fldCharType="begin"/>
      </w:r>
      <w:r w:rsidRPr="00836055">
        <w:rPr>
          <w:b/>
          <w:i w:val="0"/>
        </w:rPr>
        <w:instrText xml:space="preserve"> SEQ Figure \* ARABIC </w:instrText>
      </w:r>
      <w:r w:rsidRPr="00836055">
        <w:rPr>
          <w:b/>
          <w:i w:val="0"/>
        </w:rPr>
        <w:fldChar w:fldCharType="separate"/>
      </w:r>
      <w:r>
        <w:rPr>
          <w:b/>
          <w:i w:val="0"/>
          <w:noProof/>
        </w:rPr>
        <w:t>1</w:t>
      </w:r>
      <w:r w:rsidRPr="00836055">
        <w:rPr>
          <w:b/>
          <w:i w:val="0"/>
        </w:rPr>
        <w:fldChar w:fldCharType="end"/>
      </w:r>
      <w:r w:rsidRPr="00836055">
        <w:rPr>
          <w:b/>
          <w:i w:val="0"/>
        </w:rPr>
        <w:t>:</w:t>
      </w:r>
      <w:r>
        <w:rPr>
          <w:b/>
          <w:i w:val="0"/>
        </w:rPr>
        <w:t xml:space="preserve"> </w:t>
      </w:r>
      <w:r w:rsidRPr="00836055">
        <w:rPr>
          <w:b/>
          <w:i w:val="0"/>
        </w:rPr>
        <w:t>Concept Map</w:t>
      </w:r>
    </w:p>
    <w:p w14:paraId="2DA43954" w14:textId="001BACC7" w:rsidR="00633E2E" w:rsidRPr="00836055" w:rsidRDefault="00633E2E" w:rsidP="00836055">
      <w:pPr>
        <w:spacing w:line="360" w:lineRule="auto"/>
        <w:jc w:val="both"/>
        <w:rPr>
          <w:rFonts w:ascii="Arial Nova" w:eastAsia="Arial Nova" w:hAnsi="Arial Nova" w:cs="Arial Nova"/>
          <w:iCs/>
          <w:color w:val="000000" w:themeColor="text1"/>
          <w:sz w:val="22"/>
          <w:lang w:val="en-GB"/>
        </w:rPr>
      </w:pPr>
      <w:r w:rsidRPr="00836055">
        <w:rPr>
          <w:rFonts w:ascii="Arial Nova" w:eastAsia="Arial Nova" w:hAnsi="Arial Nova" w:cs="Arial Nova"/>
          <w:iCs/>
          <w:color w:val="000000" w:themeColor="text1"/>
          <w:sz w:val="22"/>
          <w:lang w:val="en-GB"/>
        </w:rPr>
        <w:t>As shown in figure 1 above</w:t>
      </w:r>
      <w:r w:rsidRPr="00836055">
        <w:rPr>
          <w:rFonts w:ascii="Arial Nova" w:eastAsia="Arial Nova" w:hAnsi="Arial Nova" w:cs="Arial Nova"/>
          <w:b/>
          <w:bCs/>
          <w:iCs/>
          <w:color w:val="000000" w:themeColor="text1"/>
          <w:sz w:val="22"/>
          <w:lang w:val="en-GB"/>
        </w:rPr>
        <w:t xml:space="preserve">, </w:t>
      </w:r>
      <w:r w:rsidRPr="00836055">
        <w:rPr>
          <w:rFonts w:ascii="Arial Nova" w:eastAsia="Arial Nova" w:hAnsi="Arial Nova" w:cs="Arial Nova"/>
          <w:iCs/>
          <w:color w:val="000000" w:themeColor="text1"/>
          <w:sz w:val="22"/>
          <w:lang w:val="en-GB"/>
        </w:rPr>
        <w:t>creativity, value creation and improvement in health and social care are all connected and they work together. Creativity is where everything starts. It simply means thinking of new ideas, solving problems in different ways and trying out new things (Carlile and Jordan, 2013; Yu and Subramaniam, 2017). In health and social care, this can be things like finding better ways to treat patients, improving how staff communicate or creating better systems for care delivery. When these ideas are put into action, they lead to value creation. Value creation means making things better or more useful. For example, a new idea can help reduce waiting time in hospitals, improve how patients feel about their care, or make work easier for healthcare workers. It also helps organisations use their time, money, and resources more wisely (Bobel and Martis, 2010).</w:t>
      </w:r>
    </w:p>
    <w:p w14:paraId="70E1480D" w14:textId="7B1D21C4" w:rsidR="00836055" w:rsidRDefault="00633E2E" w:rsidP="00A36F48">
      <w:pPr>
        <w:spacing w:line="360" w:lineRule="auto"/>
        <w:jc w:val="both"/>
        <w:rPr>
          <w:rFonts w:ascii="Arial Nova" w:eastAsia="Arial Nova" w:hAnsi="Arial Nova" w:cs="Arial Nova"/>
          <w:iCs/>
          <w:color w:val="000000" w:themeColor="text1"/>
          <w:sz w:val="22"/>
          <w:lang w:val="en-GB"/>
        </w:rPr>
      </w:pPr>
      <w:r w:rsidRPr="00836055">
        <w:rPr>
          <w:rFonts w:ascii="Arial Nova" w:eastAsia="Arial Nova" w:hAnsi="Arial Nova" w:cs="Arial Nova"/>
          <w:iCs/>
          <w:color w:val="000000" w:themeColor="text1"/>
          <w:sz w:val="22"/>
          <w:lang w:val="en-GB"/>
        </w:rPr>
        <w:t xml:space="preserve">When value is created, it leads to improvement in health and social care (Teisberg et al., 2020). This improvement can be seen in better patient results, higher quality care, and better well-being for staff (Teisberg et al., 2020; Kehyayan et al., 2025). For instance, when care is well organised </w:t>
      </w:r>
      <w:r w:rsidRPr="00836055">
        <w:rPr>
          <w:rFonts w:ascii="Arial Nova" w:eastAsia="Arial Nova" w:hAnsi="Arial Nova" w:cs="Arial Nova"/>
          <w:iCs/>
          <w:color w:val="000000" w:themeColor="text1"/>
          <w:sz w:val="22"/>
          <w:lang w:val="en-GB"/>
        </w:rPr>
        <w:lastRenderedPageBreak/>
        <w:t>and focused on patients, people recover faster and are more satisfied with the service they receive (Ferreira et al., 2023). However, this process is not one direction. It is continuous. As things improve, new challenges will still come up, and this will require fresh ideas again. So, creativity continues to play a role. Deductively, creativity brings ideas, value creation makes those ideas useful, and together they improve health and social care. All of them work together to keep the system getting better</w:t>
      </w:r>
    </w:p>
    <w:p w14:paraId="7F19D7B7" w14:textId="77777777" w:rsidR="00A36F48" w:rsidRPr="00A36F48" w:rsidRDefault="00A36F48" w:rsidP="00A36F48">
      <w:pPr>
        <w:spacing w:line="360" w:lineRule="auto"/>
        <w:jc w:val="both"/>
        <w:rPr>
          <w:rFonts w:ascii="Arial Nova" w:eastAsia="Arial Nova" w:hAnsi="Arial Nova" w:cs="Arial Nova"/>
          <w:iCs/>
          <w:color w:val="000000" w:themeColor="text1"/>
          <w:sz w:val="22"/>
          <w:lang w:val="en-GB"/>
        </w:rPr>
      </w:pPr>
    </w:p>
    <w:p w14:paraId="78587690" w14:textId="231B7EEE"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21CE8EDE"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Description</w:t>
      </w:r>
    </w:p>
    <w:p w14:paraId="5D5E552F" w14:textId="766388A4" w:rsidR="00A36F48" w:rsidRDefault="00A36F48" w:rsidP="00A36F48">
      <w:pPr>
        <w:spacing w:line="360" w:lineRule="auto"/>
        <w:jc w:val="both"/>
        <w:rPr>
          <w:rFonts w:ascii="Arial Nova" w:eastAsia="Arial Nova" w:hAnsi="Arial Nova" w:cs="Arial Nova"/>
          <w:iCs/>
          <w:color w:val="000000" w:themeColor="text1"/>
          <w:sz w:val="22"/>
          <w:lang w:val="en-GB"/>
        </w:rPr>
      </w:pPr>
      <w:r w:rsidRPr="00836055">
        <w:rPr>
          <w:rFonts w:ascii="Arial Nova" w:eastAsia="Arial Nova" w:hAnsi="Arial Nova" w:cs="Arial Nova"/>
          <w:b/>
          <w:iCs/>
          <w:noProof/>
          <w:color w:val="000000" w:themeColor="text1"/>
          <w:sz w:val="22"/>
          <w:lang w:val="en-GB"/>
        </w:rPr>
        <w:drawing>
          <wp:anchor distT="0" distB="0" distL="114300" distR="114300" simplePos="0" relativeHeight="251658240" behindDoc="0" locked="0" layoutInCell="1" allowOverlap="1" wp14:anchorId="4C77C9D1" wp14:editId="759C857C">
            <wp:simplePos x="0" y="0"/>
            <wp:positionH relativeFrom="margin">
              <wp:align>center</wp:align>
            </wp:positionH>
            <wp:positionV relativeFrom="paragraph">
              <wp:posOffset>1655056</wp:posOffset>
            </wp:positionV>
            <wp:extent cx="3486150" cy="306514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6-03-23 at 9.02.33 PM.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6150" cy="3065145"/>
                    </a:xfrm>
                    <a:prstGeom prst="rect">
                      <a:avLst/>
                    </a:prstGeom>
                  </pic:spPr>
                </pic:pic>
              </a:graphicData>
            </a:graphic>
          </wp:anchor>
        </w:drawing>
      </w:r>
      <w:r w:rsidR="00633E2E" w:rsidRPr="00633E2E">
        <w:rPr>
          <w:rFonts w:ascii="Arial Nova" w:eastAsia="Arial Nova" w:hAnsi="Arial Nova" w:cs="Arial Nova"/>
          <w:iCs/>
          <w:color w:val="000000" w:themeColor="text1"/>
          <w:sz w:val="22"/>
          <w:lang w:val="en-GB"/>
        </w:rPr>
        <w:t xml:space="preserve">In Week 2 paperclip activity, my group of four people had 10 minutes to think of different uses of a paperclip (divergent thinking), and another 10 minutes to select the most practical ideas (convergent thinking). We came up with about 18 uses, ranging from simple ones like picking a lock to more creative ones like using it as an earring to </w:t>
      </w:r>
      <w:r w:rsidR="00836055">
        <w:rPr>
          <w:rFonts w:ascii="Arial Nova" w:eastAsia="Arial Nova" w:hAnsi="Arial Nova" w:cs="Arial Nova"/>
          <w:iCs/>
          <w:color w:val="000000" w:themeColor="text1"/>
          <w:sz w:val="22"/>
          <w:lang w:val="en-GB"/>
        </w:rPr>
        <w:t xml:space="preserve">bracelet </w:t>
      </w:r>
      <w:r w:rsidR="00633E2E" w:rsidRPr="00633E2E">
        <w:rPr>
          <w:rFonts w:ascii="Arial Nova" w:eastAsia="Arial Nova" w:hAnsi="Arial Nova" w:cs="Arial Nova"/>
          <w:iCs/>
          <w:color w:val="000000" w:themeColor="text1"/>
          <w:sz w:val="22"/>
          <w:lang w:val="en-GB"/>
        </w:rPr>
        <w:t xml:space="preserve">which we later settled for. I took the role of guiding the discussion and making sure even the quieter members contributed. After generating ideas, we reviewed everything and selected to make a </w:t>
      </w:r>
      <w:r w:rsidR="00836055">
        <w:rPr>
          <w:rFonts w:ascii="Arial Nova" w:eastAsia="Arial Nova" w:hAnsi="Arial Nova" w:cs="Arial Nova"/>
          <w:iCs/>
          <w:color w:val="000000" w:themeColor="text1"/>
          <w:sz w:val="22"/>
          <w:lang w:val="en-GB"/>
        </w:rPr>
        <w:t>bracelet (see figure two below)</w:t>
      </w:r>
      <w:r w:rsidR="00633E2E" w:rsidRPr="00633E2E">
        <w:rPr>
          <w:rFonts w:ascii="Arial Nova" w:eastAsia="Arial Nova" w:hAnsi="Arial Nova" w:cs="Arial Nova"/>
          <w:iCs/>
          <w:color w:val="000000" w:themeColor="text1"/>
          <w:sz w:val="22"/>
          <w:lang w:val="en-GB"/>
        </w:rPr>
        <w:t>.</w:t>
      </w:r>
    </w:p>
    <w:p w14:paraId="1CFF3E11" w14:textId="077D8BA9" w:rsidR="00836055" w:rsidRPr="00A36F48" w:rsidRDefault="00836055" w:rsidP="00A36F48">
      <w:pPr>
        <w:spacing w:line="360" w:lineRule="auto"/>
        <w:jc w:val="both"/>
        <w:rPr>
          <w:rFonts w:ascii="Arial Nova" w:eastAsia="Arial Nova" w:hAnsi="Arial Nova" w:cs="Arial Nova"/>
          <w:iCs/>
          <w:color w:val="000000" w:themeColor="text1"/>
          <w:sz w:val="22"/>
          <w:lang w:val="en-GB"/>
        </w:rPr>
      </w:pPr>
    </w:p>
    <w:p w14:paraId="1A47F829" w14:textId="0D960187" w:rsidR="00836055" w:rsidRPr="00836055" w:rsidRDefault="00836055" w:rsidP="00836055">
      <w:pPr>
        <w:pStyle w:val="Caption"/>
        <w:jc w:val="center"/>
        <w:rPr>
          <w:b/>
          <w:i w:val="0"/>
        </w:rPr>
      </w:pPr>
      <w:r w:rsidRPr="00836055">
        <w:rPr>
          <w:b/>
          <w:i w:val="0"/>
        </w:rPr>
        <w:t xml:space="preserve">Figure </w:t>
      </w:r>
      <w:r w:rsidRPr="00836055">
        <w:rPr>
          <w:b/>
          <w:i w:val="0"/>
        </w:rPr>
        <w:fldChar w:fldCharType="begin"/>
      </w:r>
      <w:r w:rsidRPr="00836055">
        <w:rPr>
          <w:b/>
          <w:i w:val="0"/>
        </w:rPr>
        <w:instrText xml:space="preserve"> SEQ Figure \* ARABIC </w:instrText>
      </w:r>
      <w:r w:rsidRPr="00836055">
        <w:rPr>
          <w:b/>
          <w:i w:val="0"/>
        </w:rPr>
        <w:fldChar w:fldCharType="separate"/>
      </w:r>
      <w:r w:rsidRPr="00836055">
        <w:rPr>
          <w:b/>
          <w:i w:val="0"/>
          <w:noProof/>
        </w:rPr>
        <w:t>2</w:t>
      </w:r>
      <w:r w:rsidRPr="00836055">
        <w:rPr>
          <w:b/>
          <w:i w:val="0"/>
        </w:rPr>
        <w:fldChar w:fldCharType="end"/>
      </w:r>
      <w:r w:rsidRPr="00836055">
        <w:rPr>
          <w:b/>
          <w:i w:val="0"/>
        </w:rPr>
        <w:t>: A Paperclip Bracelet</w:t>
      </w:r>
      <w:r>
        <w:rPr>
          <w:rFonts w:ascii="Arial Nova" w:eastAsia="Arial Nova" w:hAnsi="Arial Nova" w:cs="Arial Nova"/>
          <w:iCs w:val="0"/>
          <w:color w:val="000000" w:themeColor="text1"/>
          <w:sz w:val="22"/>
          <w:lang w:val="en-GB"/>
        </w:rPr>
        <w:br/>
      </w:r>
    </w:p>
    <w:p w14:paraId="49DA5052"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lastRenderedPageBreak/>
        <w:t>Feelings</w:t>
      </w:r>
    </w:p>
    <w:p w14:paraId="5748477C" w14:textId="2848B544"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 xml:space="preserve">At the beginning, I felt curious and excited because the task was open and allowed free thinking. The relaxed environment made it easy for me to share ideas without fear. However, during the second stage, I became more focused and slightly anxious because we had to choose the best ideas. </w:t>
      </w:r>
      <w:r w:rsidRPr="00836055">
        <w:rPr>
          <w:rFonts w:ascii="Arial Nova" w:eastAsia="Arial Nova" w:hAnsi="Arial Nova" w:cs="Arial Nova"/>
          <w:iCs/>
          <w:color w:val="000000" w:themeColor="text1"/>
          <w:sz w:val="22"/>
          <w:lang w:val="en-GB"/>
        </w:rPr>
        <w:t>But</w:t>
      </w:r>
      <w:r w:rsidRPr="00633E2E">
        <w:rPr>
          <w:rFonts w:ascii="Arial Nova" w:eastAsia="Arial Nova" w:hAnsi="Arial Nova" w:cs="Arial Nova"/>
          <w:iCs/>
          <w:color w:val="000000" w:themeColor="text1"/>
          <w:sz w:val="22"/>
          <w:lang w:val="en-GB"/>
        </w:rPr>
        <w:t xml:space="preserve"> I enjoyed working with my group, but I also felt some pressure to make the right decision.</w:t>
      </w:r>
    </w:p>
    <w:p w14:paraId="0AEB36E4"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Evaluation</w:t>
      </w:r>
    </w:p>
    <w:p w14:paraId="7CA5904E"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The brainstorming stage went well because we were able to generate many ideas in a free and friendly atmosphere. Nobody criticised anyone’s idea, which made participation easier. However, time was a challenge because we could not discuss all the ideas fully. During the selection stage, most decisions were straightforward, although there was a small disagreement on which idea was the best. Still, the process of first generating ideas and then narrowing them down worked effectively.</w:t>
      </w:r>
    </w:p>
    <w:p w14:paraId="769E0B7A"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Analysis</w:t>
      </w:r>
    </w:p>
    <w:p w14:paraId="21CF7B6E" w14:textId="73B21D78" w:rsidR="00563EB8" w:rsidRPr="00836055" w:rsidRDefault="00633E2E" w:rsidP="00836055">
      <w:pPr>
        <w:spacing w:line="360" w:lineRule="auto"/>
        <w:jc w:val="both"/>
        <w:rPr>
          <w:rFonts w:ascii="Arial Nova" w:eastAsia="Arial Nova" w:hAnsi="Arial Nova" w:cs="Arial Nova"/>
          <w:iCs/>
          <w:color w:val="000000" w:themeColor="text1"/>
          <w:sz w:val="22"/>
        </w:rPr>
      </w:pPr>
      <w:r w:rsidRPr="00836055">
        <w:rPr>
          <w:rFonts w:ascii="Arial Nova" w:eastAsia="Arial Nova" w:hAnsi="Arial Nova" w:cs="Arial Nova"/>
          <w:iCs/>
          <w:color w:val="000000" w:themeColor="text1"/>
          <w:sz w:val="22"/>
          <w:lang w:val="en-GB"/>
        </w:rPr>
        <w:t>During the week, I learnt that divergent thinking is about generating many possible ideas, while convergent thinking is about selecting the best option from those ideas which agrees with the assertion of Hommel (2012). In our activity, we clearly applied divergent thinking by listing many uses of the paperclip quickly. Then, we used convergent thinking when we started comparing the ideas and choosing the most practical ones. This helped me understand why the task was divided into two stages: first to encourage creativity, and then to apply critical thinking.</w:t>
      </w:r>
    </w:p>
    <w:p w14:paraId="4C36B484" w14:textId="77777777" w:rsidR="00563EB8" w:rsidRDefault="00563EB8" w:rsidP="021F216E">
      <w:pPr>
        <w:rPr>
          <w:rFonts w:ascii="Arial Nova" w:eastAsia="Arial Nova" w:hAnsi="Arial Nova" w:cs="Arial Nova"/>
          <w:i/>
          <w:iCs/>
          <w:color w:val="000000" w:themeColor="text1"/>
        </w:rPr>
      </w:pPr>
    </w:p>
    <w:p w14:paraId="3D8E9ECA" w14:textId="47EFCE67"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 xml:space="preserve">Case Study of </w:t>
      </w:r>
      <w:r w:rsidR="00633E2E" w:rsidRPr="00633E2E">
        <w:rPr>
          <w:rFonts w:ascii="Arial Nova" w:eastAsia="Arial Nova" w:hAnsi="Arial Nova" w:cs="Arial Nova"/>
          <w:iCs/>
          <w:color w:val="000000" w:themeColor="text1"/>
          <w:sz w:val="44"/>
          <w:szCs w:val="44"/>
          <w:lang w:val="en-GB"/>
        </w:rPr>
        <w:t>Better Care Fund (BCF</w:t>
      </w:r>
      <w:r w:rsidR="00633E2E">
        <w:rPr>
          <w:rFonts w:ascii="Arial Nova" w:eastAsia="Arial Nova" w:hAnsi="Arial Nova" w:cs="Arial Nova"/>
          <w:iCs/>
          <w:color w:val="000000" w:themeColor="text1"/>
          <w:sz w:val="44"/>
          <w:szCs w:val="44"/>
          <w:lang w:val="en-GB"/>
        </w:rPr>
        <w:t>)</w:t>
      </w:r>
    </w:p>
    <w:p w14:paraId="3E763215"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 xml:space="preserve">The </w:t>
      </w:r>
      <w:bookmarkStart w:id="0" w:name="_Hlk225191590"/>
      <w:r w:rsidRPr="00633E2E">
        <w:rPr>
          <w:rFonts w:ascii="Arial Nova" w:eastAsia="Arial Nova" w:hAnsi="Arial Nova" w:cs="Arial Nova"/>
          <w:iCs/>
          <w:color w:val="000000" w:themeColor="text1"/>
          <w:sz w:val="22"/>
          <w:lang w:val="en-GB"/>
        </w:rPr>
        <w:t xml:space="preserve">Better Care Fund (BCF), </w:t>
      </w:r>
      <w:bookmarkEnd w:id="0"/>
      <w:r w:rsidRPr="00633E2E">
        <w:rPr>
          <w:rFonts w:ascii="Arial Nova" w:eastAsia="Arial Nova" w:hAnsi="Arial Nova" w:cs="Arial Nova"/>
          <w:iCs/>
          <w:color w:val="000000" w:themeColor="text1"/>
          <w:sz w:val="22"/>
          <w:lang w:val="en-GB"/>
        </w:rPr>
        <w:t>which started in 2013, is a good example of innovation in the NHS. According to Ham (2023), the idea was to bring together about £5.3 billion from NHS and local government budgets into one common fund. This was seen as a key innovation because it helped to connect health and social care funding that used to be handled separately (National Audit Office, 2014; Ham, 2023). The main aim was to help older people and those with disabilities receive care in their communities instead of going to hospital or staying there for too long (National Audit Office, 2014).</w:t>
      </w:r>
    </w:p>
    <w:p w14:paraId="576C32FC"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lastRenderedPageBreak/>
        <w:t>One important thing about the BCF is that it allows local areas to be creative. Each health and wellbeing board was asked to design its own care plan, with only small guidance from the central government. This gave local teams the chance to come up with ideas that fit their own communities (National Audit Office, 2014). For example, some areas improved home-care services, while others created teams of different health professionals working together. Some even introduced virtual wards to care for patients at home instead of in hospital (Ham, 2023). According to Ham (2023), this approach helped organisations to rethink how care is delivered by removing the usual divide between health and social care. Moreover, patients benefited from this approach because care became more connected and easier to access. Services that were once separate, like hospital care and community support, started working together better (Ham, 2023). In many places, services like community nursing and rapid-response teams helped to reduce unnecessary visits to A&amp;E. The goal was to provide more joined-up and effective services for older people (National Audit Office, 2014). In some areas, this also improved continuity of care through shared records or single points of access.</w:t>
      </w:r>
    </w:p>
    <w:p w14:paraId="39457D42" w14:textId="5E24E912" w:rsidR="00563EB8" w:rsidRPr="00836055" w:rsidRDefault="00633E2E" w:rsidP="00836055">
      <w:pPr>
        <w:spacing w:line="360" w:lineRule="auto"/>
        <w:jc w:val="both"/>
        <w:rPr>
          <w:rFonts w:ascii="Arial Nova" w:eastAsia="Arial Nova" w:hAnsi="Arial Nova" w:cs="Arial Nova"/>
          <w:color w:val="000000" w:themeColor="text1"/>
          <w:sz w:val="22"/>
        </w:rPr>
      </w:pPr>
      <w:r w:rsidRPr="00836055">
        <w:rPr>
          <w:rFonts w:ascii="Arial Nova" w:eastAsia="Arial Nova" w:hAnsi="Arial Nova" w:cs="Arial Nova"/>
          <w:iCs/>
          <w:color w:val="000000" w:themeColor="text1"/>
          <w:sz w:val="22"/>
          <w:lang w:val="en-GB"/>
        </w:rPr>
        <w:t>Even though the programme did not fully achieve its early cost-saving targets, it still made a big impact (Ham, 2023). It encouraged organisations to work together and focus more on the needs of patients. According to the National Audit Office (2014), the BCF was an innovative idea that pushed organisations to collaborate, even though the early plans did not fully match its ambition. The Better Care Fund shows that when funding is combined and local areas are given freedom to innovate, it can improve how care is delivered (Ham, 2023).</w:t>
      </w:r>
    </w:p>
    <w:p w14:paraId="7A54C266" w14:textId="77777777" w:rsidR="00563EB8" w:rsidRDefault="00563EB8" w:rsidP="021F216E">
      <w:pPr>
        <w:rPr>
          <w:rFonts w:ascii="Arial Nova" w:eastAsia="Arial Nova" w:hAnsi="Arial Nova" w:cs="Arial Nova"/>
          <w:color w:val="000000" w:themeColor="text1"/>
        </w:rPr>
      </w:pPr>
    </w:p>
    <w:p w14:paraId="7E7EEBF1" w14:textId="01AFFF7A"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r w:rsidR="00633E2E">
        <w:rPr>
          <w:rFonts w:ascii="Arial Nova" w:eastAsia="Arial Nova" w:hAnsi="Arial Nova" w:cs="Arial Nova"/>
          <w:color w:val="000000" w:themeColor="text1"/>
          <w:sz w:val="44"/>
          <w:szCs w:val="44"/>
        </w:rPr>
        <w:t xml:space="preserve">: </w:t>
      </w:r>
      <w:r w:rsidR="00633E2E" w:rsidRPr="00633E2E">
        <w:rPr>
          <w:rFonts w:ascii="Arial Nova" w:eastAsia="Arial Nova" w:hAnsi="Arial Nova" w:cs="Arial Nova"/>
          <w:b/>
          <w:bCs/>
          <w:color w:val="000000" w:themeColor="text1"/>
          <w:sz w:val="44"/>
          <w:szCs w:val="44"/>
          <w:lang w:val="en-GB"/>
        </w:rPr>
        <w:t>Loneliness in Older Adults</w:t>
      </w:r>
    </w:p>
    <w:p w14:paraId="469C0699" w14:textId="240491DB"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Loneliness and social isolation are very common among older people, and they happen for different reasons. According to Donovan and Blazer (2020), some of the causes come from personal life experiences. For instance, an older person may lose a spouse, retire from work, move to a new place, or live alone without close family support. Health issues can also make things worse. Problems like long-term illness, hearing loss, or physical disability can limit movement and reduce social interaction. According to Donovan and Balzer (2020), losing a partner is perhaps the most significant immediate cause of isolation.</w:t>
      </w:r>
      <w:r w:rsidR="00836055" w:rsidRPr="00836055">
        <w:rPr>
          <w:rFonts w:ascii="Arial Nova" w:eastAsia="Arial Nova" w:hAnsi="Arial Nova" w:cs="Arial Nova"/>
          <w:iCs/>
          <w:color w:val="000000" w:themeColor="text1"/>
          <w:sz w:val="22"/>
          <w:lang w:val="en-GB"/>
        </w:rPr>
        <w:t xml:space="preserve"> </w:t>
      </w:r>
      <w:r w:rsidRPr="00633E2E">
        <w:rPr>
          <w:rFonts w:ascii="Arial Nova" w:eastAsia="Arial Nova" w:hAnsi="Arial Nova" w:cs="Arial Nova"/>
          <w:iCs/>
          <w:color w:val="000000" w:themeColor="text1"/>
          <w:sz w:val="22"/>
          <w:lang w:val="en-GB"/>
        </w:rPr>
        <w:t xml:space="preserve">Other challenges, such as stressful life events </w:t>
      </w:r>
      <w:r w:rsidRPr="00633E2E">
        <w:rPr>
          <w:rFonts w:ascii="Arial Nova" w:eastAsia="Arial Nova" w:hAnsi="Arial Nova" w:cs="Arial Nova"/>
          <w:iCs/>
          <w:color w:val="000000" w:themeColor="text1"/>
          <w:sz w:val="22"/>
          <w:lang w:val="en-GB"/>
        </w:rPr>
        <w:lastRenderedPageBreak/>
        <w:t>or the burden of caregiving, can also weaken a person’s social connections. There are also wider social factors that contribute to this problem. For instance, poor transport systems or living in remote areas can make it difficult for older people to stay connected with others. In addition, the study revealed that the idea of “ageing in place,” where people grow old in their own homes, sometimes means they do so without strong community support around them (Donovan and Blazer, 2020). The study concluded that loneliness in older people often happens because they gradually lose close relationships, good health and the ability to move around freely.</w:t>
      </w:r>
    </w:p>
    <w:p w14:paraId="151D30BC" w14:textId="77777777" w:rsidR="00836055" w:rsidRPr="00836055" w:rsidRDefault="00633E2E" w:rsidP="00836055">
      <w:pPr>
        <w:spacing w:line="360" w:lineRule="auto"/>
        <w:jc w:val="both"/>
        <w:rPr>
          <w:rFonts w:ascii="Arial Nova" w:eastAsia="Arial Nova" w:hAnsi="Arial Nova" w:cs="Arial Nova"/>
          <w:iCs/>
          <w:color w:val="000000" w:themeColor="text1"/>
          <w:sz w:val="22"/>
          <w:lang w:val="en-GB"/>
        </w:rPr>
      </w:pPr>
      <w:proofErr w:type="spellStart"/>
      <w:r w:rsidRPr="00836055">
        <w:rPr>
          <w:rFonts w:ascii="Arial Nova" w:eastAsia="Arial Nova" w:hAnsi="Arial Nova" w:cs="Arial Nova"/>
          <w:iCs/>
          <w:color w:val="000000" w:themeColor="text1"/>
          <w:sz w:val="22"/>
          <w:lang w:val="en-GB"/>
        </w:rPr>
        <w:t>Barjaková</w:t>
      </w:r>
      <w:proofErr w:type="spellEnd"/>
      <w:r w:rsidRPr="00836055">
        <w:rPr>
          <w:rFonts w:ascii="Arial Nova" w:eastAsia="Arial Nova" w:hAnsi="Arial Nova" w:cs="Arial Nova"/>
          <w:iCs/>
          <w:color w:val="000000" w:themeColor="text1"/>
          <w:sz w:val="22"/>
          <w:lang w:val="en-GB"/>
        </w:rPr>
        <w:t xml:space="preserve"> et al. (2023) in another study explain that the main reason people feel lonely is the lack of regular social contact and meaningful relationships. Their study shows that many factors like low income, age, or personality traits can be linked to loneliness, but these factors mostly affect how often people interact with others. According to </w:t>
      </w:r>
      <w:proofErr w:type="spellStart"/>
      <w:r w:rsidRPr="00836055">
        <w:rPr>
          <w:rFonts w:ascii="Arial Nova" w:eastAsia="Arial Nova" w:hAnsi="Arial Nova" w:cs="Arial Nova"/>
          <w:iCs/>
          <w:color w:val="000000" w:themeColor="text1"/>
          <w:sz w:val="22"/>
          <w:lang w:val="en-GB"/>
        </w:rPr>
        <w:t>Barjaková</w:t>
      </w:r>
      <w:proofErr w:type="spellEnd"/>
      <w:r w:rsidRPr="00836055">
        <w:rPr>
          <w:rFonts w:ascii="Arial Nova" w:eastAsia="Arial Nova" w:hAnsi="Arial Nova" w:cs="Arial Nova"/>
          <w:iCs/>
          <w:color w:val="000000" w:themeColor="text1"/>
          <w:sz w:val="22"/>
          <w:lang w:val="en-GB"/>
        </w:rPr>
        <w:t xml:space="preserve"> et al. (2023), everything comes down to the quantity and quality of social relationships. They found that people who are single or widowed, those living alone, and those with very few social connections are more likely to feel lonely. They also added that health and mobility problems also increase the risk, mainly because they make it harder for people to socialise.</w:t>
      </w:r>
    </w:p>
    <w:p w14:paraId="1E66DAB7" w14:textId="1F46565E" w:rsidR="00563EB8" w:rsidRPr="00836055" w:rsidRDefault="00633E2E" w:rsidP="00836055">
      <w:pPr>
        <w:spacing w:line="360" w:lineRule="auto"/>
        <w:jc w:val="both"/>
        <w:rPr>
          <w:rFonts w:ascii="Arial Nova" w:eastAsia="Arial Nova" w:hAnsi="Arial Nova" w:cs="Arial Nova"/>
          <w:iCs/>
          <w:color w:val="000000" w:themeColor="text1"/>
          <w:sz w:val="22"/>
        </w:rPr>
      </w:pPr>
      <w:r w:rsidRPr="00836055">
        <w:rPr>
          <w:rFonts w:ascii="Arial Nova" w:eastAsia="Arial Nova" w:hAnsi="Arial Nova" w:cs="Arial Nova"/>
          <w:iCs/>
          <w:color w:val="000000" w:themeColor="text1"/>
          <w:sz w:val="22"/>
          <w:lang w:val="en-GB"/>
        </w:rPr>
        <w:t>Inferentially, these studies show that older people become isolated when life changes and health challenges reduce their contact with family, friends and the wider community. This lack of connection is what leads to loneliness and its negative effects.</w:t>
      </w:r>
    </w:p>
    <w:p w14:paraId="02B4E6DA" w14:textId="77777777" w:rsidR="00563EB8" w:rsidRDefault="00563EB8" w:rsidP="021F216E">
      <w:pPr>
        <w:rPr>
          <w:rFonts w:ascii="Arial Nova" w:eastAsia="Arial Nova" w:hAnsi="Arial Nova" w:cs="Arial Nova"/>
          <w:color w:val="000000" w:themeColor="text1"/>
        </w:rPr>
      </w:pPr>
    </w:p>
    <w:p w14:paraId="304D0822" w14:textId="2AC9658D" w:rsidR="47853A3C" w:rsidRPr="00BC533E"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2D5845A3" w14:textId="32B69066" w:rsidR="000C0D1C" w:rsidRDefault="00C322B1" w:rsidP="47853A3C">
      <w:pPr>
        <w:rPr>
          <w:rFonts w:ascii="Arial Nova" w:eastAsia="Arial Nova" w:hAnsi="Arial Nova" w:cs="Arial Nova"/>
          <w:i/>
          <w:iCs/>
          <w:color w:val="FF0000"/>
        </w:rPr>
      </w:pPr>
      <w:r>
        <w:rPr>
          <w:rFonts w:ascii="Arial Nova" w:eastAsia="Arial Nova" w:hAnsi="Arial Nova" w:cs="Arial Nova"/>
          <w:i/>
          <w:iCs/>
          <w:color w:val="FF0000"/>
        </w:rPr>
        <w:object w:dxaOrig="2781" w:dyaOrig="831" w14:anchorId="21EFFF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39.3pt;height:41.55pt" o:ole="">
            <v:imagedata r:id="rId10" o:title=""/>
          </v:shape>
          <o:OLEObject Type="Embed" ProgID="Package" ShapeID="_x0000_i1033" DrawAspect="Content" ObjectID="_1835887283" r:id="rId11"/>
        </w:object>
      </w:r>
    </w:p>
    <w:p w14:paraId="4351EB45" w14:textId="77777777" w:rsidR="00633E2E" w:rsidRPr="00633E2E" w:rsidRDefault="00633E2E" w:rsidP="47853A3C">
      <w:pPr>
        <w:rPr>
          <w:rFonts w:ascii="Arial Nova" w:eastAsia="Arial Nova" w:hAnsi="Arial Nova" w:cs="Arial Nova"/>
          <w:i/>
          <w:iCs/>
          <w:color w:val="FF0000"/>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09B18F04"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The NHS Leadership Framework explains that leadership is not only for people in top positions. It is something every staff member should practise in their daily work (NHS, 2011). The framework groups leadership behaviours into seven main areas. Five of them apply to all staff, while two are mainly for senior leaders. The areas include:</w:t>
      </w:r>
    </w:p>
    <w:p w14:paraId="7BC84BD7"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lastRenderedPageBreak/>
        <w:t>Demonstrating personal qualities: This means knowing yourself, working with good values, behaving with honesty, and always trying to improve yourself.</w:t>
      </w:r>
    </w:p>
    <w:p w14:paraId="4E126A92"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Working with others: This focuses on building good relationships, working as a team, and encouraging everyone to share their ideas.</w:t>
      </w:r>
    </w:p>
    <w:p w14:paraId="338F396F"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Managing services: This is about making sure the organisation runs well through proper planning, managing resources, managing people, and checking performance.</w:t>
      </w:r>
    </w:p>
    <w:p w14:paraId="189B1B5D"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Improving services: This involves providing high-quality care by ensuring patient safety, reviewing how things are done, supporting new ideas, and making positive changes.</w:t>
      </w:r>
    </w:p>
    <w:p w14:paraId="11756F91"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Setting direction: This means understanding changes around you, by using evidence to make decisions, and checking if those decisions are working well.</w:t>
      </w:r>
    </w:p>
    <w:p w14:paraId="6145CAAA"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Creating the vision (for senior leaders): This is about developing a clear picture of the future and communicating it to others.</w:t>
      </w:r>
    </w:p>
    <w:p w14:paraId="4D7CD66A" w14:textId="77777777" w:rsidR="00633E2E" w:rsidRPr="00633E2E" w:rsidRDefault="00633E2E" w:rsidP="00836055">
      <w:pPr>
        <w:numPr>
          <w:ilvl w:val="0"/>
          <w:numId w:val="2"/>
        </w:num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Delivering the strategy (for senior leaders): This involves turning the vision into real plans and making sure those plans are properly carried out.</w:t>
      </w:r>
    </w:p>
    <w:p w14:paraId="493A879C" w14:textId="4B5A8D73"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 xml:space="preserve">Working </w:t>
      </w:r>
      <w:r w:rsidRPr="00836055">
        <w:rPr>
          <w:rFonts w:ascii="Arial Nova" w:eastAsia="Arial Nova" w:hAnsi="Arial Nova" w:cs="Arial Nova"/>
          <w:b/>
          <w:bCs/>
          <w:iCs/>
          <w:color w:val="000000" w:themeColor="text1"/>
          <w:sz w:val="22"/>
          <w:lang w:val="en-GB"/>
        </w:rPr>
        <w:t>with</w:t>
      </w:r>
      <w:r w:rsidRPr="00633E2E">
        <w:rPr>
          <w:rFonts w:ascii="Arial Nova" w:eastAsia="Arial Nova" w:hAnsi="Arial Nova" w:cs="Arial Nova"/>
          <w:b/>
          <w:bCs/>
          <w:iCs/>
          <w:color w:val="000000" w:themeColor="text1"/>
          <w:sz w:val="22"/>
          <w:lang w:val="en-GB"/>
        </w:rPr>
        <w:t xml:space="preserve"> Others</w:t>
      </w:r>
    </w:p>
    <w:p w14:paraId="182BB54A" w14:textId="34D1EF70" w:rsidR="021F216E" w:rsidRPr="00836055" w:rsidRDefault="00633E2E" w:rsidP="00836055">
      <w:pPr>
        <w:spacing w:line="360" w:lineRule="auto"/>
        <w:jc w:val="both"/>
        <w:rPr>
          <w:rFonts w:ascii="Arial Nova" w:eastAsia="Arial Nova" w:hAnsi="Arial Nova" w:cs="Arial Nova"/>
          <w:iCs/>
          <w:color w:val="000000" w:themeColor="text1"/>
          <w:sz w:val="22"/>
        </w:rPr>
      </w:pPr>
      <w:r w:rsidRPr="00836055">
        <w:rPr>
          <w:rFonts w:ascii="Arial Nova" w:eastAsia="Arial Nova" w:hAnsi="Arial Nova" w:cs="Arial Nova"/>
          <w:iCs/>
          <w:color w:val="000000" w:themeColor="text1"/>
          <w:sz w:val="22"/>
          <w:lang w:val="en-GB"/>
        </w:rPr>
        <w:t>NHS leaders can especially use the “Working with others” area by creating an environment where everyone feels included and works together. When people from different backgrounds and roles come together to share ideas, it can lead to better solutions. Lee et al. (2025) shows that team creativity, which means a group’s ability to come up with new ideas, helps improve teamwork and patient care. In practice, leaders can support this by giving time for group discussions and brainstorming. Leaders should also recognise and value everyone’s contributions. For instance, leaders can organise regular meetings where nurses, doctors and managers come together to share ideas and solve problems. When people from different professions work together and share their knowledge, it improves both the quality of care and the well-being of staff (Lee et al., 2025). In the NHS, this can be seen in multidisciplinary teams that work together to improve services. These teams use their different skills and experiences to come up with better ways of caring for patients.</w:t>
      </w:r>
    </w:p>
    <w:p w14:paraId="74DB5C46" w14:textId="77777777" w:rsidR="00633E2E" w:rsidRPr="00633E2E" w:rsidRDefault="00633E2E" w:rsidP="021F216E">
      <w:pPr>
        <w:rPr>
          <w:rFonts w:ascii="Arial Nova" w:eastAsia="Arial Nova" w:hAnsi="Arial Nova" w:cs="Arial Nova"/>
          <w:iCs/>
          <w:color w:val="FF0000"/>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160CD9FC"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b/>
          <w:bCs/>
          <w:iCs/>
          <w:color w:val="000000" w:themeColor="text1"/>
          <w:sz w:val="22"/>
          <w:lang w:val="en-GB"/>
        </w:rPr>
        <w:t>Description</w:t>
      </w:r>
      <w:r w:rsidRPr="00633E2E">
        <w:rPr>
          <w:rFonts w:ascii="Arial Nova" w:eastAsia="Arial Nova" w:hAnsi="Arial Nova" w:cs="Arial Nova"/>
          <w:iCs/>
          <w:color w:val="000000" w:themeColor="text1"/>
          <w:sz w:val="22"/>
          <w:lang w:val="en-GB"/>
        </w:rPr>
        <w:br/>
        <w:t xml:space="preserve">In this module, I was exposed to a lot about creativity and creating value in health and social care. At first, I used to think creativity was optional and it was just about coming up with new ideas, but now I see it as something important, and practical that helps solve real problems in healthcare. </w:t>
      </w:r>
    </w:p>
    <w:p w14:paraId="06134D00"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Feelings</w:t>
      </w:r>
    </w:p>
    <w:p w14:paraId="2D7DB22C"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As we started the classes week-by-week, I began to feel more engaged and more confident when I understood how creative thinking and innovation like digital tools and telemedicine can improve patient care and make health care delivery and services more effective. This made me feel more open to thinking beyond traditional ways of working.</w:t>
      </w:r>
    </w:p>
    <w:p w14:paraId="4A290C2A"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Evaluation</w:t>
      </w:r>
    </w:p>
    <w:p w14:paraId="23C47A5B"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 xml:space="preserve">Now, I see that creativity is more than just coming up with ideas; it’s about putting those ideas into practice in ways that </w:t>
      </w:r>
      <w:proofErr w:type="gramStart"/>
      <w:r w:rsidRPr="00633E2E">
        <w:rPr>
          <w:rFonts w:ascii="Arial Nova" w:eastAsia="Arial Nova" w:hAnsi="Arial Nova" w:cs="Arial Nova"/>
          <w:iCs/>
          <w:color w:val="000000" w:themeColor="text1"/>
          <w:sz w:val="22"/>
          <w:lang w:val="en-GB"/>
        </w:rPr>
        <w:t>actually improve</w:t>
      </w:r>
      <w:proofErr w:type="gramEnd"/>
      <w:r w:rsidRPr="00633E2E">
        <w:rPr>
          <w:rFonts w:ascii="Arial Nova" w:eastAsia="Arial Nova" w:hAnsi="Arial Nova" w:cs="Arial Nova"/>
          <w:iCs/>
          <w:color w:val="000000" w:themeColor="text1"/>
          <w:sz w:val="22"/>
          <w:lang w:val="en-GB"/>
        </w:rPr>
        <w:t xml:space="preserve"> patient care and make better use of available resources. The module also helped me understand how working with others, using technology, and applying design thinking can all come together to create lasting value in health and social care.</w:t>
      </w:r>
    </w:p>
    <w:p w14:paraId="4396B965"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Analysis</w:t>
      </w:r>
    </w:p>
    <w:p w14:paraId="08532459"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 xml:space="preserve">Looking at it critically, creativity and innovation in health practice are not operational necessity but an indispensable part of health practice. With creativity and innovation especially with new technologies, health professionals respond more effectively to real challenges within the healthcare system and the growing needs of patients (Sinha, 2024). However, health professionals must be at the centre of this according to the argument of Zuber (2018). </w:t>
      </w:r>
    </w:p>
    <w:p w14:paraId="78A616D6"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 xml:space="preserve">Conclusion </w:t>
      </w:r>
    </w:p>
    <w:p w14:paraId="16C70BE7" w14:textId="77777777" w:rsidR="00633E2E" w:rsidRPr="00633E2E" w:rsidRDefault="00633E2E" w:rsidP="00836055">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Through this module, my understanding has changed a lot. I used to see creativity in a limited way, but now I recognise how important it is in shaping professional practice.</w:t>
      </w:r>
    </w:p>
    <w:p w14:paraId="6D204FA4" w14:textId="77777777" w:rsidR="00633E2E" w:rsidRPr="00633E2E" w:rsidRDefault="00633E2E" w:rsidP="00836055">
      <w:pPr>
        <w:spacing w:line="360" w:lineRule="auto"/>
        <w:jc w:val="both"/>
        <w:rPr>
          <w:rFonts w:ascii="Arial Nova" w:eastAsia="Arial Nova" w:hAnsi="Arial Nova" w:cs="Arial Nova"/>
          <w:b/>
          <w:bCs/>
          <w:iCs/>
          <w:color w:val="000000" w:themeColor="text1"/>
          <w:sz w:val="22"/>
          <w:lang w:val="en-GB"/>
        </w:rPr>
      </w:pPr>
      <w:r w:rsidRPr="00633E2E">
        <w:rPr>
          <w:rFonts w:ascii="Arial Nova" w:eastAsia="Arial Nova" w:hAnsi="Arial Nova" w:cs="Arial Nova"/>
          <w:b/>
          <w:bCs/>
          <w:iCs/>
          <w:color w:val="000000" w:themeColor="text1"/>
          <w:sz w:val="22"/>
          <w:lang w:val="en-GB"/>
        </w:rPr>
        <w:t>Action Plan</w:t>
      </w:r>
    </w:p>
    <w:p w14:paraId="4B40E24E" w14:textId="488370D8" w:rsidR="00836055" w:rsidRPr="00A36F48" w:rsidRDefault="00633E2E" w:rsidP="00A36F48">
      <w:pPr>
        <w:spacing w:line="360" w:lineRule="auto"/>
        <w:jc w:val="both"/>
        <w:rPr>
          <w:rFonts w:ascii="Arial Nova" w:eastAsia="Arial Nova" w:hAnsi="Arial Nova" w:cs="Arial Nova"/>
          <w:iCs/>
          <w:color w:val="000000" w:themeColor="text1"/>
          <w:sz w:val="22"/>
          <w:lang w:val="en-GB"/>
        </w:rPr>
      </w:pPr>
      <w:r w:rsidRPr="00633E2E">
        <w:rPr>
          <w:rFonts w:ascii="Arial Nova" w:eastAsia="Arial Nova" w:hAnsi="Arial Nova" w:cs="Arial Nova"/>
          <w:iCs/>
          <w:color w:val="000000" w:themeColor="text1"/>
          <w:sz w:val="22"/>
          <w:lang w:val="en-GB"/>
        </w:rPr>
        <w:t>From now onward, I plan to reflect more regularly and be more open to using creative and innovative approaches to improve my service delivery and patient care</w:t>
      </w:r>
      <w:r w:rsidRPr="00836055">
        <w:rPr>
          <w:rFonts w:ascii="Arial Nova" w:eastAsia="Arial Nova" w:hAnsi="Arial Nova" w:cs="Arial Nova"/>
          <w:iCs/>
          <w:color w:val="000000" w:themeColor="text1"/>
          <w:sz w:val="22"/>
          <w:lang w:val="en-GB"/>
        </w:rPr>
        <w:t>.</w:t>
      </w:r>
    </w:p>
    <w:p w14:paraId="5E2803DD" w14:textId="35DBC5D2" w:rsidR="3EA1690F" w:rsidRPr="00836055" w:rsidRDefault="3EA1690F" w:rsidP="00836055">
      <w:pPr>
        <w:jc w:val="center"/>
        <w:rPr>
          <w:rFonts w:ascii="Arial Nova" w:eastAsia="Arial Nova" w:hAnsi="Arial Nova" w:cs="Arial Nova"/>
          <w:b/>
          <w:color w:val="000000" w:themeColor="text1"/>
          <w:sz w:val="48"/>
          <w:szCs w:val="48"/>
        </w:rPr>
      </w:pPr>
      <w:r w:rsidRPr="00836055">
        <w:rPr>
          <w:rFonts w:ascii="Arial Nova" w:eastAsia="Arial Nova" w:hAnsi="Arial Nova" w:cs="Arial Nova"/>
          <w:b/>
          <w:color w:val="000000" w:themeColor="text1"/>
          <w:sz w:val="48"/>
          <w:szCs w:val="48"/>
        </w:rPr>
        <w:lastRenderedPageBreak/>
        <w:t>Reference List</w:t>
      </w:r>
    </w:p>
    <w:p w14:paraId="18E01DB1"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Barjaková, M., Garnero, A. and d’Hombres, B. (2023) Risk factors for loneliness: A literature review. </w:t>
      </w:r>
      <w:r w:rsidRPr="00633E2E">
        <w:rPr>
          <w:rFonts w:ascii="Aptos" w:eastAsia="Aptos" w:hAnsi="Aptos" w:cs="Aptos"/>
          <w:i/>
          <w:iCs/>
          <w:color w:val="000000" w:themeColor="text1"/>
          <w:sz w:val="22"/>
          <w:szCs w:val="22"/>
          <w:lang w:val="en-GB"/>
        </w:rPr>
        <w:t>Social science &amp; medicine</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334</w:t>
      </w:r>
      <w:r w:rsidRPr="00633E2E">
        <w:rPr>
          <w:rFonts w:ascii="Aptos" w:eastAsia="Aptos" w:hAnsi="Aptos" w:cs="Aptos"/>
          <w:color w:val="000000" w:themeColor="text1"/>
          <w:sz w:val="22"/>
          <w:szCs w:val="22"/>
          <w:lang w:val="en-GB"/>
        </w:rPr>
        <w:t>, p.116163.</w:t>
      </w:r>
    </w:p>
    <w:p w14:paraId="68DFCCAA"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Böbel, I. and Martis, A. (2010) Value Creation in Health Care: The Case of the Princesse Grace Hospital (CHPG) Monaco. </w:t>
      </w:r>
      <w:r w:rsidRPr="00633E2E">
        <w:rPr>
          <w:rFonts w:ascii="Aptos" w:eastAsia="Aptos" w:hAnsi="Aptos" w:cs="Aptos"/>
          <w:i/>
          <w:iCs/>
          <w:color w:val="000000" w:themeColor="text1"/>
          <w:sz w:val="22"/>
          <w:szCs w:val="22"/>
          <w:lang w:val="en-GB"/>
        </w:rPr>
        <w:t>Journal of Strategic Management Education,</w:t>
      </w:r>
      <w:r w:rsidRPr="00633E2E">
        <w:rPr>
          <w:rFonts w:ascii="Aptos" w:eastAsia="Aptos" w:hAnsi="Aptos" w:cs="Aptos"/>
          <w:color w:val="000000" w:themeColor="text1"/>
          <w:sz w:val="22"/>
          <w:szCs w:val="22"/>
          <w:lang w:val="en-GB"/>
        </w:rPr>
        <w:t xml:space="preserve"> 6(2), pp. 1-36. </w:t>
      </w:r>
    </w:p>
    <w:p w14:paraId="6CBB8CE4"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Carlile, O. and Jordan, A. (2013) </w:t>
      </w:r>
      <w:r w:rsidRPr="00633E2E">
        <w:rPr>
          <w:rFonts w:ascii="Aptos" w:eastAsia="Aptos" w:hAnsi="Aptos" w:cs="Aptos"/>
          <w:i/>
          <w:iCs/>
          <w:color w:val="000000" w:themeColor="text1"/>
          <w:sz w:val="22"/>
          <w:szCs w:val="22"/>
          <w:lang w:val="en-GB"/>
        </w:rPr>
        <w:t>Approaches to creativity: A guide for teachers</w:t>
      </w:r>
      <w:r w:rsidRPr="00633E2E">
        <w:rPr>
          <w:rFonts w:ascii="Aptos" w:eastAsia="Aptos" w:hAnsi="Aptos" w:cs="Aptos"/>
          <w:color w:val="000000" w:themeColor="text1"/>
          <w:sz w:val="22"/>
          <w:szCs w:val="22"/>
          <w:lang w:val="en-GB"/>
        </w:rPr>
        <w:t>. McGraw-Hill Education (UK).</w:t>
      </w:r>
    </w:p>
    <w:p w14:paraId="7218FFAF"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Donovan, N.J. and Blazer, D. (2020) Social isolation and loneliness in older adults: review and commentary of a national academies report. </w:t>
      </w:r>
      <w:r w:rsidRPr="00633E2E">
        <w:rPr>
          <w:rFonts w:ascii="Aptos" w:eastAsia="Aptos" w:hAnsi="Aptos" w:cs="Aptos"/>
          <w:i/>
          <w:iCs/>
          <w:color w:val="000000" w:themeColor="text1"/>
          <w:sz w:val="22"/>
          <w:szCs w:val="22"/>
          <w:lang w:val="en-GB"/>
        </w:rPr>
        <w:t>The American journal of geriatric psychiatry</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28</w:t>
      </w:r>
      <w:r w:rsidRPr="00633E2E">
        <w:rPr>
          <w:rFonts w:ascii="Aptos" w:eastAsia="Aptos" w:hAnsi="Aptos" w:cs="Aptos"/>
          <w:color w:val="000000" w:themeColor="text1"/>
          <w:sz w:val="22"/>
          <w:szCs w:val="22"/>
          <w:lang w:val="en-GB"/>
        </w:rPr>
        <w:t>(12), pp.1233-1244.</w:t>
      </w:r>
    </w:p>
    <w:p w14:paraId="4415DC54"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Ferreira, D.C., Vieira, I., Pedro, M.I., Caldas, P. and Varela, M. (2023) Patient satisfaction with healthcare services and the techniques used for its assessment: a systematic literature review and a bibliometric analysis. </w:t>
      </w:r>
      <w:r w:rsidRPr="00633E2E">
        <w:rPr>
          <w:rFonts w:ascii="Aptos" w:eastAsia="Aptos" w:hAnsi="Aptos" w:cs="Aptos"/>
          <w:i/>
          <w:iCs/>
          <w:color w:val="000000" w:themeColor="text1"/>
          <w:sz w:val="22"/>
          <w:szCs w:val="22"/>
          <w:lang w:val="en-GB"/>
        </w:rPr>
        <w:t>Healthcare</w:t>
      </w:r>
      <w:r w:rsidRPr="00633E2E">
        <w:rPr>
          <w:rFonts w:ascii="Aptos" w:eastAsia="Aptos" w:hAnsi="Aptos" w:cs="Aptos"/>
          <w:color w:val="000000" w:themeColor="text1"/>
          <w:sz w:val="22"/>
          <w:szCs w:val="22"/>
          <w:lang w:val="en-GB"/>
        </w:rPr>
        <w:t>, 11(5), p. 639.</w:t>
      </w:r>
    </w:p>
    <w:p w14:paraId="15B250D2"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Ham, C. (2023) </w:t>
      </w:r>
      <w:r w:rsidRPr="00633E2E">
        <w:rPr>
          <w:rFonts w:ascii="Aptos" w:eastAsia="Aptos" w:hAnsi="Aptos" w:cs="Aptos"/>
          <w:i/>
          <w:color w:val="000000" w:themeColor="text1"/>
          <w:sz w:val="22"/>
          <w:szCs w:val="22"/>
          <w:lang w:val="en-GB"/>
        </w:rPr>
        <w:t xml:space="preserve">The rise and decline of the NHS in England 2000–20: How political failure led to the crisis in the NHS and social care. </w:t>
      </w:r>
      <w:r w:rsidRPr="00633E2E">
        <w:rPr>
          <w:rFonts w:ascii="Aptos" w:eastAsia="Aptos" w:hAnsi="Aptos" w:cs="Aptos"/>
          <w:color w:val="000000" w:themeColor="text1"/>
          <w:sz w:val="22"/>
          <w:szCs w:val="22"/>
          <w:lang w:val="en-GB"/>
        </w:rPr>
        <w:t xml:space="preserve">The King’s Fund. Available at: </w:t>
      </w:r>
      <w:hyperlink r:id="rId12" w:anchor=":~:text=The%20Better%20Care%20Fund%20,%E2%80%93%20was%20seen%20as">
        <w:r w:rsidRPr="00633E2E">
          <w:rPr>
            <w:rStyle w:val="Hyperlink"/>
            <w:rFonts w:ascii="Aptos" w:eastAsia="Aptos" w:hAnsi="Aptos" w:cs="Aptos"/>
            <w:sz w:val="22"/>
            <w:szCs w:val="22"/>
            <w:lang w:val="en-GB"/>
          </w:rPr>
          <w:t>https://assets.kingsfund.org.uk/f/256914/x/0ab966500b/rise_decline_nhs_england_2000-20_2023.pdf</w:t>
        </w:r>
      </w:hyperlink>
      <w:r w:rsidRPr="00633E2E">
        <w:rPr>
          <w:rFonts w:ascii="Aptos" w:eastAsia="Aptos" w:hAnsi="Aptos" w:cs="Aptos"/>
          <w:color w:val="000000" w:themeColor="text1"/>
          <w:sz w:val="22"/>
          <w:szCs w:val="22"/>
          <w:lang w:val="en-GB"/>
        </w:rPr>
        <w:t xml:space="preserve">  [Accessed 21 March 2026]</w:t>
      </w:r>
    </w:p>
    <w:p w14:paraId="74D334A5"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Hommel, B. (2012) Convergent and Divergent. </w:t>
      </w:r>
      <w:r w:rsidRPr="00633E2E">
        <w:rPr>
          <w:rFonts w:ascii="Aptos" w:eastAsia="Aptos" w:hAnsi="Aptos" w:cs="Aptos"/>
          <w:i/>
          <w:iCs/>
          <w:color w:val="000000" w:themeColor="text1"/>
          <w:sz w:val="22"/>
          <w:szCs w:val="22"/>
          <w:lang w:val="en-GB"/>
        </w:rPr>
        <w:t>Cognitive search: Evolution, algorithms, and the brain,</w:t>
      </w:r>
      <w:r w:rsidRPr="00633E2E">
        <w:rPr>
          <w:rFonts w:ascii="Aptos" w:eastAsia="Aptos" w:hAnsi="Aptos" w:cs="Aptos"/>
          <w:color w:val="000000" w:themeColor="text1"/>
          <w:sz w:val="22"/>
          <w:szCs w:val="22"/>
          <w:lang w:val="en-GB"/>
        </w:rPr>
        <w:t xml:space="preserve"> 9, p.221.</w:t>
      </w:r>
    </w:p>
    <w:p w14:paraId="65978C29"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Kehyayan, V., Yasin, Y.M. and Al-Hamad, A. (2025) Toward a clearer understanding of value‐based healthcare: A concept analysis. </w:t>
      </w:r>
      <w:r w:rsidRPr="00633E2E">
        <w:rPr>
          <w:rFonts w:ascii="Aptos" w:eastAsia="Aptos" w:hAnsi="Aptos" w:cs="Aptos"/>
          <w:i/>
          <w:iCs/>
          <w:color w:val="000000" w:themeColor="text1"/>
          <w:sz w:val="22"/>
          <w:szCs w:val="22"/>
          <w:lang w:val="en-GB"/>
        </w:rPr>
        <w:t>Journal of Nursing Management</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2025</w:t>
      </w:r>
      <w:r w:rsidRPr="00633E2E">
        <w:rPr>
          <w:rFonts w:ascii="Aptos" w:eastAsia="Aptos" w:hAnsi="Aptos" w:cs="Aptos"/>
          <w:color w:val="000000" w:themeColor="text1"/>
          <w:sz w:val="22"/>
          <w:szCs w:val="22"/>
          <w:lang w:val="en-GB"/>
        </w:rPr>
        <w:t>(1), p.8186530.</w:t>
      </w:r>
    </w:p>
    <w:p w14:paraId="01E8E23B"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Lee, Y.S., LaVine, N., Kogan, Y. and Poghosyan, L. (2025) Examining team creativity in primary care. </w:t>
      </w:r>
      <w:r w:rsidRPr="00633E2E">
        <w:rPr>
          <w:rFonts w:ascii="Aptos" w:eastAsia="Aptos" w:hAnsi="Aptos" w:cs="Aptos"/>
          <w:i/>
          <w:iCs/>
          <w:color w:val="000000" w:themeColor="text1"/>
          <w:sz w:val="22"/>
          <w:szCs w:val="22"/>
          <w:lang w:val="en-GB"/>
        </w:rPr>
        <w:t>Health Care Management Review</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50</w:t>
      </w:r>
      <w:r w:rsidRPr="00633E2E">
        <w:rPr>
          <w:rFonts w:ascii="Aptos" w:eastAsia="Aptos" w:hAnsi="Aptos" w:cs="Aptos"/>
          <w:color w:val="000000" w:themeColor="text1"/>
          <w:sz w:val="22"/>
          <w:szCs w:val="22"/>
          <w:lang w:val="en-GB"/>
        </w:rPr>
        <w:t>(4), pp.315-326.</w:t>
      </w:r>
    </w:p>
    <w:p w14:paraId="5E3BA309" w14:textId="36907D69" w:rsidR="00633E2E" w:rsidRPr="00633E2E" w:rsidRDefault="008D7D51"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National Audit</w:t>
      </w:r>
      <w:r w:rsidR="00633E2E" w:rsidRPr="00633E2E">
        <w:rPr>
          <w:rFonts w:ascii="Aptos" w:eastAsia="Aptos" w:hAnsi="Aptos" w:cs="Aptos"/>
          <w:color w:val="000000" w:themeColor="text1"/>
          <w:sz w:val="22"/>
          <w:szCs w:val="22"/>
          <w:lang w:val="en-GB"/>
        </w:rPr>
        <w:t xml:space="preserve"> Office (2014, November) </w:t>
      </w:r>
      <w:r w:rsidR="00633E2E" w:rsidRPr="00633E2E">
        <w:rPr>
          <w:rFonts w:ascii="Aptos" w:eastAsia="Aptos" w:hAnsi="Aptos" w:cs="Aptos"/>
          <w:i/>
          <w:color w:val="000000" w:themeColor="text1"/>
          <w:sz w:val="22"/>
          <w:szCs w:val="22"/>
          <w:lang w:val="en-GB"/>
        </w:rPr>
        <w:t>Planning for the Better Care Fund</w:t>
      </w:r>
      <w:r w:rsidR="00633E2E" w:rsidRPr="00633E2E">
        <w:rPr>
          <w:rFonts w:ascii="Aptos" w:eastAsia="Aptos" w:hAnsi="Aptos" w:cs="Aptos"/>
          <w:color w:val="000000" w:themeColor="text1"/>
          <w:sz w:val="22"/>
          <w:szCs w:val="22"/>
          <w:lang w:val="en-GB"/>
        </w:rPr>
        <w:t xml:space="preserve">. </w:t>
      </w:r>
      <w:proofErr w:type="gramStart"/>
      <w:r w:rsidR="00633E2E" w:rsidRPr="00633E2E">
        <w:rPr>
          <w:rFonts w:ascii="Aptos" w:eastAsia="Aptos" w:hAnsi="Aptos" w:cs="Aptos"/>
          <w:color w:val="000000" w:themeColor="text1"/>
          <w:sz w:val="22"/>
          <w:szCs w:val="22"/>
          <w:lang w:val="en-GB"/>
        </w:rPr>
        <w:t>National  Audit</w:t>
      </w:r>
      <w:proofErr w:type="gramEnd"/>
      <w:r w:rsidR="00633E2E" w:rsidRPr="00633E2E">
        <w:rPr>
          <w:rFonts w:ascii="Aptos" w:eastAsia="Aptos" w:hAnsi="Aptos" w:cs="Aptos"/>
          <w:color w:val="000000" w:themeColor="text1"/>
          <w:sz w:val="22"/>
          <w:szCs w:val="22"/>
          <w:lang w:val="en-GB"/>
        </w:rPr>
        <w:t xml:space="preserve"> Office. Available at: </w:t>
      </w:r>
      <w:hyperlink r:id="rId13" w:anchor=":~:text=with%20NHS%20England%20and%20the,team%2C%20no%20programme%20director%20and">
        <w:r w:rsidR="00633E2E" w:rsidRPr="00633E2E">
          <w:rPr>
            <w:rStyle w:val="Hyperlink"/>
            <w:rFonts w:ascii="Aptos" w:eastAsia="Aptos" w:hAnsi="Aptos" w:cs="Aptos"/>
            <w:sz w:val="22"/>
            <w:szCs w:val="22"/>
            <w:lang w:val="en-GB"/>
          </w:rPr>
          <w:t>https://www.nao.org.uk/reports/planning-better-care-fund-2</w:t>
        </w:r>
      </w:hyperlink>
      <w:r w:rsidR="00633E2E" w:rsidRPr="00633E2E">
        <w:rPr>
          <w:rFonts w:ascii="Aptos" w:eastAsia="Aptos" w:hAnsi="Aptos" w:cs="Aptos"/>
          <w:color w:val="000000" w:themeColor="text1"/>
          <w:sz w:val="22"/>
          <w:szCs w:val="22"/>
          <w:lang w:val="en-GB"/>
        </w:rPr>
        <w:t xml:space="preserve">  [Accessed 21 March 2026]</w:t>
      </w:r>
    </w:p>
    <w:p w14:paraId="30EA738E"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lastRenderedPageBreak/>
        <w:t xml:space="preserve">NHS Leadership Academy (2011) </w:t>
      </w:r>
      <w:r w:rsidRPr="00633E2E">
        <w:rPr>
          <w:rFonts w:ascii="Aptos" w:eastAsia="Aptos" w:hAnsi="Aptos" w:cs="Aptos"/>
          <w:i/>
          <w:color w:val="000000" w:themeColor="text1"/>
          <w:sz w:val="22"/>
          <w:szCs w:val="22"/>
          <w:lang w:val="en-GB"/>
        </w:rPr>
        <w:t>Leadership Framework.</w:t>
      </w:r>
      <w:r w:rsidRPr="00633E2E">
        <w:rPr>
          <w:rFonts w:ascii="Aptos" w:eastAsia="Aptos" w:hAnsi="Aptos" w:cs="Aptos"/>
          <w:color w:val="000000" w:themeColor="text1"/>
          <w:sz w:val="22"/>
          <w:szCs w:val="22"/>
          <w:lang w:val="en-GB"/>
        </w:rPr>
        <w:t xml:space="preserve"> NHS Leadership Academy. Available at: </w:t>
      </w:r>
      <w:hyperlink r:id="rId14">
        <w:r w:rsidRPr="00633E2E">
          <w:rPr>
            <w:rStyle w:val="Hyperlink"/>
            <w:rFonts w:ascii="Aptos" w:eastAsia="Aptos" w:hAnsi="Aptos" w:cs="Aptos"/>
            <w:sz w:val="22"/>
            <w:szCs w:val="22"/>
            <w:lang w:val="en-GB"/>
          </w:rPr>
          <w:t>https://www.nwpgmd.nhs.uk/sites/default/files/NHSLeadership-Framework.pdf</w:t>
        </w:r>
      </w:hyperlink>
      <w:r w:rsidRPr="00633E2E">
        <w:rPr>
          <w:rFonts w:ascii="Aptos" w:eastAsia="Aptos" w:hAnsi="Aptos" w:cs="Aptos"/>
          <w:color w:val="000000" w:themeColor="text1"/>
          <w:sz w:val="22"/>
          <w:szCs w:val="22"/>
          <w:lang w:val="en-GB"/>
        </w:rPr>
        <w:t xml:space="preserve"> [Accessed 23 March 2026].</w:t>
      </w:r>
    </w:p>
    <w:p w14:paraId="2D5FCC8E"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Sinha, R. (2024) The role and impact of new technologies on healthcare systems. Discover Health Systems, 3(1), p.96.</w:t>
      </w:r>
    </w:p>
    <w:p w14:paraId="4F371F61"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Teisberg, E., Wallace, S. and O’Hara, S. (2020) Defining and implementing value-based health care: a strategic framework. </w:t>
      </w:r>
      <w:r w:rsidRPr="00633E2E">
        <w:rPr>
          <w:rFonts w:ascii="Aptos" w:eastAsia="Aptos" w:hAnsi="Aptos" w:cs="Aptos"/>
          <w:i/>
          <w:iCs/>
          <w:color w:val="000000" w:themeColor="text1"/>
          <w:sz w:val="22"/>
          <w:szCs w:val="22"/>
          <w:lang w:val="en-GB"/>
        </w:rPr>
        <w:t>Academic Medicine</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95</w:t>
      </w:r>
      <w:r w:rsidRPr="00633E2E">
        <w:rPr>
          <w:rFonts w:ascii="Aptos" w:eastAsia="Aptos" w:hAnsi="Aptos" w:cs="Aptos"/>
          <w:color w:val="000000" w:themeColor="text1"/>
          <w:sz w:val="22"/>
          <w:szCs w:val="22"/>
          <w:lang w:val="en-GB"/>
        </w:rPr>
        <w:t>(5), pp.682-685.</w:t>
      </w:r>
    </w:p>
    <w:p w14:paraId="10BBA422" w14:textId="77777777" w:rsidR="00633E2E" w:rsidRPr="00633E2E" w:rsidRDefault="00633E2E" w:rsidP="00633E2E">
      <w:pPr>
        <w:spacing w:line="360" w:lineRule="auto"/>
        <w:rPr>
          <w:rFonts w:ascii="Aptos" w:eastAsia="Aptos" w:hAnsi="Aptos" w:cs="Aptos"/>
          <w:color w:val="000000" w:themeColor="text1"/>
          <w:sz w:val="22"/>
          <w:szCs w:val="22"/>
          <w:lang w:val="en-GB"/>
        </w:rPr>
      </w:pPr>
      <w:r w:rsidRPr="00633E2E">
        <w:rPr>
          <w:rFonts w:ascii="Aptos" w:eastAsia="Aptos" w:hAnsi="Aptos" w:cs="Aptos"/>
          <w:color w:val="000000" w:themeColor="text1"/>
          <w:sz w:val="22"/>
          <w:szCs w:val="22"/>
          <w:lang w:val="en-GB"/>
        </w:rPr>
        <w:t xml:space="preserve">Yu, C.X. and Subramaniam, G. (2017) A Mentoring Approach for Developing Creativity in Teaching. </w:t>
      </w:r>
      <w:r w:rsidRPr="00633E2E">
        <w:rPr>
          <w:rFonts w:ascii="Aptos" w:eastAsia="Aptos" w:hAnsi="Aptos" w:cs="Aptos"/>
          <w:i/>
          <w:iCs/>
          <w:color w:val="000000" w:themeColor="text1"/>
          <w:sz w:val="22"/>
          <w:szCs w:val="22"/>
          <w:lang w:val="en-GB"/>
        </w:rPr>
        <w:t xml:space="preserve">Malaysian Journal of ELT Research, </w:t>
      </w:r>
      <w:r w:rsidRPr="00633E2E">
        <w:rPr>
          <w:rFonts w:ascii="Aptos" w:eastAsia="Aptos" w:hAnsi="Aptos" w:cs="Aptos"/>
          <w:color w:val="000000" w:themeColor="text1"/>
          <w:sz w:val="22"/>
          <w:szCs w:val="22"/>
          <w:lang w:val="en-GB"/>
        </w:rPr>
        <w:t>14(2).</w:t>
      </w:r>
    </w:p>
    <w:p w14:paraId="45701BE0" w14:textId="0994624E" w:rsidR="021F216E" w:rsidRPr="00633E2E" w:rsidRDefault="00633E2E" w:rsidP="00633E2E">
      <w:pPr>
        <w:spacing w:line="360" w:lineRule="auto"/>
        <w:rPr>
          <w:rFonts w:ascii="Aptos" w:eastAsia="Aptos" w:hAnsi="Aptos" w:cs="Aptos"/>
          <w:color w:val="000000" w:themeColor="text1"/>
          <w:sz w:val="22"/>
          <w:szCs w:val="22"/>
        </w:rPr>
      </w:pPr>
      <w:r w:rsidRPr="00633E2E">
        <w:rPr>
          <w:rFonts w:ascii="Aptos" w:eastAsia="Aptos" w:hAnsi="Aptos" w:cs="Aptos"/>
          <w:color w:val="000000" w:themeColor="text1"/>
          <w:sz w:val="22"/>
          <w:szCs w:val="22"/>
          <w:lang w:val="en-GB"/>
        </w:rPr>
        <w:t xml:space="preserve">Zuber, C.D. and Moody, L. (2018) Creativity and innovation in health care: tapping into organizational enablers through human-centered design. </w:t>
      </w:r>
      <w:r w:rsidRPr="00633E2E">
        <w:rPr>
          <w:rFonts w:ascii="Aptos" w:eastAsia="Aptos" w:hAnsi="Aptos" w:cs="Aptos"/>
          <w:i/>
          <w:iCs/>
          <w:color w:val="000000" w:themeColor="text1"/>
          <w:sz w:val="22"/>
          <w:szCs w:val="22"/>
          <w:lang w:val="en-GB"/>
        </w:rPr>
        <w:t>Nursing Administration Quarterly</w:t>
      </w:r>
      <w:r w:rsidRPr="00633E2E">
        <w:rPr>
          <w:rFonts w:ascii="Aptos" w:eastAsia="Aptos" w:hAnsi="Aptos" w:cs="Aptos"/>
          <w:color w:val="000000" w:themeColor="text1"/>
          <w:sz w:val="22"/>
          <w:szCs w:val="22"/>
          <w:lang w:val="en-GB"/>
        </w:rPr>
        <w:t xml:space="preserve">, </w:t>
      </w:r>
      <w:r w:rsidRPr="00633E2E">
        <w:rPr>
          <w:rFonts w:ascii="Aptos" w:eastAsia="Aptos" w:hAnsi="Aptos" w:cs="Aptos"/>
          <w:i/>
          <w:iCs/>
          <w:color w:val="000000" w:themeColor="text1"/>
          <w:sz w:val="22"/>
          <w:szCs w:val="22"/>
          <w:lang w:val="en-GB"/>
        </w:rPr>
        <w:t>42</w:t>
      </w:r>
      <w:r w:rsidRPr="00633E2E">
        <w:rPr>
          <w:rFonts w:ascii="Aptos" w:eastAsia="Aptos" w:hAnsi="Aptos" w:cs="Aptos"/>
          <w:color w:val="000000" w:themeColor="text1"/>
          <w:sz w:val="22"/>
          <w:szCs w:val="22"/>
          <w:lang w:val="en-GB"/>
        </w:rPr>
        <w:t>(1), pp.62-75</w:t>
      </w: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99407" w14:textId="77777777" w:rsidR="003866C2" w:rsidRDefault="003866C2" w:rsidP="00255A0D">
      <w:pPr>
        <w:spacing w:after="0" w:line="240" w:lineRule="auto"/>
      </w:pPr>
      <w:r>
        <w:separator/>
      </w:r>
    </w:p>
  </w:endnote>
  <w:endnote w:type="continuationSeparator" w:id="0">
    <w:p w14:paraId="2E55349F" w14:textId="77777777" w:rsidR="003866C2" w:rsidRDefault="003866C2"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601866"/>
      <w:docPartObj>
        <w:docPartGallery w:val="Page Numbers (Bottom of Page)"/>
        <w:docPartUnique/>
      </w:docPartObj>
    </w:sdtPr>
    <w:sdtEndPr>
      <w:rPr>
        <w:noProof/>
      </w:rPr>
    </w:sdtEndPr>
    <w:sdtContent>
      <w:p w14:paraId="07AF7FD8" w14:textId="496896F8" w:rsidR="003F54F9" w:rsidRDefault="003F54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802E75" w14:textId="77777777" w:rsidR="003F54F9" w:rsidRDefault="003F5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307BB" w14:textId="77777777" w:rsidR="003866C2" w:rsidRDefault="003866C2" w:rsidP="00255A0D">
      <w:pPr>
        <w:spacing w:after="0" w:line="240" w:lineRule="auto"/>
      </w:pPr>
      <w:r>
        <w:separator/>
      </w:r>
    </w:p>
  </w:footnote>
  <w:footnote w:type="continuationSeparator" w:id="0">
    <w:p w14:paraId="479A6883" w14:textId="77777777" w:rsidR="003866C2" w:rsidRDefault="003866C2"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5F673ECE"/>
    <w:multiLevelType w:val="multilevel"/>
    <w:tmpl w:val="2AAA44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49976940">
    <w:abstractNumId w:val="0"/>
  </w:num>
  <w:num w:numId="2" w16cid:durableId="1775007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45615"/>
    <w:rsid w:val="0006047A"/>
    <w:rsid w:val="00094EFD"/>
    <w:rsid w:val="000B50E8"/>
    <w:rsid w:val="000C0D1C"/>
    <w:rsid w:val="0012347B"/>
    <w:rsid w:val="001A0E8E"/>
    <w:rsid w:val="001B551C"/>
    <w:rsid w:val="001C40BE"/>
    <w:rsid w:val="001F7484"/>
    <w:rsid w:val="00231448"/>
    <w:rsid w:val="00234292"/>
    <w:rsid w:val="00255A0D"/>
    <w:rsid w:val="00313C48"/>
    <w:rsid w:val="00337274"/>
    <w:rsid w:val="00352BC6"/>
    <w:rsid w:val="003866C2"/>
    <w:rsid w:val="003F54F9"/>
    <w:rsid w:val="003F6685"/>
    <w:rsid w:val="00405C03"/>
    <w:rsid w:val="004331BA"/>
    <w:rsid w:val="00456C61"/>
    <w:rsid w:val="00487A40"/>
    <w:rsid w:val="005312DB"/>
    <w:rsid w:val="00563EB8"/>
    <w:rsid w:val="00577423"/>
    <w:rsid w:val="00584E24"/>
    <w:rsid w:val="00633E2E"/>
    <w:rsid w:val="006D6A1B"/>
    <w:rsid w:val="00721123"/>
    <w:rsid w:val="00767C1F"/>
    <w:rsid w:val="007F0718"/>
    <w:rsid w:val="00836055"/>
    <w:rsid w:val="008D7D51"/>
    <w:rsid w:val="008F2FE9"/>
    <w:rsid w:val="009451AE"/>
    <w:rsid w:val="009C5459"/>
    <w:rsid w:val="009F59D9"/>
    <w:rsid w:val="00A36F48"/>
    <w:rsid w:val="00A4788F"/>
    <w:rsid w:val="00A507D8"/>
    <w:rsid w:val="00BC533E"/>
    <w:rsid w:val="00C322B1"/>
    <w:rsid w:val="00CA384C"/>
    <w:rsid w:val="00D06AFA"/>
    <w:rsid w:val="00DB394B"/>
    <w:rsid w:val="00DC2ECF"/>
    <w:rsid w:val="00E27A2D"/>
    <w:rsid w:val="00F87BCC"/>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633E2E"/>
    <w:rPr>
      <w:color w:val="605E5C"/>
      <w:shd w:val="clear" w:color="auto" w:fill="E1DFDD"/>
    </w:rPr>
  </w:style>
  <w:style w:type="paragraph" w:styleId="BalloonText">
    <w:name w:val="Balloon Text"/>
    <w:basedOn w:val="Normal"/>
    <w:link w:val="BalloonTextChar"/>
    <w:uiPriority w:val="99"/>
    <w:semiHidden/>
    <w:unhideWhenUsed/>
    <w:rsid w:val="008360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6055"/>
    <w:rPr>
      <w:rFonts w:ascii="Segoe UI" w:hAnsi="Segoe UI" w:cs="Segoe UI"/>
      <w:sz w:val="18"/>
      <w:szCs w:val="18"/>
    </w:rPr>
  </w:style>
  <w:style w:type="paragraph" w:styleId="Caption">
    <w:name w:val="caption"/>
    <w:basedOn w:val="Normal"/>
    <w:next w:val="Normal"/>
    <w:uiPriority w:val="35"/>
    <w:unhideWhenUsed/>
    <w:qFormat/>
    <w:rsid w:val="0083605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ao.org.uk/reports/planning-better-care-fund-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sets.kingsfund.org.uk/f/256914/x/0ab966500b/rise_decline_nhs_england_2000-20_2023.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wpgmd.nhs.uk/sites/default/files/NHSLeadership-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2875</Words>
  <Characters>13575</Characters>
  <Application>Microsoft Office Word</Application>
  <DocSecurity>0</DocSecurity>
  <Lines>339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16332</CharactersWithSpaces>
  <SharedDoc>false</SharedDoc>
  <HLinks>
    <vt:vector size="18" baseType="variant">
      <vt:variant>
        <vt:i4>5963870</vt:i4>
      </vt:variant>
      <vt:variant>
        <vt:i4>12</vt:i4>
      </vt:variant>
      <vt:variant>
        <vt:i4>0</vt:i4>
      </vt:variant>
      <vt:variant>
        <vt:i4>5</vt:i4>
      </vt:variant>
      <vt:variant>
        <vt:lpwstr>https://www.nwpgmd.nhs.uk/sites/default/files/NHSLeadership-Framework.pdf</vt:lpwstr>
      </vt:variant>
      <vt:variant>
        <vt:lpwstr/>
      </vt:variant>
      <vt:variant>
        <vt:i4>1572937</vt:i4>
      </vt:variant>
      <vt:variant>
        <vt:i4>9</vt:i4>
      </vt:variant>
      <vt:variant>
        <vt:i4>0</vt:i4>
      </vt:variant>
      <vt:variant>
        <vt:i4>5</vt:i4>
      </vt:variant>
      <vt:variant>
        <vt:lpwstr>https://www.nao.org.uk/reports/planning-better-care-fund-2/</vt:lpwstr>
      </vt:variant>
      <vt:variant>
        <vt:lpwstr>:~:text=with%20NHS%20England%20and%20the,team%2C%20no%20programme%20director%20and</vt:lpwstr>
      </vt:variant>
      <vt:variant>
        <vt:i4>3145797</vt:i4>
      </vt:variant>
      <vt:variant>
        <vt:i4>6</vt:i4>
      </vt:variant>
      <vt:variant>
        <vt:i4>0</vt:i4>
      </vt:variant>
      <vt:variant>
        <vt:i4>5</vt:i4>
      </vt:variant>
      <vt:variant>
        <vt:lpwstr>https://assets.kingsfund.org.uk/f/256914/x/0ab966500b/rise_decline_nhs_england_2000-20_2023.pdf</vt:lpwstr>
      </vt:variant>
      <vt:variant>
        <vt:lpwstr>:~:text=The%20Better%20Care%20Fund%20,%E2%80%93%20was%20seen%20as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Aimnumhenfo Iyoha (2329981)</cp:lastModifiedBy>
  <cp:revision>20</cp:revision>
  <dcterms:created xsi:type="dcterms:W3CDTF">2026-03-24T19:01:00Z</dcterms:created>
  <dcterms:modified xsi:type="dcterms:W3CDTF">2026-03-24T19:54:00Z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a179a3dc-d944-4f6d-8387-8fa988ee4f6f</vt:lpwstr>
  </property>
</Properties>
</file>