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79B2" w:rsidRPr="000F63AC" w:rsidRDefault="00EE2633" w:rsidP="00EE2633">
      <w:pPr>
        <w:spacing w:line="360" w:lineRule="auto"/>
        <w:rPr>
          <w:rFonts w:ascii="Arial" w:hAnsi="Arial" w:cs="Arial"/>
          <w:b/>
          <w:sz w:val="24"/>
          <w:szCs w:val="24"/>
        </w:rPr>
      </w:pPr>
      <w:r w:rsidRPr="000F63AC">
        <w:rPr>
          <w:rFonts w:ascii="Arial" w:hAnsi="Arial" w:cs="Arial"/>
          <w:b/>
          <w:sz w:val="24"/>
          <w:szCs w:val="24"/>
        </w:rPr>
        <w:t>Lesley Gardner</w:t>
      </w:r>
    </w:p>
    <w:p w:rsidR="00EE2633" w:rsidRPr="000F63AC" w:rsidRDefault="00EE2633" w:rsidP="00EE2633">
      <w:pPr>
        <w:spacing w:line="360" w:lineRule="auto"/>
        <w:rPr>
          <w:rFonts w:ascii="Arial" w:hAnsi="Arial" w:cs="Arial"/>
          <w:b/>
          <w:sz w:val="24"/>
          <w:szCs w:val="24"/>
        </w:rPr>
      </w:pPr>
      <w:r w:rsidRPr="000F63AC">
        <w:rPr>
          <w:rFonts w:ascii="Arial" w:hAnsi="Arial" w:cs="Arial"/>
          <w:b/>
          <w:sz w:val="24"/>
          <w:szCs w:val="24"/>
        </w:rPr>
        <w:t>2009621</w:t>
      </w:r>
    </w:p>
    <w:p w:rsidR="00EE2633" w:rsidRDefault="00EE2633" w:rsidP="00EE2633">
      <w:pPr>
        <w:spacing w:line="360" w:lineRule="auto"/>
        <w:rPr>
          <w:rFonts w:ascii="Arial" w:hAnsi="Arial" w:cs="Arial"/>
          <w:sz w:val="24"/>
          <w:szCs w:val="24"/>
        </w:rPr>
      </w:pPr>
      <w:r>
        <w:rPr>
          <w:rFonts w:ascii="Arial" w:hAnsi="Arial" w:cs="Arial"/>
          <w:sz w:val="24"/>
          <w:szCs w:val="24"/>
        </w:rPr>
        <w:t xml:space="preserve">Freud believed that children who had suffered some form of trauma, through play could express suppressed memories, hence play has a vital role in children’s emotional development. Therefore children will role-play their inner desires and thoughts which they cannot express verbally. </w:t>
      </w:r>
      <w:proofErr w:type="spellStart"/>
      <w:r>
        <w:rPr>
          <w:rFonts w:ascii="Arial" w:hAnsi="Arial" w:cs="Arial"/>
          <w:sz w:val="24"/>
          <w:szCs w:val="24"/>
        </w:rPr>
        <w:t>Winnicott</w:t>
      </w:r>
      <w:proofErr w:type="spellEnd"/>
      <w:r>
        <w:rPr>
          <w:rFonts w:ascii="Arial" w:hAnsi="Arial" w:cs="Arial"/>
          <w:sz w:val="24"/>
          <w:szCs w:val="24"/>
        </w:rPr>
        <w:t xml:space="preserve"> considered play as a sense of therapy and how children place themselves in the outside world. Anna Freud built strong relationships between adults and children using play as a tool. Klein used play as a way to interpret the child’s feelings and thoughts that </w:t>
      </w:r>
      <w:r w:rsidR="00EC3515">
        <w:rPr>
          <w:rFonts w:ascii="Arial" w:hAnsi="Arial" w:cs="Arial"/>
          <w:sz w:val="24"/>
          <w:szCs w:val="24"/>
        </w:rPr>
        <w:t>children could n</w:t>
      </w:r>
      <w:r>
        <w:rPr>
          <w:rFonts w:ascii="Arial" w:hAnsi="Arial" w:cs="Arial"/>
          <w:sz w:val="24"/>
          <w:szCs w:val="24"/>
        </w:rPr>
        <w:t>ot express verball</w:t>
      </w:r>
      <w:r w:rsidR="00CD53FF">
        <w:rPr>
          <w:rFonts w:ascii="Arial" w:hAnsi="Arial" w:cs="Arial"/>
          <w:sz w:val="24"/>
          <w:szCs w:val="24"/>
        </w:rPr>
        <w:t xml:space="preserve">y (Play and Psychoanalysis: Insights </w:t>
      </w:r>
      <w:r w:rsidR="00EC3515">
        <w:rPr>
          <w:rFonts w:ascii="Arial" w:hAnsi="Arial" w:cs="Arial"/>
          <w:sz w:val="24"/>
          <w:szCs w:val="24"/>
        </w:rPr>
        <w:t>Feature, 2017).</w:t>
      </w:r>
      <w:r w:rsidR="00CD53FF">
        <w:rPr>
          <w:rFonts w:ascii="Arial" w:hAnsi="Arial" w:cs="Arial"/>
          <w:sz w:val="24"/>
          <w:szCs w:val="24"/>
        </w:rPr>
        <w:t xml:space="preserve"> </w:t>
      </w:r>
      <w:r w:rsidR="006E406B">
        <w:rPr>
          <w:rFonts w:ascii="Arial" w:hAnsi="Arial" w:cs="Arial"/>
          <w:sz w:val="24"/>
          <w:szCs w:val="24"/>
        </w:rPr>
        <w:t xml:space="preserve">However, </w:t>
      </w:r>
      <w:proofErr w:type="spellStart"/>
      <w:r w:rsidR="006E406B">
        <w:rPr>
          <w:rFonts w:ascii="Arial" w:hAnsi="Arial" w:cs="Arial"/>
          <w:sz w:val="24"/>
          <w:szCs w:val="24"/>
        </w:rPr>
        <w:t>Vgotsky</w:t>
      </w:r>
      <w:proofErr w:type="spellEnd"/>
      <w:r w:rsidR="006E406B">
        <w:rPr>
          <w:rFonts w:ascii="Arial" w:hAnsi="Arial" w:cs="Arial"/>
          <w:sz w:val="24"/>
          <w:szCs w:val="24"/>
        </w:rPr>
        <w:t xml:space="preserve"> believe</w:t>
      </w:r>
      <w:r w:rsidR="00B23C48">
        <w:rPr>
          <w:rFonts w:ascii="Arial" w:hAnsi="Arial" w:cs="Arial"/>
          <w:sz w:val="24"/>
          <w:szCs w:val="24"/>
        </w:rPr>
        <w:t>d</w:t>
      </w:r>
      <w:r w:rsidR="006E406B">
        <w:rPr>
          <w:rFonts w:ascii="Arial" w:hAnsi="Arial" w:cs="Arial"/>
          <w:sz w:val="24"/>
          <w:szCs w:val="24"/>
        </w:rPr>
        <w:t xml:space="preserve"> that children needed adult support, a sort of scaffolding, in order to develop and learn through play (Nilsson and </w:t>
      </w:r>
      <w:proofErr w:type="spellStart"/>
      <w:r w:rsidR="006E406B">
        <w:rPr>
          <w:rFonts w:ascii="Arial" w:hAnsi="Arial" w:cs="Arial"/>
          <w:sz w:val="24"/>
          <w:szCs w:val="24"/>
        </w:rPr>
        <w:t>Ferholt</w:t>
      </w:r>
      <w:proofErr w:type="spellEnd"/>
      <w:r w:rsidR="006E406B">
        <w:rPr>
          <w:rFonts w:ascii="Arial" w:hAnsi="Arial" w:cs="Arial"/>
          <w:sz w:val="24"/>
          <w:szCs w:val="24"/>
        </w:rPr>
        <w:t>, 2014). Similarly Bruner agrees with Vygotsky that the adult plays an important role in children’s first hand experiences (Aubrey, K., &amp; Riley, A. 2016).</w:t>
      </w:r>
      <w:r w:rsidR="0058105D">
        <w:rPr>
          <w:rFonts w:ascii="Arial" w:hAnsi="Arial" w:cs="Arial"/>
          <w:sz w:val="24"/>
          <w:szCs w:val="24"/>
        </w:rPr>
        <w:t xml:space="preserve"> Piaget’s theory is that children learn through action, the resul</w:t>
      </w:r>
      <w:r w:rsidR="00ED6D7C">
        <w:rPr>
          <w:rFonts w:ascii="Arial" w:hAnsi="Arial" w:cs="Arial"/>
          <w:sz w:val="24"/>
          <w:szCs w:val="24"/>
        </w:rPr>
        <w:t>ts</w:t>
      </w:r>
      <w:r w:rsidR="0058105D">
        <w:rPr>
          <w:rFonts w:ascii="Arial" w:hAnsi="Arial" w:cs="Arial"/>
          <w:sz w:val="24"/>
          <w:szCs w:val="24"/>
        </w:rPr>
        <w:t xml:space="preserve"> of the child’s own exploration being constructed by the child’s own knowledge from past experiences. This is in total contrast to what Bruner and Vygotsky believed, that children needed adult support whereas Piaget believed children learned from their own experiences </w:t>
      </w:r>
      <w:r w:rsidR="00170A20">
        <w:rPr>
          <w:rFonts w:ascii="Arial" w:hAnsi="Arial" w:cs="Arial"/>
          <w:sz w:val="24"/>
          <w:szCs w:val="24"/>
        </w:rPr>
        <w:t>(</w:t>
      </w:r>
      <w:proofErr w:type="spellStart"/>
      <w:r w:rsidR="00170A20">
        <w:rPr>
          <w:rFonts w:ascii="Arial" w:hAnsi="Arial" w:cs="Arial"/>
          <w:sz w:val="24"/>
          <w:szCs w:val="24"/>
        </w:rPr>
        <w:t>Gray</w:t>
      </w:r>
      <w:proofErr w:type="spellEnd"/>
      <w:r w:rsidR="00170A20">
        <w:rPr>
          <w:rFonts w:ascii="Arial" w:hAnsi="Arial" w:cs="Arial"/>
          <w:sz w:val="24"/>
          <w:szCs w:val="24"/>
        </w:rPr>
        <w:t xml:space="preserve">, C., &amp; </w:t>
      </w:r>
      <w:proofErr w:type="spellStart"/>
      <w:r w:rsidR="00170A20">
        <w:rPr>
          <w:rFonts w:ascii="Arial" w:hAnsi="Arial" w:cs="Arial"/>
          <w:sz w:val="24"/>
          <w:szCs w:val="24"/>
        </w:rPr>
        <w:t>MacBlain</w:t>
      </w:r>
      <w:proofErr w:type="spellEnd"/>
      <w:r w:rsidR="00170A20">
        <w:rPr>
          <w:rFonts w:ascii="Arial" w:hAnsi="Arial" w:cs="Arial"/>
          <w:sz w:val="24"/>
          <w:szCs w:val="24"/>
        </w:rPr>
        <w:t xml:space="preserve">, S. </w:t>
      </w:r>
      <w:r w:rsidR="0058105D">
        <w:rPr>
          <w:rFonts w:ascii="Arial" w:hAnsi="Arial" w:cs="Arial"/>
          <w:sz w:val="24"/>
          <w:szCs w:val="24"/>
        </w:rPr>
        <w:t>2012).</w:t>
      </w:r>
    </w:p>
    <w:p w:rsidR="006E2ACB" w:rsidRDefault="006E2ACB" w:rsidP="00EE2633">
      <w:pPr>
        <w:spacing w:line="360" w:lineRule="auto"/>
        <w:rPr>
          <w:rFonts w:ascii="Arial" w:hAnsi="Arial" w:cs="Arial"/>
          <w:sz w:val="24"/>
          <w:szCs w:val="24"/>
        </w:rPr>
      </w:pPr>
    </w:p>
    <w:p w:rsidR="006E2ACB" w:rsidRPr="006E2ACB" w:rsidRDefault="006E2ACB" w:rsidP="00EE2633">
      <w:pPr>
        <w:spacing w:line="360" w:lineRule="auto"/>
        <w:rPr>
          <w:rFonts w:ascii="Arial" w:hAnsi="Arial" w:cs="Arial"/>
          <w:b/>
          <w:sz w:val="24"/>
          <w:szCs w:val="24"/>
          <w:u w:val="single"/>
        </w:rPr>
      </w:pPr>
      <w:r w:rsidRPr="006E2ACB">
        <w:rPr>
          <w:rFonts w:ascii="Arial" w:hAnsi="Arial" w:cs="Arial"/>
          <w:b/>
          <w:sz w:val="24"/>
          <w:szCs w:val="24"/>
          <w:u w:val="single"/>
        </w:rPr>
        <w:t>References</w:t>
      </w:r>
    </w:p>
    <w:p w:rsidR="000F63AC" w:rsidRPr="00014803" w:rsidRDefault="000F63AC" w:rsidP="000F63AC">
      <w:pPr>
        <w:spacing w:after="0" w:line="240" w:lineRule="auto"/>
        <w:rPr>
          <w:rFonts w:ascii="Arial" w:eastAsia="Times New Roman" w:hAnsi="Arial" w:cs="Arial"/>
          <w:sz w:val="24"/>
          <w:szCs w:val="24"/>
          <w:lang w:eastAsia="en-GB"/>
        </w:rPr>
      </w:pPr>
      <w:r w:rsidRPr="000F63AC">
        <w:rPr>
          <w:rFonts w:ascii="Arial" w:eastAsia="Times New Roman" w:hAnsi="Arial" w:cs="Arial"/>
          <w:sz w:val="24"/>
          <w:szCs w:val="24"/>
          <w:lang w:eastAsia="en-GB"/>
        </w:rPr>
        <w:t>Aubrey, K., &amp; Riley, A. (2016</w:t>
      </w:r>
      <w:r w:rsidRPr="000F63AC">
        <w:rPr>
          <w:rFonts w:ascii="Arial" w:eastAsia="Times New Roman" w:hAnsi="Arial" w:cs="Arial"/>
          <w:i/>
          <w:sz w:val="24"/>
          <w:szCs w:val="24"/>
          <w:lang w:eastAsia="en-GB"/>
        </w:rPr>
        <w:t xml:space="preserve">). Understanding &amp; using educational theories. </w:t>
      </w:r>
      <w:r w:rsidRPr="000F63AC">
        <w:rPr>
          <w:rFonts w:ascii="Arial" w:eastAsia="Times New Roman" w:hAnsi="Arial" w:cs="Arial"/>
          <w:sz w:val="24"/>
          <w:szCs w:val="24"/>
          <w:lang w:eastAsia="en-GB"/>
        </w:rPr>
        <w:t>Los Angeles: SAGE.</w:t>
      </w:r>
    </w:p>
    <w:p w:rsidR="000F63AC" w:rsidRPr="000F63AC" w:rsidRDefault="000F63AC" w:rsidP="000F63AC">
      <w:pPr>
        <w:spacing w:after="0" w:line="240" w:lineRule="auto"/>
        <w:rPr>
          <w:rFonts w:ascii="Arial" w:eastAsia="Times New Roman" w:hAnsi="Arial" w:cs="Arial"/>
          <w:sz w:val="24"/>
          <w:szCs w:val="24"/>
          <w:lang w:eastAsia="en-GB"/>
        </w:rPr>
      </w:pPr>
    </w:p>
    <w:p w:rsidR="000F63AC" w:rsidRPr="000F63AC" w:rsidRDefault="000F63AC" w:rsidP="000F63AC">
      <w:pPr>
        <w:spacing w:after="0" w:line="240" w:lineRule="auto"/>
        <w:rPr>
          <w:rFonts w:ascii="Segoe UI" w:eastAsia="Times New Roman" w:hAnsi="Segoe UI" w:cs="Segoe UI"/>
          <w:i/>
          <w:sz w:val="24"/>
          <w:szCs w:val="24"/>
          <w:lang w:eastAsia="en-GB"/>
        </w:rPr>
      </w:pPr>
      <w:proofErr w:type="spellStart"/>
      <w:r w:rsidRPr="000F63AC">
        <w:rPr>
          <w:rFonts w:ascii="Segoe UI" w:eastAsia="Times New Roman" w:hAnsi="Segoe UI" w:cs="Segoe UI"/>
          <w:sz w:val="24"/>
          <w:szCs w:val="24"/>
          <w:lang w:eastAsia="en-GB"/>
        </w:rPr>
        <w:t>Gray</w:t>
      </w:r>
      <w:proofErr w:type="spellEnd"/>
      <w:r w:rsidRPr="000F63AC">
        <w:rPr>
          <w:rFonts w:ascii="Segoe UI" w:eastAsia="Times New Roman" w:hAnsi="Segoe UI" w:cs="Segoe UI"/>
          <w:sz w:val="24"/>
          <w:szCs w:val="24"/>
          <w:lang w:eastAsia="en-GB"/>
        </w:rPr>
        <w:t xml:space="preserve">, C., &amp; </w:t>
      </w:r>
      <w:proofErr w:type="spellStart"/>
      <w:r w:rsidRPr="000F63AC">
        <w:rPr>
          <w:rFonts w:ascii="Segoe UI" w:eastAsia="Times New Roman" w:hAnsi="Segoe UI" w:cs="Segoe UI"/>
          <w:sz w:val="24"/>
          <w:szCs w:val="24"/>
          <w:lang w:eastAsia="en-GB"/>
        </w:rPr>
        <w:t>MacBlain</w:t>
      </w:r>
      <w:proofErr w:type="spellEnd"/>
      <w:r w:rsidRPr="000F63AC">
        <w:rPr>
          <w:rFonts w:ascii="Segoe UI" w:eastAsia="Times New Roman" w:hAnsi="Segoe UI" w:cs="Segoe UI"/>
          <w:sz w:val="24"/>
          <w:szCs w:val="24"/>
          <w:lang w:eastAsia="en-GB"/>
        </w:rPr>
        <w:t xml:space="preserve">, S. (2012). </w:t>
      </w:r>
      <w:r w:rsidRPr="000F63AC">
        <w:rPr>
          <w:rFonts w:ascii="Segoe UI" w:eastAsia="Times New Roman" w:hAnsi="Segoe UI" w:cs="Segoe UI"/>
          <w:i/>
          <w:sz w:val="24"/>
          <w:szCs w:val="24"/>
          <w:lang w:eastAsia="en-GB"/>
        </w:rPr>
        <w:t xml:space="preserve">Learning theories in childhood. </w:t>
      </w:r>
      <w:r w:rsidRPr="000F63AC">
        <w:rPr>
          <w:rFonts w:ascii="Segoe UI" w:eastAsia="Times New Roman" w:hAnsi="Segoe UI" w:cs="Segoe UI"/>
          <w:sz w:val="24"/>
          <w:szCs w:val="24"/>
          <w:lang w:eastAsia="en-GB"/>
        </w:rPr>
        <w:t>Los Angeles, [Calif.</w:t>
      </w:r>
      <w:r w:rsidR="00014803" w:rsidRPr="004A6EBA">
        <w:rPr>
          <w:rFonts w:ascii="Segoe UI" w:eastAsia="Times New Roman" w:hAnsi="Segoe UI" w:cs="Segoe UI"/>
          <w:sz w:val="24"/>
          <w:szCs w:val="24"/>
          <w:lang w:eastAsia="en-GB"/>
        </w:rPr>
        <w:t>];</w:t>
      </w:r>
      <w:r w:rsidRPr="000F63AC">
        <w:rPr>
          <w:rFonts w:ascii="Segoe UI" w:eastAsia="Times New Roman" w:hAnsi="Segoe UI" w:cs="Segoe UI"/>
          <w:i/>
          <w:sz w:val="24"/>
          <w:szCs w:val="24"/>
          <w:lang w:eastAsia="en-GB"/>
        </w:rPr>
        <w:t xml:space="preserve"> </w:t>
      </w:r>
      <w:r w:rsidRPr="000F63AC">
        <w:rPr>
          <w:rFonts w:ascii="Segoe UI" w:eastAsia="Times New Roman" w:hAnsi="Segoe UI" w:cs="Segoe UI"/>
          <w:sz w:val="24"/>
          <w:szCs w:val="24"/>
          <w:lang w:eastAsia="en-GB"/>
        </w:rPr>
        <w:t>London: SAGE.</w:t>
      </w:r>
    </w:p>
    <w:p w:rsidR="000F63AC" w:rsidRPr="000F63AC" w:rsidRDefault="000F63AC" w:rsidP="000F63AC">
      <w:pPr>
        <w:spacing w:after="0" w:line="240" w:lineRule="auto"/>
        <w:rPr>
          <w:rFonts w:ascii="Segoe UI" w:eastAsia="Times New Roman" w:hAnsi="Segoe UI" w:cs="Segoe UI"/>
          <w:sz w:val="24"/>
          <w:szCs w:val="24"/>
          <w:lang w:eastAsia="en-GB"/>
        </w:rPr>
      </w:pPr>
    </w:p>
    <w:p w:rsidR="006E2ACB" w:rsidRDefault="006E2ACB" w:rsidP="00EE2633">
      <w:pPr>
        <w:spacing w:line="360" w:lineRule="auto"/>
        <w:rPr>
          <w:rFonts w:ascii="Arial" w:hAnsi="Arial" w:cs="Arial"/>
          <w:color w:val="000000"/>
          <w:sz w:val="24"/>
          <w:szCs w:val="20"/>
          <w:shd w:val="clear" w:color="auto" w:fill="FFFFFF"/>
        </w:rPr>
      </w:pPr>
      <w:r w:rsidRPr="006E2ACB">
        <w:rPr>
          <w:rFonts w:ascii="Arial" w:hAnsi="Arial" w:cs="Arial"/>
          <w:color w:val="000000"/>
          <w:sz w:val="24"/>
          <w:szCs w:val="20"/>
          <w:shd w:val="clear" w:color="auto" w:fill="FFFFFF"/>
        </w:rPr>
        <w:t xml:space="preserve">Nilsson, M. &amp; </w:t>
      </w:r>
      <w:proofErr w:type="spellStart"/>
      <w:r w:rsidRPr="006E2ACB">
        <w:rPr>
          <w:rFonts w:ascii="Arial" w:hAnsi="Arial" w:cs="Arial"/>
          <w:color w:val="000000"/>
          <w:sz w:val="24"/>
          <w:szCs w:val="20"/>
          <w:shd w:val="clear" w:color="auto" w:fill="FFFFFF"/>
        </w:rPr>
        <w:t>Ferholt</w:t>
      </w:r>
      <w:proofErr w:type="spellEnd"/>
      <w:r w:rsidRPr="006E2ACB">
        <w:rPr>
          <w:rFonts w:ascii="Arial" w:hAnsi="Arial" w:cs="Arial"/>
          <w:color w:val="000000"/>
          <w:sz w:val="24"/>
          <w:szCs w:val="20"/>
          <w:shd w:val="clear" w:color="auto" w:fill="FFFFFF"/>
        </w:rPr>
        <w:t xml:space="preserve">, B. (2014) </w:t>
      </w:r>
      <w:r w:rsidRPr="000F63AC">
        <w:rPr>
          <w:rFonts w:ascii="Arial" w:hAnsi="Arial" w:cs="Arial"/>
          <w:i/>
          <w:color w:val="000000"/>
          <w:sz w:val="24"/>
          <w:szCs w:val="20"/>
          <w:shd w:val="clear" w:color="auto" w:fill="FFFFFF"/>
        </w:rPr>
        <w:t>Vygotsky’</w:t>
      </w:r>
      <w:r w:rsidR="003B6071">
        <w:rPr>
          <w:rFonts w:ascii="Arial" w:hAnsi="Arial" w:cs="Arial"/>
          <w:i/>
          <w:color w:val="000000"/>
          <w:sz w:val="24"/>
          <w:szCs w:val="20"/>
          <w:shd w:val="clear" w:color="auto" w:fill="FFFFFF"/>
        </w:rPr>
        <w:t>s Theories of Play, Imagination and Creativity in Current P</w:t>
      </w:r>
      <w:bookmarkStart w:id="0" w:name="_GoBack"/>
      <w:bookmarkEnd w:id="0"/>
      <w:r w:rsidRPr="000F63AC">
        <w:rPr>
          <w:rFonts w:ascii="Arial" w:hAnsi="Arial" w:cs="Arial"/>
          <w:i/>
          <w:color w:val="000000"/>
          <w:sz w:val="24"/>
          <w:szCs w:val="20"/>
          <w:shd w:val="clear" w:color="auto" w:fill="FFFFFF"/>
        </w:rPr>
        <w:t xml:space="preserve">ractice: </w:t>
      </w:r>
      <w:proofErr w:type="spellStart"/>
      <w:r w:rsidRPr="000F63AC">
        <w:rPr>
          <w:rFonts w:ascii="Arial" w:hAnsi="Arial" w:cs="Arial"/>
          <w:i/>
          <w:color w:val="000000"/>
          <w:sz w:val="24"/>
          <w:szCs w:val="20"/>
          <w:shd w:val="clear" w:color="auto" w:fill="FFFFFF"/>
        </w:rPr>
        <w:t>Gunilla</w:t>
      </w:r>
      <w:proofErr w:type="spellEnd"/>
      <w:r w:rsidRPr="000F63AC">
        <w:rPr>
          <w:rFonts w:ascii="Arial" w:hAnsi="Arial" w:cs="Arial"/>
          <w:i/>
          <w:color w:val="000000"/>
          <w:sz w:val="24"/>
          <w:szCs w:val="20"/>
          <w:shd w:val="clear" w:color="auto" w:fill="FFFFFF"/>
        </w:rPr>
        <w:t xml:space="preserve"> </w:t>
      </w:r>
      <w:proofErr w:type="spellStart"/>
      <w:r w:rsidRPr="000F63AC">
        <w:rPr>
          <w:rFonts w:ascii="Arial" w:hAnsi="Arial" w:cs="Arial"/>
          <w:i/>
          <w:color w:val="000000"/>
          <w:sz w:val="24"/>
          <w:szCs w:val="20"/>
          <w:shd w:val="clear" w:color="auto" w:fill="FFFFFF"/>
        </w:rPr>
        <w:t>Lindgvist’s</w:t>
      </w:r>
      <w:proofErr w:type="spellEnd"/>
      <w:r w:rsidRPr="000F63AC">
        <w:rPr>
          <w:rFonts w:ascii="Arial" w:hAnsi="Arial" w:cs="Arial"/>
          <w:i/>
          <w:color w:val="000000"/>
          <w:sz w:val="24"/>
          <w:szCs w:val="20"/>
          <w:shd w:val="clear" w:color="auto" w:fill="FFFFFF"/>
        </w:rPr>
        <w:t xml:space="preserve"> “</w:t>
      </w:r>
      <w:r w:rsidR="003B6071">
        <w:rPr>
          <w:rFonts w:ascii="Arial" w:hAnsi="Arial" w:cs="Arial"/>
          <w:i/>
          <w:color w:val="000000"/>
          <w:sz w:val="24"/>
          <w:szCs w:val="20"/>
          <w:shd w:val="clear" w:color="auto" w:fill="FFFFFF"/>
        </w:rPr>
        <w:t>Creative P</w:t>
      </w:r>
      <w:r w:rsidRPr="000F63AC">
        <w:rPr>
          <w:rFonts w:ascii="Arial" w:hAnsi="Arial" w:cs="Arial"/>
          <w:i/>
          <w:color w:val="000000"/>
          <w:sz w:val="24"/>
          <w:szCs w:val="20"/>
          <w:shd w:val="clear" w:color="auto" w:fill="FFFFFF"/>
        </w:rPr>
        <w:t>edagogy</w:t>
      </w:r>
      <w:r w:rsidR="003B6071">
        <w:rPr>
          <w:rFonts w:ascii="Arial" w:hAnsi="Arial" w:cs="Arial"/>
          <w:i/>
          <w:color w:val="000000"/>
          <w:sz w:val="24"/>
          <w:szCs w:val="20"/>
          <w:shd w:val="clear" w:color="auto" w:fill="FFFFFF"/>
        </w:rPr>
        <w:t xml:space="preserve"> of P</w:t>
      </w:r>
      <w:r w:rsidRPr="000F63AC">
        <w:rPr>
          <w:rFonts w:ascii="Arial" w:hAnsi="Arial" w:cs="Arial"/>
          <w:i/>
          <w:color w:val="000000"/>
          <w:sz w:val="24"/>
          <w:szCs w:val="20"/>
          <w:shd w:val="clear" w:color="auto" w:fill="FFFFFF"/>
        </w:rPr>
        <w:t>lay”</w:t>
      </w:r>
      <w:r w:rsidR="003B6071">
        <w:rPr>
          <w:rFonts w:ascii="Arial" w:hAnsi="Arial" w:cs="Arial"/>
          <w:i/>
          <w:color w:val="000000"/>
          <w:sz w:val="24"/>
          <w:szCs w:val="20"/>
          <w:shd w:val="clear" w:color="auto" w:fill="FFFFFF"/>
        </w:rPr>
        <w:t xml:space="preserve"> in U.S. K</w:t>
      </w:r>
      <w:r w:rsidRPr="000F63AC">
        <w:rPr>
          <w:rFonts w:ascii="Arial" w:hAnsi="Arial" w:cs="Arial"/>
          <w:i/>
          <w:color w:val="000000"/>
          <w:sz w:val="24"/>
          <w:szCs w:val="20"/>
          <w:shd w:val="clear" w:color="auto" w:fill="FFFFFF"/>
        </w:rPr>
        <w:t>indergart</w:t>
      </w:r>
      <w:r w:rsidR="003B6071">
        <w:rPr>
          <w:rFonts w:ascii="Arial" w:hAnsi="Arial" w:cs="Arial"/>
          <w:i/>
          <w:color w:val="000000"/>
          <w:sz w:val="24"/>
          <w:szCs w:val="20"/>
          <w:shd w:val="clear" w:color="auto" w:fill="FFFFFF"/>
        </w:rPr>
        <w:t>ens and Swedish Reggio-Emilia Inspired P</w:t>
      </w:r>
      <w:r w:rsidRPr="000F63AC">
        <w:rPr>
          <w:rFonts w:ascii="Arial" w:hAnsi="Arial" w:cs="Arial"/>
          <w:i/>
          <w:color w:val="000000"/>
          <w:sz w:val="24"/>
          <w:szCs w:val="20"/>
          <w:shd w:val="clear" w:color="auto" w:fill="FFFFFF"/>
        </w:rPr>
        <w:t xml:space="preserve">reschools. </w:t>
      </w:r>
      <w:proofErr w:type="spellStart"/>
      <w:r w:rsidRPr="00014803">
        <w:rPr>
          <w:rFonts w:ascii="Arial" w:hAnsi="Arial" w:cs="Arial"/>
          <w:color w:val="000000"/>
          <w:sz w:val="24"/>
          <w:szCs w:val="20"/>
          <w:shd w:val="clear" w:color="auto" w:fill="FFFFFF"/>
        </w:rPr>
        <w:t>Perspectiva</w:t>
      </w:r>
      <w:proofErr w:type="spellEnd"/>
      <w:r w:rsidRPr="00014803">
        <w:rPr>
          <w:rFonts w:ascii="Arial" w:hAnsi="Arial" w:cs="Arial"/>
          <w:color w:val="000000"/>
          <w:sz w:val="24"/>
          <w:szCs w:val="20"/>
          <w:shd w:val="clear" w:color="auto" w:fill="FFFFFF"/>
        </w:rPr>
        <w:t xml:space="preserve"> 32(3), 919-950.</w:t>
      </w:r>
    </w:p>
    <w:p w:rsidR="006E204D" w:rsidRPr="00014803" w:rsidRDefault="006E204D" w:rsidP="00EE2633">
      <w:pPr>
        <w:spacing w:line="360" w:lineRule="auto"/>
        <w:rPr>
          <w:rFonts w:ascii="Arial" w:hAnsi="Arial" w:cs="Arial"/>
          <w:color w:val="000000"/>
          <w:sz w:val="24"/>
          <w:szCs w:val="20"/>
          <w:shd w:val="clear" w:color="auto" w:fill="FFFFFF"/>
        </w:rPr>
      </w:pPr>
      <w:r w:rsidRPr="006E2ACB">
        <w:rPr>
          <w:rFonts w:ascii="Arial" w:hAnsi="Arial" w:cs="Arial"/>
          <w:i/>
          <w:iCs/>
          <w:color w:val="000000"/>
          <w:sz w:val="24"/>
          <w:szCs w:val="20"/>
          <w:shd w:val="clear" w:color="auto" w:fill="FFFFFF"/>
        </w:rPr>
        <w:t>Play and Psychoanalysis: Insights Feature</w:t>
      </w:r>
      <w:r w:rsidRPr="006E2ACB">
        <w:rPr>
          <w:rFonts w:ascii="Arial" w:hAnsi="Arial" w:cs="Arial"/>
          <w:color w:val="000000"/>
          <w:sz w:val="24"/>
          <w:szCs w:val="20"/>
          <w:shd w:val="clear" w:color="auto" w:fill="FFFFFF"/>
        </w:rPr>
        <w:t xml:space="preserve">. (2017) Available at: </w:t>
      </w:r>
      <w:hyperlink r:id="rId5" w:history="1">
        <w:r w:rsidRPr="006E2ACB">
          <w:rPr>
            <w:rStyle w:val="Hyperlink"/>
            <w:rFonts w:ascii="Arial" w:hAnsi="Arial" w:cs="Arial"/>
            <w:sz w:val="24"/>
            <w:szCs w:val="20"/>
            <w:shd w:val="clear" w:color="auto" w:fill="FFFFFF"/>
          </w:rPr>
          <w:t>https://www.youtube.com/watch?v=LUR5iqUnMlY&amp;feature=youtube</w:t>
        </w:r>
      </w:hyperlink>
      <w:r w:rsidRPr="006E2ACB">
        <w:rPr>
          <w:rFonts w:ascii="Arial" w:hAnsi="Arial" w:cs="Arial"/>
          <w:color w:val="000000"/>
          <w:sz w:val="24"/>
          <w:szCs w:val="20"/>
          <w:shd w:val="clear" w:color="auto" w:fill="FFFFFF"/>
        </w:rPr>
        <w:t xml:space="preserve">  [Accessed: 4 December 2020]</w:t>
      </w:r>
      <w:r>
        <w:rPr>
          <w:rFonts w:ascii="Arial" w:hAnsi="Arial" w:cs="Arial"/>
          <w:color w:val="000000"/>
          <w:sz w:val="24"/>
          <w:szCs w:val="20"/>
          <w:shd w:val="clear" w:color="auto" w:fill="FFFFFF"/>
        </w:rPr>
        <w:t>.</w:t>
      </w:r>
    </w:p>
    <w:sectPr w:rsidR="006E204D" w:rsidRPr="000148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143B16"/>
    <w:multiLevelType w:val="multilevel"/>
    <w:tmpl w:val="F8822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D6792E"/>
    <w:multiLevelType w:val="multilevel"/>
    <w:tmpl w:val="3BDA6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2633"/>
    <w:rsid w:val="00014803"/>
    <w:rsid w:val="000F63AC"/>
    <w:rsid w:val="00170A20"/>
    <w:rsid w:val="003B6071"/>
    <w:rsid w:val="004A6EBA"/>
    <w:rsid w:val="004C79B2"/>
    <w:rsid w:val="0058105D"/>
    <w:rsid w:val="006950A0"/>
    <w:rsid w:val="006E204D"/>
    <w:rsid w:val="006E2ACB"/>
    <w:rsid w:val="006E406B"/>
    <w:rsid w:val="00A93998"/>
    <w:rsid w:val="00B23C48"/>
    <w:rsid w:val="00CD53FF"/>
    <w:rsid w:val="00EC3515"/>
    <w:rsid w:val="00ED6D7C"/>
    <w:rsid w:val="00EE2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B77FFA-0A05-4098-B4EA-21EEB646F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2A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3782904">
      <w:bodyDiv w:val="1"/>
      <w:marLeft w:val="0"/>
      <w:marRight w:val="0"/>
      <w:marTop w:val="0"/>
      <w:marBottom w:val="0"/>
      <w:divBdr>
        <w:top w:val="none" w:sz="0" w:space="0" w:color="auto"/>
        <w:left w:val="none" w:sz="0" w:space="0" w:color="auto"/>
        <w:bottom w:val="none" w:sz="0" w:space="0" w:color="auto"/>
        <w:right w:val="none" w:sz="0" w:space="0" w:color="auto"/>
      </w:divBdr>
    </w:div>
    <w:div w:id="592250434">
      <w:bodyDiv w:val="1"/>
      <w:marLeft w:val="0"/>
      <w:marRight w:val="0"/>
      <w:marTop w:val="0"/>
      <w:marBottom w:val="0"/>
      <w:divBdr>
        <w:top w:val="none" w:sz="0" w:space="0" w:color="auto"/>
        <w:left w:val="none" w:sz="0" w:space="0" w:color="auto"/>
        <w:bottom w:val="none" w:sz="0" w:space="0" w:color="auto"/>
        <w:right w:val="none" w:sz="0" w:space="0" w:color="auto"/>
      </w:divBdr>
      <w:divsChild>
        <w:div w:id="485827337">
          <w:marLeft w:val="0"/>
          <w:marRight w:val="0"/>
          <w:marTop w:val="0"/>
          <w:marBottom w:val="0"/>
          <w:divBdr>
            <w:top w:val="none" w:sz="0" w:space="0" w:color="auto"/>
            <w:left w:val="none" w:sz="0" w:space="0" w:color="auto"/>
            <w:bottom w:val="none" w:sz="0" w:space="0" w:color="auto"/>
            <w:right w:val="none" w:sz="0" w:space="0" w:color="auto"/>
          </w:divBdr>
        </w:div>
      </w:divsChild>
    </w:div>
    <w:div w:id="1121803229">
      <w:bodyDiv w:val="1"/>
      <w:marLeft w:val="0"/>
      <w:marRight w:val="0"/>
      <w:marTop w:val="0"/>
      <w:marBottom w:val="0"/>
      <w:divBdr>
        <w:top w:val="none" w:sz="0" w:space="0" w:color="auto"/>
        <w:left w:val="none" w:sz="0" w:space="0" w:color="auto"/>
        <w:bottom w:val="none" w:sz="0" w:space="0" w:color="auto"/>
        <w:right w:val="none" w:sz="0" w:space="0" w:color="auto"/>
      </w:divBdr>
    </w:div>
    <w:div w:id="1336149832">
      <w:bodyDiv w:val="1"/>
      <w:marLeft w:val="0"/>
      <w:marRight w:val="0"/>
      <w:marTop w:val="0"/>
      <w:marBottom w:val="0"/>
      <w:divBdr>
        <w:top w:val="none" w:sz="0" w:space="0" w:color="auto"/>
        <w:left w:val="none" w:sz="0" w:space="0" w:color="auto"/>
        <w:bottom w:val="none" w:sz="0" w:space="0" w:color="auto"/>
        <w:right w:val="none" w:sz="0" w:space="0" w:color="auto"/>
      </w:divBdr>
      <w:divsChild>
        <w:div w:id="5528839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v=LUR5iqUnMlY&amp;feature=youtub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1</Pages>
  <Words>302</Words>
  <Characters>1727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Gardner</dc:creator>
  <cp:keywords/>
  <dc:description/>
  <cp:lastModifiedBy>Lesley Gardner</cp:lastModifiedBy>
  <cp:revision>17</cp:revision>
  <dcterms:created xsi:type="dcterms:W3CDTF">2020-12-04T10:39:00Z</dcterms:created>
  <dcterms:modified xsi:type="dcterms:W3CDTF">2020-12-04T18:40:00Z</dcterms:modified>
</cp:coreProperties>
</file>