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2CD9E" w14:textId="27991C26" w:rsidR="001834FC" w:rsidRDefault="001834FC"/>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718"/>
        <w:gridCol w:w="3239"/>
        <w:gridCol w:w="2676"/>
        <w:gridCol w:w="1900"/>
        <w:gridCol w:w="79"/>
      </w:tblGrid>
      <w:tr w:rsidR="00C916CE" w:rsidRPr="0059190E" w14:paraId="23945BBE" w14:textId="77777777" w:rsidTr="00C916CE">
        <w:trPr>
          <w:trHeight w:val="467"/>
        </w:trPr>
        <w:tc>
          <w:tcPr>
            <w:tcW w:w="9612" w:type="dxa"/>
            <w:gridSpan w:val="5"/>
            <w:shd w:val="clear" w:color="auto" w:fill="C0C0C0"/>
          </w:tcPr>
          <w:p w14:paraId="3131429F" w14:textId="15F0427B" w:rsidR="00C916CE" w:rsidRPr="0059190E" w:rsidRDefault="00C916CE" w:rsidP="00F37522">
            <w:pPr>
              <w:pStyle w:val="Heading4"/>
              <w:spacing w:before="0" w:line="240" w:lineRule="auto"/>
              <w:jc w:val="center"/>
              <w:rPr>
                <w:rFonts w:asciiTheme="minorBidi" w:hAnsiTheme="minorBidi" w:cstheme="minorBidi"/>
                <w:sz w:val="44"/>
                <w:szCs w:val="44"/>
              </w:rPr>
            </w:pPr>
            <w:r w:rsidRPr="0059190E">
              <w:rPr>
                <w:rFonts w:asciiTheme="minorBidi" w:hAnsiTheme="minorBidi" w:cstheme="minorBidi"/>
                <w:sz w:val="44"/>
                <w:szCs w:val="44"/>
              </w:rPr>
              <w:t xml:space="preserve">LEVEL 5 DEGREE ASSIGNMENT </w:t>
            </w:r>
          </w:p>
          <w:p w14:paraId="49D5A128" w14:textId="77777777" w:rsidR="00C916CE" w:rsidRPr="0059190E" w:rsidRDefault="00C916CE" w:rsidP="00F37522">
            <w:pPr>
              <w:spacing w:line="240" w:lineRule="auto"/>
              <w:jc w:val="center"/>
              <w:rPr>
                <w:rFonts w:asciiTheme="minorBidi" w:hAnsiTheme="minorBidi"/>
                <w:sz w:val="28"/>
                <w:szCs w:val="28"/>
                <w:lang w:val="en-US"/>
              </w:rPr>
            </w:pPr>
            <w:r w:rsidRPr="0059190E">
              <w:rPr>
                <w:rFonts w:asciiTheme="minorBidi" w:hAnsiTheme="minorBidi"/>
                <w:sz w:val="28"/>
                <w:szCs w:val="28"/>
                <w:lang w:val="en-US"/>
              </w:rPr>
              <w:t>SCHOOL OF INTERNATIONAL HOTEL MANAGEMENT</w:t>
            </w:r>
          </w:p>
        </w:tc>
      </w:tr>
      <w:tr w:rsidR="00C916CE" w:rsidRPr="0059190E" w14:paraId="6BE9D8DF" w14:textId="77777777" w:rsidTr="00C916CE">
        <w:tblPrEx>
          <w:shd w:val="clear" w:color="auto" w:fill="auto"/>
          <w:tblLook w:val="0000" w:firstRow="0" w:lastRow="0" w:firstColumn="0" w:lastColumn="0" w:noHBand="0" w:noVBand="0"/>
        </w:tblPrEx>
        <w:trPr>
          <w:gridAfter w:val="1"/>
          <w:wAfter w:w="79" w:type="dxa"/>
          <w:trHeight w:val="424"/>
        </w:trPr>
        <w:tc>
          <w:tcPr>
            <w:tcW w:w="1718" w:type="dxa"/>
            <w:shd w:val="pct15" w:color="auto" w:fill="auto"/>
          </w:tcPr>
          <w:p w14:paraId="0D904432"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Student name:</w:t>
            </w:r>
          </w:p>
        </w:tc>
        <w:tc>
          <w:tcPr>
            <w:tcW w:w="3239" w:type="dxa"/>
          </w:tcPr>
          <w:p w14:paraId="7294E02B" w14:textId="3741C5E4" w:rsidR="00C916CE" w:rsidRPr="0059190E" w:rsidRDefault="00367BFD" w:rsidP="00F37522">
            <w:pPr>
              <w:spacing w:after="120" w:line="240" w:lineRule="auto"/>
              <w:rPr>
                <w:rFonts w:asciiTheme="minorBidi" w:hAnsiTheme="minorBidi"/>
                <w:b/>
              </w:rPr>
            </w:pPr>
            <w:r>
              <w:rPr>
                <w:rFonts w:asciiTheme="minorBidi" w:hAnsiTheme="minorBidi"/>
                <w:b/>
              </w:rPr>
              <w:t>RAZVAN FANACHI</w:t>
            </w:r>
          </w:p>
        </w:tc>
        <w:tc>
          <w:tcPr>
            <w:tcW w:w="2676" w:type="dxa"/>
            <w:shd w:val="clear" w:color="auto" w:fill="D9D9D9"/>
          </w:tcPr>
          <w:p w14:paraId="5468BFB1"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Student  number:</w:t>
            </w:r>
          </w:p>
        </w:tc>
        <w:tc>
          <w:tcPr>
            <w:tcW w:w="1900" w:type="dxa"/>
          </w:tcPr>
          <w:p w14:paraId="518EBCB2" w14:textId="3C22E436" w:rsidR="00C916CE" w:rsidRPr="0059190E" w:rsidRDefault="00367BFD" w:rsidP="00F37522">
            <w:pPr>
              <w:spacing w:after="120" w:line="240" w:lineRule="auto"/>
              <w:rPr>
                <w:rFonts w:asciiTheme="minorBidi" w:hAnsiTheme="minorBidi"/>
                <w:b/>
              </w:rPr>
            </w:pPr>
            <w:r>
              <w:rPr>
                <w:rFonts w:asciiTheme="minorBidi" w:hAnsiTheme="minorBidi"/>
                <w:b/>
              </w:rPr>
              <w:t>1110542</w:t>
            </w:r>
          </w:p>
        </w:tc>
      </w:tr>
      <w:tr w:rsidR="00C916CE" w:rsidRPr="0059190E" w14:paraId="42DFA13A" w14:textId="77777777" w:rsidTr="00C916CE">
        <w:tblPrEx>
          <w:shd w:val="clear" w:color="auto" w:fill="auto"/>
          <w:tblLook w:val="0000" w:firstRow="0" w:lastRow="0" w:firstColumn="0" w:lastColumn="0" w:noHBand="0" w:noVBand="0"/>
        </w:tblPrEx>
        <w:trPr>
          <w:gridAfter w:val="1"/>
          <w:wAfter w:w="79" w:type="dxa"/>
          <w:trHeight w:val="424"/>
        </w:trPr>
        <w:tc>
          <w:tcPr>
            <w:tcW w:w="1718" w:type="dxa"/>
            <w:shd w:val="pct15" w:color="auto" w:fill="auto"/>
          </w:tcPr>
          <w:p w14:paraId="0531C58C"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Programmes:</w:t>
            </w:r>
          </w:p>
        </w:tc>
        <w:tc>
          <w:tcPr>
            <w:tcW w:w="7815" w:type="dxa"/>
            <w:gridSpan w:val="3"/>
          </w:tcPr>
          <w:p w14:paraId="617439F0" w14:textId="77777777" w:rsidR="00C916CE" w:rsidRPr="0059190E" w:rsidRDefault="00C916CE" w:rsidP="00F37522">
            <w:pPr>
              <w:spacing w:after="120" w:line="240" w:lineRule="auto"/>
              <w:rPr>
                <w:rFonts w:asciiTheme="minorBidi" w:hAnsiTheme="minorBidi"/>
                <w:b/>
                <w:u w:val="single"/>
              </w:rPr>
            </w:pPr>
            <w:r w:rsidRPr="0059190E">
              <w:rPr>
                <w:rFonts w:asciiTheme="minorBidi" w:hAnsiTheme="minorBidi"/>
                <w:b/>
              </w:rPr>
              <w:t>BA (Hons) International Hotel Management</w:t>
            </w:r>
          </w:p>
        </w:tc>
      </w:tr>
      <w:tr w:rsidR="00C916CE" w:rsidRPr="0059190E" w14:paraId="0C9C4713" w14:textId="77777777" w:rsidTr="00C916CE">
        <w:tblPrEx>
          <w:shd w:val="clear" w:color="auto" w:fill="auto"/>
          <w:tblLook w:val="0000" w:firstRow="0" w:lastRow="0" w:firstColumn="0" w:lastColumn="0" w:noHBand="0" w:noVBand="0"/>
        </w:tblPrEx>
        <w:trPr>
          <w:gridAfter w:val="1"/>
          <w:wAfter w:w="79" w:type="dxa"/>
          <w:trHeight w:val="1027"/>
        </w:trPr>
        <w:tc>
          <w:tcPr>
            <w:tcW w:w="1718" w:type="dxa"/>
            <w:shd w:val="pct15" w:color="auto" w:fill="auto"/>
          </w:tcPr>
          <w:p w14:paraId="1838FD46"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Module:</w:t>
            </w:r>
          </w:p>
        </w:tc>
        <w:tc>
          <w:tcPr>
            <w:tcW w:w="3239" w:type="dxa"/>
            <w:shd w:val="clear" w:color="auto" w:fill="auto"/>
          </w:tcPr>
          <w:p w14:paraId="5D5919AE" w14:textId="77777777" w:rsidR="00C916CE" w:rsidRPr="0059190E" w:rsidRDefault="00C916CE" w:rsidP="00F37522">
            <w:pPr>
              <w:spacing w:line="240" w:lineRule="auto"/>
              <w:ind w:right="121"/>
              <w:rPr>
                <w:rFonts w:asciiTheme="minorBidi" w:hAnsiTheme="minorBidi"/>
                <w:b/>
              </w:rPr>
            </w:pPr>
            <w:r w:rsidRPr="0059190E">
              <w:rPr>
                <w:rFonts w:asciiTheme="minorBidi" w:hAnsiTheme="minorBidi"/>
                <w:b/>
              </w:rPr>
              <w:t>Personnel Resourcing and Development</w:t>
            </w:r>
          </w:p>
          <w:p w14:paraId="3E3B0B57" w14:textId="77777777" w:rsidR="00C916CE" w:rsidRPr="0059190E" w:rsidRDefault="00C916CE" w:rsidP="00F37522">
            <w:pPr>
              <w:spacing w:after="120" w:line="240" w:lineRule="auto"/>
              <w:rPr>
                <w:rFonts w:asciiTheme="minorBidi" w:hAnsiTheme="minorBidi"/>
                <w:b/>
              </w:rPr>
            </w:pPr>
          </w:p>
        </w:tc>
        <w:tc>
          <w:tcPr>
            <w:tcW w:w="2676" w:type="dxa"/>
            <w:shd w:val="clear" w:color="auto" w:fill="D9D9D9"/>
          </w:tcPr>
          <w:p w14:paraId="7A2EEE5B"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Module Level (4, 5, 6):</w:t>
            </w:r>
          </w:p>
        </w:tc>
        <w:tc>
          <w:tcPr>
            <w:tcW w:w="1900" w:type="dxa"/>
            <w:shd w:val="clear" w:color="auto" w:fill="auto"/>
          </w:tcPr>
          <w:p w14:paraId="757B0C85"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5</w:t>
            </w:r>
          </w:p>
        </w:tc>
      </w:tr>
      <w:tr w:rsidR="00C916CE" w:rsidRPr="0059190E" w14:paraId="4320572F" w14:textId="77777777" w:rsidTr="00C916CE">
        <w:tblPrEx>
          <w:shd w:val="clear" w:color="auto" w:fill="auto"/>
          <w:tblLook w:val="0000" w:firstRow="0" w:lastRow="0" w:firstColumn="0" w:lastColumn="0" w:noHBand="0" w:noVBand="0"/>
        </w:tblPrEx>
        <w:trPr>
          <w:gridAfter w:val="1"/>
          <w:wAfter w:w="79" w:type="dxa"/>
          <w:trHeight w:val="562"/>
        </w:trPr>
        <w:tc>
          <w:tcPr>
            <w:tcW w:w="1718" w:type="dxa"/>
            <w:shd w:val="pct15" w:color="auto" w:fill="auto"/>
          </w:tcPr>
          <w:p w14:paraId="625F6803"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Module code:</w:t>
            </w:r>
          </w:p>
        </w:tc>
        <w:tc>
          <w:tcPr>
            <w:tcW w:w="3239" w:type="dxa"/>
          </w:tcPr>
          <w:p w14:paraId="01261934" w14:textId="77777777" w:rsidR="00C916CE" w:rsidRPr="0059190E" w:rsidRDefault="00C916CE" w:rsidP="00F37522">
            <w:pPr>
              <w:spacing w:after="120" w:line="240" w:lineRule="auto"/>
              <w:rPr>
                <w:rFonts w:asciiTheme="minorBidi" w:eastAsia="Times New Roman" w:hAnsiTheme="minorBidi"/>
                <w:b/>
                <w:bCs/>
                <w:lang w:eastAsia="en-GB"/>
              </w:rPr>
            </w:pPr>
            <w:r w:rsidRPr="0059190E">
              <w:rPr>
                <w:rFonts w:asciiTheme="minorBidi" w:eastAsia="Times New Roman" w:hAnsiTheme="minorBidi"/>
                <w:b/>
                <w:bCs/>
                <w:lang w:eastAsia="en-GB"/>
              </w:rPr>
              <w:t>BMIH5005</w:t>
            </w:r>
          </w:p>
        </w:tc>
        <w:tc>
          <w:tcPr>
            <w:tcW w:w="2676" w:type="dxa"/>
            <w:shd w:val="clear" w:color="auto" w:fill="D9D9D9"/>
          </w:tcPr>
          <w:p w14:paraId="2DA198C3" w14:textId="77777777" w:rsidR="00C916CE" w:rsidRPr="0059190E" w:rsidRDefault="00C916CE" w:rsidP="00F37522">
            <w:pPr>
              <w:pStyle w:val="Heading2"/>
              <w:spacing w:before="0" w:line="240" w:lineRule="auto"/>
              <w:rPr>
                <w:rFonts w:asciiTheme="minorBidi" w:hAnsiTheme="minorBidi" w:cstheme="minorBidi"/>
                <w:i/>
                <w:sz w:val="22"/>
                <w:szCs w:val="22"/>
              </w:rPr>
            </w:pPr>
            <w:r w:rsidRPr="0059190E">
              <w:rPr>
                <w:rFonts w:asciiTheme="minorBidi" w:hAnsiTheme="minorBidi" w:cstheme="minorBidi"/>
                <w:sz w:val="22"/>
                <w:szCs w:val="22"/>
              </w:rPr>
              <w:t xml:space="preserve">Contribution to Overall </w:t>
            </w:r>
          </w:p>
          <w:p w14:paraId="2B6E4583" w14:textId="77777777" w:rsidR="00C916CE" w:rsidRPr="0059190E" w:rsidRDefault="00C916CE" w:rsidP="00F37522">
            <w:pPr>
              <w:spacing w:after="0" w:line="240" w:lineRule="auto"/>
              <w:rPr>
                <w:rFonts w:asciiTheme="minorBidi" w:hAnsiTheme="minorBidi"/>
                <w:b/>
              </w:rPr>
            </w:pPr>
            <w:r w:rsidRPr="0059190E">
              <w:rPr>
                <w:rFonts w:asciiTheme="minorBidi" w:hAnsiTheme="minorBidi"/>
                <w:b/>
              </w:rPr>
              <w:t>Module Assessment (%):</w:t>
            </w:r>
          </w:p>
        </w:tc>
        <w:tc>
          <w:tcPr>
            <w:tcW w:w="1900" w:type="dxa"/>
          </w:tcPr>
          <w:p w14:paraId="406D7B4F"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50%</w:t>
            </w:r>
          </w:p>
        </w:tc>
      </w:tr>
      <w:tr w:rsidR="00C916CE" w:rsidRPr="0059190E" w14:paraId="6291AA0C" w14:textId="77777777" w:rsidTr="00C916CE">
        <w:tblPrEx>
          <w:shd w:val="clear" w:color="auto" w:fill="auto"/>
          <w:tblLook w:val="0000" w:firstRow="0" w:lastRow="0" w:firstColumn="0" w:lastColumn="0" w:noHBand="0" w:noVBand="0"/>
        </w:tblPrEx>
        <w:trPr>
          <w:gridAfter w:val="1"/>
          <w:wAfter w:w="79" w:type="dxa"/>
          <w:trHeight w:val="424"/>
        </w:trPr>
        <w:tc>
          <w:tcPr>
            <w:tcW w:w="1718" w:type="dxa"/>
            <w:shd w:val="pct15" w:color="auto" w:fill="auto"/>
          </w:tcPr>
          <w:p w14:paraId="4ABD8130"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Lecturer:</w:t>
            </w:r>
          </w:p>
        </w:tc>
        <w:tc>
          <w:tcPr>
            <w:tcW w:w="3239" w:type="dxa"/>
          </w:tcPr>
          <w:p w14:paraId="6311E37B" w14:textId="77777777" w:rsidR="00C916CE" w:rsidRPr="0059190E" w:rsidRDefault="00C916CE" w:rsidP="00F37522">
            <w:pPr>
              <w:spacing w:after="0" w:line="240" w:lineRule="auto"/>
              <w:rPr>
                <w:rFonts w:asciiTheme="minorBidi" w:hAnsiTheme="minorBidi"/>
                <w:b/>
              </w:rPr>
            </w:pPr>
            <w:r w:rsidRPr="0059190E">
              <w:rPr>
                <w:rFonts w:asciiTheme="minorBidi" w:hAnsiTheme="minorBidi"/>
                <w:b/>
              </w:rPr>
              <w:t>Kathryn Roberts</w:t>
            </w:r>
          </w:p>
          <w:p w14:paraId="4050C5BE" w14:textId="77777777" w:rsidR="00C916CE" w:rsidRPr="0059190E" w:rsidRDefault="00C916CE" w:rsidP="00F37522">
            <w:pPr>
              <w:spacing w:after="0" w:line="240" w:lineRule="auto"/>
              <w:rPr>
                <w:rFonts w:asciiTheme="minorBidi" w:hAnsiTheme="minorBidi"/>
                <w:b/>
              </w:rPr>
            </w:pPr>
            <w:r w:rsidRPr="0059190E">
              <w:rPr>
                <w:rFonts w:asciiTheme="minorBidi" w:hAnsiTheme="minorBidi"/>
                <w:b/>
              </w:rPr>
              <w:t>Emma Roberts</w:t>
            </w:r>
          </w:p>
        </w:tc>
        <w:tc>
          <w:tcPr>
            <w:tcW w:w="2676" w:type="dxa"/>
            <w:shd w:val="clear" w:color="auto" w:fill="D9D9D9"/>
          </w:tcPr>
          <w:p w14:paraId="75BEDE9D"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Internal Verifier:</w:t>
            </w:r>
          </w:p>
        </w:tc>
        <w:tc>
          <w:tcPr>
            <w:tcW w:w="1900" w:type="dxa"/>
          </w:tcPr>
          <w:p w14:paraId="366F3003" w14:textId="77777777" w:rsidR="00C916CE" w:rsidRPr="0059190E" w:rsidRDefault="00C916CE" w:rsidP="00F37522">
            <w:pPr>
              <w:spacing w:after="120" w:line="240" w:lineRule="auto"/>
              <w:rPr>
                <w:rFonts w:asciiTheme="minorBidi" w:hAnsiTheme="minorBidi"/>
                <w:b/>
              </w:rPr>
            </w:pPr>
            <w:r>
              <w:rPr>
                <w:rFonts w:asciiTheme="minorBidi" w:hAnsiTheme="minorBidi"/>
                <w:b/>
              </w:rPr>
              <w:t>Rodrigo Aguilera</w:t>
            </w:r>
          </w:p>
        </w:tc>
      </w:tr>
      <w:tr w:rsidR="00C916CE" w:rsidRPr="0059190E" w14:paraId="5CC8B490" w14:textId="77777777" w:rsidTr="00C916CE">
        <w:tblPrEx>
          <w:shd w:val="clear" w:color="auto" w:fill="auto"/>
          <w:tblLook w:val="0000" w:firstRow="0" w:lastRow="0" w:firstColumn="0" w:lastColumn="0" w:noHBand="0" w:noVBand="0"/>
        </w:tblPrEx>
        <w:trPr>
          <w:gridAfter w:val="1"/>
          <w:wAfter w:w="79" w:type="dxa"/>
          <w:trHeight w:val="720"/>
        </w:trPr>
        <w:tc>
          <w:tcPr>
            <w:tcW w:w="1718" w:type="dxa"/>
            <w:shd w:val="pct15" w:color="auto" w:fill="auto"/>
          </w:tcPr>
          <w:p w14:paraId="093568BA"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Assignment Title:</w:t>
            </w:r>
          </w:p>
        </w:tc>
        <w:tc>
          <w:tcPr>
            <w:tcW w:w="3239" w:type="dxa"/>
          </w:tcPr>
          <w:p w14:paraId="60FF5D4B" w14:textId="77777777" w:rsidR="00C916CE" w:rsidRPr="005254FC" w:rsidRDefault="00C916CE" w:rsidP="00F37522">
            <w:pPr>
              <w:spacing w:after="0" w:line="240" w:lineRule="auto"/>
              <w:rPr>
                <w:rFonts w:asciiTheme="minorBidi" w:hAnsiTheme="minorBidi"/>
                <w:b/>
              </w:rPr>
            </w:pPr>
            <w:r w:rsidRPr="005254FC">
              <w:rPr>
                <w:rFonts w:asciiTheme="minorBidi" w:hAnsiTheme="minorBidi"/>
                <w:b/>
              </w:rPr>
              <w:t>Essay: Employee Engagement</w:t>
            </w:r>
          </w:p>
          <w:p w14:paraId="3FAAE927" w14:textId="77777777" w:rsidR="00C916CE" w:rsidRPr="0059190E" w:rsidRDefault="00C916CE" w:rsidP="00F37522">
            <w:pPr>
              <w:spacing w:after="0" w:line="240" w:lineRule="auto"/>
              <w:rPr>
                <w:rFonts w:asciiTheme="minorBidi" w:hAnsiTheme="minorBidi"/>
                <w:b/>
                <w:i/>
                <w:iCs/>
              </w:rPr>
            </w:pPr>
          </w:p>
        </w:tc>
        <w:tc>
          <w:tcPr>
            <w:tcW w:w="2676" w:type="dxa"/>
            <w:shd w:val="pct15" w:color="auto" w:fill="auto"/>
          </w:tcPr>
          <w:p w14:paraId="1ABF4E05"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Assignment No:</w:t>
            </w:r>
          </w:p>
        </w:tc>
        <w:tc>
          <w:tcPr>
            <w:tcW w:w="1900" w:type="dxa"/>
          </w:tcPr>
          <w:p w14:paraId="3820C8EB" w14:textId="77777777" w:rsidR="00C916CE" w:rsidRPr="0059190E" w:rsidRDefault="00C916CE" w:rsidP="00F37522">
            <w:pPr>
              <w:spacing w:after="120" w:line="240" w:lineRule="auto"/>
              <w:rPr>
                <w:rFonts w:asciiTheme="minorBidi" w:hAnsiTheme="minorBidi"/>
                <w:b/>
              </w:rPr>
            </w:pPr>
            <w:r w:rsidRPr="0059190E">
              <w:rPr>
                <w:rFonts w:asciiTheme="minorBidi" w:hAnsiTheme="minorBidi"/>
                <w:b/>
              </w:rPr>
              <w:t>1 of 2</w:t>
            </w:r>
          </w:p>
        </w:tc>
      </w:tr>
      <w:tr w:rsidR="00C916CE" w:rsidRPr="0059190E" w14:paraId="43F074F1" w14:textId="77777777" w:rsidTr="00C916CE">
        <w:tblPrEx>
          <w:shd w:val="clear" w:color="auto" w:fill="auto"/>
          <w:tblLook w:val="0000" w:firstRow="0" w:lastRow="0" w:firstColumn="0" w:lastColumn="0" w:noHBand="0" w:noVBand="0"/>
        </w:tblPrEx>
        <w:trPr>
          <w:gridAfter w:val="1"/>
          <w:wAfter w:w="79" w:type="dxa"/>
          <w:trHeight w:val="572"/>
        </w:trPr>
        <w:tc>
          <w:tcPr>
            <w:tcW w:w="1718" w:type="dxa"/>
            <w:shd w:val="pct15" w:color="auto" w:fill="auto"/>
          </w:tcPr>
          <w:p w14:paraId="1AC3E64F" w14:textId="77777777" w:rsidR="00C916CE" w:rsidRPr="0059190E" w:rsidRDefault="00C916CE" w:rsidP="00F37522">
            <w:pPr>
              <w:spacing w:after="0" w:line="240" w:lineRule="auto"/>
              <w:rPr>
                <w:rFonts w:asciiTheme="minorBidi" w:hAnsiTheme="minorBidi"/>
                <w:b/>
              </w:rPr>
            </w:pPr>
            <w:r w:rsidRPr="0059190E">
              <w:rPr>
                <w:rFonts w:asciiTheme="minorBidi" w:hAnsiTheme="minorBidi"/>
                <w:b/>
              </w:rPr>
              <w:t>Submission deadlines:</w:t>
            </w:r>
          </w:p>
          <w:p w14:paraId="6867310D" w14:textId="77777777" w:rsidR="00C916CE" w:rsidRPr="0059190E" w:rsidRDefault="00C916CE" w:rsidP="00F37522">
            <w:pPr>
              <w:spacing w:after="0" w:line="240" w:lineRule="auto"/>
              <w:rPr>
                <w:rFonts w:asciiTheme="minorBidi" w:hAnsiTheme="minorBidi"/>
                <w:b/>
              </w:rPr>
            </w:pPr>
          </w:p>
        </w:tc>
        <w:tc>
          <w:tcPr>
            <w:tcW w:w="3239" w:type="dxa"/>
            <w:shd w:val="clear" w:color="auto" w:fill="auto"/>
          </w:tcPr>
          <w:p w14:paraId="59D19D15" w14:textId="77777777" w:rsidR="00C916CE" w:rsidRPr="0059190E" w:rsidRDefault="00C916CE" w:rsidP="00F37522">
            <w:pPr>
              <w:spacing w:after="0" w:line="240" w:lineRule="auto"/>
              <w:rPr>
                <w:rFonts w:asciiTheme="minorBidi" w:hAnsiTheme="minorBidi"/>
                <w:b/>
              </w:rPr>
            </w:pPr>
            <w:r>
              <w:rPr>
                <w:rFonts w:asciiTheme="minorBidi" w:hAnsiTheme="minorBidi"/>
                <w:b/>
              </w:rPr>
              <w:t>Wednesday 26th</w:t>
            </w:r>
            <w:r w:rsidRPr="0059190E">
              <w:rPr>
                <w:rFonts w:asciiTheme="minorBidi" w:hAnsiTheme="minorBidi"/>
                <w:b/>
              </w:rPr>
              <w:t xml:space="preserve"> October 2022 by 23.55</w:t>
            </w:r>
          </w:p>
        </w:tc>
        <w:tc>
          <w:tcPr>
            <w:tcW w:w="2676" w:type="dxa"/>
            <w:shd w:val="pct15" w:color="auto" w:fill="auto"/>
          </w:tcPr>
          <w:p w14:paraId="598414E8" w14:textId="77777777" w:rsidR="00C916CE" w:rsidRPr="0059190E" w:rsidRDefault="00C916CE" w:rsidP="00F37522">
            <w:pPr>
              <w:spacing w:after="0" w:line="240" w:lineRule="auto"/>
              <w:rPr>
                <w:rFonts w:asciiTheme="minorBidi" w:hAnsiTheme="minorBidi"/>
                <w:b/>
                <w:sz w:val="20"/>
                <w:szCs w:val="20"/>
              </w:rPr>
            </w:pPr>
            <w:r w:rsidRPr="0059190E">
              <w:rPr>
                <w:rFonts w:asciiTheme="minorBidi" w:hAnsiTheme="minorBidi"/>
                <w:b/>
                <w:sz w:val="20"/>
                <w:szCs w:val="20"/>
              </w:rPr>
              <w:t>Return date of provisional marks &amp; written feedback:</w:t>
            </w:r>
          </w:p>
        </w:tc>
        <w:tc>
          <w:tcPr>
            <w:tcW w:w="1900" w:type="dxa"/>
          </w:tcPr>
          <w:p w14:paraId="3B22DFCC" w14:textId="77777777" w:rsidR="00C916CE" w:rsidRPr="0059190E" w:rsidRDefault="00C916CE" w:rsidP="00F37522">
            <w:pPr>
              <w:spacing w:after="0" w:line="240" w:lineRule="auto"/>
              <w:rPr>
                <w:rFonts w:asciiTheme="minorBidi" w:hAnsiTheme="minorBidi"/>
                <w:b/>
              </w:rPr>
            </w:pPr>
            <w:r w:rsidRPr="0059190E">
              <w:rPr>
                <w:rFonts w:asciiTheme="minorBidi" w:hAnsiTheme="minorBidi"/>
                <w:b/>
              </w:rPr>
              <w:t>28</w:t>
            </w:r>
            <w:r w:rsidRPr="0059190E">
              <w:rPr>
                <w:rFonts w:asciiTheme="minorBidi" w:hAnsiTheme="minorBidi"/>
                <w:b/>
                <w:vertAlign w:val="superscript"/>
              </w:rPr>
              <w:t>th</w:t>
            </w:r>
            <w:r>
              <w:rPr>
                <w:rFonts w:asciiTheme="minorBidi" w:hAnsiTheme="minorBidi"/>
                <w:b/>
                <w:vertAlign w:val="superscript"/>
              </w:rPr>
              <w:t xml:space="preserve"> </w:t>
            </w:r>
            <w:r w:rsidRPr="0059190E">
              <w:rPr>
                <w:rFonts w:asciiTheme="minorBidi" w:hAnsiTheme="minorBidi"/>
                <w:b/>
              </w:rPr>
              <w:t>November 2022</w:t>
            </w:r>
          </w:p>
        </w:tc>
      </w:tr>
    </w:tbl>
    <w:p w14:paraId="37D994E1" w14:textId="77777777" w:rsidR="00C916CE" w:rsidRDefault="00C916CE"/>
    <w:p w14:paraId="11FB9FCD" w14:textId="4F9DE301" w:rsidR="001834FC" w:rsidRDefault="001834FC"/>
    <w:p w14:paraId="0E64312A" w14:textId="73F329D3" w:rsidR="001834FC" w:rsidRDefault="001834FC"/>
    <w:p w14:paraId="52988457" w14:textId="77777777" w:rsidR="001834FC" w:rsidRDefault="001834FC">
      <w:r>
        <w:br w:type="page"/>
      </w:r>
    </w:p>
    <w:p w14:paraId="0BEB37EE" w14:textId="77777777" w:rsidR="001834FC" w:rsidRDefault="001834FC" w:rsidP="001834FC">
      <w:pPr>
        <w:pStyle w:val="Heading1"/>
        <w:sectPr w:rsidR="001834FC" w:rsidSect="001834FC">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NumType w:fmt="lowerRoman"/>
          <w:cols w:space="720"/>
          <w:docGrid w:linePitch="360"/>
        </w:sectPr>
      </w:pPr>
    </w:p>
    <w:p w14:paraId="194129F4" w14:textId="756AA5DC" w:rsidR="001834FC" w:rsidRDefault="001834FC" w:rsidP="001834FC">
      <w:pPr>
        <w:pStyle w:val="Heading1"/>
      </w:pPr>
      <w:bookmarkStart w:id="0" w:name="_Toc531564974"/>
      <w:r>
        <w:lastRenderedPageBreak/>
        <w:t>Introduction</w:t>
      </w:r>
      <w:bookmarkEnd w:id="0"/>
      <w:r>
        <w:t xml:space="preserve"> </w:t>
      </w:r>
    </w:p>
    <w:p w14:paraId="59574F6F" w14:textId="000956CE" w:rsidR="00842209" w:rsidRPr="0057591D" w:rsidRDefault="0057591D" w:rsidP="000F02BF">
      <w:pPr>
        <w:rPr>
          <w:rFonts w:ascii="Arial" w:hAnsi="Arial" w:cs="Arial"/>
        </w:rPr>
      </w:pPr>
      <w:r w:rsidRPr="0057591D">
        <w:rPr>
          <w:rFonts w:ascii="Arial" w:hAnsi="Arial" w:cs="Arial"/>
        </w:rPr>
        <w:t>The concept that a company and its management interact with a variety of workers at a variety of times throughout the entirety of the process of obtaining employment and ending it is referred to as "employee engagement," and the term "employee engagement" is referred to by the term "employee engagement." The concept known as the "employee life cycle" refers to the concept that during the course of an employee's employment with a company, that employee will go through a number of distinct phases in order to fulfill the service tasks that have been set for the business and accomplish the goals that have been set for the business. The phrase "employee life cycle" refers to the concept that during the course of an employee's employment with a company, that employee will go</w:t>
      </w:r>
      <w:r w:rsidR="00596D53">
        <w:rPr>
          <w:rFonts w:ascii="Arial" w:hAnsi="Arial" w:cs="Arial"/>
        </w:rPr>
        <w:t xml:space="preserve"> </w:t>
      </w:r>
      <w:r w:rsidR="00596D53" w:rsidRPr="00596D53">
        <w:rPr>
          <w:rFonts w:ascii="Arial" w:hAnsi="Arial" w:cs="Arial"/>
        </w:rPr>
        <w:t>(Burke, 2022)</w:t>
      </w:r>
      <w:r w:rsidR="00596D53">
        <w:rPr>
          <w:rFonts w:ascii="Arial" w:hAnsi="Arial" w:cs="Arial"/>
        </w:rPr>
        <w:t>.</w:t>
      </w:r>
      <w:r w:rsidRPr="0057591D">
        <w:rPr>
          <w:rFonts w:ascii="Arial" w:hAnsi="Arial" w:cs="Arial"/>
        </w:rPr>
        <w:t xml:space="preserve"> According to this, the operation has to deal with the factors from the very beginning of the job till the date of </w:t>
      </w:r>
      <w:r w:rsidR="00596D53">
        <w:rPr>
          <w:rFonts w:ascii="Arial" w:hAnsi="Arial" w:cs="Arial"/>
        </w:rPr>
        <w:t>retirement</w:t>
      </w:r>
      <w:r w:rsidRPr="0057591D">
        <w:rPr>
          <w:rFonts w:ascii="Arial" w:hAnsi="Arial" w:cs="Arial"/>
        </w:rPr>
        <w:t xml:space="preserve"> or discharge of the employee. This may be anywhere from the very beginning of the work to the date of retirement or release. When it comes to dealing with the many phases of employment that an employee goes through, proper management is essential, and the company has a responsibility to keep an eye on that</w:t>
      </w:r>
      <w:r w:rsidR="00596D53">
        <w:rPr>
          <w:rFonts w:ascii="Arial" w:hAnsi="Arial" w:cs="Arial"/>
        </w:rPr>
        <w:t xml:space="preserve"> </w:t>
      </w:r>
      <w:r w:rsidR="00596D53" w:rsidRPr="00596D53">
        <w:rPr>
          <w:rFonts w:ascii="Arial" w:hAnsi="Arial" w:cs="Arial"/>
        </w:rPr>
        <w:t>(Axford, 2014)</w:t>
      </w:r>
      <w:r w:rsidRPr="0057591D">
        <w:rPr>
          <w:rFonts w:ascii="Arial" w:hAnsi="Arial" w:cs="Arial"/>
        </w:rPr>
        <w:t>. Several facets of employee engagement and strategies for overcoming the challenges presented by the employee life cycle are discussed in this article.</w:t>
      </w:r>
    </w:p>
    <w:p w14:paraId="60817665" w14:textId="77777777" w:rsidR="00842209" w:rsidRDefault="00842209">
      <w:pPr>
        <w:spacing w:line="259" w:lineRule="auto"/>
        <w:jc w:val="left"/>
      </w:pPr>
      <w:r>
        <w:br w:type="page"/>
      </w:r>
    </w:p>
    <w:p w14:paraId="67D8045B" w14:textId="652C16A9" w:rsidR="00842209" w:rsidRDefault="00842209" w:rsidP="00C916CE">
      <w:pPr>
        <w:pStyle w:val="Heading1"/>
      </w:pPr>
      <w:r w:rsidRPr="00842209">
        <w:lastRenderedPageBreak/>
        <w:t>How to Engage Employees throughout the Employee Life Cycle</w:t>
      </w:r>
    </w:p>
    <w:p w14:paraId="3E1FA50D" w14:textId="269DD64C" w:rsidR="002B0D13" w:rsidRPr="0057591D" w:rsidRDefault="002B0D13" w:rsidP="000F02BF">
      <w:pPr>
        <w:rPr>
          <w:rFonts w:ascii="Arial" w:hAnsi="Arial" w:cs="Arial"/>
        </w:rPr>
      </w:pPr>
      <w:r w:rsidRPr="0057591D">
        <w:rPr>
          <w:rFonts w:ascii="Arial" w:hAnsi="Arial" w:cs="Arial"/>
        </w:rPr>
        <w:t>Managers of human resources are required to deal with the process of employee engagement in order to guarantee the creation of an influence on the members of the team. This can be accomplished by engaging in the employees' employee life cycle in order to guarantee their constant engagement</w:t>
      </w:r>
      <w:r w:rsidR="00596D53" w:rsidRPr="00596D53">
        <w:t xml:space="preserve"> </w:t>
      </w:r>
      <w:r w:rsidR="00596D53" w:rsidRPr="00596D53">
        <w:rPr>
          <w:rFonts w:ascii="Arial" w:hAnsi="Arial" w:cs="Arial"/>
        </w:rPr>
        <w:t>(Jhonson, 2021)</w:t>
      </w:r>
      <w:r w:rsidRPr="0057591D">
        <w:rPr>
          <w:rFonts w:ascii="Arial" w:hAnsi="Arial" w:cs="Arial"/>
        </w:rPr>
        <w:t>. The use of the employee life cycle guarantees the employee's level of performance and efficiency within the context of the workplace. This engagement in the employee life cycle enhances the degree of determination while giving the employee the opportunity to provide their effort to generate the greatest effect possible inside the organization</w:t>
      </w:r>
      <w:r w:rsidR="00596D53" w:rsidRPr="00596D53">
        <w:t xml:space="preserve"> </w:t>
      </w:r>
      <w:r w:rsidR="00596D53" w:rsidRPr="00596D53">
        <w:rPr>
          <w:rFonts w:ascii="Arial" w:hAnsi="Arial" w:cs="Arial"/>
        </w:rPr>
        <w:t>(Horn, 2009)</w:t>
      </w:r>
      <w:r w:rsidRPr="0057591D">
        <w:rPr>
          <w:rFonts w:ascii="Arial" w:hAnsi="Arial" w:cs="Arial"/>
        </w:rPr>
        <w:t>.</w:t>
      </w:r>
      <w:r w:rsidR="0057591D">
        <w:rPr>
          <w:rFonts w:ascii="Arial" w:hAnsi="Arial" w:cs="Arial"/>
        </w:rPr>
        <w:t xml:space="preserve"> In the hotel business, the management team has to ensure proper implication of employee engagement through the employee life cycle to create the best impact and to ensure the objectives of the organization in dealing with them.</w:t>
      </w:r>
    </w:p>
    <w:p w14:paraId="5B48AF63" w14:textId="70509B84" w:rsidR="002B0D13" w:rsidRPr="0057591D" w:rsidRDefault="00E5570A" w:rsidP="000F02BF">
      <w:pPr>
        <w:rPr>
          <w:rFonts w:ascii="Arial" w:hAnsi="Arial" w:cs="Arial"/>
        </w:rPr>
      </w:pPr>
      <w:r w:rsidRPr="0057591D">
        <w:rPr>
          <w:rFonts w:ascii="Arial" w:hAnsi="Arial" w:cs="Arial"/>
        </w:rPr>
        <w:t xml:space="preserve">There are several steps to </w:t>
      </w:r>
      <w:r w:rsidR="002B0D13" w:rsidRPr="0057591D">
        <w:rPr>
          <w:rFonts w:ascii="Arial" w:hAnsi="Arial" w:cs="Arial"/>
        </w:rPr>
        <w:t>understanding</w:t>
      </w:r>
      <w:r w:rsidRPr="0057591D">
        <w:rPr>
          <w:rFonts w:ascii="Arial" w:hAnsi="Arial" w:cs="Arial"/>
        </w:rPr>
        <w:t xml:space="preserve"> the life cycle of an employee. The process and the steps of performing </w:t>
      </w:r>
      <w:r w:rsidR="002B0D13" w:rsidRPr="0057591D">
        <w:rPr>
          <w:rFonts w:ascii="Arial" w:hAnsi="Arial" w:cs="Arial"/>
        </w:rPr>
        <w:t>differently.</w:t>
      </w:r>
      <w:r w:rsidRPr="0057591D">
        <w:rPr>
          <w:rFonts w:ascii="Arial" w:hAnsi="Arial" w:cs="Arial"/>
        </w:rPr>
        <w:t xml:space="preserve"> </w:t>
      </w:r>
      <w:r w:rsidR="002B0D13" w:rsidRPr="0057591D">
        <w:rPr>
          <w:rFonts w:ascii="Arial" w:hAnsi="Arial" w:cs="Arial"/>
        </w:rPr>
        <w:t>The</w:t>
      </w:r>
      <w:r w:rsidR="00842209" w:rsidRPr="0057591D">
        <w:rPr>
          <w:rFonts w:ascii="Arial" w:hAnsi="Arial" w:cs="Arial"/>
        </w:rPr>
        <w:t xml:space="preserve"> process of an employee being hired by a company is not the beginning of their career with that company. The very first time someone hears about a particular brand is the starting point</w:t>
      </w:r>
      <w:r w:rsidR="00596D53" w:rsidRPr="00596D53">
        <w:t xml:space="preserve"> </w:t>
      </w:r>
      <w:r w:rsidR="00596D53" w:rsidRPr="00596D53">
        <w:rPr>
          <w:rFonts w:ascii="Arial" w:hAnsi="Arial" w:cs="Arial"/>
        </w:rPr>
        <w:t>(Team, 2022)</w:t>
      </w:r>
      <w:r w:rsidR="00842209" w:rsidRPr="0057591D">
        <w:rPr>
          <w:rFonts w:ascii="Arial" w:hAnsi="Arial" w:cs="Arial"/>
        </w:rPr>
        <w:t>. The most talented workers won't even consider working for a firm that doesn't live up to its own standards. 55% of job applicants would stop applying once reading negative evaluations about a firm, and an astounding 92% of people would consider moving their present job for an opening with an organization that has a strong reputation</w:t>
      </w:r>
      <w:r w:rsidR="00596D53" w:rsidRPr="00596D53">
        <w:t xml:space="preserve"> </w:t>
      </w:r>
      <w:r w:rsidR="00596D53" w:rsidRPr="00596D53">
        <w:rPr>
          <w:rFonts w:ascii="Arial" w:hAnsi="Arial" w:cs="Arial"/>
        </w:rPr>
        <w:t>(Caughlin, 2018)</w:t>
      </w:r>
      <w:r w:rsidR="00842209" w:rsidRPr="0057591D">
        <w:rPr>
          <w:rFonts w:ascii="Arial" w:hAnsi="Arial" w:cs="Arial"/>
        </w:rPr>
        <w:t>. This demonstrates the power of the corporate image, which is very real.</w:t>
      </w:r>
      <w:r w:rsidR="002B0D13" w:rsidRPr="0057591D">
        <w:rPr>
          <w:rFonts w:ascii="Arial" w:hAnsi="Arial" w:cs="Arial"/>
        </w:rPr>
        <w:t xml:space="preserve"> In this case, the employee looks for the most reputed organization to meet all the requirements and qualifications, and then they go for the organization with the most reputation in the market.</w:t>
      </w:r>
    </w:p>
    <w:p w14:paraId="4F099767" w14:textId="64AE3334" w:rsidR="00975280" w:rsidRPr="0057591D" w:rsidRDefault="002B0D13" w:rsidP="000F02BF">
      <w:pPr>
        <w:rPr>
          <w:rFonts w:ascii="Arial" w:hAnsi="Arial" w:cs="Arial"/>
        </w:rPr>
      </w:pPr>
      <w:r w:rsidRPr="0057591D">
        <w:rPr>
          <w:rFonts w:ascii="Arial" w:hAnsi="Arial" w:cs="Arial"/>
        </w:rPr>
        <w:t>The recruitment process starts after the application of the candidate has been received. In this process, the recruiting process at a company might be improved with the assistance of employee life cycle surveys</w:t>
      </w:r>
      <w:r w:rsidR="00596D53" w:rsidRPr="00596D53">
        <w:t xml:space="preserve"> </w:t>
      </w:r>
      <w:r w:rsidR="00596D53" w:rsidRPr="00596D53">
        <w:rPr>
          <w:rFonts w:ascii="Arial" w:hAnsi="Arial" w:cs="Arial"/>
        </w:rPr>
        <w:t>(Friedman, 2012)</w:t>
      </w:r>
      <w:r w:rsidRPr="0057591D">
        <w:rPr>
          <w:rFonts w:ascii="Arial" w:hAnsi="Arial" w:cs="Arial"/>
        </w:rPr>
        <w:t xml:space="preserve">. Asking recently hired employees what they like most about the recruiting process and what aspects may need some improvement. Individuals may also take the expressing personal pulse on a range of important engagement criteria and then monitor how their sentiments evolve over time. This will provide them significant insight into how the company impacts new recruits and </w:t>
      </w:r>
      <w:r w:rsidRPr="0057591D">
        <w:rPr>
          <w:rFonts w:ascii="Arial" w:hAnsi="Arial" w:cs="Arial"/>
        </w:rPr>
        <w:lastRenderedPageBreak/>
        <w:t>offers the ability to improve it. Recruiting people from varied backgrounds is the first step in building a diverse staff</w:t>
      </w:r>
      <w:r w:rsidR="00596D53" w:rsidRPr="00596D53">
        <w:t xml:space="preserve"> </w:t>
      </w:r>
      <w:r w:rsidR="00596D53" w:rsidRPr="00596D53">
        <w:rPr>
          <w:rFonts w:ascii="Arial" w:hAnsi="Arial" w:cs="Arial"/>
        </w:rPr>
        <w:t>(Bradford, 2022)</w:t>
      </w:r>
      <w:r w:rsidRPr="0057591D">
        <w:rPr>
          <w:rFonts w:ascii="Arial" w:hAnsi="Arial" w:cs="Arial"/>
        </w:rPr>
        <w:t>. To ensure that diversity and inclusion are given top priority throughout the recruiting process, it is important to eliminate any potential sources of prejudice. Individuals are able to construct offers of several types of interviewers and thereafter teach them how to combat their own implicit bias, in addition to the topics that they are required to avoid while conducting interviews. One should also prevent restricting themselves to a small number of different recruitment channels. Rather than doing that, one should educate themselves on all of the channels that today's diverse workforce utilizes, and then maybe that person should use those channels to communicate with possible applicants</w:t>
      </w:r>
      <w:r w:rsidR="00596D53">
        <w:rPr>
          <w:rFonts w:ascii="Arial" w:hAnsi="Arial" w:cs="Arial"/>
        </w:rPr>
        <w:t xml:space="preserve"> </w:t>
      </w:r>
      <w:r w:rsidR="00596D53" w:rsidRPr="00596D53">
        <w:rPr>
          <w:rFonts w:ascii="Arial" w:hAnsi="Arial" w:cs="Arial"/>
        </w:rPr>
        <w:t>(Armstrong and Taylor, 2020)</w:t>
      </w:r>
      <w:r w:rsidRPr="0057591D">
        <w:rPr>
          <w:rFonts w:ascii="Arial" w:hAnsi="Arial" w:cs="Arial"/>
        </w:rPr>
        <w:t xml:space="preserve">. Finally, in order to maintain the vibrancy and vitality of </w:t>
      </w:r>
      <w:r w:rsidR="00975280" w:rsidRPr="0057591D">
        <w:rPr>
          <w:rFonts w:ascii="Arial" w:hAnsi="Arial" w:cs="Arial"/>
        </w:rPr>
        <w:t>a</w:t>
      </w:r>
      <w:r w:rsidRPr="0057591D">
        <w:rPr>
          <w:rFonts w:ascii="Arial" w:hAnsi="Arial" w:cs="Arial"/>
        </w:rPr>
        <w:t xml:space="preserve"> company, </w:t>
      </w:r>
      <w:r w:rsidR="00975280" w:rsidRPr="0057591D">
        <w:rPr>
          <w:rFonts w:ascii="Arial" w:hAnsi="Arial" w:cs="Arial"/>
        </w:rPr>
        <w:t>they</w:t>
      </w:r>
      <w:r w:rsidRPr="0057591D">
        <w:rPr>
          <w:rFonts w:ascii="Arial" w:hAnsi="Arial" w:cs="Arial"/>
        </w:rPr>
        <w:t xml:space="preserve"> should emphasize the incorporation of new viewpoints and ask applicants questions that indicate the range of thinking they possess.</w:t>
      </w:r>
    </w:p>
    <w:p w14:paraId="64B3341B" w14:textId="3C29FACF" w:rsidR="00975280" w:rsidRPr="0057591D" w:rsidRDefault="00975280" w:rsidP="000F02BF">
      <w:pPr>
        <w:rPr>
          <w:rFonts w:ascii="Arial" w:hAnsi="Arial" w:cs="Arial"/>
        </w:rPr>
      </w:pPr>
      <w:r w:rsidRPr="0057591D">
        <w:rPr>
          <w:rFonts w:ascii="Arial" w:hAnsi="Arial" w:cs="Arial"/>
        </w:rPr>
        <w:t>Hiring and onboarding is the critical stage that follows recruiting and encompasses all that is required to transform the applicant into a high-performing employee who is adapted to the company culture. Providing the employee with information on the complexities of their new role, assisting them with administrative chores, and briefing them on the culture of the firm. Even when an employee does not possess a clear knowledge of the responsibilities associated with their position, they are not going to be successful working for your organization, despite the fact that this may seem to be an obvious point</w:t>
      </w:r>
      <w:r w:rsidR="00596D53" w:rsidRPr="00596D53">
        <w:t xml:space="preserve"> </w:t>
      </w:r>
      <w:r w:rsidR="00596D53" w:rsidRPr="00596D53">
        <w:rPr>
          <w:rFonts w:ascii="Arial" w:hAnsi="Arial" w:cs="Arial"/>
        </w:rPr>
        <w:t>(Cutolo and Taubenfeld, 2022)</w:t>
      </w:r>
      <w:r w:rsidRPr="0057591D">
        <w:rPr>
          <w:rFonts w:ascii="Arial" w:hAnsi="Arial" w:cs="Arial"/>
        </w:rPr>
        <w:t>. Uncertainty and dissatisfaction are two outcomes that may result from poorly written job descriptions or from a failure to explain clearly and unambiguous the demands and obligations of the new employee. Employees are left with a sense of disorientation when the onboarding process is abruptly terminated, despite the fact that this stage of the process would most likely be the most demanding one</w:t>
      </w:r>
      <w:r w:rsidR="00596D53">
        <w:rPr>
          <w:rFonts w:ascii="Arial" w:hAnsi="Arial" w:cs="Arial"/>
        </w:rPr>
        <w:t xml:space="preserve"> </w:t>
      </w:r>
      <w:r w:rsidR="00596D53" w:rsidRPr="00596D53">
        <w:rPr>
          <w:rFonts w:ascii="Arial" w:hAnsi="Arial" w:cs="Arial"/>
        </w:rPr>
        <w:t>(Axford, 2014)</w:t>
      </w:r>
      <w:r w:rsidRPr="0057591D">
        <w:rPr>
          <w:rFonts w:ascii="Arial" w:hAnsi="Arial" w:cs="Arial"/>
        </w:rPr>
        <w:t xml:space="preserve">. Explain and show everything that is important to the employee's role with great care, and motivate the employee to speak up both at the beginning and during the training to ensure that they thoroughly grasp everything. Instead, the onboarding process should include components that remain at a minimum </w:t>
      </w:r>
      <w:r w:rsidR="00596D53">
        <w:rPr>
          <w:rFonts w:ascii="Arial" w:hAnsi="Arial" w:cs="Arial"/>
        </w:rPr>
        <w:t xml:space="preserve">during </w:t>
      </w:r>
      <w:r w:rsidRPr="0057591D">
        <w:rPr>
          <w:rFonts w:ascii="Arial" w:hAnsi="Arial" w:cs="Arial"/>
        </w:rPr>
        <w:t>the very first year during which the potential employee is working for the firm</w:t>
      </w:r>
      <w:r w:rsidR="00596D53">
        <w:rPr>
          <w:rFonts w:ascii="Arial" w:hAnsi="Arial" w:cs="Arial"/>
        </w:rPr>
        <w:t xml:space="preserve"> </w:t>
      </w:r>
      <w:r w:rsidR="00596D53" w:rsidRPr="00596D53">
        <w:rPr>
          <w:rFonts w:ascii="Arial" w:hAnsi="Arial" w:cs="Arial"/>
        </w:rPr>
        <w:t>(Torrington and Atkinson, 2020)</w:t>
      </w:r>
      <w:r w:rsidRPr="0057591D">
        <w:rPr>
          <w:rFonts w:ascii="Arial" w:hAnsi="Arial" w:cs="Arial"/>
        </w:rPr>
        <w:t xml:space="preserve">. These components might include frequent check-ins as well as training review sessions or updates. Keeping </w:t>
      </w:r>
      <w:r w:rsidRPr="0057591D">
        <w:rPr>
          <w:rFonts w:ascii="Arial" w:hAnsi="Arial" w:cs="Arial"/>
        </w:rPr>
        <w:lastRenderedPageBreak/>
        <w:t>this link will ensure that workers stay on track and remain engaged throughout the beginning stages of their careers as well as afterward.</w:t>
      </w:r>
    </w:p>
    <w:p w14:paraId="16CE8ACD" w14:textId="3805B970" w:rsidR="00BF1618" w:rsidRPr="0057591D" w:rsidRDefault="00975280" w:rsidP="000F02BF">
      <w:pPr>
        <w:rPr>
          <w:rFonts w:ascii="Arial" w:hAnsi="Arial" w:cs="Arial"/>
        </w:rPr>
      </w:pPr>
      <w:r w:rsidRPr="0057591D">
        <w:rPr>
          <w:rFonts w:ascii="Arial" w:hAnsi="Arial" w:cs="Arial"/>
        </w:rPr>
        <w:t xml:space="preserve">The process of retaining employees is one that begins after an organization has successfully hired someone and begun to integrate them into its daily operations. This is a hard industry that starts as soon as </w:t>
      </w:r>
      <w:r w:rsidR="00BF1618" w:rsidRPr="0057591D">
        <w:rPr>
          <w:rFonts w:ascii="Arial" w:hAnsi="Arial" w:cs="Arial"/>
        </w:rPr>
        <w:t xml:space="preserve">a </w:t>
      </w:r>
      <w:r w:rsidRPr="0057591D">
        <w:rPr>
          <w:rFonts w:ascii="Arial" w:hAnsi="Arial" w:cs="Arial"/>
        </w:rPr>
        <w:t>new person is brought on board</w:t>
      </w:r>
      <w:r w:rsidR="00596D53">
        <w:rPr>
          <w:rFonts w:ascii="Arial" w:hAnsi="Arial" w:cs="Arial"/>
        </w:rPr>
        <w:t xml:space="preserve"> </w:t>
      </w:r>
      <w:r w:rsidR="00596D53" w:rsidRPr="00596D53">
        <w:rPr>
          <w:rFonts w:ascii="Arial" w:hAnsi="Arial" w:cs="Arial"/>
        </w:rPr>
        <w:t>(Johnston and Clark, 2012)</w:t>
      </w:r>
      <w:r w:rsidRPr="0057591D">
        <w:rPr>
          <w:rFonts w:ascii="Arial" w:hAnsi="Arial" w:cs="Arial"/>
        </w:rPr>
        <w:t>. The organization has a responsibility to guarantee that the recruited workers and other members of the team can trust the organization at all times to deal with the many components of the organizational force to accomplish the goals. The rate at which an organization is able to keep its employees, as well as the quality of the work that its teams produce, can both be improved by cultivating a culture of winning within the organization as well as by providing appropriate recognition for the work that employees do while performing their duties within the organization.</w:t>
      </w:r>
    </w:p>
    <w:p w14:paraId="1B649414" w14:textId="4561C661" w:rsidR="003660CA" w:rsidRPr="0057591D" w:rsidRDefault="003660CA" w:rsidP="000F02BF">
      <w:pPr>
        <w:rPr>
          <w:rFonts w:ascii="Arial" w:hAnsi="Arial" w:cs="Arial"/>
        </w:rPr>
      </w:pPr>
      <w:r w:rsidRPr="0057591D">
        <w:rPr>
          <w:rFonts w:ascii="Arial" w:hAnsi="Arial" w:cs="Arial"/>
        </w:rPr>
        <w:t>The first step in developing a workforce is to adopt a mindset of continuous learning, which means seeing every day and every activity as an opportunity to acquire or hone a new skill or learn something completely new</w:t>
      </w:r>
      <w:r w:rsidR="00596D53">
        <w:rPr>
          <w:rFonts w:ascii="Arial" w:hAnsi="Arial" w:cs="Arial"/>
        </w:rPr>
        <w:t xml:space="preserve"> </w:t>
      </w:r>
      <w:r w:rsidR="00596D53" w:rsidRPr="00596D53">
        <w:rPr>
          <w:rFonts w:ascii="Arial" w:hAnsi="Arial" w:cs="Arial"/>
        </w:rPr>
        <w:t>(Murton and O’Sullivan, 2010)</w:t>
      </w:r>
      <w:r w:rsidRPr="0057591D">
        <w:rPr>
          <w:rFonts w:ascii="Arial" w:hAnsi="Arial" w:cs="Arial"/>
        </w:rPr>
        <w:t>. For a more personalized education experience, one that enables the business to tailor the courses offered and even create specific learning pathways for each employee, so that they may get their education in the manner in which they find most helpful. Encourage workers to seek growth opportunities by providing financial support for them to do so, whether in the form of reimbursing them for the cost of attending a seminar or paying the cost of their tuition for academic background</w:t>
      </w:r>
      <w:r w:rsidR="00596D53">
        <w:rPr>
          <w:rFonts w:ascii="Arial" w:hAnsi="Arial" w:cs="Arial"/>
        </w:rPr>
        <w:t xml:space="preserve"> </w:t>
      </w:r>
      <w:r w:rsidR="00596D53" w:rsidRPr="00596D53">
        <w:rPr>
          <w:rFonts w:ascii="Arial" w:hAnsi="Arial" w:cs="Arial"/>
        </w:rPr>
        <w:t>(Gallagher, 2016)</w:t>
      </w:r>
      <w:r w:rsidRPr="0057591D">
        <w:rPr>
          <w:rFonts w:ascii="Arial" w:hAnsi="Arial" w:cs="Arial"/>
        </w:rPr>
        <w:t>. It gives the workers the possibility of obtaining it from virtually any location and to pursue growth in any way, at any time, and in whatever manner is most convenient for them. The management team can also promote knowledge sharing inside the firm by mentoring staff and holding regular meetings at which workers may discuss their own experiences and the lessons they have learned the hard way</w:t>
      </w:r>
      <w:r w:rsidR="00596D53">
        <w:rPr>
          <w:rFonts w:ascii="Arial" w:hAnsi="Arial" w:cs="Arial"/>
        </w:rPr>
        <w:t xml:space="preserve"> </w:t>
      </w:r>
      <w:r w:rsidR="00596D53" w:rsidRPr="00596D53">
        <w:rPr>
          <w:rFonts w:ascii="Arial" w:hAnsi="Arial" w:cs="Arial"/>
        </w:rPr>
        <w:t>(Taylor, 2022)</w:t>
      </w:r>
      <w:r w:rsidRPr="0057591D">
        <w:rPr>
          <w:rFonts w:ascii="Arial" w:hAnsi="Arial" w:cs="Arial"/>
        </w:rPr>
        <w:t>. An organization is therefore in a position to monitor its advancement and assess whether or not its growth goals are being accomplished. All of the workers will continue to be driven to improve themselves if credit is given to those who succeed in meeting their professional development objectives.</w:t>
      </w:r>
    </w:p>
    <w:p w14:paraId="1133F87D" w14:textId="0975B73A" w:rsidR="001834FC" w:rsidRDefault="003660CA" w:rsidP="000F02BF">
      <w:r w:rsidRPr="0057591D">
        <w:rPr>
          <w:rFonts w:ascii="Arial" w:hAnsi="Arial" w:cs="Arial"/>
        </w:rPr>
        <w:lastRenderedPageBreak/>
        <w:t>Retirement or other post-employment acts mark the end of an employee's life cycle as an active participant in an organization. It is the standard operating procedure to employ a variety of people in order to maintain all of the phases and components of the life cycle in an active state. Nevertheless, there are certain options where workers will look for other alternatives to begin their careers from various jobs before they retire. These decisions might be difficult. The termination of an employee does not automatically necessarily have to be a stressful or unpleasant affair. Consider</w:t>
      </w:r>
      <w:r w:rsidR="0057591D">
        <w:rPr>
          <w:rFonts w:ascii="Arial" w:hAnsi="Arial" w:cs="Arial"/>
        </w:rPr>
        <w:t>ing</w:t>
      </w:r>
      <w:r w:rsidRPr="0057591D">
        <w:rPr>
          <w:rFonts w:ascii="Arial" w:hAnsi="Arial" w:cs="Arial"/>
        </w:rPr>
        <w:t xml:space="preserve"> it an opportunity to learn instead, as well as a chance to transform the former worker into an ambassador for the firm who will remain loyal to it throughout their life</w:t>
      </w:r>
      <w:r w:rsidR="00596D53">
        <w:rPr>
          <w:rFonts w:ascii="Arial" w:hAnsi="Arial" w:cs="Arial"/>
        </w:rPr>
        <w:t xml:space="preserve"> </w:t>
      </w:r>
      <w:r w:rsidR="00596D53" w:rsidRPr="00596D53">
        <w:rPr>
          <w:rFonts w:ascii="Arial" w:hAnsi="Arial" w:cs="Arial"/>
        </w:rPr>
        <w:t>(Editorial, 2022)</w:t>
      </w:r>
      <w:r w:rsidRPr="0057591D">
        <w:rPr>
          <w:rFonts w:ascii="Arial" w:hAnsi="Arial" w:cs="Arial"/>
        </w:rPr>
        <w:t>. Changes in perspective and beginning to approach the purpose of the employee exit process as assisting the employee in taking the next stages of their professional path with dignity and self-assurance are necessary changes. The company will discover as a result of this that taking this method will, over the course of the next few years, result in consistent financial returns for the company as a whole</w:t>
      </w:r>
      <w:r w:rsidR="00596D53">
        <w:rPr>
          <w:rFonts w:ascii="Arial" w:hAnsi="Arial" w:cs="Arial"/>
        </w:rPr>
        <w:t xml:space="preserve"> </w:t>
      </w:r>
      <w:r w:rsidR="00596D53" w:rsidRPr="00596D53">
        <w:rPr>
          <w:rFonts w:ascii="Arial" w:hAnsi="Arial" w:cs="Arial"/>
        </w:rPr>
        <w:t>(Marchington and Wilkinson, 2016)</w:t>
      </w:r>
      <w:r w:rsidRPr="0057591D">
        <w:rPr>
          <w:rFonts w:ascii="Arial" w:hAnsi="Arial" w:cs="Arial"/>
        </w:rPr>
        <w:t>. They will be able to continue improving the effectiveness of the complete employee life cycle with the assistance of the data that they will have from conducting exit interviews with members of the team who are leaving.</w:t>
      </w:r>
      <w:r w:rsidR="001834FC">
        <w:br w:type="page"/>
      </w:r>
    </w:p>
    <w:p w14:paraId="0C5D1297" w14:textId="61773D90" w:rsidR="001834FC" w:rsidRDefault="001834FC" w:rsidP="001834FC">
      <w:pPr>
        <w:pStyle w:val="Heading1"/>
      </w:pPr>
      <w:bookmarkStart w:id="1" w:name="_Toc531564975"/>
      <w:r>
        <w:lastRenderedPageBreak/>
        <w:t>Conclusion</w:t>
      </w:r>
      <w:bookmarkEnd w:id="1"/>
      <w:r>
        <w:t xml:space="preserve"> </w:t>
      </w:r>
    </w:p>
    <w:p w14:paraId="3681A04B" w14:textId="4B0C0F12" w:rsidR="001834FC" w:rsidRDefault="0057591D" w:rsidP="00B25A26">
      <w:r>
        <w:rPr>
          <w:rFonts w:ascii="Arial" w:hAnsi="Arial" w:cs="Arial"/>
        </w:rPr>
        <w:t xml:space="preserve">Engagement with the employees </w:t>
      </w:r>
      <w:r w:rsidR="00B25A26">
        <w:rPr>
          <w:rFonts w:ascii="Arial" w:hAnsi="Arial" w:cs="Arial"/>
        </w:rPr>
        <w:t>is</w:t>
      </w:r>
      <w:r>
        <w:rPr>
          <w:rFonts w:ascii="Arial" w:hAnsi="Arial" w:cs="Arial"/>
        </w:rPr>
        <w:t xml:space="preserve"> crucial. In </w:t>
      </w:r>
      <w:r w:rsidR="00B25A26">
        <w:rPr>
          <w:rFonts w:ascii="Arial" w:hAnsi="Arial" w:cs="Arial"/>
        </w:rPr>
        <w:t xml:space="preserve">a </w:t>
      </w:r>
      <w:r>
        <w:rPr>
          <w:rFonts w:ascii="Arial" w:hAnsi="Arial" w:cs="Arial"/>
        </w:rPr>
        <w:t xml:space="preserve">hotel business organization, the whole team has to perform according to the business and organizational objectives. </w:t>
      </w:r>
      <w:r w:rsidR="00B25A26">
        <w:rPr>
          <w:rFonts w:ascii="Arial" w:hAnsi="Arial" w:cs="Arial"/>
        </w:rPr>
        <w:t xml:space="preserve">In this process, the organization gets the opportunity to create a positive impact on its employees. In the hotel business, proper monitoring and enhancing a proper workplace environment is quite crucial. The implication of the employee life cycle and participating through that allows the employees to grow efficiently and increase their internal bonding to perform their best. Leadership qualities are easily developed and the way of dealing becomes much easier for human resource managers. </w:t>
      </w:r>
      <w:r w:rsidR="00B25A26" w:rsidRPr="00B25A26">
        <w:rPr>
          <w:rFonts w:ascii="Arial" w:hAnsi="Arial" w:cs="Arial"/>
        </w:rPr>
        <w:t xml:space="preserve">The overall employee involvement will be strengthened by a better understanding of, and the development of, initiatives for, each stage. Over the course of time, it will be able to evaluate all of the efforts and </w:t>
      </w:r>
      <w:r w:rsidR="00B25A26">
        <w:rPr>
          <w:rFonts w:ascii="Arial" w:hAnsi="Arial" w:cs="Arial"/>
        </w:rPr>
        <w:t xml:space="preserve">make adjustments appropriately. </w:t>
      </w:r>
      <w:r w:rsidR="00B25A26" w:rsidRPr="00B25A26">
        <w:rPr>
          <w:rFonts w:ascii="Arial" w:hAnsi="Arial" w:cs="Arial"/>
        </w:rPr>
        <w:t xml:space="preserve">In addition to that, this may be used in a variety of metrics including engagement data as a source of insights into the performance of all of the tactics. At the level of the individual manager and the department, this develops into intelligence that is meaningful. It would be beneficial for everyone if they acknowledge the contributions that workers have made to the company. </w:t>
      </w:r>
      <w:r w:rsidR="001834FC">
        <w:br w:type="page"/>
      </w:r>
    </w:p>
    <w:p w14:paraId="17598CB2" w14:textId="61EB02A2" w:rsidR="001834FC" w:rsidRDefault="001834FC" w:rsidP="001834FC">
      <w:pPr>
        <w:pStyle w:val="Heading1"/>
      </w:pPr>
      <w:bookmarkStart w:id="2" w:name="_Toc531564976"/>
      <w:r>
        <w:lastRenderedPageBreak/>
        <w:t>Reference</w:t>
      </w:r>
      <w:bookmarkEnd w:id="2"/>
      <w:r>
        <w:t xml:space="preserve"> </w:t>
      </w:r>
    </w:p>
    <w:p w14:paraId="0FD0F3B8" w14:textId="5DF59216" w:rsidR="000F02BF" w:rsidRDefault="003A68A3" w:rsidP="000F02BF">
      <w:pPr>
        <w:rPr>
          <w:rFonts w:ascii="Arial" w:hAnsi="Arial" w:cs="Arial"/>
        </w:rPr>
      </w:pPr>
      <w:r>
        <w:rPr>
          <w:rFonts w:ascii="Arial" w:hAnsi="Arial" w:cs="Arial"/>
        </w:rPr>
        <w:t xml:space="preserve">Armstrong, M. and Taylor, S., </w:t>
      </w:r>
      <w:r w:rsidR="00E23194">
        <w:rPr>
          <w:rFonts w:ascii="Arial" w:hAnsi="Arial" w:cs="Arial"/>
        </w:rPr>
        <w:t>(</w:t>
      </w:r>
      <w:r>
        <w:rPr>
          <w:rFonts w:ascii="Arial" w:hAnsi="Arial" w:cs="Arial"/>
        </w:rPr>
        <w:t>2020</w:t>
      </w:r>
      <w:r w:rsidR="00E23194">
        <w:rPr>
          <w:rFonts w:ascii="Arial" w:hAnsi="Arial" w:cs="Arial"/>
        </w:rPr>
        <w:t>)</w:t>
      </w:r>
      <w:r w:rsidRPr="003A68A3">
        <w:rPr>
          <w:rFonts w:ascii="Arial" w:hAnsi="Arial" w:cs="Arial"/>
        </w:rPr>
        <w:t xml:space="preserve"> </w:t>
      </w:r>
      <w:r w:rsidR="00E23194">
        <w:rPr>
          <w:rFonts w:ascii="Arial" w:hAnsi="Arial" w:cs="Arial"/>
        </w:rPr>
        <w:t>“</w:t>
      </w:r>
      <w:r w:rsidRPr="003A68A3">
        <w:rPr>
          <w:rFonts w:ascii="Arial" w:hAnsi="Arial" w:cs="Arial"/>
          <w:i/>
        </w:rPr>
        <w:t>Armstrong’s handbook of human resource management practice</w:t>
      </w:r>
      <w:r w:rsidR="00E23194">
        <w:rPr>
          <w:rFonts w:ascii="Arial" w:hAnsi="Arial" w:cs="Arial"/>
          <w:i/>
        </w:rPr>
        <w:t>”</w:t>
      </w:r>
      <w:r w:rsidRPr="003A68A3">
        <w:rPr>
          <w:rFonts w:ascii="Arial" w:hAnsi="Arial" w:cs="Arial"/>
        </w:rPr>
        <w:t>. 15th e</w:t>
      </w:r>
      <w:r w:rsidR="00E23194">
        <w:rPr>
          <w:rFonts w:ascii="Arial" w:hAnsi="Arial" w:cs="Arial"/>
        </w:rPr>
        <w:t>dition. London, United Kingdom</w:t>
      </w:r>
      <w:r w:rsidRPr="003A68A3">
        <w:rPr>
          <w:rFonts w:ascii="Arial" w:hAnsi="Arial" w:cs="Arial"/>
        </w:rPr>
        <w:t xml:space="preserve">: </w:t>
      </w:r>
      <w:r w:rsidR="00E23194">
        <w:rPr>
          <w:rFonts w:ascii="Arial" w:hAnsi="Arial" w:cs="Arial"/>
        </w:rPr>
        <w:t>Kogan Page</w:t>
      </w:r>
      <w:r w:rsidRPr="003A68A3">
        <w:rPr>
          <w:rFonts w:ascii="Arial" w:hAnsi="Arial" w:cs="Arial"/>
        </w:rPr>
        <w:t>.</w:t>
      </w:r>
    </w:p>
    <w:p w14:paraId="130700C6" w14:textId="72CDD35C" w:rsidR="00E23194" w:rsidRDefault="00E23194" w:rsidP="000F02BF">
      <w:pPr>
        <w:rPr>
          <w:rFonts w:ascii="Arial" w:hAnsi="Arial" w:cs="Arial"/>
        </w:rPr>
      </w:pPr>
      <w:r w:rsidRPr="00E23194">
        <w:rPr>
          <w:rFonts w:ascii="Arial" w:hAnsi="Arial" w:cs="Arial"/>
          <w:lang w:val="en-US"/>
        </w:rPr>
        <w:t>Axford, N.B. (</w:t>
      </w:r>
      <w:r>
        <w:rPr>
          <w:rFonts w:ascii="Arial" w:hAnsi="Arial" w:cs="Arial"/>
          <w:lang w:val="en-US"/>
        </w:rPr>
        <w:t>2014</w:t>
      </w:r>
      <w:r w:rsidRPr="00E23194">
        <w:rPr>
          <w:rFonts w:ascii="Arial" w:hAnsi="Arial" w:cs="Arial"/>
          <w:lang w:val="en-US"/>
        </w:rPr>
        <w:t xml:space="preserve">) “Personal liability of Personnel Managers,” </w:t>
      </w:r>
      <w:r w:rsidRPr="00E23194">
        <w:rPr>
          <w:rFonts w:ascii="Arial" w:hAnsi="Arial" w:cs="Arial"/>
          <w:i/>
          <w:iCs/>
          <w:lang w:val="en-US"/>
        </w:rPr>
        <w:t>Employment Relations Today</w:t>
      </w:r>
      <w:r w:rsidRPr="00E23194">
        <w:rPr>
          <w:rFonts w:ascii="Arial" w:hAnsi="Arial" w:cs="Arial"/>
          <w:lang w:val="en-US"/>
        </w:rPr>
        <w:t>, 11(1), pp. 86–93. Available at: https://</w:t>
      </w:r>
      <w:r>
        <w:rPr>
          <w:rFonts w:ascii="Arial" w:hAnsi="Arial" w:cs="Arial"/>
          <w:lang w:val="en-US"/>
        </w:rPr>
        <w:t>doi.org/10.1002/ert.3910110110.</w:t>
      </w:r>
    </w:p>
    <w:p w14:paraId="2E2A2A91" w14:textId="4F91AC01" w:rsidR="00FC0671" w:rsidRDefault="00E23194" w:rsidP="000F02BF">
      <w:pPr>
        <w:rPr>
          <w:rFonts w:ascii="Arial" w:hAnsi="Arial" w:cs="Arial"/>
        </w:rPr>
      </w:pPr>
      <w:r>
        <w:rPr>
          <w:rFonts w:ascii="Arial" w:hAnsi="Arial" w:cs="Arial"/>
        </w:rPr>
        <w:t>Bradford, C., (2022)</w:t>
      </w:r>
      <w:r w:rsidR="00FC0671" w:rsidRPr="003A68A3">
        <w:rPr>
          <w:rFonts w:ascii="Arial" w:hAnsi="Arial" w:cs="Arial"/>
        </w:rPr>
        <w:t> </w:t>
      </w:r>
      <w:r>
        <w:rPr>
          <w:rFonts w:ascii="Arial" w:hAnsi="Arial" w:cs="Arial"/>
        </w:rPr>
        <w:t>“</w:t>
      </w:r>
      <w:r>
        <w:rPr>
          <w:rFonts w:ascii="Arial" w:hAnsi="Arial" w:cs="Arial"/>
          <w:i/>
          <w:iCs/>
        </w:rPr>
        <w:t>The meaning</w:t>
      </w:r>
      <w:r w:rsidR="00FC0671" w:rsidRPr="003A68A3">
        <w:rPr>
          <w:rFonts w:ascii="Arial" w:hAnsi="Arial" w:cs="Arial"/>
          <w:i/>
          <w:iCs/>
        </w:rPr>
        <w:t xml:space="preserve"> behind </w:t>
      </w:r>
      <w:r w:rsidR="00FC0671">
        <w:rPr>
          <w:rFonts w:ascii="Arial" w:hAnsi="Arial" w:cs="Arial"/>
          <w:i/>
          <w:iCs/>
        </w:rPr>
        <w:t>Employee Engagement</w:t>
      </w:r>
      <w:r w:rsidR="00FC0671" w:rsidRPr="003A68A3">
        <w:rPr>
          <w:rFonts w:ascii="Arial" w:hAnsi="Arial" w:cs="Arial"/>
        </w:rPr>
        <w:t>. [Online] The US Sun. Available at: &lt;https://www.the-sun.com/lifestyle/469</w:t>
      </w:r>
      <w:r w:rsidR="00FC0671">
        <w:rPr>
          <w:rFonts w:ascii="Arial" w:hAnsi="Arial" w:cs="Arial"/>
        </w:rPr>
        <w:t>99</w:t>
      </w:r>
      <w:r w:rsidR="00FC0671" w:rsidRPr="003A68A3">
        <w:rPr>
          <w:rFonts w:ascii="Arial" w:hAnsi="Arial" w:cs="Arial"/>
        </w:rPr>
        <w:t>62/</w:t>
      </w:r>
      <w:r w:rsidR="00FC0671">
        <w:rPr>
          <w:rFonts w:ascii="Arial" w:hAnsi="Arial" w:cs="Arial"/>
        </w:rPr>
        <w:t>employee-engagement</w:t>
      </w:r>
      <w:r w:rsidR="00FC0671" w:rsidRPr="003A68A3">
        <w:rPr>
          <w:rFonts w:ascii="Arial" w:hAnsi="Arial" w:cs="Arial"/>
        </w:rPr>
        <w:t>/&gt; [Accessed 11 October 2022].</w:t>
      </w:r>
    </w:p>
    <w:p w14:paraId="221CD7F7" w14:textId="628D642F" w:rsidR="00FC0671" w:rsidRDefault="00FC0671" w:rsidP="00FC0671">
      <w:pPr>
        <w:rPr>
          <w:rFonts w:ascii="Arial" w:hAnsi="Arial" w:cs="Arial"/>
        </w:rPr>
      </w:pPr>
      <w:r w:rsidRPr="00FC0671">
        <w:rPr>
          <w:rFonts w:ascii="Arial" w:hAnsi="Arial" w:cs="Arial"/>
        </w:rPr>
        <w:t xml:space="preserve">Burke, O., </w:t>
      </w:r>
      <w:r w:rsidR="00E23194">
        <w:rPr>
          <w:rFonts w:ascii="Arial" w:hAnsi="Arial" w:cs="Arial"/>
        </w:rPr>
        <w:t>(</w:t>
      </w:r>
      <w:r w:rsidRPr="00FC0671">
        <w:rPr>
          <w:rFonts w:ascii="Arial" w:hAnsi="Arial" w:cs="Arial"/>
        </w:rPr>
        <w:t>2022</w:t>
      </w:r>
      <w:r w:rsidR="00E23194">
        <w:rPr>
          <w:rFonts w:ascii="Arial" w:hAnsi="Arial" w:cs="Arial"/>
        </w:rPr>
        <w:t>)</w:t>
      </w:r>
      <w:r w:rsidRPr="00FC0671">
        <w:rPr>
          <w:rFonts w:ascii="Arial" w:hAnsi="Arial" w:cs="Arial"/>
        </w:rPr>
        <w:t> </w:t>
      </w:r>
      <w:r w:rsidRPr="00FC0671">
        <w:rPr>
          <w:rFonts w:ascii="Arial" w:hAnsi="Arial" w:cs="Arial"/>
          <w:i/>
          <w:iCs/>
        </w:rPr>
        <w:t xml:space="preserve">Iconic </w:t>
      </w:r>
      <w:r w:rsidR="00016F78">
        <w:rPr>
          <w:rFonts w:ascii="Arial" w:hAnsi="Arial" w:cs="Arial"/>
          <w:i/>
          <w:iCs/>
        </w:rPr>
        <w:t>Employee Management and Employee Life Cycle.</w:t>
      </w:r>
      <w:r w:rsidRPr="00FC0671">
        <w:rPr>
          <w:rFonts w:ascii="Arial" w:hAnsi="Arial" w:cs="Arial"/>
        </w:rPr>
        <w:t xml:space="preserve"> [Online] The US Sun. Available at: &lt;https://www.the-sun.com/lifestyle/4</w:t>
      </w:r>
      <w:r w:rsidR="00016F78">
        <w:rPr>
          <w:rFonts w:ascii="Arial" w:hAnsi="Arial" w:cs="Arial"/>
        </w:rPr>
        <w:t>4343</w:t>
      </w:r>
      <w:r w:rsidRPr="00FC0671">
        <w:rPr>
          <w:rFonts w:ascii="Arial" w:hAnsi="Arial" w:cs="Arial"/>
        </w:rPr>
        <w:t>076/iconic-</w:t>
      </w:r>
      <w:r w:rsidR="00016F78">
        <w:rPr>
          <w:rFonts w:ascii="Arial" w:hAnsi="Arial" w:cs="Arial"/>
          <w:iCs/>
        </w:rPr>
        <w:t>e</w:t>
      </w:r>
      <w:r w:rsidR="00016F78" w:rsidRPr="00016F78">
        <w:rPr>
          <w:rFonts w:ascii="Arial" w:hAnsi="Arial" w:cs="Arial"/>
          <w:iCs/>
        </w:rPr>
        <w:t>mployee</w:t>
      </w:r>
      <w:r w:rsidR="00016F78">
        <w:rPr>
          <w:rFonts w:ascii="Arial" w:hAnsi="Arial" w:cs="Arial"/>
        </w:rPr>
        <w:t>-management</w:t>
      </w:r>
      <w:r w:rsidRPr="00FC0671">
        <w:rPr>
          <w:rFonts w:ascii="Arial" w:hAnsi="Arial" w:cs="Arial"/>
        </w:rPr>
        <w:t>-</w:t>
      </w:r>
      <w:r w:rsidR="00016F78">
        <w:rPr>
          <w:rFonts w:ascii="Arial" w:hAnsi="Arial" w:cs="Arial"/>
        </w:rPr>
        <w:t>employee</w:t>
      </w:r>
      <w:r w:rsidRPr="00FC0671">
        <w:rPr>
          <w:rFonts w:ascii="Arial" w:hAnsi="Arial" w:cs="Arial"/>
        </w:rPr>
        <w:t>-</w:t>
      </w:r>
      <w:r w:rsidR="00016F78" w:rsidRPr="00016F78">
        <w:t xml:space="preserve"> </w:t>
      </w:r>
      <w:r w:rsidR="00016F78" w:rsidRPr="00016F78">
        <w:rPr>
          <w:rFonts w:ascii="Arial" w:hAnsi="Arial" w:cs="Arial"/>
        </w:rPr>
        <w:t>lifecycle</w:t>
      </w:r>
      <w:r w:rsidRPr="00FC0671">
        <w:rPr>
          <w:rFonts w:ascii="Arial" w:hAnsi="Arial" w:cs="Arial"/>
        </w:rPr>
        <w:t>/&gt; [Accessed 11 October 2022].</w:t>
      </w:r>
    </w:p>
    <w:p w14:paraId="7D15991C" w14:textId="6A433696" w:rsidR="00016F78" w:rsidRPr="00016F78" w:rsidRDefault="00016F78" w:rsidP="00FC0671">
      <w:pPr>
        <w:rPr>
          <w:rFonts w:ascii="Arial" w:hAnsi="Arial" w:cs="Arial"/>
          <w:lang w:val="en-US"/>
        </w:rPr>
      </w:pPr>
      <w:r w:rsidRPr="00016F78">
        <w:rPr>
          <w:rFonts w:ascii="Arial" w:hAnsi="Arial" w:cs="Arial"/>
          <w:lang w:val="en-US"/>
        </w:rPr>
        <w:t xml:space="preserve">Caughlin, D.E. (2018) “People analytics,” </w:t>
      </w:r>
      <w:r w:rsidRPr="00016F78">
        <w:rPr>
          <w:rFonts w:ascii="Arial" w:hAnsi="Arial" w:cs="Arial"/>
          <w:i/>
          <w:iCs/>
          <w:lang w:val="en-US"/>
        </w:rPr>
        <w:t>Management</w:t>
      </w:r>
      <w:r w:rsidRPr="00016F78">
        <w:rPr>
          <w:rFonts w:ascii="Arial" w:hAnsi="Arial" w:cs="Arial"/>
          <w:lang w:val="en-US"/>
        </w:rPr>
        <w:t xml:space="preserve"> [Preprint]. Available at: https://doi.org/</w:t>
      </w:r>
      <w:r>
        <w:rPr>
          <w:rFonts w:ascii="Arial" w:hAnsi="Arial" w:cs="Arial"/>
          <w:lang w:val="en-US"/>
        </w:rPr>
        <w:t>10.1093/obo/9780199846740-0138.</w:t>
      </w:r>
    </w:p>
    <w:p w14:paraId="4795DF65" w14:textId="20F75A7F" w:rsidR="00FC0671" w:rsidRPr="00FC0671" w:rsidRDefault="00FC0671" w:rsidP="00FC0671">
      <w:pPr>
        <w:rPr>
          <w:rFonts w:ascii="Arial" w:hAnsi="Arial" w:cs="Arial"/>
        </w:rPr>
      </w:pPr>
      <w:r w:rsidRPr="00FC0671">
        <w:rPr>
          <w:rFonts w:ascii="Arial" w:hAnsi="Arial" w:cs="Arial"/>
        </w:rPr>
        <w:t xml:space="preserve">Cutolo, M. and Taubenfeld, E., </w:t>
      </w:r>
      <w:r w:rsidR="00E23194">
        <w:rPr>
          <w:rFonts w:ascii="Arial" w:hAnsi="Arial" w:cs="Arial"/>
        </w:rPr>
        <w:t>(</w:t>
      </w:r>
      <w:r w:rsidR="00E23194" w:rsidRPr="00FC0671">
        <w:rPr>
          <w:rFonts w:ascii="Arial" w:hAnsi="Arial" w:cs="Arial"/>
        </w:rPr>
        <w:t>2022</w:t>
      </w:r>
      <w:r w:rsidR="00E23194">
        <w:rPr>
          <w:rFonts w:ascii="Arial" w:hAnsi="Arial" w:cs="Arial"/>
        </w:rPr>
        <w:t>)</w:t>
      </w:r>
      <w:r w:rsidRPr="00FC0671">
        <w:rPr>
          <w:rFonts w:ascii="Arial" w:hAnsi="Arial" w:cs="Arial"/>
        </w:rPr>
        <w:t> </w:t>
      </w:r>
      <w:r w:rsidRPr="00FC0671">
        <w:rPr>
          <w:rFonts w:ascii="Arial" w:hAnsi="Arial" w:cs="Arial"/>
          <w:i/>
          <w:iCs/>
        </w:rPr>
        <w:t>The Hidden Detail o</w:t>
      </w:r>
      <w:r>
        <w:rPr>
          <w:rFonts w:ascii="Arial" w:hAnsi="Arial" w:cs="Arial"/>
          <w:i/>
          <w:iCs/>
        </w:rPr>
        <w:t>f the Employee Life Cycle in Hotel Business Management</w:t>
      </w:r>
      <w:r w:rsidRPr="00FC0671">
        <w:rPr>
          <w:rFonts w:ascii="Arial" w:hAnsi="Arial" w:cs="Arial"/>
        </w:rPr>
        <w:t>. [Online] Reader's Digest. Available at: &lt;https://www.rd.com/article/</w:t>
      </w:r>
      <w:r>
        <w:rPr>
          <w:rFonts w:ascii="Arial" w:hAnsi="Arial" w:cs="Arial"/>
        </w:rPr>
        <w:t>employee</w:t>
      </w:r>
      <w:r w:rsidRPr="00FC0671">
        <w:rPr>
          <w:rFonts w:ascii="Arial" w:hAnsi="Arial" w:cs="Arial"/>
        </w:rPr>
        <w:t>-</w:t>
      </w:r>
      <w:r>
        <w:rPr>
          <w:rFonts w:ascii="Arial" w:hAnsi="Arial" w:cs="Arial"/>
        </w:rPr>
        <w:t>lifecycle</w:t>
      </w:r>
      <w:r w:rsidRPr="00FC0671">
        <w:rPr>
          <w:rFonts w:ascii="Arial" w:hAnsi="Arial" w:cs="Arial"/>
        </w:rPr>
        <w:t>-</w:t>
      </w:r>
      <w:r>
        <w:rPr>
          <w:rFonts w:ascii="Arial" w:hAnsi="Arial" w:cs="Arial"/>
        </w:rPr>
        <w:t>hotel</w:t>
      </w:r>
      <w:r w:rsidRPr="00FC0671">
        <w:rPr>
          <w:rFonts w:ascii="Arial" w:hAnsi="Arial" w:cs="Arial"/>
        </w:rPr>
        <w:t>/&gt; [Accessed 11 October 2022].</w:t>
      </w:r>
    </w:p>
    <w:p w14:paraId="6F45AED0" w14:textId="3B5E4D62" w:rsidR="00FC0671" w:rsidRDefault="00FC0671" w:rsidP="00FC0671">
      <w:pPr>
        <w:rPr>
          <w:rFonts w:ascii="Arial" w:hAnsi="Arial" w:cs="Arial"/>
        </w:rPr>
      </w:pPr>
      <w:r w:rsidRPr="00FC0671">
        <w:rPr>
          <w:rFonts w:ascii="Arial" w:hAnsi="Arial" w:cs="Arial"/>
          <w:lang w:val="en-US"/>
        </w:rPr>
        <w:t xml:space="preserve">Editorial, C., </w:t>
      </w:r>
      <w:r w:rsidR="00E23194">
        <w:rPr>
          <w:rFonts w:ascii="Arial" w:hAnsi="Arial" w:cs="Arial"/>
        </w:rPr>
        <w:t>(</w:t>
      </w:r>
      <w:r w:rsidR="00E23194" w:rsidRPr="00FC0671">
        <w:rPr>
          <w:rFonts w:ascii="Arial" w:hAnsi="Arial" w:cs="Arial"/>
        </w:rPr>
        <w:t>2022</w:t>
      </w:r>
      <w:r w:rsidR="00E23194">
        <w:rPr>
          <w:rFonts w:ascii="Arial" w:hAnsi="Arial" w:cs="Arial"/>
        </w:rPr>
        <w:t>)</w:t>
      </w:r>
      <w:r w:rsidRPr="00FC0671">
        <w:rPr>
          <w:rFonts w:ascii="Arial" w:hAnsi="Arial" w:cs="Arial"/>
          <w:lang w:val="en-US"/>
        </w:rPr>
        <w:t xml:space="preserve"> The secret meaning behind </w:t>
      </w:r>
      <w:r>
        <w:rPr>
          <w:rFonts w:ascii="Arial" w:hAnsi="Arial" w:cs="Arial"/>
          <w:lang w:val="en-US"/>
        </w:rPr>
        <w:t xml:space="preserve">Employee Engagement. [Online] CrazyLeaf </w:t>
      </w:r>
      <w:r w:rsidRPr="00FC0671">
        <w:rPr>
          <w:rFonts w:ascii="Arial" w:hAnsi="Arial" w:cs="Arial"/>
          <w:lang w:val="en-US"/>
        </w:rPr>
        <w:t>Blog. Avail</w:t>
      </w:r>
      <w:r>
        <w:rPr>
          <w:rFonts w:ascii="Arial" w:hAnsi="Arial" w:cs="Arial"/>
          <w:lang w:val="en-US"/>
        </w:rPr>
        <w:t>able at: &lt;https://www.crazyleaf</w:t>
      </w:r>
      <w:r w:rsidRPr="00FC0671">
        <w:rPr>
          <w:rFonts w:ascii="Arial" w:hAnsi="Arial" w:cs="Arial"/>
          <w:lang w:val="en-US"/>
        </w:rPr>
        <w:t xml:space="preserve">.com/blog/meaning-behind- </w:t>
      </w:r>
      <w:r>
        <w:rPr>
          <w:rFonts w:ascii="Arial" w:hAnsi="Arial" w:cs="Arial"/>
          <w:lang w:val="en-US"/>
        </w:rPr>
        <w:t>employee</w:t>
      </w:r>
      <w:r w:rsidRPr="00FC0671">
        <w:rPr>
          <w:rFonts w:ascii="Arial" w:hAnsi="Arial" w:cs="Arial"/>
          <w:lang w:val="en-US"/>
        </w:rPr>
        <w:t xml:space="preserve">- </w:t>
      </w:r>
      <w:r>
        <w:rPr>
          <w:rFonts w:ascii="Arial" w:hAnsi="Arial" w:cs="Arial"/>
          <w:lang w:val="en-US"/>
        </w:rPr>
        <w:t>engagement</w:t>
      </w:r>
      <w:r w:rsidRPr="00FC0671">
        <w:rPr>
          <w:rFonts w:ascii="Arial" w:hAnsi="Arial" w:cs="Arial"/>
          <w:lang w:val="en-US"/>
        </w:rPr>
        <w:t>/&gt; [Accessed 11 October 2022].</w:t>
      </w:r>
    </w:p>
    <w:p w14:paraId="455DBD2D" w14:textId="542D5989" w:rsidR="003A68A3" w:rsidRDefault="003A68A3" w:rsidP="000F02BF">
      <w:pPr>
        <w:rPr>
          <w:rFonts w:ascii="Arial" w:hAnsi="Arial" w:cs="Arial"/>
        </w:rPr>
      </w:pPr>
      <w:r>
        <w:rPr>
          <w:rFonts w:ascii="Arial" w:hAnsi="Arial" w:cs="Arial"/>
        </w:rPr>
        <w:t xml:space="preserve">Friedman, A., </w:t>
      </w:r>
      <w:r w:rsidR="00E23194">
        <w:rPr>
          <w:rFonts w:ascii="Arial" w:hAnsi="Arial" w:cs="Arial"/>
        </w:rPr>
        <w:t>(2012)</w:t>
      </w:r>
      <w:r>
        <w:rPr>
          <w:rFonts w:ascii="Arial" w:hAnsi="Arial" w:cs="Arial"/>
        </w:rPr>
        <w:t xml:space="preserve"> </w:t>
      </w:r>
      <w:r w:rsidRPr="003A68A3">
        <w:rPr>
          <w:rFonts w:ascii="Arial" w:hAnsi="Arial" w:cs="Arial"/>
          <w:i/>
        </w:rPr>
        <w:t>Continuing professional development: lifelong learning of millions</w:t>
      </w:r>
      <w:r w:rsidRPr="003A68A3">
        <w:rPr>
          <w:rFonts w:ascii="Arial" w:hAnsi="Arial" w:cs="Arial"/>
        </w:rPr>
        <w:t>. London: Routledge.</w:t>
      </w:r>
    </w:p>
    <w:p w14:paraId="4D377A08" w14:textId="4DE3A3E3" w:rsidR="003A68A3" w:rsidRDefault="003A68A3" w:rsidP="003A68A3">
      <w:pPr>
        <w:rPr>
          <w:rFonts w:ascii="Arial" w:hAnsi="Arial" w:cs="Arial"/>
        </w:rPr>
      </w:pPr>
      <w:r w:rsidRPr="003A68A3">
        <w:rPr>
          <w:rFonts w:ascii="Arial" w:hAnsi="Arial" w:cs="Arial"/>
        </w:rPr>
        <w:t>Gallagher, K.</w:t>
      </w:r>
      <w:r>
        <w:rPr>
          <w:rFonts w:ascii="Arial" w:hAnsi="Arial" w:cs="Arial"/>
        </w:rPr>
        <w:t>,</w:t>
      </w:r>
      <w:r w:rsidRPr="003A68A3">
        <w:rPr>
          <w:rFonts w:ascii="Arial" w:hAnsi="Arial" w:cs="Arial"/>
        </w:rPr>
        <w:t xml:space="preserve"> </w:t>
      </w:r>
      <w:r w:rsidR="00E23194">
        <w:rPr>
          <w:rFonts w:ascii="Arial" w:hAnsi="Arial" w:cs="Arial"/>
        </w:rPr>
        <w:t>(</w:t>
      </w:r>
      <w:r w:rsidRPr="003A68A3">
        <w:rPr>
          <w:rFonts w:ascii="Arial" w:hAnsi="Arial" w:cs="Arial"/>
        </w:rPr>
        <w:t>2016</w:t>
      </w:r>
      <w:r w:rsidR="00E23194">
        <w:rPr>
          <w:rFonts w:ascii="Arial" w:hAnsi="Arial" w:cs="Arial"/>
        </w:rPr>
        <w:t>)</w:t>
      </w:r>
      <w:r w:rsidRPr="003A68A3">
        <w:rPr>
          <w:rFonts w:ascii="Arial" w:hAnsi="Arial" w:cs="Arial"/>
        </w:rPr>
        <w:t xml:space="preserve"> Essential study and employment skills for business and management students. Oxford: Oxford University Press.</w:t>
      </w:r>
    </w:p>
    <w:p w14:paraId="4E7B8D45" w14:textId="5D1A3414" w:rsidR="003A68A3" w:rsidRDefault="003A68A3" w:rsidP="003A68A3">
      <w:pPr>
        <w:rPr>
          <w:rFonts w:ascii="Arial" w:hAnsi="Arial" w:cs="Arial"/>
        </w:rPr>
      </w:pPr>
      <w:r>
        <w:rPr>
          <w:rFonts w:ascii="Arial" w:hAnsi="Arial" w:cs="Arial"/>
        </w:rPr>
        <w:t xml:space="preserve">Horn, R., </w:t>
      </w:r>
      <w:r w:rsidR="00E23194">
        <w:rPr>
          <w:rFonts w:ascii="Arial" w:hAnsi="Arial" w:cs="Arial"/>
        </w:rPr>
        <w:t>(</w:t>
      </w:r>
      <w:r w:rsidRPr="003A68A3">
        <w:rPr>
          <w:rFonts w:ascii="Arial" w:hAnsi="Arial" w:cs="Arial"/>
        </w:rPr>
        <w:t>2009</w:t>
      </w:r>
      <w:r w:rsidR="00E23194">
        <w:rPr>
          <w:rFonts w:ascii="Arial" w:hAnsi="Arial" w:cs="Arial"/>
        </w:rPr>
        <w:t>)</w:t>
      </w:r>
      <w:r w:rsidRPr="003A68A3">
        <w:rPr>
          <w:rFonts w:ascii="Arial" w:hAnsi="Arial" w:cs="Arial"/>
        </w:rPr>
        <w:t xml:space="preserve"> </w:t>
      </w:r>
      <w:r w:rsidR="00E23194" w:rsidRPr="00E23194">
        <w:rPr>
          <w:rFonts w:ascii="Arial" w:hAnsi="Arial" w:cs="Arial"/>
        </w:rPr>
        <w:t>“</w:t>
      </w:r>
      <w:r w:rsidRPr="00FC0671">
        <w:rPr>
          <w:rFonts w:ascii="Arial" w:hAnsi="Arial" w:cs="Arial"/>
          <w:i/>
          <w:iCs/>
        </w:rPr>
        <w:t>The business skills handbook</w:t>
      </w:r>
      <w:r w:rsidR="00E23194" w:rsidRPr="00E23194">
        <w:rPr>
          <w:rFonts w:ascii="Arial" w:hAnsi="Arial" w:cs="Arial"/>
        </w:rPr>
        <w:t xml:space="preserve">,” </w:t>
      </w:r>
      <w:r w:rsidRPr="003A68A3">
        <w:rPr>
          <w:rFonts w:ascii="Arial" w:hAnsi="Arial" w:cs="Arial"/>
        </w:rPr>
        <w:t>London: Chartered Institute of Personnel and Development.</w:t>
      </w:r>
    </w:p>
    <w:p w14:paraId="46784EDB" w14:textId="6A9FE452" w:rsidR="00E23194" w:rsidRDefault="00E23194" w:rsidP="003A68A3">
      <w:pPr>
        <w:rPr>
          <w:rFonts w:ascii="Arial" w:hAnsi="Arial" w:cs="Arial"/>
        </w:rPr>
      </w:pPr>
      <w:r w:rsidRPr="00E23194">
        <w:rPr>
          <w:rFonts w:ascii="Arial" w:hAnsi="Arial" w:cs="Arial"/>
        </w:rPr>
        <w:t>Jhonson, A. (2021) “Putting people first: People-oriented management,” Eastern Management, pp. 213–227. Available at: https://doi.org/10.1142/9789814440547_0004.</w:t>
      </w:r>
    </w:p>
    <w:p w14:paraId="033E7493" w14:textId="21BBECBE" w:rsidR="00FC0671" w:rsidRDefault="00FC0671" w:rsidP="003A68A3">
      <w:pPr>
        <w:rPr>
          <w:rFonts w:ascii="Arial" w:hAnsi="Arial" w:cs="Arial"/>
        </w:rPr>
      </w:pPr>
      <w:r w:rsidRPr="00FC0671">
        <w:rPr>
          <w:rFonts w:ascii="Arial" w:hAnsi="Arial" w:cs="Arial"/>
        </w:rPr>
        <w:lastRenderedPageBreak/>
        <w:t>Joh</w:t>
      </w:r>
      <w:r>
        <w:rPr>
          <w:rFonts w:ascii="Arial" w:hAnsi="Arial" w:cs="Arial"/>
        </w:rPr>
        <w:t xml:space="preserve">nston, R. Clark, G. Shulver, M., </w:t>
      </w:r>
      <w:r w:rsidR="00E23194">
        <w:rPr>
          <w:rFonts w:ascii="Arial" w:hAnsi="Arial" w:cs="Arial"/>
        </w:rPr>
        <w:t>(</w:t>
      </w:r>
      <w:r w:rsidRPr="00FC0671">
        <w:rPr>
          <w:rFonts w:ascii="Arial" w:hAnsi="Arial" w:cs="Arial"/>
        </w:rPr>
        <w:t>2012</w:t>
      </w:r>
      <w:r w:rsidR="00E23194">
        <w:rPr>
          <w:rFonts w:ascii="Arial" w:hAnsi="Arial" w:cs="Arial"/>
        </w:rPr>
        <w:t>)</w:t>
      </w:r>
      <w:r w:rsidRPr="00FC0671">
        <w:rPr>
          <w:rFonts w:ascii="Arial" w:hAnsi="Arial" w:cs="Arial"/>
        </w:rPr>
        <w:t xml:space="preserve"> </w:t>
      </w:r>
      <w:r w:rsidRPr="00FC0671">
        <w:rPr>
          <w:rFonts w:ascii="Arial" w:hAnsi="Arial" w:cs="Arial"/>
          <w:i/>
        </w:rPr>
        <w:t>Service Operations Management</w:t>
      </w:r>
      <w:r>
        <w:rPr>
          <w:rFonts w:ascii="Arial" w:hAnsi="Arial" w:cs="Arial"/>
        </w:rPr>
        <w:t>.</w:t>
      </w:r>
      <w:r w:rsidRPr="00FC0671">
        <w:rPr>
          <w:rFonts w:ascii="Arial" w:hAnsi="Arial" w:cs="Arial"/>
        </w:rPr>
        <w:t xml:space="preserve"> Pearson, London</w:t>
      </w:r>
      <w:r>
        <w:rPr>
          <w:rFonts w:ascii="Arial" w:hAnsi="Arial" w:cs="Arial"/>
        </w:rPr>
        <w:t>.</w:t>
      </w:r>
    </w:p>
    <w:p w14:paraId="326C6EC6" w14:textId="2DD50344" w:rsidR="00FC0671" w:rsidRDefault="00FC0671" w:rsidP="003A68A3">
      <w:pPr>
        <w:rPr>
          <w:rFonts w:ascii="Arial" w:hAnsi="Arial" w:cs="Arial"/>
        </w:rPr>
      </w:pPr>
      <w:r w:rsidRPr="00FC0671">
        <w:rPr>
          <w:rFonts w:ascii="Arial" w:hAnsi="Arial" w:cs="Arial"/>
        </w:rPr>
        <w:t>Marchington, M. and Wilkinson, A.</w:t>
      </w:r>
      <w:r>
        <w:rPr>
          <w:rFonts w:ascii="Arial" w:hAnsi="Arial" w:cs="Arial"/>
        </w:rPr>
        <w:t>,</w:t>
      </w:r>
      <w:r w:rsidRPr="00FC0671">
        <w:rPr>
          <w:rFonts w:ascii="Arial" w:hAnsi="Arial" w:cs="Arial"/>
        </w:rPr>
        <w:t xml:space="preserve"> </w:t>
      </w:r>
      <w:r w:rsidR="00E23194">
        <w:rPr>
          <w:rFonts w:ascii="Arial" w:hAnsi="Arial" w:cs="Arial"/>
        </w:rPr>
        <w:t>(</w:t>
      </w:r>
      <w:r w:rsidRPr="00FC0671">
        <w:rPr>
          <w:rFonts w:ascii="Arial" w:hAnsi="Arial" w:cs="Arial"/>
        </w:rPr>
        <w:t>2016</w:t>
      </w:r>
      <w:r w:rsidR="00E23194">
        <w:rPr>
          <w:rFonts w:ascii="Arial" w:hAnsi="Arial" w:cs="Arial"/>
        </w:rPr>
        <w:t>)</w:t>
      </w:r>
      <w:r w:rsidRPr="00FC0671">
        <w:rPr>
          <w:rFonts w:ascii="Arial" w:hAnsi="Arial" w:cs="Arial"/>
        </w:rPr>
        <w:t xml:space="preserve"> </w:t>
      </w:r>
      <w:r w:rsidRPr="00FC0671">
        <w:rPr>
          <w:rFonts w:ascii="Arial" w:hAnsi="Arial" w:cs="Arial"/>
          <w:i/>
        </w:rPr>
        <w:t>Human resource management at work</w:t>
      </w:r>
      <w:r w:rsidRPr="00FC0671">
        <w:rPr>
          <w:rFonts w:ascii="Arial" w:hAnsi="Arial" w:cs="Arial"/>
        </w:rPr>
        <w:t>. 6th ed. London: Chartered Institute of Personnel and Development.</w:t>
      </w:r>
    </w:p>
    <w:p w14:paraId="40CD3678" w14:textId="5DA87669" w:rsidR="00FC0671" w:rsidRDefault="00FC0671" w:rsidP="003A68A3">
      <w:pPr>
        <w:rPr>
          <w:rFonts w:ascii="Arial" w:hAnsi="Arial" w:cs="Arial"/>
        </w:rPr>
      </w:pPr>
      <w:r w:rsidRPr="00FC0671">
        <w:rPr>
          <w:rFonts w:ascii="Arial" w:hAnsi="Arial" w:cs="Arial"/>
        </w:rPr>
        <w:t>Murton, A</w:t>
      </w:r>
      <w:r>
        <w:rPr>
          <w:rFonts w:ascii="Arial" w:hAnsi="Arial" w:cs="Arial"/>
        </w:rPr>
        <w:t>.</w:t>
      </w:r>
      <w:r w:rsidRPr="00FC0671">
        <w:rPr>
          <w:rFonts w:ascii="Arial" w:hAnsi="Arial" w:cs="Arial"/>
        </w:rPr>
        <w:t>, Inman, M., O’Sullivan, N.</w:t>
      </w:r>
      <w:r>
        <w:rPr>
          <w:rFonts w:ascii="Arial" w:hAnsi="Arial" w:cs="Arial"/>
        </w:rPr>
        <w:t xml:space="preserve">, </w:t>
      </w:r>
      <w:r w:rsidR="00E23194">
        <w:rPr>
          <w:rFonts w:ascii="Arial" w:hAnsi="Arial" w:cs="Arial"/>
        </w:rPr>
        <w:t>(</w:t>
      </w:r>
      <w:r w:rsidRPr="00FC0671">
        <w:rPr>
          <w:rFonts w:ascii="Arial" w:hAnsi="Arial" w:cs="Arial"/>
        </w:rPr>
        <w:t>2010</w:t>
      </w:r>
      <w:r w:rsidR="00E23194">
        <w:rPr>
          <w:rFonts w:ascii="Arial" w:hAnsi="Arial" w:cs="Arial"/>
        </w:rPr>
        <w:t>)</w:t>
      </w:r>
      <w:r w:rsidRPr="00FC0671">
        <w:rPr>
          <w:rFonts w:ascii="Arial" w:hAnsi="Arial" w:cs="Arial"/>
        </w:rPr>
        <w:t xml:space="preserve"> </w:t>
      </w:r>
      <w:r w:rsidRPr="00FC0671">
        <w:rPr>
          <w:rFonts w:ascii="Arial" w:hAnsi="Arial" w:cs="Arial"/>
          <w:i/>
        </w:rPr>
        <w:t>Unlocking Human Resource Management</w:t>
      </w:r>
      <w:r>
        <w:rPr>
          <w:rFonts w:ascii="Arial" w:hAnsi="Arial" w:cs="Arial"/>
        </w:rPr>
        <w:t>.</w:t>
      </w:r>
      <w:r w:rsidRPr="00FC0671">
        <w:rPr>
          <w:rFonts w:ascii="Arial" w:hAnsi="Arial" w:cs="Arial"/>
        </w:rPr>
        <w:t xml:space="preserve"> Hodder Education</w:t>
      </w:r>
      <w:r>
        <w:rPr>
          <w:rFonts w:ascii="Arial" w:hAnsi="Arial" w:cs="Arial"/>
        </w:rPr>
        <w:t>.</w:t>
      </w:r>
    </w:p>
    <w:p w14:paraId="3EB520E7" w14:textId="6010DD74" w:rsidR="00E23194" w:rsidRDefault="00E23194" w:rsidP="003A68A3">
      <w:pPr>
        <w:rPr>
          <w:rFonts w:ascii="Arial" w:hAnsi="Arial" w:cs="Arial"/>
          <w:lang w:val="en-US"/>
        </w:rPr>
      </w:pPr>
      <w:r w:rsidRPr="00E23194">
        <w:rPr>
          <w:rFonts w:ascii="Arial" w:hAnsi="Arial" w:cs="Arial"/>
          <w:lang w:val="en-US"/>
        </w:rPr>
        <w:t xml:space="preserve">Taylor, R. (2022) </w:t>
      </w:r>
      <w:r w:rsidRPr="00E23194">
        <w:rPr>
          <w:rFonts w:ascii="Arial" w:hAnsi="Arial" w:cs="Arial"/>
        </w:rPr>
        <w:t>“</w:t>
      </w:r>
      <w:r w:rsidRPr="00E23194">
        <w:rPr>
          <w:rFonts w:ascii="Arial" w:hAnsi="Arial" w:cs="Arial"/>
          <w:i/>
          <w:iCs/>
          <w:lang w:val="en-US"/>
        </w:rPr>
        <w:t>Guide to people management: Definition, tips</w:t>
      </w:r>
      <w:r>
        <w:rPr>
          <w:rFonts w:ascii="Arial" w:hAnsi="Arial" w:cs="Arial"/>
          <w:i/>
          <w:iCs/>
          <w:lang w:val="en-US"/>
        </w:rPr>
        <w:t>,</w:t>
      </w:r>
      <w:r w:rsidRPr="00E23194">
        <w:rPr>
          <w:rFonts w:ascii="Arial" w:hAnsi="Arial" w:cs="Arial"/>
          <w:i/>
          <w:iCs/>
          <w:lang w:val="en-US"/>
        </w:rPr>
        <w:t xml:space="preserve"> and 8 skills</w:t>
      </w:r>
      <w:r w:rsidRPr="00E23194">
        <w:rPr>
          <w:rFonts w:ascii="Arial" w:hAnsi="Arial" w:cs="Arial"/>
          <w:lang w:val="en-US"/>
        </w:rPr>
        <w:t xml:space="preserve">, </w:t>
      </w:r>
      <w:r w:rsidRPr="00E23194">
        <w:rPr>
          <w:rFonts w:ascii="Arial" w:hAnsi="Arial" w:cs="Arial"/>
          <w:i/>
          <w:iCs/>
          <w:lang w:val="en-US"/>
        </w:rPr>
        <w:t>indeed</w:t>
      </w:r>
      <w:r w:rsidRPr="00E23194">
        <w:rPr>
          <w:rFonts w:ascii="Arial" w:hAnsi="Arial" w:cs="Arial"/>
        </w:rPr>
        <w:t>,</w:t>
      </w:r>
      <w:r w:rsidR="00596D53" w:rsidRPr="00E23194">
        <w:rPr>
          <w:rFonts w:ascii="Arial" w:hAnsi="Arial" w:cs="Arial"/>
        </w:rPr>
        <w:t>”</w:t>
      </w:r>
      <w:r>
        <w:rPr>
          <w:rFonts w:ascii="Arial" w:hAnsi="Arial" w:cs="Arial"/>
        </w:rPr>
        <w:t xml:space="preserve"> </w:t>
      </w:r>
      <w:r w:rsidRPr="00E23194">
        <w:rPr>
          <w:rFonts w:ascii="Arial" w:hAnsi="Arial" w:cs="Arial"/>
          <w:lang w:val="en-US"/>
        </w:rPr>
        <w:t>Available at: https://www.indeed.com/career-advice/career-development/guide-to-people-managemen</w:t>
      </w:r>
      <w:r>
        <w:rPr>
          <w:rFonts w:ascii="Arial" w:hAnsi="Arial" w:cs="Arial"/>
          <w:lang w:val="en-US"/>
        </w:rPr>
        <w:t>t (Accessed: October 12, 2022).</w:t>
      </w:r>
    </w:p>
    <w:p w14:paraId="065FF65B" w14:textId="5E18A971" w:rsidR="00E23194" w:rsidRPr="00E23194" w:rsidRDefault="00E23194" w:rsidP="003A68A3">
      <w:pPr>
        <w:rPr>
          <w:rFonts w:ascii="Arial" w:hAnsi="Arial" w:cs="Arial"/>
          <w:lang w:val="en-US"/>
        </w:rPr>
      </w:pPr>
      <w:r w:rsidRPr="00E23194">
        <w:rPr>
          <w:rFonts w:ascii="Arial" w:hAnsi="Arial" w:cs="Arial"/>
          <w:lang w:val="en-US"/>
        </w:rPr>
        <w:t xml:space="preserve">Team, S. (2022) </w:t>
      </w:r>
      <w:r w:rsidRPr="00E23194">
        <w:rPr>
          <w:rFonts w:ascii="Arial" w:hAnsi="Arial" w:cs="Arial"/>
        </w:rPr>
        <w:t>“</w:t>
      </w:r>
      <w:r w:rsidRPr="00E23194">
        <w:rPr>
          <w:rFonts w:ascii="Arial" w:hAnsi="Arial" w:cs="Arial"/>
          <w:i/>
          <w:iCs/>
          <w:lang w:val="en-US"/>
        </w:rPr>
        <w:t>20 people management skills every manager needs to succeed</w:t>
      </w:r>
      <w:r w:rsidRPr="00E23194">
        <w:rPr>
          <w:rFonts w:ascii="Arial" w:hAnsi="Arial" w:cs="Arial"/>
          <w:lang w:val="en-US"/>
        </w:rPr>
        <w:t xml:space="preserve">, </w:t>
      </w:r>
      <w:r w:rsidRPr="00E23194">
        <w:rPr>
          <w:rFonts w:ascii="Arial" w:hAnsi="Arial" w:cs="Arial"/>
          <w:i/>
          <w:iCs/>
          <w:lang w:val="en-US"/>
        </w:rPr>
        <w:t>Sling</w:t>
      </w:r>
      <w:r w:rsidRPr="00E23194">
        <w:rPr>
          <w:rFonts w:ascii="Arial" w:hAnsi="Arial" w:cs="Arial"/>
        </w:rPr>
        <w:t>,”</w:t>
      </w:r>
      <w:r>
        <w:rPr>
          <w:rFonts w:ascii="Arial" w:hAnsi="Arial" w:cs="Arial"/>
        </w:rPr>
        <w:t xml:space="preserve">, </w:t>
      </w:r>
      <w:r w:rsidRPr="00E23194">
        <w:rPr>
          <w:rFonts w:ascii="Arial" w:hAnsi="Arial" w:cs="Arial"/>
          <w:lang w:val="en-US"/>
        </w:rPr>
        <w:t xml:space="preserve">Available at: https://getsling.com/blog/people-management-skills/ (Accessed: October 12, 2022). </w:t>
      </w:r>
    </w:p>
    <w:p w14:paraId="795EACE9" w14:textId="023AE2BA" w:rsidR="00FC0671" w:rsidRDefault="00FC0671" w:rsidP="003A68A3">
      <w:pPr>
        <w:rPr>
          <w:rFonts w:ascii="Arial" w:hAnsi="Arial" w:cs="Arial"/>
        </w:rPr>
      </w:pPr>
      <w:r w:rsidRPr="00FC0671">
        <w:rPr>
          <w:rFonts w:ascii="Arial" w:hAnsi="Arial" w:cs="Arial"/>
        </w:rPr>
        <w:t>Torrington, D, Hall, L, Atkinson, C, &amp; Taylor, S</w:t>
      </w:r>
      <w:r>
        <w:rPr>
          <w:rFonts w:ascii="Arial" w:hAnsi="Arial" w:cs="Arial"/>
        </w:rPr>
        <w:t>.,</w:t>
      </w:r>
      <w:r w:rsidRPr="00FC0671">
        <w:rPr>
          <w:rFonts w:ascii="Arial" w:hAnsi="Arial" w:cs="Arial"/>
        </w:rPr>
        <w:t xml:space="preserve"> </w:t>
      </w:r>
      <w:r w:rsidR="00E23194">
        <w:rPr>
          <w:rFonts w:ascii="Arial" w:hAnsi="Arial" w:cs="Arial"/>
        </w:rPr>
        <w:t>(</w:t>
      </w:r>
      <w:r w:rsidRPr="00FC0671">
        <w:rPr>
          <w:rFonts w:ascii="Arial" w:hAnsi="Arial" w:cs="Arial"/>
        </w:rPr>
        <w:t>2020</w:t>
      </w:r>
      <w:r w:rsidR="00E23194">
        <w:rPr>
          <w:rFonts w:ascii="Arial" w:hAnsi="Arial" w:cs="Arial"/>
        </w:rPr>
        <w:t>)</w:t>
      </w:r>
      <w:r w:rsidRPr="00FC0671">
        <w:rPr>
          <w:rFonts w:ascii="Arial" w:hAnsi="Arial" w:cs="Arial"/>
        </w:rPr>
        <w:t xml:space="preserve"> </w:t>
      </w:r>
      <w:r w:rsidRPr="00FC0671">
        <w:rPr>
          <w:rFonts w:ascii="Arial" w:hAnsi="Arial" w:cs="Arial"/>
          <w:i/>
        </w:rPr>
        <w:t>Human Resource Management</w:t>
      </w:r>
      <w:r>
        <w:rPr>
          <w:rFonts w:ascii="Arial" w:hAnsi="Arial" w:cs="Arial"/>
          <w:i/>
        </w:rPr>
        <w:t>.</w:t>
      </w:r>
      <w:r w:rsidRPr="00FC0671">
        <w:rPr>
          <w:rFonts w:ascii="Arial" w:hAnsi="Arial" w:cs="Arial"/>
          <w:i/>
        </w:rPr>
        <w:t xml:space="preserve"> </w:t>
      </w:r>
      <w:r w:rsidRPr="00FC0671">
        <w:rPr>
          <w:rFonts w:ascii="Arial" w:hAnsi="Arial" w:cs="Arial"/>
        </w:rPr>
        <w:t>EBook, Pearson Education, Limited, Harlow. Available from: ProQuest Ebook Central.</w:t>
      </w:r>
    </w:p>
    <w:p w14:paraId="694D4C29" w14:textId="77777777" w:rsidR="003A68A3" w:rsidRPr="003A68A3" w:rsidRDefault="003A68A3" w:rsidP="000F02BF">
      <w:pPr>
        <w:rPr>
          <w:rFonts w:ascii="Arial" w:hAnsi="Arial" w:cs="Arial"/>
        </w:rPr>
      </w:pPr>
    </w:p>
    <w:sectPr w:rsidR="003A68A3" w:rsidRPr="003A68A3" w:rsidSect="001834FC">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B6CA2" w14:textId="77777777" w:rsidR="003F611A" w:rsidRDefault="003F611A" w:rsidP="001834FC">
      <w:pPr>
        <w:spacing w:after="0" w:line="240" w:lineRule="auto"/>
      </w:pPr>
      <w:r>
        <w:separator/>
      </w:r>
    </w:p>
  </w:endnote>
  <w:endnote w:type="continuationSeparator" w:id="0">
    <w:p w14:paraId="03D111A1" w14:textId="77777777" w:rsidR="003F611A" w:rsidRDefault="003F611A" w:rsidP="001834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B8BA7" w14:textId="77777777" w:rsidR="00BA6DF9" w:rsidRDefault="00BA6D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D363F" w14:textId="77777777" w:rsidR="00B25A26" w:rsidRPr="00BA6DF9" w:rsidRDefault="00B25A26" w:rsidP="00BA6DF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98C7F" w14:textId="77777777" w:rsidR="00BA6DF9" w:rsidRDefault="00BA6D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2D431A" w14:textId="77777777" w:rsidR="003F611A" w:rsidRDefault="003F611A" w:rsidP="001834FC">
      <w:pPr>
        <w:spacing w:after="0" w:line="240" w:lineRule="auto"/>
      </w:pPr>
      <w:r>
        <w:separator/>
      </w:r>
    </w:p>
  </w:footnote>
  <w:footnote w:type="continuationSeparator" w:id="0">
    <w:p w14:paraId="379B313F" w14:textId="77777777" w:rsidR="003F611A" w:rsidRDefault="003F611A" w:rsidP="001834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1BE0" w14:textId="77777777" w:rsidR="00BA6DF9" w:rsidRDefault="00BA6D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29FC" w14:textId="77777777" w:rsidR="00BA6DF9" w:rsidRDefault="00BA6D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6202" w14:textId="77777777" w:rsidR="00BA6DF9" w:rsidRDefault="00BA6D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qQUATU1+dSwAAAA="/>
  </w:docVars>
  <w:rsids>
    <w:rsidRoot w:val="00A60069"/>
    <w:rsid w:val="00016F78"/>
    <w:rsid w:val="000E047C"/>
    <w:rsid w:val="000F02BF"/>
    <w:rsid w:val="001834FC"/>
    <w:rsid w:val="001D16F6"/>
    <w:rsid w:val="0022399E"/>
    <w:rsid w:val="00252195"/>
    <w:rsid w:val="002A1AE6"/>
    <w:rsid w:val="002B0D13"/>
    <w:rsid w:val="00325892"/>
    <w:rsid w:val="003660CA"/>
    <w:rsid w:val="00367BFD"/>
    <w:rsid w:val="003A68A3"/>
    <w:rsid w:val="003F611A"/>
    <w:rsid w:val="004A18BF"/>
    <w:rsid w:val="0057591D"/>
    <w:rsid w:val="00596D53"/>
    <w:rsid w:val="006F3E7B"/>
    <w:rsid w:val="00842209"/>
    <w:rsid w:val="008B103E"/>
    <w:rsid w:val="00913C8F"/>
    <w:rsid w:val="00975280"/>
    <w:rsid w:val="00975554"/>
    <w:rsid w:val="00A60069"/>
    <w:rsid w:val="00B11CB6"/>
    <w:rsid w:val="00B25A26"/>
    <w:rsid w:val="00BA6DF9"/>
    <w:rsid w:val="00BB6D54"/>
    <w:rsid w:val="00BF1618"/>
    <w:rsid w:val="00C916CE"/>
    <w:rsid w:val="00D177CD"/>
    <w:rsid w:val="00DF5D29"/>
    <w:rsid w:val="00DF6430"/>
    <w:rsid w:val="00E23194"/>
    <w:rsid w:val="00E5570A"/>
    <w:rsid w:val="00EB7A2D"/>
    <w:rsid w:val="00EC16C3"/>
    <w:rsid w:val="00F37522"/>
    <w:rsid w:val="00FC067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816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4FC"/>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1834FC"/>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1834FC"/>
    <w:pPr>
      <w:keepNext/>
      <w:keepLines/>
      <w:spacing w:before="40" w:after="0"/>
      <w:outlineLvl w:val="1"/>
    </w:pPr>
    <w:rPr>
      <w:rFonts w:asciiTheme="majorHAnsi" w:eastAsiaTheme="majorEastAsia" w:hAnsiTheme="majorHAnsi" w:cstheme="majorBidi"/>
      <w:b/>
      <w:sz w:val="28"/>
      <w:szCs w:val="26"/>
      <w:lang w:val="en-US"/>
    </w:rPr>
  </w:style>
  <w:style w:type="paragraph" w:styleId="Heading4">
    <w:name w:val="heading 4"/>
    <w:basedOn w:val="Normal"/>
    <w:next w:val="Normal"/>
    <w:link w:val="Heading4Char"/>
    <w:uiPriority w:val="9"/>
    <w:semiHidden/>
    <w:unhideWhenUsed/>
    <w:qFormat/>
    <w:rsid w:val="00C916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834FC"/>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1834FC"/>
    <w:rPr>
      <w:rFonts w:asciiTheme="majorHAnsi" w:eastAsiaTheme="majorEastAsia" w:hAnsiTheme="majorHAnsi" w:cstheme="majorBidi"/>
      <w:b/>
      <w:color w:val="000000" w:themeColor="text1"/>
      <w:sz w:val="32"/>
      <w:szCs w:val="32"/>
      <w:lang w:val="en-GB"/>
    </w:rPr>
  </w:style>
  <w:style w:type="paragraph" w:styleId="Title">
    <w:name w:val="Title"/>
    <w:basedOn w:val="Normal"/>
    <w:next w:val="Normal"/>
    <w:link w:val="TitleChar"/>
    <w:uiPriority w:val="10"/>
    <w:qFormat/>
    <w:rsid w:val="001834FC"/>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4Char">
    <w:name w:val="Heading 4 Char"/>
    <w:basedOn w:val="DefaultParagraphFont"/>
    <w:link w:val="Heading4"/>
    <w:uiPriority w:val="9"/>
    <w:semiHidden/>
    <w:rsid w:val="00C916CE"/>
    <w:rPr>
      <w:rFonts w:asciiTheme="majorHAnsi" w:eastAsiaTheme="majorEastAsia" w:hAnsiTheme="majorHAnsi" w:cstheme="majorBidi"/>
      <w:i/>
      <w:iCs/>
      <w:color w:val="2F5496"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685666">
      <w:bodyDiv w:val="1"/>
      <w:marLeft w:val="0"/>
      <w:marRight w:val="0"/>
      <w:marTop w:val="0"/>
      <w:marBottom w:val="0"/>
      <w:divBdr>
        <w:top w:val="none" w:sz="0" w:space="0" w:color="auto"/>
        <w:left w:val="none" w:sz="0" w:space="0" w:color="auto"/>
        <w:bottom w:val="none" w:sz="0" w:space="0" w:color="auto"/>
        <w:right w:val="none" w:sz="0" w:space="0" w:color="auto"/>
      </w:divBdr>
    </w:div>
    <w:div w:id="355473173">
      <w:bodyDiv w:val="1"/>
      <w:marLeft w:val="0"/>
      <w:marRight w:val="0"/>
      <w:marTop w:val="0"/>
      <w:marBottom w:val="0"/>
      <w:divBdr>
        <w:top w:val="none" w:sz="0" w:space="0" w:color="auto"/>
        <w:left w:val="none" w:sz="0" w:space="0" w:color="auto"/>
        <w:bottom w:val="none" w:sz="0" w:space="0" w:color="auto"/>
        <w:right w:val="none" w:sz="0" w:space="0" w:color="auto"/>
      </w:divBdr>
    </w:div>
    <w:div w:id="411973897">
      <w:bodyDiv w:val="1"/>
      <w:marLeft w:val="0"/>
      <w:marRight w:val="0"/>
      <w:marTop w:val="0"/>
      <w:marBottom w:val="0"/>
      <w:divBdr>
        <w:top w:val="none" w:sz="0" w:space="0" w:color="auto"/>
        <w:left w:val="none" w:sz="0" w:space="0" w:color="auto"/>
        <w:bottom w:val="none" w:sz="0" w:space="0" w:color="auto"/>
        <w:right w:val="none" w:sz="0" w:space="0" w:color="auto"/>
      </w:divBdr>
    </w:div>
    <w:div w:id="423309216">
      <w:bodyDiv w:val="1"/>
      <w:marLeft w:val="0"/>
      <w:marRight w:val="0"/>
      <w:marTop w:val="0"/>
      <w:marBottom w:val="0"/>
      <w:divBdr>
        <w:top w:val="none" w:sz="0" w:space="0" w:color="auto"/>
        <w:left w:val="none" w:sz="0" w:space="0" w:color="auto"/>
        <w:bottom w:val="none" w:sz="0" w:space="0" w:color="auto"/>
        <w:right w:val="none" w:sz="0" w:space="0" w:color="auto"/>
      </w:divBdr>
      <w:divsChild>
        <w:div w:id="1682389331">
          <w:marLeft w:val="0"/>
          <w:marRight w:val="0"/>
          <w:marTop w:val="0"/>
          <w:marBottom w:val="0"/>
          <w:divBdr>
            <w:top w:val="none" w:sz="0" w:space="0" w:color="auto"/>
            <w:left w:val="none" w:sz="0" w:space="0" w:color="auto"/>
            <w:bottom w:val="none" w:sz="0" w:space="0" w:color="auto"/>
            <w:right w:val="none" w:sz="0" w:space="0" w:color="auto"/>
          </w:divBdr>
        </w:div>
        <w:div w:id="818225166">
          <w:marLeft w:val="0"/>
          <w:marRight w:val="0"/>
          <w:marTop w:val="0"/>
          <w:marBottom w:val="0"/>
          <w:divBdr>
            <w:top w:val="none" w:sz="0" w:space="0" w:color="auto"/>
            <w:left w:val="none" w:sz="0" w:space="0" w:color="auto"/>
            <w:bottom w:val="none" w:sz="0" w:space="0" w:color="auto"/>
            <w:right w:val="none" w:sz="0" w:space="0" w:color="auto"/>
          </w:divBdr>
        </w:div>
        <w:div w:id="977689374">
          <w:marLeft w:val="0"/>
          <w:marRight w:val="0"/>
          <w:marTop w:val="0"/>
          <w:marBottom w:val="0"/>
          <w:divBdr>
            <w:top w:val="none" w:sz="0" w:space="0" w:color="auto"/>
            <w:left w:val="none" w:sz="0" w:space="0" w:color="auto"/>
            <w:bottom w:val="none" w:sz="0" w:space="0" w:color="auto"/>
            <w:right w:val="none" w:sz="0" w:space="0" w:color="auto"/>
          </w:divBdr>
        </w:div>
        <w:div w:id="680352960">
          <w:marLeft w:val="0"/>
          <w:marRight w:val="0"/>
          <w:marTop w:val="0"/>
          <w:marBottom w:val="0"/>
          <w:divBdr>
            <w:top w:val="none" w:sz="0" w:space="0" w:color="auto"/>
            <w:left w:val="none" w:sz="0" w:space="0" w:color="auto"/>
            <w:bottom w:val="none" w:sz="0" w:space="0" w:color="auto"/>
            <w:right w:val="none" w:sz="0" w:space="0" w:color="auto"/>
          </w:divBdr>
        </w:div>
        <w:div w:id="1329098126">
          <w:marLeft w:val="0"/>
          <w:marRight w:val="0"/>
          <w:marTop w:val="0"/>
          <w:marBottom w:val="0"/>
          <w:divBdr>
            <w:top w:val="none" w:sz="0" w:space="0" w:color="auto"/>
            <w:left w:val="none" w:sz="0" w:space="0" w:color="auto"/>
            <w:bottom w:val="none" w:sz="0" w:space="0" w:color="auto"/>
            <w:right w:val="none" w:sz="0" w:space="0" w:color="auto"/>
          </w:divBdr>
        </w:div>
        <w:div w:id="448089850">
          <w:marLeft w:val="0"/>
          <w:marRight w:val="0"/>
          <w:marTop w:val="0"/>
          <w:marBottom w:val="0"/>
          <w:divBdr>
            <w:top w:val="none" w:sz="0" w:space="0" w:color="auto"/>
            <w:left w:val="none" w:sz="0" w:space="0" w:color="auto"/>
            <w:bottom w:val="none" w:sz="0" w:space="0" w:color="auto"/>
            <w:right w:val="none" w:sz="0" w:space="0" w:color="auto"/>
          </w:divBdr>
        </w:div>
        <w:div w:id="2070181239">
          <w:marLeft w:val="0"/>
          <w:marRight w:val="0"/>
          <w:marTop w:val="0"/>
          <w:marBottom w:val="0"/>
          <w:divBdr>
            <w:top w:val="none" w:sz="0" w:space="0" w:color="auto"/>
            <w:left w:val="none" w:sz="0" w:space="0" w:color="auto"/>
            <w:bottom w:val="none" w:sz="0" w:space="0" w:color="auto"/>
            <w:right w:val="none" w:sz="0" w:space="0" w:color="auto"/>
          </w:divBdr>
        </w:div>
        <w:div w:id="281302458">
          <w:marLeft w:val="0"/>
          <w:marRight w:val="0"/>
          <w:marTop w:val="0"/>
          <w:marBottom w:val="0"/>
          <w:divBdr>
            <w:top w:val="none" w:sz="0" w:space="0" w:color="auto"/>
            <w:left w:val="none" w:sz="0" w:space="0" w:color="auto"/>
            <w:bottom w:val="none" w:sz="0" w:space="0" w:color="auto"/>
            <w:right w:val="none" w:sz="0" w:space="0" w:color="auto"/>
          </w:divBdr>
        </w:div>
        <w:div w:id="1746101349">
          <w:marLeft w:val="0"/>
          <w:marRight w:val="0"/>
          <w:marTop w:val="0"/>
          <w:marBottom w:val="0"/>
          <w:divBdr>
            <w:top w:val="none" w:sz="0" w:space="0" w:color="auto"/>
            <w:left w:val="none" w:sz="0" w:space="0" w:color="auto"/>
            <w:bottom w:val="none" w:sz="0" w:space="0" w:color="auto"/>
            <w:right w:val="none" w:sz="0" w:space="0" w:color="auto"/>
          </w:divBdr>
        </w:div>
      </w:divsChild>
    </w:div>
    <w:div w:id="739060353">
      <w:bodyDiv w:val="1"/>
      <w:marLeft w:val="0"/>
      <w:marRight w:val="0"/>
      <w:marTop w:val="0"/>
      <w:marBottom w:val="0"/>
      <w:divBdr>
        <w:top w:val="none" w:sz="0" w:space="0" w:color="auto"/>
        <w:left w:val="none" w:sz="0" w:space="0" w:color="auto"/>
        <w:bottom w:val="none" w:sz="0" w:space="0" w:color="auto"/>
        <w:right w:val="none" w:sz="0" w:space="0" w:color="auto"/>
      </w:divBdr>
    </w:div>
    <w:div w:id="792476677">
      <w:bodyDiv w:val="1"/>
      <w:marLeft w:val="0"/>
      <w:marRight w:val="0"/>
      <w:marTop w:val="0"/>
      <w:marBottom w:val="0"/>
      <w:divBdr>
        <w:top w:val="none" w:sz="0" w:space="0" w:color="auto"/>
        <w:left w:val="none" w:sz="0" w:space="0" w:color="auto"/>
        <w:bottom w:val="none" w:sz="0" w:space="0" w:color="auto"/>
        <w:right w:val="none" w:sz="0" w:space="0" w:color="auto"/>
      </w:divBdr>
    </w:div>
    <w:div w:id="1024943253">
      <w:bodyDiv w:val="1"/>
      <w:marLeft w:val="0"/>
      <w:marRight w:val="0"/>
      <w:marTop w:val="0"/>
      <w:marBottom w:val="0"/>
      <w:divBdr>
        <w:top w:val="none" w:sz="0" w:space="0" w:color="auto"/>
        <w:left w:val="none" w:sz="0" w:space="0" w:color="auto"/>
        <w:bottom w:val="none" w:sz="0" w:space="0" w:color="auto"/>
        <w:right w:val="none" w:sz="0" w:space="0" w:color="auto"/>
      </w:divBdr>
    </w:div>
    <w:div w:id="1474298552">
      <w:bodyDiv w:val="1"/>
      <w:marLeft w:val="0"/>
      <w:marRight w:val="0"/>
      <w:marTop w:val="0"/>
      <w:marBottom w:val="0"/>
      <w:divBdr>
        <w:top w:val="none" w:sz="0" w:space="0" w:color="auto"/>
        <w:left w:val="none" w:sz="0" w:space="0" w:color="auto"/>
        <w:bottom w:val="none" w:sz="0" w:space="0" w:color="auto"/>
        <w:right w:val="none" w:sz="0" w:space="0" w:color="auto"/>
      </w:divBdr>
    </w:div>
    <w:div w:id="1591114732">
      <w:bodyDiv w:val="1"/>
      <w:marLeft w:val="0"/>
      <w:marRight w:val="0"/>
      <w:marTop w:val="0"/>
      <w:marBottom w:val="0"/>
      <w:divBdr>
        <w:top w:val="none" w:sz="0" w:space="0" w:color="auto"/>
        <w:left w:val="none" w:sz="0" w:space="0" w:color="auto"/>
        <w:bottom w:val="none" w:sz="0" w:space="0" w:color="auto"/>
        <w:right w:val="none" w:sz="0" w:space="0" w:color="auto"/>
      </w:divBdr>
    </w:div>
    <w:div w:id="21417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2285</Words>
  <Characters>12801</Characters>
  <Application>Microsoft Office Word</Application>
  <DocSecurity>0</DocSecurity>
  <Lines>232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2022-10-12T07:41:00Z</dcterms:created>
  <dcterms:modified xsi:type="dcterms:W3CDTF">2022-10-27T09:07:00Z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76f6b2fc91348255a3503ee5e4865851e4c30731911d46c51165ba87bd48d9f4</vt:lpwstr>
  </property>
</Properties>
</file>