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4A94" w:rsidRDefault="00291FE1" w:rsidP="00A04A94">
      <w:pPr>
        <w:rPr>
          <w:rFonts w:cs="Arial"/>
          <w:color w:val="58595B"/>
          <w:sz w:val="36"/>
          <w:szCs w:val="36"/>
        </w:rPr>
      </w:pPr>
      <w:bookmarkStart w:id="0" w:name="_GoBack"/>
      <w:bookmarkEnd w:id="0"/>
      <w:r>
        <w:rPr>
          <w:rFonts w:cs="Arial"/>
          <w:color w:val="58595B"/>
          <w:sz w:val="36"/>
          <w:szCs w:val="36"/>
        </w:rPr>
        <w:t xml:space="preserve"> </w:t>
      </w:r>
      <w:r w:rsidR="00A04A94">
        <w:rPr>
          <w:rFonts w:cs="Arial"/>
          <w:color w:val="58595B"/>
          <w:sz w:val="36"/>
          <w:szCs w:val="36"/>
        </w:rPr>
        <w:t xml:space="preserve">Qualification: </w:t>
      </w:r>
    </w:p>
    <w:p w:rsidR="00A04A94" w:rsidRDefault="00A04A94" w:rsidP="00A04A94">
      <w:pPr>
        <w:jc w:val="center"/>
        <w:rPr>
          <w:rFonts w:cs="Arial"/>
          <w:color w:val="58595B"/>
          <w:sz w:val="36"/>
          <w:szCs w:val="36"/>
        </w:rPr>
      </w:pPr>
      <w:r>
        <w:rPr>
          <w:rFonts w:cs="Arial"/>
          <w:b/>
          <w:color w:val="58595B"/>
          <w:sz w:val="36"/>
          <w:szCs w:val="36"/>
        </w:rPr>
        <w:t>CIPD Diploma in Applied Human Resources</w:t>
      </w:r>
    </w:p>
    <w:p w:rsidR="00A04A94" w:rsidRDefault="00A04A94" w:rsidP="00A04A94">
      <w:pPr>
        <w:rPr>
          <w:rFonts w:cs="Arial"/>
          <w:color w:val="58595B"/>
          <w:sz w:val="36"/>
          <w:szCs w:val="36"/>
        </w:rPr>
      </w:pPr>
      <w:r>
        <w:rPr>
          <w:rFonts w:cs="Arial"/>
          <w:color w:val="58595B"/>
          <w:sz w:val="36"/>
          <w:szCs w:val="36"/>
        </w:rPr>
        <w:t xml:space="preserve">Module Name: </w:t>
      </w:r>
      <w:r>
        <w:rPr>
          <w:rFonts w:cs="Arial"/>
          <w:color w:val="58595B"/>
          <w:sz w:val="36"/>
          <w:szCs w:val="36"/>
        </w:rPr>
        <w:tab/>
      </w:r>
    </w:p>
    <w:p w:rsidR="00A04A94" w:rsidRDefault="00A04A94" w:rsidP="00A04A94">
      <w:pPr>
        <w:jc w:val="center"/>
        <w:rPr>
          <w:rFonts w:cs="Arial"/>
          <w:b/>
          <w:color w:val="58595B"/>
          <w:sz w:val="36"/>
          <w:szCs w:val="36"/>
        </w:rPr>
      </w:pPr>
      <w:r>
        <w:rPr>
          <w:rFonts w:cs="Arial"/>
          <w:b/>
          <w:color w:val="58595B"/>
          <w:sz w:val="36"/>
          <w:szCs w:val="36"/>
        </w:rPr>
        <w:t>Understanding the Management of Employment Relations</w:t>
      </w:r>
    </w:p>
    <w:p w:rsidR="00A04A94" w:rsidRDefault="00A04A94" w:rsidP="00A04A94">
      <w:pPr>
        <w:rPr>
          <w:rFonts w:cs="Arial"/>
          <w:b/>
          <w:color w:val="58595B"/>
          <w:sz w:val="36"/>
          <w:szCs w:val="36"/>
        </w:rPr>
      </w:pPr>
      <w:r>
        <w:rPr>
          <w:rFonts w:cs="Arial"/>
          <w:b/>
          <w:color w:val="58595B"/>
          <w:sz w:val="36"/>
          <w:szCs w:val="36"/>
        </w:rPr>
        <w:tab/>
      </w:r>
    </w:p>
    <w:p w:rsidR="00A04A94" w:rsidRDefault="00A04A94" w:rsidP="00A04A94">
      <w:pPr>
        <w:rPr>
          <w:rFonts w:cs="Arial"/>
          <w:b/>
          <w:color w:val="58595B"/>
          <w:sz w:val="36"/>
          <w:szCs w:val="36"/>
        </w:rPr>
      </w:pPr>
      <w:r>
        <w:rPr>
          <w:rFonts w:cs="Arial"/>
          <w:color w:val="58595B"/>
          <w:sz w:val="36"/>
          <w:szCs w:val="36"/>
        </w:rPr>
        <w:t>Word Count:</w:t>
      </w:r>
      <w:r>
        <w:rPr>
          <w:rFonts w:cs="Arial"/>
          <w:color w:val="58595B"/>
          <w:sz w:val="36"/>
          <w:szCs w:val="36"/>
        </w:rPr>
        <w:tab/>
      </w:r>
      <w:r>
        <w:rPr>
          <w:rFonts w:cs="Arial"/>
          <w:color w:val="58595B"/>
          <w:sz w:val="36"/>
          <w:szCs w:val="36"/>
        </w:rPr>
        <w:tab/>
      </w:r>
      <w:r>
        <w:rPr>
          <w:rFonts w:cs="Arial"/>
          <w:color w:val="58595B"/>
          <w:sz w:val="36"/>
          <w:szCs w:val="36"/>
        </w:rPr>
        <w:tab/>
      </w:r>
      <w:r>
        <w:rPr>
          <w:rFonts w:cs="Arial"/>
          <w:b/>
          <w:color w:val="58595B"/>
          <w:sz w:val="36"/>
          <w:szCs w:val="36"/>
        </w:rPr>
        <w:t>Activity 1</w:t>
      </w:r>
      <w:r w:rsidR="00956680">
        <w:rPr>
          <w:rFonts w:cs="Arial"/>
          <w:b/>
          <w:color w:val="58595B"/>
          <w:sz w:val="36"/>
          <w:szCs w:val="36"/>
        </w:rPr>
        <w:t xml:space="preserve">    </w:t>
      </w:r>
      <w:r>
        <w:rPr>
          <w:rFonts w:cs="Arial"/>
          <w:b/>
          <w:color w:val="58595B"/>
          <w:sz w:val="36"/>
          <w:szCs w:val="36"/>
        </w:rPr>
        <w:t xml:space="preserve"> (</w:t>
      </w:r>
      <w:r w:rsidR="0067749F">
        <w:rPr>
          <w:rFonts w:cs="Arial"/>
          <w:b/>
          <w:color w:val="58595B"/>
          <w:sz w:val="36"/>
          <w:szCs w:val="36"/>
        </w:rPr>
        <w:t>825</w:t>
      </w:r>
      <w:r w:rsidR="0024694A">
        <w:rPr>
          <w:rFonts w:cs="Arial"/>
          <w:b/>
          <w:color w:val="58595B"/>
          <w:sz w:val="36"/>
          <w:szCs w:val="36"/>
        </w:rPr>
        <w:t xml:space="preserve"> </w:t>
      </w:r>
      <w:r>
        <w:rPr>
          <w:rFonts w:cs="Arial"/>
          <w:b/>
          <w:color w:val="58595B"/>
          <w:sz w:val="36"/>
          <w:szCs w:val="36"/>
        </w:rPr>
        <w:t>words)</w:t>
      </w:r>
    </w:p>
    <w:p w:rsidR="00A04A94" w:rsidRDefault="00956680" w:rsidP="00A04A94">
      <w:pPr>
        <w:rPr>
          <w:rFonts w:cs="Arial"/>
          <w:color w:val="58595B"/>
          <w:sz w:val="36"/>
          <w:szCs w:val="36"/>
        </w:rPr>
      </w:pPr>
      <w:r>
        <w:rPr>
          <w:rFonts w:cs="Arial"/>
          <w:b/>
          <w:color w:val="58595B"/>
          <w:sz w:val="36"/>
          <w:szCs w:val="36"/>
        </w:rPr>
        <w:tab/>
      </w:r>
      <w:r>
        <w:rPr>
          <w:rFonts w:cs="Arial"/>
          <w:b/>
          <w:color w:val="58595B"/>
          <w:sz w:val="36"/>
          <w:szCs w:val="36"/>
        </w:rPr>
        <w:tab/>
      </w:r>
      <w:r>
        <w:rPr>
          <w:rFonts w:cs="Arial"/>
          <w:b/>
          <w:color w:val="58595B"/>
          <w:sz w:val="36"/>
          <w:szCs w:val="36"/>
        </w:rPr>
        <w:tab/>
      </w:r>
      <w:r>
        <w:rPr>
          <w:rFonts w:cs="Arial"/>
          <w:b/>
          <w:color w:val="58595B"/>
          <w:sz w:val="36"/>
          <w:szCs w:val="36"/>
        </w:rPr>
        <w:tab/>
      </w:r>
      <w:r>
        <w:rPr>
          <w:rFonts w:cs="Arial"/>
          <w:b/>
          <w:color w:val="58595B"/>
          <w:sz w:val="36"/>
          <w:szCs w:val="36"/>
        </w:rPr>
        <w:tab/>
        <w:t xml:space="preserve">Activity 2  </w:t>
      </w:r>
      <w:r w:rsidR="00A81B23">
        <w:rPr>
          <w:rFonts w:cs="Arial"/>
          <w:b/>
          <w:color w:val="58595B"/>
          <w:sz w:val="36"/>
          <w:szCs w:val="36"/>
        </w:rPr>
        <w:t xml:space="preserve">   </w:t>
      </w:r>
      <w:r>
        <w:rPr>
          <w:rFonts w:cs="Arial"/>
          <w:b/>
          <w:color w:val="58595B"/>
          <w:sz w:val="36"/>
          <w:szCs w:val="36"/>
        </w:rPr>
        <w:t>(</w:t>
      </w:r>
      <w:r w:rsidR="00A81B23">
        <w:rPr>
          <w:rFonts w:cs="Arial"/>
          <w:b/>
          <w:color w:val="58595B"/>
          <w:sz w:val="36"/>
          <w:szCs w:val="36"/>
        </w:rPr>
        <w:t>815</w:t>
      </w:r>
      <w:r w:rsidR="00637795">
        <w:rPr>
          <w:rFonts w:cs="Arial"/>
          <w:b/>
          <w:color w:val="58595B"/>
          <w:sz w:val="36"/>
          <w:szCs w:val="36"/>
        </w:rPr>
        <w:t xml:space="preserve"> </w:t>
      </w:r>
      <w:r w:rsidR="00A04A94">
        <w:rPr>
          <w:rFonts w:cs="Arial"/>
          <w:b/>
          <w:color w:val="58595B"/>
          <w:sz w:val="36"/>
          <w:szCs w:val="36"/>
        </w:rPr>
        <w:t xml:space="preserve">words) </w:t>
      </w:r>
      <w:r w:rsidR="00A04A94">
        <w:rPr>
          <w:rFonts w:cs="Arial"/>
          <w:color w:val="58595B"/>
          <w:sz w:val="36"/>
          <w:szCs w:val="36"/>
        </w:rPr>
        <w:tab/>
      </w:r>
      <w:r w:rsidR="00A04A94">
        <w:rPr>
          <w:rFonts w:cs="Arial"/>
          <w:color w:val="58595B"/>
          <w:sz w:val="36"/>
          <w:szCs w:val="36"/>
        </w:rPr>
        <w:tab/>
      </w:r>
    </w:p>
    <w:p w:rsidR="00A04A94" w:rsidRDefault="00956680" w:rsidP="00A04A94">
      <w:pPr>
        <w:ind w:left="3600"/>
        <w:rPr>
          <w:rFonts w:cs="Arial"/>
          <w:color w:val="58595B"/>
          <w:sz w:val="36"/>
          <w:szCs w:val="36"/>
        </w:rPr>
      </w:pPr>
      <w:r>
        <w:rPr>
          <w:rFonts w:cs="Arial"/>
          <w:b/>
          <w:color w:val="58595B"/>
          <w:sz w:val="36"/>
          <w:szCs w:val="36"/>
        </w:rPr>
        <w:t xml:space="preserve">Activity 3 </w:t>
      </w:r>
      <w:r w:rsidR="00CF6A7C">
        <w:rPr>
          <w:rFonts w:cs="Arial"/>
          <w:b/>
          <w:color w:val="58595B"/>
          <w:sz w:val="36"/>
          <w:szCs w:val="36"/>
        </w:rPr>
        <w:t xml:space="preserve">  </w:t>
      </w:r>
      <w:r>
        <w:rPr>
          <w:rFonts w:cs="Arial"/>
          <w:b/>
          <w:color w:val="58595B"/>
          <w:sz w:val="36"/>
          <w:szCs w:val="36"/>
        </w:rPr>
        <w:t xml:space="preserve"> </w:t>
      </w:r>
      <w:r w:rsidR="00CF6A7C">
        <w:rPr>
          <w:rFonts w:cs="Arial"/>
          <w:b/>
          <w:color w:val="58595B"/>
          <w:sz w:val="36"/>
          <w:szCs w:val="36"/>
        </w:rPr>
        <w:t xml:space="preserve"> </w:t>
      </w:r>
      <w:r>
        <w:rPr>
          <w:rFonts w:cs="Arial"/>
          <w:b/>
          <w:color w:val="58595B"/>
          <w:sz w:val="36"/>
          <w:szCs w:val="36"/>
        </w:rPr>
        <w:t>(</w:t>
      </w:r>
      <w:r w:rsidR="002F79CA">
        <w:rPr>
          <w:rFonts w:cs="Arial"/>
          <w:b/>
          <w:color w:val="58595B"/>
          <w:sz w:val="36"/>
          <w:szCs w:val="36"/>
        </w:rPr>
        <w:t>82</w:t>
      </w:r>
      <w:r w:rsidR="00946897">
        <w:rPr>
          <w:rFonts w:cs="Arial"/>
          <w:b/>
          <w:color w:val="58595B"/>
          <w:sz w:val="36"/>
          <w:szCs w:val="36"/>
        </w:rPr>
        <w:t>3</w:t>
      </w:r>
      <w:r w:rsidR="004429AB">
        <w:rPr>
          <w:rFonts w:cs="Arial"/>
          <w:b/>
          <w:color w:val="58595B"/>
          <w:sz w:val="36"/>
          <w:szCs w:val="36"/>
        </w:rPr>
        <w:t xml:space="preserve"> </w:t>
      </w:r>
      <w:r w:rsidR="00A04A94">
        <w:rPr>
          <w:rFonts w:cs="Arial"/>
          <w:b/>
          <w:color w:val="58595B"/>
          <w:sz w:val="36"/>
          <w:szCs w:val="36"/>
        </w:rPr>
        <w:t xml:space="preserve">words) </w:t>
      </w:r>
      <w:r w:rsidR="00A04A94">
        <w:rPr>
          <w:rFonts w:cs="Arial"/>
          <w:color w:val="58595B"/>
          <w:sz w:val="36"/>
          <w:szCs w:val="36"/>
        </w:rPr>
        <w:tab/>
      </w:r>
    </w:p>
    <w:p w:rsidR="00A04A94" w:rsidRDefault="00956680" w:rsidP="00A04A94">
      <w:pPr>
        <w:ind w:left="3600"/>
        <w:rPr>
          <w:rFonts w:cs="Arial"/>
          <w:color w:val="58595B"/>
          <w:sz w:val="36"/>
          <w:szCs w:val="36"/>
        </w:rPr>
      </w:pPr>
      <w:r>
        <w:rPr>
          <w:rFonts w:cs="Arial"/>
          <w:b/>
          <w:color w:val="58595B"/>
          <w:sz w:val="36"/>
          <w:szCs w:val="36"/>
        </w:rPr>
        <w:t xml:space="preserve">Activity 4 </w:t>
      </w:r>
      <w:r w:rsidR="0025237A">
        <w:rPr>
          <w:rFonts w:cs="Arial"/>
          <w:b/>
          <w:color w:val="58595B"/>
          <w:sz w:val="36"/>
          <w:szCs w:val="36"/>
        </w:rPr>
        <w:t xml:space="preserve">  </w:t>
      </w:r>
      <w:r>
        <w:rPr>
          <w:rFonts w:cs="Arial"/>
          <w:b/>
          <w:color w:val="58595B"/>
          <w:sz w:val="36"/>
          <w:szCs w:val="36"/>
        </w:rPr>
        <w:t xml:space="preserve"> </w:t>
      </w:r>
      <w:r w:rsidR="0025237A">
        <w:rPr>
          <w:rFonts w:cs="Arial"/>
          <w:b/>
          <w:color w:val="58595B"/>
          <w:sz w:val="36"/>
          <w:szCs w:val="36"/>
        </w:rPr>
        <w:t xml:space="preserve"> </w:t>
      </w:r>
      <w:r>
        <w:rPr>
          <w:rFonts w:cs="Arial"/>
          <w:b/>
          <w:color w:val="58595B"/>
          <w:sz w:val="36"/>
          <w:szCs w:val="36"/>
        </w:rPr>
        <w:t>(</w:t>
      </w:r>
      <w:r w:rsidR="00C07A2D">
        <w:rPr>
          <w:rFonts w:cs="Arial"/>
          <w:b/>
          <w:color w:val="58595B"/>
          <w:sz w:val="36"/>
          <w:szCs w:val="36"/>
        </w:rPr>
        <w:t>8</w:t>
      </w:r>
      <w:r w:rsidR="00F81C93">
        <w:rPr>
          <w:rFonts w:cs="Arial"/>
          <w:b/>
          <w:color w:val="58595B"/>
          <w:sz w:val="36"/>
          <w:szCs w:val="36"/>
        </w:rPr>
        <w:t>23</w:t>
      </w:r>
      <w:r w:rsidR="00A96773">
        <w:rPr>
          <w:rFonts w:cs="Arial"/>
          <w:b/>
          <w:color w:val="58595B"/>
          <w:sz w:val="36"/>
          <w:szCs w:val="36"/>
        </w:rPr>
        <w:t xml:space="preserve"> </w:t>
      </w:r>
      <w:r w:rsidR="00A04A94">
        <w:rPr>
          <w:rFonts w:cs="Arial"/>
          <w:b/>
          <w:color w:val="58595B"/>
          <w:sz w:val="36"/>
          <w:szCs w:val="36"/>
        </w:rPr>
        <w:t xml:space="preserve">words) </w:t>
      </w:r>
      <w:r w:rsidR="00A04A94">
        <w:rPr>
          <w:rFonts w:cs="Arial"/>
          <w:color w:val="58595B"/>
          <w:sz w:val="36"/>
          <w:szCs w:val="36"/>
        </w:rPr>
        <w:tab/>
      </w:r>
    </w:p>
    <w:p w:rsidR="00A04A94" w:rsidRDefault="00A04A94" w:rsidP="00A04A94">
      <w:pPr>
        <w:rPr>
          <w:rFonts w:cs="Arial"/>
          <w:color w:val="58595B"/>
          <w:sz w:val="36"/>
          <w:szCs w:val="36"/>
        </w:rPr>
      </w:pPr>
      <w:r>
        <w:rPr>
          <w:rFonts w:cs="Arial"/>
          <w:color w:val="58595B"/>
          <w:sz w:val="36"/>
          <w:szCs w:val="36"/>
        </w:rPr>
        <w:t>Total Word Count:</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r>
      <w:r w:rsidR="00956680">
        <w:rPr>
          <w:rFonts w:cs="Arial"/>
          <w:color w:val="58595B"/>
          <w:sz w:val="36"/>
          <w:szCs w:val="36"/>
        </w:rPr>
        <w:t xml:space="preserve"> </w:t>
      </w:r>
      <w:r w:rsidRPr="0024694A">
        <w:rPr>
          <w:rFonts w:cs="Arial"/>
          <w:b/>
          <w:color w:val="58595B"/>
          <w:sz w:val="36"/>
          <w:szCs w:val="36"/>
        </w:rPr>
        <w:t xml:space="preserve">  </w:t>
      </w:r>
      <w:r w:rsidR="00815608">
        <w:rPr>
          <w:rFonts w:cs="Arial"/>
          <w:b/>
          <w:color w:val="58595B"/>
          <w:sz w:val="36"/>
          <w:szCs w:val="36"/>
        </w:rPr>
        <w:t>3,</w:t>
      </w:r>
      <w:r w:rsidR="003B1535">
        <w:rPr>
          <w:rFonts w:cs="Arial"/>
          <w:b/>
          <w:color w:val="58595B"/>
          <w:sz w:val="36"/>
          <w:szCs w:val="36"/>
        </w:rPr>
        <w:t>286</w:t>
      </w:r>
      <w:r w:rsidR="0024694A">
        <w:rPr>
          <w:rFonts w:cs="Arial"/>
          <w:color w:val="58595B"/>
          <w:sz w:val="36"/>
          <w:szCs w:val="36"/>
        </w:rPr>
        <w:t xml:space="preserve"> </w:t>
      </w:r>
      <w:r>
        <w:rPr>
          <w:rFonts w:cs="Arial"/>
          <w:b/>
          <w:color w:val="58595B"/>
          <w:sz w:val="36"/>
          <w:szCs w:val="36"/>
        </w:rPr>
        <w:t>words</w:t>
      </w:r>
    </w:p>
    <w:p w:rsidR="00A04A94" w:rsidRDefault="00A04A94" w:rsidP="00A04A94">
      <w:pPr>
        <w:rPr>
          <w:rFonts w:cs="Arial"/>
          <w:color w:val="58595B"/>
          <w:sz w:val="36"/>
          <w:szCs w:val="36"/>
        </w:rPr>
      </w:pPr>
      <w:r>
        <w:rPr>
          <w:rFonts w:cs="Arial"/>
          <w:color w:val="58595B"/>
          <w:sz w:val="36"/>
          <w:szCs w:val="36"/>
        </w:rPr>
        <w:t>Student Name:</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t>Kate Houston</w:t>
      </w:r>
    </w:p>
    <w:p w:rsidR="00A04A94" w:rsidRDefault="00A04A94" w:rsidP="00A04A94">
      <w:pPr>
        <w:rPr>
          <w:rFonts w:cs="Arial"/>
          <w:color w:val="58595B"/>
          <w:sz w:val="36"/>
          <w:szCs w:val="36"/>
        </w:rPr>
      </w:pPr>
      <w:r>
        <w:rPr>
          <w:rFonts w:cs="Arial"/>
          <w:color w:val="58595B"/>
          <w:sz w:val="36"/>
          <w:szCs w:val="36"/>
        </w:rPr>
        <w:t>Student Number:</w:t>
      </w:r>
      <w:r>
        <w:rPr>
          <w:rFonts w:cs="Arial"/>
          <w:color w:val="58595B"/>
          <w:sz w:val="36"/>
          <w:szCs w:val="36"/>
        </w:rPr>
        <w:tab/>
      </w:r>
      <w:r>
        <w:rPr>
          <w:rFonts w:cs="Arial"/>
          <w:color w:val="58595B"/>
          <w:sz w:val="36"/>
          <w:szCs w:val="36"/>
        </w:rPr>
        <w:tab/>
      </w:r>
      <w:r>
        <w:rPr>
          <w:rFonts w:cs="Arial"/>
          <w:color w:val="58595B"/>
          <w:sz w:val="36"/>
          <w:szCs w:val="36"/>
        </w:rPr>
        <w:tab/>
      </w:r>
      <w:r>
        <w:rPr>
          <w:rFonts w:cs="Arial"/>
          <w:color w:val="58595B"/>
          <w:sz w:val="36"/>
          <w:szCs w:val="36"/>
        </w:rPr>
        <w:tab/>
        <w:t>1403228</w:t>
      </w:r>
    </w:p>
    <w:p w:rsidR="00A04A94" w:rsidRDefault="00A04A94" w:rsidP="00A04A94">
      <w:pPr>
        <w:rPr>
          <w:rFonts w:cs="Arial"/>
          <w:color w:val="58595B"/>
          <w:sz w:val="36"/>
          <w:szCs w:val="36"/>
        </w:rPr>
      </w:pPr>
      <w:r>
        <w:rPr>
          <w:rFonts w:cs="Arial"/>
          <w:color w:val="58595B"/>
          <w:sz w:val="36"/>
          <w:szCs w:val="36"/>
        </w:rPr>
        <w:t>CIPD Membership Number:</w:t>
      </w:r>
      <w:r>
        <w:rPr>
          <w:rFonts w:cs="Arial"/>
          <w:color w:val="58595B"/>
          <w:sz w:val="36"/>
          <w:szCs w:val="36"/>
        </w:rPr>
        <w:tab/>
      </w:r>
      <w:r>
        <w:rPr>
          <w:rFonts w:cs="Arial"/>
          <w:color w:val="58595B"/>
          <w:sz w:val="36"/>
          <w:szCs w:val="36"/>
        </w:rPr>
        <w:tab/>
      </w:r>
      <w:r>
        <w:rPr>
          <w:rFonts w:eastAsia="Times New Roman" w:cs="Arial"/>
          <w:color w:val="58595B"/>
          <w:sz w:val="36"/>
          <w:szCs w:val="36"/>
        </w:rPr>
        <w:t>49777067</w:t>
      </w:r>
    </w:p>
    <w:p w:rsidR="00A04A94" w:rsidRDefault="00A04A94" w:rsidP="00A04A94">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A04A94" w:rsidRDefault="00A04A94" w:rsidP="00A04A94">
      <w:pPr>
        <w:rPr>
          <w:rFonts w:cs="Arial"/>
          <w:color w:val="58595B"/>
          <w:sz w:val="36"/>
          <w:szCs w:val="36"/>
        </w:rPr>
      </w:pPr>
    </w:p>
    <w:p w:rsidR="00A04A94" w:rsidRDefault="00A04A94" w:rsidP="00A04A94">
      <w:pPr>
        <w:rPr>
          <w:rFonts w:cs="Arial"/>
          <w:color w:val="58595B"/>
          <w:sz w:val="36"/>
          <w:szCs w:val="36"/>
        </w:rPr>
      </w:pPr>
      <w:r>
        <w:rPr>
          <w:rFonts w:cs="Arial"/>
          <w:color w:val="58595B"/>
          <w:sz w:val="36"/>
          <w:szCs w:val="36"/>
        </w:rPr>
        <w:t xml:space="preserve">Signed: </w:t>
      </w:r>
      <w:r>
        <w:rPr>
          <w:noProof/>
          <w:lang w:eastAsia="en-GB"/>
        </w:rPr>
        <w:drawing>
          <wp:inline distT="0" distB="0" distL="0" distR="0">
            <wp:extent cx="11684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8400" cy="304800"/>
                    </a:xfrm>
                    <a:prstGeom prst="rect">
                      <a:avLst/>
                    </a:prstGeom>
                    <a:noFill/>
                    <a:ln>
                      <a:noFill/>
                    </a:ln>
                  </pic:spPr>
                </pic:pic>
              </a:graphicData>
            </a:graphic>
          </wp:inline>
        </w:drawing>
      </w:r>
      <w:r>
        <w:rPr>
          <w:rFonts w:cs="Arial"/>
          <w:color w:val="58595B"/>
          <w:sz w:val="36"/>
          <w:szCs w:val="36"/>
        </w:rPr>
        <w:t>Kate Houston</w:t>
      </w:r>
    </w:p>
    <w:p w:rsidR="00A04A94" w:rsidRDefault="00A04A94" w:rsidP="00A04A94">
      <w:pPr>
        <w:ind w:left="1440" w:hanging="1440"/>
        <w:rPr>
          <w:rFonts w:cs="Arial"/>
          <w:color w:val="58595B"/>
          <w:sz w:val="36"/>
          <w:szCs w:val="36"/>
        </w:rPr>
      </w:pPr>
      <w:r>
        <w:rPr>
          <w:rFonts w:cs="Arial"/>
          <w:color w:val="58595B"/>
          <w:sz w:val="36"/>
          <w:szCs w:val="36"/>
        </w:rPr>
        <w:t xml:space="preserve">Date:  </w:t>
      </w:r>
      <w:r>
        <w:rPr>
          <w:rFonts w:cs="Arial"/>
          <w:color w:val="58595B"/>
          <w:sz w:val="36"/>
          <w:szCs w:val="36"/>
        </w:rPr>
        <w:tab/>
      </w:r>
      <w:r>
        <w:rPr>
          <w:rFonts w:cs="Arial"/>
          <w:color w:val="58595B"/>
          <w:sz w:val="36"/>
          <w:szCs w:val="36"/>
        </w:rPr>
        <w:tab/>
      </w:r>
      <w:r>
        <w:rPr>
          <w:rFonts w:cs="Arial"/>
          <w:color w:val="58595B"/>
          <w:sz w:val="36"/>
          <w:szCs w:val="36"/>
        </w:rPr>
        <w:tab/>
        <w:t>29</w:t>
      </w:r>
      <w:r w:rsidRPr="00A04A94">
        <w:rPr>
          <w:rFonts w:cs="Arial"/>
          <w:color w:val="58595B"/>
          <w:sz w:val="36"/>
          <w:szCs w:val="36"/>
          <w:vertAlign w:val="superscript"/>
        </w:rPr>
        <w:t>th</w:t>
      </w:r>
      <w:r>
        <w:rPr>
          <w:rFonts w:cs="Arial"/>
          <w:color w:val="58595B"/>
          <w:sz w:val="36"/>
          <w:szCs w:val="36"/>
        </w:rPr>
        <w:t xml:space="preserve"> April 2019</w:t>
      </w:r>
    </w:p>
    <w:p w:rsidR="009B1ADA" w:rsidRDefault="009B1ADA"/>
    <w:p w:rsidR="00A04A94" w:rsidRDefault="00A04A94"/>
    <w:p w:rsidR="00A04A94" w:rsidRDefault="00A04A94"/>
    <w:p w:rsidR="00A04A94" w:rsidRDefault="00A04A94"/>
    <w:p w:rsidR="00A04A94" w:rsidRPr="00C02674" w:rsidRDefault="00A04A94">
      <w:pPr>
        <w:rPr>
          <w:b/>
          <w:sz w:val="24"/>
          <w:szCs w:val="24"/>
        </w:rPr>
      </w:pPr>
    </w:p>
    <w:p w:rsidR="0067749F" w:rsidRPr="000E0277" w:rsidRDefault="0067749F" w:rsidP="0067749F">
      <w:pPr>
        <w:rPr>
          <w:sz w:val="24"/>
          <w:szCs w:val="24"/>
        </w:rPr>
      </w:pPr>
      <w:r w:rsidRPr="000E0277">
        <w:rPr>
          <w:b/>
          <w:sz w:val="24"/>
          <w:szCs w:val="24"/>
        </w:rPr>
        <w:t>1.</w:t>
      </w:r>
      <w:r w:rsidRPr="000E0277">
        <w:rPr>
          <w:b/>
          <w:sz w:val="24"/>
          <w:szCs w:val="24"/>
        </w:rPr>
        <w:br/>
      </w:r>
      <w:r w:rsidRPr="000E0277">
        <w:rPr>
          <w:b/>
          <w:sz w:val="24"/>
          <w:szCs w:val="24"/>
        </w:rPr>
        <w:br/>
      </w:r>
      <w:r w:rsidRPr="000E0277">
        <w:rPr>
          <w:sz w:val="24"/>
          <w:szCs w:val="24"/>
        </w:rPr>
        <w:t xml:space="preserve">Industrial relations is the relationship between employer and employee collectively with Trade Unions acting as a voice for employees representing on employment legislation and supporting employees.  Due to declining Union membership representation occurs with or without Trade Unions (Aylott, 2018).  </w:t>
      </w:r>
    </w:p>
    <w:p w:rsidR="0067749F" w:rsidRPr="000E0277" w:rsidRDefault="0067749F" w:rsidP="0067749F">
      <w:pPr>
        <w:rPr>
          <w:sz w:val="24"/>
          <w:szCs w:val="24"/>
        </w:rPr>
      </w:pPr>
      <w:r w:rsidRPr="000E0277">
        <w:rPr>
          <w:sz w:val="24"/>
          <w:szCs w:val="24"/>
        </w:rPr>
        <w:t>Industrial relations perspective has various forces and processes (Collins and Terry, 2011):-</w:t>
      </w:r>
    </w:p>
    <w:p w:rsidR="0067749F" w:rsidRPr="000E0277" w:rsidRDefault="0067749F" w:rsidP="0067749F">
      <w:pPr>
        <w:rPr>
          <w:sz w:val="24"/>
          <w:szCs w:val="24"/>
        </w:rPr>
      </w:pPr>
      <w:r w:rsidRPr="000E0277">
        <w:rPr>
          <w:b/>
          <w:sz w:val="24"/>
          <w:szCs w:val="24"/>
        </w:rPr>
        <w:t xml:space="preserve">Indeterminacy </w:t>
      </w:r>
      <w:r w:rsidRPr="000E0277">
        <w:rPr>
          <w:sz w:val="24"/>
          <w:szCs w:val="24"/>
        </w:rPr>
        <w:t>relationship refers to the labour contract with employees selling their ability to work in exchange for money.  To ensure full labour power of their workforce employers must ensure employees are willing to perform by putting employment conditions in place.</w:t>
      </w:r>
    </w:p>
    <w:p w:rsidR="0067749F" w:rsidRPr="000E0277" w:rsidRDefault="0067749F" w:rsidP="0067749F">
      <w:pPr>
        <w:rPr>
          <w:sz w:val="24"/>
          <w:szCs w:val="24"/>
        </w:rPr>
      </w:pPr>
      <w:r w:rsidRPr="000E0277">
        <w:rPr>
          <w:b/>
          <w:sz w:val="24"/>
          <w:szCs w:val="24"/>
        </w:rPr>
        <w:t xml:space="preserve">Unequal </w:t>
      </w:r>
      <w:r w:rsidRPr="000E0277">
        <w:rPr>
          <w:sz w:val="24"/>
          <w:szCs w:val="24"/>
        </w:rPr>
        <w:t>relationship refers to employees not having a choice to work as they need to provide for their families with often limited options available to them.  Employees’ have less control and are subjected to the control of employers during the working day.  If labour markets display high unemployment employees’ choice is limited thus employees are easily replaced by new employees’ or use of technology in contrast, if labour markets tighten it is more difficult for employees to be replaced.</w:t>
      </w:r>
    </w:p>
    <w:p w:rsidR="0067749F" w:rsidRPr="000E0277" w:rsidRDefault="0067749F" w:rsidP="0067749F">
      <w:pPr>
        <w:rPr>
          <w:sz w:val="24"/>
          <w:szCs w:val="24"/>
        </w:rPr>
      </w:pPr>
      <w:r w:rsidRPr="000E0277">
        <w:rPr>
          <w:b/>
          <w:sz w:val="24"/>
          <w:szCs w:val="24"/>
        </w:rPr>
        <w:t>Dynamic</w:t>
      </w:r>
      <w:r w:rsidRPr="000E0277">
        <w:rPr>
          <w:sz w:val="24"/>
          <w:szCs w:val="24"/>
        </w:rPr>
        <w:t xml:space="preserve"> relationship refers to varying conflict and co-operation.  Employers acting forcibly exerting power can see opposition such as employees unwilling to work overtime when meeting a vital target therefore co-operation will ensure a balanced approach by both parties.  Relationships will always have elements of conflict which may only arise during a crisis or change therefore it is important to have the ability to anticipate such employment relations.</w:t>
      </w:r>
    </w:p>
    <w:p w:rsidR="0067749F" w:rsidRPr="000E0277" w:rsidRDefault="0067749F" w:rsidP="0067749F">
      <w:pPr>
        <w:rPr>
          <w:sz w:val="24"/>
          <w:szCs w:val="24"/>
        </w:rPr>
      </w:pPr>
      <w:r w:rsidRPr="000E0277">
        <w:rPr>
          <w:sz w:val="24"/>
          <w:szCs w:val="24"/>
        </w:rPr>
        <w:t>CIPD (2018), state industrial relations is replaced today by employee relations focussing on individual and collective relationships within the workplace.  Ellis (2016) state relationships are uncertain as there is no guarantee about their duration of outcomes hence the contemporary perspective highlights the need for co-operation, communication, employee participation and the possibility of conflict whereby the grievance and disciplinary process supports employer’s managing these disputes (Aylott, 2018; Ellis, 2016).</w:t>
      </w:r>
    </w:p>
    <w:p w:rsidR="0067749F" w:rsidRPr="000E0277" w:rsidRDefault="0067749F" w:rsidP="0067749F">
      <w:pPr>
        <w:rPr>
          <w:sz w:val="24"/>
          <w:szCs w:val="24"/>
        </w:rPr>
      </w:pPr>
      <w:r w:rsidRPr="000E0277">
        <w:rPr>
          <w:sz w:val="24"/>
          <w:szCs w:val="24"/>
        </w:rPr>
        <w:t>Employment relations are influenced by: employers’ maximising profit utilising efficient and effective skilled workforce for the lowest wage possible; employees seek paid employment at least the living wage ensuring they have enough money for their families; the market enables competition with supply and demand of employees moderating wages.  Labour markets are influenced by supply: the number and types of people who are searching for jobs; and demand the number and type of vacancies available.  Rarely, supply and demand are equal hence the labour market can have more vacancies available than suitable people wanting the positions therefore demand exceeds supply.  An imbalance between demand and supply occurs where there is a shortage of people and skills resulting in unemployment.   Alternatively there may be more people searching for jobs than vacancies available in this situation supply exceeds demand (Ellis, 2016; Aylott, 2018).</w:t>
      </w:r>
    </w:p>
    <w:p w:rsidR="0067749F" w:rsidRPr="000E0277" w:rsidRDefault="0067749F" w:rsidP="0067749F">
      <w:pPr>
        <w:rPr>
          <w:sz w:val="24"/>
          <w:szCs w:val="24"/>
        </w:rPr>
      </w:pPr>
      <w:r w:rsidRPr="000E0277">
        <w:rPr>
          <w:sz w:val="24"/>
          <w:szCs w:val="24"/>
        </w:rPr>
        <w:lastRenderedPageBreak/>
        <w:t>Ellis (2016) refer to two main definitions of employee relations:</w:t>
      </w:r>
    </w:p>
    <w:p w:rsidR="0067749F" w:rsidRPr="000E0277" w:rsidRDefault="0067749F" w:rsidP="0067749F">
      <w:pPr>
        <w:rPr>
          <w:sz w:val="24"/>
          <w:szCs w:val="24"/>
        </w:rPr>
      </w:pPr>
      <w:r w:rsidRPr="000E0277">
        <w:rPr>
          <w:b/>
          <w:sz w:val="24"/>
          <w:szCs w:val="24"/>
        </w:rPr>
        <w:t>Regulatory-focussed</w:t>
      </w:r>
      <w:r w:rsidRPr="000E0277">
        <w:rPr>
          <w:sz w:val="24"/>
          <w:szCs w:val="24"/>
        </w:rPr>
        <w:t xml:space="preserve"> based on regulations, rules and agreements establishing employment relationships such as policies and procedures thus agreements between managers and trade unions collectively.  Similarly, between managers and employees individually such as flexible working practices </w:t>
      </w:r>
      <w:r w:rsidRPr="000E0277">
        <w:rPr>
          <w:rFonts w:cs="Arial"/>
          <w:sz w:val="24"/>
          <w:szCs w:val="24"/>
        </w:rPr>
        <w:t>(Gennard and Judge, 2010, p.225, as cited in Taylor and Woodhams, 2016, p.100).  Externally, the Government influences employee relations through employment law and the Equality Act 2010.</w:t>
      </w:r>
    </w:p>
    <w:p w:rsidR="0067749F" w:rsidRPr="000E0277" w:rsidRDefault="0067749F" w:rsidP="0067749F">
      <w:pPr>
        <w:contextualSpacing/>
        <w:rPr>
          <w:rFonts w:cs="Arial"/>
          <w:sz w:val="24"/>
          <w:szCs w:val="24"/>
        </w:rPr>
      </w:pPr>
      <w:r w:rsidRPr="000E0277">
        <w:rPr>
          <w:rFonts w:cs="Arial"/>
          <w:b/>
          <w:sz w:val="24"/>
          <w:szCs w:val="24"/>
        </w:rPr>
        <w:t>Trust-based</w:t>
      </w:r>
      <w:r w:rsidRPr="000E0277">
        <w:rPr>
          <w:rFonts w:cs="Arial"/>
          <w:sz w:val="24"/>
          <w:szCs w:val="24"/>
        </w:rPr>
        <w:t xml:space="preserve"> focuses on employee relations indicating significance of individual and collective relationships within the workplace by employee engagement and mechanisms contributing to effective approaches such as two-way communications and attitude surveys (Ayling and Suff, 2018).</w:t>
      </w:r>
    </w:p>
    <w:p w:rsidR="0067749F" w:rsidRPr="000E0277" w:rsidRDefault="0067749F" w:rsidP="0067749F">
      <w:pPr>
        <w:contextualSpacing/>
        <w:rPr>
          <w:sz w:val="24"/>
          <w:szCs w:val="24"/>
        </w:rPr>
      </w:pPr>
    </w:p>
    <w:p w:rsidR="0067749F" w:rsidRPr="000E0277" w:rsidRDefault="0067749F" w:rsidP="0067749F">
      <w:pPr>
        <w:rPr>
          <w:sz w:val="24"/>
          <w:szCs w:val="24"/>
        </w:rPr>
      </w:pPr>
      <w:r w:rsidRPr="000E0277">
        <w:rPr>
          <w:sz w:val="24"/>
          <w:szCs w:val="24"/>
        </w:rPr>
        <w:t>Fox, 1996 (</w:t>
      </w:r>
      <w:r w:rsidRPr="000E0277">
        <w:rPr>
          <w:rFonts w:cs="Arial"/>
          <w:sz w:val="24"/>
          <w:szCs w:val="24"/>
        </w:rPr>
        <w:t xml:space="preserve">as cited in Taylor and Woodhams, 2016, p.101) </w:t>
      </w:r>
      <w:r w:rsidRPr="000E0277">
        <w:rPr>
          <w:sz w:val="24"/>
          <w:szCs w:val="24"/>
        </w:rPr>
        <w:t>attributes two traditional perspectives to how managers’ view employee relationships:-</w:t>
      </w:r>
    </w:p>
    <w:p w:rsidR="0067749F" w:rsidRPr="000E0277" w:rsidRDefault="0067749F" w:rsidP="0067749F">
      <w:pPr>
        <w:rPr>
          <w:sz w:val="24"/>
          <w:szCs w:val="24"/>
        </w:rPr>
      </w:pPr>
      <w:r w:rsidRPr="000E0277">
        <w:rPr>
          <w:b/>
          <w:sz w:val="24"/>
          <w:szCs w:val="24"/>
        </w:rPr>
        <w:t xml:space="preserve">Unitarist </w:t>
      </w:r>
      <w:r w:rsidRPr="000E0277">
        <w:rPr>
          <w:sz w:val="24"/>
          <w:szCs w:val="24"/>
        </w:rPr>
        <w:t xml:space="preserve">is the same values, interests, objectives pursuing an organisation’s goals characterised by harmony.  </w:t>
      </w:r>
    </w:p>
    <w:p w:rsidR="0067749F" w:rsidRPr="000E0277" w:rsidRDefault="0067749F" w:rsidP="0067749F">
      <w:pPr>
        <w:rPr>
          <w:sz w:val="24"/>
          <w:szCs w:val="24"/>
        </w:rPr>
      </w:pPr>
      <w:r w:rsidRPr="000E0277">
        <w:rPr>
          <w:sz w:val="24"/>
          <w:szCs w:val="24"/>
        </w:rPr>
        <w:t xml:space="preserve">In comparison, </w:t>
      </w:r>
      <w:r w:rsidRPr="000E0277">
        <w:rPr>
          <w:b/>
          <w:sz w:val="24"/>
          <w:szCs w:val="24"/>
        </w:rPr>
        <w:t xml:space="preserve">pluralist </w:t>
      </w:r>
      <w:r w:rsidRPr="000E0277">
        <w:rPr>
          <w:sz w:val="24"/>
          <w:szCs w:val="24"/>
        </w:rPr>
        <w:t xml:space="preserve">is various groups of employees with different legitimate aims where management compromises.  Employees may have shared interests with different agendas such as organisation’s wishing to maximise profits where employees wish to progress careers and maximise incomes.  </w:t>
      </w:r>
    </w:p>
    <w:p w:rsidR="0067749F" w:rsidRPr="000E0277" w:rsidRDefault="0067749F" w:rsidP="0067749F">
      <w:pPr>
        <w:rPr>
          <w:sz w:val="24"/>
          <w:szCs w:val="24"/>
        </w:rPr>
      </w:pPr>
      <w:r w:rsidRPr="000E0277">
        <w:rPr>
          <w:sz w:val="24"/>
          <w:szCs w:val="24"/>
        </w:rPr>
        <w:t>A</w:t>
      </w:r>
      <w:r w:rsidR="00E9164B" w:rsidRPr="000E0277">
        <w:rPr>
          <w:sz w:val="24"/>
          <w:szCs w:val="24"/>
        </w:rPr>
        <w:t>rmstrong</w:t>
      </w:r>
      <w:r w:rsidRPr="000E0277">
        <w:rPr>
          <w:sz w:val="24"/>
          <w:szCs w:val="24"/>
        </w:rPr>
        <w:t xml:space="preserve"> (200</w:t>
      </w:r>
      <w:r w:rsidR="00E9164B" w:rsidRPr="000E0277">
        <w:rPr>
          <w:sz w:val="24"/>
          <w:szCs w:val="24"/>
        </w:rPr>
        <w:t>9</w:t>
      </w:r>
      <w:r w:rsidRPr="000E0277">
        <w:rPr>
          <w:sz w:val="24"/>
          <w:szCs w:val="24"/>
        </w:rPr>
        <w:t>), reflect a unitarist approach has a paternalistic management style; authoritarian with a positive attitude towards employees and expects loyalty whereas pluralist does not expect loyalty and welcomes employee voice to express opinions.  Unitarist view conflict as abnormal and dysfunctional whereas pluralist view conflict as inevitable and desirable managed by the disciplinary and grievance procedure (Aron, 2011; Ellis, 2016).</w:t>
      </w:r>
    </w:p>
    <w:p w:rsidR="0067749F" w:rsidRPr="000E0277" w:rsidRDefault="0067749F" w:rsidP="0067749F">
      <w:pPr>
        <w:rPr>
          <w:sz w:val="24"/>
          <w:szCs w:val="24"/>
        </w:rPr>
      </w:pPr>
      <w:r w:rsidRPr="000E0277">
        <w:rPr>
          <w:sz w:val="24"/>
          <w:szCs w:val="24"/>
        </w:rPr>
        <w:t>Two alternative views:-</w:t>
      </w:r>
    </w:p>
    <w:p w:rsidR="0067749F" w:rsidRPr="000E0277" w:rsidRDefault="0067749F" w:rsidP="0067749F">
      <w:pPr>
        <w:rPr>
          <w:sz w:val="24"/>
          <w:szCs w:val="24"/>
        </w:rPr>
      </w:pPr>
      <w:r w:rsidRPr="000E0277">
        <w:rPr>
          <w:b/>
          <w:sz w:val="24"/>
          <w:szCs w:val="24"/>
        </w:rPr>
        <w:t>Economic view,</w:t>
      </w:r>
      <w:r w:rsidRPr="000E0277">
        <w:rPr>
          <w:sz w:val="24"/>
          <w:szCs w:val="24"/>
        </w:rPr>
        <w:t xml:space="preserve"> the employee relationship solely relates to financial transactions where employees work harder for more money.  Critics argue work can be due to personal fulfilment and identity (Ellis, 2016).  </w:t>
      </w:r>
      <w:r w:rsidRPr="000E0277">
        <w:rPr>
          <w:sz w:val="24"/>
          <w:szCs w:val="24"/>
        </w:rPr>
        <w:br/>
      </w:r>
      <w:r w:rsidRPr="000E0277">
        <w:rPr>
          <w:sz w:val="24"/>
          <w:szCs w:val="24"/>
        </w:rPr>
        <w:br/>
        <w:t>Maslow (1987) believe employees are motivated by more than the recognition of the status of employment such as social identity and contract thus the positive employment relationship is shaped by self-development through training and promotion (Aylott, 2018).</w:t>
      </w:r>
    </w:p>
    <w:p w:rsidR="0067749F" w:rsidRPr="000E0277" w:rsidRDefault="0067749F" w:rsidP="0067749F">
      <w:pPr>
        <w:rPr>
          <w:sz w:val="24"/>
          <w:szCs w:val="24"/>
        </w:rPr>
      </w:pPr>
      <w:r w:rsidRPr="000E0277">
        <w:rPr>
          <w:sz w:val="24"/>
          <w:szCs w:val="24"/>
        </w:rPr>
        <w:t xml:space="preserve">The </w:t>
      </w:r>
      <w:r w:rsidRPr="000E0277">
        <w:rPr>
          <w:b/>
          <w:sz w:val="24"/>
          <w:szCs w:val="24"/>
        </w:rPr>
        <w:t>psychological contract</w:t>
      </w:r>
      <w:r w:rsidRPr="000E0277">
        <w:rPr>
          <w:sz w:val="24"/>
          <w:szCs w:val="24"/>
        </w:rPr>
        <w:t xml:space="preserve"> emphasises this by mutual obligations in respect of both parties such as pay (Ellis, 2016), in contrast to the economic view which is only concerned with pay the psychological contract varies across time and individuals.  One employee may value job security whereas another may value training and development hence the informal expectations between both parties is more than transactional such as a legal contract (Baczor, 2019). </w:t>
      </w:r>
    </w:p>
    <w:p w:rsidR="0024694A" w:rsidRPr="000E0277" w:rsidRDefault="0024694A" w:rsidP="0024694A">
      <w:pPr>
        <w:rPr>
          <w:sz w:val="24"/>
          <w:szCs w:val="24"/>
        </w:rPr>
      </w:pPr>
    </w:p>
    <w:p w:rsidR="00370EC1" w:rsidRPr="000E0277" w:rsidRDefault="00CF6A7C" w:rsidP="00370EC1">
      <w:pPr>
        <w:rPr>
          <w:sz w:val="24"/>
          <w:szCs w:val="24"/>
        </w:rPr>
      </w:pPr>
      <w:r w:rsidRPr="000E0277">
        <w:rPr>
          <w:b/>
          <w:sz w:val="24"/>
          <w:szCs w:val="24"/>
        </w:rPr>
        <w:t>2.</w:t>
      </w:r>
      <w:r w:rsidRPr="000E0277">
        <w:rPr>
          <w:sz w:val="24"/>
          <w:szCs w:val="24"/>
        </w:rPr>
        <w:br/>
      </w:r>
      <w:r w:rsidRPr="000E0277">
        <w:rPr>
          <w:sz w:val="24"/>
          <w:szCs w:val="24"/>
        </w:rPr>
        <w:br/>
      </w:r>
      <w:r w:rsidR="00370EC1" w:rsidRPr="000E0277">
        <w:rPr>
          <w:sz w:val="24"/>
          <w:szCs w:val="24"/>
        </w:rPr>
        <w:t>An organisation’s climate relates to how employee relations are conducted and how each party behaves such as management style and whether employees and trade unions are co-operative or hostile.  Fairness, consistency, trust and communication are key to improving the climate and to resolving issues (Armstrong, 2010).</w:t>
      </w:r>
    </w:p>
    <w:p w:rsidR="00370EC1" w:rsidRPr="000E0277" w:rsidRDefault="00370EC1" w:rsidP="00370EC1">
      <w:pPr>
        <w:spacing w:after="0"/>
        <w:rPr>
          <w:sz w:val="24"/>
          <w:szCs w:val="24"/>
        </w:rPr>
      </w:pPr>
      <w:r w:rsidRPr="000E0277">
        <w:rPr>
          <w:b/>
          <w:sz w:val="24"/>
          <w:szCs w:val="24"/>
        </w:rPr>
        <w:t xml:space="preserve">Trade unions </w:t>
      </w:r>
    </w:p>
    <w:p w:rsidR="00370EC1" w:rsidRPr="000E0277" w:rsidRDefault="00370EC1" w:rsidP="00370EC1">
      <w:pPr>
        <w:rPr>
          <w:sz w:val="24"/>
          <w:szCs w:val="24"/>
        </w:rPr>
      </w:pPr>
      <w:r w:rsidRPr="000E0277">
        <w:rPr>
          <w:sz w:val="24"/>
          <w:szCs w:val="24"/>
        </w:rPr>
        <w:t xml:space="preserve">In </w:t>
      </w:r>
      <w:r w:rsidR="00192EDF" w:rsidRPr="000E0277">
        <w:rPr>
          <w:sz w:val="24"/>
          <w:szCs w:val="24"/>
        </w:rPr>
        <w:t>pursuit for democracy representing</w:t>
      </w:r>
      <w:r w:rsidR="00F335FE" w:rsidRPr="000E0277">
        <w:rPr>
          <w:sz w:val="24"/>
          <w:szCs w:val="24"/>
        </w:rPr>
        <w:t xml:space="preserve"> </w:t>
      </w:r>
      <w:r w:rsidRPr="000E0277">
        <w:rPr>
          <w:sz w:val="24"/>
          <w:szCs w:val="24"/>
        </w:rPr>
        <w:t>members’ interests through collective bargaining, negotiating with employers and government demonstrating a strong presence in the public sector (Ayling and Suff, 2018).  Exerting power ope</w:t>
      </w:r>
      <w:r w:rsidR="00F335FE" w:rsidRPr="000E0277">
        <w:rPr>
          <w:sz w:val="24"/>
          <w:szCs w:val="24"/>
        </w:rPr>
        <w:t xml:space="preserve">rates collectively or </w:t>
      </w:r>
      <w:r w:rsidRPr="000E0277">
        <w:rPr>
          <w:sz w:val="24"/>
          <w:szCs w:val="24"/>
        </w:rPr>
        <w:t>individually to re-balance the distribution of power equally between employer and employee negotiating and consult</w:t>
      </w:r>
      <w:r w:rsidR="00F335FE" w:rsidRPr="000E0277">
        <w:rPr>
          <w:sz w:val="24"/>
          <w:szCs w:val="24"/>
        </w:rPr>
        <w:t>ing on issues such as pensions</w:t>
      </w:r>
      <w:r w:rsidRPr="000E0277">
        <w:rPr>
          <w:sz w:val="24"/>
          <w:szCs w:val="24"/>
        </w:rPr>
        <w:t xml:space="preserve"> and working conditions.  </w:t>
      </w:r>
    </w:p>
    <w:p w:rsidR="00370EC1" w:rsidRPr="000E0277" w:rsidRDefault="00370EC1" w:rsidP="00370EC1">
      <w:pPr>
        <w:spacing w:after="0"/>
        <w:rPr>
          <w:sz w:val="24"/>
          <w:szCs w:val="24"/>
        </w:rPr>
      </w:pPr>
      <w:r w:rsidRPr="000E0277">
        <w:rPr>
          <w:sz w:val="24"/>
          <w:szCs w:val="24"/>
        </w:rPr>
        <w:t>Membership is in decline; as a result of a fragmented labour market; a single employer model of employment law; and with less millennials cited as a major factor for the decline regardless of high profile campaigns against employers’ such as Sports Direct.  Trade unions and employers are beginning to collaborate on challenges such as the changing workforce, disruptive technologies and new ways of working (Wright, 2011; Kelly, 2017; Ellis, 2016; Sharpe, 2018).</w:t>
      </w:r>
    </w:p>
    <w:p w:rsidR="00370EC1" w:rsidRPr="000E0277" w:rsidRDefault="00370EC1" w:rsidP="00370EC1">
      <w:pPr>
        <w:spacing w:after="0"/>
        <w:rPr>
          <w:sz w:val="24"/>
          <w:szCs w:val="24"/>
        </w:rPr>
      </w:pPr>
    </w:p>
    <w:p w:rsidR="00370EC1" w:rsidRPr="000E0277" w:rsidRDefault="00370EC1" w:rsidP="00370EC1">
      <w:pPr>
        <w:spacing w:after="0"/>
        <w:rPr>
          <w:b/>
          <w:sz w:val="24"/>
          <w:szCs w:val="24"/>
        </w:rPr>
      </w:pPr>
      <w:r w:rsidRPr="000E0277">
        <w:rPr>
          <w:b/>
          <w:sz w:val="24"/>
          <w:szCs w:val="24"/>
        </w:rPr>
        <w:t>Management Approaches</w:t>
      </w:r>
    </w:p>
    <w:p w:rsidR="00370EC1" w:rsidRPr="000E0277" w:rsidRDefault="00370EC1" w:rsidP="00370EC1">
      <w:pPr>
        <w:spacing w:after="0"/>
        <w:rPr>
          <w:sz w:val="24"/>
          <w:szCs w:val="24"/>
        </w:rPr>
      </w:pPr>
      <w:r w:rsidRPr="000E0277">
        <w:rPr>
          <w:sz w:val="24"/>
          <w:szCs w:val="24"/>
        </w:rPr>
        <w:t xml:space="preserve">Management roles within organisations have increased </w:t>
      </w:r>
      <w:r w:rsidRPr="000E0277">
        <w:rPr>
          <w:rFonts w:cs="Arial"/>
          <w:sz w:val="24"/>
          <w:szCs w:val="24"/>
        </w:rPr>
        <w:t>(Sisson, 2010, p.235, as cited in Taylor and Woodhams, 2016, p.103) the major force for change in governing employee relations in comparison to</w:t>
      </w:r>
      <w:r w:rsidRPr="000E0277">
        <w:rPr>
          <w:sz w:val="24"/>
          <w:szCs w:val="24"/>
        </w:rPr>
        <w:t xml:space="preserve"> government and trade unions.  Referring to a process, a system of authority and a group of people and are all relevant in shaping employment relations.  Power and authority can direct behaviours and decisions of others enabling managers to meet their objectives whilst influencing others utilising their knowledge, imposing rules or through offering rewards (Aylott, 2018; Ellis, 2016).  </w:t>
      </w:r>
    </w:p>
    <w:p w:rsidR="00370EC1" w:rsidRPr="000E0277" w:rsidRDefault="00370EC1" w:rsidP="00370EC1">
      <w:pPr>
        <w:spacing w:after="0"/>
        <w:rPr>
          <w:b/>
          <w:sz w:val="24"/>
          <w:szCs w:val="24"/>
        </w:rPr>
      </w:pPr>
    </w:p>
    <w:p w:rsidR="00370EC1" w:rsidRPr="000E0277" w:rsidRDefault="00370EC1" w:rsidP="00370EC1">
      <w:pPr>
        <w:rPr>
          <w:sz w:val="24"/>
          <w:szCs w:val="24"/>
        </w:rPr>
      </w:pPr>
      <w:r w:rsidRPr="000E0277">
        <w:rPr>
          <w:sz w:val="24"/>
          <w:szCs w:val="24"/>
        </w:rPr>
        <w:t>Management styles vary and approached differently according to the situation. Acting as agents front-line managers (FLM) can impact the discretionary behaviour and sense of obligation the employee holds:-</w:t>
      </w:r>
    </w:p>
    <w:p w:rsidR="00370EC1" w:rsidRPr="000E0277" w:rsidRDefault="00370EC1" w:rsidP="00370EC1">
      <w:pPr>
        <w:rPr>
          <w:sz w:val="24"/>
          <w:szCs w:val="24"/>
        </w:rPr>
      </w:pPr>
      <w:r w:rsidRPr="000E0277">
        <w:rPr>
          <w:b/>
          <w:sz w:val="24"/>
          <w:szCs w:val="24"/>
        </w:rPr>
        <w:t>Employee coaches</w:t>
      </w:r>
      <w:r w:rsidRPr="000E0277">
        <w:rPr>
          <w:sz w:val="24"/>
          <w:szCs w:val="24"/>
        </w:rPr>
        <w:t xml:space="preserve"> tailor their approach to the employee and situation offering better employee and organisational commitment.  FLM motivate and coach employees rather than a transactional approach monitoring and correcting employees (Kilroy and Dundon, 2014).</w:t>
      </w:r>
      <w:r w:rsidRPr="000E0277">
        <w:rPr>
          <w:sz w:val="24"/>
          <w:szCs w:val="24"/>
        </w:rPr>
        <w:br/>
      </w:r>
      <w:r w:rsidRPr="000E0277">
        <w:rPr>
          <w:sz w:val="24"/>
          <w:szCs w:val="24"/>
        </w:rPr>
        <w:br/>
      </w:r>
      <w:r w:rsidRPr="000E0277">
        <w:rPr>
          <w:b/>
          <w:sz w:val="24"/>
          <w:szCs w:val="24"/>
        </w:rPr>
        <w:t>Organisational leader</w:t>
      </w:r>
      <w:r w:rsidRPr="000E0277">
        <w:rPr>
          <w:sz w:val="24"/>
          <w:szCs w:val="24"/>
        </w:rPr>
        <w:t xml:space="preserve"> implements human resource management (HRM) selectively into practice.  FLM have a major influence on employees experiences in their working life and not only enact HR policy but undertake duties such as selecting, appraising, developing and communicating with employees and influence attitudes and behaviours supporting a leadership role (Kilroy and Dundon, 2014).</w:t>
      </w:r>
    </w:p>
    <w:p w:rsidR="00370EC1" w:rsidRPr="000E0277" w:rsidRDefault="00370EC1" w:rsidP="00370EC1">
      <w:pPr>
        <w:rPr>
          <w:sz w:val="24"/>
          <w:szCs w:val="24"/>
        </w:rPr>
      </w:pPr>
      <w:r w:rsidRPr="000E0277">
        <w:rPr>
          <w:b/>
          <w:sz w:val="24"/>
          <w:szCs w:val="24"/>
        </w:rPr>
        <w:lastRenderedPageBreak/>
        <w:t>Policy enactor</w:t>
      </w:r>
      <w:r w:rsidRPr="000E0277">
        <w:rPr>
          <w:sz w:val="24"/>
          <w:szCs w:val="24"/>
        </w:rPr>
        <w:t xml:space="preserve"> implements HRM in a rigid way (Ellis, 2016) reducing costs of delivering a more comprehensive approach to HRM providing direct responsibility and speeding up decision-making this relationship is seen as dynamic (Kilroy and Dundon, 2014).</w:t>
      </w:r>
    </w:p>
    <w:p w:rsidR="00370EC1" w:rsidRPr="000E0277" w:rsidRDefault="00370EC1" w:rsidP="00370EC1">
      <w:pPr>
        <w:spacing w:line="259" w:lineRule="auto"/>
        <w:rPr>
          <w:sz w:val="24"/>
          <w:szCs w:val="24"/>
        </w:rPr>
      </w:pPr>
      <w:r w:rsidRPr="000E0277">
        <w:rPr>
          <w:b/>
          <w:sz w:val="24"/>
          <w:szCs w:val="24"/>
        </w:rPr>
        <w:t>Government</w:t>
      </w:r>
      <w:r w:rsidR="00192EDF" w:rsidRPr="000E0277">
        <w:rPr>
          <w:sz w:val="24"/>
          <w:szCs w:val="24"/>
        </w:rPr>
        <w:br/>
        <w:t>I</w:t>
      </w:r>
      <w:r w:rsidRPr="000E0277">
        <w:rPr>
          <w:sz w:val="24"/>
          <w:szCs w:val="24"/>
        </w:rPr>
        <w:t xml:space="preserve">mplementing policy and drafting laws managing the economy ensuring high levels of employment, low inflation and steady growth.  </w:t>
      </w:r>
      <w:r w:rsidR="007667B1" w:rsidRPr="000E0277">
        <w:rPr>
          <w:sz w:val="24"/>
          <w:szCs w:val="24"/>
        </w:rPr>
        <w:t>Directly impacting</w:t>
      </w:r>
      <w:r w:rsidRPr="000E0277">
        <w:rPr>
          <w:sz w:val="24"/>
          <w:szCs w:val="24"/>
        </w:rPr>
        <w:t xml:space="preserve"> employee relations through its role as employer in the public sector such as local and national government and NHS Trusts influencing </w:t>
      </w:r>
      <w:r w:rsidR="00192EDF" w:rsidRPr="000E0277">
        <w:rPr>
          <w:sz w:val="24"/>
          <w:szCs w:val="24"/>
        </w:rPr>
        <w:t xml:space="preserve">policies and procedures and </w:t>
      </w:r>
      <w:r w:rsidRPr="000E0277">
        <w:rPr>
          <w:sz w:val="24"/>
          <w:szCs w:val="24"/>
        </w:rPr>
        <w:t xml:space="preserve">once a model employer offering job security, pension schemes and comparable pay structures utilising trade unions. However, reflective of which political party is in government currently the emphasis is on cost savings </w:t>
      </w:r>
      <w:r w:rsidR="00192EDF" w:rsidRPr="000E0277">
        <w:rPr>
          <w:sz w:val="24"/>
          <w:szCs w:val="24"/>
        </w:rPr>
        <w:t>such as</w:t>
      </w:r>
      <w:r w:rsidRPr="000E0277">
        <w:rPr>
          <w:sz w:val="24"/>
          <w:szCs w:val="24"/>
        </w:rPr>
        <w:t xml:space="preserve"> pay freezes and job cuts with detrimental implications for employment relationships between employees and trade unions and less as a model employer (Aylott, 2018).</w:t>
      </w:r>
    </w:p>
    <w:p w:rsidR="00370EC1" w:rsidRPr="000E0277" w:rsidRDefault="00370EC1" w:rsidP="00A81B23">
      <w:pPr>
        <w:spacing w:after="0"/>
        <w:rPr>
          <w:sz w:val="24"/>
          <w:szCs w:val="24"/>
        </w:rPr>
      </w:pPr>
      <w:r w:rsidRPr="000E0277">
        <w:rPr>
          <w:sz w:val="24"/>
          <w:szCs w:val="24"/>
        </w:rPr>
        <w:t>Legal framework addresses the imbalance in employee relationships by new legislation emerging from the UK and EU.  As legislator it decides on which employment law to implement from the UK Parliament and the European Union</w:t>
      </w:r>
      <w:r w:rsidR="004E15FD" w:rsidRPr="000E0277">
        <w:rPr>
          <w:sz w:val="24"/>
          <w:szCs w:val="24"/>
        </w:rPr>
        <w:t>s (EU).  The Labour Government committed</w:t>
      </w:r>
      <w:r w:rsidRPr="000E0277">
        <w:rPr>
          <w:sz w:val="24"/>
          <w:szCs w:val="24"/>
        </w:rPr>
        <w:t xml:space="preserve"> the UK to adopting European law which is associated with ‘a strong welfare state’ hence improving competiveness, fairness at work, providing </w:t>
      </w:r>
      <w:r w:rsidR="00D07E75" w:rsidRPr="000E0277">
        <w:rPr>
          <w:sz w:val="24"/>
          <w:szCs w:val="24"/>
        </w:rPr>
        <w:t xml:space="preserve">minimum employment standards </w:t>
      </w:r>
      <w:r w:rsidRPr="000E0277">
        <w:rPr>
          <w:sz w:val="24"/>
          <w:szCs w:val="24"/>
        </w:rPr>
        <w:t>encourag</w:t>
      </w:r>
      <w:r w:rsidR="00D07E75" w:rsidRPr="000E0277">
        <w:rPr>
          <w:sz w:val="24"/>
          <w:szCs w:val="24"/>
        </w:rPr>
        <w:t>ing</w:t>
      </w:r>
      <w:r w:rsidRPr="000E0277">
        <w:rPr>
          <w:sz w:val="24"/>
          <w:szCs w:val="24"/>
        </w:rPr>
        <w:t xml:space="preserve"> a flexible workforce such as the Working Time Directive (Gennard, 1998; Ellis, 2016).  </w:t>
      </w:r>
    </w:p>
    <w:p w:rsidR="00A81B23" w:rsidRPr="000E0277" w:rsidRDefault="00A81B23" w:rsidP="00A81B23">
      <w:pPr>
        <w:spacing w:after="0"/>
        <w:rPr>
          <w:color w:val="FF0000"/>
          <w:sz w:val="24"/>
          <w:szCs w:val="24"/>
        </w:rPr>
      </w:pPr>
    </w:p>
    <w:p w:rsidR="00370EC1" w:rsidRPr="000E0277" w:rsidRDefault="00F335FE" w:rsidP="00370EC1">
      <w:pPr>
        <w:spacing w:line="259" w:lineRule="auto"/>
        <w:rPr>
          <w:sz w:val="24"/>
          <w:szCs w:val="24"/>
        </w:rPr>
      </w:pPr>
      <w:r w:rsidRPr="000E0277">
        <w:rPr>
          <w:sz w:val="24"/>
          <w:szCs w:val="24"/>
        </w:rPr>
        <w:t>It exerts</w:t>
      </w:r>
      <w:r w:rsidR="00370EC1" w:rsidRPr="000E0277">
        <w:rPr>
          <w:sz w:val="24"/>
          <w:szCs w:val="24"/>
        </w:rPr>
        <w:t xml:space="preserve"> indirect influence on employee relationships through its agencies such as The Advisory, Conciliation and Arbitration Service (ACAS) and </w:t>
      </w:r>
      <w:r w:rsidR="00370EC1" w:rsidRPr="000E0277">
        <w:rPr>
          <w:rFonts w:cs="Arial"/>
          <w:color w:val="3D3A3B"/>
          <w:sz w:val="24"/>
          <w:szCs w:val="24"/>
          <w:shd w:val="clear" w:color="auto" w:fill="FFFFFF"/>
        </w:rPr>
        <w:t>Equality and Humans Rights Commission (</w:t>
      </w:r>
      <w:r w:rsidR="00370EC1" w:rsidRPr="000E0277">
        <w:rPr>
          <w:sz w:val="24"/>
          <w:szCs w:val="24"/>
        </w:rPr>
        <w:t>EHRC).</w:t>
      </w:r>
    </w:p>
    <w:p w:rsidR="00370EC1" w:rsidRPr="000E0277" w:rsidRDefault="00370EC1" w:rsidP="00370EC1">
      <w:pPr>
        <w:spacing w:after="0" w:line="259" w:lineRule="auto"/>
        <w:rPr>
          <w:b/>
          <w:sz w:val="24"/>
          <w:szCs w:val="24"/>
        </w:rPr>
      </w:pPr>
      <w:r w:rsidRPr="000E0277">
        <w:rPr>
          <w:b/>
          <w:sz w:val="24"/>
          <w:szCs w:val="24"/>
        </w:rPr>
        <w:t>Agencies</w:t>
      </w:r>
    </w:p>
    <w:p w:rsidR="00370EC1" w:rsidRPr="000E0277" w:rsidRDefault="00370EC1" w:rsidP="00370EC1">
      <w:pPr>
        <w:spacing w:after="0" w:line="259" w:lineRule="auto"/>
        <w:rPr>
          <w:sz w:val="24"/>
          <w:szCs w:val="24"/>
        </w:rPr>
      </w:pPr>
      <w:r w:rsidRPr="000E0277">
        <w:rPr>
          <w:sz w:val="24"/>
          <w:szCs w:val="24"/>
        </w:rPr>
        <w:t>ACAS is an independent body receiving</w:t>
      </w:r>
      <w:r w:rsidR="00A81B23" w:rsidRPr="000E0277">
        <w:rPr>
          <w:sz w:val="24"/>
          <w:szCs w:val="24"/>
        </w:rPr>
        <w:t xml:space="preserve"> Government funding, p</w:t>
      </w:r>
      <w:r w:rsidRPr="000E0277">
        <w:rPr>
          <w:sz w:val="24"/>
          <w:szCs w:val="24"/>
        </w:rPr>
        <w:t xml:space="preserve">roviding advice to employers relating to good practice via dispute resolutions methods: conciliation, arbitration and mediation.  ACAS conciliates in collective disputes explaining both side’s position negotiating an agreement (Aylott, 2018).  </w:t>
      </w:r>
    </w:p>
    <w:p w:rsidR="00370EC1" w:rsidRPr="000E0277" w:rsidRDefault="00370EC1" w:rsidP="00370EC1">
      <w:pPr>
        <w:spacing w:after="0" w:line="259" w:lineRule="auto"/>
        <w:rPr>
          <w:sz w:val="24"/>
          <w:szCs w:val="24"/>
        </w:rPr>
      </w:pPr>
    </w:p>
    <w:p w:rsidR="00370EC1" w:rsidRPr="000E0277" w:rsidRDefault="00370EC1" w:rsidP="00370EC1">
      <w:pPr>
        <w:spacing w:after="0" w:line="259" w:lineRule="auto"/>
        <w:rPr>
          <w:sz w:val="24"/>
          <w:szCs w:val="24"/>
        </w:rPr>
      </w:pPr>
      <w:r w:rsidRPr="000E0277">
        <w:rPr>
          <w:sz w:val="24"/>
          <w:szCs w:val="24"/>
        </w:rPr>
        <w:t xml:space="preserve">The ACAS Codes of Practice such as Discipline at Work although </w:t>
      </w:r>
      <w:r w:rsidR="00D07E75" w:rsidRPr="000E0277">
        <w:rPr>
          <w:sz w:val="24"/>
          <w:szCs w:val="24"/>
        </w:rPr>
        <w:t xml:space="preserve">not statute seeks to define </w:t>
      </w:r>
      <w:r w:rsidRPr="000E0277">
        <w:rPr>
          <w:sz w:val="24"/>
          <w:szCs w:val="24"/>
        </w:rPr>
        <w:t xml:space="preserve">expectations of both employers and employees when handling disciplinary cases used as guidance to the law as an effective way to manage such employment relations.  </w:t>
      </w:r>
    </w:p>
    <w:p w:rsidR="00370EC1" w:rsidRPr="000E0277" w:rsidRDefault="00370EC1" w:rsidP="00370EC1">
      <w:pPr>
        <w:spacing w:after="0" w:line="259" w:lineRule="auto"/>
        <w:rPr>
          <w:sz w:val="24"/>
          <w:szCs w:val="24"/>
        </w:rPr>
      </w:pPr>
    </w:p>
    <w:p w:rsidR="00370EC1" w:rsidRPr="000E0277" w:rsidRDefault="00370EC1" w:rsidP="00370EC1">
      <w:pPr>
        <w:spacing w:after="0" w:line="259" w:lineRule="auto"/>
        <w:rPr>
          <w:sz w:val="24"/>
          <w:szCs w:val="24"/>
        </w:rPr>
      </w:pPr>
      <w:r w:rsidRPr="000E0277">
        <w:rPr>
          <w:sz w:val="24"/>
          <w:szCs w:val="24"/>
        </w:rPr>
        <w:t>All Employment Tribunals claims must first be lodged with ACAS in an attempt to reduce number of claims proceeding to tribunals thus resolved informally (Ellis, 2016).</w:t>
      </w:r>
    </w:p>
    <w:p w:rsidR="00370EC1" w:rsidRPr="000E0277" w:rsidRDefault="00370EC1" w:rsidP="00370EC1">
      <w:pPr>
        <w:spacing w:after="0" w:line="259" w:lineRule="auto"/>
        <w:rPr>
          <w:sz w:val="24"/>
          <w:szCs w:val="24"/>
        </w:rPr>
      </w:pPr>
    </w:p>
    <w:p w:rsidR="00370EC1" w:rsidRPr="000E0277" w:rsidRDefault="00370EC1" w:rsidP="00370EC1">
      <w:pPr>
        <w:rPr>
          <w:sz w:val="24"/>
          <w:szCs w:val="24"/>
        </w:rPr>
      </w:pPr>
      <w:r w:rsidRPr="000E0277">
        <w:rPr>
          <w:rFonts w:cs="Arial"/>
          <w:color w:val="3D3A3B"/>
          <w:sz w:val="24"/>
          <w:szCs w:val="24"/>
          <w:shd w:val="clear" w:color="auto" w:fill="FFFFFF"/>
        </w:rPr>
        <w:t xml:space="preserve">EHRC was set up by the Government as an independent statutory body.  Parliament gave the EHRC mandate to challenge, protect and promote human rights in order to create fairness and enforce equality by: acting as a catalyst for change; to provide information; an influencer; an evaluator; and enforcer and in doing so protects people against the nine </w:t>
      </w:r>
      <w:r w:rsidRPr="000E0277">
        <w:rPr>
          <w:sz w:val="24"/>
          <w:szCs w:val="24"/>
        </w:rPr>
        <w:t xml:space="preserve">protected characteristics: age; gender reassignment; marital status and civil partnership; </w:t>
      </w:r>
      <w:r w:rsidRPr="000E0277">
        <w:rPr>
          <w:sz w:val="24"/>
          <w:szCs w:val="24"/>
        </w:rPr>
        <w:lastRenderedPageBreak/>
        <w:t xml:space="preserve">pregnancy and maternity; disability; race; religion or belief; sex or sexual orientation (EHRC, 2018; Daniels, 2019; Gov, 2015).  </w:t>
      </w:r>
    </w:p>
    <w:p w:rsidR="000C2953" w:rsidRPr="000E0277" w:rsidRDefault="000C2953">
      <w:pPr>
        <w:spacing w:line="259" w:lineRule="auto"/>
        <w:rPr>
          <w:b/>
          <w:sz w:val="24"/>
          <w:szCs w:val="24"/>
        </w:rPr>
      </w:pPr>
      <w:r w:rsidRPr="000E0277">
        <w:rPr>
          <w:b/>
          <w:sz w:val="24"/>
          <w:szCs w:val="24"/>
        </w:rPr>
        <w:br w:type="page"/>
      </w:r>
    </w:p>
    <w:p w:rsidR="00B60BF3" w:rsidRPr="000E0277" w:rsidRDefault="00834BB6" w:rsidP="00834BB6">
      <w:pPr>
        <w:rPr>
          <w:b/>
          <w:sz w:val="24"/>
          <w:szCs w:val="24"/>
        </w:rPr>
      </w:pPr>
      <w:r w:rsidRPr="000E0277">
        <w:rPr>
          <w:b/>
          <w:sz w:val="24"/>
          <w:szCs w:val="24"/>
        </w:rPr>
        <w:lastRenderedPageBreak/>
        <w:t>3.</w:t>
      </w:r>
    </w:p>
    <w:p w:rsidR="004429AB" w:rsidRPr="000E0277" w:rsidRDefault="004429AB" w:rsidP="004429AB">
      <w:pPr>
        <w:spacing w:line="259" w:lineRule="auto"/>
        <w:rPr>
          <w:sz w:val="24"/>
          <w:szCs w:val="24"/>
        </w:rPr>
      </w:pPr>
      <w:r w:rsidRPr="000E0277">
        <w:rPr>
          <w:sz w:val="24"/>
          <w:szCs w:val="24"/>
        </w:rPr>
        <w:t xml:space="preserve">The CIPD (2019) cite employee voice as “the ability of employees to express their views, opinions, concerns and suggestions, and for these to influence decisions at work”.  </w:t>
      </w:r>
    </w:p>
    <w:p w:rsidR="004429AB" w:rsidRPr="000E0277" w:rsidRDefault="004429AB" w:rsidP="004429AB">
      <w:pPr>
        <w:spacing w:line="259" w:lineRule="auto"/>
        <w:rPr>
          <w:sz w:val="24"/>
          <w:szCs w:val="24"/>
        </w:rPr>
      </w:pPr>
      <w:r w:rsidRPr="000E0277">
        <w:rPr>
          <w:sz w:val="24"/>
          <w:szCs w:val="24"/>
        </w:rPr>
        <w:t xml:space="preserve">Employees’ voice enables communication influencing decisions affecting them whereas employers’ voice provides greater innovation, happier workforce, increased productivity, reduced workplace conflict, reduced absenteeism, a more collegiate environment between senior management and employees and organisational improvement (Taylor, 2017).  Creating a trustful and open relationship leading to increased job satisfaction, improved working conditions, better commitment and career development for the employee (Taylor, 2017; CIPD, 2019).  </w:t>
      </w:r>
    </w:p>
    <w:p w:rsidR="004429AB" w:rsidRPr="000E0277" w:rsidRDefault="004429AB" w:rsidP="004429AB">
      <w:pPr>
        <w:spacing w:line="259" w:lineRule="auto"/>
        <w:rPr>
          <w:sz w:val="24"/>
          <w:szCs w:val="24"/>
        </w:rPr>
      </w:pPr>
      <w:r w:rsidRPr="000E0277">
        <w:rPr>
          <w:sz w:val="24"/>
          <w:szCs w:val="24"/>
        </w:rPr>
        <w:t>Traditionally, trade unions gave employee</w:t>
      </w:r>
      <w:r w:rsidR="00A767C3" w:rsidRPr="000E0277">
        <w:rPr>
          <w:sz w:val="24"/>
          <w:szCs w:val="24"/>
        </w:rPr>
        <w:t>’</w:t>
      </w:r>
      <w:r w:rsidRPr="000E0277">
        <w:rPr>
          <w:sz w:val="24"/>
          <w:szCs w:val="24"/>
        </w:rPr>
        <w:t>s voice</w:t>
      </w:r>
      <w:r w:rsidR="00A767C3" w:rsidRPr="000E0277">
        <w:rPr>
          <w:sz w:val="24"/>
          <w:szCs w:val="24"/>
        </w:rPr>
        <w:t>s</w:t>
      </w:r>
      <w:r w:rsidRPr="000E0277">
        <w:rPr>
          <w:sz w:val="24"/>
          <w:szCs w:val="24"/>
        </w:rPr>
        <w:t xml:space="preserve"> determining terms and conditions of employment by collective bargaining</w:t>
      </w:r>
      <w:r w:rsidR="00A767C3" w:rsidRPr="000E0277">
        <w:rPr>
          <w:sz w:val="24"/>
          <w:szCs w:val="24"/>
        </w:rPr>
        <w:t>,</w:t>
      </w:r>
      <w:r w:rsidRPr="000E0277">
        <w:rPr>
          <w:sz w:val="24"/>
          <w:szCs w:val="24"/>
        </w:rPr>
        <w:t xml:space="preserve"> these collective agreements have decreased with the decline of trade unions</w:t>
      </w:r>
      <w:r w:rsidR="00A767C3" w:rsidRPr="000E0277">
        <w:rPr>
          <w:sz w:val="24"/>
          <w:szCs w:val="24"/>
        </w:rPr>
        <w:t>;</w:t>
      </w:r>
      <w:r w:rsidRPr="000E0277">
        <w:rPr>
          <w:sz w:val="24"/>
          <w:szCs w:val="24"/>
        </w:rPr>
        <w:t xml:space="preserve"> alternative direct channels of communication have emerged between management and employees either individually or collectively thus enabling HR professionals and line-managers to support employment relationships participating in decision-making and an engaging workforce (Aylott, 2018; CIPD, 2019).  </w:t>
      </w:r>
    </w:p>
    <w:p w:rsidR="004429AB" w:rsidRPr="000E0277" w:rsidRDefault="004429AB" w:rsidP="004429AB">
      <w:pPr>
        <w:spacing w:line="259" w:lineRule="auto"/>
        <w:rPr>
          <w:sz w:val="24"/>
          <w:szCs w:val="24"/>
        </w:rPr>
      </w:pPr>
      <w:r w:rsidRPr="000E0277">
        <w:rPr>
          <w:sz w:val="24"/>
          <w:szCs w:val="24"/>
        </w:rPr>
        <w:t xml:space="preserve">The Taylor Review suggests in light of recent public attention to the practices of some companies and how their workforce operate staff engagement and satisfaction provides greater transparency and good practice (Sharpe, 2018; Taylor 2017).  Traditional approaches such as the power paradigm where management dispenses opportunities to employees to decision-make is debated aligning the growth of atypical working such as zero hour contracts or gig economy workers who rely on different forms of ‘voice’ without waiting for their employer to provide permission (Baczor et al. 2017). </w:t>
      </w:r>
    </w:p>
    <w:p w:rsidR="004429AB" w:rsidRPr="000E0277" w:rsidRDefault="004429AB" w:rsidP="004429AB">
      <w:pPr>
        <w:spacing w:line="259" w:lineRule="auto"/>
        <w:rPr>
          <w:sz w:val="24"/>
          <w:szCs w:val="24"/>
        </w:rPr>
      </w:pPr>
      <w:r w:rsidRPr="000E0277">
        <w:rPr>
          <w:sz w:val="24"/>
          <w:szCs w:val="24"/>
        </w:rPr>
        <w:t>Best methods of employee voice have been debated</w:t>
      </w:r>
      <w:r w:rsidR="00A767C3" w:rsidRPr="000E0277">
        <w:rPr>
          <w:sz w:val="24"/>
          <w:szCs w:val="24"/>
        </w:rPr>
        <w:t>,</w:t>
      </w:r>
      <w:r w:rsidRPr="000E0277">
        <w:rPr>
          <w:sz w:val="24"/>
          <w:szCs w:val="24"/>
        </w:rPr>
        <w:t xml:space="preserve"> Taylor believes it varies between organisation and industry with no single method or approach: informal; formal; collective or individual voice; independent; employer-led initiatives; strategic topics; or day-to-day grievances (Sharpe, 2018).  </w:t>
      </w:r>
    </w:p>
    <w:p w:rsidR="004429AB" w:rsidRPr="000E0277" w:rsidRDefault="004429AB" w:rsidP="004429AB">
      <w:pPr>
        <w:spacing w:line="259" w:lineRule="auto"/>
        <w:rPr>
          <w:sz w:val="24"/>
          <w:szCs w:val="24"/>
        </w:rPr>
      </w:pPr>
      <w:r w:rsidRPr="000E0277">
        <w:rPr>
          <w:sz w:val="24"/>
          <w:szCs w:val="24"/>
        </w:rPr>
        <w:t xml:space="preserve">Employee involvement concerns individuals directly involved in rules, policies and practices with management allowing an organisation to gain ideas and co-operation through consultation and communication.   Opportunities are given to employees to make decisions encouraging ownership of a project or outcome without managerial approval enhancing free-thinking, productivity and motivation. Evident in flat structures that encourage teamwork and decentralised reporting than hierarchical structures (Quain, 2018).  </w:t>
      </w:r>
    </w:p>
    <w:p w:rsidR="004429AB" w:rsidRPr="000E0277" w:rsidRDefault="004429AB" w:rsidP="004429AB">
      <w:pPr>
        <w:spacing w:line="259" w:lineRule="auto"/>
        <w:rPr>
          <w:sz w:val="24"/>
          <w:szCs w:val="24"/>
        </w:rPr>
      </w:pPr>
      <w:r w:rsidRPr="000E0277">
        <w:rPr>
          <w:sz w:val="24"/>
          <w:szCs w:val="24"/>
        </w:rPr>
        <w:t>Communication passes information downwards to employees utilising emails, briefings, newsletters and problem solving groups.  If not formally executed can be destructive by misinformation and gossip creating uncertainty and distrust in the workforce.  In contrast, upward communication, is likely in contemporary organisations through appraisals and staff satisfaction surveys</w:t>
      </w:r>
      <w:r w:rsidR="00A41E17" w:rsidRPr="000E0277">
        <w:rPr>
          <w:sz w:val="24"/>
          <w:szCs w:val="24"/>
        </w:rPr>
        <w:t>,</w:t>
      </w:r>
      <w:r w:rsidRPr="000E0277">
        <w:rPr>
          <w:sz w:val="24"/>
          <w:szCs w:val="24"/>
        </w:rPr>
        <w:t xml:space="preserve"> although to be effective the employment relationships must display trust for employee involvement.  Direct communication exemplifies the downward shift in non-trade-union forms of voice coupled with introduction of ICE Regulations in 2005 which </w:t>
      </w:r>
      <w:r w:rsidRPr="000E0277">
        <w:rPr>
          <w:sz w:val="24"/>
          <w:szCs w:val="24"/>
        </w:rPr>
        <w:lastRenderedPageBreak/>
        <w:t xml:space="preserve">gave employees a legal right to be consulted and informed on employment issues such as job security.  These exchanges of views are entered into in good faith however, there is no requirement for the views to be implemented (Aylott, 2018; Ellis, 2016).  </w:t>
      </w:r>
    </w:p>
    <w:p w:rsidR="004429AB" w:rsidRPr="000E0277" w:rsidRDefault="004429AB" w:rsidP="004429AB">
      <w:pPr>
        <w:spacing w:line="259" w:lineRule="auto"/>
        <w:rPr>
          <w:sz w:val="24"/>
          <w:szCs w:val="24"/>
        </w:rPr>
      </w:pPr>
      <w:r w:rsidRPr="000E0277">
        <w:rPr>
          <w:sz w:val="24"/>
          <w:szCs w:val="24"/>
        </w:rPr>
        <w:t>In contrast, contemporary approaches to employee voice via employee participation allows collective and individual participation.  Allowing all employees regardless of level through business activities to pull together achieving a common goal: this is team</w:t>
      </w:r>
      <w:r w:rsidR="003417FB" w:rsidRPr="000E0277">
        <w:rPr>
          <w:sz w:val="24"/>
          <w:szCs w:val="24"/>
        </w:rPr>
        <w:t>-</w:t>
      </w:r>
      <w:r w:rsidRPr="000E0277">
        <w:rPr>
          <w:sz w:val="24"/>
          <w:szCs w:val="24"/>
        </w:rPr>
        <w:t>orientated; set in the right environment will increase morale, motivation, job satisfaction and inclusive workforce resulting in retaining the best employees for longer periods of time (Quain, 2018).  Organisational decision-making is through representatives and can include partnership working, joint consultation committees and employee forums (Aylott, 2018; Ellis, 2016).</w:t>
      </w:r>
    </w:p>
    <w:p w:rsidR="004429AB" w:rsidRPr="000E0277" w:rsidRDefault="004429AB" w:rsidP="004429AB">
      <w:pPr>
        <w:spacing w:line="259" w:lineRule="auto"/>
        <w:rPr>
          <w:sz w:val="24"/>
          <w:szCs w:val="24"/>
        </w:rPr>
      </w:pPr>
      <w:r w:rsidRPr="000E0277">
        <w:rPr>
          <w:sz w:val="24"/>
          <w:szCs w:val="24"/>
        </w:rPr>
        <w:t>Representative participation is mediated by employee representatives rather than employee and manager directly thus allowing different channels of communication via scheduled committees or ad hoc arrangements (CIPD, 2019; ACAS, ND).  Different approaches include: collective representation either through trade union representatives although not always where negotiations between senior management relate to grievances, terms and conditions or pay which can occur periodically or ad hoc depending on the employment issue; partnership schemes relating to co-operation and information sharing emphasising mutual gains; joint consultation relating to issues of common interest with trade union representation or without when employees share joint interests that are not covered by collective bargaining; employee forums are mixed groups of people who share information and consult employees;  the European Works Councils function in large multinational companies across Europe where employee representatives discuss with senior management transnational issues (CIPD, 2019).</w:t>
      </w:r>
    </w:p>
    <w:p w:rsidR="004429AB" w:rsidRPr="000E0277" w:rsidRDefault="004429AB" w:rsidP="004429AB">
      <w:pPr>
        <w:pStyle w:val="NormalWeb"/>
        <w:shd w:val="clear" w:color="auto" w:fill="FFFFFF"/>
        <w:spacing w:before="0" w:beforeAutospacing="0" w:after="150" w:afterAutospacing="0"/>
        <w:rPr>
          <w:rStyle w:val="Strong"/>
          <w:rFonts w:asciiTheme="minorHAnsi" w:hAnsiTheme="minorHAnsi" w:cs="Arial"/>
          <w:b w:val="0"/>
          <w:color w:val="1A1A1A"/>
        </w:rPr>
      </w:pPr>
      <w:r w:rsidRPr="000E0277">
        <w:rPr>
          <w:rStyle w:val="Strong"/>
          <w:rFonts w:asciiTheme="minorHAnsi" w:hAnsiTheme="minorHAnsi" w:cs="Arial"/>
          <w:b w:val="0"/>
          <w:color w:val="1A1A1A"/>
        </w:rPr>
        <w:t>Sharpe (2018) refer to employee voice as employees providing feedback on their day-to-day areas of experience or expertise rather than involved in corporate decision-making.  It is noted that where executives can be trusted to be fair this works.  In recent years corporate governance highlighted the need for trade union representation as a voice therefore is still: highly valuable, an impartial method, a coherent powerful collective voice allowing two-way communication which still has an important role to play in comparison to: individual and collective voice as one is no substitute for the other.  Individually employees can voice opinions to managers, collectively employees are anonymous with two-way dialogue however</w:t>
      </w:r>
      <w:r w:rsidR="00946897" w:rsidRPr="000E0277">
        <w:rPr>
          <w:rStyle w:val="Strong"/>
          <w:rFonts w:asciiTheme="minorHAnsi" w:hAnsiTheme="minorHAnsi" w:cs="Arial"/>
          <w:b w:val="0"/>
          <w:color w:val="1A1A1A"/>
        </w:rPr>
        <w:t>,</w:t>
      </w:r>
      <w:r w:rsidRPr="000E0277">
        <w:rPr>
          <w:rStyle w:val="Strong"/>
          <w:rFonts w:asciiTheme="minorHAnsi" w:hAnsiTheme="minorHAnsi" w:cs="Arial"/>
          <w:b w:val="0"/>
          <w:color w:val="1A1A1A"/>
        </w:rPr>
        <w:t xml:space="preserve"> the importance is the employees’ voice is independent.</w:t>
      </w:r>
    </w:p>
    <w:p w:rsidR="004429AB" w:rsidRPr="000E0277" w:rsidRDefault="004429AB" w:rsidP="004429AB">
      <w:pPr>
        <w:spacing w:line="259" w:lineRule="auto"/>
        <w:rPr>
          <w:sz w:val="24"/>
          <w:szCs w:val="24"/>
        </w:rPr>
      </w:pPr>
      <w:r w:rsidRPr="000E0277">
        <w:rPr>
          <w:sz w:val="24"/>
          <w:szCs w:val="24"/>
        </w:rPr>
        <w:t>Both approaches can instil commitment to a goal and a careful balance of participation and involvement is required to determine which is applied (Quain, 2018).</w:t>
      </w:r>
    </w:p>
    <w:p w:rsidR="00C07A2D" w:rsidRPr="000E0277" w:rsidRDefault="00C07A2D">
      <w:pPr>
        <w:spacing w:line="259" w:lineRule="auto"/>
        <w:rPr>
          <w:sz w:val="24"/>
          <w:szCs w:val="24"/>
        </w:rPr>
      </w:pPr>
      <w:r w:rsidRPr="000E0277">
        <w:rPr>
          <w:sz w:val="24"/>
          <w:szCs w:val="24"/>
        </w:rPr>
        <w:br w:type="page"/>
      </w:r>
    </w:p>
    <w:p w:rsidR="00C07A2D" w:rsidRPr="000E0277" w:rsidRDefault="00C07A2D" w:rsidP="00C07A2D">
      <w:pPr>
        <w:rPr>
          <w:b/>
          <w:sz w:val="24"/>
          <w:szCs w:val="24"/>
        </w:rPr>
      </w:pPr>
      <w:r w:rsidRPr="000E0277">
        <w:rPr>
          <w:b/>
          <w:sz w:val="24"/>
          <w:szCs w:val="24"/>
        </w:rPr>
        <w:lastRenderedPageBreak/>
        <w:t>4.</w:t>
      </w:r>
    </w:p>
    <w:p w:rsidR="00C07A2D" w:rsidRPr="000E0277" w:rsidRDefault="00C07A2D" w:rsidP="00C07A2D">
      <w:pPr>
        <w:rPr>
          <w:b/>
          <w:sz w:val="24"/>
          <w:szCs w:val="24"/>
        </w:rPr>
      </w:pPr>
      <w:r w:rsidRPr="000E0277">
        <w:rPr>
          <w:b/>
          <w:sz w:val="24"/>
          <w:szCs w:val="24"/>
        </w:rPr>
        <w:br/>
      </w:r>
      <w:r w:rsidRPr="000E0277">
        <w:rPr>
          <w:sz w:val="24"/>
          <w:szCs w:val="24"/>
        </w:rPr>
        <w:t>Watson (2003, p. 230) refer to “activities occurring within the workplace that (a) according to official structure, culture and rules of the organisation, “should not happen” and (b) contain an element of challenge to the dominant modes of operating or to dominant interests in the organisation” such as resistance, strike action and sabotage occurring individually or collectively usually described as unofficial conflict or misbehaviour (Ellis, 2016).</w:t>
      </w:r>
    </w:p>
    <w:p w:rsidR="00C07A2D" w:rsidRPr="000E0277" w:rsidRDefault="00C07A2D" w:rsidP="00C07A2D">
      <w:pPr>
        <w:spacing w:line="259" w:lineRule="auto"/>
        <w:rPr>
          <w:sz w:val="24"/>
          <w:szCs w:val="24"/>
        </w:rPr>
      </w:pPr>
      <w:r w:rsidRPr="000E0277">
        <w:rPr>
          <w:sz w:val="24"/>
          <w:szCs w:val="24"/>
        </w:rPr>
        <w:t xml:space="preserve">Conflict is the perceived threat to needs and interests of the parties involved:  individuals; individual and organisation; or collective conflict with multiple employees and organisation (Aylott, 2018).  Causes include: poor management; undefined job roles; inadequate training; unfair treatment; poor communication; lack of opportunities; working environment; bullying and harassment.  </w:t>
      </w:r>
    </w:p>
    <w:p w:rsidR="00C07A2D" w:rsidRPr="000E0277" w:rsidRDefault="00C07A2D" w:rsidP="00C07A2D">
      <w:pPr>
        <w:spacing w:line="259" w:lineRule="auto"/>
        <w:rPr>
          <w:sz w:val="24"/>
          <w:szCs w:val="24"/>
        </w:rPr>
      </w:pPr>
      <w:r w:rsidRPr="000E0277">
        <w:rPr>
          <w:sz w:val="24"/>
          <w:szCs w:val="24"/>
        </w:rPr>
        <w:t xml:space="preserve">Individual conflict include clash of personalities, differentiating opinions, thought processes, interests and perceptions (MSG, ND; ACAS, ND).  Group conflict such as rivalry or disagreements.  Management conflict such as resentment, low morale and motivation focussing on a specific issues such as pay or redundancy (ACAS, ND).  Gifford (2019) recognises conflict can be good enabling innovation between teams and fair competition between individuals.  Tuckman’s model refers to the storming phase; the team jostles for position where conflict is necessary for success.  </w:t>
      </w:r>
    </w:p>
    <w:p w:rsidR="00C07A2D" w:rsidRPr="000E0277" w:rsidRDefault="00C07A2D" w:rsidP="00C07A2D">
      <w:pPr>
        <w:spacing w:line="259" w:lineRule="auto"/>
        <w:rPr>
          <w:sz w:val="24"/>
          <w:szCs w:val="24"/>
        </w:rPr>
      </w:pPr>
      <w:r w:rsidRPr="000E0277">
        <w:rPr>
          <w:sz w:val="24"/>
          <w:szCs w:val="24"/>
        </w:rPr>
        <w:t>Line-managers are fundamental either causing, experiencing or coping with the consequences (Purcell, 2014).  Line-mangers should be assisted in managing it investing in conflict prevention with information resolution as the easiest method such as handling difficult conversations training preventing strikes and employment tribunal claims (Ellis, 2016), using internal procedures such as grievances, open communication, consultation, forming employee representatives and utilising a skilled mediator (ACAS, ND; Aylott, 2018).</w:t>
      </w:r>
    </w:p>
    <w:p w:rsidR="00C07A2D" w:rsidRPr="000E0277" w:rsidRDefault="00C07A2D" w:rsidP="00C07A2D">
      <w:pPr>
        <w:rPr>
          <w:sz w:val="24"/>
          <w:szCs w:val="24"/>
        </w:rPr>
      </w:pPr>
      <w:r w:rsidRPr="000E0277">
        <w:rPr>
          <w:sz w:val="24"/>
          <w:szCs w:val="24"/>
        </w:rPr>
        <w:t>Pluralist view conflict as inevitable due to different values, interests and goals owing to employee relationships accepting trade union roles and the requirement for compromise whereas unitarist believe conflict is disloyal where union activity is opposed, as long as there is alignment between management and employee interests conflict will not occur seen as the exception not the norm (Aylott, 2018; Ellis, 2016).</w:t>
      </w:r>
    </w:p>
    <w:p w:rsidR="00F81C93" w:rsidRPr="000E0277" w:rsidRDefault="00F81C93" w:rsidP="00F81C93">
      <w:pPr>
        <w:spacing w:line="259" w:lineRule="auto"/>
        <w:rPr>
          <w:sz w:val="24"/>
          <w:szCs w:val="24"/>
        </w:rPr>
      </w:pPr>
      <w:r w:rsidRPr="000E0277">
        <w:rPr>
          <w:sz w:val="24"/>
          <w:szCs w:val="24"/>
        </w:rPr>
        <w:t xml:space="preserve">Strike action is usually official organised collectively through trade unions which is lawful due to the legal framework outlined by the Trade Union and Labour Relations Consolidated Act (1992).  </w:t>
      </w:r>
      <w:r>
        <w:rPr>
          <w:sz w:val="24"/>
          <w:szCs w:val="24"/>
        </w:rPr>
        <w:t>A period of two weeks’ notice of the ballot should be given to the employer (CIPD, 2017).  I</w:t>
      </w:r>
      <w:r w:rsidRPr="000E0277">
        <w:rPr>
          <w:sz w:val="24"/>
          <w:szCs w:val="24"/>
        </w:rPr>
        <w:t xml:space="preserve">ndustrial action such as employees’ instigating a go-slow demonstrating discontent in the workplace before returning to normal working is not authorised or endorsed by trade unions therefore unofficial and unlawful in which case employees’ breach their contract of employment with no statutory protection against unfair dismissal (CIPD, 2017).  </w:t>
      </w:r>
    </w:p>
    <w:p w:rsidR="00C07A2D" w:rsidRPr="000E0277" w:rsidRDefault="00C07A2D" w:rsidP="00C07A2D">
      <w:pPr>
        <w:spacing w:line="259" w:lineRule="auto"/>
        <w:rPr>
          <w:sz w:val="24"/>
          <w:szCs w:val="24"/>
        </w:rPr>
      </w:pPr>
      <w:r w:rsidRPr="000E0277">
        <w:rPr>
          <w:sz w:val="24"/>
          <w:szCs w:val="24"/>
        </w:rPr>
        <w:lastRenderedPageBreak/>
        <w:t xml:space="preserve">Conflict individually is expressed as grievances, complaints, resignations and absences (Ellis, 2016).  Individual conflict distinguishing factor is randomness where employees’ seek short-term objectives including reduced effort, withdrawal of co-operation, absenteeism, theft and sabotage although unlikely (Aylott, 2018; Huczynski and Buchanan, 1991).  </w:t>
      </w:r>
    </w:p>
    <w:p w:rsidR="00C07A2D" w:rsidRPr="000E0277" w:rsidRDefault="00C07A2D" w:rsidP="00C07A2D">
      <w:pPr>
        <w:spacing w:line="259" w:lineRule="auto"/>
        <w:rPr>
          <w:sz w:val="24"/>
          <w:szCs w:val="24"/>
        </w:rPr>
      </w:pPr>
      <w:r w:rsidRPr="000E0277">
        <w:rPr>
          <w:sz w:val="24"/>
          <w:szCs w:val="24"/>
        </w:rPr>
        <w:t>Managing conflict within organisations and approaches are unclear: a combination of employment tribunal fees, extension of qualifying-period for claiming unfair dismissal, settlement agreements together with early conciliation have reduced litigation encouraging flexible approaches to conflict resolutions by employers (ACAS, 2016).</w:t>
      </w:r>
    </w:p>
    <w:p w:rsidR="00C07A2D" w:rsidRPr="000E0277" w:rsidRDefault="00C07A2D" w:rsidP="00C07A2D">
      <w:pPr>
        <w:spacing w:line="259" w:lineRule="auto"/>
        <w:rPr>
          <w:sz w:val="24"/>
          <w:szCs w:val="24"/>
        </w:rPr>
      </w:pPr>
      <w:r w:rsidRPr="000E0277">
        <w:rPr>
          <w:sz w:val="24"/>
          <w:szCs w:val="24"/>
        </w:rPr>
        <w:t>When internal resolution fails, organisations can attempt to rebuild employment relationships through a neutral impartial third party such as ACAS (ACAS, 2013).  Alternative Dispute Resolution (ADR) can be achieved by all parties voluntarily accessing:-</w:t>
      </w:r>
    </w:p>
    <w:p w:rsidR="00C07A2D" w:rsidRPr="000E0277" w:rsidRDefault="00C07A2D" w:rsidP="00C07A2D">
      <w:pPr>
        <w:spacing w:line="259" w:lineRule="auto"/>
        <w:rPr>
          <w:sz w:val="24"/>
          <w:szCs w:val="24"/>
        </w:rPr>
      </w:pPr>
      <w:r w:rsidRPr="000E0277">
        <w:rPr>
          <w:sz w:val="24"/>
          <w:szCs w:val="24"/>
        </w:rPr>
        <w:t xml:space="preserve">Conciliation offers resolution by agreement before lodging a claim; an independent party reflects on the respective positions of both sides; employees intending to bring a claim to an employment tribunal must notify ACAS which offer to resolve the issue at early conciliation; either individual or collective disputes (ACAS, ND).  Advantages: informal; cheaper; quicker; less stressful than a tribunal hearing; the process is flexible as to date and time; less reputational damage; and both parties can continue to court if unsatisfied by the outcome.  Disadvantages: not legally binding; no guarantee of a decision at the end; and no appeal. </w:t>
      </w:r>
    </w:p>
    <w:p w:rsidR="00C07A2D" w:rsidRPr="000E0277" w:rsidRDefault="00C07A2D" w:rsidP="00C07A2D">
      <w:pPr>
        <w:rPr>
          <w:sz w:val="24"/>
          <w:szCs w:val="24"/>
        </w:rPr>
      </w:pPr>
      <w:r w:rsidRPr="000E0277">
        <w:rPr>
          <w:sz w:val="24"/>
          <w:szCs w:val="24"/>
        </w:rPr>
        <w:t>Mediation in early stages avoid disputes escalating however, utilised to rebuild relations at any stage.  Advantages: line-managers using mediation informally resolving differences, personality clashes, bullying or harassment, communication problems; where an impartial third party mediates it allows a mutual agreement before formalising the matter which is not legally-binding (ACAS, 2013); less costly than instigating a grievance, disciplinary or an employment tribunal (Gifford, 2019); limits future relationship damage thus providing a positive approach to resolving the dispute.  In contrast, those that wish to have more finality to a resolution may wish to avoid mediation as litigation may not be possible or unproductive wasting their time having to proceed to court regardless (Figueiredo, 2014).</w:t>
      </w:r>
    </w:p>
    <w:p w:rsidR="00C07A2D" w:rsidRPr="000E0277" w:rsidRDefault="00C07A2D" w:rsidP="00C07A2D">
      <w:pPr>
        <w:spacing w:line="259" w:lineRule="auto"/>
        <w:rPr>
          <w:sz w:val="24"/>
          <w:szCs w:val="24"/>
        </w:rPr>
      </w:pPr>
      <w:r w:rsidRPr="000E0277">
        <w:rPr>
          <w:sz w:val="24"/>
          <w:szCs w:val="24"/>
        </w:rPr>
        <w:t>Arbitration</w:t>
      </w:r>
      <w:r w:rsidRPr="000E0277">
        <w:rPr>
          <w:b/>
          <w:sz w:val="24"/>
          <w:szCs w:val="24"/>
        </w:rPr>
        <w:t xml:space="preserve"> </w:t>
      </w:r>
      <w:r w:rsidRPr="000E0277">
        <w:rPr>
          <w:sz w:val="24"/>
          <w:szCs w:val="24"/>
        </w:rPr>
        <w:t>is different to conciliation and mediation: both parties abide by the resolution and is used for unfair dismissal or claims relating to flexible working legislation (ACAS, 2013; ACAS, ND).  Disadvantages: rulings are harder to appeal regardless of a mistake in the process; harder to resolve issues; decision must be accepted; and with no jury leaves the fate in the hands of the arbitrator.  Advantages: can be quicker; and useful when protecting identities as records are sealed unlike the courts (Figueiredo, 2014).</w:t>
      </w:r>
    </w:p>
    <w:p w:rsidR="00C07A2D" w:rsidRPr="008B0192" w:rsidRDefault="00C07A2D" w:rsidP="004429AB">
      <w:pPr>
        <w:spacing w:line="259" w:lineRule="auto"/>
        <w:rPr>
          <w:b/>
        </w:rPr>
      </w:pPr>
    </w:p>
    <w:p w:rsidR="00B96928" w:rsidRPr="00C02674" w:rsidRDefault="00B96928">
      <w:pPr>
        <w:spacing w:line="259" w:lineRule="auto"/>
        <w:rPr>
          <w:sz w:val="24"/>
          <w:szCs w:val="24"/>
        </w:rPr>
      </w:pPr>
      <w:r w:rsidRPr="00C02674">
        <w:rPr>
          <w:sz w:val="24"/>
          <w:szCs w:val="24"/>
        </w:rPr>
        <w:br w:type="page"/>
      </w:r>
    </w:p>
    <w:p w:rsidR="00B60BF3" w:rsidRPr="000E0277" w:rsidRDefault="00B60BF3" w:rsidP="00B60BF3">
      <w:pPr>
        <w:spacing w:after="0"/>
        <w:rPr>
          <w:rFonts w:cs="Arial"/>
          <w:color w:val="808080" w:themeColor="background1" w:themeShade="80"/>
          <w:sz w:val="24"/>
          <w:szCs w:val="24"/>
        </w:rPr>
      </w:pPr>
      <w:r w:rsidRPr="000E0277">
        <w:rPr>
          <w:b/>
          <w:color w:val="808080" w:themeColor="background1" w:themeShade="80"/>
          <w:sz w:val="24"/>
          <w:szCs w:val="24"/>
        </w:rPr>
        <w:lastRenderedPageBreak/>
        <w:t>Bibliography</w:t>
      </w:r>
      <w:r w:rsidRPr="000E0277">
        <w:rPr>
          <w:b/>
          <w:color w:val="808080" w:themeColor="background1" w:themeShade="80"/>
          <w:sz w:val="24"/>
          <w:szCs w:val="24"/>
        </w:rPr>
        <w:br/>
      </w:r>
    </w:p>
    <w:p w:rsidR="00E27899" w:rsidRPr="000E0277" w:rsidRDefault="00E27899" w:rsidP="00E27899">
      <w:pPr>
        <w:spacing w:after="0"/>
        <w:rPr>
          <w:color w:val="808080" w:themeColor="background1" w:themeShade="80"/>
          <w:sz w:val="24"/>
          <w:szCs w:val="24"/>
        </w:rPr>
      </w:pPr>
      <w:r w:rsidRPr="000E0277">
        <w:rPr>
          <w:rFonts w:cs="Arial"/>
          <w:color w:val="808080" w:themeColor="background1" w:themeShade="80"/>
          <w:sz w:val="24"/>
          <w:szCs w:val="24"/>
        </w:rPr>
        <w:t xml:space="preserve">ACAS (no date) </w:t>
      </w:r>
      <w:proofErr w:type="spellStart"/>
      <w:r w:rsidRPr="000E0277">
        <w:rPr>
          <w:rFonts w:cs="Arial"/>
          <w:i/>
          <w:color w:val="808080" w:themeColor="background1" w:themeShade="80"/>
          <w:sz w:val="24"/>
          <w:szCs w:val="24"/>
        </w:rPr>
        <w:t>Acas</w:t>
      </w:r>
      <w:proofErr w:type="spellEnd"/>
      <w:r w:rsidRPr="000E0277">
        <w:rPr>
          <w:rFonts w:cs="Arial"/>
          <w:i/>
          <w:color w:val="808080" w:themeColor="background1" w:themeShade="80"/>
          <w:sz w:val="24"/>
          <w:szCs w:val="24"/>
        </w:rPr>
        <w:t xml:space="preserve"> Dispute Resolution.</w:t>
      </w:r>
      <w:r w:rsidRPr="000E0277">
        <w:rPr>
          <w:rFonts w:cs="Arial"/>
          <w:i/>
          <w:color w:val="808080" w:themeColor="background1" w:themeShade="80"/>
          <w:sz w:val="24"/>
          <w:szCs w:val="24"/>
        </w:rPr>
        <w:br/>
      </w: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9" w:history="1">
        <w:r w:rsidRPr="000E0277">
          <w:rPr>
            <w:rStyle w:val="Hyperlink"/>
            <w:color w:val="808080" w:themeColor="background1" w:themeShade="80"/>
            <w:sz w:val="24"/>
            <w:szCs w:val="24"/>
            <w:u w:val="none"/>
          </w:rPr>
          <w:t>http://www.acas.org.uk/index.aspx?articleid=1697</w:t>
        </w:r>
      </w:hyperlink>
    </w:p>
    <w:p w:rsidR="00E27899" w:rsidRPr="000E0277" w:rsidRDefault="00E27899" w:rsidP="00E27899">
      <w:pPr>
        <w:spacing w:after="0"/>
        <w:rPr>
          <w:rFonts w:cs="Arial"/>
          <w:color w:val="808080" w:themeColor="background1" w:themeShade="80"/>
          <w:sz w:val="24"/>
          <w:szCs w:val="24"/>
        </w:rPr>
      </w:pPr>
      <w:r w:rsidRPr="000E0277">
        <w:rPr>
          <w:rFonts w:cs="Arial"/>
          <w:color w:val="808080" w:themeColor="background1" w:themeShade="80"/>
          <w:sz w:val="24"/>
          <w:szCs w:val="24"/>
        </w:rPr>
        <w:t>(Accessed: 5</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E27899" w:rsidRDefault="00E27899" w:rsidP="006B666C">
      <w:pPr>
        <w:spacing w:after="0"/>
        <w:rPr>
          <w:rFonts w:cs="Arial"/>
          <w:color w:val="808080" w:themeColor="background1" w:themeShade="80"/>
          <w:sz w:val="24"/>
          <w:szCs w:val="24"/>
        </w:rPr>
      </w:pPr>
    </w:p>
    <w:p w:rsidR="006B666C" w:rsidRPr="000E0277" w:rsidRDefault="006B666C" w:rsidP="006B666C">
      <w:pPr>
        <w:spacing w:after="0"/>
        <w:rPr>
          <w:rFonts w:cs="Arial"/>
          <w:i/>
          <w:color w:val="808080" w:themeColor="background1" w:themeShade="80"/>
          <w:sz w:val="24"/>
          <w:szCs w:val="24"/>
        </w:rPr>
      </w:pPr>
      <w:r w:rsidRPr="000E0277">
        <w:rPr>
          <w:rFonts w:cs="Arial"/>
          <w:color w:val="808080" w:themeColor="background1" w:themeShade="80"/>
          <w:sz w:val="24"/>
          <w:szCs w:val="24"/>
        </w:rPr>
        <w:t xml:space="preserve">ACAS (no date) </w:t>
      </w:r>
      <w:r w:rsidRPr="00E27899">
        <w:rPr>
          <w:rFonts w:cs="Arial"/>
          <w:i/>
          <w:color w:val="808080" w:themeColor="background1" w:themeShade="80"/>
          <w:sz w:val="24"/>
          <w:szCs w:val="24"/>
        </w:rPr>
        <w:t>Advisory booklet – Managing conflict at work.</w:t>
      </w:r>
    </w:p>
    <w:p w:rsidR="006B666C" w:rsidRPr="000E0277" w:rsidRDefault="006B666C" w:rsidP="006B666C">
      <w:pPr>
        <w:spacing w:after="0"/>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0" w:history="1">
        <w:r w:rsidRPr="000E0277">
          <w:rPr>
            <w:rStyle w:val="Hyperlink"/>
            <w:color w:val="808080" w:themeColor="background1" w:themeShade="80"/>
            <w:sz w:val="24"/>
            <w:szCs w:val="24"/>
            <w:u w:val="none"/>
          </w:rPr>
          <w:t>http://www.acas.org.uk/index.aspx?articleid=1218</w:t>
        </w:r>
      </w:hyperlink>
    </w:p>
    <w:p w:rsidR="006B666C" w:rsidRPr="000E0277" w:rsidRDefault="006B666C" w:rsidP="006B666C">
      <w:pPr>
        <w:spacing w:after="0"/>
        <w:rPr>
          <w:rFonts w:cs="Arial"/>
          <w:color w:val="808080" w:themeColor="background1" w:themeShade="80"/>
          <w:sz w:val="24"/>
          <w:szCs w:val="24"/>
        </w:rPr>
      </w:pPr>
      <w:r w:rsidRPr="000E0277">
        <w:rPr>
          <w:rFonts w:cs="Arial"/>
          <w:color w:val="808080" w:themeColor="background1" w:themeShade="80"/>
          <w:sz w:val="24"/>
          <w:szCs w:val="24"/>
        </w:rPr>
        <w:t>(Accessed: 1</w:t>
      </w:r>
      <w:r w:rsidRPr="000E0277">
        <w:rPr>
          <w:rFonts w:cs="Arial"/>
          <w:color w:val="808080" w:themeColor="background1" w:themeShade="80"/>
          <w:sz w:val="24"/>
          <w:szCs w:val="24"/>
          <w:vertAlign w:val="superscript"/>
        </w:rPr>
        <w:t>st</w:t>
      </w:r>
      <w:r w:rsidRPr="000E0277">
        <w:rPr>
          <w:rFonts w:cs="Arial"/>
          <w:color w:val="808080" w:themeColor="background1" w:themeShade="80"/>
          <w:sz w:val="24"/>
          <w:szCs w:val="24"/>
        </w:rPr>
        <w:t xml:space="preserve"> April 2019).</w:t>
      </w:r>
    </w:p>
    <w:p w:rsidR="006B666C" w:rsidRPr="000E0277" w:rsidRDefault="006B666C" w:rsidP="00B60BF3">
      <w:pPr>
        <w:spacing w:after="0"/>
        <w:rPr>
          <w:rFonts w:cs="Arial"/>
          <w:color w:val="808080" w:themeColor="background1" w:themeShade="80"/>
          <w:sz w:val="24"/>
          <w:szCs w:val="24"/>
        </w:rPr>
      </w:pPr>
    </w:p>
    <w:p w:rsidR="00945F5F" w:rsidRPr="000E0277" w:rsidRDefault="00945F5F" w:rsidP="00B60BF3">
      <w:pPr>
        <w:spacing w:after="0"/>
        <w:rPr>
          <w:color w:val="808080" w:themeColor="background1" w:themeShade="80"/>
          <w:sz w:val="24"/>
          <w:szCs w:val="24"/>
        </w:rPr>
      </w:pPr>
      <w:r w:rsidRPr="000E0277">
        <w:rPr>
          <w:rFonts w:cs="Arial"/>
          <w:color w:val="808080" w:themeColor="background1" w:themeShade="80"/>
          <w:sz w:val="24"/>
          <w:szCs w:val="24"/>
        </w:rPr>
        <w:t xml:space="preserve">ACAS (no date) </w:t>
      </w:r>
      <w:r w:rsidRPr="000E0277">
        <w:rPr>
          <w:rFonts w:cs="Arial"/>
          <w:i/>
          <w:color w:val="808080" w:themeColor="background1" w:themeShade="80"/>
          <w:sz w:val="24"/>
          <w:szCs w:val="24"/>
        </w:rPr>
        <w:t>Arbitration.</w:t>
      </w:r>
      <w:r w:rsidRPr="000E0277">
        <w:rPr>
          <w:rFonts w:cs="Arial"/>
          <w:i/>
          <w:color w:val="808080" w:themeColor="background1" w:themeShade="80"/>
          <w:sz w:val="24"/>
          <w:szCs w:val="24"/>
        </w:rPr>
        <w:br/>
      </w: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1" w:history="1">
        <w:r w:rsidRPr="000E0277">
          <w:rPr>
            <w:rStyle w:val="Hyperlink"/>
            <w:color w:val="808080" w:themeColor="background1" w:themeShade="80"/>
            <w:sz w:val="24"/>
            <w:szCs w:val="24"/>
            <w:u w:val="none"/>
          </w:rPr>
          <w:t>http://www.acas.org.uk/index.aspx?articleid=1711</w:t>
        </w:r>
      </w:hyperlink>
    </w:p>
    <w:p w:rsidR="00945F5F" w:rsidRPr="000E0277" w:rsidRDefault="00945F5F" w:rsidP="00945F5F">
      <w:pPr>
        <w:spacing w:after="0"/>
        <w:rPr>
          <w:rFonts w:cs="Arial"/>
          <w:color w:val="808080" w:themeColor="background1" w:themeShade="80"/>
          <w:sz w:val="24"/>
          <w:szCs w:val="24"/>
        </w:rPr>
      </w:pPr>
      <w:r w:rsidRPr="000E0277">
        <w:rPr>
          <w:rFonts w:cs="Arial"/>
          <w:color w:val="808080" w:themeColor="background1" w:themeShade="80"/>
          <w:sz w:val="24"/>
          <w:szCs w:val="24"/>
        </w:rPr>
        <w:t>(Accessed: 5</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945F5F" w:rsidRPr="000E0277" w:rsidRDefault="00945F5F" w:rsidP="00B60BF3">
      <w:pPr>
        <w:spacing w:after="0"/>
        <w:rPr>
          <w:color w:val="808080" w:themeColor="background1" w:themeShade="80"/>
          <w:sz w:val="24"/>
          <w:szCs w:val="24"/>
        </w:rPr>
      </w:pPr>
    </w:p>
    <w:p w:rsidR="00C17012" w:rsidRPr="000E0277" w:rsidRDefault="00C17012" w:rsidP="00B60BF3">
      <w:pPr>
        <w:spacing w:after="0"/>
        <w:rPr>
          <w:rFonts w:cs="Arial"/>
          <w:i/>
          <w:color w:val="808080" w:themeColor="background1" w:themeShade="80"/>
          <w:sz w:val="24"/>
          <w:szCs w:val="24"/>
        </w:rPr>
      </w:pPr>
      <w:r w:rsidRPr="000E0277">
        <w:rPr>
          <w:rFonts w:cs="Arial"/>
          <w:color w:val="808080" w:themeColor="background1" w:themeShade="80"/>
          <w:sz w:val="24"/>
          <w:szCs w:val="24"/>
        </w:rPr>
        <w:t xml:space="preserve">ACAS (no date) </w:t>
      </w:r>
      <w:r w:rsidR="00EF0816" w:rsidRPr="000E0277">
        <w:rPr>
          <w:rFonts w:cs="Arial"/>
          <w:i/>
          <w:color w:val="808080" w:themeColor="background1" w:themeShade="80"/>
          <w:sz w:val="24"/>
          <w:szCs w:val="24"/>
        </w:rPr>
        <w:t>Building productivity: Employee voice.</w:t>
      </w:r>
    </w:p>
    <w:p w:rsidR="00C17012" w:rsidRPr="000E0277" w:rsidRDefault="00C17012" w:rsidP="00B60BF3">
      <w:pPr>
        <w:spacing w:after="0"/>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2" w:history="1">
        <w:r w:rsidRPr="000E0277">
          <w:rPr>
            <w:rStyle w:val="Hyperlink"/>
            <w:color w:val="808080" w:themeColor="background1" w:themeShade="80"/>
            <w:sz w:val="24"/>
            <w:szCs w:val="24"/>
            <w:u w:val="none"/>
          </w:rPr>
          <w:t>http://www.acas.org.uk/index.aspx?articleid=5494</w:t>
        </w:r>
      </w:hyperlink>
    </w:p>
    <w:p w:rsidR="00C17012" w:rsidRPr="000E0277" w:rsidRDefault="00C17012" w:rsidP="00C17012">
      <w:pPr>
        <w:spacing w:after="0"/>
        <w:rPr>
          <w:rFonts w:cs="Arial"/>
          <w:color w:val="808080" w:themeColor="background1" w:themeShade="80"/>
          <w:sz w:val="24"/>
          <w:szCs w:val="24"/>
        </w:rPr>
      </w:pPr>
      <w:r w:rsidRPr="000E0277">
        <w:rPr>
          <w:rFonts w:cs="Arial"/>
          <w:color w:val="808080" w:themeColor="background1" w:themeShade="80"/>
          <w:sz w:val="24"/>
          <w:szCs w:val="24"/>
        </w:rPr>
        <w:t>(Accessed: 27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6B666C" w:rsidRPr="000E0277" w:rsidRDefault="006B666C" w:rsidP="00C17012">
      <w:pPr>
        <w:spacing w:after="0"/>
        <w:rPr>
          <w:rFonts w:cs="Arial"/>
          <w:color w:val="808080" w:themeColor="background1" w:themeShade="80"/>
          <w:sz w:val="24"/>
          <w:szCs w:val="24"/>
        </w:rPr>
      </w:pPr>
    </w:p>
    <w:p w:rsidR="006B666C" w:rsidRPr="000E0277" w:rsidRDefault="006B666C" w:rsidP="006B666C">
      <w:pPr>
        <w:spacing w:after="0"/>
        <w:rPr>
          <w:color w:val="808080" w:themeColor="background1" w:themeShade="80"/>
          <w:sz w:val="24"/>
          <w:szCs w:val="24"/>
        </w:rPr>
      </w:pPr>
      <w:r w:rsidRPr="000E0277">
        <w:rPr>
          <w:rFonts w:cs="Arial"/>
          <w:color w:val="808080" w:themeColor="background1" w:themeShade="80"/>
          <w:sz w:val="24"/>
          <w:szCs w:val="24"/>
        </w:rPr>
        <w:t xml:space="preserve">ACAS (no date) </w:t>
      </w:r>
      <w:r w:rsidRPr="000E0277">
        <w:rPr>
          <w:rFonts w:cs="Arial"/>
          <w:i/>
          <w:color w:val="808080" w:themeColor="background1" w:themeShade="80"/>
          <w:sz w:val="24"/>
          <w:szCs w:val="24"/>
        </w:rPr>
        <w:t>Collective disputes.</w:t>
      </w:r>
      <w:r w:rsidRPr="000E0277">
        <w:rPr>
          <w:rFonts w:cs="Arial"/>
          <w:i/>
          <w:color w:val="808080" w:themeColor="background1" w:themeShade="80"/>
          <w:sz w:val="24"/>
          <w:szCs w:val="24"/>
        </w:rPr>
        <w:br/>
      </w: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3" w:history="1">
        <w:r w:rsidRPr="000E0277">
          <w:rPr>
            <w:rStyle w:val="Hyperlink"/>
            <w:color w:val="808080" w:themeColor="background1" w:themeShade="80"/>
            <w:sz w:val="24"/>
            <w:szCs w:val="24"/>
            <w:u w:val="none"/>
          </w:rPr>
          <w:t>http://www.acas.org.uk/index.aspx?articleid=2012</w:t>
        </w:r>
      </w:hyperlink>
    </w:p>
    <w:p w:rsidR="003C75A3" w:rsidRPr="000E0277" w:rsidRDefault="006B666C" w:rsidP="00C17012">
      <w:pPr>
        <w:spacing w:after="0"/>
        <w:rPr>
          <w:rFonts w:cs="Arial"/>
          <w:color w:val="808080" w:themeColor="background1" w:themeShade="80"/>
          <w:sz w:val="24"/>
          <w:szCs w:val="24"/>
        </w:rPr>
      </w:pPr>
      <w:r w:rsidRPr="000E0277">
        <w:rPr>
          <w:rFonts w:cs="Arial"/>
          <w:color w:val="808080" w:themeColor="background1" w:themeShade="80"/>
          <w:sz w:val="24"/>
          <w:szCs w:val="24"/>
        </w:rPr>
        <w:t>(Accessed: 5</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C63E32" w:rsidRPr="000E0277" w:rsidRDefault="00C63E32" w:rsidP="006B666C">
      <w:pPr>
        <w:spacing w:after="0"/>
        <w:rPr>
          <w:rFonts w:cs="Arial"/>
          <w:color w:val="808080" w:themeColor="background1" w:themeShade="80"/>
          <w:sz w:val="24"/>
          <w:szCs w:val="24"/>
        </w:rPr>
      </w:pPr>
    </w:p>
    <w:p w:rsidR="00C63E32" w:rsidRPr="000E0277" w:rsidRDefault="00C63E32" w:rsidP="00C63E32">
      <w:pPr>
        <w:spacing w:after="0"/>
        <w:rPr>
          <w:color w:val="808080" w:themeColor="background1" w:themeShade="80"/>
          <w:sz w:val="24"/>
          <w:szCs w:val="24"/>
        </w:rPr>
      </w:pPr>
      <w:r w:rsidRPr="000E0277">
        <w:rPr>
          <w:rFonts w:cs="Arial"/>
          <w:color w:val="808080" w:themeColor="background1" w:themeShade="80"/>
          <w:sz w:val="24"/>
          <w:szCs w:val="24"/>
        </w:rPr>
        <w:t xml:space="preserve">ACAS (2013) </w:t>
      </w:r>
      <w:r w:rsidRPr="000E0277">
        <w:rPr>
          <w:rFonts w:cs="Arial"/>
          <w:i/>
          <w:color w:val="808080" w:themeColor="background1" w:themeShade="80"/>
          <w:sz w:val="24"/>
          <w:szCs w:val="24"/>
        </w:rPr>
        <w:t>Mediation, conciliation, arbitration: What’s the difference?</w:t>
      </w:r>
      <w:r w:rsidRPr="000E0277">
        <w:rPr>
          <w:rFonts w:cs="Arial"/>
          <w:i/>
          <w:color w:val="808080" w:themeColor="background1" w:themeShade="80"/>
          <w:sz w:val="24"/>
          <w:szCs w:val="24"/>
        </w:rPr>
        <w:br/>
      </w: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4" w:history="1">
        <w:r w:rsidRPr="000E0277">
          <w:rPr>
            <w:color w:val="808080" w:themeColor="background1" w:themeShade="80"/>
            <w:sz w:val="24"/>
            <w:szCs w:val="24"/>
          </w:rPr>
          <w:t>http://www.acas.org.uk/index.aspx?articleid=4130</w:t>
        </w:r>
      </w:hyperlink>
    </w:p>
    <w:p w:rsidR="00C63E32" w:rsidRPr="000E0277" w:rsidRDefault="00C63E32" w:rsidP="00C63E32">
      <w:pPr>
        <w:spacing w:after="0"/>
        <w:rPr>
          <w:rFonts w:cs="Arial"/>
          <w:color w:val="808080" w:themeColor="background1" w:themeShade="80"/>
          <w:sz w:val="24"/>
          <w:szCs w:val="24"/>
        </w:rPr>
      </w:pPr>
      <w:r w:rsidRPr="000E0277">
        <w:rPr>
          <w:rFonts w:cs="Arial"/>
          <w:color w:val="808080" w:themeColor="background1" w:themeShade="80"/>
          <w:sz w:val="24"/>
          <w:szCs w:val="24"/>
        </w:rPr>
        <w:t>(Accessed: 5</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9D47D2" w:rsidRPr="000E0277" w:rsidRDefault="009D47D2" w:rsidP="00C17012">
      <w:pPr>
        <w:spacing w:after="0"/>
        <w:rPr>
          <w:rFonts w:cs="Arial"/>
          <w:color w:val="808080" w:themeColor="background1" w:themeShade="80"/>
          <w:sz w:val="24"/>
          <w:szCs w:val="24"/>
        </w:rPr>
      </w:pPr>
    </w:p>
    <w:p w:rsidR="009D47D2" w:rsidRPr="000E0277" w:rsidRDefault="00700269" w:rsidP="00C17012">
      <w:pPr>
        <w:spacing w:after="0"/>
        <w:rPr>
          <w:rFonts w:cs="Arial"/>
          <w:i/>
          <w:color w:val="808080" w:themeColor="background1" w:themeShade="80"/>
          <w:sz w:val="24"/>
          <w:szCs w:val="24"/>
        </w:rPr>
      </w:pPr>
      <w:r w:rsidRPr="000E0277">
        <w:rPr>
          <w:rFonts w:cs="Arial"/>
          <w:color w:val="808080" w:themeColor="background1" w:themeShade="80"/>
          <w:sz w:val="24"/>
          <w:szCs w:val="24"/>
        </w:rPr>
        <w:t>ACAS (2016</w:t>
      </w:r>
      <w:r w:rsidR="009D47D2" w:rsidRPr="000E0277">
        <w:rPr>
          <w:rFonts w:cs="Arial"/>
          <w:color w:val="808080" w:themeColor="background1" w:themeShade="80"/>
          <w:sz w:val="24"/>
          <w:szCs w:val="24"/>
        </w:rPr>
        <w:t>)</w:t>
      </w:r>
      <w:r w:rsidRPr="000E0277">
        <w:rPr>
          <w:rFonts w:cs="Arial"/>
          <w:color w:val="808080" w:themeColor="background1" w:themeShade="80"/>
          <w:sz w:val="24"/>
          <w:szCs w:val="24"/>
        </w:rPr>
        <w:t xml:space="preserve"> </w:t>
      </w:r>
      <w:r w:rsidRPr="000E0277">
        <w:rPr>
          <w:rFonts w:cs="Arial"/>
          <w:i/>
          <w:color w:val="808080" w:themeColor="background1" w:themeShade="80"/>
          <w:sz w:val="24"/>
          <w:szCs w:val="24"/>
        </w:rPr>
        <w:t xml:space="preserve">Managing individual conflict in the contemporary British workplace. </w:t>
      </w:r>
    </w:p>
    <w:p w:rsidR="00C17012" w:rsidRPr="000E0277" w:rsidRDefault="009D47D2" w:rsidP="00B60BF3">
      <w:pPr>
        <w:spacing w:after="0"/>
        <w:rPr>
          <w:rFonts w:cs="Arial"/>
          <w:color w:val="808080" w:themeColor="background1" w:themeShade="80"/>
          <w:sz w:val="24"/>
          <w:szCs w:val="24"/>
        </w:rPr>
      </w:pPr>
      <w:r w:rsidRPr="000E0277">
        <w:rPr>
          <w:rFonts w:cs="Arial"/>
          <w:color w:val="808080" w:themeColor="background1" w:themeShade="80"/>
          <w:sz w:val="24"/>
          <w:szCs w:val="24"/>
        </w:rPr>
        <w:t>Available at:</w:t>
      </w:r>
      <w:r w:rsidR="00700269" w:rsidRPr="000E0277">
        <w:rPr>
          <w:rFonts w:cs="Arial"/>
          <w:color w:val="808080" w:themeColor="background1" w:themeShade="80"/>
          <w:sz w:val="24"/>
          <w:szCs w:val="24"/>
        </w:rPr>
        <w:t xml:space="preserve"> </w:t>
      </w:r>
      <w:hyperlink r:id="rId15" w:history="1">
        <w:r w:rsidR="00700269" w:rsidRPr="000E0277">
          <w:rPr>
            <w:rStyle w:val="Hyperlink"/>
            <w:color w:val="808080" w:themeColor="background1" w:themeShade="80"/>
            <w:sz w:val="24"/>
            <w:szCs w:val="24"/>
            <w:u w:val="none"/>
          </w:rPr>
          <w:t>http://www.acas.org.uk/media/pdf/c/4/Managing-individual-conflict-in-the-contemporary-british-workplace.pdf</w:t>
        </w:r>
      </w:hyperlink>
    </w:p>
    <w:p w:rsidR="009D47D2" w:rsidRPr="000E0277" w:rsidRDefault="009D47D2" w:rsidP="009D47D2">
      <w:pPr>
        <w:spacing w:after="0"/>
        <w:rPr>
          <w:rFonts w:cs="Arial"/>
          <w:color w:val="808080" w:themeColor="background1" w:themeShade="80"/>
          <w:sz w:val="24"/>
          <w:szCs w:val="24"/>
        </w:rPr>
      </w:pPr>
      <w:r w:rsidRPr="000E0277">
        <w:rPr>
          <w:rFonts w:cs="Arial"/>
          <w:color w:val="808080" w:themeColor="background1" w:themeShade="80"/>
          <w:sz w:val="24"/>
          <w:szCs w:val="24"/>
        </w:rPr>
        <w:t>(Accessed: 1</w:t>
      </w:r>
      <w:r w:rsidRPr="000E0277">
        <w:rPr>
          <w:rFonts w:cs="Arial"/>
          <w:color w:val="808080" w:themeColor="background1" w:themeShade="80"/>
          <w:sz w:val="24"/>
          <w:szCs w:val="24"/>
          <w:vertAlign w:val="superscript"/>
        </w:rPr>
        <w:t>st</w:t>
      </w:r>
      <w:r w:rsidRPr="000E0277">
        <w:rPr>
          <w:rFonts w:cs="Arial"/>
          <w:color w:val="808080" w:themeColor="background1" w:themeShade="80"/>
          <w:sz w:val="24"/>
          <w:szCs w:val="24"/>
        </w:rPr>
        <w:t xml:space="preserve"> April 2019).</w:t>
      </w:r>
    </w:p>
    <w:p w:rsidR="009D47D2" w:rsidRPr="000E0277" w:rsidRDefault="009D47D2" w:rsidP="00B60BF3">
      <w:pPr>
        <w:spacing w:after="0"/>
        <w:rPr>
          <w:rFonts w:cs="Arial"/>
          <w:color w:val="808080" w:themeColor="background1" w:themeShade="80"/>
          <w:sz w:val="24"/>
          <w:szCs w:val="24"/>
        </w:rPr>
      </w:pPr>
    </w:p>
    <w:p w:rsidR="008D0459" w:rsidRDefault="008D0459" w:rsidP="008D0459">
      <w:pPr>
        <w:spacing w:after="0"/>
        <w:rPr>
          <w:rFonts w:cs="Arial"/>
          <w:color w:val="808080" w:themeColor="background1" w:themeShade="80"/>
          <w:sz w:val="24"/>
          <w:szCs w:val="24"/>
        </w:rPr>
      </w:pPr>
      <w:r w:rsidRPr="000E0277">
        <w:rPr>
          <w:rStyle w:val="Emphasis"/>
          <w:rFonts w:cs="Arial"/>
          <w:i w:val="0"/>
          <w:color w:val="808080" w:themeColor="background1" w:themeShade="80"/>
          <w:sz w:val="24"/>
          <w:szCs w:val="24"/>
          <w:bdr w:val="none" w:sz="0" w:space="0" w:color="auto" w:frame="1"/>
          <w:shd w:val="clear" w:color="auto" w:fill="FFFFFF"/>
        </w:rPr>
        <w:t xml:space="preserve">Armstrong, M. (2009) </w:t>
      </w:r>
      <w:r w:rsidRPr="00E27899">
        <w:rPr>
          <w:rStyle w:val="Emphasis"/>
          <w:rFonts w:cs="Arial"/>
          <w:color w:val="808080" w:themeColor="background1" w:themeShade="80"/>
          <w:sz w:val="24"/>
          <w:szCs w:val="24"/>
          <w:bdr w:val="none" w:sz="0" w:space="0" w:color="auto" w:frame="1"/>
          <w:shd w:val="clear" w:color="auto" w:fill="FFFFFF"/>
        </w:rPr>
        <w:t xml:space="preserve">Armstrong’s Handbook of Human Resource Management Practice. </w:t>
      </w:r>
      <w:r w:rsidRPr="000E0277">
        <w:rPr>
          <w:rFonts w:cs="Arial"/>
          <w:color w:val="808080" w:themeColor="background1" w:themeShade="80"/>
          <w:sz w:val="24"/>
          <w:szCs w:val="24"/>
        </w:rPr>
        <w:t>(11</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w:t>
      </w:r>
      <w:proofErr w:type="spellStart"/>
      <w:r w:rsidRPr="000E0277">
        <w:rPr>
          <w:rFonts w:cs="Arial"/>
          <w:color w:val="808080" w:themeColor="background1" w:themeShade="80"/>
          <w:sz w:val="24"/>
          <w:szCs w:val="24"/>
        </w:rPr>
        <w:t>edn</w:t>
      </w:r>
      <w:proofErr w:type="spellEnd"/>
      <w:r w:rsidRPr="000E0277">
        <w:rPr>
          <w:rFonts w:cs="Arial"/>
          <w:color w:val="808080" w:themeColor="background1" w:themeShade="80"/>
          <w:sz w:val="24"/>
          <w:szCs w:val="24"/>
        </w:rPr>
        <w:t xml:space="preserve">). London: </w:t>
      </w:r>
      <w:proofErr w:type="spellStart"/>
      <w:r w:rsidRPr="000E0277">
        <w:rPr>
          <w:rFonts w:cs="Arial"/>
          <w:color w:val="808080" w:themeColor="background1" w:themeShade="80"/>
          <w:sz w:val="24"/>
          <w:szCs w:val="24"/>
        </w:rPr>
        <w:t>Kogan</w:t>
      </w:r>
      <w:proofErr w:type="spellEnd"/>
      <w:r w:rsidRPr="000E0277">
        <w:rPr>
          <w:rFonts w:cs="Arial"/>
          <w:color w:val="808080" w:themeColor="background1" w:themeShade="80"/>
          <w:sz w:val="24"/>
          <w:szCs w:val="24"/>
        </w:rPr>
        <w:t xml:space="preserve"> Page Limited.</w:t>
      </w:r>
    </w:p>
    <w:p w:rsidR="008D0459" w:rsidRDefault="008D0459" w:rsidP="008D0459">
      <w:pPr>
        <w:spacing w:after="0"/>
        <w:rPr>
          <w:rFonts w:cs="Arial"/>
          <w:color w:val="808080" w:themeColor="background1" w:themeShade="80"/>
          <w:sz w:val="24"/>
          <w:szCs w:val="24"/>
        </w:rPr>
      </w:pPr>
    </w:p>
    <w:p w:rsidR="008D0459" w:rsidRPr="000E0277" w:rsidRDefault="008D0459" w:rsidP="008D0459">
      <w:pPr>
        <w:spacing w:after="0"/>
        <w:rPr>
          <w:rStyle w:val="Emphasis"/>
          <w:rFonts w:cs="Arial"/>
          <w:color w:val="808080" w:themeColor="background1" w:themeShade="80"/>
          <w:sz w:val="24"/>
          <w:szCs w:val="24"/>
          <w:bdr w:val="none" w:sz="0" w:space="0" w:color="auto" w:frame="1"/>
          <w:shd w:val="clear" w:color="auto" w:fill="FFFFFF"/>
        </w:rPr>
      </w:pPr>
      <w:r w:rsidRPr="000E0277">
        <w:rPr>
          <w:rStyle w:val="Emphasis"/>
          <w:rFonts w:cs="Arial"/>
          <w:i w:val="0"/>
          <w:color w:val="808080" w:themeColor="background1" w:themeShade="80"/>
          <w:sz w:val="24"/>
          <w:szCs w:val="24"/>
          <w:bdr w:val="none" w:sz="0" w:space="0" w:color="auto" w:frame="1"/>
          <w:shd w:val="clear" w:color="auto" w:fill="FFFFFF"/>
        </w:rPr>
        <w:t xml:space="preserve">Armstrong, M. (2010) </w:t>
      </w:r>
      <w:r w:rsidRPr="00E27899">
        <w:rPr>
          <w:rStyle w:val="Emphasis"/>
          <w:rFonts w:cs="Arial"/>
          <w:color w:val="808080" w:themeColor="background1" w:themeShade="80"/>
          <w:sz w:val="24"/>
          <w:szCs w:val="24"/>
          <w:bdr w:val="none" w:sz="0" w:space="0" w:color="auto" w:frame="1"/>
          <w:shd w:val="clear" w:color="auto" w:fill="FFFFFF"/>
        </w:rPr>
        <w:t>Armstrong’s Essential Human Resource Management Practice: A Guide to People Management</w:t>
      </w:r>
      <w:r w:rsidRPr="000E0277">
        <w:rPr>
          <w:rStyle w:val="Emphasis"/>
          <w:rFonts w:cs="Arial"/>
          <w:color w:val="808080" w:themeColor="background1" w:themeShade="80"/>
          <w:sz w:val="24"/>
          <w:szCs w:val="24"/>
          <w:bdr w:val="none" w:sz="0" w:space="0" w:color="auto" w:frame="1"/>
          <w:shd w:val="clear" w:color="auto" w:fill="FFFFFF"/>
        </w:rPr>
        <w:t xml:space="preserve">. </w:t>
      </w:r>
      <w:proofErr w:type="spellStart"/>
      <w:r w:rsidRPr="000E0277">
        <w:rPr>
          <w:rStyle w:val="Emphasis"/>
          <w:rFonts w:cs="Arial"/>
          <w:i w:val="0"/>
          <w:color w:val="808080" w:themeColor="background1" w:themeShade="80"/>
          <w:sz w:val="24"/>
          <w:szCs w:val="24"/>
          <w:bdr w:val="none" w:sz="0" w:space="0" w:color="auto" w:frame="1"/>
          <w:shd w:val="clear" w:color="auto" w:fill="FFFFFF"/>
        </w:rPr>
        <w:t>Kogan</w:t>
      </w:r>
      <w:proofErr w:type="spellEnd"/>
      <w:r w:rsidRPr="000E0277">
        <w:rPr>
          <w:rStyle w:val="Emphasis"/>
          <w:rFonts w:cs="Arial"/>
          <w:i w:val="0"/>
          <w:color w:val="808080" w:themeColor="background1" w:themeShade="80"/>
          <w:sz w:val="24"/>
          <w:szCs w:val="24"/>
          <w:bdr w:val="none" w:sz="0" w:space="0" w:color="auto" w:frame="1"/>
          <w:shd w:val="clear" w:color="auto" w:fill="FFFFFF"/>
        </w:rPr>
        <w:t xml:space="preserve"> Page: United Kingdom.</w:t>
      </w:r>
    </w:p>
    <w:p w:rsidR="008D0459" w:rsidRDefault="008D0459" w:rsidP="00B60BF3">
      <w:pPr>
        <w:spacing w:after="0"/>
        <w:rPr>
          <w:rStyle w:val="Emphasis"/>
          <w:rFonts w:cs="Arial"/>
          <w:i w:val="0"/>
          <w:color w:val="808080" w:themeColor="background1" w:themeShade="80"/>
          <w:sz w:val="24"/>
          <w:szCs w:val="24"/>
          <w:bdr w:val="none" w:sz="0" w:space="0" w:color="auto" w:frame="1"/>
          <w:shd w:val="clear" w:color="auto" w:fill="FFFFFF"/>
        </w:rPr>
      </w:pPr>
    </w:p>
    <w:p w:rsidR="00B60BF3" w:rsidRPr="000E0277" w:rsidRDefault="00B60BF3" w:rsidP="00B60BF3">
      <w:pPr>
        <w:spacing w:after="0"/>
        <w:rPr>
          <w:rStyle w:val="Emphasis"/>
          <w:i w:val="0"/>
          <w:color w:val="808080" w:themeColor="background1" w:themeShade="80"/>
          <w:sz w:val="24"/>
          <w:szCs w:val="24"/>
          <w:bdr w:val="none" w:sz="0" w:space="0" w:color="auto" w:frame="1"/>
          <w:shd w:val="clear" w:color="auto" w:fill="FFFFFF"/>
        </w:rPr>
      </w:pPr>
      <w:r w:rsidRPr="000E0277">
        <w:rPr>
          <w:rStyle w:val="Emphasis"/>
          <w:rFonts w:cs="Arial"/>
          <w:i w:val="0"/>
          <w:color w:val="808080" w:themeColor="background1" w:themeShade="80"/>
          <w:sz w:val="24"/>
          <w:szCs w:val="24"/>
          <w:bdr w:val="none" w:sz="0" w:space="0" w:color="auto" w:frame="1"/>
          <w:shd w:val="clear" w:color="auto" w:fill="FFFFFF"/>
        </w:rPr>
        <w:t>A</w:t>
      </w:r>
      <w:r w:rsidR="00651481" w:rsidRPr="000E0277">
        <w:rPr>
          <w:rStyle w:val="Emphasis"/>
          <w:rFonts w:cs="Arial"/>
          <w:i w:val="0"/>
          <w:color w:val="808080" w:themeColor="background1" w:themeShade="80"/>
          <w:sz w:val="24"/>
          <w:szCs w:val="24"/>
          <w:bdr w:val="none" w:sz="0" w:space="0" w:color="auto" w:frame="1"/>
          <w:shd w:val="clear" w:color="auto" w:fill="FFFFFF"/>
        </w:rPr>
        <w:t>ron</w:t>
      </w:r>
      <w:r w:rsidR="00651481" w:rsidRPr="000E0277">
        <w:rPr>
          <w:rStyle w:val="Emphasis"/>
          <w:rFonts w:cs="Arial"/>
          <w:color w:val="808080" w:themeColor="background1" w:themeShade="80"/>
          <w:sz w:val="24"/>
          <w:szCs w:val="24"/>
          <w:bdr w:val="none" w:sz="0" w:space="0" w:color="auto" w:frame="1"/>
          <w:shd w:val="clear" w:color="auto" w:fill="FFFFFF"/>
        </w:rPr>
        <w:t xml:space="preserve"> </w:t>
      </w:r>
      <w:r w:rsidR="00651481" w:rsidRPr="000E0277">
        <w:rPr>
          <w:rStyle w:val="Emphasis"/>
          <w:rFonts w:cs="Arial"/>
          <w:i w:val="0"/>
          <w:color w:val="808080" w:themeColor="background1" w:themeShade="80"/>
          <w:sz w:val="24"/>
          <w:szCs w:val="24"/>
          <w:bdr w:val="none" w:sz="0" w:space="0" w:color="auto" w:frame="1"/>
          <w:shd w:val="clear" w:color="auto" w:fill="FFFFFF"/>
        </w:rPr>
        <w:t xml:space="preserve">(2011) </w:t>
      </w:r>
      <w:r w:rsidR="00651481" w:rsidRPr="000E0277">
        <w:rPr>
          <w:rStyle w:val="Emphasis"/>
          <w:rFonts w:cs="Arial"/>
          <w:color w:val="808080" w:themeColor="background1" w:themeShade="80"/>
          <w:sz w:val="24"/>
          <w:szCs w:val="24"/>
          <w:bdr w:val="none" w:sz="0" w:space="0" w:color="auto" w:frame="1"/>
          <w:shd w:val="clear" w:color="auto" w:fill="FFFFFF"/>
        </w:rPr>
        <w:t xml:space="preserve">Differences </w:t>
      </w:r>
      <w:proofErr w:type="gramStart"/>
      <w:r w:rsidR="00651481" w:rsidRPr="000E0277">
        <w:rPr>
          <w:rStyle w:val="Emphasis"/>
          <w:rFonts w:cs="Arial"/>
          <w:color w:val="808080" w:themeColor="background1" w:themeShade="80"/>
          <w:sz w:val="24"/>
          <w:szCs w:val="24"/>
          <w:bdr w:val="none" w:sz="0" w:space="0" w:color="auto" w:frame="1"/>
          <w:shd w:val="clear" w:color="auto" w:fill="FFFFFF"/>
        </w:rPr>
        <w:t>Between</w:t>
      </w:r>
      <w:proofErr w:type="gramEnd"/>
      <w:r w:rsidR="00651481" w:rsidRPr="000E0277">
        <w:rPr>
          <w:rStyle w:val="Emphasis"/>
          <w:rFonts w:cs="Arial"/>
          <w:color w:val="808080" w:themeColor="background1" w:themeShade="80"/>
          <w:sz w:val="24"/>
          <w:szCs w:val="24"/>
          <w:bdr w:val="none" w:sz="0" w:space="0" w:color="auto" w:frame="1"/>
          <w:shd w:val="clear" w:color="auto" w:fill="FFFFFF"/>
        </w:rPr>
        <w:t xml:space="preserve"> Unitarism and Pluralism.</w:t>
      </w:r>
    </w:p>
    <w:p w:rsidR="00B60BF3" w:rsidRPr="000E0277" w:rsidRDefault="00B60BF3" w:rsidP="00B60BF3">
      <w:pPr>
        <w:tabs>
          <w:tab w:val="left" w:pos="4025"/>
        </w:tabs>
        <w:spacing w:after="0"/>
        <w:rPr>
          <w:rStyle w:val="Emphasis"/>
          <w:rFonts w:cs="Arial"/>
          <w:i w:val="0"/>
          <w:iCs w:val="0"/>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r w:rsidR="00651481" w:rsidRPr="000E0277">
        <w:rPr>
          <w:color w:val="808080" w:themeColor="background1" w:themeShade="80"/>
          <w:sz w:val="24"/>
          <w:szCs w:val="24"/>
        </w:rPr>
        <w:t>https://www.differencebetween.com/difference-between-unitarism-and-vs-pluralism/</w:t>
      </w:r>
    </w:p>
    <w:p w:rsidR="00565E60" w:rsidRPr="008D0459" w:rsidRDefault="00B60BF3" w:rsidP="008D0459">
      <w:pPr>
        <w:rPr>
          <w:rStyle w:val="Emphasis"/>
          <w:rFonts w:cs="Arial"/>
          <w:i w:val="0"/>
          <w:iCs w:val="0"/>
          <w:color w:val="808080" w:themeColor="background1" w:themeShade="80"/>
          <w:sz w:val="24"/>
          <w:szCs w:val="24"/>
        </w:rPr>
      </w:pPr>
      <w:r w:rsidRPr="000E0277">
        <w:rPr>
          <w:rFonts w:cs="Arial"/>
          <w:color w:val="808080" w:themeColor="background1" w:themeShade="80"/>
          <w:sz w:val="24"/>
          <w:szCs w:val="24"/>
        </w:rPr>
        <w:t>(Accessed: 1</w:t>
      </w:r>
      <w:r w:rsidR="00651481" w:rsidRPr="000E0277">
        <w:rPr>
          <w:rFonts w:cs="Arial"/>
          <w:color w:val="808080" w:themeColor="background1" w:themeShade="80"/>
          <w:sz w:val="24"/>
          <w:szCs w:val="24"/>
        </w:rPr>
        <w:t>3</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8D0459" w:rsidRDefault="008D0459">
      <w:pPr>
        <w:spacing w:line="259" w:lineRule="auto"/>
        <w:rPr>
          <w:rStyle w:val="Emphasis"/>
          <w:rFonts w:cs="Arial"/>
          <w:i w:val="0"/>
          <w:color w:val="808080" w:themeColor="background1" w:themeShade="80"/>
          <w:sz w:val="24"/>
          <w:szCs w:val="24"/>
          <w:bdr w:val="none" w:sz="0" w:space="0" w:color="auto" w:frame="1"/>
          <w:shd w:val="clear" w:color="auto" w:fill="FFFFFF"/>
        </w:rPr>
      </w:pPr>
      <w:r>
        <w:rPr>
          <w:rStyle w:val="Emphasis"/>
          <w:rFonts w:cs="Arial"/>
          <w:i w:val="0"/>
          <w:color w:val="808080" w:themeColor="background1" w:themeShade="80"/>
          <w:sz w:val="24"/>
          <w:szCs w:val="24"/>
          <w:bdr w:val="none" w:sz="0" w:space="0" w:color="auto" w:frame="1"/>
          <w:shd w:val="clear" w:color="auto" w:fill="FFFFFF"/>
        </w:rPr>
        <w:br w:type="page"/>
      </w:r>
    </w:p>
    <w:p w:rsidR="00B60BF3" w:rsidRPr="000E0277" w:rsidRDefault="000319F0" w:rsidP="00B60BF3">
      <w:pPr>
        <w:spacing w:after="0"/>
        <w:rPr>
          <w:rStyle w:val="Emphasis"/>
          <w:i w:val="0"/>
          <w:color w:val="808080" w:themeColor="background1" w:themeShade="80"/>
          <w:sz w:val="24"/>
          <w:szCs w:val="24"/>
          <w:bdr w:val="none" w:sz="0" w:space="0" w:color="auto" w:frame="1"/>
          <w:shd w:val="clear" w:color="auto" w:fill="FFFFFF"/>
        </w:rPr>
      </w:pPr>
      <w:proofErr w:type="spellStart"/>
      <w:r w:rsidRPr="000E0277">
        <w:rPr>
          <w:rStyle w:val="Emphasis"/>
          <w:rFonts w:cs="Arial"/>
          <w:i w:val="0"/>
          <w:color w:val="808080" w:themeColor="background1" w:themeShade="80"/>
          <w:sz w:val="24"/>
          <w:szCs w:val="24"/>
          <w:bdr w:val="none" w:sz="0" w:space="0" w:color="auto" w:frame="1"/>
          <w:shd w:val="clear" w:color="auto" w:fill="FFFFFF"/>
        </w:rPr>
        <w:lastRenderedPageBreak/>
        <w:t>Ayling</w:t>
      </w:r>
      <w:proofErr w:type="spellEnd"/>
      <w:r w:rsidRPr="000E0277">
        <w:rPr>
          <w:rStyle w:val="Emphasis"/>
          <w:rFonts w:cs="Arial"/>
          <w:i w:val="0"/>
          <w:color w:val="808080" w:themeColor="background1" w:themeShade="80"/>
          <w:sz w:val="24"/>
          <w:szCs w:val="24"/>
          <w:bdr w:val="none" w:sz="0" w:space="0" w:color="auto" w:frame="1"/>
          <w:shd w:val="clear" w:color="auto" w:fill="FFFFFF"/>
        </w:rPr>
        <w:t>, L. and Suff, R.</w:t>
      </w:r>
      <w:r w:rsidR="00B60BF3" w:rsidRPr="000E0277">
        <w:rPr>
          <w:rStyle w:val="Emphasis"/>
          <w:rFonts w:cs="Arial"/>
          <w:i w:val="0"/>
          <w:color w:val="808080" w:themeColor="background1" w:themeShade="80"/>
          <w:sz w:val="24"/>
          <w:szCs w:val="24"/>
          <w:bdr w:val="none" w:sz="0" w:space="0" w:color="auto" w:frame="1"/>
          <w:shd w:val="clear" w:color="auto" w:fill="FFFFFF"/>
        </w:rPr>
        <w:t xml:space="preserve"> (</w:t>
      </w:r>
      <w:r w:rsidRPr="000E0277">
        <w:rPr>
          <w:rStyle w:val="Emphasis"/>
          <w:rFonts w:cs="Arial"/>
          <w:i w:val="0"/>
          <w:color w:val="808080" w:themeColor="background1" w:themeShade="80"/>
          <w:sz w:val="24"/>
          <w:szCs w:val="24"/>
          <w:bdr w:val="none" w:sz="0" w:space="0" w:color="auto" w:frame="1"/>
          <w:shd w:val="clear" w:color="auto" w:fill="FFFFFF"/>
        </w:rPr>
        <w:t>2018</w:t>
      </w:r>
      <w:r w:rsidR="00B60BF3" w:rsidRPr="000E0277">
        <w:rPr>
          <w:rStyle w:val="Emphasis"/>
          <w:rFonts w:cs="Arial"/>
          <w:i w:val="0"/>
          <w:color w:val="808080" w:themeColor="background1" w:themeShade="80"/>
          <w:sz w:val="24"/>
          <w:szCs w:val="24"/>
          <w:bdr w:val="none" w:sz="0" w:space="0" w:color="auto" w:frame="1"/>
          <w:shd w:val="clear" w:color="auto" w:fill="FFFFFF"/>
        </w:rPr>
        <w:t>)</w:t>
      </w:r>
      <w:r w:rsidRPr="000E0277">
        <w:rPr>
          <w:rStyle w:val="Emphasis"/>
          <w:rFonts w:cs="Arial"/>
          <w:color w:val="808080" w:themeColor="background1" w:themeShade="80"/>
          <w:sz w:val="24"/>
          <w:szCs w:val="24"/>
          <w:bdr w:val="none" w:sz="0" w:space="0" w:color="auto" w:frame="1"/>
          <w:shd w:val="clear" w:color="auto" w:fill="FFFFFF"/>
        </w:rPr>
        <w:t xml:space="preserve"> Employee relations: an introduction</w:t>
      </w:r>
      <w:r w:rsidR="00B60BF3" w:rsidRPr="000E0277">
        <w:rPr>
          <w:rStyle w:val="Emphasis"/>
          <w:rFonts w:cs="Arial"/>
          <w:color w:val="808080" w:themeColor="background1" w:themeShade="80"/>
          <w:sz w:val="24"/>
          <w:szCs w:val="24"/>
          <w:bdr w:val="none" w:sz="0" w:space="0" w:color="auto" w:frame="1"/>
          <w:shd w:val="clear" w:color="auto" w:fill="FFFFFF"/>
        </w:rPr>
        <w:t>.</w:t>
      </w:r>
    </w:p>
    <w:p w:rsidR="00B60BF3" w:rsidRPr="000E0277" w:rsidRDefault="00B60BF3" w:rsidP="00B60BF3">
      <w:pPr>
        <w:tabs>
          <w:tab w:val="left" w:pos="4025"/>
        </w:tabs>
        <w:spacing w:after="0"/>
        <w:rPr>
          <w:rStyle w:val="Emphasis"/>
          <w:rFonts w:cs="Arial"/>
          <w:i w:val="0"/>
          <w:iCs w:val="0"/>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r w:rsidR="000319F0" w:rsidRPr="000E0277">
        <w:rPr>
          <w:color w:val="808080" w:themeColor="background1" w:themeShade="80"/>
          <w:sz w:val="24"/>
          <w:szCs w:val="24"/>
        </w:rPr>
        <w:t>https://www.cipd.co.uk/knowledge/fundamentals/relations/employees/factsheet</w:t>
      </w:r>
    </w:p>
    <w:p w:rsidR="00B60BF3" w:rsidRPr="000E0277" w:rsidRDefault="00B60BF3" w:rsidP="00B60BF3">
      <w:pPr>
        <w:rPr>
          <w:rFonts w:cs="Arial"/>
          <w:color w:val="808080" w:themeColor="background1" w:themeShade="80"/>
          <w:sz w:val="24"/>
          <w:szCs w:val="24"/>
        </w:rPr>
      </w:pPr>
      <w:r w:rsidRPr="000E0277">
        <w:rPr>
          <w:rFonts w:cs="Arial"/>
          <w:color w:val="808080" w:themeColor="background1" w:themeShade="80"/>
          <w:sz w:val="24"/>
          <w:szCs w:val="24"/>
        </w:rPr>
        <w:t>(Accessed: 12</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787BC3" w:rsidRPr="000E0277" w:rsidRDefault="00787BC3" w:rsidP="00B60BF3">
      <w:pPr>
        <w:rPr>
          <w:rFonts w:cs="Arial"/>
          <w:color w:val="808080" w:themeColor="background1" w:themeShade="80"/>
          <w:sz w:val="24"/>
          <w:szCs w:val="24"/>
        </w:rPr>
      </w:pPr>
      <w:proofErr w:type="spellStart"/>
      <w:r w:rsidRPr="000E0277">
        <w:rPr>
          <w:rFonts w:cs="Arial"/>
          <w:color w:val="808080" w:themeColor="background1" w:themeShade="80"/>
          <w:sz w:val="24"/>
          <w:szCs w:val="24"/>
        </w:rPr>
        <w:t>Aylott</w:t>
      </w:r>
      <w:proofErr w:type="spellEnd"/>
      <w:r w:rsidRPr="000E0277">
        <w:rPr>
          <w:rFonts w:cs="Arial"/>
          <w:color w:val="808080" w:themeColor="background1" w:themeShade="80"/>
          <w:sz w:val="24"/>
          <w:szCs w:val="24"/>
        </w:rPr>
        <w:t xml:space="preserve">, E. (2018) </w:t>
      </w:r>
      <w:r w:rsidRPr="000E0277">
        <w:rPr>
          <w:rFonts w:cs="Arial"/>
          <w:i/>
          <w:color w:val="808080" w:themeColor="background1" w:themeShade="80"/>
          <w:sz w:val="24"/>
          <w:szCs w:val="24"/>
        </w:rPr>
        <w:t>Employee Relations: A Practical Introduction.</w:t>
      </w:r>
      <w:r w:rsidRPr="000E0277">
        <w:rPr>
          <w:rFonts w:cs="Arial"/>
          <w:color w:val="808080" w:themeColor="background1" w:themeShade="80"/>
          <w:sz w:val="24"/>
          <w:szCs w:val="24"/>
        </w:rPr>
        <w:t xml:space="preserve"> (2</w:t>
      </w:r>
      <w:r w:rsidRPr="000E0277">
        <w:rPr>
          <w:rFonts w:cs="Arial"/>
          <w:color w:val="808080" w:themeColor="background1" w:themeShade="80"/>
          <w:sz w:val="24"/>
          <w:szCs w:val="24"/>
          <w:vertAlign w:val="superscript"/>
        </w:rPr>
        <w:t>nd</w:t>
      </w:r>
      <w:r w:rsidRPr="000E0277">
        <w:rPr>
          <w:rFonts w:cs="Arial"/>
          <w:color w:val="808080" w:themeColor="background1" w:themeShade="80"/>
          <w:sz w:val="24"/>
          <w:szCs w:val="24"/>
        </w:rPr>
        <w:t xml:space="preserve"> edn). New York: Kogan Page Limited.</w:t>
      </w:r>
    </w:p>
    <w:p w:rsidR="008B5041" w:rsidRPr="000E0277" w:rsidRDefault="008B5041" w:rsidP="00B038A2">
      <w:pPr>
        <w:spacing w:after="0"/>
        <w:rPr>
          <w:rStyle w:val="Emphasis"/>
          <w:rFonts w:cs="Arial"/>
          <w:i w:val="0"/>
          <w:color w:val="808080" w:themeColor="background1" w:themeShade="80"/>
          <w:sz w:val="24"/>
          <w:szCs w:val="24"/>
          <w:bdr w:val="none" w:sz="0" w:space="0" w:color="auto" w:frame="1"/>
          <w:shd w:val="clear" w:color="auto" w:fill="FFFFFF"/>
        </w:rPr>
      </w:pPr>
      <w:proofErr w:type="spellStart"/>
      <w:r w:rsidRPr="000E0277">
        <w:rPr>
          <w:rStyle w:val="Emphasis"/>
          <w:rFonts w:cs="Arial"/>
          <w:i w:val="0"/>
          <w:color w:val="808080" w:themeColor="background1" w:themeShade="80"/>
          <w:sz w:val="24"/>
          <w:szCs w:val="24"/>
          <w:bdr w:val="none" w:sz="0" w:space="0" w:color="auto" w:frame="1"/>
          <w:shd w:val="clear" w:color="auto" w:fill="FFFFFF"/>
        </w:rPr>
        <w:t>Baczor</w:t>
      </w:r>
      <w:proofErr w:type="spellEnd"/>
      <w:r w:rsidRPr="000E0277">
        <w:rPr>
          <w:rStyle w:val="Emphasis"/>
          <w:rFonts w:cs="Arial"/>
          <w:i w:val="0"/>
          <w:color w:val="808080" w:themeColor="background1" w:themeShade="80"/>
          <w:sz w:val="24"/>
          <w:szCs w:val="24"/>
          <w:bdr w:val="none" w:sz="0" w:space="0" w:color="auto" w:frame="1"/>
          <w:shd w:val="clear" w:color="auto" w:fill="FFFFFF"/>
        </w:rPr>
        <w:t xml:space="preserve">, L. et al. (2017) </w:t>
      </w:r>
      <w:r w:rsidRPr="000E0277">
        <w:rPr>
          <w:rStyle w:val="Emphasis"/>
          <w:rFonts w:cs="Arial"/>
          <w:color w:val="808080" w:themeColor="background1" w:themeShade="80"/>
          <w:sz w:val="24"/>
          <w:szCs w:val="24"/>
          <w:bdr w:val="none" w:sz="0" w:space="0" w:color="auto" w:frame="1"/>
          <w:shd w:val="clear" w:color="auto" w:fill="FFFFFF"/>
        </w:rPr>
        <w:t>Have your say: alternative forms of workplace voice.</w:t>
      </w:r>
    </w:p>
    <w:p w:rsidR="008B5041" w:rsidRPr="000E0277" w:rsidRDefault="008B5041" w:rsidP="00B038A2">
      <w:pPr>
        <w:spacing w:after="0"/>
        <w:rPr>
          <w:rStyle w:val="Emphasis"/>
          <w:rFonts w:cs="Arial"/>
          <w:i w:val="0"/>
          <w:color w:val="808080" w:themeColor="background1" w:themeShade="80"/>
          <w:sz w:val="24"/>
          <w:szCs w:val="24"/>
          <w:bdr w:val="none" w:sz="0" w:space="0" w:color="auto" w:frame="1"/>
          <w:shd w:val="clear" w:color="auto" w:fill="FFFFFF"/>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6" w:history="1">
        <w:r w:rsidRPr="000E0277">
          <w:rPr>
            <w:rStyle w:val="Hyperlink"/>
            <w:color w:val="808080" w:themeColor="background1" w:themeShade="80"/>
            <w:sz w:val="24"/>
            <w:szCs w:val="24"/>
            <w:u w:val="none"/>
          </w:rPr>
          <w:t>https://www.cipd.co.uk/knowledge/work/future-voice/alternative-workplace-voice</w:t>
        </w:r>
      </w:hyperlink>
    </w:p>
    <w:p w:rsidR="008B5041" w:rsidRPr="000E0277" w:rsidRDefault="008B5041" w:rsidP="008B5041">
      <w:pPr>
        <w:spacing w:after="0"/>
        <w:rPr>
          <w:rFonts w:cs="Arial"/>
          <w:color w:val="808080" w:themeColor="background1" w:themeShade="80"/>
          <w:sz w:val="24"/>
          <w:szCs w:val="24"/>
        </w:rPr>
      </w:pPr>
      <w:r w:rsidRPr="000E0277">
        <w:rPr>
          <w:rFonts w:cs="Arial"/>
          <w:color w:val="808080" w:themeColor="background1" w:themeShade="80"/>
          <w:sz w:val="24"/>
          <w:szCs w:val="24"/>
        </w:rPr>
        <w:t>(Accessed: 27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8B5041" w:rsidRPr="000E0277" w:rsidRDefault="008B5041" w:rsidP="00B038A2">
      <w:pPr>
        <w:spacing w:after="0"/>
        <w:rPr>
          <w:rStyle w:val="Emphasis"/>
          <w:rFonts w:cs="Arial"/>
          <w:i w:val="0"/>
          <w:color w:val="808080" w:themeColor="background1" w:themeShade="80"/>
          <w:sz w:val="24"/>
          <w:szCs w:val="24"/>
          <w:bdr w:val="none" w:sz="0" w:space="0" w:color="auto" w:frame="1"/>
          <w:shd w:val="clear" w:color="auto" w:fill="FFFFFF"/>
        </w:rPr>
      </w:pPr>
    </w:p>
    <w:p w:rsidR="00B038A2" w:rsidRPr="000E0277" w:rsidRDefault="00B038A2" w:rsidP="00B038A2">
      <w:pPr>
        <w:spacing w:after="0"/>
        <w:rPr>
          <w:rStyle w:val="Emphasis"/>
          <w:i w:val="0"/>
          <w:color w:val="808080" w:themeColor="background1" w:themeShade="80"/>
          <w:sz w:val="24"/>
          <w:szCs w:val="24"/>
          <w:bdr w:val="none" w:sz="0" w:space="0" w:color="auto" w:frame="1"/>
          <w:shd w:val="clear" w:color="auto" w:fill="FFFFFF"/>
        </w:rPr>
      </w:pPr>
      <w:r w:rsidRPr="000E0277">
        <w:rPr>
          <w:rStyle w:val="Emphasis"/>
          <w:rFonts w:cs="Arial"/>
          <w:i w:val="0"/>
          <w:color w:val="808080" w:themeColor="background1" w:themeShade="80"/>
          <w:sz w:val="24"/>
          <w:szCs w:val="24"/>
          <w:bdr w:val="none" w:sz="0" w:space="0" w:color="auto" w:frame="1"/>
          <w:shd w:val="clear" w:color="auto" w:fill="FFFFFF"/>
        </w:rPr>
        <w:t>Baczor, L. (2019</w:t>
      </w:r>
      <w:r w:rsidR="006D3B36" w:rsidRPr="000E0277">
        <w:rPr>
          <w:rStyle w:val="Emphasis"/>
          <w:rFonts w:cs="Arial"/>
          <w:i w:val="0"/>
          <w:color w:val="808080" w:themeColor="background1" w:themeShade="80"/>
          <w:sz w:val="24"/>
          <w:szCs w:val="24"/>
          <w:bdr w:val="none" w:sz="0" w:space="0" w:color="auto" w:frame="1"/>
          <w:shd w:val="clear" w:color="auto" w:fill="FFFFFF"/>
        </w:rPr>
        <w:t>)</w:t>
      </w:r>
      <w:r w:rsidR="006D3B36" w:rsidRPr="000E0277">
        <w:rPr>
          <w:rStyle w:val="Emphasis"/>
          <w:rFonts w:cs="Arial"/>
          <w:color w:val="808080" w:themeColor="background1" w:themeShade="80"/>
          <w:sz w:val="24"/>
          <w:szCs w:val="24"/>
          <w:bdr w:val="none" w:sz="0" w:space="0" w:color="auto" w:frame="1"/>
          <w:shd w:val="clear" w:color="auto" w:fill="FFFFFF"/>
        </w:rPr>
        <w:t xml:space="preserve"> The</w:t>
      </w:r>
      <w:r w:rsidRPr="000E0277">
        <w:rPr>
          <w:rStyle w:val="Emphasis"/>
          <w:rFonts w:cs="Arial"/>
          <w:color w:val="808080" w:themeColor="background1" w:themeShade="80"/>
          <w:sz w:val="24"/>
          <w:szCs w:val="24"/>
          <w:bdr w:val="none" w:sz="0" w:space="0" w:color="auto" w:frame="1"/>
          <w:shd w:val="clear" w:color="auto" w:fill="FFFFFF"/>
        </w:rPr>
        <w:t xml:space="preserve"> psychological contract.</w:t>
      </w:r>
    </w:p>
    <w:p w:rsidR="00B038A2" w:rsidRPr="000E0277" w:rsidRDefault="00B038A2" w:rsidP="00B038A2">
      <w:pPr>
        <w:tabs>
          <w:tab w:val="left" w:pos="4025"/>
        </w:tabs>
        <w:spacing w:after="0"/>
        <w:rPr>
          <w:rStyle w:val="Emphasis"/>
          <w:rFonts w:cs="Arial"/>
          <w:i w:val="0"/>
          <w:iCs w:val="0"/>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https://www.cipd.co.uk/knowledge/fundamentals/relations/employees/psychological-factsheet</w:t>
      </w:r>
    </w:p>
    <w:p w:rsidR="00D95558" w:rsidRPr="000E0277" w:rsidRDefault="00B038A2" w:rsidP="00B038A2">
      <w:pPr>
        <w:rPr>
          <w:rFonts w:cs="Arial"/>
          <w:color w:val="808080" w:themeColor="background1" w:themeShade="80"/>
          <w:sz w:val="24"/>
          <w:szCs w:val="24"/>
        </w:rPr>
      </w:pPr>
      <w:r w:rsidRPr="000E0277">
        <w:rPr>
          <w:rFonts w:cs="Arial"/>
          <w:color w:val="808080" w:themeColor="background1" w:themeShade="80"/>
          <w:sz w:val="24"/>
          <w:szCs w:val="24"/>
        </w:rPr>
        <w:t>(Accessed: 13</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D95558" w:rsidRPr="000E0277" w:rsidRDefault="00D95558" w:rsidP="00D95558">
      <w:pPr>
        <w:spacing w:after="0"/>
        <w:rPr>
          <w:rFonts w:cs="Arial"/>
          <w:i/>
          <w:color w:val="808080" w:themeColor="background1" w:themeShade="80"/>
          <w:sz w:val="24"/>
          <w:szCs w:val="24"/>
        </w:rPr>
      </w:pPr>
      <w:r w:rsidRPr="000E0277">
        <w:rPr>
          <w:rFonts w:cs="Arial"/>
          <w:color w:val="808080" w:themeColor="background1" w:themeShade="80"/>
          <w:sz w:val="24"/>
          <w:szCs w:val="24"/>
        </w:rPr>
        <w:t xml:space="preserve">CIPD (2017) </w:t>
      </w:r>
      <w:r w:rsidRPr="000E0277">
        <w:rPr>
          <w:rFonts w:cs="Arial"/>
          <w:i/>
          <w:color w:val="808080" w:themeColor="background1" w:themeShade="80"/>
          <w:sz w:val="24"/>
          <w:szCs w:val="24"/>
        </w:rPr>
        <w:t>Trade union recognition and industrial action Q&amp;As.</w:t>
      </w:r>
    </w:p>
    <w:p w:rsidR="00D95558" w:rsidRPr="000E0277" w:rsidRDefault="00D95558" w:rsidP="00D95558">
      <w:pPr>
        <w:spacing w:after="0"/>
        <w:rPr>
          <w:color w:val="808080" w:themeColor="background1" w:themeShade="80"/>
          <w:sz w:val="24"/>
          <w:szCs w:val="24"/>
        </w:rPr>
      </w:pPr>
      <w:r w:rsidRPr="000E0277">
        <w:rPr>
          <w:rFonts w:cs="Arial"/>
          <w:color w:val="808080" w:themeColor="background1" w:themeShade="80"/>
          <w:sz w:val="24"/>
          <w:szCs w:val="24"/>
        </w:rPr>
        <w:t xml:space="preserve">Available at: </w:t>
      </w:r>
      <w:hyperlink r:id="rId17" w:history="1">
        <w:r w:rsidRPr="000E0277">
          <w:rPr>
            <w:rStyle w:val="Hyperlink"/>
            <w:color w:val="808080" w:themeColor="background1" w:themeShade="80"/>
            <w:sz w:val="24"/>
            <w:szCs w:val="24"/>
            <w:u w:val="none"/>
          </w:rPr>
          <w:t>https://www.cipd.co.uk/knowledge/fundamentals/relations/employees/trade-unions-questions</w:t>
        </w:r>
      </w:hyperlink>
    </w:p>
    <w:p w:rsidR="00D95558" w:rsidRDefault="00D95558" w:rsidP="00D95558">
      <w:pPr>
        <w:spacing w:after="0"/>
        <w:rPr>
          <w:rFonts w:cs="Arial"/>
          <w:color w:val="808080" w:themeColor="background1" w:themeShade="80"/>
          <w:sz w:val="24"/>
          <w:szCs w:val="24"/>
        </w:rPr>
      </w:pPr>
      <w:r w:rsidRPr="000E0277">
        <w:rPr>
          <w:rFonts w:cs="Arial"/>
          <w:color w:val="808080" w:themeColor="background1" w:themeShade="80"/>
          <w:sz w:val="24"/>
          <w:szCs w:val="24"/>
        </w:rPr>
        <w:t>(Accessed: 8</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CA36DE" w:rsidRDefault="00CA36DE" w:rsidP="005D22A1">
      <w:pPr>
        <w:spacing w:after="0"/>
        <w:rPr>
          <w:rFonts w:cs="Arial"/>
          <w:color w:val="808080" w:themeColor="background1" w:themeShade="80"/>
          <w:sz w:val="24"/>
          <w:szCs w:val="24"/>
        </w:rPr>
      </w:pPr>
    </w:p>
    <w:p w:rsidR="005D22A1" w:rsidRPr="000E0277" w:rsidRDefault="005D22A1" w:rsidP="005D22A1">
      <w:pPr>
        <w:spacing w:after="0"/>
        <w:rPr>
          <w:rFonts w:cs="Arial"/>
          <w:color w:val="808080" w:themeColor="background1" w:themeShade="80"/>
          <w:sz w:val="24"/>
          <w:szCs w:val="24"/>
        </w:rPr>
      </w:pPr>
      <w:r w:rsidRPr="000E0277">
        <w:rPr>
          <w:rFonts w:cs="Arial"/>
          <w:color w:val="808080" w:themeColor="background1" w:themeShade="80"/>
          <w:sz w:val="24"/>
          <w:szCs w:val="24"/>
        </w:rPr>
        <w:t xml:space="preserve">CIPD (2019) </w:t>
      </w:r>
      <w:r w:rsidRPr="000E0277">
        <w:rPr>
          <w:rFonts w:cs="Arial"/>
          <w:i/>
          <w:color w:val="808080" w:themeColor="background1" w:themeShade="80"/>
          <w:sz w:val="24"/>
          <w:szCs w:val="24"/>
        </w:rPr>
        <w:t>Employee Voice.</w:t>
      </w:r>
    </w:p>
    <w:p w:rsidR="005D22A1" w:rsidRPr="000E0277" w:rsidRDefault="005D22A1" w:rsidP="005D22A1">
      <w:pPr>
        <w:spacing w:after="0"/>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18" w:history="1">
        <w:r w:rsidRPr="000E0277">
          <w:rPr>
            <w:rStyle w:val="Hyperlink"/>
            <w:color w:val="808080" w:themeColor="background1" w:themeShade="80"/>
            <w:sz w:val="24"/>
            <w:szCs w:val="24"/>
            <w:u w:val="none"/>
          </w:rPr>
          <w:t>https://www.cipd.co.uk/knowledge/fundamentals/relations/communication/voice-factsheet</w:t>
        </w:r>
      </w:hyperlink>
    </w:p>
    <w:p w:rsidR="00C17012" w:rsidRPr="000E0277" w:rsidRDefault="005D22A1" w:rsidP="00E4668A">
      <w:pPr>
        <w:spacing w:after="0"/>
        <w:rPr>
          <w:rFonts w:cs="Arial"/>
          <w:color w:val="808080" w:themeColor="background1" w:themeShade="80"/>
          <w:sz w:val="24"/>
          <w:szCs w:val="24"/>
        </w:rPr>
      </w:pPr>
      <w:r w:rsidRPr="000E0277">
        <w:rPr>
          <w:rFonts w:cs="Arial"/>
          <w:color w:val="808080" w:themeColor="background1" w:themeShade="80"/>
          <w:sz w:val="24"/>
          <w:szCs w:val="24"/>
        </w:rPr>
        <w:t>(Accessed: 27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C17012" w:rsidRPr="000E0277" w:rsidRDefault="00C17012" w:rsidP="00E4668A">
      <w:pPr>
        <w:spacing w:after="0"/>
        <w:rPr>
          <w:rFonts w:cs="Arial"/>
          <w:color w:val="808080" w:themeColor="background1" w:themeShade="80"/>
          <w:sz w:val="24"/>
          <w:szCs w:val="24"/>
        </w:rPr>
      </w:pPr>
    </w:p>
    <w:p w:rsidR="00E4668A" w:rsidRPr="000E0277" w:rsidRDefault="00E4668A" w:rsidP="00E4668A">
      <w:pPr>
        <w:spacing w:after="0"/>
        <w:rPr>
          <w:rFonts w:cs="Arial"/>
          <w:color w:val="808080" w:themeColor="background1" w:themeShade="80"/>
          <w:sz w:val="24"/>
          <w:szCs w:val="24"/>
        </w:rPr>
      </w:pPr>
      <w:r w:rsidRPr="000E0277">
        <w:rPr>
          <w:rFonts w:cs="Arial"/>
          <w:color w:val="808080" w:themeColor="background1" w:themeShade="80"/>
          <w:sz w:val="24"/>
          <w:szCs w:val="24"/>
        </w:rPr>
        <w:t xml:space="preserve">Daniels, K. (2019) </w:t>
      </w:r>
      <w:r w:rsidRPr="000E0277">
        <w:rPr>
          <w:rFonts w:cs="Arial"/>
          <w:i/>
          <w:color w:val="808080" w:themeColor="background1" w:themeShade="80"/>
          <w:sz w:val="24"/>
          <w:szCs w:val="24"/>
        </w:rPr>
        <w:t>Introduction To Employment Law.</w:t>
      </w:r>
      <w:r w:rsidR="00E9164B" w:rsidRPr="000E0277">
        <w:rPr>
          <w:rFonts w:cs="Arial"/>
          <w:color w:val="808080" w:themeColor="background1" w:themeShade="80"/>
          <w:sz w:val="24"/>
          <w:szCs w:val="24"/>
        </w:rPr>
        <w:t xml:space="preserve"> </w:t>
      </w:r>
      <w:r w:rsidRPr="000E0277">
        <w:rPr>
          <w:rFonts w:cs="Arial"/>
          <w:color w:val="808080" w:themeColor="background1" w:themeShade="80"/>
          <w:sz w:val="24"/>
          <w:szCs w:val="24"/>
        </w:rPr>
        <w:t>(5</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edn). London: Kogan Page Limited.</w:t>
      </w:r>
    </w:p>
    <w:p w:rsidR="00E4668A" w:rsidRPr="000E0277" w:rsidRDefault="00E4668A" w:rsidP="00E4668A">
      <w:pPr>
        <w:shd w:val="clear" w:color="auto" w:fill="FFFFFF"/>
        <w:spacing w:after="165" w:line="240" w:lineRule="auto"/>
        <w:rPr>
          <w:color w:val="808080" w:themeColor="background1" w:themeShade="80"/>
          <w:sz w:val="24"/>
          <w:szCs w:val="24"/>
        </w:rPr>
      </w:pPr>
    </w:p>
    <w:p w:rsidR="00E4668A" w:rsidRPr="000E0277" w:rsidRDefault="00E4668A" w:rsidP="00E4668A">
      <w:pPr>
        <w:spacing w:after="0"/>
        <w:rPr>
          <w:rFonts w:eastAsia="Times New Roman" w:cs="Arial"/>
          <w:i/>
          <w:color w:val="808080" w:themeColor="background1" w:themeShade="80"/>
          <w:sz w:val="24"/>
          <w:szCs w:val="24"/>
          <w:lang w:eastAsia="en-GB"/>
        </w:rPr>
      </w:pPr>
      <w:r w:rsidRPr="000E0277">
        <w:rPr>
          <w:rFonts w:cs="Arial"/>
          <w:color w:val="808080" w:themeColor="background1" w:themeShade="80"/>
          <w:sz w:val="24"/>
          <w:szCs w:val="24"/>
        </w:rPr>
        <w:t xml:space="preserve">EHRC (2018) </w:t>
      </w:r>
      <w:r w:rsidRPr="000E0277">
        <w:rPr>
          <w:rFonts w:eastAsia="Times New Roman" w:cs="Arial"/>
          <w:i/>
          <w:color w:val="808080" w:themeColor="background1" w:themeShade="80"/>
          <w:sz w:val="24"/>
          <w:szCs w:val="24"/>
          <w:lang w:eastAsia="en-GB"/>
        </w:rPr>
        <w:t>Equality and Human Rights Commission.</w:t>
      </w:r>
    </w:p>
    <w:p w:rsidR="00E4668A" w:rsidRPr="000E0277" w:rsidRDefault="00E4668A" w:rsidP="00E9164B">
      <w:pPr>
        <w:shd w:val="clear" w:color="auto" w:fill="FFFFFF"/>
        <w:spacing w:after="0" w:line="240" w:lineRule="auto"/>
        <w:rPr>
          <w:color w:val="808080" w:themeColor="background1" w:themeShade="80"/>
          <w:sz w:val="24"/>
          <w:szCs w:val="24"/>
        </w:rPr>
      </w:pPr>
      <w:r w:rsidRPr="000E0277">
        <w:rPr>
          <w:rFonts w:cs="Arial"/>
          <w:color w:val="808080" w:themeColor="background1" w:themeShade="80"/>
          <w:sz w:val="24"/>
          <w:szCs w:val="24"/>
        </w:rPr>
        <w:t xml:space="preserve">Available at: </w:t>
      </w:r>
      <w:hyperlink r:id="rId19" w:history="1">
        <w:r w:rsidRPr="000E0277">
          <w:rPr>
            <w:rStyle w:val="Hyperlink"/>
            <w:color w:val="808080" w:themeColor="background1" w:themeShade="80"/>
            <w:sz w:val="24"/>
            <w:szCs w:val="24"/>
            <w:u w:val="none"/>
          </w:rPr>
          <w:t>https://www.equalityhumanrights.com/en/about-us/what-we-do</w:t>
        </w:r>
      </w:hyperlink>
    </w:p>
    <w:p w:rsidR="00E4668A" w:rsidRPr="000E0277" w:rsidRDefault="00E4668A" w:rsidP="00E9164B">
      <w:pPr>
        <w:spacing w:after="0"/>
        <w:rPr>
          <w:rFonts w:cs="Arial"/>
          <w:color w:val="808080" w:themeColor="background1" w:themeShade="80"/>
          <w:sz w:val="24"/>
          <w:szCs w:val="24"/>
        </w:rPr>
      </w:pPr>
      <w:r w:rsidRPr="000E0277">
        <w:rPr>
          <w:rFonts w:cs="Arial"/>
          <w:color w:val="808080" w:themeColor="background1" w:themeShade="80"/>
          <w:sz w:val="24"/>
          <w:szCs w:val="24"/>
        </w:rPr>
        <w:t>(Accessed: 26</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B60BF3" w:rsidRPr="000E0277" w:rsidRDefault="00C03565" w:rsidP="00B35C44">
      <w:pPr>
        <w:rPr>
          <w:rFonts w:eastAsia="Calibri" w:cs="Arial"/>
          <w:color w:val="808080" w:themeColor="background1" w:themeShade="80"/>
          <w:sz w:val="24"/>
          <w:szCs w:val="24"/>
        </w:rPr>
      </w:pPr>
      <w:r w:rsidRPr="000E0277">
        <w:rPr>
          <w:rFonts w:cs="Arial"/>
          <w:color w:val="808080" w:themeColor="background1" w:themeShade="80"/>
          <w:sz w:val="24"/>
          <w:szCs w:val="24"/>
        </w:rPr>
        <w:br/>
      </w:r>
      <w:r w:rsidR="00C3560D" w:rsidRPr="000E0277">
        <w:rPr>
          <w:rFonts w:eastAsia="Calibri" w:cs="Times New Roman"/>
          <w:color w:val="808080" w:themeColor="background1" w:themeShade="80"/>
          <w:sz w:val="24"/>
          <w:szCs w:val="24"/>
        </w:rPr>
        <w:t>Ellis, C.</w:t>
      </w:r>
      <w:r w:rsidR="00B60BF3" w:rsidRPr="000E0277">
        <w:rPr>
          <w:rFonts w:eastAsia="Calibri" w:cs="Times New Roman"/>
          <w:color w:val="808080" w:themeColor="background1" w:themeShade="80"/>
          <w:sz w:val="24"/>
          <w:szCs w:val="24"/>
        </w:rPr>
        <w:t xml:space="preserve"> </w:t>
      </w:r>
      <w:r w:rsidR="00B60BF3" w:rsidRPr="000E0277">
        <w:rPr>
          <w:rFonts w:eastAsia="Calibri" w:cs="Arial"/>
          <w:color w:val="808080" w:themeColor="background1" w:themeShade="80"/>
          <w:sz w:val="24"/>
          <w:szCs w:val="24"/>
        </w:rPr>
        <w:t xml:space="preserve">(2016) ‘Contemporary Developments in Employee Relations’, in Taylor, S. and Woodhams, C. (ed.) </w:t>
      </w:r>
      <w:r w:rsidR="00B60BF3" w:rsidRPr="000E0277">
        <w:rPr>
          <w:rFonts w:eastAsia="Calibri" w:cs="Arial"/>
          <w:i/>
          <w:color w:val="808080" w:themeColor="background1" w:themeShade="80"/>
          <w:sz w:val="24"/>
          <w:szCs w:val="24"/>
        </w:rPr>
        <w:t>Human Resource Management: People and Organisations</w:t>
      </w:r>
      <w:r w:rsidR="00B60BF3" w:rsidRPr="000E0277">
        <w:rPr>
          <w:rFonts w:eastAsia="Calibri" w:cs="Arial"/>
          <w:color w:val="808080" w:themeColor="background1" w:themeShade="80"/>
          <w:sz w:val="24"/>
          <w:szCs w:val="24"/>
        </w:rPr>
        <w:t xml:space="preserve"> (2</w:t>
      </w:r>
      <w:r w:rsidR="00B60BF3" w:rsidRPr="000E0277">
        <w:rPr>
          <w:rFonts w:eastAsia="Calibri" w:cs="Arial"/>
          <w:color w:val="808080" w:themeColor="background1" w:themeShade="80"/>
          <w:sz w:val="24"/>
          <w:szCs w:val="24"/>
          <w:vertAlign w:val="superscript"/>
        </w:rPr>
        <w:t>nd</w:t>
      </w:r>
      <w:r w:rsidR="00B60BF3" w:rsidRPr="000E0277">
        <w:rPr>
          <w:rFonts w:eastAsia="Calibri" w:cs="Arial"/>
          <w:color w:val="808080" w:themeColor="background1" w:themeShade="80"/>
          <w:sz w:val="24"/>
          <w:szCs w:val="24"/>
        </w:rPr>
        <w:t xml:space="preserve"> edn). London: CIPD</w:t>
      </w:r>
    </w:p>
    <w:p w:rsidR="00C52B11" w:rsidRPr="000E0277" w:rsidRDefault="00C52B11" w:rsidP="00C52B11">
      <w:pPr>
        <w:spacing w:after="0"/>
        <w:rPr>
          <w:rFonts w:eastAsia="Calibri" w:cs="Arial"/>
          <w:i/>
          <w:color w:val="808080" w:themeColor="background1" w:themeShade="80"/>
          <w:sz w:val="24"/>
          <w:szCs w:val="24"/>
        </w:rPr>
      </w:pPr>
      <w:r w:rsidRPr="000E0277">
        <w:rPr>
          <w:rFonts w:eastAsia="Calibri" w:cs="Arial"/>
          <w:color w:val="808080" w:themeColor="background1" w:themeShade="80"/>
          <w:sz w:val="24"/>
          <w:szCs w:val="24"/>
        </w:rPr>
        <w:t xml:space="preserve">Figueiredo, M. (2014) </w:t>
      </w:r>
      <w:r w:rsidRPr="000E0277">
        <w:rPr>
          <w:rFonts w:eastAsia="Calibri" w:cs="Arial"/>
          <w:i/>
          <w:color w:val="808080" w:themeColor="background1" w:themeShade="80"/>
          <w:sz w:val="24"/>
          <w:szCs w:val="24"/>
        </w:rPr>
        <w:t>Consider Your Options: pros and Cons of mediation and Arbitration.</w:t>
      </w:r>
    </w:p>
    <w:p w:rsidR="00C52B11" w:rsidRPr="000E0277" w:rsidRDefault="00C52B11" w:rsidP="00C52B11">
      <w:pPr>
        <w:shd w:val="clear" w:color="auto" w:fill="FFFFFF"/>
        <w:spacing w:after="0" w:line="240" w:lineRule="auto"/>
        <w:rPr>
          <w:color w:val="808080" w:themeColor="background1" w:themeShade="80"/>
          <w:sz w:val="24"/>
          <w:szCs w:val="24"/>
        </w:rPr>
      </w:pPr>
      <w:r w:rsidRPr="000E0277">
        <w:rPr>
          <w:rFonts w:cs="Arial"/>
          <w:color w:val="808080" w:themeColor="background1" w:themeShade="80"/>
          <w:sz w:val="24"/>
          <w:szCs w:val="24"/>
        </w:rPr>
        <w:t xml:space="preserve">Available at: </w:t>
      </w:r>
      <w:hyperlink r:id="rId20" w:history="1">
        <w:r w:rsidRPr="000E0277">
          <w:rPr>
            <w:color w:val="808080" w:themeColor="background1" w:themeShade="80"/>
            <w:sz w:val="24"/>
            <w:szCs w:val="24"/>
          </w:rPr>
          <w:t>https://www.sanjosebusinesslawyersblog.com/consider-your-options-pros-and-cons-of-mediation-and-arbitration/</w:t>
        </w:r>
      </w:hyperlink>
    </w:p>
    <w:p w:rsidR="00C52B11" w:rsidRPr="000E0277" w:rsidRDefault="00C52B11" w:rsidP="00C52B11">
      <w:pPr>
        <w:spacing w:after="0"/>
        <w:rPr>
          <w:rFonts w:cs="Arial"/>
          <w:color w:val="808080" w:themeColor="background1" w:themeShade="80"/>
          <w:sz w:val="24"/>
          <w:szCs w:val="24"/>
        </w:rPr>
      </w:pPr>
      <w:r w:rsidRPr="000E0277">
        <w:rPr>
          <w:rFonts w:cs="Arial"/>
          <w:color w:val="808080" w:themeColor="background1" w:themeShade="80"/>
          <w:sz w:val="24"/>
          <w:szCs w:val="24"/>
        </w:rPr>
        <w:t>(Accessed: 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C52B11" w:rsidRPr="000E0277" w:rsidRDefault="00C52B11" w:rsidP="00B35C44">
      <w:pPr>
        <w:rPr>
          <w:rFonts w:eastAsia="Calibri" w:cs="Arial"/>
          <w:color w:val="808080" w:themeColor="background1" w:themeShade="80"/>
          <w:sz w:val="24"/>
          <w:szCs w:val="24"/>
        </w:rPr>
      </w:pPr>
    </w:p>
    <w:p w:rsidR="00B35C44" w:rsidRPr="000E0277" w:rsidRDefault="00B35C44" w:rsidP="00B35C44">
      <w:pPr>
        <w:rPr>
          <w:rFonts w:cs="Arial"/>
          <w:color w:val="808080" w:themeColor="background1" w:themeShade="80"/>
          <w:sz w:val="24"/>
          <w:szCs w:val="24"/>
        </w:rPr>
      </w:pPr>
      <w:r w:rsidRPr="000E0277">
        <w:rPr>
          <w:rFonts w:cs="Arial"/>
          <w:color w:val="808080" w:themeColor="background1" w:themeShade="80"/>
          <w:sz w:val="24"/>
          <w:szCs w:val="24"/>
        </w:rPr>
        <w:lastRenderedPageBreak/>
        <w:t>Gennard, J. (1998) “</w:t>
      </w:r>
      <w:r w:rsidRPr="000E0277">
        <w:rPr>
          <w:rFonts w:cs="Arial"/>
          <w:i/>
          <w:color w:val="808080" w:themeColor="background1" w:themeShade="80"/>
          <w:sz w:val="24"/>
          <w:szCs w:val="24"/>
        </w:rPr>
        <w:t xml:space="preserve">Labour Government: change in employment law”, </w:t>
      </w:r>
      <w:r w:rsidRPr="000E0277">
        <w:rPr>
          <w:rFonts w:cs="Arial"/>
          <w:color w:val="808080" w:themeColor="background1" w:themeShade="80"/>
          <w:sz w:val="24"/>
          <w:szCs w:val="24"/>
        </w:rPr>
        <w:t xml:space="preserve">Employee </w:t>
      </w:r>
      <w:r w:rsidR="002B73EF" w:rsidRPr="000E0277">
        <w:rPr>
          <w:rFonts w:cs="Arial"/>
          <w:color w:val="808080" w:themeColor="background1" w:themeShade="80"/>
          <w:sz w:val="24"/>
          <w:szCs w:val="24"/>
        </w:rPr>
        <w:t>Relations</w:t>
      </w:r>
      <w:r w:rsidRPr="000E0277">
        <w:rPr>
          <w:rFonts w:cs="Arial"/>
          <w:color w:val="808080" w:themeColor="background1" w:themeShade="80"/>
          <w:sz w:val="24"/>
          <w:szCs w:val="24"/>
        </w:rPr>
        <w:t>, Vol. 20 Issue</w:t>
      </w:r>
      <w:r w:rsidR="006D3B36" w:rsidRPr="000E0277">
        <w:rPr>
          <w:rFonts w:cs="Arial"/>
          <w:color w:val="808080" w:themeColor="background1" w:themeShade="80"/>
          <w:sz w:val="24"/>
          <w:szCs w:val="24"/>
        </w:rPr>
        <w:t>: 1</w:t>
      </w:r>
      <w:r w:rsidRPr="000E0277">
        <w:rPr>
          <w:rFonts w:cs="Arial"/>
          <w:color w:val="808080" w:themeColor="background1" w:themeShade="80"/>
          <w:sz w:val="24"/>
          <w:szCs w:val="24"/>
        </w:rPr>
        <w:t>, pp 12-25</w:t>
      </w:r>
    </w:p>
    <w:p w:rsidR="00FA12CC" w:rsidRPr="000E0277" w:rsidRDefault="00FA12CC" w:rsidP="00B35C44">
      <w:pPr>
        <w:spacing w:after="0"/>
        <w:rPr>
          <w:rFonts w:cs="Arial"/>
          <w:color w:val="808080" w:themeColor="background1" w:themeShade="80"/>
          <w:sz w:val="24"/>
          <w:szCs w:val="24"/>
        </w:rPr>
      </w:pPr>
    </w:p>
    <w:p w:rsidR="0088151C" w:rsidRPr="000E0277" w:rsidRDefault="0088151C" w:rsidP="0088151C">
      <w:pPr>
        <w:spacing w:after="0"/>
        <w:rPr>
          <w:rFonts w:cs="Arial"/>
          <w:color w:val="808080" w:themeColor="background1" w:themeShade="80"/>
          <w:sz w:val="24"/>
          <w:szCs w:val="24"/>
        </w:rPr>
      </w:pPr>
      <w:r w:rsidRPr="000E0277">
        <w:rPr>
          <w:rFonts w:cs="Arial"/>
          <w:color w:val="808080" w:themeColor="background1" w:themeShade="80"/>
          <w:sz w:val="24"/>
          <w:szCs w:val="24"/>
        </w:rPr>
        <w:t xml:space="preserve">Gifford, J. (2015) </w:t>
      </w:r>
      <w:r w:rsidRPr="000E0277">
        <w:rPr>
          <w:rFonts w:cs="Arial"/>
          <w:i/>
          <w:color w:val="808080" w:themeColor="background1" w:themeShade="80"/>
          <w:sz w:val="24"/>
          <w:szCs w:val="24"/>
        </w:rPr>
        <w:t>Getting under the skin of workplace conflict: Tracing the experiences of employees.</w:t>
      </w:r>
    </w:p>
    <w:p w:rsidR="0088151C" w:rsidRPr="000E0277" w:rsidRDefault="0088151C" w:rsidP="0088151C">
      <w:pPr>
        <w:shd w:val="clear" w:color="auto" w:fill="FFFFFF"/>
        <w:spacing w:after="0" w:line="240" w:lineRule="auto"/>
        <w:rPr>
          <w:color w:val="808080" w:themeColor="background1" w:themeShade="80"/>
          <w:sz w:val="24"/>
          <w:szCs w:val="24"/>
        </w:rPr>
      </w:pPr>
      <w:r w:rsidRPr="000E0277">
        <w:rPr>
          <w:rFonts w:cs="Arial"/>
          <w:color w:val="808080" w:themeColor="background1" w:themeShade="80"/>
          <w:sz w:val="24"/>
          <w:szCs w:val="24"/>
        </w:rPr>
        <w:t xml:space="preserve">Available at: </w:t>
      </w:r>
      <w:hyperlink r:id="rId21" w:history="1">
        <w:r w:rsidRPr="000E0277">
          <w:rPr>
            <w:rStyle w:val="Hyperlink"/>
            <w:color w:val="808080" w:themeColor="background1" w:themeShade="80"/>
            <w:sz w:val="24"/>
            <w:szCs w:val="24"/>
            <w:u w:val="none"/>
          </w:rPr>
          <w:t>https://www.cipd.co.uk/Images/getting-under-skin-workplace-conflict_2015-tracing-experiences-employees_tcm18-10800.pdf</w:t>
        </w:r>
      </w:hyperlink>
    </w:p>
    <w:p w:rsidR="0088151C" w:rsidRPr="000E0277" w:rsidRDefault="0088151C" w:rsidP="0088151C">
      <w:pPr>
        <w:spacing w:after="0"/>
        <w:rPr>
          <w:rFonts w:cs="Arial"/>
          <w:color w:val="808080" w:themeColor="background1" w:themeShade="80"/>
          <w:sz w:val="24"/>
          <w:szCs w:val="24"/>
        </w:rPr>
      </w:pPr>
      <w:r w:rsidRPr="000E0277">
        <w:rPr>
          <w:rFonts w:cs="Arial"/>
          <w:color w:val="808080" w:themeColor="background1" w:themeShade="80"/>
          <w:sz w:val="24"/>
          <w:szCs w:val="24"/>
        </w:rPr>
        <w:t>(Accessed: 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88151C" w:rsidRDefault="0088151C" w:rsidP="00B35C44">
      <w:pPr>
        <w:spacing w:after="0"/>
        <w:rPr>
          <w:rFonts w:cs="Arial"/>
          <w:color w:val="808080" w:themeColor="background1" w:themeShade="80"/>
          <w:sz w:val="24"/>
          <w:szCs w:val="24"/>
        </w:rPr>
      </w:pPr>
    </w:p>
    <w:p w:rsidR="00FA12CC" w:rsidRPr="000E0277" w:rsidRDefault="00FA12CC" w:rsidP="00B35C44">
      <w:pPr>
        <w:spacing w:after="0"/>
        <w:rPr>
          <w:rFonts w:cs="Arial"/>
          <w:color w:val="808080" w:themeColor="background1" w:themeShade="80"/>
          <w:sz w:val="24"/>
          <w:szCs w:val="24"/>
        </w:rPr>
      </w:pPr>
      <w:r w:rsidRPr="000E0277">
        <w:rPr>
          <w:rFonts w:cs="Arial"/>
          <w:color w:val="808080" w:themeColor="background1" w:themeShade="80"/>
          <w:sz w:val="24"/>
          <w:szCs w:val="24"/>
        </w:rPr>
        <w:t xml:space="preserve">Gifford, J. (2019) </w:t>
      </w:r>
      <w:r w:rsidRPr="000E0277">
        <w:rPr>
          <w:rFonts w:cs="Arial"/>
          <w:i/>
          <w:color w:val="808080" w:themeColor="background1" w:themeShade="80"/>
          <w:sz w:val="24"/>
          <w:szCs w:val="24"/>
        </w:rPr>
        <w:t>Mediation at work.</w:t>
      </w:r>
    </w:p>
    <w:p w:rsidR="00FA12CC" w:rsidRPr="000E0277" w:rsidRDefault="00FA12CC" w:rsidP="00FA12CC">
      <w:pPr>
        <w:shd w:val="clear" w:color="auto" w:fill="FFFFFF"/>
        <w:spacing w:after="0" w:line="240" w:lineRule="auto"/>
        <w:rPr>
          <w:color w:val="808080" w:themeColor="background1" w:themeShade="80"/>
          <w:sz w:val="24"/>
          <w:szCs w:val="24"/>
        </w:rPr>
      </w:pPr>
      <w:r w:rsidRPr="000E0277">
        <w:rPr>
          <w:rFonts w:cs="Arial"/>
          <w:color w:val="808080" w:themeColor="background1" w:themeShade="80"/>
          <w:sz w:val="24"/>
          <w:szCs w:val="24"/>
        </w:rPr>
        <w:t xml:space="preserve">Available at: </w:t>
      </w:r>
      <w:hyperlink r:id="rId22" w:history="1">
        <w:r w:rsidRPr="000E0277">
          <w:rPr>
            <w:color w:val="808080" w:themeColor="background1" w:themeShade="80"/>
            <w:sz w:val="24"/>
            <w:szCs w:val="24"/>
          </w:rPr>
          <w:t>https://www.cipd.co.uk/knowledge/fundamentals/relations/disputes/mediation-factsheet</w:t>
        </w:r>
      </w:hyperlink>
    </w:p>
    <w:p w:rsidR="00FA12CC" w:rsidRPr="000E0277" w:rsidRDefault="00FA12CC" w:rsidP="00FA12CC">
      <w:pPr>
        <w:spacing w:after="0"/>
        <w:rPr>
          <w:rFonts w:cs="Arial"/>
          <w:color w:val="808080" w:themeColor="background1" w:themeShade="80"/>
          <w:sz w:val="24"/>
          <w:szCs w:val="24"/>
        </w:rPr>
      </w:pPr>
      <w:r w:rsidRPr="000E0277">
        <w:rPr>
          <w:rFonts w:cs="Arial"/>
          <w:color w:val="808080" w:themeColor="background1" w:themeShade="80"/>
          <w:sz w:val="24"/>
          <w:szCs w:val="24"/>
        </w:rPr>
        <w:t>(Accessed: 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B35C44" w:rsidRPr="000E0277" w:rsidRDefault="00B35C44" w:rsidP="00B60BF3">
      <w:pPr>
        <w:spacing w:after="0"/>
        <w:rPr>
          <w:rFonts w:eastAsia="Calibri" w:cs="Arial"/>
          <w:color w:val="808080" w:themeColor="background1" w:themeShade="80"/>
          <w:sz w:val="24"/>
          <w:szCs w:val="24"/>
        </w:rPr>
      </w:pPr>
    </w:p>
    <w:p w:rsidR="00B35C44" w:rsidRPr="000E0277" w:rsidRDefault="00B35C44" w:rsidP="00B35C44">
      <w:pPr>
        <w:spacing w:after="0"/>
        <w:rPr>
          <w:rStyle w:val="Emphasis"/>
          <w:rFonts w:cs="Arial"/>
          <w:i w:val="0"/>
          <w:color w:val="808080" w:themeColor="background1" w:themeShade="80"/>
          <w:sz w:val="24"/>
          <w:szCs w:val="24"/>
          <w:bdr w:val="none" w:sz="0" w:space="0" w:color="auto" w:frame="1"/>
          <w:shd w:val="clear" w:color="auto" w:fill="FFFFFF"/>
        </w:rPr>
      </w:pPr>
      <w:r w:rsidRPr="000E0277">
        <w:rPr>
          <w:rStyle w:val="Emphasis"/>
          <w:rFonts w:cs="Arial"/>
          <w:i w:val="0"/>
          <w:color w:val="808080" w:themeColor="background1" w:themeShade="80"/>
          <w:sz w:val="24"/>
          <w:szCs w:val="24"/>
          <w:bdr w:val="none" w:sz="0" w:space="0" w:color="auto" w:frame="1"/>
          <w:shd w:val="clear" w:color="auto" w:fill="FFFFFF"/>
        </w:rPr>
        <w:t xml:space="preserve">GOV (no date) </w:t>
      </w:r>
      <w:r w:rsidRPr="000E0277">
        <w:rPr>
          <w:rFonts w:cs="Arial"/>
          <w:i/>
          <w:color w:val="808080" w:themeColor="background1" w:themeShade="80"/>
          <w:sz w:val="24"/>
          <w:szCs w:val="24"/>
          <w:shd w:val="clear" w:color="auto" w:fill="FFFFFF"/>
        </w:rPr>
        <w:t>Advisory, Conciliation and Arbitration Service.</w:t>
      </w:r>
    </w:p>
    <w:p w:rsidR="00B35C44" w:rsidRPr="000E0277" w:rsidRDefault="00B35C44" w:rsidP="00B35C44">
      <w:pPr>
        <w:spacing w:after="0"/>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23" w:history="1">
        <w:r w:rsidRPr="000E0277">
          <w:rPr>
            <w:color w:val="808080" w:themeColor="background1" w:themeShade="80"/>
            <w:sz w:val="24"/>
            <w:szCs w:val="24"/>
          </w:rPr>
          <w:t>https://www.gov.uk/government/organisations/acas</w:t>
        </w:r>
      </w:hyperlink>
    </w:p>
    <w:p w:rsidR="00B35C44" w:rsidRPr="000E0277" w:rsidRDefault="00B35C44" w:rsidP="00B35C44">
      <w:pPr>
        <w:rPr>
          <w:rFonts w:cs="Arial"/>
          <w:color w:val="808080" w:themeColor="background1" w:themeShade="80"/>
          <w:sz w:val="24"/>
          <w:szCs w:val="24"/>
        </w:rPr>
      </w:pPr>
      <w:r w:rsidRPr="000E0277">
        <w:rPr>
          <w:rFonts w:cs="Arial"/>
          <w:color w:val="808080" w:themeColor="background1" w:themeShade="80"/>
          <w:sz w:val="24"/>
          <w:szCs w:val="24"/>
        </w:rPr>
        <w:t>(Accessed: 26</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E4668A" w:rsidRPr="000E0277" w:rsidRDefault="00E4668A" w:rsidP="00E4668A">
      <w:pPr>
        <w:spacing w:after="0"/>
        <w:rPr>
          <w:rFonts w:cs="Arial"/>
          <w:color w:val="808080" w:themeColor="background1" w:themeShade="80"/>
          <w:sz w:val="24"/>
          <w:szCs w:val="24"/>
        </w:rPr>
      </w:pPr>
      <w:r w:rsidRPr="000E0277">
        <w:rPr>
          <w:rFonts w:cs="Arial"/>
          <w:color w:val="808080" w:themeColor="background1" w:themeShade="80"/>
          <w:sz w:val="24"/>
          <w:szCs w:val="24"/>
        </w:rPr>
        <w:t xml:space="preserve">Gov (2015) </w:t>
      </w:r>
      <w:r w:rsidRPr="000E0277">
        <w:rPr>
          <w:rFonts w:cs="Arial"/>
          <w:i/>
          <w:color w:val="808080" w:themeColor="background1" w:themeShade="80"/>
          <w:sz w:val="24"/>
          <w:szCs w:val="24"/>
        </w:rPr>
        <w:t>Equality Act 2010@guidance.</w:t>
      </w:r>
    </w:p>
    <w:p w:rsidR="00E4668A" w:rsidRPr="000E0277" w:rsidRDefault="00E4668A" w:rsidP="00E4668A">
      <w:pPr>
        <w:spacing w:after="0"/>
        <w:rPr>
          <w:rFonts w:cs="Arial"/>
          <w:color w:val="808080" w:themeColor="background1" w:themeShade="80"/>
          <w:sz w:val="24"/>
          <w:szCs w:val="24"/>
        </w:rPr>
      </w:pPr>
      <w:r w:rsidRPr="000E0277">
        <w:rPr>
          <w:rFonts w:cs="Arial"/>
          <w:color w:val="808080" w:themeColor="background1" w:themeShade="80"/>
          <w:sz w:val="24"/>
          <w:szCs w:val="24"/>
        </w:rPr>
        <w:t>Available at: https://www.gov.uk/guidance/equality-act-2010-guidance</w:t>
      </w:r>
    </w:p>
    <w:p w:rsidR="00471EFA" w:rsidRPr="000E0277" w:rsidRDefault="00E4668A" w:rsidP="00471EFA">
      <w:pPr>
        <w:tabs>
          <w:tab w:val="left" w:pos="4025"/>
        </w:tabs>
        <w:spacing w:after="0"/>
        <w:rPr>
          <w:rFonts w:cs="Arial"/>
          <w:color w:val="808080" w:themeColor="background1" w:themeShade="80"/>
          <w:sz w:val="24"/>
          <w:szCs w:val="24"/>
        </w:rPr>
      </w:pPr>
      <w:r w:rsidRPr="000E0277">
        <w:rPr>
          <w:rFonts w:cs="Arial"/>
          <w:color w:val="808080" w:themeColor="background1" w:themeShade="80"/>
          <w:sz w:val="24"/>
          <w:szCs w:val="24"/>
        </w:rPr>
        <w:t>(Accessed: 26</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471EFA" w:rsidRPr="000E0277" w:rsidRDefault="00471EFA" w:rsidP="00471EFA">
      <w:pPr>
        <w:tabs>
          <w:tab w:val="left" w:pos="4025"/>
        </w:tabs>
        <w:spacing w:after="0"/>
        <w:rPr>
          <w:rFonts w:cs="Arial"/>
          <w:color w:val="808080" w:themeColor="background1" w:themeShade="80"/>
          <w:sz w:val="24"/>
          <w:szCs w:val="24"/>
        </w:rPr>
      </w:pPr>
    </w:p>
    <w:p w:rsidR="00471EFA" w:rsidRPr="000E0277" w:rsidRDefault="00471EFA" w:rsidP="00471EFA">
      <w:pPr>
        <w:tabs>
          <w:tab w:val="left" w:pos="4025"/>
        </w:tabs>
        <w:spacing w:after="0"/>
        <w:rPr>
          <w:rFonts w:cs="Arial"/>
          <w:bCs/>
          <w:color w:val="808080" w:themeColor="background1" w:themeShade="80"/>
          <w:sz w:val="24"/>
          <w:szCs w:val="24"/>
        </w:rPr>
      </w:pPr>
      <w:r w:rsidRPr="000E0277">
        <w:rPr>
          <w:rFonts w:cs="Arial"/>
          <w:bCs/>
          <w:color w:val="808080" w:themeColor="background1" w:themeShade="80"/>
          <w:sz w:val="24"/>
          <w:szCs w:val="24"/>
        </w:rPr>
        <w:t xml:space="preserve">Huczynski, A. and Buchanan, D. (1991) </w:t>
      </w:r>
      <w:r w:rsidRPr="0088151C">
        <w:rPr>
          <w:rFonts w:cs="Arial"/>
          <w:bCs/>
          <w:i/>
          <w:color w:val="808080" w:themeColor="background1" w:themeShade="80"/>
          <w:sz w:val="24"/>
          <w:szCs w:val="24"/>
        </w:rPr>
        <w:t>Organizational behaviour.</w:t>
      </w:r>
      <w:r w:rsidRPr="000E0277">
        <w:rPr>
          <w:rFonts w:cs="Arial"/>
          <w:bCs/>
          <w:color w:val="808080" w:themeColor="background1" w:themeShade="80"/>
          <w:sz w:val="24"/>
          <w:szCs w:val="24"/>
        </w:rPr>
        <w:t xml:space="preserve"> (2nd edn). England: Prentice Hall International (UK) Ltd.</w:t>
      </w:r>
    </w:p>
    <w:p w:rsidR="00471EFA" w:rsidRPr="000E0277" w:rsidRDefault="00471EFA" w:rsidP="00471EFA">
      <w:pPr>
        <w:tabs>
          <w:tab w:val="left" w:pos="4025"/>
        </w:tabs>
        <w:spacing w:after="0"/>
        <w:rPr>
          <w:rFonts w:cs="Arial"/>
          <w:color w:val="808080" w:themeColor="background1" w:themeShade="80"/>
          <w:sz w:val="24"/>
          <w:szCs w:val="24"/>
        </w:rPr>
      </w:pPr>
    </w:p>
    <w:p w:rsidR="00891EA9" w:rsidRPr="000E0277" w:rsidRDefault="00891EA9" w:rsidP="00D60E8E">
      <w:pPr>
        <w:spacing w:after="0"/>
        <w:rPr>
          <w:rStyle w:val="Emphasis"/>
          <w:color w:val="808080" w:themeColor="background1" w:themeShade="80"/>
          <w:sz w:val="24"/>
          <w:szCs w:val="24"/>
          <w:bdr w:val="none" w:sz="0" w:space="0" w:color="auto" w:frame="1"/>
          <w:shd w:val="clear" w:color="auto" w:fill="FFFFFF"/>
        </w:rPr>
      </w:pPr>
      <w:r w:rsidRPr="000E0277">
        <w:rPr>
          <w:rStyle w:val="Emphasis"/>
          <w:rFonts w:cs="Arial"/>
          <w:i w:val="0"/>
          <w:color w:val="808080" w:themeColor="background1" w:themeShade="80"/>
          <w:sz w:val="24"/>
          <w:szCs w:val="24"/>
          <w:bdr w:val="none" w:sz="0" w:space="0" w:color="auto" w:frame="1"/>
          <w:shd w:val="clear" w:color="auto" w:fill="FFFFFF"/>
        </w:rPr>
        <w:t xml:space="preserve">Kelly, G. (2017) </w:t>
      </w:r>
      <w:r w:rsidRPr="000E0277">
        <w:rPr>
          <w:i/>
          <w:color w:val="808080" w:themeColor="background1" w:themeShade="80"/>
          <w:sz w:val="24"/>
          <w:szCs w:val="24"/>
        </w:rPr>
        <w:t>Trade unions – adapt to the modern world or die.</w:t>
      </w:r>
    </w:p>
    <w:p w:rsidR="00891EA9" w:rsidRPr="000E0277" w:rsidRDefault="00891EA9" w:rsidP="00D60E8E">
      <w:pPr>
        <w:tabs>
          <w:tab w:val="left" w:pos="4025"/>
        </w:tabs>
        <w:spacing w:after="0"/>
        <w:rPr>
          <w:rStyle w:val="Emphasis"/>
          <w:rFonts w:cs="Arial"/>
          <w:b/>
          <w:i w:val="0"/>
          <w:iCs w:val="0"/>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https://www.ft.com/content/f65a8510-4626-11e7-8d27-59b4dd6296b8</w:t>
      </w:r>
    </w:p>
    <w:p w:rsidR="00660AF2" w:rsidRPr="000E0277" w:rsidRDefault="00891EA9" w:rsidP="00891EA9">
      <w:pPr>
        <w:rPr>
          <w:rFonts w:cs="Arial"/>
          <w:color w:val="808080" w:themeColor="background1" w:themeShade="80"/>
          <w:sz w:val="24"/>
          <w:szCs w:val="24"/>
        </w:rPr>
      </w:pPr>
      <w:r w:rsidRPr="000E0277">
        <w:rPr>
          <w:rFonts w:cs="Arial"/>
          <w:color w:val="808080" w:themeColor="background1" w:themeShade="80"/>
          <w:sz w:val="24"/>
          <w:szCs w:val="24"/>
        </w:rPr>
        <w:t>(Accessed: 17</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660AF2" w:rsidRPr="000E0277" w:rsidRDefault="00660AF2" w:rsidP="00660AF2">
      <w:pPr>
        <w:spacing w:after="0"/>
        <w:rPr>
          <w:color w:val="808080" w:themeColor="background1" w:themeShade="80"/>
          <w:sz w:val="24"/>
          <w:szCs w:val="24"/>
        </w:rPr>
      </w:pPr>
      <w:r w:rsidRPr="000E0277">
        <w:rPr>
          <w:rStyle w:val="Emphasis"/>
          <w:rFonts w:cs="Arial"/>
          <w:i w:val="0"/>
          <w:color w:val="808080" w:themeColor="background1" w:themeShade="80"/>
          <w:sz w:val="24"/>
          <w:szCs w:val="24"/>
          <w:bdr w:val="none" w:sz="0" w:space="0" w:color="auto" w:frame="1"/>
          <w:shd w:val="clear" w:color="auto" w:fill="FFFFFF"/>
        </w:rPr>
        <w:t>Kilroy, J. and Dundo, T. (2014)</w:t>
      </w:r>
      <w:r w:rsidRPr="000E0277">
        <w:rPr>
          <w:rStyle w:val="Emphasis"/>
          <w:rFonts w:cs="Arial"/>
          <w:color w:val="808080" w:themeColor="background1" w:themeShade="80"/>
          <w:sz w:val="24"/>
          <w:szCs w:val="24"/>
          <w:bdr w:val="none" w:sz="0" w:space="0" w:color="auto" w:frame="1"/>
          <w:shd w:val="clear" w:color="auto" w:fill="FFFFFF"/>
        </w:rPr>
        <w:t xml:space="preserve"> </w:t>
      </w:r>
      <w:r w:rsidRPr="000E0277">
        <w:rPr>
          <w:i/>
          <w:color w:val="808080" w:themeColor="background1" w:themeShade="80"/>
          <w:sz w:val="24"/>
          <w:szCs w:val="24"/>
        </w:rPr>
        <w:t>The multiple faces of front line managers A preliminary examination of FLM styles and reciprocated employee outcomes.</w:t>
      </w:r>
    </w:p>
    <w:p w:rsidR="00660AF2" w:rsidRPr="000E0277" w:rsidRDefault="00660AF2" w:rsidP="00660AF2">
      <w:pPr>
        <w:spacing w:after="0"/>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24" w:history="1">
        <w:r w:rsidRPr="000E0277">
          <w:rPr>
            <w:rStyle w:val="Hyperlink"/>
            <w:color w:val="808080" w:themeColor="background1" w:themeShade="80"/>
            <w:sz w:val="24"/>
            <w:szCs w:val="24"/>
            <w:u w:val="none"/>
          </w:rPr>
          <w:t>https://moodle.uwtsd.ac.uk/pluginfile.php/242759/mod_resource/content/1/Article%20Management%20Styles%202015.pdf</w:t>
        </w:r>
      </w:hyperlink>
    </w:p>
    <w:p w:rsidR="00660AF2" w:rsidRPr="000E0277" w:rsidRDefault="00660AF2" w:rsidP="00660AF2">
      <w:pPr>
        <w:spacing w:after="0"/>
        <w:rPr>
          <w:rFonts w:cs="Arial"/>
          <w:color w:val="808080" w:themeColor="background1" w:themeShade="80"/>
          <w:sz w:val="24"/>
          <w:szCs w:val="24"/>
        </w:rPr>
      </w:pPr>
      <w:r w:rsidRPr="000E0277">
        <w:rPr>
          <w:rFonts w:cs="Arial"/>
          <w:color w:val="808080" w:themeColor="background1" w:themeShade="80"/>
          <w:sz w:val="24"/>
          <w:szCs w:val="24"/>
        </w:rPr>
        <w:t>(Accessed: 19</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896EF5" w:rsidRPr="000E0277" w:rsidRDefault="00896EF5" w:rsidP="00660AF2">
      <w:pPr>
        <w:spacing w:after="0"/>
        <w:rPr>
          <w:rFonts w:cs="Arial"/>
          <w:color w:val="808080" w:themeColor="background1" w:themeShade="80"/>
          <w:sz w:val="24"/>
          <w:szCs w:val="24"/>
        </w:rPr>
      </w:pPr>
    </w:p>
    <w:p w:rsidR="00896EF5" w:rsidRPr="000E0277" w:rsidRDefault="00896EF5" w:rsidP="00660AF2">
      <w:pPr>
        <w:spacing w:after="0"/>
        <w:rPr>
          <w:rFonts w:cs="Arial"/>
          <w:i/>
          <w:color w:val="808080" w:themeColor="background1" w:themeShade="80"/>
          <w:sz w:val="24"/>
          <w:szCs w:val="24"/>
        </w:rPr>
      </w:pPr>
      <w:r w:rsidRPr="000E0277">
        <w:rPr>
          <w:rFonts w:cs="Arial"/>
          <w:color w:val="808080" w:themeColor="background1" w:themeShade="80"/>
          <w:sz w:val="24"/>
          <w:szCs w:val="24"/>
        </w:rPr>
        <w:t xml:space="preserve">McEwen, A. (2017) </w:t>
      </w:r>
      <w:r w:rsidRPr="000E0277">
        <w:rPr>
          <w:rFonts w:cs="Arial"/>
          <w:i/>
          <w:color w:val="808080" w:themeColor="background1" w:themeShade="80"/>
          <w:sz w:val="24"/>
          <w:szCs w:val="24"/>
        </w:rPr>
        <w:t>Grangemouth refinery sabotage as cops hunt insider who forced emergency shutdown.</w:t>
      </w:r>
    </w:p>
    <w:p w:rsidR="00896EF5" w:rsidRPr="000E0277" w:rsidRDefault="00896EF5" w:rsidP="00896EF5">
      <w:pPr>
        <w:spacing w:after="0" w:line="259" w:lineRule="auto"/>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25" w:history="1">
        <w:r w:rsidRPr="000E0277">
          <w:rPr>
            <w:rStyle w:val="Hyperlink"/>
            <w:color w:val="808080" w:themeColor="background1" w:themeShade="80"/>
            <w:sz w:val="24"/>
            <w:szCs w:val="24"/>
            <w:u w:val="none"/>
          </w:rPr>
          <w:t>https://www.dailyrecord.co.uk/news/scottish-news/police-hunting-disgruntled-worker-who-10520027</w:t>
        </w:r>
      </w:hyperlink>
    </w:p>
    <w:p w:rsidR="00896EF5" w:rsidRPr="000E0277" w:rsidRDefault="00896EF5" w:rsidP="00896EF5">
      <w:pPr>
        <w:spacing w:after="0"/>
        <w:rPr>
          <w:rFonts w:cs="Arial"/>
          <w:color w:val="808080" w:themeColor="background1" w:themeShade="80"/>
          <w:sz w:val="24"/>
          <w:szCs w:val="24"/>
        </w:rPr>
      </w:pPr>
      <w:r w:rsidRPr="000E0277">
        <w:rPr>
          <w:rFonts w:cs="Arial"/>
          <w:color w:val="808080" w:themeColor="background1" w:themeShade="80"/>
          <w:sz w:val="24"/>
          <w:szCs w:val="24"/>
        </w:rPr>
        <w:t>(Accessed: 1</w:t>
      </w:r>
      <w:r w:rsidRPr="000E0277">
        <w:rPr>
          <w:rFonts w:cs="Arial"/>
          <w:color w:val="808080" w:themeColor="background1" w:themeShade="80"/>
          <w:sz w:val="24"/>
          <w:szCs w:val="24"/>
          <w:vertAlign w:val="superscript"/>
        </w:rPr>
        <w:t>st</w:t>
      </w:r>
      <w:r w:rsidRPr="000E0277">
        <w:rPr>
          <w:rFonts w:cs="Arial"/>
          <w:color w:val="808080" w:themeColor="background1" w:themeShade="80"/>
          <w:sz w:val="24"/>
          <w:szCs w:val="24"/>
        </w:rPr>
        <w:t xml:space="preserve"> April 2019).</w:t>
      </w:r>
    </w:p>
    <w:p w:rsidR="00CC405C" w:rsidRPr="000E0277" w:rsidRDefault="00CC405C" w:rsidP="00896EF5">
      <w:pPr>
        <w:spacing w:after="0"/>
        <w:rPr>
          <w:rFonts w:cs="Arial"/>
          <w:color w:val="808080" w:themeColor="background1" w:themeShade="80"/>
          <w:sz w:val="24"/>
          <w:szCs w:val="24"/>
        </w:rPr>
      </w:pPr>
    </w:p>
    <w:p w:rsidR="00CC405C" w:rsidRPr="000E0277" w:rsidRDefault="00CC405C" w:rsidP="00CC405C">
      <w:pPr>
        <w:spacing w:after="0"/>
        <w:rPr>
          <w:rFonts w:cs="Arial"/>
          <w:i/>
          <w:color w:val="808080" w:themeColor="background1" w:themeShade="80"/>
          <w:sz w:val="24"/>
          <w:szCs w:val="24"/>
        </w:rPr>
      </w:pPr>
      <w:r w:rsidRPr="000E0277">
        <w:rPr>
          <w:rFonts w:cs="Arial"/>
          <w:color w:val="808080" w:themeColor="background1" w:themeShade="80"/>
          <w:sz w:val="24"/>
          <w:szCs w:val="24"/>
        </w:rPr>
        <w:t xml:space="preserve">MSG (no date) </w:t>
      </w:r>
      <w:r w:rsidRPr="000E0277">
        <w:rPr>
          <w:rFonts w:cs="Arial"/>
          <w:i/>
          <w:color w:val="808080" w:themeColor="background1" w:themeShade="80"/>
          <w:sz w:val="24"/>
          <w:szCs w:val="24"/>
        </w:rPr>
        <w:t>Understanding Conflict – Meaning and Phases of Conflict.</w:t>
      </w:r>
    </w:p>
    <w:p w:rsidR="00CC405C" w:rsidRPr="000E0277" w:rsidRDefault="00CC405C" w:rsidP="00CC405C">
      <w:pPr>
        <w:spacing w:after="0" w:line="259" w:lineRule="auto"/>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26" w:history="1">
        <w:r w:rsidRPr="000E0277">
          <w:rPr>
            <w:rStyle w:val="Hyperlink"/>
            <w:color w:val="808080" w:themeColor="background1" w:themeShade="80"/>
            <w:sz w:val="24"/>
            <w:szCs w:val="24"/>
            <w:u w:val="none"/>
          </w:rPr>
          <w:t>https://www.managementstudyguide.com/understanding-conflict.htm</w:t>
        </w:r>
      </w:hyperlink>
    </w:p>
    <w:p w:rsidR="008D0459" w:rsidRDefault="00CC405C" w:rsidP="00967DA9">
      <w:pPr>
        <w:spacing w:after="0"/>
        <w:rPr>
          <w:rFonts w:cs="Arial"/>
          <w:color w:val="808080" w:themeColor="background1" w:themeShade="80"/>
          <w:sz w:val="24"/>
          <w:szCs w:val="24"/>
        </w:rPr>
      </w:pPr>
      <w:r w:rsidRPr="000E0277">
        <w:rPr>
          <w:rFonts w:cs="Arial"/>
          <w:color w:val="808080" w:themeColor="background1" w:themeShade="80"/>
          <w:sz w:val="24"/>
          <w:szCs w:val="24"/>
        </w:rPr>
        <w:t>(Accessed: 8</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April 2019).</w:t>
      </w:r>
    </w:p>
    <w:p w:rsidR="008D0459" w:rsidRDefault="008D0459" w:rsidP="00967DA9">
      <w:pPr>
        <w:spacing w:after="0"/>
        <w:rPr>
          <w:rFonts w:cs="Arial"/>
          <w:color w:val="808080" w:themeColor="background1" w:themeShade="80"/>
          <w:sz w:val="24"/>
          <w:szCs w:val="24"/>
        </w:rPr>
      </w:pPr>
    </w:p>
    <w:p w:rsidR="00967DA9" w:rsidRPr="008D0459" w:rsidRDefault="00967DA9" w:rsidP="00967DA9">
      <w:pPr>
        <w:spacing w:after="0"/>
        <w:rPr>
          <w:rStyle w:val="Emphasis"/>
          <w:rFonts w:cs="Arial"/>
          <w:i w:val="0"/>
          <w:iCs w:val="0"/>
          <w:color w:val="808080" w:themeColor="background1" w:themeShade="80"/>
          <w:sz w:val="24"/>
          <w:szCs w:val="24"/>
        </w:rPr>
      </w:pPr>
      <w:r w:rsidRPr="000E0277">
        <w:rPr>
          <w:rStyle w:val="Emphasis"/>
          <w:rFonts w:cs="Arial"/>
          <w:i w:val="0"/>
          <w:color w:val="808080" w:themeColor="background1" w:themeShade="80"/>
          <w:sz w:val="24"/>
          <w:szCs w:val="24"/>
          <w:bdr w:val="none" w:sz="0" w:space="0" w:color="auto" w:frame="1"/>
          <w:shd w:val="clear" w:color="auto" w:fill="FFFFFF"/>
        </w:rPr>
        <w:t>Parliament. (No Date)</w:t>
      </w:r>
      <w:r w:rsidRPr="000E0277">
        <w:rPr>
          <w:rStyle w:val="Emphasis"/>
          <w:rFonts w:cs="Arial"/>
          <w:color w:val="808080" w:themeColor="background1" w:themeShade="80"/>
          <w:sz w:val="24"/>
          <w:szCs w:val="24"/>
          <w:bdr w:val="none" w:sz="0" w:space="0" w:color="auto" w:frame="1"/>
          <w:shd w:val="clear" w:color="auto" w:fill="FFFFFF"/>
        </w:rPr>
        <w:t xml:space="preserve"> Parliament and government.</w:t>
      </w:r>
    </w:p>
    <w:p w:rsidR="00967DA9" w:rsidRPr="000E0277" w:rsidRDefault="00967DA9" w:rsidP="00967DA9">
      <w:pPr>
        <w:spacing w:after="0" w:line="259" w:lineRule="auto"/>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27" w:history="1">
        <w:r w:rsidRPr="000E0277">
          <w:rPr>
            <w:rStyle w:val="Hyperlink"/>
            <w:color w:val="808080" w:themeColor="background1" w:themeShade="80"/>
            <w:sz w:val="24"/>
            <w:szCs w:val="24"/>
            <w:u w:val="none"/>
          </w:rPr>
          <w:t>https://www.parliament.uk/education/about-your-parliament/parliament-and-government/</w:t>
        </w:r>
      </w:hyperlink>
    </w:p>
    <w:p w:rsidR="00967DA9" w:rsidRPr="000E0277" w:rsidRDefault="00967DA9" w:rsidP="00967DA9">
      <w:pPr>
        <w:spacing w:after="0"/>
        <w:rPr>
          <w:rFonts w:cs="Arial"/>
          <w:color w:val="808080" w:themeColor="background1" w:themeShade="80"/>
          <w:sz w:val="24"/>
          <w:szCs w:val="24"/>
        </w:rPr>
      </w:pPr>
      <w:r w:rsidRPr="000E0277">
        <w:rPr>
          <w:rFonts w:cs="Arial"/>
          <w:color w:val="808080" w:themeColor="background1" w:themeShade="80"/>
          <w:sz w:val="24"/>
          <w:szCs w:val="24"/>
        </w:rPr>
        <w:t>(Accessed: 19</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1E67F2" w:rsidRPr="000E0277" w:rsidRDefault="001E67F2" w:rsidP="00967DA9">
      <w:pPr>
        <w:spacing w:after="0"/>
        <w:rPr>
          <w:rFonts w:cs="Arial"/>
          <w:color w:val="808080" w:themeColor="background1" w:themeShade="80"/>
          <w:sz w:val="24"/>
          <w:szCs w:val="24"/>
        </w:rPr>
      </w:pPr>
    </w:p>
    <w:p w:rsidR="001E67F2" w:rsidRDefault="001E67F2" w:rsidP="00967DA9">
      <w:pPr>
        <w:spacing w:after="0"/>
        <w:rPr>
          <w:rFonts w:cs="Arial"/>
          <w:color w:val="808080" w:themeColor="background1" w:themeShade="80"/>
          <w:sz w:val="24"/>
          <w:szCs w:val="24"/>
        </w:rPr>
      </w:pPr>
      <w:r w:rsidRPr="000E0277">
        <w:rPr>
          <w:rFonts w:cs="Arial"/>
          <w:color w:val="808080" w:themeColor="background1" w:themeShade="80"/>
          <w:sz w:val="24"/>
          <w:szCs w:val="24"/>
        </w:rPr>
        <w:t xml:space="preserve">Purcell, J. (2014). </w:t>
      </w:r>
      <w:r w:rsidRPr="000E0277">
        <w:rPr>
          <w:rFonts w:cs="Arial"/>
          <w:i/>
          <w:color w:val="808080" w:themeColor="background1" w:themeShade="80"/>
          <w:sz w:val="24"/>
          <w:szCs w:val="24"/>
        </w:rPr>
        <w:t xml:space="preserve">Disengaging from engagement. </w:t>
      </w:r>
      <w:r w:rsidRPr="000E0277">
        <w:rPr>
          <w:rFonts w:cs="Arial"/>
          <w:color w:val="808080" w:themeColor="background1" w:themeShade="80"/>
          <w:sz w:val="24"/>
          <w:szCs w:val="24"/>
        </w:rPr>
        <w:t>Human Resource Management Journal, 24:3, 241-254</w:t>
      </w:r>
    </w:p>
    <w:p w:rsidR="008D0459" w:rsidRDefault="008D0459" w:rsidP="00967DA9">
      <w:pPr>
        <w:spacing w:after="0"/>
        <w:rPr>
          <w:rFonts w:cs="Arial"/>
          <w:color w:val="808080" w:themeColor="background1" w:themeShade="80"/>
          <w:sz w:val="24"/>
          <w:szCs w:val="24"/>
        </w:rPr>
      </w:pPr>
    </w:p>
    <w:p w:rsidR="008D0459" w:rsidRPr="000E0277" w:rsidRDefault="008D0459" w:rsidP="008D0459">
      <w:pPr>
        <w:spacing w:after="0"/>
        <w:rPr>
          <w:rFonts w:cs="Arial"/>
          <w:i/>
          <w:color w:val="808080" w:themeColor="background1" w:themeShade="80"/>
          <w:sz w:val="24"/>
          <w:szCs w:val="24"/>
        </w:rPr>
      </w:pPr>
      <w:proofErr w:type="spellStart"/>
      <w:r w:rsidRPr="000E0277">
        <w:rPr>
          <w:rFonts w:cs="Arial"/>
          <w:color w:val="808080" w:themeColor="background1" w:themeShade="80"/>
          <w:sz w:val="24"/>
          <w:szCs w:val="24"/>
        </w:rPr>
        <w:t>Quain</w:t>
      </w:r>
      <w:proofErr w:type="spellEnd"/>
      <w:r w:rsidRPr="000E0277">
        <w:rPr>
          <w:rFonts w:cs="Arial"/>
          <w:color w:val="808080" w:themeColor="background1" w:themeShade="80"/>
          <w:sz w:val="24"/>
          <w:szCs w:val="24"/>
        </w:rPr>
        <w:t xml:space="preserve">, S. (2018) </w:t>
      </w:r>
      <w:proofErr w:type="gramStart"/>
      <w:r w:rsidRPr="000E0277">
        <w:rPr>
          <w:rFonts w:cs="Arial"/>
          <w:i/>
          <w:color w:val="808080" w:themeColor="background1" w:themeShade="80"/>
          <w:sz w:val="24"/>
          <w:szCs w:val="24"/>
        </w:rPr>
        <w:t>The</w:t>
      </w:r>
      <w:proofErr w:type="gramEnd"/>
      <w:r w:rsidRPr="000E0277">
        <w:rPr>
          <w:rFonts w:cs="Arial"/>
          <w:i/>
          <w:color w:val="808080" w:themeColor="background1" w:themeShade="80"/>
          <w:sz w:val="24"/>
          <w:szCs w:val="24"/>
        </w:rPr>
        <w:t xml:space="preserve"> Difference Between Employee Participation &amp; Employee Involvement.</w:t>
      </w:r>
    </w:p>
    <w:p w:rsidR="008D0459" w:rsidRPr="000E0277" w:rsidRDefault="008D0459" w:rsidP="008D0459">
      <w:pPr>
        <w:spacing w:after="0"/>
        <w:rPr>
          <w:rFonts w:cs="Arial"/>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28" w:history="1">
        <w:r w:rsidRPr="000E0277">
          <w:rPr>
            <w:color w:val="808080" w:themeColor="background1" w:themeShade="80"/>
            <w:sz w:val="24"/>
            <w:szCs w:val="24"/>
          </w:rPr>
          <w:t>https://smallbusiness.chron.com/difference-between-employee-participation-employee-involvement-13013.html</w:t>
        </w:r>
      </w:hyperlink>
    </w:p>
    <w:p w:rsidR="008D0459" w:rsidRPr="000E0277" w:rsidRDefault="008D0459" w:rsidP="008D0459">
      <w:pPr>
        <w:spacing w:after="0"/>
        <w:rPr>
          <w:rFonts w:cs="Arial"/>
          <w:color w:val="808080" w:themeColor="background1" w:themeShade="80"/>
          <w:sz w:val="24"/>
          <w:szCs w:val="24"/>
        </w:rPr>
      </w:pPr>
      <w:r w:rsidRPr="000E0277">
        <w:rPr>
          <w:rFonts w:cs="Arial"/>
          <w:color w:val="808080" w:themeColor="background1" w:themeShade="80"/>
          <w:sz w:val="24"/>
          <w:szCs w:val="24"/>
        </w:rPr>
        <w:t>(Accessed: 28</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BD6C32" w:rsidRDefault="00BD6C32" w:rsidP="00967DA9">
      <w:pPr>
        <w:spacing w:after="0"/>
        <w:rPr>
          <w:rFonts w:cs="Arial"/>
          <w:color w:val="808080" w:themeColor="background1" w:themeShade="80"/>
          <w:sz w:val="24"/>
          <w:szCs w:val="24"/>
        </w:rPr>
      </w:pPr>
    </w:p>
    <w:p w:rsidR="00BD6C32" w:rsidRPr="000E0277" w:rsidRDefault="00BD6C32" w:rsidP="00BD6C32">
      <w:pPr>
        <w:spacing w:after="0"/>
        <w:rPr>
          <w:rFonts w:cs="Arial"/>
          <w:color w:val="808080" w:themeColor="background1" w:themeShade="80"/>
          <w:sz w:val="24"/>
          <w:szCs w:val="24"/>
        </w:rPr>
      </w:pPr>
      <w:r w:rsidRPr="000E0277">
        <w:rPr>
          <w:rFonts w:cs="Arial"/>
          <w:color w:val="808080" w:themeColor="background1" w:themeShade="80"/>
          <w:sz w:val="24"/>
          <w:szCs w:val="24"/>
        </w:rPr>
        <w:t xml:space="preserve">Sharpe, R. (2018) </w:t>
      </w:r>
      <w:r w:rsidRPr="000E0277">
        <w:rPr>
          <w:rFonts w:cs="Arial"/>
          <w:i/>
          <w:color w:val="808080" w:themeColor="background1" w:themeShade="80"/>
          <w:sz w:val="24"/>
          <w:szCs w:val="24"/>
        </w:rPr>
        <w:t>Breaking the silence: Employee voice.</w:t>
      </w:r>
    </w:p>
    <w:p w:rsidR="00BD6C32" w:rsidRPr="000E0277" w:rsidRDefault="00BD6C32" w:rsidP="00BD6C32">
      <w:pPr>
        <w:spacing w:after="0"/>
        <w:rPr>
          <w:rFonts w:cs="Arial"/>
          <w:color w:val="808080" w:themeColor="background1" w:themeShade="80"/>
          <w:sz w:val="24"/>
          <w:szCs w:val="24"/>
        </w:rPr>
      </w:pPr>
      <w:r w:rsidRPr="000E0277">
        <w:rPr>
          <w:rFonts w:cs="Arial"/>
          <w:color w:val="808080" w:themeColor="background1" w:themeShade="80"/>
          <w:sz w:val="24"/>
          <w:szCs w:val="24"/>
        </w:rPr>
        <w:t xml:space="preserve">Available at: </w:t>
      </w:r>
      <w:hyperlink r:id="rId29" w:history="1">
        <w:r w:rsidRPr="000E0277">
          <w:rPr>
            <w:color w:val="808080" w:themeColor="background1" w:themeShade="80"/>
            <w:sz w:val="24"/>
            <w:szCs w:val="24"/>
          </w:rPr>
          <w:t>https://www.hrmagazine.co.uk/article-details/breaking-the-silence-employee-voice</w:t>
        </w:r>
      </w:hyperlink>
    </w:p>
    <w:p w:rsidR="00BD6C32" w:rsidRDefault="00BD6C32" w:rsidP="00967DA9">
      <w:pPr>
        <w:spacing w:after="0"/>
        <w:rPr>
          <w:rFonts w:cs="Arial"/>
          <w:color w:val="808080" w:themeColor="background1" w:themeShade="80"/>
          <w:sz w:val="24"/>
          <w:szCs w:val="24"/>
        </w:rPr>
      </w:pPr>
      <w:r w:rsidRPr="000E0277">
        <w:rPr>
          <w:rFonts w:cs="Arial"/>
          <w:color w:val="808080" w:themeColor="background1" w:themeShade="80"/>
          <w:sz w:val="24"/>
          <w:szCs w:val="24"/>
        </w:rPr>
        <w:t>(Accessed: 28</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BD6C32" w:rsidRDefault="00BD6C32" w:rsidP="00967DA9">
      <w:pPr>
        <w:spacing w:after="0"/>
        <w:rPr>
          <w:rFonts w:cs="Arial"/>
          <w:color w:val="808080" w:themeColor="background1" w:themeShade="80"/>
          <w:sz w:val="24"/>
          <w:szCs w:val="24"/>
        </w:rPr>
      </w:pPr>
    </w:p>
    <w:p w:rsidR="00BD6C32" w:rsidRPr="000E0277" w:rsidRDefault="00BD6C32" w:rsidP="00BD6C32">
      <w:pPr>
        <w:spacing w:after="0"/>
        <w:rPr>
          <w:rFonts w:cs="Arial"/>
          <w:i/>
          <w:color w:val="808080" w:themeColor="background1" w:themeShade="80"/>
          <w:sz w:val="24"/>
          <w:szCs w:val="24"/>
        </w:rPr>
      </w:pPr>
      <w:r w:rsidRPr="000E0277">
        <w:rPr>
          <w:rFonts w:cs="Arial"/>
          <w:color w:val="808080" w:themeColor="background1" w:themeShade="80"/>
          <w:sz w:val="24"/>
          <w:szCs w:val="24"/>
        </w:rPr>
        <w:t xml:space="preserve">Taylor, M. et al (2017) </w:t>
      </w:r>
      <w:r w:rsidRPr="000E0277">
        <w:rPr>
          <w:rFonts w:cs="Arial"/>
          <w:i/>
          <w:color w:val="808080" w:themeColor="background1" w:themeShade="80"/>
          <w:sz w:val="24"/>
          <w:szCs w:val="24"/>
        </w:rPr>
        <w:t>Good Work.  The Taylor Review of Modern Working Practices.</w:t>
      </w:r>
    </w:p>
    <w:p w:rsidR="00BD6C32" w:rsidRPr="000E0277" w:rsidRDefault="00BD6C32" w:rsidP="00BD6C32">
      <w:pPr>
        <w:spacing w:after="0"/>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30" w:history="1">
        <w:r w:rsidRPr="000E0277">
          <w:rPr>
            <w:rStyle w:val="Hyperlink"/>
            <w:color w:val="808080" w:themeColor="background1" w:themeShade="80"/>
            <w:sz w:val="24"/>
            <w:szCs w:val="24"/>
            <w:u w:val="none"/>
          </w:rPr>
          <w:t>https://assets.publishing.service.gov.uk/government/uploads/system/uploads/attachment_data/file/627671/good-work-taylor-review-modern-working-practices-rg.pdf</w:t>
        </w:r>
      </w:hyperlink>
    </w:p>
    <w:p w:rsidR="00BD6C32" w:rsidRPr="000E0277" w:rsidRDefault="00BD6C32" w:rsidP="00BD6C32">
      <w:pPr>
        <w:spacing w:after="0"/>
        <w:rPr>
          <w:rFonts w:cs="Arial"/>
          <w:color w:val="808080" w:themeColor="background1" w:themeShade="80"/>
          <w:sz w:val="24"/>
          <w:szCs w:val="24"/>
        </w:rPr>
      </w:pPr>
      <w:r w:rsidRPr="000E0277">
        <w:rPr>
          <w:rFonts w:cs="Arial"/>
          <w:color w:val="808080" w:themeColor="background1" w:themeShade="80"/>
          <w:sz w:val="24"/>
          <w:szCs w:val="24"/>
        </w:rPr>
        <w:t>(Accessed: 28</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BD6C32" w:rsidRDefault="00BD6C32" w:rsidP="00967DA9">
      <w:pPr>
        <w:spacing w:after="0"/>
        <w:rPr>
          <w:rFonts w:cs="Arial"/>
          <w:color w:val="808080" w:themeColor="background1" w:themeShade="80"/>
          <w:sz w:val="24"/>
          <w:szCs w:val="24"/>
        </w:rPr>
      </w:pPr>
    </w:p>
    <w:p w:rsidR="00BD6C32" w:rsidRPr="000E0277" w:rsidRDefault="00BD6C32" w:rsidP="00BD6C32">
      <w:pPr>
        <w:spacing w:after="0" w:line="259" w:lineRule="auto"/>
        <w:rPr>
          <w:color w:val="808080" w:themeColor="background1" w:themeShade="80"/>
          <w:sz w:val="24"/>
          <w:szCs w:val="24"/>
        </w:rPr>
      </w:pPr>
      <w:r w:rsidRPr="000E0277">
        <w:rPr>
          <w:rFonts w:cs="Arial"/>
          <w:color w:val="808080" w:themeColor="background1" w:themeShade="80"/>
          <w:sz w:val="24"/>
          <w:szCs w:val="24"/>
        </w:rPr>
        <w:t xml:space="preserve">The Conversation (2018) </w:t>
      </w:r>
      <w:r w:rsidRPr="000E0277">
        <w:rPr>
          <w:rFonts w:cs="Arial"/>
          <w:i/>
          <w:color w:val="808080" w:themeColor="background1" w:themeShade="80"/>
          <w:sz w:val="24"/>
          <w:szCs w:val="24"/>
        </w:rPr>
        <w:t>New styles of strikes and protect are emerging in the UK.</w:t>
      </w:r>
      <w:r w:rsidRPr="000E0277">
        <w:rPr>
          <w:rFonts w:cs="Arial"/>
          <w:i/>
          <w:color w:val="808080" w:themeColor="background1" w:themeShade="80"/>
          <w:sz w:val="24"/>
          <w:szCs w:val="24"/>
        </w:rPr>
        <w:br/>
      </w: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31" w:history="1">
        <w:r w:rsidRPr="000E0277">
          <w:rPr>
            <w:rStyle w:val="Hyperlink"/>
            <w:color w:val="808080" w:themeColor="background1" w:themeShade="80"/>
            <w:sz w:val="24"/>
            <w:szCs w:val="24"/>
            <w:u w:val="none"/>
          </w:rPr>
          <w:t>https://theconversation.com/new-styles-of-strikes-and-protest-are-emerging-in-the-uk-94528</w:t>
        </w:r>
      </w:hyperlink>
    </w:p>
    <w:p w:rsidR="00BD6C32" w:rsidRPr="000E0277" w:rsidRDefault="00BD6C32" w:rsidP="00BD6C32">
      <w:pPr>
        <w:spacing w:after="0"/>
        <w:rPr>
          <w:rFonts w:cs="Arial"/>
          <w:color w:val="808080" w:themeColor="background1" w:themeShade="80"/>
          <w:sz w:val="24"/>
          <w:szCs w:val="24"/>
        </w:rPr>
      </w:pPr>
      <w:r w:rsidRPr="000E0277">
        <w:rPr>
          <w:rFonts w:cs="Arial"/>
          <w:color w:val="808080" w:themeColor="background1" w:themeShade="80"/>
          <w:sz w:val="24"/>
          <w:szCs w:val="24"/>
        </w:rPr>
        <w:t>(Accessed: 1</w:t>
      </w:r>
      <w:r w:rsidRPr="000E0277">
        <w:rPr>
          <w:rFonts w:cs="Arial"/>
          <w:color w:val="808080" w:themeColor="background1" w:themeShade="80"/>
          <w:sz w:val="24"/>
          <w:szCs w:val="24"/>
          <w:vertAlign w:val="superscript"/>
        </w:rPr>
        <w:t>st</w:t>
      </w:r>
      <w:r w:rsidRPr="000E0277">
        <w:rPr>
          <w:rFonts w:cs="Arial"/>
          <w:color w:val="808080" w:themeColor="background1" w:themeShade="80"/>
          <w:sz w:val="24"/>
          <w:szCs w:val="24"/>
        </w:rPr>
        <w:t xml:space="preserve"> April 2019).</w:t>
      </w:r>
    </w:p>
    <w:p w:rsidR="00BD6C32" w:rsidRPr="000E0277" w:rsidRDefault="00BD6C32" w:rsidP="00BD6C32">
      <w:pPr>
        <w:pStyle w:val="Heading1"/>
        <w:shd w:val="clear" w:color="auto" w:fill="FFFFFF"/>
        <w:spacing w:before="0"/>
        <w:rPr>
          <w:rFonts w:asciiTheme="minorHAnsi" w:hAnsiTheme="minorHAnsi" w:cs="Arial"/>
          <w:color w:val="808080" w:themeColor="background1" w:themeShade="80"/>
          <w:sz w:val="24"/>
          <w:szCs w:val="24"/>
        </w:rPr>
      </w:pPr>
      <w:r w:rsidRPr="000E0277">
        <w:rPr>
          <w:rFonts w:asciiTheme="minorHAnsi" w:hAnsiTheme="minorHAnsi" w:cs="Arial"/>
          <w:i/>
          <w:color w:val="808080" w:themeColor="background1" w:themeShade="80"/>
          <w:sz w:val="24"/>
          <w:szCs w:val="24"/>
        </w:rPr>
        <w:br/>
      </w:r>
      <w:r w:rsidRPr="000E0277">
        <w:rPr>
          <w:rFonts w:asciiTheme="minorHAnsi" w:hAnsiTheme="minorHAnsi" w:cs="Arial"/>
          <w:color w:val="808080" w:themeColor="background1" w:themeShade="80"/>
          <w:sz w:val="24"/>
          <w:szCs w:val="24"/>
        </w:rPr>
        <w:t xml:space="preserve">The Guardian (2019) </w:t>
      </w:r>
      <w:r w:rsidRPr="000E0277">
        <w:rPr>
          <w:rFonts w:asciiTheme="minorHAnsi" w:hAnsiTheme="minorHAnsi" w:cs="Arial"/>
          <w:i/>
          <w:color w:val="808080" w:themeColor="background1" w:themeShade="80"/>
          <w:sz w:val="24"/>
          <w:szCs w:val="24"/>
        </w:rPr>
        <w:t>Ministry of Justice workers to stage two-day strike over pay.</w:t>
      </w:r>
    </w:p>
    <w:p w:rsidR="00BD6C32" w:rsidRPr="000E0277" w:rsidRDefault="00BD6C32" w:rsidP="00BD6C32">
      <w:pPr>
        <w:spacing w:after="0" w:line="259" w:lineRule="auto"/>
        <w:rPr>
          <w:color w:val="808080" w:themeColor="background1" w:themeShade="80"/>
          <w:sz w:val="24"/>
          <w:szCs w:val="24"/>
        </w:rPr>
      </w:pPr>
      <w:r w:rsidRPr="000E0277">
        <w:rPr>
          <w:rFonts w:cs="Arial"/>
          <w:color w:val="808080" w:themeColor="background1" w:themeShade="80"/>
          <w:sz w:val="24"/>
          <w:szCs w:val="24"/>
        </w:rPr>
        <w:t>Available at:</w:t>
      </w:r>
      <w:r w:rsidRPr="000E0277">
        <w:rPr>
          <w:color w:val="808080" w:themeColor="background1" w:themeShade="80"/>
          <w:sz w:val="24"/>
          <w:szCs w:val="24"/>
        </w:rPr>
        <w:t xml:space="preserve"> </w:t>
      </w:r>
      <w:hyperlink r:id="rId32" w:history="1">
        <w:r w:rsidRPr="000E0277">
          <w:rPr>
            <w:rStyle w:val="Hyperlink"/>
            <w:color w:val="808080" w:themeColor="background1" w:themeShade="80"/>
            <w:sz w:val="24"/>
            <w:szCs w:val="24"/>
            <w:u w:val="none"/>
          </w:rPr>
          <w:t>https://www.theguardian.com/uk-news/2019/jan/10/ministry-of-justice-workers-to-stage-two-day-strike-over-pay</w:t>
        </w:r>
      </w:hyperlink>
    </w:p>
    <w:p w:rsidR="00BD6C32" w:rsidRPr="000E0277" w:rsidRDefault="00BD6C32" w:rsidP="00BD6C32">
      <w:pPr>
        <w:spacing w:after="0"/>
        <w:rPr>
          <w:rFonts w:cs="Arial"/>
          <w:color w:val="808080" w:themeColor="background1" w:themeShade="80"/>
          <w:sz w:val="24"/>
          <w:szCs w:val="24"/>
        </w:rPr>
      </w:pPr>
      <w:r w:rsidRPr="000E0277">
        <w:rPr>
          <w:rFonts w:cs="Arial"/>
          <w:color w:val="808080" w:themeColor="background1" w:themeShade="80"/>
          <w:sz w:val="24"/>
          <w:szCs w:val="24"/>
        </w:rPr>
        <w:t>(Accessed: 1</w:t>
      </w:r>
      <w:r w:rsidRPr="000E0277">
        <w:rPr>
          <w:rFonts w:cs="Arial"/>
          <w:color w:val="808080" w:themeColor="background1" w:themeShade="80"/>
          <w:sz w:val="24"/>
          <w:szCs w:val="24"/>
          <w:vertAlign w:val="superscript"/>
        </w:rPr>
        <w:t>st</w:t>
      </w:r>
      <w:r w:rsidRPr="000E0277">
        <w:rPr>
          <w:rFonts w:cs="Arial"/>
          <w:color w:val="808080" w:themeColor="background1" w:themeShade="80"/>
          <w:sz w:val="24"/>
          <w:szCs w:val="24"/>
        </w:rPr>
        <w:t xml:space="preserve"> April 2019).</w:t>
      </w:r>
    </w:p>
    <w:p w:rsidR="008157B8" w:rsidRPr="000E0277" w:rsidRDefault="008157B8" w:rsidP="00967DA9">
      <w:pPr>
        <w:spacing w:after="0"/>
        <w:rPr>
          <w:rFonts w:cs="Arial"/>
          <w:color w:val="808080" w:themeColor="background1" w:themeShade="80"/>
          <w:sz w:val="24"/>
          <w:szCs w:val="24"/>
        </w:rPr>
      </w:pPr>
    </w:p>
    <w:p w:rsidR="008506F9" w:rsidRPr="000E0277" w:rsidRDefault="008506F9" w:rsidP="00967DA9">
      <w:pPr>
        <w:spacing w:after="0"/>
        <w:rPr>
          <w:color w:val="808080" w:themeColor="background1" w:themeShade="80"/>
          <w:sz w:val="24"/>
          <w:szCs w:val="24"/>
        </w:rPr>
      </w:pPr>
      <w:r w:rsidRPr="000E0277">
        <w:rPr>
          <w:color w:val="808080" w:themeColor="background1" w:themeShade="80"/>
          <w:sz w:val="24"/>
          <w:szCs w:val="24"/>
        </w:rPr>
        <w:t>Watson, T. (2003), Sociology and Work, 3rd ed., Routledge, London.</w:t>
      </w:r>
    </w:p>
    <w:p w:rsidR="008506F9" w:rsidRPr="000E0277" w:rsidRDefault="008506F9" w:rsidP="00967DA9">
      <w:pPr>
        <w:spacing w:after="0"/>
        <w:rPr>
          <w:rFonts w:cs="Arial"/>
          <w:color w:val="808080" w:themeColor="background1" w:themeShade="80"/>
          <w:sz w:val="24"/>
          <w:szCs w:val="24"/>
        </w:rPr>
      </w:pPr>
    </w:p>
    <w:p w:rsidR="008157B8" w:rsidRPr="000E0277" w:rsidRDefault="008157B8" w:rsidP="008157B8">
      <w:pPr>
        <w:spacing w:after="0"/>
        <w:rPr>
          <w:rStyle w:val="Emphasis"/>
          <w:rFonts w:cs="Arial"/>
          <w:color w:val="808080" w:themeColor="background1" w:themeShade="80"/>
          <w:sz w:val="24"/>
          <w:szCs w:val="24"/>
          <w:bdr w:val="none" w:sz="0" w:space="0" w:color="auto" w:frame="1"/>
          <w:shd w:val="clear" w:color="auto" w:fill="FFFFFF"/>
        </w:rPr>
      </w:pPr>
      <w:r w:rsidRPr="000E0277">
        <w:rPr>
          <w:rStyle w:val="Emphasis"/>
          <w:rFonts w:cs="Arial"/>
          <w:i w:val="0"/>
          <w:color w:val="808080" w:themeColor="background1" w:themeShade="80"/>
          <w:sz w:val="24"/>
          <w:szCs w:val="24"/>
          <w:bdr w:val="none" w:sz="0" w:space="0" w:color="auto" w:frame="1"/>
          <w:shd w:val="clear" w:color="auto" w:fill="FFFFFF"/>
        </w:rPr>
        <w:t xml:space="preserve">Wright, C. (2011) </w:t>
      </w:r>
      <w:r w:rsidRPr="000E0277">
        <w:rPr>
          <w:rStyle w:val="Emphasis"/>
          <w:rFonts w:cs="Arial"/>
          <w:color w:val="808080" w:themeColor="background1" w:themeShade="80"/>
          <w:sz w:val="24"/>
          <w:szCs w:val="24"/>
          <w:bdr w:val="none" w:sz="0" w:space="0" w:color="auto" w:frame="1"/>
          <w:shd w:val="clear" w:color="auto" w:fill="FFFFFF"/>
        </w:rPr>
        <w:t>What role for trade unions in future workplace relations?</w:t>
      </w:r>
    </w:p>
    <w:p w:rsidR="008157B8" w:rsidRPr="000E0277" w:rsidRDefault="008157B8" w:rsidP="008157B8">
      <w:pPr>
        <w:spacing w:after="0"/>
        <w:rPr>
          <w:rStyle w:val="Emphasis"/>
          <w:rFonts w:cs="Arial"/>
          <w:i w:val="0"/>
          <w:iCs w:val="0"/>
          <w:color w:val="808080" w:themeColor="background1" w:themeShade="80"/>
          <w:sz w:val="24"/>
          <w:szCs w:val="24"/>
        </w:rPr>
      </w:pPr>
      <w:r w:rsidRPr="000E0277">
        <w:rPr>
          <w:rFonts w:cs="Arial"/>
          <w:color w:val="808080" w:themeColor="background1" w:themeShade="80"/>
          <w:sz w:val="24"/>
          <w:szCs w:val="24"/>
        </w:rPr>
        <w:t xml:space="preserve"> Available at:</w:t>
      </w:r>
      <w:r w:rsidRPr="000E0277">
        <w:rPr>
          <w:color w:val="808080" w:themeColor="background1" w:themeShade="80"/>
          <w:sz w:val="24"/>
          <w:szCs w:val="24"/>
        </w:rPr>
        <w:t xml:space="preserve"> http://www.acas.org.uk/media/pdf/g/m/What_role_for_trade_unions_in_future_workplace_relations.pdf</w:t>
      </w:r>
    </w:p>
    <w:p w:rsidR="00C02674" w:rsidRPr="000E0277" w:rsidRDefault="008157B8" w:rsidP="008D0459">
      <w:pPr>
        <w:rPr>
          <w:color w:val="808080" w:themeColor="background1" w:themeShade="80"/>
          <w:sz w:val="24"/>
          <w:szCs w:val="24"/>
        </w:rPr>
      </w:pPr>
      <w:r w:rsidRPr="000E0277">
        <w:rPr>
          <w:rFonts w:cs="Arial"/>
          <w:color w:val="808080" w:themeColor="background1" w:themeShade="80"/>
          <w:sz w:val="24"/>
          <w:szCs w:val="24"/>
        </w:rPr>
        <w:t>(Accessed: 19</w:t>
      </w:r>
      <w:r w:rsidRPr="000E0277">
        <w:rPr>
          <w:rFonts w:cs="Arial"/>
          <w:color w:val="808080" w:themeColor="background1" w:themeShade="80"/>
          <w:sz w:val="24"/>
          <w:szCs w:val="24"/>
          <w:vertAlign w:val="superscript"/>
        </w:rPr>
        <w:t>th</w:t>
      </w:r>
      <w:r w:rsidRPr="000E0277">
        <w:rPr>
          <w:rFonts w:cs="Arial"/>
          <w:color w:val="808080" w:themeColor="background1" w:themeShade="80"/>
          <w:sz w:val="24"/>
          <w:szCs w:val="24"/>
        </w:rPr>
        <w:t xml:space="preserve"> March 2019).</w:t>
      </w:r>
    </w:p>
    <w:p w:rsidR="00A04A94" w:rsidRDefault="00A04A94" w:rsidP="008D0459">
      <w:pPr>
        <w:spacing w:line="259" w:lineRule="auto"/>
      </w:pPr>
    </w:p>
    <w:sectPr w:rsidR="00A04A94">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7928" w:rsidRDefault="00947928" w:rsidP="00A04A94">
      <w:pPr>
        <w:spacing w:after="0" w:line="240" w:lineRule="auto"/>
      </w:pPr>
      <w:r>
        <w:separator/>
      </w:r>
    </w:p>
  </w:endnote>
  <w:endnote w:type="continuationSeparator" w:id="0">
    <w:p w:rsidR="00947928" w:rsidRDefault="00947928" w:rsidP="00A04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7928" w:rsidRDefault="00947928" w:rsidP="00A04A94">
      <w:pPr>
        <w:spacing w:after="0" w:line="240" w:lineRule="auto"/>
      </w:pPr>
      <w:r>
        <w:separator/>
      </w:r>
    </w:p>
  </w:footnote>
  <w:footnote w:type="continuationSeparator" w:id="0">
    <w:p w:rsidR="00947928" w:rsidRDefault="00947928" w:rsidP="00A04A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A94" w:rsidRDefault="00A04A94">
    <w:pPr>
      <w:pStyle w:val="Header"/>
    </w:pPr>
    <w:r>
      <w:t>Kate Houston - 1430228</w:t>
    </w:r>
  </w:p>
  <w:p w:rsidR="00A04A94" w:rsidRDefault="00A04A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831B4"/>
    <w:multiLevelType w:val="hybridMultilevel"/>
    <w:tmpl w:val="2352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F1688"/>
    <w:multiLevelType w:val="multilevel"/>
    <w:tmpl w:val="2814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92966"/>
    <w:multiLevelType w:val="multilevel"/>
    <w:tmpl w:val="F4AC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086FE5"/>
    <w:multiLevelType w:val="hybridMultilevel"/>
    <w:tmpl w:val="D144BD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C6745F9"/>
    <w:multiLevelType w:val="hybridMultilevel"/>
    <w:tmpl w:val="61C423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A94"/>
    <w:rsid w:val="000242F9"/>
    <w:rsid w:val="000300A6"/>
    <w:rsid w:val="000319F0"/>
    <w:rsid w:val="00032830"/>
    <w:rsid w:val="0005340E"/>
    <w:rsid w:val="00066718"/>
    <w:rsid w:val="000812EF"/>
    <w:rsid w:val="00093AD0"/>
    <w:rsid w:val="000949CB"/>
    <w:rsid w:val="000A42E3"/>
    <w:rsid w:val="000B5B2B"/>
    <w:rsid w:val="000C0489"/>
    <w:rsid w:val="000C2953"/>
    <w:rsid w:val="000D47D3"/>
    <w:rsid w:val="000E0277"/>
    <w:rsid w:val="000F2FAA"/>
    <w:rsid w:val="000F4EA2"/>
    <w:rsid w:val="000F57F2"/>
    <w:rsid w:val="00100E01"/>
    <w:rsid w:val="00104663"/>
    <w:rsid w:val="00110312"/>
    <w:rsid w:val="0011142B"/>
    <w:rsid w:val="00133F7A"/>
    <w:rsid w:val="001376BB"/>
    <w:rsid w:val="00163C6D"/>
    <w:rsid w:val="00164A22"/>
    <w:rsid w:val="00183E22"/>
    <w:rsid w:val="00192EDF"/>
    <w:rsid w:val="001975B5"/>
    <w:rsid w:val="001A0534"/>
    <w:rsid w:val="001A6CA3"/>
    <w:rsid w:val="001B5EFB"/>
    <w:rsid w:val="001D6EC7"/>
    <w:rsid w:val="001E67F2"/>
    <w:rsid w:val="001F4287"/>
    <w:rsid w:val="00200C41"/>
    <w:rsid w:val="0020210D"/>
    <w:rsid w:val="00211F7B"/>
    <w:rsid w:val="00214E57"/>
    <w:rsid w:val="00240AE1"/>
    <w:rsid w:val="002429F8"/>
    <w:rsid w:val="00242E40"/>
    <w:rsid w:val="0024694A"/>
    <w:rsid w:val="0025237A"/>
    <w:rsid w:val="00261A76"/>
    <w:rsid w:val="00263A08"/>
    <w:rsid w:val="002672CF"/>
    <w:rsid w:val="00284F6E"/>
    <w:rsid w:val="00286575"/>
    <w:rsid w:val="0028697C"/>
    <w:rsid w:val="00291FE1"/>
    <w:rsid w:val="002A2934"/>
    <w:rsid w:val="002B4221"/>
    <w:rsid w:val="002B73EF"/>
    <w:rsid w:val="002D6558"/>
    <w:rsid w:val="002D6D82"/>
    <w:rsid w:val="002F1C3D"/>
    <w:rsid w:val="002F79CA"/>
    <w:rsid w:val="00323C2D"/>
    <w:rsid w:val="0032407C"/>
    <w:rsid w:val="003417FB"/>
    <w:rsid w:val="00344611"/>
    <w:rsid w:val="00350735"/>
    <w:rsid w:val="00365B98"/>
    <w:rsid w:val="00370EC1"/>
    <w:rsid w:val="00375289"/>
    <w:rsid w:val="00375E98"/>
    <w:rsid w:val="003775AD"/>
    <w:rsid w:val="00380B3E"/>
    <w:rsid w:val="003A7F06"/>
    <w:rsid w:val="003B1535"/>
    <w:rsid w:val="003C61D7"/>
    <w:rsid w:val="003C75A3"/>
    <w:rsid w:val="003D40FF"/>
    <w:rsid w:val="003D5D42"/>
    <w:rsid w:val="003F3E9E"/>
    <w:rsid w:val="00411CD7"/>
    <w:rsid w:val="00421730"/>
    <w:rsid w:val="00431C2D"/>
    <w:rsid w:val="004429AB"/>
    <w:rsid w:val="00451FF9"/>
    <w:rsid w:val="00454992"/>
    <w:rsid w:val="00467995"/>
    <w:rsid w:val="00470CB6"/>
    <w:rsid w:val="00471EFA"/>
    <w:rsid w:val="00474C43"/>
    <w:rsid w:val="004774B9"/>
    <w:rsid w:val="004A6ADF"/>
    <w:rsid w:val="004D5260"/>
    <w:rsid w:val="004E1387"/>
    <w:rsid w:val="004E15FD"/>
    <w:rsid w:val="004E5B28"/>
    <w:rsid w:val="004E72C7"/>
    <w:rsid w:val="004F2326"/>
    <w:rsid w:val="00510FBF"/>
    <w:rsid w:val="0053542B"/>
    <w:rsid w:val="0055317D"/>
    <w:rsid w:val="005609B0"/>
    <w:rsid w:val="005617F8"/>
    <w:rsid w:val="00565E60"/>
    <w:rsid w:val="00572F52"/>
    <w:rsid w:val="00577582"/>
    <w:rsid w:val="00581DDF"/>
    <w:rsid w:val="00590E2C"/>
    <w:rsid w:val="00591450"/>
    <w:rsid w:val="00593545"/>
    <w:rsid w:val="005A71E2"/>
    <w:rsid w:val="005C1C9D"/>
    <w:rsid w:val="005D0861"/>
    <w:rsid w:val="005D22A1"/>
    <w:rsid w:val="005E0B61"/>
    <w:rsid w:val="006012DD"/>
    <w:rsid w:val="00611658"/>
    <w:rsid w:val="006137CB"/>
    <w:rsid w:val="00637795"/>
    <w:rsid w:val="00651481"/>
    <w:rsid w:val="0065445D"/>
    <w:rsid w:val="00660AF2"/>
    <w:rsid w:val="00662E4A"/>
    <w:rsid w:val="00672097"/>
    <w:rsid w:val="00674A49"/>
    <w:rsid w:val="00674F30"/>
    <w:rsid w:val="0067749F"/>
    <w:rsid w:val="006951B1"/>
    <w:rsid w:val="006B288B"/>
    <w:rsid w:val="006B666C"/>
    <w:rsid w:val="006C19F6"/>
    <w:rsid w:val="006D3B36"/>
    <w:rsid w:val="006D6D6F"/>
    <w:rsid w:val="006E03B4"/>
    <w:rsid w:val="006E2A9B"/>
    <w:rsid w:val="006F1E8A"/>
    <w:rsid w:val="00700269"/>
    <w:rsid w:val="007041C8"/>
    <w:rsid w:val="00706E51"/>
    <w:rsid w:val="007203C6"/>
    <w:rsid w:val="00745745"/>
    <w:rsid w:val="007501CB"/>
    <w:rsid w:val="00750D7B"/>
    <w:rsid w:val="0075168D"/>
    <w:rsid w:val="00754ABC"/>
    <w:rsid w:val="007636A4"/>
    <w:rsid w:val="007667B1"/>
    <w:rsid w:val="00787BC3"/>
    <w:rsid w:val="0079512D"/>
    <w:rsid w:val="00796981"/>
    <w:rsid w:val="007C3015"/>
    <w:rsid w:val="007D2294"/>
    <w:rsid w:val="007E4054"/>
    <w:rsid w:val="007F2965"/>
    <w:rsid w:val="00802767"/>
    <w:rsid w:val="00805184"/>
    <w:rsid w:val="008069D1"/>
    <w:rsid w:val="0081201C"/>
    <w:rsid w:val="00815608"/>
    <w:rsid w:val="008157B8"/>
    <w:rsid w:val="008220AF"/>
    <w:rsid w:val="008271C8"/>
    <w:rsid w:val="00834BB6"/>
    <w:rsid w:val="00842525"/>
    <w:rsid w:val="0085068A"/>
    <w:rsid w:val="008506F9"/>
    <w:rsid w:val="00863B04"/>
    <w:rsid w:val="00870FAD"/>
    <w:rsid w:val="00874203"/>
    <w:rsid w:val="00880619"/>
    <w:rsid w:val="0088151C"/>
    <w:rsid w:val="00891424"/>
    <w:rsid w:val="00891EA9"/>
    <w:rsid w:val="00895558"/>
    <w:rsid w:val="00896EF5"/>
    <w:rsid w:val="008A3A60"/>
    <w:rsid w:val="008B5041"/>
    <w:rsid w:val="008B71D3"/>
    <w:rsid w:val="008D0459"/>
    <w:rsid w:val="008F3B09"/>
    <w:rsid w:val="008F7F3B"/>
    <w:rsid w:val="00904572"/>
    <w:rsid w:val="00945F5F"/>
    <w:rsid w:val="00946897"/>
    <w:rsid w:val="00946FC2"/>
    <w:rsid w:val="00947928"/>
    <w:rsid w:val="00956680"/>
    <w:rsid w:val="00963F6C"/>
    <w:rsid w:val="00967DA9"/>
    <w:rsid w:val="00973B75"/>
    <w:rsid w:val="00990693"/>
    <w:rsid w:val="009935F9"/>
    <w:rsid w:val="009A0D50"/>
    <w:rsid w:val="009A1309"/>
    <w:rsid w:val="009A5FE6"/>
    <w:rsid w:val="009B1ADA"/>
    <w:rsid w:val="009B61BE"/>
    <w:rsid w:val="009D1088"/>
    <w:rsid w:val="009D47D2"/>
    <w:rsid w:val="009D4B79"/>
    <w:rsid w:val="009F59CB"/>
    <w:rsid w:val="00A01F9A"/>
    <w:rsid w:val="00A02E42"/>
    <w:rsid w:val="00A04A94"/>
    <w:rsid w:val="00A110FB"/>
    <w:rsid w:val="00A22B30"/>
    <w:rsid w:val="00A23DDB"/>
    <w:rsid w:val="00A35AD7"/>
    <w:rsid w:val="00A417BE"/>
    <w:rsid w:val="00A41E17"/>
    <w:rsid w:val="00A5637E"/>
    <w:rsid w:val="00A70BF4"/>
    <w:rsid w:val="00A72480"/>
    <w:rsid w:val="00A75567"/>
    <w:rsid w:val="00A767C3"/>
    <w:rsid w:val="00A77287"/>
    <w:rsid w:val="00A81B23"/>
    <w:rsid w:val="00A921A1"/>
    <w:rsid w:val="00A95A66"/>
    <w:rsid w:val="00A96773"/>
    <w:rsid w:val="00AA7058"/>
    <w:rsid w:val="00AC04BA"/>
    <w:rsid w:val="00AC6DBB"/>
    <w:rsid w:val="00AE0206"/>
    <w:rsid w:val="00AE64F5"/>
    <w:rsid w:val="00AF419B"/>
    <w:rsid w:val="00AF6430"/>
    <w:rsid w:val="00B038A2"/>
    <w:rsid w:val="00B11D9F"/>
    <w:rsid w:val="00B12B8D"/>
    <w:rsid w:val="00B3310A"/>
    <w:rsid w:val="00B35C44"/>
    <w:rsid w:val="00B54C6A"/>
    <w:rsid w:val="00B60BF3"/>
    <w:rsid w:val="00B62014"/>
    <w:rsid w:val="00B96928"/>
    <w:rsid w:val="00BB2AA7"/>
    <w:rsid w:val="00BB4FAD"/>
    <w:rsid w:val="00BD6C32"/>
    <w:rsid w:val="00BD7B70"/>
    <w:rsid w:val="00BF4C03"/>
    <w:rsid w:val="00C02674"/>
    <w:rsid w:val="00C033DA"/>
    <w:rsid w:val="00C03565"/>
    <w:rsid w:val="00C0366B"/>
    <w:rsid w:val="00C06AD2"/>
    <w:rsid w:val="00C07514"/>
    <w:rsid w:val="00C07A2D"/>
    <w:rsid w:val="00C17012"/>
    <w:rsid w:val="00C3560D"/>
    <w:rsid w:val="00C448A9"/>
    <w:rsid w:val="00C52B11"/>
    <w:rsid w:val="00C60688"/>
    <w:rsid w:val="00C63E32"/>
    <w:rsid w:val="00CA36DE"/>
    <w:rsid w:val="00CB5C62"/>
    <w:rsid w:val="00CC15D8"/>
    <w:rsid w:val="00CC405C"/>
    <w:rsid w:val="00CD3C09"/>
    <w:rsid w:val="00CE2129"/>
    <w:rsid w:val="00CF1E79"/>
    <w:rsid w:val="00CF3883"/>
    <w:rsid w:val="00CF6A7C"/>
    <w:rsid w:val="00D02189"/>
    <w:rsid w:val="00D06525"/>
    <w:rsid w:val="00D07E75"/>
    <w:rsid w:val="00D13642"/>
    <w:rsid w:val="00D20192"/>
    <w:rsid w:val="00D25CD1"/>
    <w:rsid w:val="00D34CEA"/>
    <w:rsid w:val="00D405EB"/>
    <w:rsid w:val="00D43B44"/>
    <w:rsid w:val="00D44474"/>
    <w:rsid w:val="00D4709A"/>
    <w:rsid w:val="00D60E8E"/>
    <w:rsid w:val="00D85AA4"/>
    <w:rsid w:val="00D877D5"/>
    <w:rsid w:val="00D927FE"/>
    <w:rsid w:val="00D95558"/>
    <w:rsid w:val="00D96A70"/>
    <w:rsid w:val="00DA5DE2"/>
    <w:rsid w:val="00DB07A4"/>
    <w:rsid w:val="00DB167F"/>
    <w:rsid w:val="00DD6FE1"/>
    <w:rsid w:val="00DE389E"/>
    <w:rsid w:val="00DF097C"/>
    <w:rsid w:val="00DF10BD"/>
    <w:rsid w:val="00DF2280"/>
    <w:rsid w:val="00DF3D17"/>
    <w:rsid w:val="00E16D6B"/>
    <w:rsid w:val="00E23714"/>
    <w:rsid w:val="00E263EE"/>
    <w:rsid w:val="00E27899"/>
    <w:rsid w:val="00E27F1D"/>
    <w:rsid w:val="00E310E6"/>
    <w:rsid w:val="00E3477F"/>
    <w:rsid w:val="00E4668A"/>
    <w:rsid w:val="00E51150"/>
    <w:rsid w:val="00E54559"/>
    <w:rsid w:val="00E5744A"/>
    <w:rsid w:val="00E6149D"/>
    <w:rsid w:val="00E711DC"/>
    <w:rsid w:val="00E7247B"/>
    <w:rsid w:val="00E72801"/>
    <w:rsid w:val="00E74536"/>
    <w:rsid w:val="00E76F12"/>
    <w:rsid w:val="00E9164B"/>
    <w:rsid w:val="00E95525"/>
    <w:rsid w:val="00EB216D"/>
    <w:rsid w:val="00EC064F"/>
    <w:rsid w:val="00EC2296"/>
    <w:rsid w:val="00EE159F"/>
    <w:rsid w:val="00EE6118"/>
    <w:rsid w:val="00EE7AA7"/>
    <w:rsid w:val="00EF0816"/>
    <w:rsid w:val="00EF3BF1"/>
    <w:rsid w:val="00F036D5"/>
    <w:rsid w:val="00F1219B"/>
    <w:rsid w:val="00F335FE"/>
    <w:rsid w:val="00F35F1A"/>
    <w:rsid w:val="00F368E5"/>
    <w:rsid w:val="00F5762F"/>
    <w:rsid w:val="00F60E1B"/>
    <w:rsid w:val="00F63375"/>
    <w:rsid w:val="00F81C93"/>
    <w:rsid w:val="00F97ECC"/>
    <w:rsid w:val="00FA12CC"/>
    <w:rsid w:val="00FA7F47"/>
    <w:rsid w:val="00FB3D15"/>
    <w:rsid w:val="00FD64E7"/>
    <w:rsid w:val="00FE280B"/>
    <w:rsid w:val="00FE4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12AB9F-E330-4689-B981-C808402A9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A94"/>
    <w:pPr>
      <w:spacing w:line="256" w:lineRule="auto"/>
    </w:pPr>
  </w:style>
  <w:style w:type="paragraph" w:styleId="Heading1">
    <w:name w:val="heading 1"/>
    <w:basedOn w:val="Normal"/>
    <w:next w:val="Normal"/>
    <w:link w:val="Heading1Char"/>
    <w:uiPriority w:val="9"/>
    <w:qFormat/>
    <w:rsid w:val="00946F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1701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A7F4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4A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A94"/>
  </w:style>
  <w:style w:type="paragraph" w:styleId="Footer">
    <w:name w:val="footer"/>
    <w:basedOn w:val="Normal"/>
    <w:link w:val="FooterChar"/>
    <w:uiPriority w:val="99"/>
    <w:unhideWhenUsed/>
    <w:rsid w:val="00A04A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A94"/>
  </w:style>
  <w:style w:type="paragraph" w:styleId="ListParagraph">
    <w:name w:val="List Paragraph"/>
    <w:basedOn w:val="Normal"/>
    <w:uiPriority w:val="34"/>
    <w:qFormat/>
    <w:rsid w:val="00A04A94"/>
    <w:pPr>
      <w:ind w:left="720"/>
      <w:contextualSpacing/>
    </w:pPr>
  </w:style>
  <w:style w:type="character" w:styleId="Hyperlink">
    <w:name w:val="Hyperlink"/>
    <w:basedOn w:val="DefaultParagraphFont"/>
    <w:uiPriority w:val="99"/>
    <w:unhideWhenUsed/>
    <w:rsid w:val="00B60BF3"/>
    <w:rPr>
      <w:color w:val="0563C1" w:themeColor="hyperlink"/>
      <w:u w:val="single"/>
    </w:rPr>
  </w:style>
  <w:style w:type="character" w:styleId="Emphasis">
    <w:name w:val="Emphasis"/>
    <w:basedOn w:val="DefaultParagraphFont"/>
    <w:uiPriority w:val="20"/>
    <w:qFormat/>
    <w:rsid w:val="00B60BF3"/>
    <w:rPr>
      <w:i/>
      <w:iCs/>
    </w:rPr>
  </w:style>
  <w:style w:type="paragraph" w:styleId="BalloonText">
    <w:name w:val="Balloon Text"/>
    <w:basedOn w:val="Normal"/>
    <w:link w:val="BalloonTextChar"/>
    <w:uiPriority w:val="99"/>
    <w:semiHidden/>
    <w:unhideWhenUsed/>
    <w:rsid w:val="00B33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10A"/>
    <w:rPr>
      <w:rFonts w:ascii="Tahoma" w:hAnsi="Tahoma" w:cs="Tahoma"/>
      <w:sz w:val="16"/>
      <w:szCs w:val="16"/>
    </w:rPr>
  </w:style>
  <w:style w:type="paragraph" w:styleId="NormalWeb">
    <w:name w:val="Normal (Web)"/>
    <w:basedOn w:val="Normal"/>
    <w:uiPriority w:val="99"/>
    <w:semiHidden/>
    <w:unhideWhenUsed/>
    <w:rsid w:val="00AF41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A7F4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A7F47"/>
    <w:rPr>
      <w:b/>
      <w:bCs/>
    </w:rPr>
  </w:style>
  <w:style w:type="character" w:customStyle="1" w:styleId="Heading2Char">
    <w:name w:val="Heading 2 Char"/>
    <w:basedOn w:val="DefaultParagraphFont"/>
    <w:link w:val="Heading2"/>
    <w:uiPriority w:val="9"/>
    <w:rsid w:val="00C1701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946FC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97533">
      <w:bodyDiv w:val="1"/>
      <w:marLeft w:val="0"/>
      <w:marRight w:val="0"/>
      <w:marTop w:val="0"/>
      <w:marBottom w:val="0"/>
      <w:divBdr>
        <w:top w:val="none" w:sz="0" w:space="0" w:color="auto"/>
        <w:left w:val="none" w:sz="0" w:space="0" w:color="auto"/>
        <w:bottom w:val="none" w:sz="0" w:space="0" w:color="auto"/>
        <w:right w:val="none" w:sz="0" w:space="0" w:color="auto"/>
      </w:divBdr>
    </w:div>
    <w:div w:id="274365063">
      <w:bodyDiv w:val="1"/>
      <w:marLeft w:val="0"/>
      <w:marRight w:val="0"/>
      <w:marTop w:val="0"/>
      <w:marBottom w:val="0"/>
      <w:divBdr>
        <w:top w:val="none" w:sz="0" w:space="0" w:color="auto"/>
        <w:left w:val="none" w:sz="0" w:space="0" w:color="auto"/>
        <w:bottom w:val="none" w:sz="0" w:space="0" w:color="auto"/>
        <w:right w:val="none" w:sz="0" w:space="0" w:color="auto"/>
      </w:divBdr>
    </w:div>
    <w:div w:id="363478674">
      <w:bodyDiv w:val="1"/>
      <w:marLeft w:val="0"/>
      <w:marRight w:val="0"/>
      <w:marTop w:val="0"/>
      <w:marBottom w:val="0"/>
      <w:divBdr>
        <w:top w:val="none" w:sz="0" w:space="0" w:color="auto"/>
        <w:left w:val="none" w:sz="0" w:space="0" w:color="auto"/>
        <w:bottom w:val="none" w:sz="0" w:space="0" w:color="auto"/>
        <w:right w:val="none" w:sz="0" w:space="0" w:color="auto"/>
      </w:divBdr>
    </w:div>
    <w:div w:id="366222637">
      <w:bodyDiv w:val="1"/>
      <w:marLeft w:val="0"/>
      <w:marRight w:val="0"/>
      <w:marTop w:val="0"/>
      <w:marBottom w:val="0"/>
      <w:divBdr>
        <w:top w:val="none" w:sz="0" w:space="0" w:color="auto"/>
        <w:left w:val="none" w:sz="0" w:space="0" w:color="auto"/>
        <w:bottom w:val="none" w:sz="0" w:space="0" w:color="auto"/>
        <w:right w:val="none" w:sz="0" w:space="0" w:color="auto"/>
      </w:divBdr>
    </w:div>
    <w:div w:id="1162236821">
      <w:bodyDiv w:val="1"/>
      <w:marLeft w:val="0"/>
      <w:marRight w:val="0"/>
      <w:marTop w:val="0"/>
      <w:marBottom w:val="0"/>
      <w:divBdr>
        <w:top w:val="none" w:sz="0" w:space="0" w:color="auto"/>
        <w:left w:val="none" w:sz="0" w:space="0" w:color="auto"/>
        <w:bottom w:val="none" w:sz="0" w:space="0" w:color="auto"/>
        <w:right w:val="none" w:sz="0" w:space="0" w:color="auto"/>
      </w:divBdr>
    </w:div>
    <w:div w:id="1419984090">
      <w:bodyDiv w:val="1"/>
      <w:marLeft w:val="0"/>
      <w:marRight w:val="0"/>
      <w:marTop w:val="0"/>
      <w:marBottom w:val="0"/>
      <w:divBdr>
        <w:top w:val="none" w:sz="0" w:space="0" w:color="auto"/>
        <w:left w:val="none" w:sz="0" w:space="0" w:color="auto"/>
        <w:bottom w:val="none" w:sz="0" w:space="0" w:color="auto"/>
        <w:right w:val="none" w:sz="0" w:space="0" w:color="auto"/>
      </w:divBdr>
    </w:div>
    <w:div w:id="1455714365">
      <w:bodyDiv w:val="1"/>
      <w:marLeft w:val="0"/>
      <w:marRight w:val="0"/>
      <w:marTop w:val="0"/>
      <w:marBottom w:val="0"/>
      <w:divBdr>
        <w:top w:val="none" w:sz="0" w:space="0" w:color="auto"/>
        <w:left w:val="none" w:sz="0" w:space="0" w:color="auto"/>
        <w:bottom w:val="none" w:sz="0" w:space="0" w:color="auto"/>
        <w:right w:val="none" w:sz="0" w:space="0" w:color="auto"/>
      </w:divBdr>
    </w:div>
    <w:div w:id="1477843466">
      <w:bodyDiv w:val="1"/>
      <w:marLeft w:val="0"/>
      <w:marRight w:val="0"/>
      <w:marTop w:val="0"/>
      <w:marBottom w:val="0"/>
      <w:divBdr>
        <w:top w:val="none" w:sz="0" w:space="0" w:color="auto"/>
        <w:left w:val="none" w:sz="0" w:space="0" w:color="auto"/>
        <w:bottom w:val="none" w:sz="0" w:space="0" w:color="auto"/>
        <w:right w:val="none" w:sz="0" w:space="0" w:color="auto"/>
      </w:divBdr>
    </w:div>
    <w:div w:id="1591349633">
      <w:bodyDiv w:val="1"/>
      <w:marLeft w:val="0"/>
      <w:marRight w:val="0"/>
      <w:marTop w:val="0"/>
      <w:marBottom w:val="0"/>
      <w:divBdr>
        <w:top w:val="none" w:sz="0" w:space="0" w:color="auto"/>
        <w:left w:val="none" w:sz="0" w:space="0" w:color="auto"/>
        <w:bottom w:val="none" w:sz="0" w:space="0" w:color="auto"/>
        <w:right w:val="none" w:sz="0" w:space="0" w:color="auto"/>
      </w:divBdr>
    </w:div>
    <w:div w:id="209401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as.org.uk/index.aspx?articleid=2012" TargetMode="External"/><Relationship Id="rId18" Type="http://schemas.openxmlformats.org/officeDocument/2006/relationships/hyperlink" Target="https://www.cipd.co.uk/knowledge/fundamentals/relations/communication/voice-factsheet" TargetMode="External"/><Relationship Id="rId26" Type="http://schemas.openxmlformats.org/officeDocument/2006/relationships/hyperlink" Target="https://www.managementstudyguide.com/understanding-conflict.htm" TargetMode="External"/><Relationship Id="rId3" Type="http://schemas.openxmlformats.org/officeDocument/2006/relationships/styles" Target="styles.xml"/><Relationship Id="rId21" Type="http://schemas.openxmlformats.org/officeDocument/2006/relationships/hyperlink" Target="https://www.cipd.co.uk/Images/getting-under-skin-workplace-conflict_2015-tracing-experiences-employees_tcm18-10800.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cas.org.uk/index.aspx?articleid=5494" TargetMode="External"/><Relationship Id="rId17" Type="http://schemas.openxmlformats.org/officeDocument/2006/relationships/hyperlink" Target="https://www.cipd.co.uk/knowledge/fundamentals/relations/employees/trade-unions-questions" TargetMode="External"/><Relationship Id="rId25" Type="http://schemas.openxmlformats.org/officeDocument/2006/relationships/hyperlink" Target="https://www.dailyrecord.co.uk/news/scottish-news/police-hunting-disgruntled-worker-who-10520027"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ipd.co.uk/knowledge/work/future-voice/alternative-workplace-voice" TargetMode="External"/><Relationship Id="rId20" Type="http://schemas.openxmlformats.org/officeDocument/2006/relationships/hyperlink" Target="https://www.sanjosebusinesslawyersblog.com/consider-your-options-pros-and-cons-of-mediation-and-arbitration/" TargetMode="External"/><Relationship Id="rId29" Type="http://schemas.openxmlformats.org/officeDocument/2006/relationships/hyperlink" Target="https://www.hrmagazine.co.uk/article-details/breaking-the-silence-employee-vo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index.aspx?articleid=1711" TargetMode="External"/><Relationship Id="rId24" Type="http://schemas.openxmlformats.org/officeDocument/2006/relationships/hyperlink" Target="https://moodle.uwtsd.ac.uk/pluginfile.php/242759/mod_resource/content/1/Article%20Management%20Styles%202015.pdf" TargetMode="External"/><Relationship Id="rId32" Type="http://schemas.openxmlformats.org/officeDocument/2006/relationships/hyperlink" Target="https://www.theguardian.com/uk-news/2019/jan/10/ministry-of-justice-workers-to-stage-two-day-strike-over-pay" TargetMode="External"/><Relationship Id="rId5" Type="http://schemas.openxmlformats.org/officeDocument/2006/relationships/webSettings" Target="webSettings.xml"/><Relationship Id="rId15" Type="http://schemas.openxmlformats.org/officeDocument/2006/relationships/hyperlink" Target="http://www.acas.org.uk/media/pdf/c/4/Managing-individual-conflict-in-the-contemporary-british-workplace.pdf" TargetMode="External"/><Relationship Id="rId23" Type="http://schemas.openxmlformats.org/officeDocument/2006/relationships/hyperlink" Target="https://www.gov.uk/government/organisations/acas" TargetMode="External"/><Relationship Id="rId28" Type="http://schemas.openxmlformats.org/officeDocument/2006/relationships/hyperlink" Target="https://smallbusiness.chron.com/difference-between-employee-participation-employee-involvement-13013.html" TargetMode="External"/><Relationship Id="rId10" Type="http://schemas.openxmlformats.org/officeDocument/2006/relationships/hyperlink" Target="http://www.acas.org.uk/index.aspx?articleid=1218" TargetMode="External"/><Relationship Id="rId19" Type="http://schemas.openxmlformats.org/officeDocument/2006/relationships/hyperlink" Target="https://www.equalityhumanrights.com/en/about-us/what-we-do" TargetMode="External"/><Relationship Id="rId31" Type="http://schemas.openxmlformats.org/officeDocument/2006/relationships/hyperlink" Target="https://theconversation.com/new-styles-of-strikes-and-protest-are-emerging-in-the-uk-94528" TargetMode="External"/><Relationship Id="rId4" Type="http://schemas.openxmlformats.org/officeDocument/2006/relationships/settings" Target="settings.xml"/><Relationship Id="rId9" Type="http://schemas.openxmlformats.org/officeDocument/2006/relationships/hyperlink" Target="http://www.acas.org.uk/index.aspx?articleid=1697" TargetMode="External"/><Relationship Id="rId14" Type="http://schemas.openxmlformats.org/officeDocument/2006/relationships/hyperlink" Target="http://www.acas.org.uk/index.aspx?articleid=4130" TargetMode="External"/><Relationship Id="rId22" Type="http://schemas.openxmlformats.org/officeDocument/2006/relationships/hyperlink" Target="https://www.cipd.co.uk/knowledge/fundamentals/relations/disputes/mediation-factsheet" TargetMode="External"/><Relationship Id="rId27" Type="http://schemas.openxmlformats.org/officeDocument/2006/relationships/hyperlink" Target="https://www.parliament.uk/education/about-your-parliament/parliament-and-government/" TargetMode="External"/><Relationship Id="rId30" Type="http://schemas.openxmlformats.org/officeDocument/2006/relationships/hyperlink" Target="https://assets.publishing.service.gov.uk/government/uploads/system/uploads/attachment_data/file/627671/good-work-taylor-review-modern-working-practices-rg.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119CC-3197-4007-A4CA-3BB5E5A7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4989</Words>
  <Characters>28442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James</dc:creator>
  <cp:lastModifiedBy>Louis James</cp:lastModifiedBy>
  <cp:revision>23</cp:revision>
  <dcterms:created xsi:type="dcterms:W3CDTF">2019-04-24T18:43:00Z</dcterms:created>
  <dcterms:modified xsi:type="dcterms:W3CDTF">2019-04-27T18:50:00Z</dcterms:modified>
</cp:coreProperties>
</file>