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290245" w14:textId="647731D1" w:rsidR="00D92C17" w:rsidRDefault="00D92C17" w:rsidP="00FF2321">
      <w:pPr>
        <w:jc w:val="center"/>
        <w:rPr>
          <w:b/>
          <w:u w:val="single"/>
        </w:rPr>
      </w:pPr>
      <w:r w:rsidRPr="00D92C17">
        <w:rPr>
          <w:b/>
          <w:u w:val="single"/>
        </w:rPr>
        <w:t>Must every particular possess an identity?</w:t>
      </w:r>
    </w:p>
    <w:p w14:paraId="3D48CB23" w14:textId="5FD559D7" w:rsidR="00D92C17" w:rsidRDefault="00D92C17" w:rsidP="004B61A4">
      <w:pPr>
        <w:ind w:firstLine="720"/>
      </w:pPr>
      <w:r>
        <w:t xml:space="preserve">The question of identity is one that requires us </w:t>
      </w:r>
      <w:r w:rsidRPr="00E170C5">
        <w:t xml:space="preserve">to look into the nature of properties in relation to </w:t>
      </w:r>
      <w:r w:rsidR="001B20DC" w:rsidRPr="00E170C5">
        <w:t xml:space="preserve">their </w:t>
      </w:r>
      <w:r w:rsidRPr="00E170C5">
        <w:t>particulars</w:t>
      </w:r>
      <w:r w:rsidR="00102CB3" w:rsidRPr="00E170C5">
        <w:t xml:space="preserve"> and our ability to identify them</w:t>
      </w:r>
      <w:r w:rsidRPr="00E170C5">
        <w:t>. In this essay I will endeavour to provide a</w:t>
      </w:r>
      <w:r w:rsidR="00062B97" w:rsidRPr="00E170C5">
        <w:t>n analysis of</w:t>
      </w:r>
      <w:r w:rsidRPr="00E170C5">
        <w:t xml:space="preserve"> properties</w:t>
      </w:r>
      <w:r w:rsidR="00062B97" w:rsidRPr="00E170C5">
        <w:t xml:space="preserve"> and their relationship to particulars and</w:t>
      </w:r>
      <w:r w:rsidRPr="00E170C5">
        <w:t xml:space="preserve"> whether identity is something that all particulars possess. To do this I will enquire into what we mean by ‘identity’ as well as the relationship between our propositions and the world</w:t>
      </w:r>
      <w:r w:rsidR="00062B97" w:rsidRPr="00E170C5">
        <w:t>,</w:t>
      </w:r>
      <w:r w:rsidRPr="00E170C5">
        <w:t xml:space="preserve"> as attained in a metaphysical approach of analysis. </w:t>
      </w:r>
      <w:r w:rsidR="00614531" w:rsidRPr="00E170C5">
        <w:t>The aim will be to show how our beliefs about the relationship between these</w:t>
      </w:r>
      <w:r w:rsidR="00062B97" w:rsidRPr="00E170C5">
        <w:t xml:space="preserve"> can be misleading when discerning</w:t>
      </w:r>
      <w:r w:rsidR="00614531" w:rsidRPr="00E170C5">
        <w:t xml:space="preserve"> truth</w:t>
      </w:r>
      <w:r w:rsidR="00102CB3" w:rsidRPr="00E170C5">
        <w:t xml:space="preserve"> in an analysis with the aim of</w:t>
      </w:r>
      <w:r w:rsidR="00102CB3">
        <w:t xml:space="preserve"> understanding the identity of particulars</w:t>
      </w:r>
      <w:r w:rsidR="00614531">
        <w:t>. In concluding,</w:t>
      </w:r>
      <w:r w:rsidR="00062B97">
        <w:t xml:space="preserve"> I will turn to epistemological knowledge as a m</w:t>
      </w:r>
      <w:r w:rsidR="00614531">
        <w:t>eans to provide analysis through</w:t>
      </w:r>
      <w:r w:rsidR="001B20DC">
        <w:t xml:space="preserve"> empirical means as an alternative</w:t>
      </w:r>
      <w:r w:rsidR="00614531">
        <w:t xml:space="preserve"> perspective to the discussion.</w:t>
      </w:r>
    </w:p>
    <w:p w14:paraId="2CA5CECA" w14:textId="2C5C0408" w:rsidR="00AE03D0" w:rsidRDefault="00C22DCB" w:rsidP="00F7251E">
      <w:pPr>
        <w:ind w:firstLine="720"/>
      </w:pPr>
      <w:r>
        <w:t xml:space="preserve">There are certain questions about the nature of particulars that are of interest here. One of these </w:t>
      </w:r>
      <w:r w:rsidR="00E170C5">
        <w:t>is in regards to the continuity</w:t>
      </w:r>
      <w:r>
        <w:t xml:space="preserve"> of an object through </w:t>
      </w:r>
      <w:r w:rsidR="00E170C5">
        <w:t>‘</w:t>
      </w:r>
      <w:r>
        <w:t>object-stages</w:t>
      </w:r>
      <w:r w:rsidR="00E170C5">
        <w:t>’</w:t>
      </w:r>
      <w:r>
        <w:t>. When we think of an object existing in space and time we can think of it as undergoing constant change through object-stages.</w:t>
      </w:r>
      <w:r w:rsidR="00AE03D0">
        <w:rPr>
          <w:rStyle w:val="FootnoteReference"/>
        </w:rPr>
        <w:footnoteReference w:id="1"/>
      </w:r>
      <w:r>
        <w:t xml:space="preserve"> For this reason, w</w:t>
      </w:r>
      <w:r w:rsidR="00102CB3">
        <w:t xml:space="preserve">hen enquiring about the identity of a particular we have to look at it in relation to </w:t>
      </w:r>
      <w:r>
        <w:t>time so that we can</w:t>
      </w:r>
      <w:r w:rsidR="00102CB3">
        <w:t xml:space="preserve"> ascertain certain facts about how it persists</w:t>
      </w:r>
      <w:r>
        <w:t xml:space="preserve">, how </w:t>
      </w:r>
      <w:r w:rsidR="00102CB3">
        <w:t>the changes that occur to it</w:t>
      </w:r>
      <w:r>
        <w:t xml:space="preserve"> affect its identity</w:t>
      </w:r>
      <w:r w:rsidR="00F7251E">
        <w:t>,</w:t>
      </w:r>
      <w:r>
        <w:t xml:space="preserve"> in or</w:t>
      </w:r>
      <w:r w:rsidR="00AE03D0">
        <w:t xml:space="preserve">der to discern whether it is something distinct from other objects. </w:t>
      </w:r>
    </w:p>
    <w:p w14:paraId="6FFAE363" w14:textId="69984F53" w:rsidR="001B20DC" w:rsidRDefault="006408B8" w:rsidP="00F7251E">
      <w:pPr>
        <w:ind w:firstLine="720"/>
      </w:pPr>
      <w:r>
        <w:t>An example of this can be analysed through the allegory of the</w:t>
      </w:r>
      <w:r w:rsidR="00102CB3">
        <w:t xml:space="preserve"> ship of </w:t>
      </w:r>
      <w:r w:rsidR="00BD18FA">
        <w:t>Theseus</w:t>
      </w:r>
      <w:r w:rsidR="00102CB3">
        <w:t>. In this example the ship is seen to travel fro</w:t>
      </w:r>
      <w:r w:rsidR="001B20DC">
        <w:t>m point A to point B</w:t>
      </w:r>
      <w:r w:rsidR="00102CB3">
        <w:t xml:space="preserve"> whilst gradually changing parts so </w:t>
      </w:r>
      <w:r w:rsidR="001B20DC">
        <w:t>that when it arrives at point B</w:t>
      </w:r>
      <w:r w:rsidR="00102CB3">
        <w:t xml:space="preserve"> it has a completely different composition from wh</w:t>
      </w:r>
      <w:r w:rsidR="00D22DAF">
        <w:t>en it left point A. Thus we must</w:t>
      </w:r>
      <w:r w:rsidR="00102CB3">
        <w:t xml:space="preserve"> question </w:t>
      </w:r>
      <w:r w:rsidR="00BD18FA">
        <w:t>whether</w:t>
      </w:r>
      <w:r w:rsidR="00102CB3">
        <w:t xml:space="preserve"> this is the same ship at all, </w:t>
      </w:r>
      <w:r w:rsidR="00BD18FA">
        <w:t>whether</w:t>
      </w:r>
      <w:r w:rsidR="00102CB3">
        <w:t xml:space="preserve"> its identity has persisted.</w:t>
      </w:r>
      <w:r w:rsidR="00E170C5">
        <w:rPr>
          <w:rStyle w:val="FootnoteReference"/>
        </w:rPr>
        <w:footnoteReference w:id="2"/>
      </w:r>
      <w:r w:rsidR="001B20DC">
        <w:t xml:space="preserve"> We would argue then, in accordance with a</w:t>
      </w:r>
      <w:r w:rsidR="00117A6A">
        <w:t xml:space="preserve"> theory of indiscernibles</w:t>
      </w:r>
      <w:r w:rsidR="001B20DC">
        <w:t xml:space="preserve"> that</w:t>
      </w:r>
      <w:r>
        <w:t xml:space="preserve"> it is the same</w:t>
      </w:r>
      <w:r w:rsidR="001B20DC">
        <w:t xml:space="preserve"> ship</w:t>
      </w:r>
      <w:r>
        <w:t>, IFF</w:t>
      </w:r>
      <w:r w:rsidR="00117A6A">
        <w:t xml:space="preserve"> all properties</w:t>
      </w:r>
      <w:r w:rsidR="001B20DC">
        <w:t xml:space="preserve"> that pertain to it at T1</w:t>
      </w:r>
      <w:r w:rsidR="00117A6A">
        <w:t>,</w:t>
      </w:r>
      <w:r w:rsidR="001B20DC">
        <w:t xml:space="preserve"> still pertain to it at T2.</w:t>
      </w:r>
      <w:r w:rsidR="00C56C93">
        <w:rPr>
          <w:rStyle w:val="FootnoteReference"/>
        </w:rPr>
        <w:footnoteReference w:id="3"/>
      </w:r>
      <w:r w:rsidR="00A97119">
        <w:rPr>
          <w:rStyle w:val="FootnoteReference"/>
        </w:rPr>
        <w:footnoteReference w:id="4"/>
      </w:r>
      <w:r w:rsidR="00102CB3">
        <w:t xml:space="preserve"> There are certain criteria that are used i</w:t>
      </w:r>
      <w:r>
        <w:t>n the enquiry of identity</w:t>
      </w:r>
      <w:r w:rsidR="00D22DAF">
        <w:t xml:space="preserve">. One </w:t>
      </w:r>
      <w:r w:rsidR="00102CB3">
        <w:t xml:space="preserve">is </w:t>
      </w:r>
      <w:r w:rsidR="00BD18FA">
        <w:t>spatiotemporal</w:t>
      </w:r>
      <w:r w:rsidR="00102CB3">
        <w:t xml:space="preserve"> continuity</w:t>
      </w:r>
      <w:r>
        <w:t xml:space="preserve"> </w:t>
      </w:r>
      <w:r w:rsidR="00102CB3">
        <w:t xml:space="preserve">and the other is qualitative continuity. The ship of </w:t>
      </w:r>
      <w:r w:rsidR="00BD18FA">
        <w:t>Theseus</w:t>
      </w:r>
      <w:r w:rsidR="00117A6A">
        <w:t>,</w:t>
      </w:r>
      <w:r w:rsidR="00102CB3">
        <w:t xml:space="preserve"> for example</w:t>
      </w:r>
      <w:r w:rsidR="00117A6A">
        <w:t>,</w:t>
      </w:r>
      <w:r w:rsidR="00102CB3">
        <w:t xml:space="preserve"> could be said to always be numerically the same howev</w:t>
      </w:r>
      <w:r w:rsidR="00767E60">
        <w:t>er it has qualitatively changed.</w:t>
      </w:r>
      <w:r w:rsidR="00102CB3">
        <w:t xml:space="preserve"> To further enquire into t</w:t>
      </w:r>
      <w:r w:rsidR="00117A6A">
        <w:t>his we can ask if</w:t>
      </w:r>
      <w:r w:rsidR="00102CB3">
        <w:t xml:space="preserve"> this change is continuous in a strong or weak sense. </w:t>
      </w:r>
      <w:r w:rsidR="00117A6A">
        <w:t>In line with an u</w:t>
      </w:r>
      <w:r w:rsidR="00F7251E">
        <w:t>nderstanding of object-stages, i</w:t>
      </w:r>
      <w:r w:rsidR="00117A6A">
        <w:t>f the ship of Theseus has undergone change in a</w:t>
      </w:r>
      <w:r w:rsidR="00102CB3">
        <w:t xml:space="preserve"> </w:t>
      </w:r>
      <w:r w:rsidR="00BD18FA">
        <w:t>continuous</w:t>
      </w:r>
      <w:r w:rsidR="00117A6A">
        <w:t>,</w:t>
      </w:r>
      <w:r w:rsidR="00102CB3">
        <w:t xml:space="preserve"> strong sense</w:t>
      </w:r>
      <w:r w:rsidR="00117A6A">
        <w:t>,</w:t>
      </w:r>
      <w:r w:rsidR="00102CB3">
        <w:t xml:space="preserve"> then its change can be broken down </w:t>
      </w:r>
      <w:r w:rsidR="00BD18FA">
        <w:t>indefinitely</w:t>
      </w:r>
      <w:r w:rsidR="00F7251E">
        <w:t>. W</w:t>
      </w:r>
      <w:r w:rsidR="00102CB3">
        <w:t xml:space="preserve">e can see the change happening gradually </w:t>
      </w:r>
      <w:r w:rsidR="001B20DC">
        <w:t>a</w:t>
      </w:r>
      <w:r w:rsidR="00102CB3">
        <w:t>nd enqu</w:t>
      </w:r>
      <w:r w:rsidR="001B20DC">
        <w:t>ire about the intermediate steps</w:t>
      </w:r>
      <w:r w:rsidR="00D22DAF">
        <w:t>,</w:t>
      </w:r>
      <w:r w:rsidR="00117A6A">
        <w:t xml:space="preserve"> however</w:t>
      </w:r>
      <w:r w:rsidR="00102CB3">
        <w:t xml:space="preserve"> if it is con</w:t>
      </w:r>
      <w:r w:rsidR="00783917">
        <w:t>tinuou</w:t>
      </w:r>
      <w:r w:rsidR="009464D5">
        <w:t>s in a weak sense</w:t>
      </w:r>
      <w:r w:rsidR="00117A6A">
        <w:t>,</w:t>
      </w:r>
      <w:r w:rsidR="009464D5">
        <w:t xml:space="preserve"> then there is a jump between the particular</w:t>
      </w:r>
      <w:r w:rsidR="00117A6A">
        <w:t>’s properties</w:t>
      </w:r>
      <w:r w:rsidR="009464D5">
        <w:t xml:space="preserve"> at </w:t>
      </w:r>
      <w:r w:rsidR="00767E60">
        <w:t>T</w:t>
      </w:r>
      <w:r w:rsidR="009464D5">
        <w:t xml:space="preserve">1 and </w:t>
      </w:r>
      <w:r w:rsidR="00767E60">
        <w:t>T</w:t>
      </w:r>
      <w:r w:rsidR="009464D5">
        <w:t>2 that cannot be broken down into intermediate steps</w:t>
      </w:r>
      <w:r w:rsidR="00783917">
        <w:t>.</w:t>
      </w:r>
      <w:r w:rsidR="000C1645">
        <w:rPr>
          <w:rStyle w:val="FootnoteReference"/>
        </w:rPr>
        <w:footnoteReference w:id="5"/>
      </w:r>
      <w:r w:rsidR="00783917">
        <w:t xml:space="preserve"> In the example of the ship of </w:t>
      </w:r>
      <w:r w:rsidR="00BD18FA">
        <w:t>Theseus</w:t>
      </w:r>
      <w:r w:rsidR="00783917">
        <w:t xml:space="preserve"> we cannot ascertain</w:t>
      </w:r>
      <w:r w:rsidR="00F7251E">
        <w:t xml:space="preserve"> continuity in the strong sense. N</w:t>
      </w:r>
      <w:r w:rsidR="00783917">
        <w:t>amely</w:t>
      </w:r>
      <w:r w:rsidR="00F7251E">
        <w:t>,</w:t>
      </w:r>
      <w:r w:rsidR="00783917">
        <w:t xml:space="preserve"> we cannot ascertain the intermediate parts that were undergoing change. If we change </w:t>
      </w:r>
      <w:r w:rsidR="00BD18FA">
        <w:t>one plank</w:t>
      </w:r>
      <w:r w:rsidR="00783917">
        <w:t xml:space="preserve"> we cannot </w:t>
      </w:r>
      <w:r w:rsidR="00BD18FA">
        <w:t>a</w:t>
      </w:r>
      <w:r w:rsidR="00783917">
        <w:t>scertain when the plank was half on, what we could say is that t</w:t>
      </w:r>
      <w:r w:rsidR="00D22DAF">
        <w:t>here is an overlap in</w:t>
      </w:r>
      <w:r w:rsidR="00783917">
        <w:t xml:space="preserve"> that we can identify the ship with the larger fraction of parts </w:t>
      </w:r>
      <w:r w:rsidR="00D22DAF">
        <w:t xml:space="preserve">rather </w:t>
      </w:r>
      <w:r w:rsidR="00783917">
        <w:t>than wit</w:t>
      </w:r>
      <w:r w:rsidR="00BD18FA">
        <w:t>h the smaller, singular plank.</w:t>
      </w:r>
      <w:r w:rsidR="00117A6A">
        <w:rPr>
          <w:rStyle w:val="FootnoteReference"/>
        </w:rPr>
        <w:footnoteReference w:id="6"/>
      </w:r>
      <w:r w:rsidR="00BD18FA">
        <w:t xml:space="preserve"> </w:t>
      </w:r>
    </w:p>
    <w:p w14:paraId="06F23C2A" w14:textId="38ADE502" w:rsidR="00BD18FA" w:rsidRDefault="00783917" w:rsidP="00F7251E">
      <w:pPr>
        <w:ind w:firstLine="720"/>
      </w:pPr>
      <w:r>
        <w:lastRenderedPageBreak/>
        <w:t>Let</w:t>
      </w:r>
      <w:r w:rsidR="00767E60">
        <w:t xml:space="preserve"> us </w:t>
      </w:r>
      <w:r>
        <w:t xml:space="preserve">say a second boat was arranged with the parts discarded by the ship of </w:t>
      </w:r>
      <w:r w:rsidR="00BD18FA">
        <w:t>Theseus</w:t>
      </w:r>
      <w:r>
        <w:t xml:space="preserve"> in the same </w:t>
      </w:r>
      <w:r w:rsidR="00BD18FA">
        <w:t>configuration</w:t>
      </w:r>
      <w:r w:rsidR="00F7251E">
        <w:t>. W</w:t>
      </w:r>
      <w:r>
        <w:t>e will call this ship ‘</w:t>
      </w:r>
      <w:r w:rsidR="00BD18FA">
        <w:t>remodelled</w:t>
      </w:r>
      <w:r w:rsidR="00D22DAF">
        <w:t xml:space="preserve"> ship’.</w:t>
      </w:r>
      <w:r w:rsidR="00027EDF">
        <w:rPr>
          <w:rStyle w:val="FootnoteReference"/>
        </w:rPr>
        <w:footnoteReference w:id="7"/>
      </w:r>
      <w:r w:rsidR="00D22DAF">
        <w:t xml:space="preserve"> W</w:t>
      </w:r>
      <w:r>
        <w:t xml:space="preserve">e are now likely to identify the ship of </w:t>
      </w:r>
      <w:r w:rsidR="00BD18FA">
        <w:t>Theseus</w:t>
      </w:r>
      <w:r>
        <w:t xml:space="preserve"> with the remodelled ship rather than the original due to the higher frequency of original parts. This begs the question of </w:t>
      </w:r>
      <w:r w:rsidR="00BD18FA">
        <w:t>whether</w:t>
      </w:r>
      <w:r w:rsidR="00A97119">
        <w:t xml:space="preserve"> the pr</w:t>
      </w:r>
      <w:r w:rsidR="00D22DAF">
        <w:t xml:space="preserve">operties are, or in what way </w:t>
      </w:r>
      <w:r w:rsidR="00A97119">
        <w:t>their</w:t>
      </w:r>
      <w:r>
        <w:t xml:space="preserve"> continuity</w:t>
      </w:r>
      <w:r w:rsidR="00D22DAF">
        <w:t xml:space="preserve"> is</w:t>
      </w:r>
      <w:r w:rsidR="00A97119">
        <w:t>,</w:t>
      </w:r>
      <w:r>
        <w:t xml:space="preserve"> actually </w:t>
      </w:r>
      <w:r w:rsidR="00BD18FA">
        <w:t>a nec</w:t>
      </w:r>
      <w:r w:rsidR="00117A6A">
        <w:t>essary criterion in discerning</w:t>
      </w:r>
      <w:r w:rsidR="00BD18FA">
        <w:t xml:space="preserve"> identity.</w:t>
      </w:r>
      <w:r w:rsidR="001B20DC">
        <w:t xml:space="preserve"> This is be</w:t>
      </w:r>
      <w:r w:rsidR="00A97119">
        <w:t>cause the theory of indiscernibles</w:t>
      </w:r>
      <w:r w:rsidR="001B20DC">
        <w:t xml:space="preserve"> </w:t>
      </w:r>
      <w:r w:rsidR="006033C8">
        <w:t>does not</w:t>
      </w:r>
      <w:r w:rsidR="001B20DC">
        <w:t xml:space="preserve"> allow us to ascribe continu</w:t>
      </w:r>
      <w:r w:rsidR="00AF7DAE">
        <w:t xml:space="preserve">ity over time if the properties of a particular </w:t>
      </w:r>
      <w:r w:rsidR="001B20DC">
        <w:t>are undergoing change.</w:t>
      </w:r>
      <w:r w:rsidR="00A97119">
        <w:rPr>
          <w:rStyle w:val="FootnoteReference"/>
        </w:rPr>
        <w:footnoteReference w:id="8"/>
      </w:r>
      <w:r w:rsidR="001B20DC">
        <w:t xml:space="preserve"> </w:t>
      </w:r>
      <w:r w:rsidR="007C73DF">
        <w:t xml:space="preserve">We might be compelled to ascertain that </w:t>
      </w:r>
      <w:r w:rsidR="00AF7DAE">
        <w:t>Theseus’s</w:t>
      </w:r>
      <w:r w:rsidR="007C73DF">
        <w:t xml:space="preserve"> ship is actually the r</w:t>
      </w:r>
      <w:r w:rsidR="00F7251E">
        <w:t xml:space="preserve">emodelled ship even though </w:t>
      </w:r>
      <w:r w:rsidR="007C73DF">
        <w:t>it is not numerically identical with the original ship</w:t>
      </w:r>
      <w:r w:rsidR="00AF7DAE">
        <w:t xml:space="preserve"> on the basis that it contains</w:t>
      </w:r>
      <w:r w:rsidR="00027EDF">
        <w:t xml:space="preserve"> a larger portion of</w:t>
      </w:r>
      <w:r w:rsidR="00AF7DAE">
        <w:t xml:space="preserve"> the original parts</w:t>
      </w:r>
      <w:r w:rsidR="00A97119">
        <w:t>. H</w:t>
      </w:r>
      <w:r w:rsidR="00AF7DAE">
        <w:t>owever</w:t>
      </w:r>
      <w:r w:rsidR="00A97119">
        <w:t>,</w:t>
      </w:r>
      <w:r w:rsidR="00AF7DAE">
        <w:t xml:space="preserve"> if we identify the particulars as being the constituent parts of identity</w:t>
      </w:r>
      <w:r w:rsidR="00A97119">
        <w:t>,</w:t>
      </w:r>
      <w:r w:rsidR="00AF7DAE">
        <w:t xml:space="preserve"> we are incapable of u</w:t>
      </w:r>
      <w:r w:rsidR="00A97119">
        <w:t xml:space="preserve">nderstanding how one ship can </w:t>
      </w:r>
      <w:r w:rsidR="006033C8">
        <w:t>retain its identity regardless of the arrangement of its properties</w:t>
      </w:r>
      <w:r w:rsidR="00A97119">
        <w:t xml:space="preserve"> in different object-stages</w:t>
      </w:r>
      <w:r w:rsidR="00027EDF">
        <w:t>. Any change occurring is likely to change the identity of the object</w:t>
      </w:r>
      <w:r w:rsidR="007C73DF">
        <w:t>.</w:t>
      </w:r>
      <w:r w:rsidR="00027EDF">
        <w:rPr>
          <w:rStyle w:val="FootnoteReference"/>
        </w:rPr>
        <w:footnoteReference w:id="9"/>
      </w:r>
      <w:r w:rsidR="007C73DF">
        <w:t xml:space="preserve"> For that </w:t>
      </w:r>
      <w:r w:rsidR="00D869A1">
        <w:t>reason,</w:t>
      </w:r>
      <w:r w:rsidR="007C73DF">
        <w:t xml:space="preserve"> whilst bodily continuity allows us to gain insight into the nature</w:t>
      </w:r>
      <w:r w:rsidR="00AF7DAE">
        <w:t xml:space="preserve"> of a particular</w:t>
      </w:r>
      <w:r w:rsidR="00767E60">
        <w:t xml:space="preserve"> due to its spatiotemporal location</w:t>
      </w:r>
      <w:r w:rsidR="00027EDF">
        <w:t>, the</w:t>
      </w:r>
      <w:r w:rsidR="00AF7DAE">
        <w:t xml:space="preserve"> question</w:t>
      </w:r>
      <w:r w:rsidR="00027EDF">
        <w:t xml:space="preserve"> of</w:t>
      </w:r>
      <w:r w:rsidR="00AF7DAE">
        <w:t xml:space="preserve"> the nature of the properties themselves</w:t>
      </w:r>
      <w:r w:rsidR="00A97119">
        <w:t xml:space="preserve"> and their connection to the particulars in question</w:t>
      </w:r>
      <w:r w:rsidR="00027EDF">
        <w:t xml:space="preserve"> remains</w:t>
      </w:r>
      <w:r w:rsidR="001C549A">
        <w:t xml:space="preserve">. </w:t>
      </w:r>
      <w:r w:rsidR="00AF7DAE">
        <w:t xml:space="preserve">If the properties are </w:t>
      </w:r>
      <w:r w:rsidR="006033C8">
        <w:t>part of the object</w:t>
      </w:r>
      <w:r w:rsidR="00A97119">
        <w:t>, then</w:t>
      </w:r>
      <w:r w:rsidR="006033C8">
        <w:t xml:space="preserve"> </w:t>
      </w:r>
      <w:r w:rsidR="00AF7DAE">
        <w:t>we have grounds to believe that particulars possess identity on the basis</w:t>
      </w:r>
      <w:r w:rsidR="00255DBE">
        <w:t>,</w:t>
      </w:r>
      <w:r w:rsidR="00AF7DAE">
        <w:t xml:space="preserve"> that we can ascertain certain facts about the i</w:t>
      </w:r>
      <w:r w:rsidR="00255DBE">
        <w:t>dentity of a particular from its</w:t>
      </w:r>
      <w:r w:rsidR="00AF7DAE">
        <w:t xml:space="preserve"> </w:t>
      </w:r>
      <w:r w:rsidR="00255DBE">
        <w:t>properties</w:t>
      </w:r>
      <w:r w:rsidR="001C549A">
        <w:t>.</w:t>
      </w:r>
      <w:r w:rsidR="00A97119">
        <w:t xml:space="preserve"> This would then leave us with a different problem, namely, </w:t>
      </w:r>
      <w:r w:rsidR="001E2A8F">
        <w:t>an enquiry into how one discriminates</w:t>
      </w:r>
      <w:r w:rsidR="00A97119">
        <w:t xml:space="preserve"> between different objects pos</w:t>
      </w:r>
      <w:r w:rsidR="00530BB8">
        <w:t>sessing the same properties</w:t>
      </w:r>
      <w:r w:rsidR="00A97119">
        <w:t xml:space="preserve"> an</w:t>
      </w:r>
      <w:r w:rsidR="00530BB8">
        <w:t>d if so how properties</w:t>
      </w:r>
      <w:r w:rsidR="001E2A8F">
        <w:t xml:space="preserve"> </w:t>
      </w:r>
      <w:r w:rsidR="00530BB8">
        <w:t>can exist simultaneously</w:t>
      </w:r>
      <w:r w:rsidR="00A97119">
        <w:t>.</w:t>
      </w:r>
    </w:p>
    <w:p w14:paraId="15FAB9A7" w14:textId="7327DD11" w:rsidR="008474BE" w:rsidRDefault="006033C8" w:rsidP="00F7251E">
      <w:pPr>
        <w:ind w:firstLine="720"/>
      </w:pPr>
      <w:r>
        <w:t>There are two opposing view</w:t>
      </w:r>
      <w:r w:rsidR="00530BB8">
        <w:t>s in this debate. In the platonic view,</w:t>
      </w:r>
      <w:r w:rsidR="00F7251E">
        <w:t xml:space="preserve"> </w:t>
      </w:r>
      <w:r>
        <w:t>properties a</w:t>
      </w:r>
      <w:r w:rsidR="00CD6D90">
        <w:t>re conceived as</w:t>
      </w:r>
      <w:r>
        <w:t xml:space="preserve"> universals that are i</w:t>
      </w:r>
      <w:r w:rsidR="00530BB8">
        <w:t>nstantiated by</w:t>
      </w:r>
      <w:r w:rsidR="00CD6D90">
        <w:t xml:space="preserve"> particulars</w:t>
      </w:r>
      <w:r w:rsidR="00530BB8">
        <w:t xml:space="preserve"> in the world</w:t>
      </w:r>
      <w:r w:rsidR="00CD6D90">
        <w:t>.</w:t>
      </w:r>
      <w:r w:rsidR="00CD6D90">
        <w:rPr>
          <w:rStyle w:val="FootnoteReference"/>
        </w:rPr>
        <w:footnoteReference w:id="10"/>
      </w:r>
      <w:r w:rsidR="00CD6D90">
        <w:t xml:space="preserve"> </w:t>
      </w:r>
      <w:r w:rsidR="00C27B35">
        <w:t>Naturally</w:t>
      </w:r>
      <w:r w:rsidR="00530BB8">
        <w:t>,</w:t>
      </w:r>
      <w:r w:rsidR="00C27B35">
        <w:t xml:space="preserve"> the problem with this view is </w:t>
      </w:r>
      <w:r w:rsidR="004F558C">
        <w:t>that if a particular instantiates a property we still need to find the instantiation of that instantiation. The problem with this is that enquiring into that instantiation would require the instantiation to be</w:t>
      </w:r>
      <w:r w:rsidR="00C27B35">
        <w:t xml:space="preserve"> non-</w:t>
      </w:r>
      <w:r w:rsidR="004F558C">
        <w:t>contingent or we would be led</w:t>
      </w:r>
      <w:r w:rsidR="00C27B35">
        <w:t xml:space="preserve"> </w:t>
      </w:r>
      <w:r w:rsidR="004F558C">
        <w:t>in</w:t>
      </w:r>
      <w:r w:rsidR="00C27B35">
        <w:t>to an infinite regress of instantiation, which would not lead us to an original cause.</w:t>
      </w:r>
      <w:r w:rsidR="00E96EE5" w:rsidRPr="00E96EE5">
        <w:rPr>
          <w:rStyle w:val="FootnoteReference"/>
        </w:rPr>
        <w:t xml:space="preserve"> </w:t>
      </w:r>
      <w:r w:rsidR="00E96EE5">
        <w:rPr>
          <w:rStyle w:val="FootnoteReference"/>
        </w:rPr>
        <w:footnoteReference w:id="11"/>
      </w:r>
      <w:r w:rsidR="00E96EE5">
        <w:t xml:space="preserve">  </w:t>
      </w:r>
      <w:r w:rsidR="00C27B35">
        <w:t>T</w:t>
      </w:r>
      <w:r>
        <w:t>he nominalist view</w:t>
      </w:r>
      <w:r w:rsidR="00CD6D90">
        <w:t xml:space="preserve"> then,</w:t>
      </w:r>
      <w:r>
        <w:t xml:space="preserve"> argues th</w:t>
      </w:r>
      <w:r w:rsidR="004F558C">
        <w:t>at the properties are not</w:t>
      </w:r>
      <w:r>
        <w:t xml:space="preserve"> part of the particulars</w:t>
      </w:r>
      <w:r w:rsidR="00CD6D90">
        <w:t xml:space="preserve"> or rather that our ability to identify things in the world is underpinned b</w:t>
      </w:r>
      <w:r w:rsidR="004F558C">
        <w:t xml:space="preserve">y our ability to categorise them </w:t>
      </w:r>
      <w:r w:rsidR="00E96EE5">
        <w:t>through predicates</w:t>
      </w:r>
      <w:r>
        <w:t>.</w:t>
      </w:r>
      <w:r w:rsidR="00CD6D90">
        <w:rPr>
          <w:rStyle w:val="FootnoteReference"/>
        </w:rPr>
        <w:footnoteReference w:id="12"/>
      </w:r>
      <w:r w:rsidR="00C27B35">
        <w:t xml:space="preserve"> In that way nominalists would arg</w:t>
      </w:r>
      <w:r w:rsidR="007300AD">
        <w:t>ue that for example the instantiation of a particular such as the colour green in a leaf</w:t>
      </w:r>
      <w:r w:rsidR="00C27B35">
        <w:t xml:space="preserve"> is reall</w:t>
      </w:r>
      <w:r w:rsidR="007300AD">
        <w:t>y just a sequence of</w:t>
      </w:r>
      <w:r w:rsidR="00C27B35">
        <w:t xml:space="preserve"> </w:t>
      </w:r>
      <w:r w:rsidR="007300AD">
        <w:t>bio-chemical events in relatio</w:t>
      </w:r>
      <w:r w:rsidR="001C549A">
        <w:t>n the leaf that we</w:t>
      </w:r>
      <w:r w:rsidR="007300AD">
        <w:t xml:space="preserve"> pr</w:t>
      </w:r>
      <w:r w:rsidR="001C549A">
        <w:t>edicate, in order</w:t>
      </w:r>
      <w:r w:rsidR="00C27B35">
        <w:t xml:space="preserve"> to enquire about its identity.</w:t>
      </w:r>
      <w:r w:rsidR="00C27B35">
        <w:rPr>
          <w:rStyle w:val="FootnoteReference"/>
        </w:rPr>
        <w:footnoteReference w:id="13"/>
      </w:r>
      <w:r w:rsidR="00C27B35">
        <w:t xml:space="preserve"> The difficulty that nominalism faces is that it fails to give </w:t>
      </w:r>
      <w:r w:rsidR="001C549A">
        <w:t>sufficient</w:t>
      </w:r>
      <w:r w:rsidR="00C27B35">
        <w:t xml:space="preserve"> explanation between the properties of a particular and the particular itself.</w:t>
      </w:r>
      <w:r w:rsidR="000C1645">
        <w:t xml:space="preserve"> </w:t>
      </w:r>
      <w:r w:rsidR="007300AD">
        <w:t>For example, we can</w:t>
      </w:r>
      <w:r w:rsidR="00EE0FD7">
        <w:t xml:space="preserve"> make a distinction</w:t>
      </w:r>
      <w:r w:rsidR="00171AFC">
        <w:t xml:space="preserve"> between accidental </w:t>
      </w:r>
      <w:r w:rsidR="001C549A">
        <w:t>and essential</w:t>
      </w:r>
      <w:r w:rsidR="00EE0FD7">
        <w:t xml:space="preserve"> properties</w:t>
      </w:r>
      <w:r w:rsidR="007300AD">
        <w:t xml:space="preserve"> of a particular</w:t>
      </w:r>
      <w:r w:rsidR="008474BE">
        <w:t xml:space="preserve"> but we fail to see their relationship to the particulars themselves</w:t>
      </w:r>
      <w:r w:rsidR="00977550">
        <w:t>, whether they are possessed or instantiated,</w:t>
      </w:r>
      <w:r w:rsidR="004F558C">
        <w:t xml:space="preserve"> or</w:t>
      </w:r>
      <w:r w:rsidR="008474BE">
        <w:t xml:space="preserve"> how one </w:t>
      </w:r>
      <w:r w:rsidR="00977550">
        <w:t>particular</w:t>
      </w:r>
      <w:r w:rsidR="008474BE">
        <w:t xml:space="preserve"> can contain different yet non-congruent essential properties</w:t>
      </w:r>
      <w:r w:rsidR="00EE0FD7">
        <w:t xml:space="preserve">. </w:t>
      </w:r>
    </w:p>
    <w:p w14:paraId="4EB0FD74" w14:textId="30EFEF52" w:rsidR="008474BE" w:rsidRDefault="00977550" w:rsidP="00A85D37">
      <w:pPr>
        <w:ind w:firstLine="720"/>
      </w:pPr>
      <w:r>
        <w:t>Essential properties</w:t>
      </w:r>
      <w:r w:rsidR="00EE0FD7">
        <w:t xml:space="preserve"> are the ones that constitute</w:t>
      </w:r>
      <w:r w:rsidR="007300AD">
        <w:t xml:space="preserve"> a particular</w:t>
      </w:r>
      <w:r>
        <w:t>,</w:t>
      </w:r>
      <w:r w:rsidR="007300AD">
        <w:t xml:space="preserve"> as for examp</w:t>
      </w:r>
      <w:r>
        <w:t>le a human, has the essential properties</w:t>
      </w:r>
      <w:r w:rsidR="008474BE">
        <w:t xml:space="preserve"> of a body</w:t>
      </w:r>
      <w:r w:rsidR="007300AD">
        <w:t>;</w:t>
      </w:r>
      <w:r>
        <w:t xml:space="preserve"> accidental properties only</w:t>
      </w:r>
      <w:r w:rsidR="00EE0FD7">
        <w:t xml:space="preserve"> bear a relationship to the particular by</w:t>
      </w:r>
      <w:r>
        <w:t xml:space="preserve"> the</w:t>
      </w:r>
      <w:r w:rsidR="00EE0FD7">
        <w:t xml:space="preserve"> nature </w:t>
      </w:r>
      <w:r>
        <w:t>of their essential properties. A</w:t>
      </w:r>
      <w:r w:rsidR="008474BE">
        <w:t xml:space="preserve"> vertebrae</w:t>
      </w:r>
      <w:r>
        <w:t xml:space="preserve"> for example,</w:t>
      </w:r>
      <w:r w:rsidR="008474BE">
        <w:t xml:space="preserve"> is accidental to the essential </w:t>
      </w:r>
      <w:r w:rsidR="008474BE">
        <w:lastRenderedPageBreak/>
        <w:t>characteristic of a body, an essential characteristic of being human</w:t>
      </w:r>
      <w:r w:rsidR="00EE0FD7">
        <w:t>.</w:t>
      </w:r>
      <w:r w:rsidR="00EE0FD7">
        <w:rPr>
          <w:rStyle w:val="FootnoteReference"/>
        </w:rPr>
        <w:footnoteReference w:id="14"/>
      </w:r>
      <w:r w:rsidR="00EE0FD7">
        <w:t xml:space="preserve"> Naturally defenders of this view understand that the particulars do not </w:t>
      </w:r>
      <w:r w:rsidR="004F558C">
        <w:t>possess these properties,</w:t>
      </w:r>
      <w:r w:rsidR="00EE0FD7">
        <w:t xml:space="preserve"> due to the fact that </w:t>
      </w:r>
      <w:r w:rsidR="004F558C">
        <w:t xml:space="preserve">uncharacterised particulars </w:t>
      </w:r>
      <w:r w:rsidR="00EE0FD7">
        <w:t>cannot be the subject of predication as there is no substance behind it.</w:t>
      </w:r>
      <w:r w:rsidR="008474BE">
        <w:t xml:space="preserve"> One reason for this is</w:t>
      </w:r>
      <w:r w:rsidR="00171AFC">
        <w:t xml:space="preserve"> the way we use language to describe objects.</w:t>
      </w:r>
      <w:r w:rsidR="008474BE">
        <w:t xml:space="preserve"> We would not say that a human</w:t>
      </w:r>
      <w:r w:rsidR="00EE0FD7">
        <w:t xml:space="preserve"> possesses ‘</w:t>
      </w:r>
      <w:r>
        <w:t>humanness</w:t>
      </w:r>
      <w:r w:rsidR="00EE0FD7">
        <w:t>’</w:t>
      </w:r>
      <w:r>
        <w:t xml:space="preserve"> due to the fact that a particular that is uncharacterised is incapable</w:t>
      </w:r>
      <w:r w:rsidR="00171AFC">
        <w:t xml:space="preserve"> of being the subject of predicates.</w:t>
      </w:r>
      <w:r w:rsidR="00171AFC">
        <w:rPr>
          <w:rStyle w:val="FootnoteReference"/>
        </w:rPr>
        <w:footnoteReference w:id="15"/>
      </w:r>
      <w:r w:rsidR="008474BE">
        <w:t xml:space="preserve"> </w:t>
      </w:r>
      <w:r w:rsidR="008F2FD3">
        <w:t>Nominalists see properties then as being a means to identify particulars through language however as this does not tell us anything about particulars, only our own language,</w:t>
      </w:r>
      <w:r w:rsidR="008474BE">
        <w:t xml:space="preserve"> we are forced to question the relationshi</w:t>
      </w:r>
      <w:r w:rsidR="00A85D37">
        <w:t>p between the particular and it</w:t>
      </w:r>
      <w:r w:rsidR="008474BE">
        <w:t>s prope</w:t>
      </w:r>
      <w:r>
        <w:t>rties, if not one of possession.</w:t>
      </w:r>
      <w:r w:rsidR="008474BE">
        <w:rPr>
          <w:rStyle w:val="FootnoteReference"/>
        </w:rPr>
        <w:footnoteReference w:id="16"/>
      </w:r>
      <w:r w:rsidR="00171AFC">
        <w:t xml:space="preserve"> </w:t>
      </w:r>
    </w:p>
    <w:p w14:paraId="76F83769" w14:textId="5288FE61" w:rsidR="006033C8" w:rsidRDefault="00171AFC" w:rsidP="00A85D37">
      <w:pPr>
        <w:ind w:firstLine="720"/>
      </w:pPr>
      <w:r>
        <w:t>The strength of this view is that it provides insight into how we can attain knowledge of a particular without knowing all of its properties</w:t>
      </w:r>
      <w:r w:rsidR="0021623E">
        <w:t>. B</w:t>
      </w:r>
      <w:r w:rsidR="008474BE">
        <w:t>y calling it a thing of a kind</w:t>
      </w:r>
      <w:r w:rsidR="00977550">
        <w:t xml:space="preserve"> we are capable of understanding it to have certain properties that fit within that category;</w:t>
      </w:r>
      <w:r w:rsidR="0021623E">
        <w:t xml:space="preserve"> secondly we can see</w:t>
      </w:r>
      <w:r w:rsidR="0014565B">
        <w:t xml:space="preserve"> how objects can undergo change whilst retaining numerical identity</w:t>
      </w:r>
      <w:r w:rsidR="008474BE">
        <w:t>.</w:t>
      </w:r>
      <w:r w:rsidR="0014565B">
        <w:rPr>
          <w:rStyle w:val="FootnoteReference"/>
        </w:rPr>
        <w:footnoteReference w:id="17"/>
      </w:r>
      <w:r w:rsidR="0014565B">
        <w:t xml:space="preserve"> In the example of Theseus’s sh</w:t>
      </w:r>
      <w:r w:rsidR="00D25848">
        <w:t>ip, we can see how if we describe</w:t>
      </w:r>
      <w:r w:rsidR="0014565B">
        <w:t xml:space="preserve"> the ship as having the essential qualities that make it what it is</w:t>
      </w:r>
      <w:r w:rsidR="00D25848">
        <w:t xml:space="preserve"> (</w:t>
      </w:r>
      <w:r w:rsidR="00977550">
        <w:t>a wooden</w:t>
      </w:r>
      <w:r w:rsidR="00D25848">
        <w:t>,</w:t>
      </w:r>
      <w:r w:rsidR="00977550">
        <w:t xml:space="preserve"> people carrier</w:t>
      </w:r>
      <w:r w:rsidR="00D25848">
        <w:t>,</w:t>
      </w:r>
      <w:r w:rsidR="00977550">
        <w:t xml:space="preserve"> travelling from point A to point B)</w:t>
      </w:r>
      <w:r w:rsidR="0014565B">
        <w:t>, the constituent parts that are replaced do not hinder its identity even if we cannot ascertain a strong level of continuity</w:t>
      </w:r>
      <w:r w:rsidR="0021623E">
        <w:t>, as</w:t>
      </w:r>
      <w:r w:rsidR="00D25848">
        <w:t xml:space="preserve"> they are accidental to the ship’s constitution and purpose</w:t>
      </w:r>
      <w:r w:rsidR="0021623E">
        <w:t>. This approach provides no</w:t>
      </w:r>
      <w:r>
        <w:t xml:space="preserve"> explanation of </w:t>
      </w:r>
      <w:r w:rsidR="00A85D37">
        <w:t xml:space="preserve">what </w:t>
      </w:r>
      <w:r>
        <w:t xml:space="preserve">essential and accidental properties are in some cases. One such example is a trapeze artist that is a bachelor. To be a bachelor the trapeze artist </w:t>
      </w:r>
      <w:r w:rsidR="00D25848">
        <w:t>must</w:t>
      </w:r>
      <w:r>
        <w:t xml:space="preserve"> be unmarried but to be a tr</w:t>
      </w:r>
      <w:r w:rsidR="00D25848">
        <w:t>apeze artist the artist needs</w:t>
      </w:r>
      <w:r>
        <w:t xml:space="preserve"> two hands. Neither of these essential characteristics</w:t>
      </w:r>
      <w:r w:rsidR="00A85D37">
        <w:t xml:space="preserve"> are essential for each other (</w:t>
      </w:r>
      <w:r>
        <w:t>a bachelor does not need two hands for examp</w:t>
      </w:r>
      <w:r w:rsidR="0021623E">
        <w:t>le) and in this way we are incapable of defining</w:t>
      </w:r>
      <w:r>
        <w:t xml:space="preserve"> the essential and accidental </w:t>
      </w:r>
      <w:r w:rsidR="0021623E">
        <w:t>characteristics of this artist.</w:t>
      </w:r>
      <w:r>
        <w:rPr>
          <w:rStyle w:val="FootnoteReference"/>
        </w:rPr>
        <w:footnoteReference w:id="18"/>
      </w:r>
    </w:p>
    <w:p w14:paraId="78312AA6" w14:textId="7B9E3E6B" w:rsidR="00D25848" w:rsidRDefault="00EB5ADF" w:rsidP="001B5A47">
      <w:pPr>
        <w:ind w:firstLine="720"/>
      </w:pPr>
      <w:r>
        <w:t>One possible retort is that the characteristics that make the bachelor trapeze artist what they are, are not two hands or being unmarried but those that are essential to the being itself, namely being a human. This</w:t>
      </w:r>
      <w:r w:rsidR="00416E9B">
        <w:t xml:space="preserve"> is because the p</w:t>
      </w:r>
      <w:r w:rsidR="00A770AB">
        <w:t>roperties that are</w:t>
      </w:r>
      <w:r w:rsidR="00416E9B">
        <w:t xml:space="preserve"> essential to both being a trapeze artist and a bachelor/bachelorette </w:t>
      </w:r>
      <w:r w:rsidR="001B5A47">
        <w:t>are</w:t>
      </w:r>
      <w:r w:rsidR="00416E9B">
        <w:t xml:space="preserve"> being human.</w:t>
      </w:r>
      <w:r w:rsidR="000C2506" w:rsidRPr="000C2506">
        <w:rPr>
          <w:rStyle w:val="FootnoteReference"/>
        </w:rPr>
        <w:t xml:space="preserve"> </w:t>
      </w:r>
      <w:r w:rsidR="000C2506">
        <w:rPr>
          <w:rStyle w:val="FootnoteReference"/>
        </w:rPr>
        <w:footnoteReference w:id="19"/>
      </w:r>
      <w:r>
        <w:t xml:space="preserve"> </w:t>
      </w:r>
      <w:r w:rsidR="00416E9B">
        <w:t>Leaving that aside</w:t>
      </w:r>
      <w:r w:rsidR="001B5A47">
        <w:t>,</w:t>
      </w:r>
      <w:r w:rsidR="00D25848">
        <w:t xml:space="preserve"> </w:t>
      </w:r>
      <w:r w:rsidR="001B5A47">
        <w:t>(</w:t>
      </w:r>
      <w:r w:rsidR="00D25848">
        <w:t>since even if this was the case we do not know what makes a single particular distinct from another</w:t>
      </w:r>
      <w:r w:rsidR="00A770AB">
        <w:t>,</w:t>
      </w:r>
      <w:r w:rsidR="001B5A47">
        <w:t xml:space="preserve"> even if it had</w:t>
      </w:r>
      <w:r w:rsidR="00D25848">
        <w:t xml:space="preserve"> such essential properties that encompass multiple roles within a particular</w:t>
      </w:r>
      <w:r w:rsidR="001B5A47">
        <w:t>)</w:t>
      </w:r>
      <w:r w:rsidR="00416E9B">
        <w:t xml:space="preserve"> the approach to characterised particulars </w:t>
      </w:r>
      <w:r w:rsidR="00A770AB">
        <w:t>does not explain</w:t>
      </w:r>
      <w:r>
        <w:t xml:space="preserve"> what the relationship between</w:t>
      </w:r>
      <w:r w:rsidR="00D25848">
        <w:t xml:space="preserve"> these essential properties</w:t>
      </w:r>
      <w:r>
        <w:t xml:space="preserve"> and the particular are if not one of</w:t>
      </w:r>
      <w:r w:rsidR="00F67E6F">
        <w:t xml:space="preserve"> possession.</w:t>
      </w:r>
      <w:r w:rsidR="00416E9B">
        <w:rPr>
          <w:rStyle w:val="FootnoteReference"/>
        </w:rPr>
        <w:footnoteReference w:id="20"/>
      </w:r>
      <w:r w:rsidR="00F67E6F">
        <w:t xml:space="preserve"> </w:t>
      </w:r>
      <w:r w:rsidR="00D25848">
        <w:t xml:space="preserve">If the relationship is not one of possession then how can we attain knowledge about the identity of </w:t>
      </w:r>
      <w:r w:rsidR="00A770AB">
        <w:t xml:space="preserve">a </w:t>
      </w:r>
      <w:r w:rsidR="00D25848">
        <w:t>particular as something distinct from another and where do</w:t>
      </w:r>
      <w:r w:rsidR="001B5A47">
        <w:t xml:space="preserve"> these</w:t>
      </w:r>
      <w:r w:rsidR="00D25848">
        <w:t xml:space="preserve"> properties come from? </w:t>
      </w:r>
    </w:p>
    <w:p w14:paraId="67E5A60D" w14:textId="1DBB0614" w:rsidR="00F67E6F" w:rsidRDefault="007F6148" w:rsidP="00AF543B">
      <w:pPr>
        <w:ind w:firstLine="720"/>
      </w:pPr>
      <w:r>
        <w:t xml:space="preserve"> P</w:t>
      </w:r>
      <w:r w:rsidR="00F67E6F">
        <w:t>latonists argue that properties and propositions exist independently of the predicates and sentences we use, that is to say that the propositions that we make through sentences and the properties that we predicate exist independently of their instances. For Platonists then, the world is divided into two realms, the spatiotemporal and the non-spatiotemporal</w:t>
      </w:r>
      <w:r w:rsidR="00A770AB">
        <w:t>,</w:t>
      </w:r>
      <w:r w:rsidR="00F67E6F">
        <w:t xml:space="preserve"> in such a way that what we perceiv</w:t>
      </w:r>
      <w:r w:rsidR="00A770AB">
        <w:t>e as the greenness of a leaf,</w:t>
      </w:r>
      <w:r w:rsidR="00F67E6F">
        <w:t xml:space="preserve"> ins</w:t>
      </w:r>
      <w:r w:rsidR="00A770AB">
        <w:t>tantiated in the leaf but existing</w:t>
      </w:r>
      <w:r w:rsidR="00F67E6F">
        <w:t xml:space="preserve"> independently of any particular leaf.</w:t>
      </w:r>
      <w:r w:rsidR="00F67E6F">
        <w:rPr>
          <w:rStyle w:val="FootnoteReference"/>
        </w:rPr>
        <w:footnoteReference w:id="21"/>
      </w:r>
      <w:r w:rsidR="00A85D37">
        <w:t xml:space="preserve"> </w:t>
      </w:r>
      <w:r w:rsidR="00F650A7">
        <w:t>This is because on a grammatical level</w:t>
      </w:r>
      <w:r w:rsidR="0093727A">
        <w:t>,</w:t>
      </w:r>
      <w:r w:rsidR="00F650A7">
        <w:t xml:space="preserve"> they</w:t>
      </w:r>
      <w:r w:rsidR="00A770AB">
        <w:t xml:space="preserve"> would argue</w:t>
      </w:r>
      <w:r w:rsidR="00F650A7">
        <w:t xml:space="preserve"> the predicates and sentences we use abo</w:t>
      </w:r>
      <w:r w:rsidR="003A763F">
        <w:t>ut a</w:t>
      </w:r>
      <w:r w:rsidR="00F650A7">
        <w:t xml:space="preserve"> particular</w:t>
      </w:r>
      <w:r w:rsidR="00A770AB">
        <w:t>,</w:t>
      </w:r>
      <w:r w:rsidR="00F650A7">
        <w:t xml:space="preserve"> in</w:t>
      </w:r>
      <w:r w:rsidR="003A763F">
        <w:t xml:space="preserve"> an attempt to characterise instantiated properties, </w:t>
      </w:r>
      <w:r w:rsidR="00F650A7">
        <w:t>to be constituents of abstract entities</w:t>
      </w:r>
      <w:r w:rsidR="003A763F">
        <w:t xml:space="preserve"> (the real form of that property or proposition)</w:t>
      </w:r>
      <w:r w:rsidR="00F650A7">
        <w:t xml:space="preserve"> that through the virtue</w:t>
      </w:r>
      <w:r w:rsidR="00A770AB">
        <w:t xml:space="preserve"> of the language structure are </w:t>
      </w:r>
      <w:r w:rsidR="00F650A7">
        <w:t>considered to be true</w:t>
      </w:r>
      <w:r w:rsidR="0093727A">
        <w:t xml:space="preserve"> if it fits with what we know of the world</w:t>
      </w:r>
      <w:r w:rsidR="003A763F">
        <w:t>.</w:t>
      </w:r>
      <w:r w:rsidR="003A763F">
        <w:rPr>
          <w:rStyle w:val="FootnoteReference"/>
        </w:rPr>
        <w:footnoteReference w:id="22"/>
      </w:r>
      <w:r w:rsidR="003A763F">
        <w:t xml:space="preserve"> T</w:t>
      </w:r>
      <w:r w:rsidR="00F650A7">
        <w:t>hat is</w:t>
      </w:r>
      <w:r w:rsidR="003A763F">
        <w:t>,</w:t>
      </w:r>
      <w:r w:rsidR="00F650A7">
        <w:t xml:space="preserve"> that the predicates and sentences are only logically possible due to the underlying propositions and properties that are instantiated in any particular sentence or object. </w:t>
      </w:r>
      <w:r w:rsidR="003A763F">
        <w:t>In this way</w:t>
      </w:r>
      <w:r w:rsidR="00A770AB">
        <w:t>,</w:t>
      </w:r>
      <w:r w:rsidR="003A763F">
        <w:t xml:space="preserve"> for a particular to </w:t>
      </w:r>
      <w:r w:rsidR="00A85D37">
        <w:t>possess</w:t>
      </w:r>
      <w:r w:rsidR="003A763F">
        <w:t xml:space="preserve"> identity is for it to be a cluster of </w:t>
      </w:r>
      <w:r w:rsidR="001B5A47">
        <w:t>instantiated</w:t>
      </w:r>
      <w:r w:rsidR="003A763F">
        <w:t xml:space="preserve"> characteristics </w:t>
      </w:r>
      <w:r w:rsidR="0093727A">
        <w:t>instantiated in reality.</w:t>
      </w:r>
    </w:p>
    <w:p w14:paraId="70201E61" w14:textId="64FCEFDE" w:rsidR="00171AFC" w:rsidRDefault="00A85D37" w:rsidP="00A85D37">
      <w:pPr>
        <w:ind w:firstLine="720"/>
      </w:pPr>
      <w:r>
        <w:t>P</w:t>
      </w:r>
      <w:r w:rsidR="00AF543B">
        <w:t>latonists</w:t>
      </w:r>
      <w:r w:rsidR="007F6148">
        <w:t xml:space="preserve"> argue </w:t>
      </w:r>
      <w:r w:rsidR="0093727A">
        <w:t>that within a sentence, there are p</w:t>
      </w:r>
      <w:r w:rsidR="00A770AB">
        <w:t>roperty tokens:</w:t>
      </w:r>
      <w:r w:rsidR="007F6148">
        <w:t xml:space="preserve"> the sounds and structure that make up a sentence</w:t>
      </w:r>
      <w:r w:rsidR="0093727A">
        <w:t>, the words we use, have intention that gives them coherency</w:t>
      </w:r>
      <w:r w:rsidR="00AF543B">
        <w:t xml:space="preserve"> and thus the words that we use are only tokens of the real abstract entity</w:t>
      </w:r>
      <w:r w:rsidR="0093727A">
        <w:t>.</w:t>
      </w:r>
      <w:r w:rsidR="00AF543B">
        <w:rPr>
          <w:rStyle w:val="FootnoteReference"/>
        </w:rPr>
        <w:footnoteReference w:id="23"/>
      </w:r>
      <w:r w:rsidR="0093727A">
        <w:t xml:space="preserve"> The sentence </w:t>
      </w:r>
      <w:r w:rsidR="00A770AB">
        <w:t>‘</w:t>
      </w:r>
      <w:r w:rsidR="0093727A">
        <w:t>the cat is black</w:t>
      </w:r>
      <w:r w:rsidR="00A770AB">
        <w:t>’</w:t>
      </w:r>
      <w:r w:rsidR="0093727A">
        <w:t xml:space="preserve"> has tokens, namely </w:t>
      </w:r>
      <w:r w:rsidR="00A770AB">
        <w:t>‘</w:t>
      </w:r>
      <w:r w:rsidR="0093727A">
        <w:t>cat</w:t>
      </w:r>
      <w:r w:rsidR="00A770AB">
        <w:t>’</w:t>
      </w:r>
      <w:r w:rsidR="0093727A">
        <w:t xml:space="preserve"> and </w:t>
      </w:r>
      <w:r w:rsidR="00A770AB">
        <w:t>‘</w:t>
      </w:r>
      <w:r w:rsidR="0093727A">
        <w:t>black</w:t>
      </w:r>
      <w:r w:rsidR="00A770AB">
        <w:t>’</w:t>
      </w:r>
      <w:r w:rsidR="0093727A">
        <w:t>. This token is an instantiation of ‘blackness’</w:t>
      </w:r>
      <w:r w:rsidR="00AF543B">
        <w:t>, the real abstract entity</w:t>
      </w:r>
      <w:r w:rsidR="0093727A">
        <w:t>. In this way there can be m</w:t>
      </w:r>
      <w:r w:rsidR="00AF543B">
        <w:t>any black cats yet only one abstract of cat and one of black that are</w:t>
      </w:r>
      <w:r w:rsidR="0093727A">
        <w:t xml:space="preserve"> insta</w:t>
      </w:r>
      <w:r w:rsidR="00AF543B">
        <w:t>n</w:t>
      </w:r>
      <w:r w:rsidR="0093727A">
        <w:t>tiated in</w:t>
      </w:r>
      <w:r w:rsidR="00AF543B">
        <w:t xml:space="preserve"> a</w:t>
      </w:r>
      <w:r w:rsidR="0093727A">
        <w:t xml:space="preserve"> </w:t>
      </w:r>
      <w:r w:rsidR="00AF543B">
        <w:t>particular cat that is</w:t>
      </w:r>
      <w:r w:rsidR="0093727A">
        <w:t xml:space="preserve"> black.</w:t>
      </w:r>
      <w:r w:rsidR="00AF543B">
        <w:t xml:space="preserve"> In this way it is not the sentence that points to a particular but the token that it expresses.</w:t>
      </w:r>
      <w:r w:rsidR="00AF543B">
        <w:rPr>
          <w:rStyle w:val="FootnoteReference"/>
        </w:rPr>
        <w:footnoteReference w:id="24"/>
      </w:r>
      <w:r w:rsidR="00AF543B">
        <w:t xml:space="preserve"> The strength of this view in discerning </w:t>
      </w:r>
      <w:r w:rsidR="00233401">
        <w:t>whether</w:t>
      </w:r>
      <w:r w:rsidR="00AF543B">
        <w:t xml:space="preserve"> particulars </w:t>
      </w:r>
      <w:r w:rsidR="00233401">
        <w:t>possess</w:t>
      </w:r>
      <w:r w:rsidR="00AF543B">
        <w:t xml:space="preserve"> properties is that it allows us to understand the properties of a </w:t>
      </w:r>
      <w:r w:rsidR="00233401">
        <w:t>particular</w:t>
      </w:r>
      <w:r w:rsidR="00AF543B">
        <w:t xml:space="preserve"> regardless of the expressions we clothe them in.</w:t>
      </w:r>
      <w:r w:rsidR="00233401">
        <w:t xml:space="preserve"> I can for example say that snow is white in two different languages, using different words and still express the same thing</w:t>
      </w:r>
      <w:r w:rsidR="00331B34">
        <w:t xml:space="preserve"> as both sentences are tokens of the properties ‘snow‘ and ‘white’</w:t>
      </w:r>
      <w:r w:rsidR="00233401">
        <w:t>.</w:t>
      </w:r>
      <w:r w:rsidR="00331B34">
        <w:rPr>
          <w:rStyle w:val="FootnoteReference"/>
        </w:rPr>
        <w:footnoteReference w:id="25"/>
      </w:r>
      <w:r w:rsidR="00233401">
        <w:t xml:space="preserve"> The problem with this view is that it gives no way o</w:t>
      </w:r>
      <w:r w:rsidR="00075BC1">
        <w:t>f knowing a thing as being distinct</w:t>
      </w:r>
      <w:r w:rsidR="00233401">
        <w:t>. I can talk about the properties of a particular but that does not tell me about how a particular is different from another of its kind. Ultimately neither nominalism nor Platonism alone seem to provide a mean</w:t>
      </w:r>
      <w:r w:rsidR="00075BC1">
        <w:t>s</w:t>
      </w:r>
      <w:r w:rsidR="00233401">
        <w:t xml:space="preserve"> to understand </w:t>
      </w:r>
      <w:r w:rsidR="00991E19">
        <w:t>whether</w:t>
      </w:r>
      <w:r w:rsidR="00233401">
        <w:t xml:space="preserve"> particulars actually posses</w:t>
      </w:r>
      <w:r w:rsidR="00991E19">
        <w:t>s</w:t>
      </w:r>
      <w:r w:rsidR="00233401">
        <w:t xml:space="preserve"> the properties that we predicate. Platonism focuses on a</w:t>
      </w:r>
      <w:r w:rsidR="00991E19">
        <w:t>n</w:t>
      </w:r>
      <w:r w:rsidR="00233401">
        <w:t xml:space="preserve"> abstract form of the p</w:t>
      </w:r>
      <w:r w:rsidR="00991E19">
        <w:t>roperties but gives us no way to know properties without the particulars instantiating;</w:t>
      </w:r>
      <w:r w:rsidR="00233401">
        <w:t xml:space="preserve"> nominalism explains how concepts</w:t>
      </w:r>
      <w:r w:rsidR="00075BC1">
        <w:t xml:space="preserve"> match perceptions and how our identification is based upon categorising particulars by their properties</w:t>
      </w:r>
      <w:r w:rsidR="00A770AB">
        <w:t>,</w:t>
      </w:r>
      <w:r w:rsidR="00075BC1">
        <w:t xml:space="preserve"> but if </w:t>
      </w:r>
      <w:r w:rsidR="007409B9">
        <w:t>those</w:t>
      </w:r>
      <w:r w:rsidR="00A770AB">
        <w:t xml:space="preserve"> properties do not</w:t>
      </w:r>
      <w:r w:rsidR="00075BC1">
        <w:t xml:space="preserve"> belong to the particular, then where do they reside</w:t>
      </w:r>
      <w:r w:rsidR="00233401">
        <w:t>? It would be impossible to discern one particular fro</w:t>
      </w:r>
      <w:r w:rsidR="00991E19">
        <w:t xml:space="preserve">m another without </w:t>
      </w:r>
      <w:r w:rsidR="00233401">
        <w:t>an understanding of the nature of the properties that compose different particulars.</w:t>
      </w:r>
      <w:r w:rsidR="00991E19">
        <w:t xml:space="preserve"> In the same way the concepts we have of a particular’s properties wou</w:t>
      </w:r>
      <w:r w:rsidR="0063494C">
        <w:t>ld be useless unless we had a means to tell them apart.</w:t>
      </w:r>
    </w:p>
    <w:p w14:paraId="5F6DA723" w14:textId="0A39766A" w:rsidR="00697B59" w:rsidRDefault="00991E19" w:rsidP="00075BC1">
      <w:pPr>
        <w:ind w:firstLine="720"/>
      </w:pPr>
      <w:r>
        <w:t xml:space="preserve">This naturally leads one to question whether it is possible to acquire knowledge of the relationship between particulars and properties without epistemological enquiry. Metaphysic enquiry that looks for the </w:t>
      </w:r>
      <w:r w:rsidR="00697B59">
        <w:t>‘</w:t>
      </w:r>
      <w:r>
        <w:t>basic</w:t>
      </w:r>
      <w:r w:rsidR="00697B59">
        <w:t>’</w:t>
      </w:r>
      <w:r>
        <w:t xml:space="preserve"> structure. It focuses on whether a property belongs in the ‘u</w:t>
      </w:r>
      <w:r w:rsidR="00A770AB">
        <w:t>ltimate structure of the world’. C</w:t>
      </w:r>
      <w:r>
        <w:t>an we know about them without justification, as they a</w:t>
      </w:r>
      <w:r w:rsidR="00A770AB">
        <w:t>re?</w:t>
      </w:r>
      <w:r>
        <w:t xml:space="preserve"> Epistemologi</w:t>
      </w:r>
      <w:r w:rsidR="00697B59">
        <w:t>cal knowledge, in regards to</w:t>
      </w:r>
      <w:r>
        <w:t xml:space="preserve"> </w:t>
      </w:r>
      <w:r w:rsidR="00697B59">
        <w:t>‘</w:t>
      </w:r>
      <w:r>
        <w:t>basicness</w:t>
      </w:r>
      <w:r w:rsidR="00697B59">
        <w:t>’</w:t>
      </w:r>
      <w:r>
        <w:t xml:space="preserve"> looks for the justification we have for our beliefs.</w:t>
      </w:r>
      <w:r>
        <w:rPr>
          <w:rStyle w:val="FootnoteReference"/>
        </w:rPr>
        <w:footnoteReference w:id="26"/>
      </w:r>
      <w:r w:rsidR="002C5EF6">
        <w:t xml:space="preserve"> </w:t>
      </w:r>
      <w:r>
        <w:t>I would argue that to enquire into the nature of particulars in relation to their properties th</w:t>
      </w:r>
      <w:r w:rsidR="002C5EF6">
        <w:t>at perception is</w:t>
      </w:r>
      <w:r w:rsidR="00C673B3">
        <w:t xml:space="preserve"> of paramount importance</w:t>
      </w:r>
      <w:r w:rsidR="00075BC1">
        <w:t xml:space="preserve">. Steiner in his </w:t>
      </w:r>
      <w:r w:rsidR="00C673B3">
        <w:t>‘</w:t>
      </w:r>
      <w:r w:rsidR="00075BC1">
        <w:t>philosophy of freedom</w:t>
      </w:r>
      <w:r w:rsidR="00C673B3">
        <w:t>’</w:t>
      </w:r>
      <w:r w:rsidR="00075BC1">
        <w:t xml:space="preserve"> approaches what he de</w:t>
      </w:r>
      <w:r w:rsidR="00600C18">
        <w:t xml:space="preserve">scribes as ‘monism of thought’. </w:t>
      </w:r>
      <w:r w:rsidR="00865057">
        <w:t>Steiner argues that thinking is ‘beyond subject and object’</w:t>
      </w:r>
      <w:r w:rsidR="00A93737">
        <w:t xml:space="preserve"> as subjects refer to themselves as subjects because of thinking and not the other way as it is responsible for the production of concepts</w:t>
      </w:r>
      <w:r w:rsidR="00075BC1">
        <w:t>.</w:t>
      </w:r>
      <w:r w:rsidR="00600C18">
        <w:rPr>
          <w:rStyle w:val="FootnoteReference"/>
        </w:rPr>
        <w:footnoteReference w:id="27"/>
      </w:r>
      <w:r w:rsidR="00600C18">
        <w:t xml:space="preserve"> F</w:t>
      </w:r>
      <w:r w:rsidR="002C5EF6">
        <w:t>rom this perspective</w:t>
      </w:r>
      <w:r w:rsidR="00600C18">
        <w:t>,</w:t>
      </w:r>
      <w:r w:rsidR="002C5EF6">
        <w:t xml:space="preserve"> it is thinking that links our individual perceptions with concepts that match the world</w:t>
      </w:r>
      <w:r w:rsidR="00CB2FBF">
        <w:t>.</w:t>
      </w:r>
      <w:r w:rsidR="002C5EF6">
        <w:rPr>
          <w:rStyle w:val="FootnoteReference"/>
        </w:rPr>
        <w:footnoteReference w:id="28"/>
      </w:r>
      <w:r w:rsidR="00CB2FBF">
        <w:t xml:space="preserve"> </w:t>
      </w:r>
      <w:r w:rsidR="00600C18">
        <w:t xml:space="preserve">To show this, Steiner </w:t>
      </w:r>
      <w:r w:rsidR="00865057">
        <w:t>illustrates the process of perception by showing the difference between concepts and what he calls percepts</w:t>
      </w:r>
      <w:r w:rsidR="00600C18">
        <w:t>.</w:t>
      </w:r>
      <w:r w:rsidR="002C5EF6">
        <w:t xml:space="preserve"> </w:t>
      </w:r>
      <w:r w:rsidR="00600C18">
        <w:t>A percept is the object of observation, the content that appears to our consciousness.</w:t>
      </w:r>
      <w:r w:rsidR="00600C18">
        <w:rPr>
          <w:rStyle w:val="FootnoteReference"/>
        </w:rPr>
        <w:footnoteReference w:id="29"/>
      </w:r>
      <w:r w:rsidR="00CB2FBF">
        <w:t xml:space="preserve"> In this way Steiner’s means of answering the question of possession of particulars is answered from two sides. Firstly in regards to the human organisation</w:t>
      </w:r>
      <w:r w:rsidR="00A93737">
        <w:t>,</w:t>
      </w:r>
      <w:r w:rsidR="00CB2FBF">
        <w:t xml:space="preserve"> Steiner notes that only a limited part of the universe</w:t>
      </w:r>
      <w:r w:rsidR="00697B59">
        <w:t xml:space="preserve"> can be given to us at one time. I</w:t>
      </w:r>
      <w:r w:rsidR="00CB2FBF">
        <w:t xml:space="preserve">f this was not the case we would not be able to create distinctions between ourselves and the world as all occurrences would pass continuously from one </w:t>
      </w:r>
      <w:r w:rsidR="00865057">
        <w:t xml:space="preserve">to another for us. There would be </w:t>
      </w:r>
      <w:r w:rsidR="00CB2FBF">
        <w:t>no means to discern occurrences or their properties</w:t>
      </w:r>
      <w:r w:rsidR="00C673B3">
        <w:t xml:space="preserve"> as the stream of events would have no loss of continu</w:t>
      </w:r>
      <w:r w:rsidR="00865057">
        <w:t>ity and there would be nothing separate</w:t>
      </w:r>
      <w:r w:rsidR="00C673B3">
        <w:t xml:space="preserve"> to compare it to.</w:t>
      </w:r>
      <w:r w:rsidR="00C673B3">
        <w:rPr>
          <w:rStyle w:val="FootnoteReference"/>
        </w:rPr>
        <w:footnoteReference w:id="30"/>
      </w:r>
      <w:r w:rsidR="00C673B3">
        <w:t xml:space="preserve"> </w:t>
      </w:r>
    </w:p>
    <w:p w14:paraId="648F4083" w14:textId="22AE50E1" w:rsidR="00FF2321" w:rsidRDefault="00C673B3" w:rsidP="00FF2321">
      <w:pPr>
        <w:ind w:firstLine="720"/>
      </w:pPr>
      <w:r>
        <w:t>In this way the important part is not what is possessed by a particular</w:t>
      </w:r>
      <w:r w:rsidR="00F02D81">
        <w:t xml:space="preserve"> as it is already in possession of every possible quality</w:t>
      </w:r>
      <w:r w:rsidR="00697B59">
        <w:t>, but</w:t>
      </w:r>
      <w:r>
        <w:t xml:space="preserve"> rather how is it that we are capable of knowing anything about it in relation to other particulars</w:t>
      </w:r>
      <w:r w:rsidR="00A93737">
        <w:t>. This, he argues, happens through perception and thinking</w:t>
      </w:r>
      <w:r w:rsidR="00865057">
        <w:t>.</w:t>
      </w:r>
      <w:r w:rsidR="00A93737">
        <w:rPr>
          <w:rStyle w:val="FootnoteReference"/>
        </w:rPr>
        <w:footnoteReference w:id="31"/>
      </w:r>
      <w:r w:rsidR="00A93737">
        <w:t xml:space="preserve"> </w:t>
      </w:r>
      <w:r w:rsidR="00F02D81">
        <w:t>One example given is a stone being thrown. If we analyse that stone and the way that it is travelling through the air we might find that it is travelling according to the laws that create what we understand as a parabola. I</w:t>
      </w:r>
      <w:r w:rsidR="00697B59">
        <w:t>n this way we would not see</w:t>
      </w:r>
      <w:r w:rsidR="00F02D81">
        <w:t xml:space="preserve"> the concept parabola being a property of the stone to be distinct from the stone itself. The parabola is the result of the way in which the stone was thrown</w:t>
      </w:r>
      <w:r w:rsidR="00697B59">
        <w:t xml:space="preserve"> and is part of the world phenomena as much as anything else. T</w:t>
      </w:r>
      <w:r w:rsidR="00F02D81">
        <w:t>he point is that we can only match the concept parabola with the percept of a stone being thrown, through the activity of thinking.</w:t>
      </w:r>
      <w:r w:rsidR="00F02D81">
        <w:rPr>
          <w:rStyle w:val="FootnoteReference"/>
        </w:rPr>
        <w:footnoteReference w:id="32"/>
      </w:r>
      <w:r w:rsidR="00697B59">
        <w:t xml:space="preserve"> Therefore, </w:t>
      </w:r>
      <w:r w:rsidR="00F02D81">
        <w:t>from this point of view concepts are singular. Steiner</w:t>
      </w:r>
      <w:r w:rsidR="00697B59">
        <w:t xml:space="preserve"> gives an example of a triangle:</w:t>
      </w:r>
      <w:r w:rsidR="00F02D81">
        <w:t xml:space="preserve"> it does not matter how one achieves an understanding of it, </w:t>
      </w:r>
      <w:r w:rsidR="007409B9">
        <w:t>and the</w:t>
      </w:r>
      <w:r w:rsidR="00F02D81">
        <w:t xml:space="preserve"> concept will be the same in A and B’s consciousness alike.</w:t>
      </w:r>
      <w:r w:rsidR="00F02D81">
        <w:rPr>
          <w:rStyle w:val="FootnoteReference"/>
        </w:rPr>
        <w:footnoteReference w:id="33"/>
      </w:r>
      <w:r w:rsidR="00F02D81">
        <w:t xml:space="preserve"> This is because the properties tha</w:t>
      </w:r>
      <w:r w:rsidR="007409B9">
        <w:t>t make</w:t>
      </w:r>
      <w:r w:rsidR="00697B59">
        <w:t xml:space="preserve"> a triangle the way it is, make</w:t>
      </w:r>
      <w:r w:rsidR="007409B9">
        <w:t xml:space="preserve"> it objective to</w:t>
      </w:r>
      <w:r w:rsidR="00F02D81">
        <w:t xml:space="preserve"> our perception of triangles</w:t>
      </w:r>
      <w:r w:rsidR="007409B9">
        <w:t xml:space="preserve"> as shapes with three angles</w:t>
      </w:r>
      <w:r w:rsidR="00697B59">
        <w:t>. W</w:t>
      </w:r>
      <w:r w:rsidR="00F02D81">
        <w:t>e can imagine different triangle</w:t>
      </w:r>
      <w:r w:rsidR="00697B59">
        <w:t>s but they will have three angles</w:t>
      </w:r>
      <w:r w:rsidR="00F02D81">
        <w:t xml:space="preserve">. We can question then, </w:t>
      </w:r>
      <w:r w:rsidR="007409B9">
        <w:t>whether</w:t>
      </w:r>
      <w:r w:rsidR="00F02D81">
        <w:t xml:space="preserve"> all concepts are </w:t>
      </w:r>
      <w:r w:rsidR="00697B59">
        <w:t>really singular. As shown above</w:t>
      </w:r>
      <w:r w:rsidR="00F02D81">
        <w:t xml:space="preserve"> </w:t>
      </w:r>
      <w:r w:rsidR="007409B9">
        <w:t>context</w:t>
      </w:r>
      <w:r w:rsidR="00F02D81">
        <w:t xml:space="preserve"> tends to define the meaning of a word</w:t>
      </w:r>
      <w:r w:rsidR="00697B59">
        <w:t>,</w:t>
      </w:r>
      <w:r w:rsidR="00F02D81">
        <w:t xml:space="preserve"> however concepts are described through words so in this way we could say that concepts are what we really mean by properties and that we </w:t>
      </w:r>
      <w:r w:rsidR="007409B9">
        <w:t>attach</w:t>
      </w:r>
      <w:r w:rsidR="00F02D81">
        <w:t xml:space="preserve"> them to something is a virtue of thinking and identifying. </w:t>
      </w:r>
    </w:p>
    <w:p w14:paraId="44CBB6E0" w14:textId="02F8D9E1" w:rsidR="00572366" w:rsidRDefault="00A93737" w:rsidP="00A93737">
      <w:pPr>
        <w:ind w:firstLine="720"/>
      </w:pPr>
      <w:r>
        <w:t xml:space="preserve">Lastly, </w:t>
      </w:r>
      <w:r w:rsidR="00F02D81">
        <w:t xml:space="preserve">I will question </w:t>
      </w:r>
      <w:r w:rsidR="00572366">
        <w:t>whether</w:t>
      </w:r>
      <w:r>
        <w:t xml:space="preserve"> a particular exists at all. </w:t>
      </w:r>
      <w:r w:rsidR="00572366">
        <w:t xml:space="preserve">We assume a particular to be distinguishable and knowable in such a way that we can identify its properties in accordance with things of a certain kind or things that are different from it, and how </w:t>
      </w:r>
      <w:r w:rsidR="007409B9">
        <w:t>continuous</w:t>
      </w:r>
      <w:r w:rsidR="00572366">
        <w:t xml:space="preserve"> it is</w:t>
      </w:r>
      <w:r>
        <w:t xml:space="preserve"> in time</w:t>
      </w:r>
      <w:r w:rsidR="00572366">
        <w:t>. What I wish to propose</w:t>
      </w:r>
      <w:r>
        <w:t>,</w:t>
      </w:r>
      <w:r w:rsidR="00572366">
        <w:t xml:space="preserve"> is that we can only speak of particulars in as far as we have other particulars to relate them to. </w:t>
      </w:r>
      <w:r w:rsidR="00697B59">
        <w:t xml:space="preserve">Let us </w:t>
      </w:r>
      <w:r w:rsidR="00572366">
        <w:t>say that A is a fractal. A fractal is composed of parts that are identical to the whole in such a way that we can say:</w:t>
      </w:r>
    </w:p>
    <w:p w14:paraId="1BDEF1DC" w14:textId="13B61F83" w:rsidR="00572366" w:rsidRDefault="00572366" w:rsidP="00A93737">
      <w:pPr>
        <w:ind w:firstLine="720"/>
      </w:pPr>
      <w:r>
        <w:t>A’s properties are identical with A as a particular.</w:t>
      </w:r>
    </w:p>
    <w:p w14:paraId="11B8A353" w14:textId="3F045BAE" w:rsidR="00572366" w:rsidRDefault="00572366" w:rsidP="00075BC1">
      <w:pPr>
        <w:ind w:firstLine="720"/>
      </w:pPr>
      <w:r>
        <w:t xml:space="preserve">In this way we identify A </w:t>
      </w:r>
      <w:r w:rsidR="00697B59">
        <w:t>as a particular even though</w:t>
      </w:r>
      <w:r>
        <w:t xml:space="preserve"> its properties are identical to it. However we are only able to do this if we have something else to compa</w:t>
      </w:r>
      <w:r w:rsidR="00697B59">
        <w:t>re it to</w:t>
      </w:r>
      <w:r w:rsidR="00A93737">
        <w:t>,</w:t>
      </w:r>
      <w:r w:rsidR="00697B59">
        <w:t xml:space="preserve"> namely</w:t>
      </w:r>
      <w:r>
        <w:t>:</w:t>
      </w:r>
    </w:p>
    <w:p w14:paraId="30945EFC" w14:textId="7CE707FF" w:rsidR="00572366" w:rsidRDefault="009649CE" w:rsidP="00572366">
      <w:pPr>
        <w:ind w:firstLine="720"/>
      </w:pPr>
      <w:r>
        <w:t>A is not B IFF A</w:t>
      </w:r>
      <w:r w:rsidR="00572366">
        <w:t xml:space="preserve"> Is distinct from B in every respect</w:t>
      </w:r>
    </w:p>
    <w:p w14:paraId="344E9394" w14:textId="31B7D627" w:rsidR="00572366" w:rsidRDefault="00572366" w:rsidP="00572366">
      <w:pPr>
        <w:ind w:firstLine="720"/>
      </w:pPr>
      <w:r>
        <w:t xml:space="preserve">If A has nothing to be compared to, if A is a totality, then we can only compare it to itself, this the law of identity: </w:t>
      </w:r>
    </w:p>
    <w:p w14:paraId="14B34D09" w14:textId="2F5CA1BC" w:rsidR="00572366" w:rsidRDefault="00572366" w:rsidP="00572366">
      <w:pPr>
        <w:ind w:firstLine="720"/>
      </w:pPr>
      <w:r>
        <w:t>For all A, A is identical with A</w:t>
      </w:r>
    </w:p>
    <w:p w14:paraId="26AE23A9" w14:textId="4992705B" w:rsidR="00572366" w:rsidRDefault="00572366" w:rsidP="00572366">
      <w:r>
        <w:t xml:space="preserve">Since we can only compare A with its properties and properties </w:t>
      </w:r>
      <w:r w:rsidR="009649CE">
        <w:t>are only identified in</w:t>
      </w:r>
      <w:r>
        <w:t xml:space="preserve"> particulars we have to question w</w:t>
      </w:r>
      <w:r w:rsidR="00697B59">
        <w:t>h</w:t>
      </w:r>
      <w:r>
        <w:t>ether:</w:t>
      </w:r>
    </w:p>
    <w:p w14:paraId="25E8604E" w14:textId="34CDE2BE" w:rsidR="00572366" w:rsidRDefault="00572366" w:rsidP="00572366">
      <w:r>
        <w:t>A: A is a property of itself which is a property of itself…..</w:t>
      </w:r>
    </w:p>
    <w:p w14:paraId="5980722E" w14:textId="32FE0F92" w:rsidR="00572366" w:rsidRDefault="00697B59" w:rsidP="00572366">
      <w:r>
        <w:t>B: A is p</w:t>
      </w:r>
      <w:r w:rsidR="00572366">
        <w:t>articular that can be compared to ‘not A’</w:t>
      </w:r>
    </w:p>
    <w:p w14:paraId="13B4332E" w14:textId="48E047F4" w:rsidR="00E9465C" w:rsidRDefault="00572366" w:rsidP="00B927DE">
      <w:pPr>
        <w:ind w:firstLine="720"/>
      </w:pPr>
      <w:r>
        <w:t>The first option leads to infinite regress and the second option only leads to re-affirmation of A as A is compared to ‘not A’ only means that there is A.  So we know that there is A</w:t>
      </w:r>
      <w:r w:rsidR="009649CE">
        <w:t>,</w:t>
      </w:r>
      <w:r>
        <w:t xml:space="preserve"> and we know that A cannot be</w:t>
      </w:r>
      <w:r w:rsidR="00E9465C">
        <w:t xml:space="preserve"> compared to anything that is not</w:t>
      </w:r>
      <w:r>
        <w:t>. Since we cannot compare i</w:t>
      </w:r>
      <w:r w:rsidR="00F41F10">
        <w:t>t to other particulars</w:t>
      </w:r>
      <w:r w:rsidR="00B927DE">
        <w:t xml:space="preserve"> (assuming A as the totality of all things)</w:t>
      </w:r>
      <w:r w:rsidR="00F41F10">
        <w:t xml:space="preserve"> and as</w:t>
      </w:r>
      <w:r>
        <w:t xml:space="preserve"> A as a particular is identical with its properties, we have more reas</w:t>
      </w:r>
      <w:r w:rsidR="009649CE">
        <w:t>on to argue that A is a substance than a particular as a particular assumes an underlying substance consisting of properties.</w:t>
      </w:r>
      <w:r>
        <w:t xml:space="preserve"> The real problem then i</w:t>
      </w:r>
      <w:r w:rsidR="00B927DE">
        <w:t xml:space="preserve">s asking what kind of </w:t>
      </w:r>
      <w:r w:rsidR="009649CE">
        <w:t>substance</w:t>
      </w:r>
      <w:r>
        <w:t xml:space="preserve"> A is.</w:t>
      </w:r>
      <w:r w:rsidR="00B927DE">
        <w:t xml:space="preserve"> In doing this all we can really assert is that A contains all properties</w:t>
      </w:r>
      <w:r w:rsidR="00E9465C">
        <w:t>,</w:t>
      </w:r>
      <w:r w:rsidR="00B927DE">
        <w:t xml:space="preserve"> therefore A is a substance made of infinite properties that can be particularised through thinking. In this way we are making a distinction between the properties that we behold the particulars they are expressed in and the underlying </w:t>
      </w:r>
      <w:r w:rsidR="009649CE">
        <w:t>substance which we shall call ‘A</w:t>
      </w:r>
      <w:r w:rsidR="00B927DE">
        <w:t>ness</w:t>
      </w:r>
      <w:r w:rsidR="009649CE">
        <w:t>’</w:t>
      </w:r>
      <w:r w:rsidR="00B927DE">
        <w:t xml:space="preserve">. </w:t>
      </w:r>
    </w:p>
    <w:p w14:paraId="001BCC70" w14:textId="29A9C6AD" w:rsidR="00B927DE" w:rsidRPr="00B927DE" w:rsidRDefault="00B927DE" w:rsidP="005B37A1">
      <w:pPr>
        <w:ind w:firstLine="720"/>
      </w:pPr>
      <w:r>
        <w:t>To conclude then, I would argue tha</w:t>
      </w:r>
      <w:r w:rsidR="00E9465C">
        <w:t>t it is reasonable to believe f</w:t>
      </w:r>
      <w:r>
        <w:t>r</w:t>
      </w:r>
      <w:r w:rsidR="00E9465C">
        <w:t>o</w:t>
      </w:r>
      <w:r>
        <w:t>m this point of view that the properties that are contained in particulars are possessed by them as they cannot be anywhere else but in the things themselves</w:t>
      </w:r>
      <w:r w:rsidR="00E9465C">
        <w:t>. A</w:t>
      </w:r>
      <w:r>
        <w:t>s there is nothing to compare the total substance to</w:t>
      </w:r>
      <w:r w:rsidR="00E9465C">
        <w:t>, it is</w:t>
      </w:r>
      <w:r>
        <w:t xml:space="preserve"> fair to assume </w:t>
      </w:r>
      <w:r w:rsidR="007409B9">
        <w:t>t</w:t>
      </w:r>
      <w:r>
        <w:t>hat the properties expressed in particulars are real</w:t>
      </w:r>
      <w:r w:rsidR="00E9465C">
        <w:t>, as</w:t>
      </w:r>
      <w:r>
        <w:t xml:space="preserve"> they are part of t</w:t>
      </w:r>
      <w:r w:rsidR="00E9465C">
        <w:t>he same substance;</w:t>
      </w:r>
      <w:r w:rsidR="007409B9">
        <w:t xml:space="preserve"> to deny thei</w:t>
      </w:r>
      <w:r>
        <w:t>r properties is to deny their existence. This is because our thinking is capable of discerning the properties of seemingly separate particulars in the world so that we may know them individually. Through recognition and separation, we acquire concepts that we are capable of verifying</w:t>
      </w:r>
      <w:r w:rsidR="007409B9">
        <w:t>. T</w:t>
      </w:r>
      <w:r>
        <w:t>he cont</w:t>
      </w:r>
      <w:r w:rsidR="009649CE">
        <w:t>ent of our perceptions happens</w:t>
      </w:r>
      <w:r>
        <w:t xml:space="preserve"> through sensations, by arranging that content with our think</w:t>
      </w:r>
      <w:r w:rsidR="007409B9">
        <w:t>ing</w:t>
      </w:r>
      <w:r w:rsidR="00E9465C">
        <w:t>,</w:t>
      </w:r>
      <w:r>
        <w:t xml:space="preserve"> we attach concepts that are valid and just to the thing that we are enquiring about. By doing so however</w:t>
      </w:r>
      <w:r w:rsidR="00E9465C">
        <w:t>,</w:t>
      </w:r>
      <w:r>
        <w:t xml:space="preserve"> we are limiting the </w:t>
      </w:r>
      <w:r w:rsidR="009649CE">
        <w:t>‘</w:t>
      </w:r>
      <w:r>
        <w:t>particular</w:t>
      </w:r>
      <w:r w:rsidR="009649CE">
        <w:t>’</w:t>
      </w:r>
      <w:r>
        <w:t xml:space="preserve"> f</w:t>
      </w:r>
      <w:r w:rsidR="00E9465C">
        <w:t>rom the totality from which it is</w:t>
      </w:r>
      <w:r>
        <w:t xml:space="preserve"> borne in. Consequentially, whilst we learn more about the properties of a </w:t>
      </w:r>
      <w:r w:rsidR="009649CE">
        <w:t>‘</w:t>
      </w:r>
      <w:r>
        <w:t>particular</w:t>
      </w:r>
      <w:r w:rsidR="009649CE">
        <w:t>’</w:t>
      </w:r>
      <w:r>
        <w:t xml:space="preserve"> in distinction to others </w:t>
      </w:r>
      <w:r w:rsidR="007409B9">
        <w:t>by enquiring about their properties over time and comparing them to other particulars of the kind or of a different kind</w:t>
      </w:r>
      <w:r>
        <w:t>. That we achieve a true knowledge of ind</w:t>
      </w:r>
      <w:r w:rsidR="007409B9">
        <w:t>escernibles then</w:t>
      </w:r>
      <w:r w:rsidR="00E9465C">
        <w:t>,</w:t>
      </w:r>
      <w:r w:rsidR="007409B9">
        <w:t xml:space="preserve"> is dependent on our ability to use our thinking in a way that the concepts that we have about the world are matching with reality. Finally</w:t>
      </w:r>
      <w:r w:rsidR="00E9465C">
        <w:t>,</w:t>
      </w:r>
      <w:r w:rsidR="007409B9">
        <w:t xml:space="preserve"> I will add that we can see this when we imagine. If I imagine the concept of unicorn</w:t>
      </w:r>
      <w:r w:rsidR="00E9465C">
        <w:t>,</w:t>
      </w:r>
      <w:r w:rsidR="007409B9">
        <w:t xml:space="preserve"> I am imagining two separate concepts that match </w:t>
      </w:r>
      <w:r w:rsidR="009649CE">
        <w:t>‘</w:t>
      </w:r>
      <w:r w:rsidR="007409B9">
        <w:t>particulars</w:t>
      </w:r>
      <w:r w:rsidR="009649CE">
        <w:t>’</w:t>
      </w:r>
      <w:r w:rsidR="007409B9">
        <w:t>, namely a horse and a horn. I may find no unicorns in the world</w:t>
      </w:r>
      <w:r w:rsidR="00E9465C">
        <w:t>,</w:t>
      </w:r>
      <w:r w:rsidR="007409B9">
        <w:t xml:space="preserve"> yet I can create a concept that matches nothing in the world. What this shows us is that if our concepts are</w:t>
      </w:r>
      <w:r w:rsidR="00E9465C">
        <w:t>,</w:t>
      </w:r>
      <w:r w:rsidR="007409B9">
        <w:t xml:space="preserve"> so to speak</w:t>
      </w:r>
      <w:r w:rsidR="00E9465C">
        <w:t>, true. I</w:t>
      </w:r>
      <w:r w:rsidR="007409B9">
        <w:t xml:space="preserve">f the properties are part of the </w:t>
      </w:r>
      <w:r w:rsidR="009649CE">
        <w:t>‘</w:t>
      </w:r>
      <w:r w:rsidR="007409B9">
        <w:t>particulars</w:t>
      </w:r>
      <w:r w:rsidR="009649CE">
        <w:t>’</w:t>
      </w:r>
      <w:r w:rsidR="00E9465C">
        <w:t xml:space="preserve"> we will find them in the world. I</w:t>
      </w:r>
      <w:r w:rsidR="007409B9">
        <w:t>f we are incapable</w:t>
      </w:r>
      <w:r w:rsidR="00E9465C">
        <w:t>,</w:t>
      </w:r>
      <w:r w:rsidR="007409B9">
        <w:t xml:space="preserve"> then we understand these to be an idea. Lastly</w:t>
      </w:r>
      <w:r w:rsidR="00E9465C">
        <w:t>,</w:t>
      </w:r>
      <w:r w:rsidR="007409B9">
        <w:t xml:space="preserve"> we have to ask the role of our perception in the phenomena of world events. If I see a rainbow</w:t>
      </w:r>
      <w:r w:rsidR="00E9465C">
        <w:t>,</w:t>
      </w:r>
      <w:r w:rsidR="007409B9">
        <w:t xml:space="preserve"> I know this rainbow does not possess the qualities of col</w:t>
      </w:r>
      <w:r w:rsidR="00E9465C">
        <w:t>our and spatiotemporal location.</w:t>
      </w:r>
      <w:r w:rsidR="007409B9">
        <w:t xml:space="preserve"> I know that these are created by my perception and the rain droplets in cloud and that the synthesis creates the appearance of a rainbow. Is the rainbow a particular or a property? If we look in the totality of the world without concepts</w:t>
      </w:r>
      <w:r w:rsidR="00E9465C">
        <w:t>,</w:t>
      </w:r>
      <w:r w:rsidR="007409B9">
        <w:t xml:space="preserve"> we are likely to say everything is a property of something else</w:t>
      </w:r>
      <w:r w:rsidR="00E9465C">
        <w:t>. B</w:t>
      </w:r>
      <w:r w:rsidR="007409B9">
        <w:t>ut when we isolate single things we have a reason to name them particulars since they are distinct from other objects in regards to quality and quantity. In this way</w:t>
      </w:r>
      <w:r w:rsidR="00E9465C">
        <w:t>,</w:t>
      </w:r>
      <w:r w:rsidR="007409B9">
        <w:t xml:space="preserve"> we are forced to realise the role of perception in identifying the state of possess</w:t>
      </w:r>
      <w:r w:rsidR="009649CE">
        <w:t>ion of properties by so called particulars</w:t>
      </w:r>
      <w:r w:rsidR="007409B9">
        <w:t>.</w:t>
      </w:r>
      <w:r>
        <w:t xml:space="preserve"> </w:t>
      </w:r>
      <w:r w:rsidR="00FF2321">
        <w:rPr>
          <w:rStyle w:val="FootnoteReference"/>
        </w:rPr>
        <w:footnoteReference w:id="34"/>
      </w:r>
    </w:p>
    <w:p w14:paraId="40C00041" w14:textId="77777777" w:rsidR="00FF2321" w:rsidRDefault="00FF2321" w:rsidP="005B37A1">
      <w:pPr>
        <w:jc w:val="center"/>
        <w:rPr>
          <w:rFonts w:ascii="Arial" w:hAnsi="Arial" w:cs="Arial"/>
          <w:b/>
          <w:sz w:val="44"/>
          <w:szCs w:val="44"/>
          <w:u w:val="single"/>
        </w:rPr>
      </w:pPr>
    </w:p>
    <w:p w14:paraId="557C0304" w14:textId="785A7178" w:rsidR="00572366" w:rsidRDefault="005B37A1" w:rsidP="005B37A1">
      <w:pPr>
        <w:jc w:val="center"/>
        <w:rPr>
          <w:rFonts w:ascii="Arial" w:hAnsi="Arial" w:cs="Arial"/>
          <w:b/>
          <w:sz w:val="44"/>
          <w:szCs w:val="44"/>
          <w:u w:val="single"/>
        </w:rPr>
      </w:pPr>
      <w:r w:rsidRPr="005B37A1">
        <w:rPr>
          <w:rFonts w:ascii="Arial" w:hAnsi="Arial" w:cs="Arial"/>
          <w:b/>
          <w:sz w:val="44"/>
          <w:szCs w:val="44"/>
          <w:u w:val="single"/>
        </w:rPr>
        <w:t>Bibliography</w:t>
      </w:r>
    </w:p>
    <w:p w14:paraId="782F3B33" w14:textId="77777777" w:rsidR="005B37A1" w:rsidRPr="005B37A1" w:rsidRDefault="005B37A1" w:rsidP="005B37A1">
      <w:pPr>
        <w:jc w:val="center"/>
        <w:rPr>
          <w:rFonts w:ascii="Arial" w:hAnsi="Arial" w:cs="Arial"/>
          <w:b/>
          <w:sz w:val="44"/>
          <w:szCs w:val="44"/>
          <w:u w:val="single"/>
        </w:rPr>
      </w:pPr>
    </w:p>
    <w:p w14:paraId="6614400B" w14:textId="2AB3FB87" w:rsidR="005B37A1" w:rsidRPr="005B37A1" w:rsidRDefault="005B37A1" w:rsidP="005B37A1">
      <w:r w:rsidRPr="005B37A1">
        <w:t>Hirsch,</w:t>
      </w:r>
      <w:r>
        <w:t xml:space="preserve"> Eli, </w:t>
      </w:r>
      <w:r w:rsidRPr="005B37A1">
        <w:rPr>
          <w:i/>
        </w:rPr>
        <w:t>The concept of identity</w:t>
      </w:r>
      <w:r w:rsidRPr="005B37A1">
        <w:t>, Oxford University Press 1982</w:t>
      </w:r>
    </w:p>
    <w:p w14:paraId="2D38E4D7" w14:textId="183444BA" w:rsidR="005B37A1" w:rsidRPr="005B37A1" w:rsidRDefault="005B37A1" w:rsidP="005B37A1">
      <w:r w:rsidRPr="005B37A1">
        <w:t>Jubien,</w:t>
      </w:r>
      <w:r>
        <w:t xml:space="preserve"> Michael,</w:t>
      </w:r>
      <w:r w:rsidRPr="005B37A1">
        <w:t xml:space="preserve"> </w:t>
      </w:r>
      <w:r w:rsidRPr="005B37A1">
        <w:rPr>
          <w:i/>
        </w:rPr>
        <w:t xml:space="preserve">Contemporary Metaphysics An introduction, </w:t>
      </w:r>
      <w:r w:rsidRPr="005B37A1">
        <w:t>Blackwell Publishers 1997,</w:t>
      </w:r>
    </w:p>
    <w:p w14:paraId="04C324B2" w14:textId="7462B57A" w:rsidR="005B37A1" w:rsidRDefault="005B37A1" w:rsidP="005B37A1">
      <w:r w:rsidRPr="005B37A1">
        <w:t xml:space="preserve">Loux, </w:t>
      </w:r>
      <w:r>
        <w:t xml:space="preserve">Michael, </w:t>
      </w:r>
      <w:r w:rsidRPr="005B37A1">
        <w:rPr>
          <w:i/>
        </w:rPr>
        <w:t>Universals and particulars Readings in ontologies</w:t>
      </w:r>
      <w:r w:rsidRPr="005B37A1">
        <w:t>, Anchor Books Doubleday &amp; Company Inc. Garden City, New York</w:t>
      </w:r>
    </w:p>
    <w:p w14:paraId="09D8FBE4" w14:textId="1F4444F6" w:rsidR="005B37A1" w:rsidRPr="005B37A1" w:rsidRDefault="005B37A1" w:rsidP="005B37A1">
      <w:pPr>
        <w:rPr>
          <w:rFonts w:cstheme="minorHAnsi"/>
          <w:lang w:val="cy-GB"/>
        </w:rPr>
      </w:pPr>
      <w:r w:rsidRPr="005B37A1">
        <w:rPr>
          <w:rFonts w:cstheme="minorHAnsi"/>
          <w:color w:val="252B2B"/>
          <w:lang w:val="en"/>
        </w:rPr>
        <w:t>Morgans</w:t>
      </w:r>
      <w:r w:rsidRPr="005B37A1">
        <w:rPr>
          <w:rFonts w:cstheme="minorHAnsi"/>
          <w:color w:val="252B2B"/>
          <w:lang w:val="en"/>
        </w:rPr>
        <w:t>, David,</w:t>
      </w:r>
      <w:r w:rsidRPr="005B37A1">
        <w:rPr>
          <w:rFonts w:cstheme="minorHAnsi"/>
          <w:color w:val="252B2B"/>
          <w:lang w:val="en"/>
        </w:rPr>
        <w:t xml:space="preserve"> 2012,</w:t>
      </w:r>
      <w:r w:rsidRPr="005B37A1">
        <w:rPr>
          <w:rStyle w:val="Emphasis"/>
          <w:rFonts w:cstheme="minorHAnsi"/>
          <w:color w:val="252B2B"/>
          <w:lang w:val="en"/>
        </w:rPr>
        <w:t xml:space="preserve"> Identity</w:t>
      </w:r>
      <w:bookmarkStart w:id="0" w:name="_GoBack"/>
      <w:bookmarkEnd w:id="0"/>
      <w:r w:rsidRPr="005B37A1">
        <w:rPr>
          <w:rStyle w:val="Emphasis"/>
          <w:rFonts w:cstheme="minorHAnsi"/>
          <w:color w:val="252B2B"/>
          <w:lang w:val="en"/>
        </w:rPr>
        <w:t xml:space="preserve">, persistence, and the ship of Theseus, </w:t>
      </w:r>
      <w:r w:rsidRPr="005B37A1">
        <w:rPr>
          <w:rFonts w:cstheme="minorHAnsi"/>
          <w:color w:val="252B2B"/>
          <w:lang w:val="en"/>
        </w:rPr>
        <w:t>PowerPoint presentation, Lampeter University, Lampeter.</w:t>
      </w:r>
    </w:p>
    <w:p w14:paraId="29699BDA" w14:textId="78F99C2F" w:rsidR="005B37A1" w:rsidRDefault="005B37A1" w:rsidP="005B37A1">
      <w:r w:rsidRPr="005B37A1">
        <w:rPr>
          <w:lang w:val="en"/>
        </w:rPr>
        <w:t>Morgans</w:t>
      </w:r>
      <w:r>
        <w:rPr>
          <w:lang w:val="en"/>
        </w:rPr>
        <w:t>, David,</w:t>
      </w:r>
      <w:r w:rsidRPr="005B37A1">
        <w:rPr>
          <w:lang w:val="en"/>
        </w:rPr>
        <w:t xml:space="preserve"> 2015,</w:t>
      </w:r>
      <w:r w:rsidRPr="005B37A1">
        <w:rPr>
          <w:rStyle w:val="Emphasis"/>
          <w:rFonts w:ascii="Arial" w:hAnsi="Arial" w:cs="Arial"/>
          <w:color w:val="252B2B"/>
          <w:lang w:val="en"/>
        </w:rPr>
        <w:t xml:space="preserve"> </w:t>
      </w:r>
      <w:r w:rsidRPr="005B37A1">
        <w:rPr>
          <w:rStyle w:val="Emphasis"/>
          <w:rFonts w:cstheme="minorHAnsi"/>
          <w:color w:val="252B2B"/>
          <w:lang w:val="en"/>
        </w:rPr>
        <w:t>Universals and Particulars 2015 1 version</w:t>
      </w:r>
      <w:r w:rsidRPr="005B37A1">
        <w:rPr>
          <w:rStyle w:val="Emphasis"/>
          <w:rFonts w:ascii="Arial" w:hAnsi="Arial" w:cs="Arial"/>
          <w:color w:val="252B2B"/>
          <w:lang w:val="en"/>
        </w:rPr>
        <w:t xml:space="preserve">, </w:t>
      </w:r>
      <w:r w:rsidRPr="005B37A1">
        <w:rPr>
          <w:lang w:val="en"/>
        </w:rPr>
        <w:t>PowerPoint presentation, Lampeter University, Lampeter</w:t>
      </w:r>
    </w:p>
    <w:p w14:paraId="40B01064" w14:textId="2B055574" w:rsidR="005B37A1" w:rsidRPr="005B37A1" w:rsidRDefault="005B37A1" w:rsidP="005B37A1">
      <w:r w:rsidRPr="005B37A1">
        <w:t>Steiner,</w:t>
      </w:r>
      <w:r w:rsidRPr="005B37A1">
        <w:t xml:space="preserve"> Rudolf</w:t>
      </w:r>
      <w:r>
        <w:rPr>
          <w:i/>
        </w:rPr>
        <w:t>,</w:t>
      </w:r>
      <w:r w:rsidRPr="005B37A1">
        <w:rPr>
          <w:i/>
        </w:rPr>
        <w:t xml:space="preserve"> The philosophy of Freedom (the philosophy of spiritual activity) The basis for a modern world conception, some results of introspective observation following the methods of Natural Science</w:t>
      </w:r>
      <w:r w:rsidRPr="005B37A1">
        <w:t>, Seventh English edition, Rudolf Steiner Press London</w:t>
      </w:r>
    </w:p>
    <w:p w14:paraId="526961A7" w14:textId="7AF3B6F7" w:rsidR="005B37A1" w:rsidRPr="005B37A1" w:rsidRDefault="005B37A1" w:rsidP="005B37A1">
      <w:pPr>
        <w:rPr>
          <w:lang w:val="cy-GB"/>
        </w:rPr>
      </w:pPr>
    </w:p>
    <w:sectPr w:rsidR="005B37A1" w:rsidRPr="005B37A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F1E30D" w14:textId="77777777" w:rsidR="00193E25" w:rsidRDefault="00193E25" w:rsidP="000C1645">
      <w:pPr>
        <w:spacing w:after="0" w:line="240" w:lineRule="auto"/>
      </w:pPr>
      <w:r>
        <w:separator/>
      </w:r>
    </w:p>
  </w:endnote>
  <w:endnote w:type="continuationSeparator" w:id="0">
    <w:p w14:paraId="0F63BBF4" w14:textId="77777777" w:rsidR="00193E25" w:rsidRDefault="00193E25" w:rsidP="000C1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3758101"/>
      <w:docPartObj>
        <w:docPartGallery w:val="Page Numbers (Bottom of Page)"/>
        <w:docPartUnique/>
      </w:docPartObj>
    </w:sdtPr>
    <w:sdtEndPr>
      <w:rPr>
        <w:noProof/>
      </w:rPr>
    </w:sdtEndPr>
    <w:sdtContent>
      <w:p w14:paraId="417DE9ED" w14:textId="21FF1117" w:rsidR="00A85D37" w:rsidRDefault="00A85D37">
        <w:pPr>
          <w:pStyle w:val="Footer"/>
          <w:jc w:val="right"/>
        </w:pPr>
        <w:r>
          <w:fldChar w:fldCharType="begin"/>
        </w:r>
        <w:r>
          <w:instrText xml:space="preserve"> PAGE   \* MERGEFORMAT </w:instrText>
        </w:r>
        <w:r>
          <w:fldChar w:fldCharType="separate"/>
        </w:r>
        <w:r w:rsidR="00D2685B">
          <w:rPr>
            <w:noProof/>
          </w:rPr>
          <w:t>1</w:t>
        </w:r>
        <w:r>
          <w:rPr>
            <w:noProof/>
          </w:rPr>
          <w:fldChar w:fldCharType="end"/>
        </w:r>
      </w:p>
    </w:sdtContent>
  </w:sdt>
  <w:p w14:paraId="1683FBAC" w14:textId="77777777" w:rsidR="00A85D37" w:rsidRDefault="00A85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891DAC" w14:textId="77777777" w:rsidR="00193E25" w:rsidRDefault="00193E25" w:rsidP="000C1645">
      <w:pPr>
        <w:spacing w:after="0" w:line="240" w:lineRule="auto"/>
      </w:pPr>
      <w:r>
        <w:separator/>
      </w:r>
    </w:p>
  </w:footnote>
  <w:footnote w:type="continuationSeparator" w:id="0">
    <w:p w14:paraId="74E0BC16" w14:textId="77777777" w:rsidR="00193E25" w:rsidRDefault="00193E25" w:rsidP="000C1645">
      <w:pPr>
        <w:spacing w:after="0" w:line="240" w:lineRule="auto"/>
      </w:pPr>
      <w:r>
        <w:continuationSeparator/>
      </w:r>
    </w:p>
  </w:footnote>
  <w:footnote w:id="1">
    <w:p w14:paraId="54F2669E" w14:textId="7ABBE245" w:rsidR="00AE03D0" w:rsidRDefault="00AE03D0">
      <w:pPr>
        <w:pStyle w:val="FootnoteText"/>
      </w:pPr>
      <w:r>
        <w:rPr>
          <w:rStyle w:val="FootnoteReference"/>
        </w:rPr>
        <w:footnoteRef/>
      </w:r>
      <w:r>
        <w:t xml:space="preserve"> </w:t>
      </w:r>
      <w:r w:rsidR="00E170C5">
        <w:t xml:space="preserve">Eli </w:t>
      </w:r>
      <w:r>
        <w:t>Hirsch</w:t>
      </w:r>
      <w:r w:rsidR="00E170C5">
        <w:t xml:space="preserve">, </w:t>
      </w:r>
      <w:r w:rsidR="00E170C5" w:rsidRPr="00E170C5">
        <w:rPr>
          <w:i/>
        </w:rPr>
        <w:t>The concept of identity</w:t>
      </w:r>
      <w:r w:rsidR="00E170C5">
        <w:t>, Oxford University Press 1982, pp.7-9</w:t>
      </w:r>
      <w:r w:rsidR="00C56C93">
        <w:t>.</w:t>
      </w:r>
    </w:p>
  </w:footnote>
  <w:footnote w:id="2">
    <w:p w14:paraId="56A5A43E" w14:textId="6713C637" w:rsidR="00E170C5" w:rsidRDefault="00E170C5">
      <w:pPr>
        <w:pStyle w:val="FootnoteText"/>
      </w:pPr>
      <w:r>
        <w:rPr>
          <w:rStyle w:val="FootnoteReference"/>
        </w:rPr>
        <w:footnoteRef/>
      </w:r>
      <w:r>
        <w:t xml:space="preserve"> </w:t>
      </w:r>
      <w:r w:rsidRPr="00C56C93">
        <w:rPr>
          <w:rFonts w:cstheme="minorHAnsi"/>
          <w:color w:val="252B2B"/>
          <w:sz w:val="19"/>
          <w:szCs w:val="19"/>
          <w:lang w:val="en"/>
        </w:rPr>
        <w:t>David Morgans 2012,</w:t>
      </w:r>
      <w:r w:rsidRPr="00C56C93">
        <w:rPr>
          <w:rStyle w:val="Emphasis"/>
          <w:rFonts w:cstheme="minorHAnsi"/>
          <w:color w:val="252B2B"/>
          <w:sz w:val="19"/>
          <w:szCs w:val="19"/>
          <w:lang w:val="en"/>
        </w:rPr>
        <w:t xml:space="preserve"> Identity, persistence, and the ship of Theseus, </w:t>
      </w:r>
      <w:r w:rsidRPr="00C56C93">
        <w:rPr>
          <w:rFonts w:cstheme="minorHAnsi"/>
          <w:color w:val="252B2B"/>
          <w:sz w:val="19"/>
          <w:szCs w:val="19"/>
          <w:lang w:val="en"/>
        </w:rPr>
        <w:t>Power</w:t>
      </w:r>
      <w:r w:rsidR="00C56C93" w:rsidRPr="00C56C93">
        <w:rPr>
          <w:rFonts w:cstheme="minorHAnsi"/>
          <w:color w:val="252B2B"/>
          <w:sz w:val="19"/>
          <w:szCs w:val="19"/>
          <w:lang w:val="en"/>
        </w:rPr>
        <w:t>Point presentation, Lampeter University, Lampeter.</w:t>
      </w:r>
    </w:p>
  </w:footnote>
  <w:footnote w:id="3">
    <w:p w14:paraId="13280337" w14:textId="219ABC58" w:rsidR="00C56C93" w:rsidRDefault="00C56C93">
      <w:pPr>
        <w:pStyle w:val="FootnoteText"/>
      </w:pPr>
      <w:r>
        <w:rPr>
          <w:rStyle w:val="FootnoteReference"/>
        </w:rPr>
        <w:footnoteRef/>
      </w:r>
      <w:r>
        <w:t xml:space="preserve"> Ibid.</w:t>
      </w:r>
    </w:p>
  </w:footnote>
  <w:footnote w:id="4">
    <w:p w14:paraId="7257A9D7" w14:textId="4943EB55" w:rsidR="00A97119" w:rsidRDefault="00A97119">
      <w:pPr>
        <w:pStyle w:val="FootnoteText"/>
      </w:pPr>
      <w:r>
        <w:rPr>
          <w:rStyle w:val="FootnoteReference"/>
        </w:rPr>
        <w:footnoteRef/>
      </w:r>
      <w:r w:rsidR="00C56C93">
        <w:t xml:space="preserve"> Michael J. Loux, Universals and particulars Readings in ontologies, Anchor Books Doubleday &amp; Company Inc. Garden City, New York, pp.189-203</w:t>
      </w:r>
      <w:r w:rsidR="00027EDF">
        <w:t>.</w:t>
      </w:r>
    </w:p>
  </w:footnote>
  <w:footnote w:id="5">
    <w:p w14:paraId="281B9345" w14:textId="6E024D00" w:rsidR="000C1645" w:rsidRDefault="000C1645">
      <w:pPr>
        <w:pStyle w:val="FootnoteText"/>
      </w:pPr>
      <w:r>
        <w:rPr>
          <w:rStyle w:val="FootnoteReference"/>
        </w:rPr>
        <w:footnoteRef/>
      </w:r>
      <w:r w:rsidR="00117A6A">
        <w:t xml:space="preserve"> </w:t>
      </w:r>
      <w:r w:rsidR="00C56C93">
        <w:t xml:space="preserve">Eli Hirsch, </w:t>
      </w:r>
      <w:r w:rsidR="00C56C93" w:rsidRPr="00E170C5">
        <w:rPr>
          <w:i/>
        </w:rPr>
        <w:t>The concept of identity</w:t>
      </w:r>
      <w:r w:rsidR="00C56C93">
        <w:t>, Oxford University Press 1982, pp.7-9</w:t>
      </w:r>
      <w:r w:rsidR="00027EDF">
        <w:t>.</w:t>
      </w:r>
    </w:p>
  </w:footnote>
  <w:footnote w:id="6">
    <w:p w14:paraId="44ED82C7" w14:textId="7667BC46" w:rsidR="00117A6A" w:rsidRDefault="00117A6A">
      <w:pPr>
        <w:pStyle w:val="FootnoteText"/>
      </w:pPr>
      <w:r>
        <w:rPr>
          <w:rStyle w:val="FootnoteReference"/>
        </w:rPr>
        <w:footnoteRef/>
      </w:r>
      <w:r>
        <w:t xml:space="preserve"> </w:t>
      </w:r>
      <w:r w:rsidR="00331B34">
        <w:t>Ibid.</w:t>
      </w:r>
      <w:r w:rsidR="00027EDF">
        <w:t xml:space="preserve"> pp.16-19.</w:t>
      </w:r>
    </w:p>
  </w:footnote>
  <w:footnote w:id="7">
    <w:p w14:paraId="7DD5C1FE" w14:textId="6DDDC5C1" w:rsidR="00027EDF" w:rsidRDefault="00027EDF">
      <w:pPr>
        <w:pStyle w:val="FootnoteText"/>
      </w:pPr>
      <w:r>
        <w:rPr>
          <w:rStyle w:val="FootnoteReference"/>
        </w:rPr>
        <w:footnoteRef/>
      </w:r>
      <w:r>
        <w:t xml:space="preserve"> </w:t>
      </w:r>
      <w:r w:rsidRPr="00C56C93">
        <w:rPr>
          <w:rFonts w:cstheme="minorHAnsi"/>
          <w:color w:val="252B2B"/>
          <w:sz w:val="19"/>
          <w:szCs w:val="19"/>
          <w:lang w:val="en"/>
        </w:rPr>
        <w:t>David Morgans 2012,</w:t>
      </w:r>
      <w:r w:rsidRPr="00C56C93">
        <w:rPr>
          <w:rStyle w:val="Emphasis"/>
          <w:rFonts w:cstheme="minorHAnsi"/>
          <w:color w:val="252B2B"/>
          <w:sz w:val="19"/>
          <w:szCs w:val="19"/>
          <w:lang w:val="en"/>
        </w:rPr>
        <w:t xml:space="preserve"> Identity, persistence, and the ship of Theseus, </w:t>
      </w:r>
      <w:r w:rsidRPr="00C56C93">
        <w:rPr>
          <w:rFonts w:cstheme="minorHAnsi"/>
          <w:color w:val="252B2B"/>
          <w:sz w:val="19"/>
          <w:szCs w:val="19"/>
          <w:lang w:val="en"/>
        </w:rPr>
        <w:t>PowerPoint presentation, Lampeter University, Lampeter.</w:t>
      </w:r>
    </w:p>
  </w:footnote>
  <w:footnote w:id="8">
    <w:p w14:paraId="66BED56C" w14:textId="617EE670" w:rsidR="00A97119" w:rsidRDefault="00A97119">
      <w:pPr>
        <w:pStyle w:val="FootnoteText"/>
      </w:pPr>
      <w:r>
        <w:rPr>
          <w:rStyle w:val="FootnoteReference"/>
        </w:rPr>
        <w:footnoteRef/>
      </w:r>
      <w:r>
        <w:t xml:space="preserve"> </w:t>
      </w:r>
      <w:r w:rsidR="00027EDF">
        <w:t xml:space="preserve">Michael J. Loux, </w:t>
      </w:r>
      <w:r w:rsidR="00027EDF" w:rsidRPr="00E96EE5">
        <w:rPr>
          <w:i/>
        </w:rPr>
        <w:t>Universals and particulars Readings in ontologies</w:t>
      </w:r>
      <w:r w:rsidR="00027EDF">
        <w:t>, Anchor Books Doubleday &amp; Company Inc. Garden City, New York, pp.189-203.</w:t>
      </w:r>
    </w:p>
  </w:footnote>
  <w:footnote w:id="9">
    <w:p w14:paraId="41E5BEC5" w14:textId="741B4BDD" w:rsidR="00027EDF" w:rsidRDefault="00027EDF">
      <w:pPr>
        <w:pStyle w:val="FootnoteText"/>
      </w:pPr>
      <w:r>
        <w:rPr>
          <w:rStyle w:val="FootnoteReference"/>
        </w:rPr>
        <w:footnoteRef/>
      </w:r>
      <w:r>
        <w:t xml:space="preserve"> This is a problem because identity is meant to be a persistent aspect of particulars despite change.</w:t>
      </w:r>
    </w:p>
  </w:footnote>
  <w:footnote w:id="10">
    <w:p w14:paraId="420E74DD" w14:textId="7D534437" w:rsidR="00CD6D90" w:rsidRDefault="00CD6D90">
      <w:pPr>
        <w:pStyle w:val="FootnoteText"/>
      </w:pPr>
      <w:r>
        <w:rPr>
          <w:rStyle w:val="FootnoteReference"/>
        </w:rPr>
        <w:footnoteRef/>
      </w:r>
      <w:r w:rsidR="00E96EE5">
        <w:t xml:space="preserve">Michael </w:t>
      </w:r>
      <w:r>
        <w:t>Jubien</w:t>
      </w:r>
      <w:r w:rsidR="00E96EE5">
        <w:t xml:space="preserve">, </w:t>
      </w:r>
      <w:r w:rsidR="00E96EE5">
        <w:rPr>
          <w:i/>
        </w:rPr>
        <w:t xml:space="preserve">Contemporary Metaphysics An introduction, </w:t>
      </w:r>
      <w:r w:rsidR="00E96EE5">
        <w:t>Blackwell Publishers 1997, pp.36-</w:t>
      </w:r>
      <w:r>
        <w:t>37</w:t>
      </w:r>
      <w:r w:rsidR="00E96EE5">
        <w:t>.</w:t>
      </w:r>
      <w:r>
        <w:t xml:space="preserve"> </w:t>
      </w:r>
    </w:p>
  </w:footnote>
  <w:footnote w:id="11">
    <w:p w14:paraId="35D26049" w14:textId="77777777" w:rsidR="00E96EE5" w:rsidRDefault="00E96EE5" w:rsidP="00E96EE5">
      <w:pPr>
        <w:pStyle w:val="FootnoteText"/>
      </w:pPr>
      <w:r>
        <w:rPr>
          <w:rStyle w:val="FootnoteReference"/>
        </w:rPr>
        <w:footnoteRef/>
      </w:r>
      <w:r>
        <w:t xml:space="preserve"> </w:t>
      </w:r>
      <w:r w:rsidRPr="00C56C93">
        <w:rPr>
          <w:rFonts w:cstheme="minorHAnsi"/>
          <w:color w:val="252B2B"/>
          <w:sz w:val="19"/>
          <w:szCs w:val="19"/>
          <w:lang w:val="en"/>
        </w:rPr>
        <w:t>David Morgans</w:t>
      </w:r>
      <w:r>
        <w:rPr>
          <w:rFonts w:cstheme="minorHAnsi"/>
          <w:color w:val="252B2B"/>
          <w:sz w:val="19"/>
          <w:szCs w:val="19"/>
          <w:lang w:val="en"/>
        </w:rPr>
        <w:t xml:space="preserve"> 2015</w:t>
      </w:r>
      <w:r w:rsidRPr="00C56C93">
        <w:rPr>
          <w:rFonts w:cstheme="minorHAnsi"/>
          <w:color w:val="252B2B"/>
          <w:sz w:val="19"/>
          <w:szCs w:val="19"/>
          <w:lang w:val="en"/>
        </w:rPr>
        <w:t>,</w:t>
      </w:r>
      <w:r w:rsidRPr="00C56C93">
        <w:rPr>
          <w:rStyle w:val="Emphasis"/>
          <w:rFonts w:cstheme="minorHAnsi"/>
          <w:color w:val="252B2B"/>
          <w:sz w:val="19"/>
          <w:szCs w:val="19"/>
          <w:lang w:val="en"/>
        </w:rPr>
        <w:t xml:space="preserve"> </w:t>
      </w:r>
      <w:r>
        <w:rPr>
          <w:rStyle w:val="Emphasis"/>
          <w:rFonts w:cstheme="minorHAnsi"/>
          <w:color w:val="252B2B"/>
          <w:sz w:val="19"/>
          <w:szCs w:val="19"/>
          <w:lang w:val="en"/>
        </w:rPr>
        <w:t>Universals and Particulars 2015 1 version</w:t>
      </w:r>
      <w:r w:rsidRPr="00C56C93">
        <w:rPr>
          <w:rStyle w:val="Emphasis"/>
          <w:rFonts w:cstheme="minorHAnsi"/>
          <w:color w:val="252B2B"/>
          <w:sz w:val="19"/>
          <w:szCs w:val="19"/>
          <w:lang w:val="en"/>
        </w:rPr>
        <w:t xml:space="preserve">, </w:t>
      </w:r>
      <w:r w:rsidRPr="00C56C93">
        <w:rPr>
          <w:rFonts w:cstheme="minorHAnsi"/>
          <w:color w:val="252B2B"/>
          <w:sz w:val="19"/>
          <w:szCs w:val="19"/>
          <w:lang w:val="en"/>
        </w:rPr>
        <w:t>PowerPoint presentation, Lampeter University, Lampeter</w:t>
      </w:r>
      <w:r>
        <w:rPr>
          <w:rFonts w:cstheme="minorHAnsi"/>
          <w:color w:val="252B2B"/>
          <w:sz w:val="19"/>
          <w:szCs w:val="19"/>
          <w:lang w:val="en"/>
        </w:rPr>
        <w:t>, Slide 13.</w:t>
      </w:r>
    </w:p>
  </w:footnote>
  <w:footnote w:id="12">
    <w:p w14:paraId="623E6D0C" w14:textId="47FA7950" w:rsidR="00CD6D90" w:rsidRDefault="00CD6D90" w:rsidP="00E96EE5">
      <w:pPr>
        <w:pStyle w:val="FootnoteText"/>
      </w:pPr>
      <w:r>
        <w:rPr>
          <w:rStyle w:val="FootnoteReference"/>
        </w:rPr>
        <w:footnoteRef/>
      </w:r>
      <w:r>
        <w:t xml:space="preserve"> </w:t>
      </w:r>
      <w:r w:rsidR="00E96EE5">
        <w:t xml:space="preserve">Michael J. Loux, </w:t>
      </w:r>
      <w:r w:rsidR="00E96EE5" w:rsidRPr="00E96EE5">
        <w:rPr>
          <w:i/>
        </w:rPr>
        <w:t>Universals and particulars Readings in ontologies</w:t>
      </w:r>
      <w:r w:rsidR="00E96EE5">
        <w:t>, Anchor Books Doubleday &amp; Company Inc. Garden City, New York, pp.189-203.</w:t>
      </w:r>
    </w:p>
  </w:footnote>
  <w:footnote w:id="13">
    <w:p w14:paraId="0FEA432C" w14:textId="5E3BACD0" w:rsidR="00C27B35" w:rsidRDefault="00C27B35">
      <w:pPr>
        <w:pStyle w:val="FootnoteText"/>
      </w:pPr>
      <w:r>
        <w:rPr>
          <w:rStyle w:val="FootnoteReference"/>
        </w:rPr>
        <w:footnoteRef/>
      </w:r>
      <w:r>
        <w:t xml:space="preserve"> </w:t>
      </w:r>
      <w:r w:rsidR="000C2506">
        <w:t>Ibid.</w:t>
      </w:r>
    </w:p>
  </w:footnote>
  <w:footnote w:id="14">
    <w:p w14:paraId="291FB259" w14:textId="72AF1F13" w:rsidR="00EE0FD7" w:rsidRDefault="00EE0FD7">
      <w:pPr>
        <w:pStyle w:val="FootnoteText"/>
      </w:pPr>
      <w:r>
        <w:rPr>
          <w:rStyle w:val="FootnoteReference"/>
        </w:rPr>
        <w:footnoteRef/>
      </w:r>
      <w:r>
        <w:t xml:space="preserve"> </w:t>
      </w:r>
      <w:r w:rsidR="000C2506">
        <w:t>Ibid.</w:t>
      </w:r>
    </w:p>
  </w:footnote>
  <w:footnote w:id="15">
    <w:p w14:paraId="4009BF1F" w14:textId="2966E7DC" w:rsidR="00171AFC" w:rsidRDefault="00171AFC">
      <w:pPr>
        <w:pStyle w:val="FootnoteText"/>
      </w:pPr>
      <w:r>
        <w:rPr>
          <w:rStyle w:val="FootnoteReference"/>
        </w:rPr>
        <w:footnoteRef/>
      </w:r>
      <w:r>
        <w:t xml:space="preserve"> </w:t>
      </w:r>
      <w:r w:rsidR="000C2506">
        <w:t>Ibid.</w:t>
      </w:r>
    </w:p>
  </w:footnote>
  <w:footnote w:id="16">
    <w:p w14:paraId="50F5EA58" w14:textId="62F4F778" w:rsidR="008474BE" w:rsidRDefault="008474BE">
      <w:pPr>
        <w:pStyle w:val="FootnoteText"/>
      </w:pPr>
      <w:r>
        <w:rPr>
          <w:rStyle w:val="FootnoteReference"/>
        </w:rPr>
        <w:footnoteRef/>
      </w:r>
      <w:r>
        <w:t xml:space="preserve"> </w:t>
      </w:r>
      <w:r w:rsidR="000C2506">
        <w:t>Ibid.</w:t>
      </w:r>
    </w:p>
  </w:footnote>
  <w:footnote w:id="17">
    <w:p w14:paraId="052C02E5" w14:textId="69C3FEEF" w:rsidR="0014565B" w:rsidRDefault="0014565B">
      <w:pPr>
        <w:pStyle w:val="FootnoteText"/>
      </w:pPr>
      <w:r>
        <w:rPr>
          <w:rStyle w:val="FootnoteReference"/>
        </w:rPr>
        <w:footnoteRef/>
      </w:r>
      <w:r>
        <w:t xml:space="preserve"> </w:t>
      </w:r>
      <w:r w:rsidR="000C2506">
        <w:t>Ibid.</w:t>
      </w:r>
    </w:p>
  </w:footnote>
  <w:footnote w:id="18">
    <w:p w14:paraId="0477C544" w14:textId="02DD3AC8" w:rsidR="00171AFC" w:rsidRDefault="00171AFC">
      <w:pPr>
        <w:pStyle w:val="FootnoteText"/>
      </w:pPr>
      <w:r>
        <w:rPr>
          <w:rStyle w:val="FootnoteReference"/>
        </w:rPr>
        <w:footnoteRef/>
      </w:r>
      <w:r>
        <w:t xml:space="preserve"> </w:t>
      </w:r>
      <w:r w:rsidR="000C2506">
        <w:t>Ibid.</w:t>
      </w:r>
    </w:p>
  </w:footnote>
  <w:footnote w:id="19">
    <w:p w14:paraId="7CFFEDA0" w14:textId="77777777" w:rsidR="000C2506" w:rsidRDefault="000C2506" w:rsidP="000C2506">
      <w:pPr>
        <w:pStyle w:val="FootnoteText"/>
      </w:pPr>
      <w:r>
        <w:rPr>
          <w:rStyle w:val="FootnoteReference"/>
        </w:rPr>
        <w:footnoteRef/>
      </w:r>
      <w:r>
        <w:t xml:space="preserve"> Ibid.</w:t>
      </w:r>
    </w:p>
  </w:footnote>
  <w:footnote w:id="20">
    <w:p w14:paraId="4066E684" w14:textId="4BF051B7" w:rsidR="00416E9B" w:rsidRDefault="00416E9B">
      <w:pPr>
        <w:pStyle w:val="FootnoteText"/>
      </w:pPr>
      <w:r>
        <w:rPr>
          <w:rStyle w:val="FootnoteReference"/>
        </w:rPr>
        <w:footnoteRef/>
      </w:r>
      <w:r>
        <w:t xml:space="preserve"> </w:t>
      </w:r>
      <w:r w:rsidR="00331B34">
        <w:t>Ibid.</w:t>
      </w:r>
    </w:p>
  </w:footnote>
  <w:footnote w:id="21">
    <w:p w14:paraId="46A61EC9" w14:textId="489D5928" w:rsidR="00F67E6F" w:rsidRDefault="00F67E6F" w:rsidP="00331B34">
      <w:pPr>
        <w:pStyle w:val="FootnoteText"/>
      </w:pPr>
      <w:r>
        <w:rPr>
          <w:rStyle w:val="FootnoteReference"/>
        </w:rPr>
        <w:footnoteRef/>
      </w:r>
      <w:r>
        <w:t xml:space="preserve"> </w:t>
      </w:r>
      <w:r w:rsidR="00331B34">
        <w:t xml:space="preserve">Michael Jubien, </w:t>
      </w:r>
      <w:r w:rsidR="00331B34">
        <w:rPr>
          <w:i/>
        </w:rPr>
        <w:t xml:space="preserve">Contemporary Metaphysics An introduction, </w:t>
      </w:r>
      <w:r w:rsidR="00331B34">
        <w:t>Blackwell Publishers 1997, pp.29-31.</w:t>
      </w:r>
    </w:p>
  </w:footnote>
  <w:footnote w:id="22">
    <w:p w14:paraId="6DF7E4C7" w14:textId="6272D754" w:rsidR="003A763F" w:rsidRDefault="003A763F">
      <w:pPr>
        <w:pStyle w:val="FootnoteText"/>
      </w:pPr>
      <w:r>
        <w:rPr>
          <w:rStyle w:val="FootnoteReference"/>
        </w:rPr>
        <w:footnoteRef/>
      </w:r>
      <w:r>
        <w:t xml:space="preserve"> </w:t>
      </w:r>
      <w:r w:rsidR="00331B34">
        <w:t>Ibid. pp.29-31.</w:t>
      </w:r>
    </w:p>
  </w:footnote>
  <w:footnote w:id="23">
    <w:p w14:paraId="267D17F8" w14:textId="486A9860" w:rsidR="00AF543B" w:rsidRDefault="00AF543B">
      <w:pPr>
        <w:pStyle w:val="FootnoteText"/>
      </w:pPr>
      <w:r>
        <w:rPr>
          <w:rStyle w:val="FootnoteReference"/>
        </w:rPr>
        <w:footnoteRef/>
      </w:r>
      <w:r>
        <w:t xml:space="preserve"> </w:t>
      </w:r>
      <w:r w:rsidR="00331B34">
        <w:t>Ibid. pp.42-43</w:t>
      </w:r>
    </w:p>
  </w:footnote>
  <w:footnote w:id="24">
    <w:p w14:paraId="4E6BEB54" w14:textId="566BE4A9" w:rsidR="00AF543B" w:rsidRDefault="00AF543B">
      <w:pPr>
        <w:pStyle w:val="FootnoteText"/>
      </w:pPr>
      <w:r>
        <w:rPr>
          <w:rStyle w:val="FootnoteReference"/>
        </w:rPr>
        <w:footnoteRef/>
      </w:r>
      <w:r>
        <w:t xml:space="preserve"> </w:t>
      </w:r>
      <w:r w:rsidR="00331B34">
        <w:t>Ibid. pp.60-61</w:t>
      </w:r>
    </w:p>
  </w:footnote>
  <w:footnote w:id="25">
    <w:p w14:paraId="4DD98337" w14:textId="2268A0D4" w:rsidR="00331B34" w:rsidRDefault="00331B34">
      <w:pPr>
        <w:pStyle w:val="FootnoteText"/>
      </w:pPr>
      <w:r>
        <w:rPr>
          <w:rStyle w:val="FootnoteReference"/>
        </w:rPr>
        <w:footnoteRef/>
      </w:r>
      <w:r>
        <w:t xml:space="preserve"> Ibid. pp.42-43</w:t>
      </w:r>
    </w:p>
  </w:footnote>
  <w:footnote w:id="26">
    <w:p w14:paraId="1994CAA5" w14:textId="13862808" w:rsidR="00991E19" w:rsidRDefault="00991E19">
      <w:pPr>
        <w:pStyle w:val="FootnoteText"/>
      </w:pPr>
      <w:r>
        <w:rPr>
          <w:rStyle w:val="FootnoteReference"/>
        </w:rPr>
        <w:footnoteRef/>
      </w:r>
      <w:r>
        <w:t xml:space="preserve"> </w:t>
      </w:r>
      <w:r w:rsidR="00331B34">
        <w:t xml:space="preserve">Eli Hirsch, </w:t>
      </w:r>
      <w:r w:rsidR="00331B34" w:rsidRPr="00E170C5">
        <w:rPr>
          <w:i/>
        </w:rPr>
        <w:t>The concept of identity</w:t>
      </w:r>
      <w:r w:rsidR="00331B34">
        <w:t>, Oxford University Press 1982, pp.182-183.</w:t>
      </w:r>
    </w:p>
  </w:footnote>
  <w:footnote w:id="27">
    <w:p w14:paraId="17915D59" w14:textId="5283D1D5" w:rsidR="00600C18" w:rsidRDefault="00600C18">
      <w:pPr>
        <w:pStyle w:val="FootnoteText"/>
      </w:pPr>
      <w:r>
        <w:rPr>
          <w:rStyle w:val="FootnoteReference"/>
        </w:rPr>
        <w:footnoteRef/>
      </w:r>
      <w:r>
        <w:t xml:space="preserve"> </w:t>
      </w:r>
      <w:r>
        <w:t>Rudolf Steiner</w:t>
      </w:r>
      <w:r w:rsidRPr="00600C18">
        <w:rPr>
          <w:i/>
        </w:rPr>
        <w:t>, The philosophy of Freedom (the philosophy of spiritual activity) The basis for a modern world conception, some results of introspective observation following the methods of Natural Science</w:t>
      </w:r>
      <w:r>
        <w:t xml:space="preserve">, Seventh English edition, </w:t>
      </w:r>
      <w:r>
        <w:t>Rudolf Steiner Press London, pp.</w:t>
      </w:r>
      <w:r w:rsidR="00865057">
        <w:t xml:space="preserve">pp.42-43, </w:t>
      </w:r>
      <w:r>
        <w:t>229-230</w:t>
      </w:r>
    </w:p>
  </w:footnote>
  <w:footnote w:id="28">
    <w:p w14:paraId="63A1B3E9" w14:textId="3CB7EDDC" w:rsidR="002C5EF6" w:rsidRDefault="002C5EF6">
      <w:pPr>
        <w:pStyle w:val="FootnoteText"/>
      </w:pPr>
      <w:r>
        <w:rPr>
          <w:rStyle w:val="FootnoteReference"/>
        </w:rPr>
        <w:footnoteRef/>
      </w:r>
      <w:r>
        <w:t xml:space="preserve"> </w:t>
      </w:r>
      <w:r w:rsidR="00600C18">
        <w:t>Ibid. pp.68-69.</w:t>
      </w:r>
    </w:p>
  </w:footnote>
  <w:footnote w:id="29">
    <w:p w14:paraId="1BC1168A" w14:textId="298626DF" w:rsidR="00600C18" w:rsidRDefault="00600C18">
      <w:pPr>
        <w:pStyle w:val="FootnoteText"/>
      </w:pPr>
      <w:r>
        <w:rPr>
          <w:rStyle w:val="FootnoteReference"/>
        </w:rPr>
        <w:footnoteRef/>
      </w:r>
      <w:r>
        <w:t xml:space="preserve"> Ibid. pp.44-45.</w:t>
      </w:r>
    </w:p>
  </w:footnote>
  <w:footnote w:id="30">
    <w:p w14:paraId="2F1B5362" w14:textId="4192C8E7" w:rsidR="00C673B3" w:rsidRDefault="00C673B3">
      <w:pPr>
        <w:pStyle w:val="FootnoteText"/>
      </w:pPr>
      <w:r>
        <w:rPr>
          <w:rStyle w:val="FootnoteReference"/>
        </w:rPr>
        <w:footnoteRef/>
      </w:r>
      <w:r>
        <w:t xml:space="preserve"> </w:t>
      </w:r>
      <w:r w:rsidR="00865057">
        <w:t>Ibid.</w:t>
      </w:r>
    </w:p>
  </w:footnote>
  <w:footnote w:id="31">
    <w:p w14:paraId="1805F13F" w14:textId="3B22EF25" w:rsidR="00A93737" w:rsidRDefault="00A93737">
      <w:pPr>
        <w:pStyle w:val="FootnoteText"/>
      </w:pPr>
      <w:r>
        <w:rPr>
          <w:rStyle w:val="FootnoteReference"/>
        </w:rPr>
        <w:footnoteRef/>
      </w:r>
      <w:r>
        <w:t xml:space="preserve"> Ibid. pp66-67.</w:t>
      </w:r>
    </w:p>
  </w:footnote>
  <w:footnote w:id="32">
    <w:p w14:paraId="30DCF36A" w14:textId="0E331CEF" w:rsidR="00F02D81" w:rsidRDefault="00F02D81">
      <w:pPr>
        <w:pStyle w:val="FootnoteText"/>
      </w:pPr>
      <w:r>
        <w:rPr>
          <w:rStyle w:val="FootnoteReference"/>
        </w:rPr>
        <w:footnoteRef/>
      </w:r>
      <w:r w:rsidR="00A93737">
        <w:t xml:space="preserve"> Ibid</w:t>
      </w:r>
    </w:p>
  </w:footnote>
  <w:footnote w:id="33">
    <w:p w14:paraId="7F265CD5" w14:textId="174AC48E" w:rsidR="00F02D81" w:rsidRDefault="00F02D81">
      <w:pPr>
        <w:pStyle w:val="FootnoteText"/>
      </w:pPr>
      <w:r>
        <w:rPr>
          <w:rStyle w:val="FootnoteReference"/>
        </w:rPr>
        <w:footnoteRef/>
      </w:r>
      <w:r>
        <w:t xml:space="preserve"> </w:t>
      </w:r>
      <w:r w:rsidR="00A93737">
        <w:t>Ibid. pp66-67.</w:t>
      </w:r>
    </w:p>
  </w:footnote>
  <w:footnote w:id="34">
    <w:p w14:paraId="7137A2C7" w14:textId="0853285A" w:rsidR="00FF2321" w:rsidRDefault="00FF2321">
      <w:pPr>
        <w:pStyle w:val="FootnoteText"/>
      </w:pPr>
      <w:r>
        <w:rPr>
          <w:rStyle w:val="FootnoteReference"/>
        </w:rPr>
        <w:footnoteRef/>
      </w:r>
      <w:r>
        <w:t xml:space="preserve"> I sought to do this last section as a means to express my own thinking about these issues in hope of feedback.</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C17"/>
    <w:rsid w:val="00027EDF"/>
    <w:rsid w:val="00062B97"/>
    <w:rsid w:val="00075BC1"/>
    <w:rsid w:val="000C1645"/>
    <w:rsid w:val="000C2506"/>
    <w:rsid w:val="00102CB3"/>
    <w:rsid w:val="00117A6A"/>
    <w:rsid w:val="00123985"/>
    <w:rsid w:val="0014565B"/>
    <w:rsid w:val="00171AFC"/>
    <w:rsid w:val="00193E25"/>
    <w:rsid w:val="001B20DC"/>
    <w:rsid w:val="001B5A47"/>
    <w:rsid w:val="001C549A"/>
    <w:rsid w:val="001C7172"/>
    <w:rsid w:val="001E2A8F"/>
    <w:rsid w:val="00213BEF"/>
    <w:rsid w:val="0021623E"/>
    <w:rsid w:val="00233401"/>
    <w:rsid w:val="00255DBE"/>
    <w:rsid w:val="002C5EF6"/>
    <w:rsid w:val="00331B34"/>
    <w:rsid w:val="003874FD"/>
    <w:rsid w:val="003A763F"/>
    <w:rsid w:val="003B3F47"/>
    <w:rsid w:val="00416E9B"/>
    <w:rsid w:val="00417625"/>
    <w:rsid w:val="004208D8"/>
    <w:rsid w:val="004A5B89"/>
    <w:rsid w:val="004B106E"/>
    <w:rsid w:val="004B61A4"/>
    <w:rsid w:val="004F558C"/>
    <w:rsid w:val="00530BB8"/>
    <w:rsid w:val="00572366"/>
    <w:rsid w:val="005A2666"/>
    <w:rsid w:val="005B37A1"/>
    <w:rsid w:val="00600C18"/>
    <w:rsid w:val="006033C8"/>
    <w:rsid w:val="00613E0A"/>
    <w:rsid w:val="00614531"/>
    <w:rsid w:val="0063494C"/>
    <w:rsid w:val="006408B8"/>
    <w:rsid w:val="00697B59"/>
    <w:rsid w:val="006B098C"/>
    <w:rsid w:val="006C7AD0"/>
    <w:rsid w:val="00717FA6"/>
    <w:rsid w:val="007300AD"/>
    <w:rsid w:val="007409B9"/>
    <w:rsid w:val="00767E60"/>
    <w:rsid w:val="00783917"/>
    <w:rsid w:val="007C73DF"/>
    <w:rsid w:val="007F6148"/>
    <w:rsid w:val="00805DE1"/>
    <w:rsid w:val="008474BE"/>
    <w:rsid w:val="00865057"/>
    <w:rsid w:val="008F2FD3"/>
    <w:rsid w:val="0093727A"/>
    <w:rsid w:val="009464D5"/>
    <w:rsid w:val="009649CE"/>
    <w:rsid w:val="00977550"/>
    <w:rsid w:val="00991E19"/>
    <w:rsid w:val="009C75CE"/>
    <w:rsid w:val="009D054E"/>
    <w:rsid w:val="00A5794F"/>
    <w:rsid w:val="00A770AB"/>
    <w:rsid w:val="00A85D37"/>
    <w:rsid w:val="00A93737"/>
    <w:rsid w:val="00A97119"/>
    <w:rsid w:val="00AE03D0"/>
    <w:rsid w:val="00AF543B"/>
    <w:rsid w:val="00AF7DAE"/>
    <w:rsid w:val="00B91286"/>
    <w:rsid w:val="00B927DE"/>
    <w:rsid w:val="00BD18FA"/>
    <w:rsid w:val="00C127A8"/>
    <w:rsid w:val="00C22DCB"/>
    <w:rsid w:val="00C27B35"/>
    <w:rsid w:val="00C56C93"/>
    <w:rsid w:val="00C673B3"/>
    <w:rsid w:val="00C80099"/>
    <w:rsid w:val="00CB2FBF"/>
    <w:rsid w:val="00CB6270"/>
    <w:rsid w:val="00CD6D90"/>
    <w:rsid w:val="00D22DAF"/>
    <w:rsid w:val="00D25848"/>
    <w:rsid w:val="00D2685B"/>
    <w:rsid w:val="00D869A1"/>
    <w:rsid w:val="00D92C17"/>
    <w:rsid w:val="00D94764"/>
    <w:rsid w:val="00E170C5"/>
    <w:rsid w:val="00E9465C"/>
    <w:rsid w:val="00E96EE5"/>
    <w:rsid w:val="00EB5ADF"/>
    <w:rsid w:val="00EE0FD7"/>
    <w:rsid w:val="00F02D81"/>
    <w:rsid w:val="00F41F10"/>
    <w:rsid w:val="00F650A7"/>
    <w:rsid w:val="00F67E6F"/>
    <w:rsid w:val="00F7251E"/>
    <w:rsid w:val="00F92CB5"/>
    <w:rsid w:val="00FF2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EADCB9"/>
  <w15:chartTrackingRefBased/>
  <w15:docId w15:val="{A5EBB7C9-46CF-45AB-B171-64854C1E3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C1645"/>
    <w:pPr>
      <w:spacing w:after="0" w:line="240" w:lineRule="auto"/>
    </w:pPr>
    <w:rPr>
      <w:sz w:val="20"/>
      <w:szCs w:val="20"/>
    </w:rPr>
  </w:style>
  <w:style w:type="character" w:customStyle="1" w:styleId="FootnoteTextChar">
    <w:name w:val="Footnote Text Char"/>
    <w:basedOn w:val="DefaultParagraphFont"/>
    <w:link w:val="FootnoteText"/>
    <w:uiPriority w:val="99"/>
    <w:rsid w:val="000C1645"/>
    <w:rPr>
      <w:sz w:val="20"/>
      <w:szCs w:val="20"/>
    </w:rPr>
  </w:style>
  <w:style w:type="character" w:styleId="FootnoteReference">
    <w:name w:val="footnote reference"/>
    <w:basedOn w:val="DefaultParagraphFont"/>
    <w:uiPriority w:val="99"/>
    <w:semiHidden/>
    <w:unhideWhenUsed/>
    <w:rsid w:val="000C1645"/>
    <w:rPr>
      <w:vertAlign w:val="superscript"/>
    </w:rPr>
  </w:style>
  <w:style w:type="character" w:styleId="CommentReference">
    <w:name w:val="annotation reference"/>
    <w:basedOn w:val="DefaultParagraphFont"/>
    <w:uiPriority w:val="99"/>
    <w:semiHidden/>
    <w:unhideWhenUsed/>
    <w:rsid w:val="00F7251E"/>
    <w:rPr>
      <w:sz w:val="16"/>
      <w:szCs w:val="16"/>
    </w:rPr>
  </w:style>
  <w:style w:type="paragraph" w:styleId="CommentText">
    <w:name w:val="annotation text"/>
    <w:basedOn w:val="Normal"/>
    <w:link w:val="CommentTextChar"/>
    <w:uiPriority w:val="99"/>
    <w:semiHidden/>
    <w:unhideWhenUsed/>
    <w:rsid w:val="00F7251E"/>
    <w:pPr>
      <w:spacing w:line="240" w:lineRule="auto"/>
    </w:pPr>
    <w:rPr>
      <w:sz w:val="20"/>
      <w:szCs w:val="20"/>
    </w:rPr>
  </w:style>
  <w:style w:type="character" w:customStyle="1" w:styleId="CommentTextChar">
    <w:name w:val="Comment Text Char"/>
    <w:basedOn w:val="DefaultParagraphFont"/>
    <w:link w:val="CommentText"/>
    <w:uiPriority w:val="99"/>
    <w:semiHidden/>
    <w:rsid w:val="00F7251E"/>
    <w:rPr>
      <w:sz w:val="20"/>
      <w:szCs w:val="20"/>
    </w:rPr>
  </w:style>
  <w:style w:type="paragraph" w:styleId="CommentSubject">
    <w:name w:val="annotation subject"/>
    <w:basedOn w:val="CommentText"/>
    <w:next w:val="CommentText"/>
    <w:link w:val="CommentSubjectChar"/>
    <w:uiPriority w:val="99"/>
    <w:semiHidden/>
    <w:unhideWhenUsed/>
    <w:rsid w:val="00F7251E"/>
    <w:rPr>
      <w:b/>
      <w:bCs/>
    </w:rPr>
  </w:style>
  <w:style w:type="character" w:customStyle="1" w:styleId="CommentSubjectChar">
    <w:name w:val="Comment Subject Char"/>
    <w:basedOn w:val="CommentTextChar"/>
    <w:link w:val="CommentSubject"/>
    <w:uiPriority w:val="99"/>
    <w:semiHidden/>
    <w:rsid w:val="00F7251E"/>
    <w:rPr>
      <w:b/>
      <w:bCs/>
      <w:sz w:val="20"/>
      <w:szCs w:val="20"/>
    </w:rPr>
  </w:style>
  <w:style w:type="paragraph" w:styleId="BalloonText">
    <w:name w:val="Balloon Text"/>
    <w:basedOn w:val="Normal"/>
    <w:link w:val="BalloonTextChar"/>
    <w:uiPriority w:val="99"/>
    <w:semiHidden/>
    <w:unhideWhenUsed/>
    <w:rsid w:val="00F725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251E"/>
    <w:rPr>
      <w:rFonts w:ascii="Segoe UI" w:hAnsi="Segoe UI" w:cs="Segoe UI"/>
      <w:sz w:val="18"/>
      <w:szCs w:val="18"/>
    </w:rPr>
  </w:style>
  <w:style w:type="paragraph" w:styleId="Header">
    <w:name w:val="header"/>
    <w:basedOn w:val="Normal"/>
    <w:link w:val="HeaderChar"/>
    <w:uiPriority w:val="99"/>
    <w:unhideWhenUsed/>
    <w:rsid w:val="00A85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D37"/>
  </w:style>
  <w:style w:type="paragraph" w:styleId="Footer">
    <w:name w:val="footer"/>
    <w:basedOn w:val="Normal"/>
    <w:link w:val="FooterChar"/>
    <w:uiPriority w:val="99"/>
    <w:unhideWhenUsed/>
    <w:rsid w:val="00A85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D37"/>
  </w:style>
  <w:style w:type="character" w:styleId="Emphasis">
    <w:name w:val="Emphasis"/>
    <w:basedOn w:val="DefaultParagraphFont"/>
    <w:uiPriority w:val="20"/>
    <w:qFormat/>
    <w:rsid w:val="00E170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07127-1846-45B7-9BF5-944E4FCCB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3737</Words>
  <Characters>18357</Characters>
  <Application>Microsoft Office Word</Application>
  <DocSecurity>0</DocSecurity>
  <Lines>152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Selmo Alves (1502106)</dc:creator>
  <cp:keywords/>
  <dc:description/>
  <cp:lastModifiedBy>Selmo Alves (1502106)</cp:lastModifiedBy>
  <cp:revision>2</cp:revision>
  <dcterms:created xsi:type="dcterms:W3CDTF">2018-03-23T18:54:00Z</dcterms:created>
  <dcterms:modified xsi:type="dcterms:W3CDTF">2018-03-23T18:54:00Z</dcterms:modified>
</cp:coreProperties>
</file>