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8BE613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B050F">
              <w:rPr>
                <w:rFonts w:ascii="Times New Roman" w:hAnsi="Times New Roman" w:cs="Times New Roman"/>
                <w:b/>
                <w:color w:val="auto"/>
                <w:sz w:val="48"/>
              </w:rPr>
              <w:t xml:space="preserve">Abigail Dyer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C6EDC2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B050F">
              <w:rPr>
                <w:rFonts w:ascii="Times New Roman" w:hAnsi="Times New Roman" w:cs="Times New Roman"/>
                <w:b/>
                <w:color w:val="auto"/>
                <w:sz w:val="48"/>
              </w:rPr>
              <w:t xml:space="preserve"> abigail_dyer@yahoo.co.uk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24B532C2" w14:textId="77777777" w:rsidR="0030720E" w:rsidRPr="005D3F07" w:rsidRDefault="0030720E" w:rsidP="0030720E">
            <w:pPr>
              <w:overflowPunct/>
              <w:autoSpaceDE/>
              <w:autoSpaceDN/>
              <w:adjustRightInd/>
              <w:ind w:right="-957"/>
              <w:textAlignment w:val="auto"/>
              <w:rPr>
                <w:rFonts w:ascii="Times New Roman" w:hAnsi="Times New Roman" w:cs="Times New Roman"/>
                <w:b/>
                <w:color w:val="auto"/>
                <w:sz w:val="48"/>
              </w:rPr>
            </w:pPr>
            <w:r w:rsidRPr="00387300">
              <w:rPr>
                <w:rFonts w:ascii="Times New Roman" w:hAnsi="Times New Roman" w:cs="Times New Roman"/>
                <w:b/>
                <w:color w:val="auto"/>
                <w:sz w:val="44"/>
                <w:szCs w:val="44"/>
              </w:rPr>
              <w:t>Learner’s University Registration Number</w:t>
            </w:r>
            <w:r w:rsidRPr="005D3F07">
              <w:rPr>
                <w:rFonts w:ascii="Times New Roman" w:hAnsi="Times New Roman" w:cs="Times New Roman"/>
                <w:b/>
                <w:color w:val="auto"/>
                <w:sz w:val="48"/>
              </w:rPr>
              <w:t>:</w:t>
            </w:r>
            <w:r>
              <w:rPr>
                <w:rFonts w:ascii="Times New Roman" w:hAnsi="Times New Roman" w:cs="Times New Roman"/>
                <w:b/>
                <w:color w:val="auto"/>
                <w:sz w:val="48"/>
              </w:rPr>
              <w:t xml:space="preserve"> </w:t>
            </w:r>
            <w:r>
              <w:rPr>
                <w:rFonts w:ascii="Times New Roman" w:hAnsi="Times New Roman" w:cs="Times New Roman"/>
                <w:b/>
                <w:color w:val="auto"/>
                <w:sz w:val="40"/>
                <w:szCs w:val="40"/>
              </w:rPr>
              <w:t>0301841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bookmarkStart w:id="0" w:name="_GoBack"/>
            <w:bookmarkEnd w:id="0"/>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1D68DA91" w14:textId="104E1DA5" w:rsidR="00D3203C" w:rsidRDefault="00E83F91" w:rsidP="00CB050F">
      <w:pPr>
        <w:rPr>
          <w:b/>
          <w:sz w:val="24"/>
          <w:szCs w:val="24"/>
        </w:rPr>
      </w:pPr>
      <w:r>
        <w:rPr>
          <w:b/>
          <w:sz w:val="24"/>
          <w:szCs w:val="24"/>
        </w:rPr>
        <w:br w:type="page"/>
      </w:r>
    </w:p>
    <w:p w14:paraId="0EF984DF" w14:textId="02707E04" w:rsidR="000D0BB6" w:rsidRPr="00EE5BC3" w:rsidRDefault="00337FEF" w:rsidP="00EE5BC3">
      <w:pPr>
        <w:jc w:val="center"/>
        <w:rPr>
          <w:b/>
          <w:sz w:val="28"/>
          <w:szCs w:val="28"/>
        </w:rPr>
      </w:pPr>
      <w:r w:rsidRPr="00EE5BC3">
        <w:rPr>
          <w:b/>
          <w:sz w:val="28"/>
          <w:szCs w:val="28"/>
        </w:rPr>
        <w:lastRenderedPageBreak/>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6006952A" w14:textId="77777777" w:rsidR="00CB050F" w:rsidRDefault="00CB050F" w:rsidP="00CB050F">
            <w:pPr>
              <w:jc w:val="both"/>
              <w:rPr>
                <w:sz w:val="24"/>
                <w:szCs w:val="24"/>
                <w:lang w:val="en"/>
              </w:rPr>
            </w:pPr>
            <w:r w:rsidRPr="00E82F6F">
              <w:rPr>
                <w:sz w:val="24"/>
                <w:szCs w:val="24"/>
                <w:lang w:val="en"/>
              </w:rPr>
              <w:t>The</w:t>
            </w:r>
            <w:r>
              <w:rPr>
                <w:sz w:val="24"/>
                <w:szCs w:val="24"/>
                <w:lang w:val="en"/>
              </w:rPr>
              <w:t xml:space="preserve"> Children Act 1989</w:t>
            </w:r>
            <w:r w:rsidRPr="00E82F6F">
              <w:rPr>
                <w:sz w:val="24"/>
                <w:szCs w:val="24"/>
                <w:lang w:val="en"/>
              </w:rPr>
              <w:t xml:space="preserve"> is the principal piece of legislation relating to the safeguarding and promotion of the welfare of children (Welsh Government, 2021), under 18 years</w:t>
            </w:r>
            <w:r>
              <w:rPr>
                <w:sz w:val="24"/>
                <w:szCs w:val="24"/>
                <w:lang w:val="en"/>
              </w:rPr>
              <w:t xml:space="preserve"> which is applicable across the UK</w:t>
            </w:r>
            <w:r w:rsidRPr="00E82F6F">
              <w:rPr>
                <w:sz w:val="24"/>
                <w:szCs w:val="24"/>
                <w:lang w:val="en"/>
              </w:rPr>
              <w:t xml:space="preserve">. The Children Act 2004 strengthens and builds on the framework of the CA 1989; reinforcing that safeguarding is everybody’s responsibility to safeguard children, </w:t>
            </w:r>
            <w:r>
              <w:rPr>
                <w:sz w:val="24"/>
                <w:szCs w:val="24"/>
                <w:lang w:val="en"/>
              </w:rPr>
              <w:t>promoting their wellbeing. This</w:t>
            </w:r>
            <w:r w:rsidRPr="00E82F6F">
              <w:rPr>
                <w:sz w:val="24"/>
                <w:szCs w:val="24"/>
                <w:lang w:val="en"/>
              </w:rPr>
              <w:t xml:space="preserve"> is echoed in the overarching duties of Part 2 s6 (2) of the SSWB</w:t>
            </w:r>
            <w:r>
              <w:rPr>
                <w:sz w:val="24"/>
                <w:szCs w:val="24"/>
                <w:lang w:val="en"/>
              </w:rPr>
              <w:t>(</w:t>
            </w:r>
            <w:r w:rsidRPr="00E82F6F">
              <w:rPr>
                <w:sz w:val="24"/>
                <w:szCs w:val="24"/>
                <w:lang w:val="en"/>
              </w:rPr>
              <w:t>W</w:t>
            </w:r>
            <w:r>
              <w:rPr>
                <w:sz w:val="24"/>
                <w:szCs w:val="24"/>
                <w:lang w:val="en"/>
              </w:rPr>
              <w:t>)</w:t>
            </w:r>
            <w:r w:rsidRPr="00E82F6F">
              <w:rPr>
                <w:sz w:val="24"/>
                <w:szCs w:val="24"/>
                <w:lang w:val="en"/>
              </w:rPr>
              <w:t>A 2014. Ss 31 to 34 of the CA 2004 (Local Safeguarding Children Boards: Wales) have been repealed and replaced by the provisions in section 134 to 140 of the SSWB</w:t>
            </w:r>
            <w:r>
              <w:rPr>
                <w:sz w:val="24"/>
                <w:szCs w:val="24"/>
                <w:lang w:val="en"/>
              </w:rPr>
              <w:t>(</w:t>
            </w:r>
            <w:r w:rsidRPr="00E82F6F">
              <w:rPr>
                <w:sz w:val="24"/>
                <w:szCs w:val="24"/>
                <w:lang w:val="en"/>
              </w:rPr>
              <w:t>W</w:t>
            </w:r>
            <w:r>
              <w:rPr>
                <w:sz w:val="24"/>
                <w:szCs w:val="24"/>
                <w:lang w:val="en"/>
              </w:rPr>
              <w:t>)</w:t>
            </w:r>
            <w:r w:rsidRPr="00E82F6F">
              <w:rPr>
                <w:sz w:val="24"/>
                <w:szCs w:val="24"/>
                <w:lang w:val="en"/>
              </w:rPr>
              <w:t>A 2014 Act (Safeguarding Boards).</w:t>
            </w:r>
          </w:p>
          <w:p w14:paraId="7795560E" w14:textId="77777777" w:rsidR="00CB050F" w:rsidRPr="00E82F6F" w:rsidRDefault="00CB050F" w:rsidP="00CB050F">
            <w:pPr>
              <w:jc w:val="both"/>
              <w:rPr>
                <w:sz w:val="24"/>
                <w:szCs w:val="24"/>
                <w:lang w:val="en"/>
              </w:rPr>
            </w:pPr>
          </w:p>
          <w:p w14:paraId="37134335" w14:textId="77777777" w:rsidR="00CB050F" w:rsidRDefault="00CB050F" w:rsidP="00CB050F">
            <w:pPr>
              <w:pStyle w:val="NormalWeb"/>
              <w:rPr>
                <w:rFonts w:ascii="Arial" w:hAnsi="Arial" w:cs="Arial"/>
              </w:rPr>
            </w:pPr>
            <w:r w:rsidRPr="00E82F6F">
              <w:rPr>
                <w:rFonts w:ascii="Arial" w:hAnsi="Arial" w:cs="Arial"/>
                <w:lang w:val="en"/>
              </w:rPr>
              <w:t xml:space="preserve">The </w:t>
            </w:r>
            <w:r w:rsidRPr="00E82F6F">
              <w:rPr>
                <w:rFonts w:ascii="Arial" w:hAnsi="Arial" w:cs="Arial"/>
                <w:bCs/>
              </w:rPr>
              <w:t xml:space="preserve">Rights of Children and Young Persons (Wales) Measure 2011 was introduced to ensure that Welsh ministers have a </w:t>
            </w:r>
            <w:r w:rsidRPr="00E82F6F">
              <w:rPr>
                <w:rStyle w:val="legds2"/>
                <w:rFonts w:ascii="Arial" w:hAnsi="Arial" w:cs="Arial"/>
                <w:specVanish w:val="0"/>
              </w:rPr>
              <w:t xml:space="preserve">duty to have due regard to the United Nations Convention on the Rights of the Child. These are 54 </w:t>
            </w:r>
            <w:r w:rsidRPr="00E82F6F">
              <w:rPr>
                <w:rFonts w:ascii="Arial" w:hAnsi="Arial" w:cs="Arial"/>
              </w:rPr>
              <w:t>rights given to children and young people to support them to grow up healthily and safely. These are supported by the Children’s Commissioner for Wales whose principal aim “is to safeguard and promote the rights and welfare of children” (Childcomwales, 2022).</w:t>
            </w:r>
          </w:p>
          <w:p w14:paraId="79062649" w14:textId="77777777" w:rsidR="00CB050F" w:rsidRPr="00E82F6F" w:rsidRDefault="00CB050F" w:rsidP="00CB050F">
            <w:pPr>
              <w:pStyle w:val="NormalWeb"/>
              <w:rPr>
                <w:rFonts w:ascii="Arial" w:hAnsi="Arial" w:cs="Arial"/>
              </w:rPr>
            </w:pPr>
          </w:p>
          <w:p w14:paraId="7BF7BD25" w14:textId="77777777" w:rsidR="00CB050F" w:rsidRPr="00E82F6F" w:rsidRDefault="00CB050F" w:rsidP="00CB050F">
            <w:pPr>
              <w:pStyle w:val="NormalWeb"/>
              <w:rPr>
                <w:rFonts w:ascii="Arial" w:hAnsi="Arial" w:cs="Arial"/>
              </w:rPr>
            </w:pPr>
            <w:r w:rsidRPr="00E82F6F">
              <w:rPr>
                <w:rFonts w:ascii="Arial" w:hAnsi="Arial" w:cs="Arial"/>
              </w:rPr>
              <w:t>The principle functions of the SSWB</w:t>
            </w:r>
            <w:r>
              <w:rPr>
                <w:rFonts w:ascii="Arial" w:hAnsi="Arial" w:cs="Arial"/>
              </w:rPr>
              <w:t>(</w:t>
            </w:r>
            <w:r w:rsidRPr="00E82F6F">
              <w:rPr>
                <w:rFonts w:ascii="Arial" w:hAnsi="Arial" w:cs="Arial"/>
              </w:rPr>
              <w:t>W</w:t>
            </w:r>
            <w:r>
              <w:rPr>
                <w:rFonts w:ascii="Arial" w:hAnsi="Arial" w:cs="Arial"/>
              </w:rPr>
              <w:t>)</w:t>
            </w:r>
            <w:r w:rsidRPr="00E82F6F">
              <w:rPr>
                <w:rFonts w:ascii="Arial" w:hAnsi="Arial" w:cs="Arial"/>
              </w:rPr>
              <w:t xml:space="preserve">A 2014 place the child at the centre of their care and support; achieving well-being, working in partnership with the child, including their family and other professionals involved. Putting an emphasis on preventative support before any need escalates, with the premise of ‘receiving the right support at the right time’ (xxx.wales, 2017).  </w:t>
            </w:r>
          </w:p>
          <w:p w14:paraId="6A2033BE" w14:textId="77777777" w:rsidR="00CB050F" w:rsidRPr="00E82F6F" w:rsidRDefault="00CB050F" w:rsidP="00CB050F">
            <w:pPr>
              <w:pStyle w:val="Default"/>
              <w:rPr>
                <w:color w:val="auto"/>
              </w:rPr>
            </w:pPr>
            <w:r w:rsidRPr="00E82F6F">
              <w:rPr>
                <w:color w:val="auto"/>
              </w:rPr>
              <w:t>Part 7 s130 (4) of the SSWBWA 2014 defines a ‘child at risk’. There only has to be ‘reasonable cause’ to suspect that a child is at risk of harm and abuse placing a statutory duty to report to the LA. S47 CA 1989 requires that the LA must make enquiries if it is deemed that the child may be at ‘significant risk’, taking</w:t>
            </w:r>
            <w:r w:rsidRPr="00363E59">
              <w:rPr>
                <w:color w:val="auto"/>
              </w:rPr>
              <w:t xml:space="preserve"> any action</w:t>
            </w:r>
            <w:r w:rsidRPr="00E82F6F">
              <w:rPr>
                <w:color w:val="auto"/>
              </w:rPr>
              <w:t xml:space="preserve"> necessary</w:t>
            </w:r>
            <w:r w:rsidRPr="00363E59">
              <w:rPr>
                <w:color w:val="auto"/>
              </w:rPr>
              <w:t xml:space="preserve"> to safeguard or promote the child’s welfare</w:t>
            </w:r>
            <w:r w:rsidRPr="00E82F6F">
              <w:rPr>
                <w:color w:val="auto"/>
              </w:rPr>
              <w:t xml:space="preserve"> (Welsh, Government, 2018 p.5)</w:t>
            </w:r>
            <w:r w:rsidRPr="00363E59">
              <w:rPr>
                <w:color w:val="auto"/>
              </w:rPr>
              <w:t xml:space="preserve">. </w:t>
            </w:r>
            <w:r w:rsidRPr="00E82F6F">
              <w:rPr>
                <w:color w:val="auto"/>
              </w:rPr>
              <w:t xml:space="preserve">The Wales Safeguarding Procedures 2019 were introduced to provide </w:t>
            </w:r>
            <w:r>
              <w:rPr>
                <w:color w:val="auto"/>
              </w:rPr>
              <w:t>clear guidance and expectation</w:t>
            </w:r>
            <w:r w:rsidRPr="00E82F6F">
              <w:rPr>
                <w:color w:val="auto"/>
              </w:rPr>
              <w:t xml:space="preserve"> for safeguarding children (cvsc.org, 2022 p.1).</w:t>
            </w:r>
          </w:p>
          <w:p w14:paraId="706DF13D" w14:textId="77777777" w:rsidR="00CB050F" w:rsidRPr="00E82F6F" w:rsidRDefault="00CB050F" w:rsidP="00CB050F">
            <w:pPr>
              <w:pStyle w:val="Default"/>
              <w:rPr>
                <w:color w:val="auto"/>
              </w:rPr>
            </w:pPr>
          </w:p>
          <w:p w14:paraId="44CC9C9B" w14:textId="77777777" w:rsidR="00CB050F" w:rsidRPr="00E82F6F" w:rsidRDefault="00CB050F" w:rsidP="00CB050F">
            <w:pPr>
              <w:pStyle w:val="NormalWeb"/>
              <w:rPr>
                <w:rFonts w:ascii="Arial" w:hAnsi="Arial" w:cs="Arial"/>
                <w:bCs/>
              </w:rPr>
            </w:pPr>
            <w:r w:rsidRPr="00E82F6F">
              <w:rPr>
                <w:rFonts w:ascii="Arial" w:hAnsi="Arial" w:cs="Arial"/>
              </w:rPr>
              <w:t xml:space="preserve">Volume 5 – Working Together to Safeguard People Handling Individual Cases to Protect Children at Risk identifies other areas of risk and legislation to consider when safeguarding children, for example, </w:t>
            </w:r>
            <w:r w:rsidRPr="00E82F6F">
              <w:rPr>
                <w:rFonts w:ascii="Arial" w:hAnsi="Arial" w:cs="Arial"/>
                <w:bCs/>
              </w:rPr>
              <w:t xml:space="preserve">Domestic abuse (Violence against Women, Domestic Abuse and </w:t>
            </w:r>
            <w:r w:rsidRPr="00E82F6F">
              <w:rPr>
                <w:rFonts w:ascii="Arial" w:hAnsi="Arial" w:cs="Arial"/>
                <w:bCs/>
              </w:rPr>
              <w:lastRenderedPageBreak/>
              <w:t xml:space="preserve">Sexual Violence (Wales) Act 2015), Female Genital Mutilation (FGM) and Modern Slavery Act 2015. Keeping the child at the forefront of any safeguarding enquiries, assessment and analysis following the 6 principles of handling individual cases that ‘lead to an effective safeguarding system for children’ (Safeguarding. Wales, 2022). </w:t>
            </w:r>
          </w:p>
          <w:p w14:paraId="78A0D26D" w14:textId="77777777" w:rsidR="00CB050F" w:rsidRPr="00363E59" w:rsidRDefault="00CB050F" w:rsidP="00CB050F">
            <w:pPr>
              <w:rPr>
                <w:rFonts w:ascii="Times New Roman" w:hAnsi="Times New Roman" w:cs="Times New Roman"/>
                <w:sz w:val="24"/>
                <w:szCs w:val="24"/>
              </w:rPr>
            </w:pPr>
          </w:p>
          <w:p w14:paraId="4CB5A3EC" w14:textId="77777777" w:rsidR="00CB050F" w:rsidRDefault="00CB050F" w:rsidP="00CB050F">
            <w:pPr>
              <w:pStyle w:val="NormalWeb"/>
              <w:rPr>
                <w:rFonts w:ascii="Arial" w:hAnsi="Arial" w:cs="Arial"/>
              </w:rPr>
            </w:pPr>
            <w:r w:rsidRPr="00E82F6F">
              <w:rPr>
                <w:rFonts w:ascii="Arial" w:hAnsi="Arial" w:cs="Arial"/>
                <w:lang w:val="en"/>
              </w:rPr>
              <w:t>Section 135(1) of the SSWBWA 2014 specifies the objectives of a Safeguarding Children Board. This sets out a duty on the LA to put in place a regional safeguarding board.</w:t>
            </w:r>
            <w:r>
              <w:rPr>
                <w:rFonts w:ascii="Arial" w:hAnsi="Arial" w:cs="Arial"/>
                <w:lang w:val="en"/>
              </w:rPr>
              <w:t xml:space="preserve"> The</w:t>
            </w:r>
            <w:r w:rsidRPr="00E82F6F">
              <w:rPr>
                <w:rFonts w:ascii="Arial" w:hAnsi="Arial" w:cs="Arial"/>
                <w:lang w:val="en"/>
              </w:rPr>
              <w:t xml:space="preserve"> </w:t>
            </w:r>
            <w:hyperlink r:id="rId11" w:history="1">
              <w:r w:rsidRPr="008C0FA9">
                <w:rPr>
                  <w:rStyle w:val="Hyperlink"/>
                  <w:rFonts w:ascii="Arial" w:hAnsi="Arial" w:cs="Arial"/>
                  <w:color w:val="auto"/>
                  <w:u w:val="none"/>
                  <w:lang w:val="en"/>
                </w:rPr>
                <w:t>Safeguarding Boards (Functions and Procedures) (Wales) Regulations 2015</w:t>
              </w:r>
            </w:hyperlink>
            <w:r w:rsidRPr="008C0FA9">
              <w:rPr>
                <w:rFonts w:ascii="Arial" w:hAnsi="Arial" w:cs="Arial"/>
                <w:lang w:val="en"/>
              </w:rPr>
              <w:t xml:space="preserve"> </w:t>
            </w:r>
            <w:r w:rsidRPr="00E82F6F">
              <w:rPr>
                <w:rFonts w:ascii="Arial" w:hAnsi="Arial" w:cs="Arial"/>
                <w:lang w:val="en"/>
              </w:rPr>
              <w:t>make further provision regardi</w:t>
            </w:r>
            <w:r>
              <w:rPr>
                <w:rFonts w:ascii="Arial" w:hAnsi="Arial" w:cs="Arial"/>
                <w:lang w:val="en"/>
              </w:rPr>
              <w:t>ng to the functions of safeguarding boards and the procedures that safeguarding boards must adopt (Welsh G</w:t>
            </w:r>
            <w:r w:rsidRPr="00E82F6F">
              <w:rPr>
                <w:rFonts w:ascii="Arial" w:hAnsi="Arial" w:cs="Arial"/>
                <w:lang w:val="en"/>
              </w:rPr>
              <w:t xml:space="preserve">overnment, 2021). </w:t>
            </w:r>
            <w:r w:rsidRPr="00E82F6F">
              <w:rPr>
                <w:rFonts w:ascii="Arial" w:hAnsi="Arial" w:cs="Arial"/>
              </w:rPr>
              <w:t>The regional safeguarding board specifically supports professionals to identify safeguarding thresholds, providing a framework to enable professionals to fulfil their statutory duties, working al</w:t>
            </w:r>
            <w:r>
              <w:rPr>
                <w:rFonts w:ascii="Arial" w:hAnsi="Arial" w:cs="Arial"/>
              </w:rPr>
              <w:t>ongside the Wales Safeguarding P</w:t>
            </w:r>
            <w:r w:rsidRPr="00E82F6F">
              <w:rPr>
                <w:rFonts w:ascii="Arial" w:hAnsi="Arial" w:cs="Arial"/>
              </w:rPr>
              <w:t xml:space="preserve">rocedures. </w:t>
            </w:r>
          </w:p>
          <w:p w14:paraId="6F5E662E" w14:textId="77777777" w:rsidR="00CB050F" w:rsidRPr="00E82F6F" w:rsidRDefault="00CB050F" w:rsidP="00CB050F">
            <w:pPr>
              <w:pStyle w:val="NormalWeb"/>
              <w:rPr>
                <w:rFonts w:ascii="Arial" w:hAnsi="Arial" w:cs="Arial"/>
                <w:lang w:val="en"/>
              </w:rPr>
            </w:pPr>
          </w:p>
          <w:p w14:paraId="206514B9" w14:textId="2D1DE3FD" w:rsidR="00FC0334" w:rsidRPr="00CB050F" w:rsidRDefault="00CB050F" w:rsidP="00CB050F">
            <w:pPr>
              <w:pStyle w:val="NormalWeb"/>
              <w:jc w:val="right"/>
              <w:rPr>
                <w:rFonts w:ascii="Arial" w:hAnsi="Arial" w:cs="Arial"/>
                <w:bCs/>
                <w:sz w:val="20"/>
                <w:szCs w:val="20"/>
              </w:rPr>
            </w:pPr>
            <w:r>
              <w:rPr>
                <w:rFonts w:ascii="Arial" w:hAnsi="Arial" w:cs="Arial"/>
                <w:bCs/>
                <w:sz w:val="20"/>
                <w:szCs w:val="20"/>
              </w:rPr>
              <w:t>Word Count: 512</w:t>
            </w:r>
          </w:p>
          <w:p w14:paraId="60D8C669" w14:textId="70A52113" w:rsidR="00FC0334" w:rsidRDefault="00FC0334" w:rsidP="00FF7EBB">
            <w:pPr>
              <w:jc w:val="both"/>
              <w:rPr>
                <w:sz w:val="24"/>
                <w:szCs w:val="24"/>
              </w:rPr>
            </w:pPr>
          </w:p>
          <w:p w14:paraId="09F2DC07" w14:textId="77777777" w:rsidR="00CB050F" w:rsidRDefault="00CB050F"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2D427ACD" w14:textId="77777777" w:rsidR="00CB050F" w:rsidRDefault="00CB050F" w:rsidP="00CB050F">
            <w:pPr>
              <w:jc w:val="both"/>
              <w:rPr>
                <w:color w:val="000000" w:themeColor="text1"/>
                <w:sz w:val="24"/>
                <w:szCs w:val="24"/>
              </w:rPr>
            </w:pPr>
            <w:r w:rsidRPr="00DA271F">
              <w:rPr>
                <w:color w:val="000000" w:themeColor="text1"/>
                <w:sz w:val="24"/>
                <w:szCs w:val="24"/>
              </w:rPr>
              <w:t>The SSWB</w:t>
            </w:r>
            <w:r>
              <w:rPr>
                <w:color w:val="000000" w:themeColor="text1"/>
                <w:sz w:val="24"/>
                <w:szCs w:val="24"/>
              </w:rPr>
              <w:t>(W)</w:t>
            </w:r>
            <w:r w:rsidRPr="00DA271F">
              <w:rPr>
                <w:color w:val="000000" w:themeColor="text1"/>
                <w:sz w:val="24"/>
                <w:szCs w:val="24"/>
              </w:rPr>
              <w:t>A 2014 and Wales Safeguarding Procedures includes adults and children providing a streamline approach to safeguarding individuals in Wales</w:t>
            </w:r>
            <w:r>
              <w:rPr>
                <w:color w:val="000000" w:themeColor="text1"/>
                <w:sz w:val="24"/>
                <w:szCs w:val="24"/>
              </w:rPr>
              <w:t>,</w:t>
            </w:r>
            <w:r w:rsidRPr="00DA271F">
              <w:rPr>
                <w:color w:val="000000" w:themeColor="text1"/>
                <w:sz w:val="24"/>
                <w:szCs w:val="24"/>
              </w:rPr>
              <w:t xml:space="preserve"> </w:t>
            </w:r>
            <w:r>
              <w:rPr>
                <w:color w:val="000000" w:themeColor="text1"/>
                <w:sz w:val="24"/>
                <w:szCs w:val="24"/>
              </w:rPr>
              <w:t>providing</w:t>
            </w:r>
            <w:r w:rsidRPr="00DA271F">
              <w:rPr>
                <w:color w:val="000000" w:themeColor="text1"/>
                <w:sz w:val="24"/>
                <w:szCs w:val="24"/>
              </w:rPr>
              <w:t xml:space="preserve"> clear comparisons between safeguarding adults and children. </w:t>
            </w:r>
          </w:p>
          <w:p w14:paraId="6A6DD2A1" w14:textId="77777777" w:rsidR="00CB050F" w:rsidRPr="00DA271F" w:rsidRDefault="00CB050F" w:rsidP="00CB050F">
            <w:pPr>
              <w:jc w:val="both"/>
              <w:rPr>
                <w:color w:val="000000" w:themeColor="text1"/>
                <w:sz w:val="24"/>
                <w:szCs w:val="24"/>
              </w:rPr>
            </w:pPr>
          </w:p>
          <w:p w14:paraId="12365843" w14:textId="77777777" w:rsidR="00CB050F" w:rsidRPr="00DA271F" w:rsidRDefault="00CB050F" w:rsidP="00CB050F">
            <w:pPr>
              <w:pStyle w:val="Default"/>
              <w:rPr>
                <w:color w:val="000000" w:themeColor="text1"/>
              </w:rPr>
            </w:pPr>
            <w:r w:rsidRPr="00DA271F">
              <w:rPr>
                <w:color w:val="000000" w:themeColor="text1"/>
              </w:rPr>
              <w:t>Part 7 of the SSWB</w:t>
            </w:r>
            <w:r>
              <w:rPr>
                <w:color w:val="000000" w:themeColor="text1"/>
              </w:rPr>
              <w:t>(</w:t>
            </w:r>
            <w:r w:rsidRPr="00DA271F">
              <w:rPr>
                <w:color w:val="000000" w:themeColor="text1"/>
              </w:rPr>
              <w:t>W</w:t>
            </w:r>
            <w:r>
              <w:rPr>
                <w:color w:val="000000" w:themeColor="text1"/>
              </w:rPr>
              <w:t>)</w:t>
            </w:r>
            <w:r w:rsidRPr="00DA271F">
              <w:rPr>
                <w:color w:val="000000" w:themeColor="text1"/>
              </w:rPr>
              <w:t>A identify eligibility thresholds for reporting an adult or</w:t>
            </w:r>
            <w:r>
              <w:rPr>
                <w:color w:val="000000" w:themeColor="text1"/>
              </w:rPr>
              <w:t xml:space="preserve"> child at risk. S130 states what</w:t>
            </w:r>
            <w:r w:rsidRPr="00DA271F">
              <w:rPr>
                <w:color w:val="000000" w:themeColor="text1"/>
              </w:rPr>
              <w:t xml:space="preserve"> a child at risk is</w:t>
            </w:r>
            <w:r>
              <w:rPr>
                <w:color w:val="000000" w:themeColor="text1"/>
              </w:rPr>
              <w:t>;</w:t>
            </w:r>
            <w:r w:rsidRPr="00DA271F">
              <w:rPr>
                <w:color w:val="000000" w:themeColor="text1"/>
              </w:rPr>
              <w:t xml:space="preserve"> if they are experiencing or at risk of abuse or neglect and has needs for care and support. Whereas, s126 states that an adult at risk is experiencing or is at risk of abuse or neglect, has care needs and as a result of those needs is unable to protect themselves against the abuse or neglect, or the risk of it. </w:t>
            </w:r>
          </w:p>
          <w:p w14:paraId="49E4B9C9" w14:textId="77777777" w:rsidR="00CB050F" w:rsidRPr="00DA271F" w:rsidRDefault="00CB050F" w:rsidP="00CB050F">
            <w:pPr>
              <w:pStyle w:val="Default"/>
              <w:rPr>
                <w:color w:val="000000" w:themeColor="text1"/>
              </w:rPr>
            </w:pPr>
          </w:p>
          <w:p w14:paraId="66B83DBE" w14:textId="77777777" w:rsidR="00CB050F" w:rsidRPr="00DA271F" w:rsidRDefault="00CB050F" w:rsidP="00CB050F">
            <w:pPr>
              <w:pStyle w:val="Default"/>
              <w:rPr>
                <w:bCs/>
              </w:rPr>
            </w:pPr>
            <w:r w:rsidRPr="00DA271F">
              <w:rPr>
                <w:color w:val="000000" w:themeColor="text1"/>
              </w:rPr>
              <w:t>If a child is reported under s130 of the SSWB</w:t>
            </w:r>
            <w:r>
              <w:rPr>
                <w:color w:val="000000" w:themeColor="text1"/>
              </w:rPr>
              <w:t>(</w:t>
            </w:r>
            <w:r w:rsidRPr="00DA271F">
              <w:rPr>
                <w:color w:val="000000" w:themeColor="text1"/>
              </w:rPr>
              <w:t>W</w:t>
            </w:r>
            <w:r>
              <w:rPr>
                <w:color w:val="000000" w:themeColor="text1"/>
              </w:rPr>
              <w:t>)</w:t>
            </w:r>
            <w:r w:rsidRPr="00DA271F">
              <w:rPr>
                <w:color w:val="000000" w:themeColor="text1"/>
              </w:rPr>
              <w:t>A 2014, the LA must consider whether there are grounds to make enquiries under s47 CA 1989</w:t>
            </w:r>
            <w:r>
              <w:rPr>
                <w:color w:val="000000" w:themeColor="text1"/>
              </w:rPr>
              <w:t>;</w:t>
            </w:r>
            <w:r w:rsidRPr="00DA271F">
              <w:rPr>
                <w:color w:val="000000" w:themeColor="text1"/>
              </w:rPr>
              <w:t xml:space="preserve"> a</w:t>
            </w:r>
            <w:r>
              <w:rPr>
                <w:color w:val="000000" w:themeColor="text1"/>
              </w:rPr>
              <w:t xml:space="preserve"> child is at</w:t>
            </w:r>
            <w:r w:rsidRPr="00DA271F">
              <w:rPr>
                <w:color w:val="000000" w:themeColor="text1"/>
              </w:rPr>
              <w:t xml:space="preserve"> risk of ‘significant harm’</w:t>
            </w:r>
            <w:r>
              <w:rPr>
                <w:color w:val="000000" w:themeColor="text1"/>
              </w:rPr>
              <w:t>. T</w:t>
            </w:r>
            <w:r w:rsidRPr="00DA271F">
              <w:rPr>
                <w:color w:val="000000" w:themeColor="text1"/>
              </w:rPr>
              <w:t>he LA has a duty to make enquiries</w:t>
            </w:r>
            <w:r>
              <w:rPr>
                <w:color w:val="000000" w:themeColor="text1"/>
              </w:rPr>
              <w:t xml:space="preserve"> if</w:t>
            </w:r>
            <w:r w:rsidRPr="00DA271F">
              <w:rPr>
                <w:color w:val="000000" w:themeColor="text1"/>
              </w:rPr>
              <w:t xml:space="preserve"> it considers necessary to ensure that the child is safeguarded (Welsh Government, 2018 p.5). Article 19 of the </w:t>
            </w:r>
            <w:r w:rsidRPr="00DA271F">
              <w:t>UNCRC states that a child should be protected fro</w:t>
            </w:r>
            <w:r>
              <w:t>m violence, abuse and neglect. Identified f</w:t>
            </w:r>
            <w:r w:rsidRPr="00DA271F">
              <w:t xml:space="preserve">orms of abuse for children and adults are physical; emotional/ psychological; sexual; financial and neglect. </w:t>
            </w:r>
          </w:p>
          <w:p w14:paraId="4525872D" w14:textId="77777777" w:rsidR="00CB050F" w:rsidRDefault="00CB050F" w:rsidP="00CB050F">
            <w:pPr>
              <w:pStyle w:val="Default"/>
              <w:rPr>
                <w:bCs/>
              </w:rPr>
            </w:pPr>
          </w:p>
          <w:p w14:paraId="4BBFAB6E" w14:textId="77777777" w:rsidR="00CB050F" w:rsidRDefault="00CB050F" w:rsidP="00CB050F">
            <w:pPr>
              <w:pStyle w:val="Default"/>
              <w:rPr>
                <w:bCs/>
              </w:rPr>
            </w:pPr>
            <w:r>
              <w:rPr>
                <w:bCs/>
              </w:rPr>
              <w:t xml:space="preserve">The Mental Capacity Act 2005 s1 states an adult should be presumed to have capacity unless proven otherwise, having the right to self-determination. The age at which the MCA 2005 comes into fruition is 16 years, whereas, the CA 1989 deems a child to be up to 18 </w:t>
            </w:r>
            <w:r>
              <w:rPr>
                <w:bCs/>
              </w:rPr>
              <w:lastRenderedPageBreak/>
              <w:t xml:space="preserve">years. This may cause conflict, particularly with regard to consent. If an adult is reported as an ‘adult at risk’ under the SSWB(W)A 2014; consent should be sought by the adult to make further enquiries, unless they do not have capacity or it is in the public interest not to do so (Welsh Government, 2018 p.15). </w:t>
            </w:r>
            <w:r w:rsidRPr="00B56EB8">
              <w:t>Article 8 of the ECHR provides adults wi</w:t>
            </w:r>
            <w:r>
              <w:t xml:space="preserve">th the right to a private life. </w:t>
            </w:r>
            <w:r>
              <w:rPr>
                <w:bCs/>
              </w:rPr>
              <w:t xml:space="preserve">Principle 1(4) MCA 2005 states that adults have the right to make unwise decisions. Whereas, consent does not have to be sought from a child if they are suspected to be ‘at risk’. </w:t>
            </w:r>
          </w:p>
          <w:p w14:paraId="13206BE3" w14:textId="77777777" w:rsidR="00CB050F" w:rsidRDefault="00CB050F" w:rsidP="00CB050F">
            <w:pPr>
              <w:pStyle w:val="Default"/>
              <w:rPr>
                <w:bCs/>
              </w:rPr>
            </w:pPr>
          </w:p>
          <w:p w14:paraId="5DD79D88" w14:textId="77777777" w:rsidR="00CB050F" w:rsidRPr="0046366E" w:rsidRDefault="00CB050F" w:rsidP="00CB050F">
            <w:pPr>
              <w:pStyle w:val="Default"/>
            </w:pPr>
            <w:r w:rsidRPr="0046366E">
              <w:rPr>
                <w:bCs/>
              </w:rPr>
              <w:t xml:space="preserve">The </w:t>
            </w:r>
            <w:r w:rsidRPr="0046366E">
              <w:t xml:space="preserve">case of </w:t>
            </w:r>
            <w:r w:rsidRPr="0046366E">
              <w:rPr>
                <w:i/>
                <w:iCs/>
              </w:rPr>
              <w:t xml:space="preserve">Gillick v West Norfolk and Wisbech Area Health Authority </w:t>
            </w:r>
            <w:r w:rsidRPr="0046366E">
              <w:t xml:space="preserve">(1986) deems </w:t>
            </w:r>
            <w:r>
              <w:t>that</w:t>
            </w:r>
            <w:r w:rsidRPr="0046366E">
              <w:t xml:space="preserve"> a child can consent to healthcare decisions under the age of 16, without gaining parental consent depending on the ‘</w:t>
            </w:r>
            <w:r w:rsidRPr="0046366E">
              <w:rPr>
                <w:rStyle w:val="Emphasis"/>
                <w:lang w:val="en-US"/>
              </w:rPr>
              <w:t>child’s maturity and understanding and the nature of the consent required.</w:t>
            </w:r>
            <w:r w:rsidRPr="0046366E">
              <w:t>.’ A health professional could follow the Fraser Guidelines (Healthcareethicsandlaw, 2022), assessing the child to be ‘Gillick Competent’. It is important to note that it i</w:t>
            </w:r>
            <w:r>
              <w:t>s preferable if the decision could be</w:t>
            </w:r>
            <w:r w:rsidRPr="0046366E">
              <w:t xml:space="preserve"> discussed with the adult who has parental responsibility</w:t>
            </w:r>
            <w:r>
              <w:t xml:space="preserve"> beforehand</w:t>
            </w:r>
            <w:r w:rsidRPr="0046366E">
              <w:t xml:space="preserve">. </w:t>
            </w:r>
          </w:p>
          <w:p w14:paraId="33C361D8" w14:textId="77777777" w:rsidR="00CB050F" w:rsidRDefault="00CB050F" w:rsidP="00CB050F">
            <w:pPr>
              <w:pStyle w:val="Default"/>
              <w:rPr>
                <w:bCs/>
              </w:rPr>
            </w:pPr>
          </w:p>
          <w:p w14:paraId="698D6379" w14:textId="77777777" w:rsidR="00CB050F" w:rsidRDefault="00CB050F" w:rsidP="00CB050F">
            <w:pPr>
              <w:pStyle w:val="Default"/>
              <w:rPr>
                <w:bCs/>
              </w:rPr>
            </w:pPr>
          </w:p>
          <w:p w14:paraId="7B7B4827" w14:textId="529C0DEF" w:rsidR="00FC0334" w:rsidRDefault="00CB050F" w:rsidP="00CB050F">
            <w:pPr>
              <w:pStyle w:val="Default"/>
              <w:jc w:val="right"/>
              <w:rPr>
                <w:bCs/>
                <w:sz w:val="20"/>
                <w:szCs w:val="20"/>
              </w:rPr>
            </w:pPr>
            <w:r>
              <w:rPr>
                <w:bCs/>
                <w:sz w:val="20"/>
                <w:szCs w:val="20"/>
              </w:rPr>
              <w:t>Word Count: 439</w:t>
            </w:r>
          </w:p>
          <w:p w14:paraId="47CF7CC4" w14:textId="77777777" w:rsidR="00CB050F" w:rsidRPr="00CB050F" w:rsidRDefault="00CB050F" w:rsidP="00CB050F">
            <w:pPr>
              <w:pStyle w:val="Default"/>
              <w:jc w:val="right"/>
              <w:rPr>
                <w:bCs/>
                <w:sz w:val="20"/>
                <w:szCs w:val="20"/>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594A727" w14:textId="77777777" w:rsidR="00792FE4" w:rsidRDefault="00792FE4">
      <w:r>
        <w:separator/>
      </w:r>
    </w:p>
  </w:endnote>
  <w:endnote w:type="continuationSeparator" w:id="0">
    <w:p w14:paraId="63FAA83B" w14:textId="77777777" w:rsidR="00792FE4" w:rsidRDefault="00792F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2B03FA09" w:rsidR="00A5656A" w:rsidRDefault="00A5656A">
    <w:pPr>
      <w:pStyle w:val="Footer"/>
      <w:jc w:val="right"/>
    </w:pPr>
    <w:r>
      <w:fldChar w:fldCharType="begin"/>
    </w:r>
    <w:r>
      <w:instrText xml:space="preserve"> PAGE   \* MERGEFORMAT </w:instrText>
    </w:r>
    <w:r>
      <w:fldChar w:fldCharType="separate"/>
    </w:r>
    <w:r w:rsidR="0030720E">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22D82E3" w14:textId="77777777" w:rsidR="00792FE4" w:rsidRDefault="00792FE4">
      <w:r>
        <w:separator/>
      </w:r>
    </w:p>
  </w:footnote>
  <w:footnote w:type="continuationSeparator" w:id="0">
    <w:p w14:paraId="303AB275" w14:textId="77777777" w:rsidR="00792FE4" w:rsidRDefault="00792F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720E"/>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2FE4"/>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050F"/>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Default">
    <w:name w:val="Default"/>
    <w:rsid w:val="00CB050F"/>
    <w:pPr>
      <w:autoSpaceDE w:val="0"/>
      <w:autoSpaceDN w:val="0"/>
      <w:adjustRightInd w:val="0"/>
    </w:pPr>
    <w:rPr>
      <w:rFonts w:ascii="Arial" w:eastAsiaTheme="minorHAnsi" w:hAnsi="Arial" w:cs="Arial"/>
      <w:color w:val="000000"/>
      <w:sz w:val="24"/>
      <w:szCs w:val="24"/>
      <w:lang w:eastAsia="en-US"/>
    </w:rPr>
  </w:style>
  <w:style w:type="paragraph" w:styleId="NormalWeb">
    <w:name w:val="Normal (Web)"/>
    <w:basedOn w:val="Normal"/>
    <w:uiPriority w:val="99"/>
    <w:unhideWhenUsed/>
    <w:rsid w:val="00CB050F"/>
    <w:rPr>
      <w:rFonts w:ascii="Times New Roman" w:hAnsi="Times New Roman" w:cs="Times New Roman"/>
      <w:sz w:val="24"/>
      <w:szCs w:val="24"/>
    </w:rPr>
  </w:style>
  <w:style w:type="character" w:customStyle="1" w:styleId="legds2">
    <w:name w:val="legds2"/>
    <w:basedOn w:val="DefaultParagraphFont"/>
    <w:rsid w:val="00CB050F"/>
    <w:rPr>
      <w:vanish w:val="0"/>
      <w:webHidden w:val="0"/>
      <w:specVanish w:val="0"/>
    </w:rPr>
  </w:style>
  <w:style w:type="character" w:styleId="Emphasis">
    <w:name w:val="Emphasis"/>
    <w:basedOn w:val="DefaultParagraphFont"/>
    <w:uiPriority w:val="20"/>
    <w:qFormat/>
    <w:rsid w:val="00CB050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wsi/2015/1466/contents/made"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D38D4DD5-4F07-40E0-987F-D1E547EA96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1096</Words>
  <Characters>6249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Dyer, Abigail</cp:lastModifiedBy>
  <cp:revision>5</cp:revision>
  <cp:lastPrinted>2020-02-11T19:20:00Z</cp:lastPrinted>
  <dcterms:created xsi:type="dcterms:W3CDTF">2022-09-29T11:35:00Z</dcterms:created>
  <dcterms:modified xsi:type="dcterms:W3CDTF">2023-02-23T18:23:00Z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