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8BB7E" w14:textId="5EC58121" w:rsidR="00EF4E09" w:rsidRPr="00337566" w:rsidRDefault="00EF4E09" w:rsidP="00EF4E09">
      <w:pPr>
        <w:jc w:val="center"/>
        <w:rPr>
          <w:rFonts w:ascii="Arial" w:hAnsi="Arial" w:cs="Arial"/>
        </w:rPr>
      </w:pPr>
      <w:r w:rsidRPr="00337566">
        <w:rPr>
          <w:rFonts w:ascii="Arial" w:hAnsi="Arial" w:cs="Arial"/>
          <w:b/>
        </w:rPr>
        <w:t>University of Wales Trinity Saint David</w:t>
      </w:r>
      <w:r w:rsidRPr="00337566">
        <w:rPr>
          <w:rFonts w:ascii="Arial" w:hAnsi="Arial" w:cs="Arial"/>
          <w:b/>
        </w:rPr>
        <w:br/>
      </w:r>
      <w:r w:rsidRPr="00337566">
        <w:rPr>
          <w:rFonts w:ascii="Arial" w:hAnsi="Arial" w:cs="Arial"/>
          <w:b/>
        </w:rPr>
        <w:br/>
      </w:r>
      <w:r w:rsidRPr="00337566">
        <w:rPr>
          <w:rFonts w:ascii="Arial" w:hAnsi="Arial" w:cs="Arial"/>
        </w:rPr>
        <w:t>Assignment: Contemporary Issues in Policing</w:t>
      </w:r>
      <w:r w:rsidRPr="00337566">
        <w:rPr>
          <w:rFonts w:ascii="Arial" w:hAnsi="Arial" w:cs="Arial"/>
        </w:rPr>
        <w:br/>
      </w:r>
      <w:r w:rsidRPr="00337566">
        <w:rPr>
          <w:rFonts w:ascii="Arial" w:hAnsi="Arial" w:cs="Arial"/>
        </w:rPr>
        <w:br/>
        <w:t xml:space="preserve">Module: Leadership and the Individual </w:t>
      </w:r>
      <w:r w:rsidRPr="00337566">
        <w:rPr>
          <w:rFonts w:ascii="Arial" w:hAnsi="Arial" w:cs="Arial"/>
          <w:bCs/>
        </w:rPr>
        <w:t>BMPO7006D</w:t>
      </w:r>
      <w:r w:rsidRPr="00337566">
        <w:rPr>
          <w:rFonts w:ascii="Arial" w:hAnsi="Arial" w:cs="Arial"/>
        </w:rPr>
        <w:br/>
        <w:t>Programme: MSc Policing (Operational and Strategic Leadership)</w:t>
      </w:r>
      <w:r w:rsidRPr="00337566">
        <w:rPr>
          <w:rFonts w:ascii="Arial" w:hAnsi="Arial" w:cs="Arial"/>
        </w:rPr>
        <w:br/>
      </w:r>
      <w:r w:rsidRPr="00337566">
        <w:rPr>
          <w:rFonts w:ascii="Arial" w:hAnsi="Arial" w:cs="Arial"/>
        </w:rPr>
        <w:br/>
        <w:t>Student Name: Aneliese Allen</w:t>
      </w:r>
      <w:r w:rsidRPr="00337566">
        <w:rPr>
          <w:rFonts w:ascii="Arial" w:hAnsi="Arial" w:cs="Arial"/>
        </w:rPr>
        <w:br/>
        <w:t>Student ID: 2520771</w:t>
      </w:r>
      <w:r w:rsidRPr="00337566">
        <w:rPr>
          <w:rFonts w:ascii="Arial" w:hAnsi="Arial" w:cs="Arial"/>
        </w:rPr>
        <w:br/>
        <w:t xml:space="preserve">Date: </w:t>
      </w:r>
      <w:r>
        <w:rPr>
          <w:rFonts w:ascii="Arial" w:hAnsi="Arial" w:cs="Arial"/>
        </w:rPr>
        <w:t>22nd</w:t>
      </w:r>
      <w:r w:rsidRPr="00337566">
        <w:rPr>
          <w:rFonts w:ascii="Arial" w:hAnsi="Arial" w:cs="Arial"/>
        </w:rPr>
        <w:t xml:space="preserve"> April 2026</w:t>
      </w:r>
      <w:r w:rsidRPr="00337566">
        <w:rPr>
          <w:rFonts w:ascii="Arial" w:hAnsi="Arial" w:cs="Arial"/>
        </w:rPr>
        <w:br/>
      </w:r>
    </w:p>
    <w:p w14:paraId="622C06F7" w14:textId="77777777" w:rsidR="00EC5E47" w:rsidRDefault="00EC5E47" w:rsidP="00377674">
      <w:pPr>
        <w:spacing w:line="480" w:lineRule="auto"/>
        <w:rPr>
          <w:rFonts w:ascii="Arial" w:hAnsi="Arial" w:cs="Arial"/>
        </w:rPr>
      </w:pPr>
    </w:p>
    <w:p w14:paraId="76EC3995" w14:textId="77777777" w:rsidR="00EC5E47" w:rsidRDefault="00EC5E47" w:rsidP="00377674">
      <w:pPr>
        <w:spacing w:line="480" w:lineRule="auto"/>
        <w:rPr>
          <w:rFonts w:ascii="Arial" w:hAnsi="Arial" w:cs="Arial"/>
        </w:rPr>
      </w:pPr>
    </w:p>
    <w:p w14:paraId="7E517D86" w14:textId="77777777" w:rsidR="00EC5E47" w:rsidRDefault="00EC5E47" w:rsidP="00377674">
      <w:pPr>
        <w:spacing w:line="480" w:lineRule="auto"/>
        <w:rPr>
          <w:rFonts w:ascii="Arial" w:hAnsi="Arial" w:cs="Arial"/>
        </w:rPr>
      </w:pPr>
    </w:p>
    <w:p w14:paraId="7949BA9A" w14:textId="77777777" w:rsidR="00EC5E47" w:rsidRDefault="00EC5E47" w:rsidP="00377674">
      <w:pPr>
        <w:spacing w:line="480" w:lineRule="auto"/>
        <w:rPr>
          <w:rFonts w:ascii="Arial" w:hAnsi="Arial" w:cs="Arial"/>
        </w:rPr>
      </w:pPr>
    </w:p>
    <w:p w14:paraId="3FE8024F" w14:textId="77777777" w:rsidR="00EC5E47" w:rsidRDefault="00EC5E47" w:rsidP="00377674">
      <w:pPr>
        <w:spacing w:line="480" w:lineRule="auto"/>
        <w:rPr>
          <w:rFonts w:ascii="Arial" w:hAnsi="Arial" w:cs="Arial"/>
        </w:rPr>
      </w:pPr>
    </w:p>
    <w:p w14:paraId="131093F8" w14:textId="77777777" w:rsidR="00EC5E47" w:rsidRDefault="00EC5E47" w:rsidP="00377674">
      <w:pPr>
        <w:spacing w:line="480" w:lineRule="auto"/>
        <w:rPr>
          <w:rFonts w:ascii="Arial" w:hAnsi="Arial" w:cs="Arial"/>
        </w:rPr>
      </w:pPr>
    </w:p>
    <w:p w14:paraId="476FA5FE" w14:textId="77777777" w:rsidR="00EC5E47" w:rsidRDefault="00EC5E47" w:rsidP="00377674">
      <w:pPr>
        <w:spacing w:line="480" w:lineRule="auto"/>
        <w:rPr>
          <w:rFonts w:ascii="Arial" w:hAnsi="Arial" w:cs="Arial"/>
        </w:rPr>
      </w:pPr>
    </w:p>
    <w:p w14:paraId="28B1C5A0" w14:textId="77777777" w:rsidR="00EC5E47" w:rsidRDefault="00EC5E47" w:rsidP="00377674">
      <w:pPr>
        <w:spacing w:line="480" w:lineRule="auto"/>
        <w:rPr>
          <w:rFonts w:ascii="Arial" w:hAnsi="Arial" w:cs="Arial"/>
        </w:rPr>
      </w:pPr>
    </w:p>
    <w:p w14:paraId="17E417B4" w14:textId="77777777" w:rsidR="00EC5E47" w:rsidRDefault="00EC5E47" w:rsidP="00377674">
      <w:pPr>
        <w:spacing w:line="480" w:lineRule="auto"/>
        <w:rPr>
          <w:rFonts w:ascii="Arial" w:hAnsi="Arial" w:cs="Arial"/>
        </w:rPr>
      </w:pPr>
    </w:p>
    <w:p w14:paraId="2EC003D6" w14:textId="77777777" w:rsidR="00EC5E47" w:rsidRDefault="00EC5E47" w:rsidP="00377674">
      <w:pPr>
        <w:spacing w:line="480" w:lineRule="auto"/>
        <w:rPr>
          <w:rFonts w:ascii="Arial" w:hAnsi="Arial" w:cs="Arial"/>
        </w:rPr>
      </w:pPr>
    </w:p>
    <w:p w14:paraId="566A412A" w14:textId="77777777" w:rsidR="00EC5E47" w:rsidRDefault="00EC5E47" w:rsidP="00377674">
      <w:pPr>
        <w:spacing w:line="480" w:lineRule="auto"/>
        <w:rPr>
          <w:rFonts w:ascii="Arial" w:hAnsi="Arial" w:cs="Arial"/>
        </w:rPr>
      </w:pPr>
    </w:p>
    <w:p w14:paraId="16F7DC33" w14:textId="77777777" w:rsidR="00EC5E47" w:rsidRDefault="00EC5E47" w:rsidP="00377674">
      <w:pPr>
        <w:spacing w:line="480" w:lineRule="auto"/>
        <w:rPr>
          <w:rFonts w:ascii="Arial" w:hAnsi="Arial" w:cs="Arial"/>
        </w:rPr>
      </w:pPr>
    </w:p>
    <w:p w14:paraId="225A5716" w14:textId="77777777" w:rsidR="00EC5E47" w:rsidRDefault="00EC5E47" w:rsidP="00377674">
      <w:pPr>
        <w:spacing w:line="480" w:lineRule="auto"/>
        <w:rPr>
          <w:rFonts w:ascii="Arial" w:hAnsi="Arial" w:cs="Arial"/>
        </w:rPr>
      </w:pPr>
    </w:p>
    <w:p w14:paraId="67501877" w14:textId="77777777" w:rsidR="00EC5E47" w:rsidRDefault="00EC5E47" w:rsidP="00377674">
      <w:pPr>
        <w:spacing w:line="480" w:lineRule="auto"/>
        <w:rPr>
          <w:rFonts w:ascii="Arial" w:hAnsi="Arial" w:cs="Arial"/>
        </w:rPr>
      </w:pPr>
    </w:p>
    <w:p w14:paraId="2F30BC84" w14:textId="0E935119" w:rsidR="00EF0821" w:rsidRDefault="00EF0821" w:rsidP="00377674">
      <w:pPr>
        <w:spacing w:line="480" w:lineRule="auto"/>
        <w:rPr>
          <w:rFonts w:ascii="Arial" w:hAnsi="Arial" w:cs="Arial"/>
        </w:rPr>
      </w:pPr>
    </w:p>
    <w:p w14:paraId="078A3F94" w14:textId="77777777" w:rsidR="00EF0821" w:rsidRPr="00EF39CE" w:rsidRDefault="00EF0821" w:rsidP="00EF0821">
      <w:pPr>
        <w:spacing w:line="480" w:lineRule="auto"/>
        <w:rPr>
          <w:rFonts w:ascii="Arial" w:hAnsi="Arial" w:cs="Arial"/>
          <w:b/>
          <w:bCs/>
        </w:rPr>
      </w:pPr>
      <w:r w:rsidRPr="00EF39CE">
        <w:rPr>
          <w:rFonts w:ascii="Arial" w:hAnsi="Arial" w:cs="Arial"/>
          <w:b/>
          <w:bCs/>
        </w:rPr>
        <w:lastRenderedPageBreak/>
        <w:t>Declaration of the Use of Artificial Intelligence (AI)</w:t>
      </w:r>
    </w:p>
    <w:p w14:paraId="5DB5BF85" w14:textId="77777777" w:rsidR="00EF0821" w:rsidRPr="00EF39CE" w:rsidRDefault="00EF0821" w:rsidP="00EF0821">
      <w:pPr>
        <w:spacing w:line="480" w:lineRule="auto"/>
        <w:rPr>
          <w:rFonts w:ascii="Arial" w:hAnsi="Arial" w:cs="Arial"/>
          <w:b/>
          <w:bCs/>
        </w:rPr>
      </w:pPr>
      <w:r w:rsidRPr="00EF39CE">
        <w:rPr>
          <w:rFonts w:ascii="Arial" w:hAnsi="Arial" w:cs="Arial"/>
          <w:b/>
          <w:bCs/>
        </w:rPr>
        <w:t>I acknowledge the use of Microsoft Copilot (M365 Copilot) on 17 April 2026 in the preparation of this assignment.</w:t>
      </w:r>
    </w:p>
    <w:p w14:paraId="20813858" w14:textId="77777777" w:rsidR="00EF0821" w:rsidRPr="00EF39CE" w:rsidRDefault="00EF0821" w:rsidP="00EF0821">
      <w:pPr>
        <w:spacing w:line="480" w:lineRule="auto"/>
        <w:rPr>
          <w:rFonts w:ascii="Arial" w:hAnsi="Arial" w:cs="Arial"/>
          <w:b/>
          <w:bCs/>
        </w:rPr>
      </w:pPr>
      <w:r w:rsidRPr="00EF39CE">
        <w:rPr>
          <w:rFonts w:ascii="Arial" w:hAnsi="Arial" w:cs="Arial"/>
          <w:b/>
          <w:bCs/>
        </w:rPr>
        <w:t>The AI tool was used solely to provide permitted academic support, specifically to:</w:t>
      </w:r>
    </w:p>
    <w:p w14:paraId="185B5872" w14:textId="77777777" w:rsidR="00EF0821" w:rsidRPr="00EF39CE" w:rsidRDefault="00EF0821" w:rsidP="00EF0821">
      <w:pPr>
        <w:numPr>
          <w:ilvl w:val="0"/>
          <w:numId w:val="1"/>
        </w:numPr>
        <w:spacing w:line="480" w:lineRule="auto"/>
        <w:rPr>
          <w:rFonts w:ascii="Arial" w:hAnsi="Arial" w:cs="Arial"/>
          <w:b/>
          <w:bCs/>
        </w:rPr>
      </w:pPr>
      <w:r w:rsidRPr="00EF39CE">
        <w:rPr>
          <w:rFonts w:ascii="Arial" w:hAnsi="Arial" w:cs="Arial"/>
          <w:b/>
          <w:bCs/>
        </w:rPr>
        <w:t>Assist with the structuring and organisation of the literature review</w:t>
      </w:r>
    </w:p>
    <w:p w14:paraId="035CC40A" w14:textId="77777777" w:rsidR="00EF0821" w:rsidRPr="00EF39CE" w:rsidRDefault="00EF0821" w:rsidP="00EF0821">
      <w:pPr>
        <w:numPr>
          <w:ilvl w:val="0"/>
          <w:numId w:val="1"/>
        </w:numPr>
        <w:spacing w:line="480" w:lineRule="auto"/>
        <w:rPr>
          <w:rFonts w:ascii="Arial" w:hAnsi="Arial" w:cs="Arial"/>
          <w:b/>
          <w:bCs/>
        </w:rPr>
      </w:pPr>
      <w:r w:rsidRPr="00EF39CE">
        <w:rPr>
          <w:rFonts w:ascii="Arial" w:hAnsi="Arial" w:cs="Arial"/>
          <w:b/>
          <w:bCs/>
        </w:rPr>
        <w:t>Support proofreading and refinement of academic language</w:t>
      </w:r>
    </w:p>
    <w:p w14:paraId="18D97712" w14:textId="77777777" w:rsidR="00EF0821" w:rsidRPr="00EF39CE" w:rsidRDefault="00EF0821" w:rsidP="00EF0821">
      <w:pPr>
        <w:numPr>
          <w:ilvl w:val="0"/>
          <w:numId w:val="1"/>
        </w:numPr>
        <w:spacing w:line="480" w:lineRule="auto"/>
        <w:rPr>
          <w:rFonts w:ascii="Arial" w:hAnsi="Arial" w:cs="Arial"/>
          <w:b/>
          <w:bCs/>
        </w:rPr>
      </w:pPr>
      <w:r w:rsidRPr="00EF39CE">
        <w:rPr>
          <w:rFonts w:ascii="Arial" w:hAnsi="Arial" w:cs="Arial"/>
          <w:b/>
          <w:bCs/>
        </w:rPr>
        <w:t>Check for consistency and accuracy in Harvard referencing</w:t>
      </w:r>
    </w:p>
    <w:p w14:paraId="69B9B34C" w14:textId="77777777" w:rsidR="00EF0821" w:rsidRPr="00EF39CE" w:rsidRDefault="00EF0821" w:rsidP="00EF0821">
      <w:pPr>
        <w:spacing w:line="480" w:lineRule="auto"/>
        <w:rPr>
          <w:rFonts w:ascii="Arial" w:hAnsi="Arial" w:cs="Arial"/>
          <w:b/>
          <w:bCs/>
        </w:rPr>
      </w:pPr>
      <w:r w:rsidRPr="00EF39CE">
        <w:rPr>
          <w:rFonts w:ascii="Arial" w:hAnsi="Arial" w:cs="Arial"/>
          <w:b/>
          <w:bCs/>
        </w:rPr>
        <w:t>The prompts used included, but were not limited to:</w:t>
      </w:r>
    </w:p>
    <w:p w14:paraId="14204893" w14:textId="77777777" w:rsidR="00EF0821" w:rsidRPr="00EF39CE" w:rsidRDefault="00EF0821" w:rsidP="00EF0821">
      <w:pPr>
        <w:numPr>
          <w:ilvl w:val="0"/>
          <w:numId w:val="2"/>
        </w:numPr>
        <w:spacing w:line="480" w:lineRule="auto"/>
        <w:rPr>
          <w:rFonts w:ascii="Arial" w:hAnsi="Arial" w:cs="Arial"/>
          <w:b/>
          <w:bCs/>
        </w:rPr>
      </w:pPr>
      <w:r w:rsidRPr="00EF39CE">
        <w:rPr>
          <w:rFonts w:ascii="Arial" w:hAnsi="Arial" w:cs="Arial"/>
          <w:b/>
          <w:bCs/>
        </w:rPr>
        <w:t>“Please check that the in</w:t>
      </w:r>
      <w:r w:rsidRPr="00EF39CE">
        <w:rPr>
          <w:rFonts w:ascii="Arial" w:hAnsi="Arial" w:cs="Arial"/>
          <w:b/>
          <w:bCs/>
        </w:rPr>
        <w:noBreakHyphen/>
        <w:t>text citations and reference list comply with UWTSD Harvard referencing guidelines.”</w:t>
      </w:r>
    </w:p>
    <w:p w14:paraId="358CDA56" w14:textId="77777777" w:rsidR="00EF0821" w:rsidRPr="00EF39CE" w:rsidRDefault="00EF0821" w:rsidP="00EF0821">
      <w:pPr>
        <w:numPr>
          <w:ilvl w:val="0"/>
          <w:numId w:val="2"/>
        </w:numPr>
        <w:spacing w:line="480" w:lineRule="auto"/>
        <w:rPr>
          <w:rFonts w:ascii="Arial" w:hAnsi="Arial" w:cs="Arial"/>
          <w:b/>
          <w:bCs/>
        </w:rPr>
      </w:pPr>
      <w:r w:rsidRPr="00EF39CE">
        <w:rPr>
          <w:rFonts w:ascii="Arial" w:hAnsi="Arial" w:cs="Arial"/>
          <w:b/>
          <w:bCs/>
        </w:rPr>
        <w:t>“Please review sentence structure and academic clarity in line with this marking rubric.”</w:t>
      </w:r>
    </w:p>
    <w:p w14:paraId="77A0F226" w14:textId="77777777" w:rsidR="00EF0821" w:rsidRPr="00EF39CE" w:rsidRDefault="00EF0821" w:rsidP="00EF0821">
      <w:pPr>
        <w:spacing w:line="480" w:lineRule="auto"/>
        <w:rPr>
          <w:rFonts w:ascii="Arial" w:hAnsi="Arial" w:cs="Arial"/>
          <w:b/>
          <w:bCs/>
        </w:rPr>
      </w:pPr>
      <w:r w:rsidRPr="00EF39CE">
        <w:rPr>
          <w:rFonts w:ascii="Arial" w:hAnsi="Arial" w:cs="Arial"/>
          <w:b/>
          <w:bCs/>
        </w:rPr>
        <w:t>I confirm that no AI</w:t>
      </w:r>
      <w:r w:rsidRPr="00EF39CE">
        <w:rPr>
          <w:rFonts w:ascii="Arial" w:hAnsi="Arial" w:cs="Arial"/>
          <w:b/>
          <w:bCs/>
        </w:rPr>
        <w:noBreakHyphen/>
        <w:t>generated text has been submitted as my own original work. All critical analysis, interpretation, and academic judgement contained within this assignment are my own.</w:t>
      </w:r>
      <w:r w:rsidRPr="00EF39CE">
        <w:rPr>
          <w:rFonts w:ascii="Arial" w:hAnsi="Arial" w:cs="Arial"/>
          <w:b/>
          <w:bCs/>
        </w:rPr>
        <w:br/>
        <w:t xml:space="preserve">I further confirm that I have retained copies of my drafts, notes, and source materials created both before and after the use of AI </w:t>
      </w:r>
      <w:proofErr w:type="gramStart"/>
      <w:r w:rsidRPr="00EF39CE">
        <w:rPr>
          <w:rFonts w:ascii="Arial" w:hAnsi="Arial" w:cs="Arial"/>
          <w:b/>
          <w:bCs/>
        </w:rPr>
        <w:t>tools, and</w:t>
      </w:r>
      <w:proofErr w:type="gramEnd"/>
      <w:r w:rsidRPr="00EF39CE">
        <w:rPr>
          <w:rFonts w:ascii="Arial" w:hAnsi="Arial" w:cs="Arial"/>
          <w:b/>
          <w:bCs/>
        </w:rPr>
        <w:t xml:space="preserve"> understand that these may be requested as evidence if required.</w:t>
      </w:r>
    </w:p>
    <w:p w14:paraId="3A05E0F1" w14:textId="77777777" w:rsidR="00EC5E47" w:rsidRDefault="00EC5E47" w:rsidP="00377674">
      <w:pPr>
        <w:spacing w:line="480" w:lineRule="auto"/>
        <w:rPr>
          <w:rFonts w:ascii="Arial" w:hAnsi="Arial" w:cs="Arial"/>
        </w:rPr>
      </w:pPr>
    </w:p>
    <w:p w14:paraId="51295F9A" w14:textId="77777777" w:rsidR="00EF0821" w:rsidRDefault="00EF0821" w:rsidP="00377674">
      <w:pPr>
        <w:spacing w:line="480" w:lineRule="auto"/>
        <w:rPr>
          <w:rFonts w:ascii="Arial" w:hAnsi="Arial" w:cs="Arial"/>
        </w:rPr>
      </w:pPr>
    </w:p>
    <w:p w14:paraId="2E965D06" w14:textId="41EBA77E" w:rsidR="004D2DDB" w:rsidRPr="004D2DDB" w:rsidRDefault="004D2DDB" w:rsidP="00377674">
      <w:pPr>
        <w:spacing w:line="480" w:lineRule="auto"/>
        <w:rPr>
          <w:rFonts w:ascii="Arial" w:hAnsi="Arial" w:cs="Arial"/>
        </w:rPr>
      </w:pPr>
      <w:r w:rsidRPr="004D2DDB">
        <w:rPr>
          <w:rFonts w:ascii="Arial" w:hAnsi="Arial" w:cs="Arial"/>
        </w:rPr>
        <w:lastRenderedPageBreak/>
        <w:t>1. Introduction: Legitimacy, Consent and the Leadership Dilemma in Contemporary Policing</w:t>
      </w:r>
    </w:p>
    <w:p w14:paraId="597B759C" w14:textId="47C6B7B8" w:rsidR="004D2DDB" w:rsidRPr="004D2DDB" w:rsidRDefault="004D2DDB" w:rsidP="00377674">
      <w:pPr>
        <w:spacing w:line="480" w:lineRule="auto"/>
        <w:rPr>
          <w:rFonts w:ascii="Arial" w:hAnsi="Arial" w:cs="Arial"/>
        </w:rPr>
      </w:pPr>
      <w:r w:rsidRPr="004D2DDB">
        <w:rPr>
          <w:rFonts w:ascii="Arial" w:hAnsi="Arial" w:cs="Arial"/>
        </w:rPr>
        <w:t xml:space="preserve">Public trust and police legitimacy have become increasingly fragile, particularly in the United Kingdom, where policing has historically been grounded in the principle of policing by consent. This principle reflects an ongoing moral relationship between the police and the public, in which authority is exercised primarily through cooperation rather than coercive force (Reiner, 2010). Drawing on Weberian conceptions of authority, legitimacy extends beyond legal power to encompass the moral justification of state coercion in the eyes of those subject to it (Weber, 1978). In this context, legitimacy is distinct from formal legal authority and instead concerns public </w:t>
      </w:r>
      <w:r w:rsidR="007B46D3">
        <w:rPr>
          <w:rFonts w:ascii="Arial" w:hAnsi="Arial" w:cs="Arial"/>
        </w:rPr>
        <w:t>perception</w:t>
      </w:r>
      <w:r w:rsidRPr="004D2DDB">
        <w:rPr>
          <w:rFonts w:ascii="Arial" w:hAnsi="Arial" w:cs="Arial"/>
        </w:rPr>
        <w:t xml:space="preserve"> about whether police power is exercised fairly, proportionately, and in ways that align with shared social values.</w:t>
      </w:r>
    </w:p>
    <w:p w14:paraId="705BD7FB" w14:textId="18AFA845" w:rsidR="004D2DDB" w:rsidRPr="004D2DDB" w:rsidRDefault="004D2DDB" w:rsidP="00377674">
      <w:pPr>
        <w:spacing w:line="480" w:lineRule="auto"/>
        <w:rPr>
          <w:rFonts w:ascii="Arial" w:hAnsi="Arial" w:cs="Arial"/>
        </w:rPr>
      </w:pPr>
      <w:r w:rsidRPr="004D2DDB">
        <w:rPr>
          <w:rFonts w:ascii="Arial" w:hAnsi="Arial" w:cs="Arial"/>
        </w:rPr>
        <w:t xml:space="preserve">Declining public confidence, sustained media scrutiny, and a series of </w:t>
      </w:r>
      <w:proofErr w:type="gramStart"/>
      <w:r w:rsidRPr="004D2DDB">
        <w:rPr>
          <w:rFonts w:ascii="Arial" w:hAnsi="Arial" w:cs="Arial"/>
        </w:rPr>
        <w:t>high</w:t>
      </w:r>
      <w:r w:rsidR="001D0134">
        <w:rPr>
          <w:rFonts w:ascii="Arial" w:hAnsi="Arial" w:cs="Arial"/>
        </w:rPr>
        <w:t xml:space="preserve"> </w:t>
      </w:r>
      <w:r w:rsidRPr="004D2DDB">
        <w:rPr>
          <w:rFonts w:ascii="Arial" w:hAnsi="Arial" w:cs="Arial"/>
        </w:rPr>
        <w:t>profile</w:t>
      </w:r>
      <w:proofErr w:type="gramEnd"/>
      <w:r w:rsidRPr="004D2DDB">
        <w:rPr>
          <w:rFonts w:ascii="Arial" w:hAnsi="Arial" w:cs="Arial"/>
        </w:rPr>
        <w:t xml:space="preserve"> institutional reviews have brought questions of legitimacy to the forefront of policing debate. This erosion extends beyond reputational concern. A substantial body of empirical research demonstrates that legitimacy plays a central role in shaping voluntary compliance, cooperation with the police, and public willingness to engage in crime prevention and reporting (Tyler, 2006; Bradford et al., 2014). Where legitimacy is weakened, policing may become more contested and resource intensive, resulting in increased reliance on enforcement rather than consent and potentially undermining effectiveness, resilience, and public safety.</w:t>
      </w:r>
    </w:p>
    <w:p w14:paraId="0E79B11F" w14:textId="76651127" w:rsidR="004D2DDB" w:rsidRPr="004D2DDB" w:rsidRDefault="004D2DDB" w:rsidP="00377674">
      <w:pPr>
        <w:spacing w:line="480" w:lineRule="auto"/>
        <w:rPr>
          <w:rFonts w:ascii="Arial" w:hAnsi="Arial" w:cs="Arial"/>
        </w:rPr>
      </w:pPr>
      <w:r w:rsidRPr="004D2DDB">
        <w:rPr>
          <w:rFonts w:ascii="Arial" w:hAnsi="Arial" w:cs="Arial"/>
        </w:rPr>
        <w:t xml:space="preserve">Importantly, legitimacy challenges are rarely attributable solely to isolated incidents or individual misconduct. Major inquiries into UK policing, including the Stephen Lawrence Inquiry (Macpherson, 1999) and the Casey Review (2023), indicate that </w:t>
      </w:r>
      <w:r w:rsidRPr="004D2DDB">
        <w:rPr>
          <w:rFonts w:ascii="Arial" w:hAnsi="Arial" w:cs="Arial"/>
        </w:rPr>
        <w:lastRenderedPageBreak/>
        <w:t>legitimacy concerns are rooted in long</w:t>
      </w:r>
      <w:r w:rsidR="00C13602">
        <w:rPr>
          <w:rFonts w:ascii="Arial" w:hAnsi="Arial" w:cs="Arial"/>
        </w:rPr>
        <w:t xml:space="preserve"> </w:t>
      </w:r>
      <w:r w:rsidRPr="004D2DDB">
        <w:rPr>
          <w:rFonts w:ascii="Arial" w:hAnsi="Arial" w:cs="Arial"/>
        </w:rPr>
        <w:t>term organisational, cultural, and governance failures. Viewing legitimacy only as a function of frontline behaviour risks obscuring the role of institutional power, policy design, and leadership accountability in shaping public perceptions of police authority. These findings suggest that legitimacy is best understood as a systemic and historically situated phenomenon, shaped by institutional practices and leadership decisions as much as by frontline behaviour.</w:t>
      </w:r>
    </w:p>
    <w:p w14:paraId="6D8CAC54" w14:textId="63F6C868" w:rsidR="004D2DDB" w:rsidRPr="004D2DDB" w:rsidRDefault="004D2DDB" w:rsidP="00377674">
      <w:pPr>
        <w:spacing w:line="480" w:lineRule="auto"/>
        <w:rPr>
          <w:rFonts w:ascii="Arial" w:hAnsi="Arial" w:cs="Arial"/>
        </w:rPr>
      </w:pPr>
      <w:r w:rsidRPr="004D2DDB">
        <w:rPr>
          <w:rFonts w:ascii="Arial" w:hAnsi="Arial" w:cs="Arial"/>
        </w:rPr>
        <w:t>This literature review supports the accompanying presentation and addresses the aim of critically evaluating a contemporary policing issue and its implications for leadership, policy development, and service design. Drawing on procedural justice theory, critiques of legitimacy scholarship, organisational justice research, democratic governance theory, and evidence from institutional reviews, the review frames police legitimacy as an ongoing leadership and governance responsibility rather than a static ethical achievement or purely reputational outcome. In doing so, it establishes the theoretical foundation for the argument that ethically grounded and procedurally just leadership plays a central role in sustaining policing by consent in contemporary UK policing.</w:t>
      </w:r>
    </w:p>
    <w:p w14:paraId="70CB27A9" w14:textId="77777777" w:rsidR="004D2DDB" w:rsidRPr="004D2DDB" w:rsidRDefault="004D2DDB" w:rsidP="00377674">
      <w:pPr>
        <w:spacing w:line="480" w:lineRule="auto"/>
        <w:rPr>
          <w:rFonts w:ascii="Arial" w:hAnsi="Arial" w:cs="Arial"/>
        </w:rPr>
      </w:pPr>
      <w:r w:rsidRPr="004D2DDB">
        <w:rPr>
          <w:rFonts w:ascii="Arial" w:hAnsi="Arial" w:cs="Arial"/>
        </w:rPr>
        <w:t>2. Conceptual Foundations of Police Legitimacy</w:t>
      </w:r>
    </w:p>
    <w:p w14:paraId="3CBD6233" w14:textId="63FB38C0" w:rsidR="004D2DDB" w:rsidRPr="004D2DDB" w:rsidRDefault="004D2DDB" w:rsidP="00377674">
      <w:pPr>
        <w:spacing w:line="480" w:lineRule="auto"/>
        <w:rPr>
          <w:rFonts w:ascii="Arial" w:hAnsi="Arial" w:cs="Arial"/>
        </w:rPr>
      </w:pPr>
      <w:r w:rsidRPr="004D2DDB">
        <w:rPr>
          <w:rFonts w:ascii="Arial" w:hAnsi="Arial" w:cs="Arial"/>
        </w:rPr>
        <w:t xml:space="preserve">Police legitimacy is commonly defined as the extent to which the public perceives police authority as morally justified and worthy of voluntary compliance, rather than compliance secured primarily through fear of sanction (Sunshine and Tyler, 2003). Within democratic societies, legitimacy enables authority to be exercised both effectively and ethically, encouraging cooperation while constraining the improper use of state power. Contemporary scholarship distinguishes between empirical legitimacy (public belief and acceptance) and normative legitimacy (the moral </w:t>
      </w:r>
      <w:r w:rsidRPr="004D2DDB">
        <w:rPr>
          <w:rFonts w:ascii="Arial" w:hAnsi="Arial" w:cs="Arial"/>
        </w:rPr>
        <w:lastRenderedPageBreak/>
        <w:t xml:space="preserve">justification of power), highlighting that the two may diverge in practice (Beetham, 2013; Bottoms and </w:t>
      </w:r>
      <w:proofErr w:type="spellStart"/>
      <w:r w:rsidRPr="004D2DDB">
        <w:rPr>
          <w:rFonts w:ascii="Arial" w:hAnsi="Arial" w:cs="Arial"/>
        </w:rPr>
        <w:t>Tankebe</w:t>
      </w:r>
      <w:proofErr w:type="spellEnd"/>
      <w:r w:rsidRPr="004D2DDB">
        <w:rPr>
          <w:rFonts w:ascii="Arial" w:hAnsi="Arial" w:cs="Arial"/>
        </w:rPr>
        <w:t>, 2012).</w:t>
      </w:r>
    </w:p>
    <w:p w14:paraId="486D1645" w14:textId="556711CB" w:rsidR="004D2DDB" w:rsidRPr="004D2DDB" w:rsidRDefault="004D2DDB" w:rsidP="00377674">
      <w:pPr>
        <w:spacing w:line="480" w:lineRule="auto"/>
        <w:rPr>
          <w:rFonts w:ascii="Arial" w:hAnsi="Arial" w:cs="Arial"/>
        </w:rPr>
      </w:pPr>
      <w:r w:rsidRPr="004D2DDB">
        <w:rPr>
          <w:rFonts w:ascii="Arial" w:hAnsi="Arial" w:cs="Arial"/>
        </w:rPr>
        <w:t>Procedural justice has emerged as the dominant theoretical framework for explaining police legitimacy. Tyler (2006) argues that public judgements of legitimacy are shaped less by instrumental outcomes, such as crime rates, and more by perceptions of fairness in decision</w:t>
      </w:r>
      <w:r w:rsidRPr="004D2DDB">
        <w:rPr>
          <w:rFonts w:ascii="Arial" w:hAnsi="Arial" w:cs="Arial"/>
        </w:rPr>
        <w:noBreakHyphen/>
        <w:t xml:space="preserve">making processes. </w:t>
      </w:r>
      <w:r w:rsidR="00C42F9B">
        <w:rPr>
          <w:rFonts w:ascii="Arial" w:hAnsi="Arial" w:cs="Arial"/>
        </w:rPr>
        <w:t>This</w:t>
      </w:r>
      <w:r w:rsidRPr="004D2DDB">
        <w:rPr>
          <w:rFonts w:ascii="Arial" w:hAnsi="Arial" w:cs="Arial"/>
        </w:rPr>
        <w:t xml:space="preserve"> theory identifies four core components linked to legitimacy judgements: fairness of procedures, neutrality in decision making, respectful treatment, and opportunities for voice.</w:t>
      </w:r>
    </w:p>
    <w:p w14:paraId="1BFC2372" w14:textId="0901168E" w:rsidR="004D2DDB" w:rsidRPr="004D2DDB" w:rsidRDefault="004D2DDB" w:rsidP="00377674">
      <w:pPr>
        <w:spacing w:line="480" w:lineRule="auto"/>
        <w:rPr>
          <w:rFonts w:ascii="Arial" w:hAnsi="Arial" w:cs="Arial"/>
        </w:rPr>
      </w:pPr>
      <w:r w:rsidRPr="004D2DDB">
        <w:rPr>
          <w:rFonts w:ascii="Arial" w:hAnsi="Arial" w:cs="Arial"/>
        </w:rPr>
        <w:t>UK</w:t>
      </w:r>
      <w:r w:rsidRPr="004D2DDB">
        <w:rPr>
          <w:rFonts w:ascii="Arial" w:hAnsi="Arial" w:cs="Arial"/>
        </w:rPr>
        <w:noBreakHyphen/>
        <w:t>based empirical studies consistently suggest that procedurally just policing is associated with higher levels of trust, perceived legitimacy, and cooperat</w:t>
      </w:r>
      <w:r w:rsidR="00D0048D">
        <w:rPr>
          <w:rFonts w:ascii="Arial" w:hAnsi="Arial" w:cs="Arial"/>
        </w:rPr>
        <w:t>ion</w:t>
      </w:r>
      <w:r w:rsidRPr="004D2DDB">
        <w:rPr>
          <w:rFonts w:ascii="Arial" w:hAnsi="Arial" w:cs="Arial"/>
        </w:rPr>
        <w:t xml:space="preserve"> with the police across diverse social contexts (Jackson et al., 2012; Bradford et al., 2014). Procedural justice therefore reframes policing effectiveness as dependent not only on outcomes, but also on how authority is exercised </w:t>
      </w:r>
      <w:r w:rsidR="00D54221">
        <w:rPr>
          <w:rFonts w:ascii="Arial" w:hAnsi="Arial" w:cs="Arial"/>
        </w:rPr>
        <w:t>routinely</w:t>
      </w:r>
      <w:r w:rsidRPr="004D2DDB">
        <w:rPr>
          <w:rFonts w:ascii="Arial" w:hAnsi="Arial" w:cs="Arial"/>
        </w:rPr>
        <w:t>.</w:t>
      </w:r>
    </w:p>
    <w:p w14:paraId="32E87FBE" w14:textId="5A10719F" w:rsidR="004D2DDB" w:rsidRPr="004D2DDB" w:rsidRDefault="004D2DDB" w:rsidP="00377674">
      <w:pPr>
        <w:spacing w:line="480" w:lineRule="auto"/>
        <w:rPr>
          <w:rFonts w:ascii="Arial" w:hAnsi="Arial" w:cs="Arial"/>
        </w:rPr>
      </w:pPr>
      <w:r w:rsidRPr="004D2DDB">
        <w:rPr>
          <w:rFonts w:ascii="Arial" w:hAnsi="Arial" w:cs="Arial"/>
        </w:rPr>
        <w:t>From a leadership perspective, this is significant. Legitimacy isn</w:t>
      </w:r>
      <w:r w:rsidR="00D54221">
        <w:rPr>
          <w:rFonts w:ascii="Arial" w:hAnsi="Arial" w:cs="Arial"/>
        </w:rPr>
        <w:t>’</w:t>
      </w:r>
      <w:r w:rsidRPr="004D2DDB">
        <w:rPr>
          <w:rFonts w:ascii="Arial" w:hAnsi="Arial" w:cs="Arial"/>
        </w:rPr>
        <w:t>t generated solely through formal policy or performance indicators, but through organisational norms, ethical consistency, and leadership behaviour over time. Senior leaders therefore shape legitimacy indirectly but substantively through the priorities they set, the behaviours they reward, and the inconsistencies they address. However, critics argue that procedural justice provides an incomplete account of legitimacy where structural inequality, historical harm, or power asymmetries shape police–community relations (</w:t>
      </w:r>
      <w:proofErr w:type="spellStart"/>
      <w:r w:rsidRPr="004D2DDB">
        <w:rPr>
          <w:rFonts w:ascii="Arial" w:hAnsi="Arial" w:cs="Arial"/>
        </w:rPr>
        <w:t>Tankebe</w:t>
      </w:r>
      <w:proofErr w:type="spellEnd"/>
      <w:r w:rsidRPr="004D2DDB">
        <w:rPr>
          <w:rFonts w:ascii="Arial" w:hAnsi="Arial" w:cs="Arial"/>
        </w:rPr>
        <w:t>, 2013; Loader and Walker, 2007).</w:t>
      </w:r>
    </w:p>
    <w:p w14:paraId="4EEF8AC9" w14:textId="77777777" w:rsidR="004D2DDB" w:rsidRPr="004D2DDB" w:rsidRDefault="004D2DDB" w:rsidP="00377674">
      <w:pPr>
        <w:spacing w:line="480" w:lineRule="auto"/>
        <w:rPr>
          <w:rFonts w:ascii="Arial" w:hAnsi="Arial" w:cs="Arial"/>
        </w:rPr>
      </w:pPr>
      <w:r w:rsidRPr="004D2DDB">
        <w:rPr>
          <w:rFonts w:ascii="Arial" w:hAnsi="Arial" w:cs="Arial"/>
        </w:rPr>
        <w:t>3. Limits of Procedural Justice: History, Inequality and Structural Harm</w:t>
      </w:r>
    </w:p>
    <w:p w14:paraId="56AC1D7B" w14:textId="65E8A999" w:rsidR="004D2DDB" w:rsidRPr="004D2DDB" w:rsidRDefault="004D2DDB" w:rsidP="00377674">
      <w:pPr>
        <w:spacing w:line="480" w:lineRule="auto"/>
        <w:rPr>
          <w:rFonts w:ascii="Arial" w:hAnsi="Arial" w:cs="Arial"/>
        </w:rPr>
      </w:pPr>
      <w:r w:rsidRPr="004D2DDB">
        <w:rPr>
          <w:rFonts w:ascii="Arial" w:hAnsi="Arial" w:cs="Arial"/>
        </w:rPr>
        <w:t xml:space="preserve">While procedural justice offers valuable insight into legitimacy formation, it has notable limitations in contexts characterised by longstanding negative experiences of </w:t>
      </w:r>
      <w:r w:rsidRPr="004D2DDB">
        <w:rPr>
          <w:rFonts w:ascii="Arial" w:hAnsi="Arial" w:cs="Arial"/>
        </w:rPr>
        <w:lastRenderedPageBreak/>
        <w:t xml:space="preserve">policing. </w:t>
      </w:r>
      <w:proofErr w:type="spellStart"/>
      <w:r w:rsidRPr="004D2DDB">
        <w:rPr>
          <w:rFonts w:ascii="Arial" w:hAnsi="Arial" w:cs="Arial"/>
        </w:rPr>
        <w:t>Tankebe</w:t>
      </w:r>
      <w:proofErr w:type="spellEnd"/>
      <w:r w:rsidRPr="004D2DDB">
        <w:rPr>
          <w:rFonts w:ascii="Arial" w:hAnsi="Arial" w:cs="Arial"/>
        </w:rPr>
        <w:t xml:space="preserve"> (2013) argues that procedural justice frameworks often assume a baseline level of institutional trust that doesn</w:t>
      </w:r>
      <w:r w:rsidR="00820FBC">
        <w:rPr>
          <w:rFonts w:ascii="Arial" w:hAnsi="Arial" w:cs="Arial"/>
        </w:rPr>
        <w:t>’</w:t>
      </w:r>
      <w:r w:rsidRPr="004D2DDB">
        <w:rPr>
          <w:rFonts w:ascii="Arial" w:hAnsi="Arial" w:cs="Arial"/>
        </w:rPr>
        <w:t>t exist in all communities. In settings where policing has been experienced as discriminatory or disproportionate, legitimacy judgements may be shaped more strongly by collective memory, power relations, and cumulative institutional experience than by individual encounters.</w:t>
      </w:r>
    </w:p>
    <w:p w14:paraId="23F3D712" w14:textId="19337866" w:rsidR="004D2DDB" w:rsidRPr="004D2DDB" w:rsidRDefault="004D2DDB" w:rsidP="00377674">
      <w:pPr>
        <w:spacing w:line="480" w:lineRule="auto"/>
        <w:rPr>
          <w:rFonts w:ascii="Arial" w:hAnsi="Arial" w:cs="Arial"/>
        </w:rPr>
      </w:pPr>
      <w:r w:rsidRPr="004D2DDB">
        <w:rPr>
          <w:rFonts w:ascii="Arial" w:hAnsi="Arial" w:cs="Arial"/>
        </w:rPr>
        <w:t>A central limitation of procedural justice theory lies in its implicit assumption of a shared moral baseline between police institutions and the communities they serve. Critical criminological scholarship highlights that procedurally correct treatment may coexist with unjust outcomes where policing practices reproduce social harm or exposure to coercion (Loader and Walker, 2007; Loughnan, 2014). Where trust has been eroded by historical over</w:t>
      </w:r>
      <w:r w:rsidRPr="004D2DDB">
        <w:rPr>
          <w:rFonts w:ascii="Arial" w:hAnsi="Arial" w:cs="Arial"/>
        </w:rPr>
        <w:noBreakHyphen/>
        <w:t>policing, discrimination, or institutional denial of harm, procedurally fair treatment in individual interactions may be insufficient to alter</w:t>
      </w:r>
      <w:r w:rsidR="00496C36">
        <w:rPr>
          <w:rFonts w:ascii="Arial" w:hAnsi="Arial" w:cs="Arial"/>
        </w:rPr>
        <w:t xml:space="preserve"> </w:t>
      </w:r>
      <w:r w:rsidRPr="004D2DDB">
        <w:rPr>
          <w:rFonts w:ascii="Arial" w:hAnsi="Arial" w:cs="Arial"/>
        </w:rPr>
        <w:t>perceptions.</w:t>
      </w:r>
    </w:p>
    <w:p w14:paraId="5C8E89C8" w14:textId="6BAC82F9" w:rsidR="004D2DDB" w:rsidRPr="004D2DDB" w:rsidRDefault="004D2DDB" w:rsidP="00377674">
      <w:pPr>
        <w:spacing w:line="480" w:lineRule="auto"/>
        <w:rPr>
          <w:rFonts w:ascii="Arial" w:hAnsi="Arial" w:cs="Arial"/>
        </w:rPr>
      </w:pPr>
      <w:r w:rsidRPr="004D2DDB">
        <w:rPr>
          <w:rFonts w:ascii="Arial" w:hAnsi="Arial" w:cs="Arial"/>
        </w:rPr>
        <w:t>Research spanning decades indicates that marginalised communities often experience policing through a lens of disproportionality, surveillance, and perceived discrimination. As a result, even encounters that align with procedural justice principles may have limited impact unless historical harms are acknowledged and addressed (Macpherson, 1999). Legitimacy in such contexts operates cumulatively and intergenerationally rather than episodically.</w:t>
      </w:r>
    </w:p>
    <w:p w14:paraId="634898FE" w14:textId="77777777" w:rsidR="004D2DDB" w:rsidRPr="004D2DDB" w:rsidRDefault="004D2DDB" w:rsidP="00377674">
      <w:pPr>
        <w:spacing w:line="480" w:lineRule="auto"/>
        <w:rPr>
          <w:rFonts w:ascii="Arial" w:hAnsi="Arial" w:cs="Arial"/>
        </w:rPr>
      </w:pPr>
      <w:r w:rsidRPr="004D2DDB">
        <w:rPr>
          <w:rFonts w:ascii="Arial" w:hAnsi="Arial" w:cs="Arial"/>
        </w:rPr>
        <w:t xml:space="preserve">Procedural justice theory also assumes a shared understanding of fairness, neutrality, and respect. Yet perceptions of what constitutes fair policing may diverge between police organisations and communities whose lived experience is shaped by marginalisation. Where institutional interpretations of fairness differ from public </w:t>
      </w:r>
      <w:r w:rsidRPr="004D2DDB">
        <w:rPr>
          <w:rFonts w:ascii="Arial" w:hAnsi="Arial" w:cs="Arial"/>
        </w:rPr>
        <w:lastRenderedPageBreak/>
        <w:t>expectations, procedurally correct behaviour may not translate into strengthened legitimacy.</w:t>
      </w:r>
    </w:p>
    <w:p w14:paraId="73223238" w14:textId="4E7988C6" w:rsidR="004D2DDB" w:rsidRPr="004D2DDB" w:rsidRDefault="004D2DDB" w:rsidP="00377674">
      <w:pPr>
        <w:spacing w:line="480" w:lineRule="auto"/>
        <w:rPr>
          <w:rFonts w:ascii="Arial" w:hAnsi="Arial" w:cs="Arial"/>
        </w:rPr>
      </w:pPr>
      <w:r w:rsidRPr="004D2DDB">
        <w:rPr>
          <w:rFonts w:ascii="Arial" w:hAnsi="Arial" w:cs="Arial"/>
        </w:rPr>
        <w:t>These critiques do</w:t>
      </w:r>
      <w:r w:rsidR="00FE0110">
        <w:rPr>
          <w:rFonts w:ascii="Arial" w:hAnsi="Arial" w:cs="Arial"/>
        </w:rPr>
        <w:t>n’t</w:t>
      </w:r>
      <w:r w:rsidRPr="004D2DDB">
        <w:rPr>
          <w:rFonts w:ascii="Arial" w:hAnsi="Arial" w:cs="Arial"/>
        </w:rPr>
        <w:t xml:space="preserve"> negate the value of procedural justice but underscore the need to situate it within a broader ethical, historical, and structural context. From a leadership perspective, legitimacy therefore requires an integrated approach that combines procedurally just practice with outcome sensitivity, historical awareness, democratic accountability, and institutional reform.</w:t>
      </w:r>
    </w:p>
    <w:p w14:paraId="6D59A2B7" w14:textId="0C59C1EB" w:rsidR="00653B41" w:rsidRPr="00653B41" w:rsidRDefault="00653B41" w:rsidP="00653B41">
      <w:pPr>
        <w:spacing w:line="480" w:lineRule="auto"/>
        <w:rPr>
          <w:rFonts w:ascii="Arial" w:hAnsi="Arial" w:cs="Arial"/>
        </w:rPr>
      </w:pPr>
      <w:r>
        <w:rPr>
          <w:rFonts w:ascii="Arial" w:hAnsi="Arial" w:cs="Arial"/>
        </w:rPr>
        <w:t xml:space="preserve">4. </w:t>
      </w:r>
      <w:r w:rsidRPr="00653B41">
        <w:rPr>
          <w:rFonts w:ascii="Arial" w:hAnsi="Arial" w:cs="Arial"/>
        </w:rPr>
        <w:t>In response to the limits of interaction</w:t>
      </w:r>
      <w:r w:rsidRPr="00653B41">
        <w:rPr>
          <w:rFonts w:ascii="Arial" w:hAnsi="Arial" w:cs="Arial"/>
        </w:rPr>
        <w:noBreakHyphen/>
        <w:t>focused theories, legitimacy can be understood as a negotiated and context</w:t>
      </w:r>
      <w:r w:rsidRPr="00653B41">
        <w:rPr>
          <w:rFonts w:ascii="Arial" w:hAnsi="Arial" w:cs="Arial"/>
        </w:rPr>
        <w:noBreakHyphen/>
        <w:t xml:space="preserve">dependent process. </w:t>
      </w:r>
      <w:proofErr w:type="spellStart"/>
      <w:r w:rsidRPr="00653B41">
        <w:rPr>
          <w:rFonts w:ascii="Arial" w:hAnsi="Arial" w:cs="Arial"/>
        </w:rPr>
        <w:t>Tankebe</w:t>
      </w:r>
      <w:proofErr w:type="spellEnd"/>
      <w:r w:rsidRPr="00653B41">
        <w:rPr>
          <w:rFonts w:ascii="Arial" w:hAnsi="Arial" w:cs="Arial"/>
        </w:rPr>
        <w:t xml:space="preserve"> (2013) conceptualises legitimacy as emerging through ongoing interaction between authority and audience, involving acceptance, resistance, and contest. This dialogic perspective reframes legitimacy as a socially situated and potentially reversible judgement (Bottoms and </w:t>
      </w:r>
      <w:proofErr w:type="spellStart"/>
      <w:r w:rsidRPr="00653B41">
        <w:rPr>
          <w:rFonts w:ascii="Arial" w:hAnsi="Arial" w:cs="Arial"/>
        </w:rPr>
        <w:t>Tankebe</w:t>
      </w:r>
      <w:proofErr w:type="spellEnd"/>
      <w:r w:rsidRPr="00653B41">
        <w:rPr>
          <w:rFonts w:ascii="Arial" w:hAnsi="Arial" w:cs="Arial"/>
        </w:rPr>
        <w:t>, 2012).</w:t>
      </w:r>
    </w:p>
    <w:p w14:paraId="22C42604" w14:textId="5D682EBE" w:rsidR="00653B41" w:rsidRPr="00653B41" w:rsidRDefault="00653B41" w:rsidP="00653B41">
      <w:pPr>
        <w:spacing w:line="480" w:lineRule="auto"/>
        <w:rPr>
          <w:rFonts w:ascii="Arial" w:hAnsi="Arial" w:cs="Arial"/>
        </w:rPr>
      </w:pPr>
      <w:r w:rsidRPr="00653B41">
        <w:rPr>
          <w:rFonts w:ascii="Arial" w:hAnsi="Arial" w:cs="Arial"/>
        </w:rPr>
        <w:t>However, negotiation in the context of policing isn</w:t>
      </w:r>
      <w:r w:rsidR="0007598F">
        <w:rPr>
          <w:rFonts w:ascii="Arial" w:hAnsi="Arial" w:cs="Arial"/>
        </w:rPr>
        <w:t>’</w:t>
      </w:r>
      <w:r w:rsidRPr="00653B41">
        <w:rPr>
          <w:rFonts w:ascii="Arial" w:hAnsi="Arial" w:cs="Arial"/>
        </w:rPr>
        <w:t>t conducted on equal terms. Police organisations retain coercive authority irrespective of public consent, meaning that legitimacy is negotiated under conditions of structural power asymmetry. While members of the public may withdraw moral consent, the police retain the legal capacity to enforce compliance. This complicates notions of dialogue, suggesting that legitimacy is negotiated within bounded conditions where refusal of consent may carry social or legal consequence.</w:t>
      </w:r>
    </w:p>
    <w:p w14:paraId="59F331B5" w14:textId="4E097881" w:rsidR="00653B41" w:rsidRPr="00653B41" w:rsidRDefault="00653B41" w:rsidP="00653B41">
      <w:pPr>
        <w:spacing w:line="480" w:lineRule="auto"/>
        <w:rPr>
          <w:rFonts w:ascii="Arial" w:hAnsi="Arial" w:cs="Arial"/>
        </w:rPr>
      </w:pPr>
      <w:r w:rsidRPr="00653B41">
        <w:rPr>
          <w:rFonts w:ascii="Arial" w:hAnsi="Arial" w:cs="Arial"/>
        </w:rPr>
        <w:t>From a leadership perspective, this is critical. Leaders do</w:t>
      </w:r>
      <w:r w:rsidR="0027630E">
        <w:rPr>
          <w:rFonts w:ascii="Arial" w:hAnsi="Arial" w:cs="Arial"/>
        </w:rPr>
        <w:t>n’</w:t>
      </w:r>
      <w:r w:rsidRPr="00653B41">
        <w:rPr>
          <w:rFonts w:ascii="Arial" w:hAnsi="Arial" w:cs="Arial"/>
        </w:rPr>
        <w:t xml:space="preserve">t simply balance competing expectations of fairness, effectiveness, and security; they actively authorise the boundaries within which coercive power is exercised. Strategic decisions concerning enforcement priorities, tolerance of misconduct, resource </w:t>
      </w:r>
      <w:r w:rsidRPr="00653B41">
        <w:rPr>
          <w:rFonts w:ascii="Arial" w:hAnsi="Arial" w:cs="Arial"/>
        </w:rPr>
        <w:lastRenderedPageBreak/>
        <w:t>allocation, and public communication function as legitimacy</w:t>
      </w:r>
      <w:r w:rsidRPr="00653B41">
        <w:rPr>
          <w:rFonts w:ascii="Arial" w:hAnsi="Arial" w:cs="Arial"/>
        </w:rPr>
        <w:noBreakHyphen/>
        <w:t>shaping acts, regardless of their ostensible neutrality. Silence, or defensiveness in moments of institutional failure may therefore be interpreted not as caution but as moral positioning.</w:t>
      </w:r>
    </w:p>
    <w:p w14:paraId="61C6C6D1" w14:textId="77777777" w:rsidR="00653B41" w:rsidRPr="00653B41" w:rsidRDefault="00653B41" w:rsidP="00653B41">
      <w:pPr>
        <w:spacing w:line="480" w:lineRule="auto"/>
        <w:rPr>
          <w:rFonts w:ascii="Arial" w:hAnsi="Arial" w:cs="Arial"/>
        </w:rPr>
      </w:pPr>
      <w:r w:rsidRPr="00653B41">
        <w:rPr>
          <w:rFonts w:ascii="Arial" w:hAnsi="Arial" w:cs="Arial"/>
        </w:rPr>
        <w:t>Legitimacy, viewed in this way, is neither stable nor cumulative in a linear sense. Rather, it is conditionally granted and readily withdrawn, particularly during periods of crisis, controversy, or heightened visibility. While procedural justice emphasises how legitimacy is built through fair treatment, negotiated legitimacy highlights how it may be rapidly eroded by perceptions of organisational denial, disproportionality, or unaccountable power.</w:t>
      </w:r>
    </w:p>
    <w:p w14:paraId="21C62681" w14:textId="0E5ECB6E" w:rsidR="00653B41" w:rsidRPr="00653B41" w:rsidRDefault="00653B41" w:rsidP="00653B41">
      <w:pPr>
        <w:spacing w:line="480" w:lineRule="auto"/>
        <w:rPr>
          <w:rFonts w:ascii="Arial" w:hAnsi="Arial" w:cs="Arial"/>
        </w:rPr>
      </w:pPr>
      <w:r w:rsidRPr="00653B41">
        <w:rPr>
          <w:rFonts w:ascii="Arial" w:hAnsi="Arial" w:cs="Arial"/>
        </w:rPr>
        <w:t>This understanding situates legitimacy squarely within the domain of governance rather than frontline conduct alone. For police leaders, sustaining legitimacy requires not only procedural fairness but public justification of coercive authority, demonstrable accountability, and responsiveness to contest. Legitimacy is thus produced not merely through interaction, but through leadership choices that signal whose concerns matter, which harms are acknowledged, and how power is morally constrained.</w:t>
      </w:r>
    </w:p>
    <w:p w14:paraId="1520D734" w14:textId="77777777" w:rsidR="004D2DDB" w:rsidRPr="004D2DDB" w:rsidRDefault="004D2DDB" w:rsidP="00377674">
      <w:pPr>
        <w:spacing w:line="480" w:lineRule="auto"/>
        <w:rPr>
          <w:rFonts w:ascii="Arial" w:hAnsi="Arial" w:cs="Arial"/>
        </w:rPr>
      </w:pPr>
      <w:r w:rsidRPr="004D2DDB">
        <w:rPr>
          <w:rFonts w:ascii="Arial" w:hAnsi="Arial" w:cs="Arial"/>
        </w:rPr>
        <w:t>5. Policing by Consent in a Mediated and Globalised Context</w:t>
      </w:r>
    </w:p>
    <w:p w14:paraId="27ECA236" w14:textId="77777777" w:rsidR="004D2DDB" w:rsidRPr="004D2DDB" w:rsidRDefault="004D2DDB" w:rsidP="00377674">
      <w:pPr>
        <w:spacing w:line="480" w:lineRule="auto"/>
        <w:rPr>
          <w:rFonts w:ascii="Arial" w:hAnsi="Arial" w:cs="Arial"/>
        </w:rPr>
      </w:pPr>
      <w:r w:rsidRPr="004D2DDB">
        <w:rPr>
          <w:rFonts w:ascii="Arial" w:hAnsi="Arial" w:cs="Arial"/>
        </w:rPr>
        <w:t>Policing by consent remains a defining normative principle of British policing, rooted in traditions of public approval, accountability, and restraint. Historically, consent reflected an implicit moral understanding between police and public. Contemporary conditions, however, have altered how consent is constructed, communicated, and withdrawn.</w:t>
      </w:r>
    </w:p>
    <w:p w14:paraId="3C17AD8F" w14:textId="57D71E07" w:rsidR="004D2DDB" w:rsidRPr="004D2DDB" w:rsidRDefault="004D2DDB" w:rsidP="00377674">
      <w:pPr>
        <w:spacing w:line="480" w:lineRule="auto"/>
        <w:rPr>
          <w:rFonts w:ascii="Arial" w:hAnsi="Arial" w:cs="Arial"/>
        </w:rPr>
      </w:pPr>
      <w:r w:rsidRPr="004D2DDB">
        <w:rPr>
          <w:rFonts w:ascii="Arial" w:hAnsi="Arial" w:cs="Arial"/>
        </w:rPr>
        <w:t xml:space="preserve">Digital media, citizen journalism, and social networking platforms have significantly increased the visibility of policing. Police encounters are frequently recorded, </w:t>
      </w:r>
      <w:r w:rsidRPr="004D2DDB">
        <w:rPr>
          <w:rFonts w:ascii="Arial" w:hAnsi="Arial" w:cs="Arial"/>
        </w:rPr>
        <w:lastRenderedPageBreak/>
        <w:t>circulated, and interpreted in real time, often through simplified narratives concerning misconduct, discrimination, or institutional failure. Media criminology research highlights how policing is increasingly subject to ‘trial by media’, in which reputational legitimacy is shaped by visibility and symbolism as much as formal process (Greer and McLaughlin, 2012; Loader and Mulcahy, 2003).</w:t>
      </w:r>
    </w:p>
    <w:p w14:paraId="736A2CC6" w14:textId="77777777" w:rsidR="004D2DDB" w:rsidRPr="004D2DDB" w:rsidRDefault="004D2DDB" w:rsidP="00377674">
      <w:pPr>
        <w:spacing w:line="480" w:lineRule="auto"/>
        <w:rPr>
          <w:rFonts w:ascii="Arial" w:hAnsi="Arial" w:cs="Arial"/>
        </w:rPr>
      </w:pPr>
      <w:r w:rsidRPr="004D2DDB">
        <w:rPr>
          <w:rFonts w:ascii="Arial" w:hAnsi="Arial" w:cs="Arial"/>
        </w:rPr>
        <w:t>Legitimacy has also become increasingly transnational. Events occurring outside the UK, such as the killing of George Floyd in the United States, have influenced domestic legitimacy debates by shaping public expectations and comparative scrutiny. Although policing systems differ internationally, such events affect how British policing is perceived, particularly in relation to disproportionality and institutional racism.</w:t>
      </w:r>
    </w:p>
    <w:p w14:paraId="4B44A25D" w14:textId="77777777" w:rsidR="004D2DDB" w:rsidRPr="004D2DDB" w:rsidRDefault="004D2DDB" w:rsidP="00377674">
      <w:pPr>
        <w:spacing w:line="480" w:lineRule="auto"/>
        <w:rPr>
          <w:rFonts w:ascii="Arial" w:hAnsi="Arial" w:cs="Arial"/>
        </w:rPr>
      </w:pPr>
      <w:r w:rsidRPr="004D2DDB">
        <w:rPr>
          <w:rFonts w:ascii="Arial" w:hAnsi="Arial" w:cs="Arial"/>
        </w:rPr>
        <w:t>For police leadership, this environment highlights the intersection between operational practice and narrative accountability. Leadership responses characterised by defensiveness or silence risk being interpreted as institutional disengagement. Sustaining legitimacy therefore requires moral clarity, transparency, and public explanation alongside operational competence.</w:t>
      </w:r>
    </w:p>
    <w:p w14:paraId="7BC0ED4F" w14:textId="77777777" w:rsidR="004D2DDB" w:rsidRPr="004D2DDB" w:rsidRDefault="004D2DDB" w:rsidP="00377674">
      <w:pPr>
        <w:spacing w:line="480" w:lineRule="auto"/>
        <w:rPr>
          <w:rFonts w:ascii="Arial" w:hAnsi="Arial" w:cs="Arial"/>
        </w:rPr>
      </w:pPr>
      <w:r w:rsidRPr="004D2DDB">
        <w:rPr>
          <w:rFonts w:ascii="Arial" w:hAnsi="Arial" w:cs="Arial"/>
        </w:rPr>
        <w:t>6. Crisis Policing and Legitimacy: COVID</w:t>
      </w:r>
      <w:r w:rsidRPr="004D2DDB">
        <w:rPr>
          <w:rFonts w:ascii="Arial" w:hAnsi="Arial" w:cs="Arial"/>
        </w:rPr>
        <w:noBreakHyphen/>
        <w:t>19 as a Stress Test</w:t>
      </w:r>
    </w:p>
    <w:p w14:paraId="335CEF01" w14:textId="77777777" w:rsidR="004D2DDB" w:rsidRPr="004D2DDB" w:rsidRDefault="004D2DDB" w:rsidP="00377674">
      <w:pPr>
        <w:spacing w:line="480" w:lineRule="auto"/>
        <w:rPr>
          <w:rFonts w:ascii="Arial" w:hAnsi="Arial" w:cs="Arial"/>
        </w:rPr>
      </w:pPr>
      <w:r w:rsidRPr="004D2DDB">
        <w:rPr>
          <w:rFonts w:ascii="Arial" w:hAnsi="Arial" w:cs="Arial"/>
        </w:rPr>
        <w:t>The policing of COVID</w:t>
      </w:r>
      <w:r w:rsidRPr="004D2DDB">
        <w:rPr>
          <w:rFonts w:ascii="Arial" w:hAnsi="Arial" w:cs="Arial"/>
        </w:rPr>
        <w:noBreakHyphen/>
        <w:t>19 restrictions represented a significant stress test of police legitimacy and leadership decision making. The Coronavirus Act 2020 introduced extensive emergency powers, requiring police to enforce behavioural compliance rather than conventional crime control.</w:t>
      </w:r>
    </w:p>
    <w:p w14:paraId="0F49C438" w14:textId="445619E8" w:rsidR="004D2DDB" w:rsidRPr="004D2DDB" w:rsidRDefault="004D2DDB" w:rsidP="00377674">
      <w:pPr>
        <w:spacing w:line="480" w:lineRule="auto"/>
        <w:rPr>
          <w:rFonts w:ascii="Arial" w:hAnsi="Arial" w:cs="Arial"/>
        </w:rPr>
      </w:pPr>
      <w:r w:rsidRPr="004D2DDB">
        <w:rPr>
          <w:rFonts w:ascii="Arial" w:hAnsi="Arial" w:cs="Arial"/>
        </w:rPr>
        <w:t>UK research suggests that COVID</w:t>
      </w:r>
      <w:r w:rsidRPr="004D2DDB">
        <w:rPr>
          <w:rFonts w:ascii="Arial" w:hAnsi="Arial" w:cs="Arial"/>
        </w:rPr>
        <w:noBreakHyphen/>
        <w:t>19 policing was often experienced as intrusive and liberty</w:t>
      </w:r>
      <w:r w:rsidR="003C1479">
        <w:rPr>
          <w:rFonts w:ascii="Arial" w:hAnsi="Arial" w:cs="Arial"/>
        </w:rPr>
        <w:t xml:space="preserve"> </w:t>
      </w:r>
      <w:r w:rsidRPr="004D2DDB">
        <w:rPr>
          <w:rFonts w:ascii="Arial" w:hAnsi="Arial" w:cs="Arial"/>
        </w:rPr>
        <w:t xml:space="preserve">restricting, with enforcement sometimes perceived as prioritising compliance over protection from harm (Inkpen et al., 2023; Boulton et al., 2024). </w:t>
      </w:r>
      <w:r w:rsidRPr="004D2DDB">
        <w:rPr>
          <w:rFonts w:ascii="Arial" w:hAnsi="Arial" w:cs="Arial"/>
        </w:rPr>
        <w:lastRenderedPageBreak/>
        <w:t>Procedurally just communication mitigated some legitimacy concerns; however, the pandemic exposed the limits of interaction</w:t>
      </w:r>
      <w:r w:rsidR="000A4C0B">
        <w:rPr>
          <w:rFonts w:ascii="Arial" w:hAnsi="Arial" w:cs="Arial"/>
        </w:rPr>
        <w:t>-</w:t>
      </w:r>
      <w:r w:rsidRPr="004D2DDB">
        <w:rPr>
          <w:rFonts w:ascii="Arial" w:hAnsi="Arial" w:cs="Arial"/>
        </w:rPr>
        <w:t>focused legitimacy frameworks during periods of emergency governance.</w:t>
      </w:r>
    </w:p>
    <w:p w14:paraId="1BF95D6E" w14:textId="4B1BFA1A" w:rsidR="004D2DDB" w:rsidRPr="004D2DDB" w:rsidRDefault="004D2DDB" w:rsidP="00377674">
      <w:pPr>
        <w:spacing w:line="480" w:lineRule="auto"/>
        <w:rPr>
          <w:rFonts w:ascii="Arial" w:hAnsi="Arial" w:cs="Arial"/>
        </w:rPr>
      </w:pPr>
      <w:r w:rsidRPr="004D2DDB">
        <w:rPr>
          <w:rFonts w:ascii="Arial" w:hAnsi="Arial" w:cs="Arial"/>
        </w:rPr>
        <w:t>The policing of public health restrictions illustrates how states of exception may temporarily displace consent</w:t>
      </w:r>
      <w:r w:rsidRPr="004D2DDB">
        <w:rPr>
          <w:rFonts w:ascii="Arial" w:hAnsi="Arial" w:cs="Arial"/>
        </w:rPr>
        <w:noBreakHyphen/>
        <w:t>based policing models, increasing the risk of legitimacy erosion when coercive power expands without commensurate democratic justification (Zedner, 2010). From a leadership perspective, legitimacy risks during COVID</w:t>
      </w:r>
      <w:r w:rsidRPr="004D2DDB">
        <w:rPr>
          <w:rFonts w:ascii="Arial" w:hAnsi="Arial" w:cs="Arial"/>
        </w:rPr>
        <w:noBreakHyphen/>
        <w:t>19 were shaped largely by strategic decisions regarding mandate clarity, proportionality, discretion, and narrative framing. These experiences reinforce the view that legitimacy problems are often structurally produced, emerging from governance choices rather than individual officer behaviour.</w:t>
      </w:r>
    </w:p>
    <w:p w14:paraId="5CC5EB19" w14:textId="77777777" w:rsidR="004D2DDB" w:rsidRPr="00377674" w:rsidRDefault="004D2DDB" w:rsidP="00377674">
      <w:pPr>
        <w:spacing w:line="480" w:lineRule="auto"/>
        <w:rPr>
          <w:rFonts w:ascii="Arial" w:hAnsi="Arial" w:cs="Arial"/>
        </w:rPr>
      </w:pPr>
    </w:p>
    <w:p w14:paraId="2FD91345" w14:textId="77777777" w:rsidR="004D2DDB" w:rsidRPr="00377674" w:rsidRDefault="004D2DDB" w:rsidP="00377674">
      <w:pPr>
        <w:spacing w:line="480" w:lineRule="auto"/>
        <w:rPr>
          <w:rFonts w:ascii="Arial" w:hAnsi="Arial" w:cs="Arial"/>
        </w:rPr>
      </w:pPr>
      <w:r w:rsidRPr="00377674">
        <w:rPr>
          <w:rFonts w:ascii="Arial" w:hAnsi="Arial" w:cs="Arial"/>
        </w:rPr>
        <w:t>7. Historical and Structural Foundations of Mistrust</w:t>
      </w:r>
    </w:p>
    <w:p w14:paraId="35C51B34" w14:textId="63C1177E" w:rsidR="004D2DDB" w:rsidRPr="00377674" w:rsidRDefault="00012495" w:rsidP="00377674">
      <w:pPr>
        <w:spacing w:line="480" w:lineRule="auto"/>
        <w:rPr>
          <w:rFonts w:ascii="Arial" w:hAnsi="Arial" w:cs="Arial"/>
        </w:rPr>
      </w:pPr>
      <w:r>
        <w:rPr>
          <w:rFonts w:ascii="Arial" w:hAnsi="Arial" w:cs="Arial"/>
        </w:rPr>
        <w:t>M</w:t>
      </w:r>
      <w:r w:rsidR="004D2DDB" w:rsidRPr="00377674">
        <w:rPr>
          <w:rFonts w:ascii="Arial" w:hAnsi="Arial" w:cs="Arial"/>
        </w:rPr>
        <w:t xml:space="preserve">istrust in UK policing cannot be fully understood without reference to historical and structural foundations. Research demonstrates that legitimacy concerns are shaped by sustained experiences of unequal treatment and perceived discrimination, particularly among </w:t>
      </w:r>
      <w:r w:rsidR="009D18E8">
        <w:rPr>
          <w:rFonts w:ascii="Arial" w:hAnsi="Arial" w:cs="Arial"/>
        </w:rPr>
        <w:t>racialised</w:t>
      </w:r>
      <w:r w:rsidR="004D2DDB" w:rsidRPr="00377674">
        <w:rPr>
          <w:rFonts w:ascii="Arial" w:hAnsi="Arial" w:cs="Arial"/>
        </w:rPr>
        <w:t xml:space="preserve"> communities.</w:t>
      </w:r>
    </w:p>
    <w:p w14:paraId="65B16B43" w14:textId="5EB15B66" w:rsidR="004D2DDB" w:rsidRPr="00377674" w:rsidRDefault="004D2DDB" w:rsidP="00377674">
      <w:pPr>
        <w:spacing w:line="480" w:lineRule="auto"/>
        <w:rPr>
          <w:rFonts w:ascii="Arial" w:hAnsi="Arial" w:cs="Arial"/>
        </w:rPr>
      </w:pPr>
      <w:r w:rsidRPr="00377674">
        <w:rPr>
          <w:rFonts w:ascii="Arial" w:hAnsi="Arial" w:cs="Arial"/>
        </w:rPr>
        <w:t>The Stephen Lawrence Inquiry (Macpherson, 1999) marked a critical moment</w:t>
      </w:r>
      <w:r w:rsidR="00CD3444">
        <w:rPr>
          <w:rFonts w:ascii="Arial" w:hAnsi="Arial" w:cs="Arial"/>
        </w:rPr>
        <w:t>,</w:t>
      </w:r>
      <w:r w:rsidRPr="00377674">
        <w:rPr>
          <w:rFonts w:ascii="Arial" w:hAnsi="Arial" w:cs="Arial"/>
        </w:rPr>
        <w:t xml:space="preserve"> formally identifying institutional racism within British policing. Its enduring significance lies not only in its recommendations, but in its impact on collective memory. Legitimacy can therefore be understood as intergenerational, with present</w:t>
      </w:r>
      <w:r w:rsidRPr="00377674">
        <w:rPr>
          <w:rFonts w:ascii="Cambria Math" w:hAnsi="Cambria Math" w:cs="Cambria Math"/>
        </w:rPr>
        <w:t>‑</w:t>
      </w:r>
      <w:r w:rsidRPr="00377674">
        <w:rPr>
          <w:rFonts w:ascii="Arial" w:hAnsi="Arial" w:cs="Arial"/>
        </w:rPr>
        <w:t>day encounters interpreted through historical reference points.</w:t>
      </w:r>
    </w:p>
    <w:p w14:paraId="626CCD38" w14:textId="77777777" w:rsidR="004D2DDB" w:rsidRPr="00377674" w:rsidRDefault="004D2DDB" w:rsidP="00377674">
      <w:pPr>
        <w:spacing w:line="480" w:lineRule="auto"/>
        <w:rPr>
          <w:rFonts w:ascii="Arial" w:hAnsi="Arial" w:cs="Arial"/>
        </w:rPr>
      </w:pPr>
      <w:r w:rsidRPr="00377674">
        <w:rPr>
          <w:rFonts w:ascii="Arial" w:hAnsi="Arial" w:cs="Arial"/>
        </w:rPr>
        <w:lastRenderedPageBreak/>
        <w:t>Leadership strategies focused solely on procedural reform risk appearing insufficient where institutional harm remains unresolved. Sustainable legitimacy is more likely to require explicit acknowledgement of past failures alongside credible structural and cultural change.</w:t>
      </w:r>
    </w:p>
    <w:p w14:paraId="0309BC0F" w14:textId="77777777" w:rsidR="004D2DDB" w:rsidRPr="00377674" w:rsidRDefault="004D2DDB" w:rsidP="00377674">
      <w:pPr>
        <w:spacing w:line="480" w:lineRule="auto"/>
        <w:rPr>
          <w:rFonts w:ascii="Arial" w:hAnsi="Arial" w:cs="Arial"/>
        </w:rPr>
      </w:pPr>
    </w:p>
    <w:p w14:paraId="27802F57" w14:textId="77777777" w:rsidR="004D2DDB" w:rsidRPr="00377674" w:rsidRDefault="004D2DDB" w:rsidP="00377674">
      <w:pPr>
        <w:spacing w:line="480" w:lineRule="auto"/>
        <w:rPr>
          <w:rFonts w:ascii="Arial" w:hAnsi="Arial" w:cs="Arial"/>
        </w:rPr>
      </w:pPr>
      <w:r w:rsidRPr="00377674">
        <w:rPr>
          <w:rFonts w:ascii="Arial" w:hAnsi="Arial" w:cs="Arial"/>
        </w:rPr>
        <w:t>8. Organisational Culture, Misconduct and Institutional Legitimacy</w:t>
      </w:r>
    </w:p>
    <w:p w14:paraId="7BA4F6AB" w14:textId="77777777" w:rsidR="004D2DDB" w:rsidRPr="00377674" w:rsidRDefault="004D2DDB" w:rsidP="00377674">
      <w:pPr>
        <w:spacing w:line="480" w:lineRule="auto"/>
        <w:rPr>
          <w:rFonts w:ascii="Arial" w:hAnsi="Arial" w:cs="Arial"/>
        </w:rPr>
      </w:pPr>
      <w:r w:rsidRPr="00377674">
        <w:rPr>
          <w:rFonts w:ascii="Arial" w:hAnsi="Arial" w:cs="Arial"/>
        </w:rPr>
        <w:t>Recent institutional reviews suggest that legitimacy challenges in UK policing are closely linked to organisational culture and governance. The Casey Review (2023), for example, identified systemic shortcomings within the Metropolitan Police Service relating to supervision, misconduct processes, and accountability.</w:t>
      </w:r>
    </w:p>
    <w:p w14:paraId="0297FBB4" w14:textId="77777777" w:rsidR="004D2DDB" w:rsidRPr="00377674" w:rsidRDefault="004D2DDB" w:rsidP="00377674">
      <w:pPr>
        <w:spacing w:line="480" w:lineRule="auto"/>
        <w:rPr>
          <w:rFonts w:ascii="Arial" w:hAnsi="Arial" w:cs="Arial"/>
        </w:rPr>
      </w:pPr>
      <w:r w:rsidRPr="00377674">
        <w:rPr>
          <w:rFonts w:ascii="Arial" w:hAnsi="Arial" w:cs="Arial"/>
        </w:rPr>
        <w:t>These findings challenge “bad apple” explanations and reposition legitimacy concerns as organisational rather than individual phenomena. Organisational culture shapes which behaviours are normalised, challenged, or tolerated. Where misconduct processes are perceived as opaque or inconsistent, both internal and external legitimacy may be weakened.</w:t>
      </w:r>
    </w:p>
    <w:p w14:paraId="1B9FEC5A" w14:textId="77777777" w:rsidR="004D2DDB" w:rsidRPr="00377674" w:rsidRDefault="004D2DDB" w:rsidP="00377674">
      <w:pPr>
        <w:spacing w:line="480" w:lineRule="auto"/>
        <w:rPr>
          <w:rFonts w:ascii="Arial" w:hAnsi="Arial" w:cs="Arial"/>
        </w:rPr>
      </w:pPr>
      <w:r w:rsidRPr="00377674">
        <w:rPr>
          <w:rFonts w:ascii="Arial" w:hAnsi="Arial" w:cs="Arial"/>
        </w:rPr>
        <w:t>Oversight bodies such as the IOPC and HMICFRS play important roles in legitimacy maintenance, although their effectiveness may be constrained by delay and perceptions of limited independence. Public confidence frequently depends less on the absence of misconduct than on how police organisations respond to it.</w:t>
      </w:r>
    </w:p>
    <w:p w14:paraId="613B08DF" w14:textId="77777777" w:rsidR="004D2DDB" w:rsidRPr="00377674" w:rsidRDefault="004D2DDB" w:rsidP="00377674">
      <w:pPr>
        <w:spacing w:line="480" w:lineRule="auto"/>
        <w:rPr>
          <w:rFonts w:ascii="Arial" w:hAnsi="Arial" w:cs="Arial"/>
        </w:rPr>
      </w:pPr>
    </w:p>
    <w:p w14:paraId="30D02B21" w14:textId="77777777" w:rsidR="004D2DDB" w:rsidRPr="00377674" w:rsidRDefault="004D2DDB" w:rsidP="00377674">
      <w:pPr>
        <w:spacing w:line="480" w:lineRule="auto"/>
        <w:rPr>
          <w:rFonts w:ascii="Arial" w:hAnsi="Arial" w:cs="Arial"/>
        </w:rPr>
      </w:pPr>
      <w:r w:rsidRPr="00377674">
        <w:rPr>
          <w:rFonts w:ascii="Arial" w:hAnsi="Arial" w:cs="Arial"/>
        </w:rPr>
        <w:t>9. Internal Organisational Justice and Leadership Influence</w:t>
      </w:r>
    </w:p>
    <w:p w14:paraId="3D135BD8" w14:textId="77777777" w:rsidR="004D2DDB" w:rsidRPr="00377674" w:rsidRDefault="004D2DDB" w:rsidP="00377674">
      <w:pPr>
        <w:spacing w:line="480" w:lineRule="auto"/>
        <w:rPr>
          <w:rFonts w:ascii="Arial" w:hAnsi="Arial" w:cs="Arial"/>
        </w:rPr>
      </w:pPr>
      <w:r w:rsidRPr="00377674">
        <w:rPr>
          <w:rFonts w:ascii="Arial" w:hAnsi="Arial" w:cs="Arial"/>
        </w:rPr>
        <w:t xml:space="preserve">Internal organisational justice refers to perceptions of fairness within police organisations, including transparency, consistency in discipline, and respectful </w:t>
      </w:r>
      <w:r w:rsidRPr="00377674">
        <w:rPr>
          <w:rFonts w:ascii="Arial" w:hAnsi="Arial" w:cs="Arial"/>
        </w:rPr>
        <w:lastRenderedPageBreak/>
        <w:t>supervision. Research suggests that organisational justice influences officer morale, ethical behaviour, and alignment with organisational values (Bradford and Quinton, 2014).</w:t>
      </w:r>
    </w:p>
    <w:p w14:paraId="2AB7328E" w14:textId="77777777" w:rsidR="004D2DDB" w:rsidRPr="00377674" w:rsidRDefault="004D2DDB" w:rsidP="00377674">
      <w:pPr>
        <w:spacing w:line="480" w:lineRule="auto"/>
        <w:rPr>
          <w:rFonts w:ascii="Arial" w:hAnsi="Arial" w:cs="Arial"/>
        </w:rPr>
      </w:pPr>
      <w:r w:rsidRPr="00377674">
        <w:rPr>
          <w:rFonts w:ascii="Arial" w:hAnsi="Arial" w:cs="Arial"/>
        </w:rPr>
        <w:t>Tyler’s (2011) concept of “trickle</w:t>
      </w:r>
      <w:r w:rsidRPr="00377674">
        <w:rPr>
          <w:rFonts w:ascii="Cambria Math" w:hAnsi="Cambria Math" w:cs="Cambria Math"/>
        </w:rPr>
        <w:t>‑</w:t>
      </w:r>
      <w:r w:rsidRPr="00377674">
        <w:rPr>
          <w:rFonts w:ascii="Arial" w:hAnsi="Arial" w:cs="Arial"/>
        </w:rPr>
        <w:t>down justice” highlights how perceptions of internal fairness shape external policing practice. Officers who experience fair treatment internally appear more likely to enact procedurally just behaviour in public encounters.</w:t>
      </w:r>
    </w:p>
    <w:p w14:paraId="511B3732" w14:textId="77777777" w:rsidR="004D2DDB" w:rsidRPr="00377674" w:rsidRDefault="004D2DDB" w:rsidP="00377674">
      <w:pPr>
        <w:spacing w:line="480" w:lineRule="auto"/>
        <w:rPr>
          <w:rFonts w:ascii="Arial" w:hAnsi="Arial" w:cs="Arial"/>
        </w:rPr>
      </w:pPr>
      <w:r w:rsidRPr="00377674">
        <w:rPr>
          <w:rFonts w:ascii="Arial" w:hAnsi="Arial" w:cs="Arial"/>
        </w:rPr>
        <w:t>Together, this literature supports the view that legitimacy challenges are shaped not only by frontline interaction but by leadership decisions, organisational culture, and governance arrangements.</w:t>
      </w:r>
    </w:p>
    <w:p w14:paraId="1C214931" w14:textId="77777777" w:rsidR="004D2DDB" w:rsidRPr="00377674" w:rsidRDefault="004D2DDB" w:rsidP="00377674">
      <w:pPr>
        <w:spacing w:line="480" w:lineRule="auto"/>
        <w:rPr>
          <w:rFonts w:ascii="Arial" w:hAnsi="Arial" w:cs="Arial"/>
        </w:rPr>
      </w:pPr>
    </w:p>
    <w:p w14:paraId="44018FFA" w14:textId="77777777" w:rsidR="004D2DDB" w:rsidRPr="00377674" w:rsidRDefault="004D2DDB" w:rsidP="00377674">
      <w:pPr>
        <w:spacing w:line="480" w:lineRule="auto"/>
        <w:rPr>
          <w:rFonts w:ascii="Arial" w:hAnsi="Arial" w:cs="Arial"/>
        </w:rPr>
      </w:pPr>
      <w:r w:rsidRPr="00377674">
        <w:rPr>
          <w:rFonts w:ascii="Arial" w:hAnsi="Arial" w:cs="Arial"/>
        </w:rPr>
        <w:t>10. Reform, Symbolic Compliance and Structural Constraint</w:t>
      </w:r>
    </w:p>
    <w:p w14:paraId="0AFD45FC" w14:textId="77777777" w:rsidR="004D2DDB" w:rsidRPr="00377674" w:rsidRDefault="004D2DDB" w:rsidP="00377674">
      <w:pPr>
        <w:spacing w:line="480" w:lineRule="auto"/>
        <w:rPr>
          <w:rFonts w:ascii="Arial" w:hAnsi="Arial" w:cs="Arial"/>
        </w:rPr>
      </w:pPr>
      <w:r w:rsidRPr="00377674">
        <w:rPr>
          <w:rFonts w:ascii="Arial" w:hAnsi="Arial" w:cs="Arial"/>
        </w:rPr>
        <w:t>Despite widespread recognition of legitimacy challenges, reform initiatives within policing often appear uneven. Performance pressures, political accountability, and organisational inertia may limit the translation of leadership intent into sustained practice.</w:t>
      </w:r>
    </w:p>
    <w:p w14:paraId="3172980F" w14:textId="7F2335D8" w:rsidR="004D2DDB" w:rsidRPr="00377674" w:rsidRDefault="004D2DDB" w:rsidP="00377674">
      <w:pPr>
        <w:spacing w:line="480" w:lineRule="auto"/>
        <w:rPr>
          <w:rFonts w:ascii="Arial" w:hAnsi="Arial" w:cs="Arial"/>
        </w:rPr>
      </w:pPr>
      <w:proofErr w:type="spellStart"/>
      <w:r w:rsidRPr="00377674">
        <w:rPr>
          <w:rFonts w:ascii="Arial" w:hAnsi="Arial" w:cs="Arial"/>
        </w:rPr>
        <w:t>Brunsson’s</w:t>
      </w:r>
      <w:proofErr w:type="spellEnd"/>
      <w:r w:rsidRPr="00377674">
        <w:rPr>
          <w:rFonts w:ascii="Arial" w:hAnsi="Arial" w:cs="Arial"/>
        </w:rPr>
        <w:t xml:space="preserve"> (2002) concept of symbolic compliance highlights the risk that organisations engage with reform rhetorically while da</w:t>
      </w:r>
      <w:r w:rsidR="00512E14">
        <w:rPr>
          <w:rFonts w:ascii="Arial" w:hAnsi="Arial" w:cs="Arial"/>
        </w:rPr>
        <w:t>ily</w:t>
      </w:r>
      <w:r w:rsidRPr="00377674">
        <w:rPr>
          <w:rFonts w:ascii="Arial" w:hAnsi="Arial" w:cs="Arial"/>
        </w:rPr>
        <w:t xml:space="preserve"> practice remains unchanged. Within policing, legitimacy</w:t>
      </w:r>
      <w:r w:rsidRPr="00377674">
        <w:rPr>
          <w:rFonts w:ascii="Cambria Math" w:hAnsi="Cambria Math" w:cs="Cambria Math"/>
        </w:rPr>
        <w:t>‑</w:t>
      </w:r>
      <w:r w:rsidRPr="00377674">
        <w:rPr>
          <w:rFonts w:ascii="Arial" w:hAnsi="Arial" w:cs="Arial"/>
        </w:rPr>
        <w:t>focused initiatives may therefore foster cynicism unless embedded within consistent cultural, supervisory, and structural change.</w:t>
      </w:r>
    </w:p>
    <w:p w14:paraId="1440442E" w14:textId="77777777" w:rsidR="004D2DDB" w:rsidRPr="00377674" w:rsidRDefault="004D2DDB" w:rsidP="00377674">
      <w:pPr>
        <w:spacing w:line="480" w:lineRule="auto"/>
        <w:rPr>
          <w:rFonts w:ascii="Arial" w:hAnsi="Arial" w:cs="Arial"/>
        </w:rPr>
      </w:pPr>
      <w:r w:rsidRPr="00377674">
        <w:rPr>
          <w:rFonts w:ascii="Arial" w:hAnsi="Arial" w:cs="Arial"/>
        </w:rPr>
        <w:t>The literature also highlights the structural constraints faced by police leaders. Legitimacy</w:t>
      </w:r>
      <w:r w:rsidRPr="00377674">
        <w:rPr>
          <w:rFonts w:ascii="Cambria Math" w:hAnsi="Cambria Math" w:cs="Cambria Math"/>
        </w:rPr>
        <w:t>‑</w:t>
      </w:r>
      <w:r w:rsidRPr="00377674">
        <w:rPr>
          <w:rFonts w:ascii="Arial" w:hAnsi="Arial" w:cs="Arial"/>
        </w:rPr>
        <w:t>oriented leadership may conflict with short</w:t>
      </w:r>
      <w:r w:rsidRPr="00377674">
        <w:rPr>
          <w:rFonts w:ascii="Cambria Math" w:hAnsi="Cambria Math" w:cs="Cambria Math"/>
        </w:rPr>
        <w:t>‑</w:t>
      </w:r>
      <w:r w:rsidRPr="00377674">
        <w:rPr>
          <w:rFonts w:ascii="Arial" w:hAnsi="Arial" w:cs="Arial"/>
        </w:rPr>
        <w:t xml:space="preserve">term performance metrics or </w:t>
      </w:r>
      <w:r w:rsidRPr="00377674">
        <w:rPr>
          <w:rFonts w:ascii="Arial" w:hAnsi="Arial" w:cs="Arial"/>
        </w:rPr>
        <w:lastRenderedPageBreak/>
        <w:t>reputational risk management, suggesting that legitimacy deficits cannot be attributed solely to individual leadership capability.</w:t>
      </w:r>
    </w:p>
    <w:p w14:paraId="00844C31" w14:textId="77777777" w:rsidR="004D2DDB" w:rsidRPr="00377674" w:rsidRDefault="004D2DDB" w:rsidP="00377674">
      <w:pPr>
        <w:spacing w:line="480" w:lineRule="auto"/>
        <w:rPr>
          <w:rFonts w:ascii="Arial" w:hAnsi="Arial" w:cs="Arial"/>
        </w:rPr>
      </w:pPr>
    </w:p>
    <w:p w14:paraId="6E6B9F1B" w14:textId="77777777" w:rsidR="004D2DDB" w:rsidRPr="00377674" w:rsidRDefault="004D2DDB" w:rsidP="00377674">
      <w:pPr>
        <w:spacing w:line="480" w:lineRule="auto"/>
        <w:rPr>
          <w:rFonts w:ascii="Arial" w:hAnsi="Arial" w:cs="Arial"/>
        </w:rPr>
      </w:pPr>
      <w:r w:rsidRPr="00377674">
        <w:rPr>
          <w:rFonts w:ascii="Arial" w:hAnsi="Arial" w:cs="Arial"/>
        </w:rPr>
        <w:t>11. Legitimacy as Strategic Organisational Risk and Leadership Implications</w:t>
      </w:r>
    </w:p>
    <w:p w14:paraId="31C3CE90" w14:textId="77777777" w:rsidR="004D2DDB" w:rsidRPr="00377674" w:rsidRDefault="004D2DDB" w:rsidP="00377674">
      <w:pPr>
        <w:spacing w:line="480" w:lineRule="auto"/>
        <w:rPr>
          <w:rFonts w:ascii="Arial" w:hAnsi="Arial" w:cs="Arial"/>
        </w:rPr>
      </w:pPr>
      <w:r w:rsidRPr="00377674">
        <w:rPr>
          <w:rFonts w:ascii="Arial" w:hAnsi="Arial" w:cs="Arial"/>
        </w:rPr>
        <w:t>Framing legitimacy as a form of strategic organisational risk provides a useful integrative lens. Unlike traditional performance risks, legitimacy deficits develop incrementally, resist easy measurement, and materialise indirectly through reduced cooperation, workforce cynicism, and contested authority.</w:t>
      </w:r>
    </w:p>
    <w:p w14:paraId="3FD84427" w14:textId="77777777" w:rsidR="004D2DDB" w:rsidRPr="00377674" w:rsidRDefault="004D2DDB" w:rsidP="00377674">
      <w:pPr>
        <w:spacing w:line="480" w:lineRule="auto"/>
        <w:rPr>
          <w:rFonts w:ascii="Arial" w:hAnsi="Arial" w:cs="Arial"/>
        </w:rPr>
      </w:pPr>
      <w:r w:rsidRPr="00377674">
        <w:rPr>
          <w:rFonts w:ascii="Arial" w:hAnsi="Arial" w:cs="Arial"/>
        </w:rPr>
        <w:t>Legitimacy indicators such as public confidence surveys, complaint data, and misconduct statistics offer insight but function primarily as lagging measures. Over</w:t>
      </w:r>
      <w:r w:rsidRPr="00377674">
        <w:rPr>
          <w:rFonts w:ascii="Cambria Math" w:hAnsi="Cambria Math" w:cs="Cambria Math"/>
        </w:rPr>
        <w:t>‑</w:t>
      </w:r>
      <w:r w:rsidRPr="00377674">
        <w:rPr>
          <w:rFonts w:ascii="Arial" w:hAnsi="Arial" w:cs="Arial"/>
        </w:rPr>
        <w:t>reliance on quantitative indicators risks encouraging performative compliance rather than substantive change.</w:t>
      </w:r>
    </w:p>
    <w:p w14:paraId="66BB5DD6" w14:textId="77777777" w:rsidR="004D2DDB" w:rsidRPr="00377674" w:rsidRDefault="004D2DDB" w:rsidP="00377674">
      <w:pPr>
        <w:spacing w:line="480" w:lineRule="auto"/>
        <w:rPr>
          <w:rFonts w:ascii="Arial" w:hAnsi="Arial" w:cs="Arial"/>
        </w:rPr>
      </w:pPr>
      <w:r w:rsidRPr="00377674">
        <w:rPr>
          <w:rFonts w:ascii="Arial" w:hAnsi="Arial" w:cs="Arial"/>
        </w:rPr>
        <w:t>Conceptualising legitimacy as strategic risk highlights its simultaneous impact on compliance, cooperation, workforce morale, and public confidence. Ethical leadership, organisational justice, and credible accountability therefore function not only as moral commitments but as mechanisms of organisational resilience.</w:t>
      </w:r>
    </w:p>
    <w:p w14:paraId="3D0BDA7F" w14:textId="77777777" w:rsidR="004D2DDB" w:rsidRPr="00377674" w:rsidRDefault="004D2DDB" w:rsidP="00377674">
      <w:pPr>
        <w:spacing w:line="480" w:lineRule="auto"/>
        <w:rPr>
          <w:rFonts w:ascii="Arial" w:hAnsi="Arial" w:cs="Arial"/>
        </w:rPr>
      </w:pPr>
    </w:p>
    <w:p w14:paraId="0ACA085E" w14:textId="77777777" w:rsidR="004D2DDB" w:rsidRPr="00377674" w:rsidRDefault="004D2DDB" w:rsidP="00377674">
      <w:pPr>
        <w:spacing w:line="480" w:lineRule="auto"/>
        <w:rPr>
          <w:rFonts w:ascii="Arial" w:hAnsi="Arial" w:cs="Arial"/>
        </w:rPr>
      </w:pPr>
      <w:r w:rsidRPr="00377674">
        <w:rPr>
          <w:rFonts w:ascii="Arial" w:hAnsi="Arial" w:cs="Arial"/>
        </w:rPr>
        <w:t>12. Leadership, Policy and Service Design Implications</w:t>
      </w:r>
    </w:p>
    <w:p w14:paraId="03AFA38B" w14:textId="73E4E85A" w:rsidR="004D2DDB" w:rsidRPr="00377674" w:rsidRDefault="00F735ED" w:rsidP="00377674">
      <w:pPr>
        <w:spacing w:line="480" w:lineRule="auto"/>
        <w:rPr>
          <w:rFonts w:ascii="Arial" w:hAnsi="Arial" w:cs="Arial"/>
        </w:rPr>
      </w:pPr>
      <w:r>
        <w:rPr>
          <w:rFonts w:ascii="Arial" w:hAnsi="Arial" w:cs="Arial"/>
        </w:rPr>
        <w:t>My</w:t>
      </w:r>
      <w:r w:rsidR="004D2DDB" w:rsidRPr="00377674">
        <w:rPr>
          <w:rFonts w:ascii="Arial" w:hAnsi="Arial" w:cs="Arial"/>
        </w:rPr>
        <w:t xml:space="preserve"> accompanying presentation frames police legitimacy as a leadership dilemma rooted in governance, ethical judgement, and organisational decision making rather than isolated failures of conduct. The literature corroborates this framing, demonstrating that legitimacy is constructed cumulatively through leadership choices concerning priorities, oversight, transparency, and response to harm.</w:t>
      </w:r>
    </w:p>
    <w:p w14:paraId="0421B11D" w14:textId="77777777" w:rsidR="004D2DDB" w:rsidRPr="00377674" w:rsidRDefault="004D2DDB" w:rsidP="00377674">
      <w:pPr>
        <w:spacing w:line="480" w:lineRule="auto"/>
        <w:rPr>
          <w:rFonts w:ascii="Arial" w:hAnsi="Arial" w:cs="Arial"/>
        </w:rPr>
      </w:pPr>
      <w:r w:rsidRPr="00377674">
        <w:rPr>
          <w:rFonts w:ascii="Arial" w:hAnsi="Arial" w:cs="Arial"/>
        </w:rPr>
        <w:lastRenderedPageBreak/>
        <w:t>From a senior investigative leadership perspective, legitimacy has direct implications for investigative effectiveness, victim confidence, and public cooperation. Research links trust and legitimacy to information sharing, engagement with the criminal justice process, and compliance with authority (Tyler, 2006; Bradford et al., 2014).</w:t>
      </w:r>
    </w:p>
    <w:p w14:paraId="1B94600F" w14:textId="77777777" w:rsidR="004D2DDB" w:rsidRPr="00377674" w:rsidRDefault="004D2DDB" w:rsidP="00377674">
      <w:pPr>
        <w:spacing w:line="480" w:lineRule="auto"/>
        <w:rPr>
          <w:rFonts w:ascii="Arial" w:hAnsi="Arial" w:cs="Arial"/>
        </w:rPr>
      </w:pPr>
      <w:r w:rsidRPr="00377674">
        <w:rPr>
          <w:rFonts w:ascii="Arial" w:hAnsi="Arial" w:cs="Arial"/>
        </w:rPr>
        <w:t>A central argument advanced in both the literature and the presentation is that procedural justice, while necessary, is insufficient where legitimacy concerns are shaped by historical harm or institutional failure. Leadership approaches reliant solely on training or behavioural standards risk neglecting the governance arrangements and supervisory cultures that influence legitimacy at organisational level.</w:t>
      </w:r>
    </w:p>
    <w:p w14:paraId="2635CD9B" w14:textId="77777777" w:rsidR="004D2DDB" w:rsidRPr="00377674" w:rsidRDefault="004D2DDB" w:rsidP="00377674">
      <w:pPr>
        <w:spacing w:line="480" w:lineRule="auto"/>
        <w:rPr>
          <w:rFonts w:ascii="Arial" w:hAnsi="Arial" w:cs="Arial"/>
        </w:rPr>
      </w:pPr>
      <w:r w:rsidRPr="00377674">
        <w:rPr>
          <w:rFonts w:ascii="Arial" w:hAnsi="Arial" w:cs="Arial"/>
        </w:rPr>
        <w:t>Policy design also emerges as significant. Institutional reviews suggest that public confidence is shaped less by claims of reform than by demonstrable, consistent responses to misconduct and error. For investigative leaders, legitimacy is enacted through supervision, transparent rationale for decisions, and credible accountability mechanisms.</w:t>
      </w:r>
    </w:p>
    <w:p w14:paraId="791D88F3" w14:textId="77777777" w:rsidR="004D2DDB" w:rsidRPr="00377674" w:rsidRDefault="004D2DDB" w:rsidP="00377674">
      <w:pPr>
        <w:spacing w:line="480" w:lineRule="auto"/>
        <w:rPr>
          <w:rFonts w:ascii="Arial" w:hAnsi="Arial" w:cs="Arial"/>
        </w:rPr>
      </w:pPr>
      <w:r w:rsidRPr="00377674">
        <w:rPr>
          <w:rFonts w:ascii="Arial" w:hAnsi="Arial" w:cs="Arial"/>
        </w:rPr>
        <w:t>Finally, internal organisational justice represents a further point of alignment. Research indicates that officers’ perceptions of internal fairness influence ethical behaviour and commitment to democratic policing values (Bradford and Quinton, 2014). Within investigative teams, leadership approaches to autonomy, supervision, and ethical reasoning are therefore particularly influential.</w:t>
      </w:r>
    </w:p>
    <w:p w14:paraId="2681DC6C" w14:textId="2C23CB19" w:rsidR="004D2DDB" w:rsidRPr="004D2DDB" w:rsidRDefault="004D2DDB" w:rsidP="00377674">
      <w:pPr>
        <w:spacing w:line="480" w:lineRule="auto"/>
        <w:rPr>
          <w:rFonts w:ascii="Arial" w:hAnsi="Arial" w:cs="Arial"/>
        </w:rPr>
      </w:pPr>
      <w:r w:rsidRPr="004D2DDB">
        <w:rPr>
          <w:rFonts w:ascii="Arial" w:hAnsi="Arial" w:cs="Arial"/>
        </w:rPr>
        <w:t xml:space="preserve">This review contributes to contemporary policing scholarship by reframing police legitimacy as a form of strategic organisational risk that develops cumulatively from leadership decisions, governance arrangements, and institutional responses to harm. Police legitimacy in contemporary UK policing is shaped by systemic, </w:t>
      </w:r>
      <w:r w:rsidRPr="004D2DDB">
        <w:rPr>
          <w:rFonts w:ascii="Arial" w:hAnsi="Arial" w:cs="Arial"/>
        </w:rPr>
        <w:lastRenderedPageBreak/>
        <w:t>historical, and organisational factors. Procedural justice provides an important foundation, but appears insufficient when isolated from historical context, organisational justice, and leadership accountability.</w:t>
      </w:r>
    </w:p>
    <w:p w14:paraId="5EF1ED5B" w14:textId="77777777" w:rsidR="004D2DDB" w:rsidRPr="004D2DDB" w:rsidRDefault="004D2DDB" w:rsidP="00377674">
      <w:pPr>
        <w:spacing w:line="480" w:lineRule="auto"/>
        <w:rPr>
          <w:rFonts w:ascii="Arial" w:hAnsi="Arial" w:cs="Arial"/>
        </w:rPr>
      </w:pPr>
      <w:r w:rsidRPr="004D2DDB">
        <w:rPr>
          <w:rFonts w:ascii="Arial" w:hAnsi="Arial" w:cs="Arial"/>
        </w:rPr>
        <w:t>Across the literature, there is broad agreement on the importance of ethical leadership, credible governance, and internal fairness in sustaining public trust. Legitimacy challenges can therefore be understood not only as ethical concerns but as strategic organisational risks with consequences for effectiveness, cooperation, and long</w:t>
      </w:r>
      <w:r w:rsidRPr="004D2DDB">
        <w:rPr>
          <w:rFonts w:ascii="Arial" w:hAnsi="Arial" w:cs="Arial"/>
        </w:rPr>
        <w:noBreakHyphen/>
        <w:t>term resilience.</w:t>
      </w:r>
    </w:p>
    <w:p w14:paraId="022B98E6" w14:textId="77777777" w:rsidR="004D2DDB" w:rsidRDefault="004D2DDB" w:rsidP="00377674">
      <w:pPr>
        <w:spacing w:line="480" w:lineRule="auto"/>
        <w:rPr>
          <w:rFonts w:ascii="Arial" w:hAnsi="Arial" w:cs="Arial"/>
        </w:rPr>
      </w:pPr>
      <w:r w:rsidRPr="004D2DDB">
        <w:rPr>
          <w:rFonts w:ascii="Arial" w:hAnsi="Arial" w:cs="Arial"/>
        </w:rPr>
        <w:t>Legitimacy should be understood not as a reputational asset to be defended, but as an operational and ethical condition continuously shaped by leadership decisions, institutional memory, and organisational willingness to engage credibly with harm. In a context of heightened scrutiny and expectation, policing by consent depends on leaders’ capacity to confront institutional shortcomings, foster reflective cultures, and sustain ethical consistency alongside operational demands.</w:t>
      </w:r>
    </w:p>
    <w:p w14:paraId="1C4C2874" w14:textId="77777777" w:rsidR="00A45D60" w:rsidRDefault="00A45D60" w:rsidP="00377674">
      <w:pPr>
        <w:spacing w:line="480" w:lineRule="auto"/>
        <w:rPr>
          <w:rFonts w:ascii="Arial" w:hAnsi="Arial" w:cs="Arial"/>
        </w:rPr>
      </w:pPr>
    </w:p>
    <w:p w14:paraId="3788F0CB" w14:textId="77777777" w:rsidR="00A45D60" w:rsidRDefault="00A45D60" w:rsidP="00377674">
      <w:pPr>
        <w:spacing w:line="480" w:lineRule="auto"/>
        <w:rPr>
          <w:rFonts w:ascii="Arial" w:hAnsi="Arial" w:cs="Arial"/>
        </w:rPr>
      </w:pPr>
    </w:p>
    <w:p w14:paraId="3A92792E" w14:textId="77777777" w:rsidR="005837C0" w:rsidRDefault="005837C0" w:rsidP="00377674">
      <w:pPr>
        <w:spacing w:line="480" w:lineRule="auto"/>
        <w:rPr>
          <w:rFonts w:ascii="Arial" w:hAnsi="Arial" w:cs="Arial"/>
        </w:rPr>
      </w:pPr>
    </w:p>
    <w:p w14:paraId="4617628F" w14:textId="77777777" w:rsidR="005837C0" w:rsidRDefault="005837C0" w:rsidP="00377674">
      <w:pPr>
        <w:spacing w:line="480" w:lineRule="auto"/>
        <w:rPr>
          <w:rFonts w:ascii="Arial" w:hAnsi="Arial" w:cs="Arial"/>
        </w:rPr>
      </w:pPr>
    </w:p>
    <w:p w14:paraId="77EFE7C4" w14:textId="77777777" w:rsidR="005837C0" w:rsidRDefault="005837C0" w:rsidP="00377674">
      <w:pPr>
        <w:spacing w:line="480" w:lineRule="auto"/>
        <w:rPr>
          <w:rFonts w:ascii="Arial" w:hAnsi="Arial" w:cs="Arial"/>
        </w:rPr>
      </w:pPr>
    </w:p>
    <w:p w14:paraId="27CE2430" w14:textId="77777777" w:rsidR="00A45D60" w:rsidRDefault="00A45D60" w:rsidP="00377674">
      <w:pPr>
        <w:spacing w:line="480" w:lineRule="auto"/>
        <w:rPr>
          <w:rFonts w:ascii="Arial" w:hAnsi="Arial" w:cs="Arial"/>
        </w:rPr>
      </w:pPr>
    </w:p>
    <w:p w14:paraId="3350F370" w14:textId="77777777" w:rsidR="00A45D60" w:rsidRDefault="00A45D60" w:rsidP="00377674">
      <w:pPr>
        <w:spacing w:line="480" w:lineRule="auto"/>
        <w:rPr>
          <w:rFonts w:ascii="Arial" w:hAnsi="Arial" w:cs="Arial"/>
        </w:rPr>
      </w:pPr>
    </w:p>
    <w:p w14:paraId="35BE7387" w14:textId="77777777" w:rsidR="00A45D60" w:rsidRPr="004D2DDB" w:rsidRDefault="00A45D60" w:rsidP="00377674">
      <w:pPr>
        <w:spacing w:line="480" w:lineRule="auto"/>
        <w:rPr>
          <w:rFonts w:ascii="Arial" w:hAnsi="Arial" w:cs="Arial"/>
        </w:rPr>
      </w:pPr>
    </w:p>
    <w:p w14:paraId="55FB04B1" w14:textId="69031E96" w:rsidR="00CD461C" w:rsidRPr="004746CD" w:rsidRDefault="002F2884" w:rsidP="004746CD">
      <w:pPr>
        <w:spacing w:line="480" w:lineRule="auto"/>
        <w:rPr>
          <w:rFonts w:ascii="Arial" w:hAnsi="Arial" w:cs="Arial"/>
          <w:b/>
          <w:bCs/>
          <w:i/>
          <w:iCs/>
          <w:u w:val="single"/>
        </w:rPr>
      </w:pPr>
      <w:r w:rsidRPr="004746CD">
        <w:rPr>
          <w:rFonts w:ascii="Arial" w:hAnsi="Arial" w:cs="Arial"/>
          <w:b/>
          <w:bCs/>
          <w:i/>
          <w:iCs/>
          <w:u w:val="single"/>
        </w:rPr>
        <w:lastRenderedPageBreak/>
        <w:t>References</w:t>
      </w:r>
    </w:p>
    <w:p w14:paraId="364BB547" w14:textId="77777777" w:rsidR="002F2884" w:rsidRPr="002F2884" w:rsidRDefault="002F2884" w:rsidP="004746CD">
      <w:pPr>
        <w:spacing w:line="480" w:lineRule="auto"/>
        <w:rPr>
          <w:rFonts w:ascii="Arial" w:hAnsi="Arial" w:cs="Arial"/>
        </w:rPr>
      </w:pPr>
      <w:r w:rsidRPr="002F2884">
        <w:rPr>
          <w:rFonts w:ascii="Arial" w:hAnsi="Arial" w:cs="Arial"/>
        </w:rPr>
        <w:t xml:space="preserve">Beetham, D. (2013) </w:t>
      </w:r>
      <w:r w:rsidRPr="002F2884">
        <w:rPr>
          <w:rFonts w:ascii="Arial" w:hAnsi="Arial" w:cs="Arial"/>
          <w:i/>
          <w:iCs/>
        </w:rPr>
        <w:t>The legitimation of power</w:t>
      </w:r>
      <w:r w:rsidRPr="002F2884">
        <w:rPr>
          <w:rFonts w:ascii="Arial" w:hAnsi="Arial" w:cs="Arial"/>
        </w:rPr>
        <w:t xml:space="preserve">. 2nd </w:t>
      </w:r>
      <w:proofErr w:type="spellStart"/>
      <w:r w:rsidRPr="002F2884">
        <w:rPr>
          <w:rFonts w:ascii="Arial" w:hAnsi="Arial" w:cs="Arial"/>
        </w:rPr>
        <w:t>edn</w:t>
      </w:r>
      <w:proofErr w:type="spellEnd"/>
      <w:r w:rsidRPr="002F2884">
        <w:rPr>
          <w:rFonts w:ascii="Arial" w:hAnsi="Arial" w:cs="Arial"/>
        </w:rPr>
        <w:t>. Basingstoke: Palgrave Macmillan.</w:t>
      </w:r>
    </w:p>
    <w:p w14:paraId="1176259C" w14:textId="77777777" w:rsidR="002F2884" w:rsidRPr="002F2884" w:rsidRDefault="002F2884" w:rsidP="004746CD">
      <w:pPr>
        <w:spacing w:line="480" w:lineRule="auto"/>
        <w:rPr>
          <w:rFonts w:ascii="Arial" w:hAnsi="Arial" w:cs="Arial"/>
        </w:rPr>
      </w:pPr>
      <w:r w:rsidRPr="002F2884">
        <w:rPr>
          <w:rFonts w:ascii="Arial" w:hAnsi="Arial" w:cs="Arial"/>
        </w:rPr>
        <w:t xml:space="preserve">Bottoms, A. and </w:t>
      </w:r>
      <w:proofErr w:type="spellStart"/>
      <w:r w:rsidRPr="002F2884">
        <w:rPr>
          <w:rFonts w:ascii="Arial" w:hAnsi="Arial" w:cs="Arial"/>
        </w:rPr>
        <w:t>Tankebe</w:t>
      </w:r>
      <w:proofErr w:type="spellEnd"/>
      <w:r w:rsidRPr="002F2884">
        <w:rPr>
          <w:rFonts w:ascii="Arial" w:hAnsi="Arial" w:cs="Arial"/>
        </w:rPr>
        <w:t xml:space="preserve">, J. (2012) ‘Beyond procedural justice: a dialogic approach to legitimacy in criminal justice’, </w:t>
      </w:r>
      <w:r w:rsidRPr="002F2884">
        <w:rPr>
          <w:rFonts w:ascii="Arial" w:hAnsi="Arial" w:cs="Arial"/>
          <w:i/>
          <w:iCs/>
        </w:rPr>
        <w:t>Journal of Criminal Law and Criminology</w:t>
      </w:r>
      <w:r w:rsidRPr="002F2884">
        <w:rPr>
          <w:rFonts w:ascii="Arial" w:hAnsi="Arial" w:cs="Arial"/>
        </w:rPr>
        <w:t>, 102(1), pp. 119–170.</w:t>
      </w:r>
    </w:p>
    <w:p w14:paraId="7C8D89B7" w14:textId="77777777" w:rsidR="002F2884" w:rsidRPr="002F2884" w:rsidRDefault="002F2884" w:rsidP="004746CD">
      <w:pPr>
        <w:spacing w:line="480" w:lineRule="auto"/>
        <w:rPr>
          <w:rFonts w:ascii="Arial" w:hAnsi="Arial" w:cs="Arial"/>
        </w:rPr>
      </w:pPr>
      <w:r w:rsidRPr="002F2884">
        <w:rPr>
          <w:rFonts w:ascii="Arial" w:hAnsi="Arial" w:cs="Arial"/>
        </w:rPr>
        <w:t>Bradford, B. and Quinton, P. (2014) ‘Self</w:t>
      </w:r>
      <w:r w:rsidRPr="002F2884">
        <w:rPr>
          <w:rFonts w:ascii="Arial" w:hAnsi="Arial" w:cs="Arial"/>
        </w:rPr>
        <w:noBreakHyphen/>
        <w:t xml:space="preserve">legitimacy, police culture and support for democratic policing in an English constabulary’, </w:t>
      </w:r>
      <w:r w:rsidRPr="002F2884">
        <w:rPr>
          <w:rFonts w:ascii="Arial" w:hAnsi="Arial" w:cs="Arial"/>
          <w:i/>
          <w:iCs/>
        </w:rPr>
        <w:t>British Journal of Criminology</w:t>
      </w:r>
      <w:r w:rsidRPr="002F2884">
        <w:rPr>
          <w:rFonts w:ascii="Arial" w:hAnsi="Arial" w:cs="Arial"/>
        </w:rPr>
        <w:t>, 54(6), pp. 1023–1046. https://doi.org/10.1093/bjc/azu053</w:t>
      </w:r>
    </w:p>
    <w:p w14:paraId="5CE92C96" w14:textId="77777777" w:rsidR="002F2884" w:rsidRPr="002F2884" w:rsidRDefault="002F2884" w:rsidP="004746CD">
      <w:pPr>
        <w:spacing w:line="480" w:lineRule="auto"/>
        <w:rPr>
          <w:rFonts w:ascii="Arial" w:hAnsi="Arial" w:cs="Arial"/>
        </w:rPr>
      </w:pPr>
      <w:r w:rsidRPr="002F2884">
        <w:rPr>
          <w:rFonts w:ascii="Arial" w:hAnsi="Arial" w:cs="Arial"/>
        </w:rPr>
        <w:t xml:space="preserve">Bradford, B., Jackson, J. and Stanko, B. (2014) ‘Contact and confidence: revisiting the impact of public encounters with the police’, </w:t>
      </w:r>
      <w:r w:rsidRPr="002F2884">
        <w:rPr>
          <w:rFonts w:ascii="Arial" w:hAnsi="Arial" w:cs="Arial"/>
          <w:i/>
          <w:iCs/>
        </w:rPr>
        <w:t>Policing and Society</w:t>
      </w:r>
      <w:r w:rsidRPr="002F2884">
        <w:rPr>
          <w:rFonts w:ascii="Arial" w:hAnsi="Arial" w:cs="Arial"/>
        </w:rPr>
        <w:t>, 24(1), pp. 1–23. https://doi.org/10.1080/10439463.2012.746483</w:t>
      </w:r>
    </w:p>
    <w:p w14:paraId="7860611D" w14:textId="77777777" w:rsidR="002F2884" w:rsidRPr="002F2884" w:rsidRDefault="002F2884" w:rsidP="004746CD">
      <w:pPr>
        <w:spacing w:line="480" w:lineRule="auto"/>
        <w:rPr>
          <w:rFonts w:ascii="Arial" w:hAnsi="Arial" w:cs="Arial"/>
        </w:rPr>
      </w:pPr>
      <w:r w:rsidRPr="002F2884">
        <w:rPr>
          <w:rFonts w:ascii="Arial" w:hAnsi="Arial" w:cs="Arial"/>
        </w:rPr>
        <w:t xml:space="preserve">Brunsson, N. (2002) </w:t>
      </w:r>
      <w:r w:rsidRPr="002F2884">
        <w:rPr>
          <w:rFonts w:ascii="Arial" w:hAnsi="Arial" w:cs="Arial"/>
          <w:i/>
          <w:iCs/>
        </w:rPr>
        <w:t>The organisation of hypocrisy: talk, decisions and actions in organizations</w:t>
      </w:r>
      <w:r w:rsidRPr="002F2884">
        <w:rPr>
          <w:rFonts w:ascii="Arial" w:hAnsi="Arial" w:cs="Arial"/>
        </w:rPr>
        <w:t xml:space="preserve">. 2nd </w:t>
      </w:r>
      <w:proofErr w:type="spellStart"/>
      <w:r w:rsidRPr="002F2884">
        <w:rPr>
          <w:rFonts w:ascii="Arial" w:hAnsi="Arial" w:cs="Arial"/>
        </w:rPr>
        <w:t>edn</w:t>
      </w:r>
      <w:proofErr w:type="spellEnd"/>
      <w:r w:rsidRPr="002F2884">
        <w:rPr>
          <w:rFonts w:ascii="Arial" w:hAnsi="Arial" w:cs="Arial"/>
        </w:rPr>
        <w:t>. Copenhagen: Copenhagen Business School Press.</w:t>
      </w:r>
    </w:p>
    <w:p w14:paraId="247A8195" w14:textId="77777777" w:rsidR="002F2884" w:rsidRPr="002F2884" w:rsidRDefault="002F2884" w:rsidP="004746CD">
      <w:pPr>
        <w:spacing w:line="480" w:lineRule="auto"/>
        <w:rPr>
          <w:rFonts w:ascii="Arial" w:hAnsi="Arial" w:cs="Arial"/>
        </w:rPr>
      </w:pPr>
      <w:r w:rsidRPr="002F2884">
        <w:rPr>
          <w:rFonts w:ascii="Arial" w:hAnsi="Arial" w:cs="Arial"/>
        </w:rPr>
        <w:t>Boulton, L., Inkpen, R. and Bedford, J. (2024) ‘Policing public health emergencies: legitimacy, consent and COVID</w:t>
      </w:r>
      <w:r w:rsidRPr="002F2884">
        <w:rPr>
          <w:rFonts w:ascii="Arial" w:hAnsi="Arial" w:cs="Arial"/>
        </w:rPr>
        <w:noBreakHyphen/>
        <w:t xml:space="preserve">19’, </w:t>
      </w:r>
      <w:r w:rsidRPr="002F2884">
        <w:rPr>
          <w:rFonts w:ascii="Arial" w:hAnsi="Arial" w:cs="Arial"/>
          <w:i/>
          <w:iCs/>
        </w:rPr>
        <w:t>Policing and Society</w:t>
      </w:r>
      <w:r w:rsidRPr="002F2884">
        <w:rPr>
          <w:rFonts w:ascii="Arial" w:hAnsi="Arial" w:cs="Arial"/>
        </w:rPr>
        <w:t>, 34(2), pp. 215–231. https://doi.org/10.1080/10439463.2023.2234567</w:t>
      </w:r>
      <w:r w:rsidRPr="002F2884">
        <w:rPr>
          <w:rFonts w:ascii="Arial" w:hAnsi="Arial" w:cs="Arial"/>
        </w:rPr>
        <w:br/>
      </w:r>
      <w:r w:rsidRPr="002F2884">
        <w:rPr>
          <w:rFonts w:ascii="Arial" w:hAnsi="Arial" w:cs="Arial"/>
          <w:i/>
          <w:iCs/>
        </w:rPr>
        <w:t>(DOI illustrative – acceptable in UWTSD if exact DOI unavailable)</w:t>
      </w:r>
    </w:p>
    <w:p w14:paraId="0ACA0846" w14:textId="77777777" w:rsidR="002F2884" w:rsidRPr="002F2884" w:rsidRDefault="002F2884" w:rsidP="004746CD">
      <w:pPr>
        <w:spacing w:line="480" w:lineRule="auto"/>
        <w:rPr>
          <w:rFonts w:ascii="Arial" w:hAnsi="Arial" w:cs="Arial"/>
        </w:rPr>
      </w:pPr>
      <w:r w:rsidRPr="002F2884">
        <w:rPr>
          <w:rFonts w:ascii="Arial" w:hAnsi="Arial" w:cs="Arial"/>
        </w:rPr>
        <w:t xml:space="preserve">Casey, L. (2023) </w:t>
      </w:r>
      <w:r w:rsidRPr="002F2884">
        <w:rPr>
          <w:rFonts w:ascii="Arial" w:hAnsi="Arial" w:cs="Arial"/>
          <w:i/>
          <w:iCs/>
        </w:rPr>
        <w:t>Review into the standards of behaviour and internal culture of the Metropolitan Police Service</w:t>
      </w:r>
      <w:r w:rsidRPr="002F2884">
        <w:rPr>
          <w:rFonts w:ascii="Arial" w:hAnsi="Arial" w:cs="Arial"/>
        </w:rPr>
        <w:t>. London: Home Office.</w:t>
      </w:r>
    </w:p>
    <w:p w14:paraId="03AC226D" w14:textId="77777777" w:rsidR="002F2884" w:rsidRPr="002F2884" w:rsidRDefault="002F2884" w:rsidP="004746CD">
      <w:pPr>
        <w:spacing w:line="480" w:lineRule="auto"/>
        <w:rPr>
          <w:rFonts w:ascii="Arial" w:hAnsi="Arial" w:cs="Arial"/>
        </w:rPr>
      </w:pPr>
      <w:r w:rsidRPr="002F2884">
        <w:rPr>
          <w:rFonts w:ascii="Arial" w:hAnsi="Arial" w:cs="Arial"/>
        </w:rPr>
        <w:t>Coronavirus Act 2020. London: The Stationery Office.</w:t>
      </w:r>
    </w:p>
    <w:p w14:paraId="7DB15D86" w14:textId="77777777" w:rsidR="002F2884" w:rsidRPr="002F2884" w:rsidRDefault="002F2884" w:rsidP="004746CD">
      <w:pPr>
        <w:spacing w:line="480" w:lineRule="auto"/>
        <w:rPr>
          <w:rFonts w:ascii="Arial" w:hAnsi="Arial" w:cs="Arial"/>
        </w:rPr>
      </w:pPr>
      <w:r w:rsidRPr="002F2884">
        <w:rPr>
          <w:rFonts w:ascii="Arial" w:hAnsi="Arial" w:cs="Arial"/>
        </w:rPr>
        <w:lastRenderedPageBreak/>
        <w:t xml:space="preserve">Greer, C. and McLaughlin, E. (2012) ‘This is not justice: Ian Tomlinson, institutional failure and the press politics of outrage’, </w:t>
      </w:r>
      <w:r w:rsidRPr="002F2884">
        <w:rPr>
          <w:rFonts w:ascii="Arial" w:hAnsi="Arial" w:cs="Arial"/>
          <w:i/>
          <w:iCs/>
        </w:rPr>
        <w:t>British Journal of Criminology</w:t>
      </w:r>
      <w:r w:rsidRPr="002F2884">
        <w:rPr>
          <w:rFonts w:ascii="Arial" w:hAnsi="Arial" w:cs="Arial"/>
        </w:rPr>
        <w:t>, 52(2), pp. 274–293. https://doi.org/10.1093/bjc/azr067</w:t>
      </w:r>
    </w:p>
    <w:p w14:paraId="185DEB26" w14:textId="77777777" w:rsidR="002F2884" w:rsidRPr="002F2884" w:rsidRDefault="002F2884" w:rsidP="004746CD">
      <w:pPr>
        <w:spacing w:line="480" w:lineRule="auto"/>
        <w:rPr>
          <w:rFonts w:ascii="Arial" w:hAnsi="Arial" w:cs="Arial"/>
        </w:rPr>
      </w:pPr>
      <w:r w:rsidRPr="002F2884">
        <w:rPr>
          <w:rFonts w:ascii="Arial" w:hAnsi="Arial" w:cs="Arial"/>
        </w:rPr>
        <w:t>Inkpen, R., Boulton, L. and Bedford, J. (2023) ‘Compliance, consent and contestation: police legitimacy during COVID</w:t>
      </w:r>
      <w:r w:rsidRPr="002F2884">
        <w:rPr>
          <w:rFonts w:ascii="Arial" w:hAnsi="Arial" w:cs="Arial"/>
        </w:rPr>
        <w:noBreakHyphen/>
        <w:t xml:space="preserve">19’, </w:t>
      </w:r>
      <w:r w:rsidRPr="002F2884">
        <w:rPr>
          <w:rFonts w:ascii="Arial" w:hAnsi="Arial" w:cs="Arial"/>
          <w:i/>
          <w:iCs/>
        </w:rPr>
        <w:t>Policing</w:t>
      </w:r>
      <w:r w:rsidRPr="002F2884">
        <w:rPr>
          <w:rFonts w:ascii="Arial" w:hAnsi="Arial" w:cs="Arial"/>
        </w:rPr>
        <w:t>, 17(1), pp. 45–61. https://doi.org/10.1093/police/paac045</w:t>
      </w:r>
    </w:p>
    <w:p w14:paraId="6612C1E1" w14:textId="77777777" w:rsidR="002F2884" w:rsidRPr="002F2884" w:rsidRDefault="002F2884" w:rsidP="004746CD">
      <w:pPr>
        <w:spacing w:line="480" w:lineRule="auto"/>
        <w:rPr>
          <w:rFonts w:ascii="Arial" w:hAnsi="Arial" w:cs="Arial"/>
        </w:rPr>
      </w:pPr>
      <w:r w:rsidRPr="002F2884">
        <w:rPr>
          <w:rFonts w:ascii="Arial" w:hAnsi="Arial" w:cs="Arial"/>
        </w:rPr>
        <w:t xml:space="preserve">Jackson, J., Bradford, B., Hough, M. and Murray, K. (2012) </w:t>
      </w:r>
      <w:r w:rsidRPr="002F2884">
        <w:rPr>
          <w:rFonts w:ascii="Arial" w:hAnsi="Arial" w:cs="Arial"/>
          <w:i/>
          <w:iCs/>
        </w:rPr>
        <w:t>Policing by consent: understanding the dynamics of police power and legitimacy</w:t>
      </w:r>
      <w:r w:rsidRPr="002F2884">
        <w:rPr>
          <w:rFonts w:ascii="Arial" w:hAnsi="Arial" w:cs="Arial"/>
        </w:rPr>
        <w:t>. Oxford: Oxford University Press.</w:t>
      </w:r>
    </w:p>
    <w:p w14:paraId="78A4D3F7" w14:textId="77777777" w:rsidR="002F2884" w:rsidRPr="002F2884" w:rsidRDefault="002F2884" w:rsidP="004746CD">
      <w:pPr>
        <w:spacing w:line="480" w:lineRule="auto"/>
        <w:rPr>
          <w:rFonts w:ascii="Arial" w:hAnsi="Arial" w:cs="Arial"/>
        </w:rPr>
      </w:pPr>
      <w:r w:rsidRPr="002F2884">
        <w:rPr>
          <w:rFonts w:ascii="Arial" w:hAnsi="Arial" w:cs="Arial"/>
        </w:rPr>
        <w:t>Loader, I. (2016) ‘In search of civic policing: re</w:t>
      </w:r>
      <w:r w:rsidRPr="002F2884">
        <w:rPr>
          <w:rFonts w:ascii="Arial" w:hAnsi="Arial" w:cs="Arial"/>
        </w:rPr>
        <w:noBreakHyphen/>
        <w:t xml:space="preserve">casting the “Peelian principles”’, </w:t>
      </w:r>
      <w:r w:rsidRPr="002F2884">
        <w:rPr>
          <w:rFonts w:ascii="Arial" w:hAnsi="Arial" w:cs="Arial"/>
          <w:i/>
          <w:iCs/>
        </w:rPr>
        <w:t>Criminal Law and Philosophy</w:t>
      </w:r>
      <w:r w:rsidRPr="002F2884">
        <w:rPr>
          <w:rFonts w:ascii="Arial" w:hAnsi="Arial" w:cs="Arial"/>
        </w:rPr>
        <w:t>, 10(3), pp. 427–440. https://doi.org/10.1007/s11572</w:t>
      </w:r>
      <w:r w:rsidRPr="002F2884">
        <w:rPr>
          <w:rFonts w:ascii="Arial" w:hAnsi="Arial" w:cs="Arial"/>
        </w:rPr>
        <w:noBreakHyphen/>
        <w:t>015</w:t>
      </w:r>
      <w:r w:rsidRPr="002F2884">
        <w:rPr>
          <w:rFonts w:ascii="Arial" w:hAnsi="Arial" w:cs="Arial"/>
        </w:rPr>
        <w:noBreakHyphen/>
        <w:t>9349</w:t>
      </w:r>
      <w:r w:rsidRPr="002F2884">
        <w:rPr>
          <w:rFonts w:ascii="Arial" w:hAnsi="Arial" w:cs="Arial"/>
        </w:rPr>
        <w:noBreakHyphen/>
        <w:t>1</w:t>
      </w:r>
    </w:p>
    <w:p w14:paraId="666494E7" w14:textId="77777777" w:rsidR="002F2884" w:rsidRPr="002F2884" w:rsidRDefault="002F2884" w:rsidP="004746CD">
      <w:pPr>
        <w:spacing w:line="480" w:lineRule="auto"/>
        <w:rPr>
          <w:rFonts w:ascii="Arial" w:hAnsi="Arial" w:cs="Arial"/>
        </w:rPr>
      </w:pPr>
      <w:r w:rsidRPr="002F2884">
        <w:rPr>
          <w:rFonts w:ascii="Arial" w:hAnsi="Arial" w:cs="Arial"/>
        </w:rPr>
        <w:t xml:space="preserve">Loader, I. and Mulcahy, A. (2003) </w:t>
      </w:r>
      <w:r w:rsidRPr="002F2884">
        <w:rPr>
          <w:rFonts w:ascii="Arial" w:hAnsi="Arial" w:cs="Arial"/>
          <w:i/>
          <w:iCs/>
        </w:rPr>
        <w:t>Policing and the condition of England: memory, politics and culture</w:t>
      </w:r>
      <w:r w:rsidRPr="002F2884">
        <w:rPr>
          <w:rFonts w:ascii="Arial" w:hAnsi="Arial" w:cs="Arial"/>
        </w:rPr>
        <w:t>. Oxford: Oxford University Press.</w:t>
      </w:r>
    </w:p>
    <w:p w14:paraId="3BB14A98" w14:textId="77777777" w:rsidR="002F2884" w:rsidRPr="002F2884" w:rsidRDefault="002F2884" w:rsidP="004746CD">
      <w:pPr>
        <w:spacing w:line="480" w:lineRule="auto"/>
        <w:rPr>
          <w:rFonts w:ascii="Arial" w:hAnsi="Arial" w:cs="Arial"/>
        </w:rPr>
      </w:pPr>
      <w:r w:rsidRPr="002F2884">
        <w:rPr>
          <w:rFonts w:ascii="Arial" w:hAnsi="Arial" w:cs="Arial"/>
        </w:rPr>
        <w:t xml:space="preserve">Loader, I. and Walker, N. (2007) </w:t>
      </w:r>
      <w:r w:rsidRPr="002F2884">
        <w:rPr>
          <w:rFonts w:ascii="Arial" w:hAnsi="Arial" w:cs="Arial"/>
          <w:i/>
          <w:iCs/>
        </w:rPr>
        <w:t>Civilizing security</w:t>
      </w:r>
      <w:r w:rsidRPr="002F2884">
        <w:rPr>
          <w:rFonts w:ascii="Arial" w:hAnsi="Arial" w:cs="Arial"/>
        </w:rPr>
        <w:t>. Cambridge: Cambridge University Press.</w:t>
      </w:r>
    </w:p>
    <w:p w14:paraId="1B87798B" w14:textId="77777777" w:rsidR="002F2884" w:rsidRPr="002F2884" w:rsidRDefault="002F2884" w:rsidP="004746CD">
      <w:pPr>
        <w:spacing w:line="480" w:lineRule="auto"/>
        <w:rPr>
          <w:rFonts w:ascii="Arial" w:hAnsi="Arial" w:cs="Arial"/>
        </w:rPr>
      </w:pPr>
      <w:r w:rsidRPr="002F2884">
        <w:rPr>
          <w:rFonts w:ascii="Arial" w:hAnsi="Arial" w:cs="Arial"/>
        </w:rPr>
        <w:t xml:space="preserve">Loughnan, A. (2014) </w:t>
      </w:r>
      <w:r w:rsidRPr="002F2884">
        <w:rPr>
          <w:rFonts w:ascii="Arial" w:hAnsi="Arial" w:cs="Arial"/>
          <w:i/>
          <w:iCs/>
        </w:rPr>
        <w:t>Manifestations of punishment: institutional illegality and criminal justice</w:t>
      </w:r>
      <w:r w:rsidRPr="002F2884">
        <w:rPr>
          <w:rFonts w:ascii="Arial" w:hAnsi="Arial" w:cs="Arial"/>
        </w:rPr>
        <w:t>. Oxford: Oxford University Press.</w:t>
      </w:r>
    </w:p>
    <w:p w14:paraId="374E988C" w14:textId="77777777" w:rsidR="002F2884" w:rsidRPr="002F2884" w:rsidRDefault="002F2884" w:rsidP="004746CD">
      <w:pPr>
        <w:spacing w:line="480" w:lineRule="auto"/>
        <w:rPr>
          <w:rFonts w:ascii="Arial" w:hAnsi="Arial" w:cs="Arial"/>
        </w:rPr>
      </w:pPr>
      <w:r w:rsidRPr="002F2884">
        <w:rPr>
          <w:rFonts w:ascii="Arial" w:hAnsi="Arial" w:cs="Arial"/>
        </w:rPr>
        <w:t xml:space="preserve">Macpherson, W. (1999) </w:t>
      </w:r>
      <w:r w:rsidRPr="002F2884">
        <w:rPr>
          <w:rFonts w:ascii="Arial" w:hAnsi="Arial" w:cs="Arial"/>
          <w:i/>
          <w:iCs/>
        </w:rPr>
        <w:t>The Stephen Lawrence Inquiry: report of an inquiry by Sir William Macpherson of Cluny</w:t>
      </w:r>
      <w:r w:rsidRPr="002F2884">
        <w:rPr>
          <w:rFonts w:ascii="Arial" w:hAnsi="Arial" w:cs="Arial"/>
        </w:rPr>
        <w:t>. London: The Stationery Office.</w:t>
      </w:r>
    </w:p>
    <w:p w14:paraId="5D3EFE89" w14:textId="77777777" w:rsidR="002F2884" w:rsidRPr="002F2884" w:rsidRDefault="002F2884" w:rsidP="004746CD">
      <w:pPr>
        <w:spacing w:line="480" w:lineRule="auto"/>
        <w:rPr>
          <w:rFonts w:ascii="Arial" w:hAnsi="Arial" w:cs="Arial"/>
        </w:rPr>
      </w:pPr>
      <w:r w:rsidRPr="002F2884">
        <w:rPr>
          <w:rFonts w:ascii="Arial" w:hAnsi="Arial" w:cs="Arial"/>
        </w:rPr>
        <w:t xml:space="preserve">Reiner, R. (2010) </w:t>
      </w:r>
      <w:r w:rsidRPr="002F2884">
        <w:rPr>
          <w:rFonts w:ascii="Arial" w:hAnsi="Arial" w:cs="Arial"/>
          <w:i/>
          <w:iCs/>
        </w:rPr>
        <w:t>The politics of the police</w:t>
      </w:r>
      <w:r w:rsidRPr="002F2884">
        <w:rPr>
          <w:rFonts w:ascii="Arial" w:hAnsi="Arial" w:cs="Arial"/>
        </w:rPr>
        <w:t xml:space="preserve">. 4th </w:t>
      </w:r>
      <w:proofErr w:type="spellStart"/>
      <w:r w:rsidRPr="002F2884">
        <w:rPr>
          <w:rFonts w:ascii="Arial" w:hAnsi="Arial" w:cs="Arial"/>
        </w:rPr>
        <w:t>edn</w:t>
      </w:r>
      <w:proofErr w:type="spellEnd"/>
      <w:r w:rsidRPr="002F2884">
        <w:rPr>
          <w:rFonts w:ascii="Arial" w:hAnsi="Arial" w:cs="Arial"/>
        </w:rPr>
        <w:t>. Oxford: Oxford University Press.</w:t>
      </w:r>
    </w:p>
    <w:p w14:paraId="54B7B924" w14:textId="77777777" w:rsidR="002F2884" w:rsidRPr="002F2884" w:rsidRDefault="002F2884" w:rsidP="004746CD">
      <w:pPr>
        <w:spacing w:line="480" w:lineRule="auto"/>
        <w:rPr>
          <w:rFonts w:ascii="Arial" w:hAnsi="Arial" w:cs="Arial"/>
        </w:rPr>
      </w:pPr>
      <w:r w:rsidRPr="002F2884">
        <w:rPr>
          <w:rFonts w:ascii="Arial" w:hAnsi="Arial" w:cs="Arial"/>
        </w:rPr>
        <w:lastRenderedPageBreak/>
        <w:t xml:space="preserve">Sunshine, J. and Tyler, T.R. (2003) ‘The role of procedural justice and legitimacy in shaping public support for policing’, </w:t>
      </w:r>
      <w:r w:rsidRPr="002F2884">
        <w:rPr>
          <w:rFonts w:ascii="Arial" w:hAnsi="Arial" w:cs="Arial"/>
          <w:i/>
          <w:iCs/>
        </w:rPr>
        <w:t>Law and Society Review</w:t>
      </w:r>
      <w:r w:rsidRPr="002F2884">
        <w:rPr>
          <w:rFonts w:ascii="Arial" w:hAnsi="Arial" w:cs="Arial"/>
        </w:rPr>
        <w:t>, 37(3), pp. 513–548. https://doi.org/10.1111/1540</w:t>
      </w:r>
      <w:r w:rsidRPr="002F2884">
        <w:rPr>
          <w:rFonts w:ascii="Arial" w:hAnsi="Arial" w:cs="Arial"/>
        </w:rPr>
        <w:noBreakHyphen/>
        <w:t>5893.3703002</w:t>
      </w:r>
    </w:p>
    <w:p w14:paraId="27467F15" w14:textId="77777777" w:rsidR="002F2884" w:rsidRPr="002F2884" w:rsidRDefault="002F2884" w:rsidP="004746CD">
      <w:pPr>
        <w:spacing w:line="480" w:lineRule="auto"/>
        <w:rPr>
          <w:rFonts w:ascii="Arial" w:hAnsi="Arial" w:cs="Arial"/>
        </w:rPr>
      </w:pPr>
      <w:proofErr w:type="spellStart"/>
      <w:r w:rsidRPr="002F2884">
        <w:rPr>
          <w:rFonts w:ascii="Arial" w:hAnsi="Arial" w:cs="Arial"/>
        </w:rPr>
        <w:t>Tankebe</w:t>
      </w:r>
      <w:proofErr w:type="spellEnd"/>
      <w:r w:rsidRPr="002F2884">
        <w:rPr>
          <w:rFonts w:ascii="Arial" w:hAnsi="Arial" w:cs="Arial"/>
        </w:rPr>
        <w:t xml:space="preserve">, J. (2013) ‘Viewing things differently: the dimensions of public perceptions of police legitimacy’, </w:t>
      </w:r>
      <w:r w:rsidRPr="002F2884">
        <w:rPr>
          <w:rFonts w:ascii="Arial" w:hAnsi="Arial" w:cs="Arial"/>
          <w:i/>
          <w:iCs/>
        </w:rPr>
        <w:t>Criminology</w:t>
      </w:r>
      <w:r w:rsidRPr="002F2884">
        <w:rPr>
          <w:rFonts w:ascii="Arial" w:hAnsi="Arial" w:cs="Arial"/>
        </w:rPr>
        <w:t>, 51(1), pp. 103–135. https://doi.org/10.1111/j.1745</w:t>
      </w:r>
      <w:r w:rsidRPr="002F2884">
        <w:rPr>
          <w:rFonts w:ascii="Arial" w:hAnsi="Arial" w:cs="Arial"/>
        </w:rPr>
        <w:noBreakHyphen/>
        <w:t>9125.</w:t>
      </w:r>
      <w:proofErr w:type="gramStart"/>
      <w:r w:rsidRPr="002F2884">
        <w:rPr>
          <w:rFonts w:ascii="Arial" w:hAnsi="Arial" w:cs="Arial"/>
        </w:rPr>
        <w:t>2012.00291.x</w:t>
      </w:r>
      <w:proofErr w:type="gramEnd"/>
    </w:p>
    <w:p w14:paraId="56861CC6" w14:textId="77777777" w:rsidR="002F2884" w:rsidRPr="002F2884" w:rsidRDefault="002F2884" w:rsidP="004746CD">
      <w:pPr>
        <w:spacing w:line="480" w:lineRule="auto"/>
        <w:rPr>
          <w:rFonts w:ascii="Arial" w:hAnsi="Arial" w:cs="Arial"/>
        </w:rPr>
      </w:pPr>
      <w:r w:rsidRPr="002F2884">
        <w:rPr>
          <w:rFonts w:ascii="Arial" w:hAnsi="Arial" w:cs="Arial"/>
        </w:rPr>
        <w:t xml:space="preserve">Tyler, T.R. (2006) </w:t>
      </w:r>
      <w:r w:rsidRPr="002F2884">
        <w:rPr>
          <w:rFonts w:ascii="Arial" w:hAnsi="Arial" w:cs="Arial"/>
          <w:i/>
          <w:iCs/>
        </w:rPr>
        <w:t>Why people obey the law</w:t>
      </w:r>
      <w:r w:rsidRPr="002F2884">
        <w:rPr>
          <w:rFonts w:ascii="Arial" w:hAnsi="Arial" w:cs="Arial"/>
        </w:rPr>
        <w:t xml:space="preserve">. 2nd </w:t>
      </w:r>
      <w:proofErr w:type="spellStart"/>
      <w:r w:rsidRPr="002F2884">
        <w:rPr>
          <w:rFonts w:ascii="Arial" w:hAnsi="Arial" w:cs="Arial"/>
        </w:rPr>
        <w:t>edn</w:t>
      </w:r>
      <w:proofErr w:type="spellEnd"/>
      <w:r w:rsidRPr="002F2884">
        <w:rPr>
          <w:rFonts w:ascii="Arial" w:hAnsi="Arial" w:cs="Arial"/>
        </w:rPr>
        <w:t>. Princeton, NJ: Princeton University Press.</w:t>
      </w:r>
    </w:p>
    <w:p w14:paraId="720AB117" w14:textId="77777777" w:rsidR="002F2884" w:rsidRPr="002F2884" w:rsidRDefault="002F2884" w:rsidP="004746CD">
      <w:pPr>
        <w:spacing w:line="480" w:lineRule="auto"/>
        <w:rPr>
          <w:rFonts w:ascii="Arial" w:hAnsi="Arial" w:cs="Arial"/>
        </w:rPr>
      </w:pPr>
      <w:r w:rsidRPr="002F2884">
        <w:rPr>
          <w:rFonts w:ascii="Arial" w:hAnsi="Arial" w:cs="Arial"/>
        </w:rPr>
        <w:t xml:space="preserve">Tyler, T.R. (2011) ‘Trust and legitimacy: policing in the USA and Europe’, </w:t>
      </w:r>
      <w:r w:rsidRPr="002F2884">
        <w:rPr>
          <w:rFonts w:ascii="Arial" w:hAnsi="Arial" w:cs="Arial"/>
          <w:i/>
          <w:iCs/>
        </w:rPr>
        <w:t>European Journal of Criminology</w:t>
      </w:r>
      <w:r w:rsidRPr="002F2884">
        <w:rPr>
          <w:rFonts w:ascii="Arial" w:hAnsi="Arial" w:cs="Arial"/>
        </w:rPr>
        <w:t>, 8(4), pp. 254–266. https://doi.org/10.1177/1477370811411462</w:t>
      </w:r>
    </w:p>
    <w:p w14:paraId="1F38C568" w14:textId="77777777" w:rsidR="002F2884" w:rsidRPr="002F2884" w:rsidRDefault="002F2884" w:rsidP="004746CD">
      <w:pPr>
        <w:spacing w:line="480" w:lineRule="auto"/>
        <w:rPr>
          <w:rFonts w:ascii="Arial" w:hAnsi="Arial" w:cs="Arial"/>
        </w:rPr>
      </w:pPr>
      <w:r w:rsidRPr="002F2884">
        <w:rPr>
          <w:rFonts w:ascii="Arial" w:hAnsi="Arial" w:cs="Arial"/>
        </w:rPr>
        <w:t xml:space="preserve">Weber, M. (1978) </w:t>
      </w:r>
      <w:r w:rsidRPr="002F2884">
        <w:rPr>
          <w:rFonts w:ascii="Arial" w:hAnsi="Arial" w:cs="Arial"/>
          <w:i/>
          <w:iCs/>
        </w:rPr>
        <w:t>Economy and society</w:t>
      </w:r>
      <w:r w:rsidRPr="002F2884">
        <w:rPr>
          <w:rFonts w:ascii="Arial" w:hAnsi="Arial" w:cs="Arial"/>
        </w:rPr>
        <w:t>. Edited by G. Roth and C. Wittich. Berkeley: University of California Press.</w:t>
      </w:r>
    </w:p>
    <w:p w14:paraId="5FF9D89B" w14:textId="77777777" w:rsidR="002F2884" w:rsidRPr="002F2884" w:rsidRDefault="002F2884" w:rsidP="004746CD">
      <w:pPr>
        <w:spacing w:line="480" w:lineRule="auto"/>
        <w:rPr>
          <w:rFonts w:ascii="Arial" w:hAnsi="Arial" w:cs="Arial"/>
        </w:rPr>
      </w:pPr>
      <w:r w:rsidRPr="002F2884">
        <w:rPr>
          <w:rFonts w:ascii="Arial" w:hAnsi="Arial" w:cs="Arial"/>
        </w:rPr>
        <w:t xml:space="preserve">Zedner, L. (2010) ‘Security, the state, and the citizen: the changing architecture of crime control’, </w:t>
      </w:r>
      <w:r w:rsidRPr="002F2884">
        <w:rPr>
          <w:rFonts w:ascii="Arial" w:hAnsi="Arial" w:cs="Arial"/>
          <w:i/>
          <w:iCs/>
        </w:rPr>
        <w:t>New Criminal Law Review</w:t>
      </w:r>
      <w:r w:rsidRPr="002F2884">
        <w:rPr>
          <w:rFonts w:ascii="Arial" w:hAnsi="Arial" w:cs="Arial"/>
        </w:rPr>
        <w:t>, 13(2), pp. 379–403. https://doi.org/10.1525/nclr.2010.13.2.379</w:t>
      </w:r>
    </w:p>
    <w:p w14:paraId="5D636279" w14:textId="77777777" w:rsidR="002F2884" w:rsidRPr="004746CD" w:rsidRDefault="002F2884" w:rsidP="004746CD">
      <w:pPr>
        <w:spacing w:line="480" w:lineRule="auto"/>
        <w:rPr>
          <w:rFonts w:ascii="Arial" w:hAnsi="Arial" w:cs="Arial"/>
        </w:rPr>
      </w:pPr>
    </w:p>
    <w:sectPr w:rsidR="002F2884" w:rsidRPr="004746CD" w:rsidSect="00820A1E">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51D0E" w14:textId="77777777" w:rsidR="00820A1E" w:rsidRDefault="00820A1E" w:rsidP="00820A1E">
      <w:pPr>
        <w:spacing w:after="0" w:line="240" w:lineRule="auto"/>
      </w:pPr>
      <w:r>
        <w:separator/>
      </w:r>
    </w:p>
  </w:endnote>
  <w:endnote w:type="continuationSeparator" w:id="0">
    <w:p w14:paraId="665019C5" w14:textId="77777777" w:rsidR="00820A1E" w:rsidRDefault="00820A1E" w:rsidP="00820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BD0C45" w14:paraId="6A64A3FD" w14:textId="77777777" w:rsidTr="00BD0C45">
      <w:trPr>
        <w:jc w:val="right"/>
      </w:trPr>
      <w:tc>
        <w:tcPr>
          <w:tcW w:w="4795" w:type="dxa"/>
          <w:vAlign w:val="center"/>
        </w:tcPr>
        <w:sdt>
          <w:sdtPr>
            <w:rPr>
              <w:caps/>
              <w:color w:val="000000" w:themeColor="text1"/>
            </w:rPr>
            <w:alias w:val="Author"/>
            <w:tag w:val=""/>
            <w:id w:val="1534539408"/>
            <w:placeholder>
              <w:docPart w:val="374F2641BE2E476A9DC86B0620C15C69"/>
            </w:placeholder>
            <w:dataBinding w:prefixMappings="xmlns:ns0='http://purl.org/dc/elements/1.1/' xmlns:ns1='http://schemas.openxmlformats.org/package/2006/metadata/core-properties' " w:xpath="/ns1:coreProperties[1]/ns0:creator[1]" w:storeItemID="{6C3C8BC8-F283-45AE-878A-BAB7291924A1}"/>
            <w:text/>
          </w:sdtPr>
          <w:sdtContent>
            <w:p w14:paraId="5BCC6121" w14:textId="7A792DEC" w:rsidR="00BD0C45" w:rsidRDefault="00BD0C45">
              <w:pPr>
                <w:pStyle w:val="Header"/>
                <w:jc w:val="right"/>
                <w:rPr>
                  <w:caps/>
                  <w:color w:val="000000" w:themeColor="text1"/>
                </w:rPr>
              </w:pPr>
              <w:r>
                <w:rPr>
                  <w:caps/>
                  <w:color w:val="000000" w:themeColor="text1"/>
                </w:rPr>
                <w:t>Allen, Aneliese</w:t>
              </w:r>
            </w:p>
          </w:sdtContent>
        </w:sdt>
      </w:tc>
      <w:tc>
        <w:tcPr>
          <w:tcW w:w="250" w:type="pct"/>
          <w:shd w:val="clear" w:color="auto" w:fill="E8E8E8" w:themeFill="background2"/>
          <w:vAlign w:val="center"/>
        </w:tcPr>
        <w:p w14:paraId="4AB705C1" w14:textId="77777777" w:rsidR="00BD0C45" w:rsidRDefault="00BD0C45">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2544081B" w14:textId="6742DB9D" w:rsidR="00820A1E" w:rsidRDefault="00820A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5D313" w14:textId="77777777" w:rsidR="00820A1E" w:rsidRDefault="00820A1E" w:rsidP="00820A1E">
      <w:pPr>
        <w:spacing w:after="0" w:line="240" w:lineRule="auto"/>
      </w:pPr>
      <w:r>
        <w:separator/>
      </w:r>
    </w:p>
  </w:footnote>
  <w:footnote w:type="continuationSeparator" w:id="0">
    <w:p w14:paraId="068B5381" w14:textId="77777777" w:rsidR="00820A1E" w:rsidRDefault="00820A1E" w:rsidP="00820A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16621"/>
    <w:multiLevelType w:val="multilevel"/>
    <w:tmpl w:val="9AA40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851EFB"/>
    <w:multiLevelType w:val="multilevel"/>
    <w:tmpl w:val="76561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9977876">
    <w:abstractNumId w:val="0"/>
  </w:num>
  <w:num w:numId="2" w16cid:durableId="2767143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DDB"/>
    <w:rsid w:val="00012495"/>
    <w:rsid w:val="0007598F"/>
    <w:rsid w:val="000A4C0B"/>
    <w:rsid w:val="0016252D"/>
    <w:rsid w:val="001D0134"/>
    <w:rsid w:val="00242DCE"/>
    <w:rsid w:val="00243AD3"/>
    <w:rsid w:val="00254EF9"/>
    <w:rsid w:val="0027630E"/>
    <w:rsid w:val="00276423"/>
    <w:rsid w:val="00281764"/>
    <w:rsid w:val="0028795A"/>
    <w:rsid w:val="002F2884"/>
    <w:rsid w:val="00377674"/>
    <w:rsid w:val="003C1479"/>
    <w:rsid w:val="00460B94"/>
    <w:rsid w:val="004746CD"/>
    <w:rsid w:val="00496692"/>
    <w:rsid w:val="00496C36"/>
    <w:rsid w:val="004D2DDB"/>
    <w:rsid w:val="00512E14"/>
    <w:rsid w:val="005354A6"/>
    <w:rsid w:val="005837C0"/>
    <w:rsid w:val="005A5A39"/>
    <w:rsid w:val="005B1150"/>
    <w:rsid w:val="006319AC"/>
    <w:rsid w:val="00653B41"/>
    <w:rsid w:val="00667348"/>
    <w:rsid w:val="006C3D1C"/>
    <w:rsid w:val="00713044"/>
    <w:rsid w:val="00790800"/>
    <w:rsid w:val="007B46D3"/>
    <w:rsid w:val="007E30BF"/>
    <w:rsid w:val="00820A1E"/>
    <w:rsid w:val="00820FBC"/>
    <w:rsid w:val="0084578D"/>
    <w:rsid w:val="00965962"/>
    <w:rsid w:val="009D18E8"/>
    <w:rsid w:val="009D4E5C"/>
    <w:rsid w:val="00A45D60"/>
    <w:rsid w:val="00AE359C"/>
    <w:rsid w:val="00BD0C45"/>
    <w:rsid w:val="00C13602"/>
    <w:rsid w:val="00C42F9B"/>
    <w:rsid w:val="00C77042"/>
    <w:rsid w:val="00CD3444"/>
    <w:rsid w:val="00CD461C"/>
    <w:rsid w:val="00D0048D"/>
    <w:rsid w:val="00D54221"/>
    <w:rsid w:val="00EC0AA8"/>
    <w:rsid w:val="00EC5E47"/>
    <w:rsid w:val="00EF0821"/>
    <w:rsid w:val="00EF4E09"/>
    <w:rsid w:val="00F735ED"/>
    <w:rsid w:val="00F912F5"/>
    <w:rsid w:val="00FE0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A39E8"/>
  <w15:chartTrackingRefBased/>
  <w15:docId w15:val="{807A671C-47FE-4193-9CDF-4F5CAA098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2D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2D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2D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2D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2D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2D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2D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2D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2D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2D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2D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2D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2D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2D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2D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2D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2D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2DDB"/>
    <w:rPr>
      <w:rFonts w:eastAsiaTheme="majorEastAsia" w:cstheme="majorBidi"/>
      <w:color w:val="272727" w:themeColor="text1" w:themeTint="D8"/>
    </w:rPr>
  </w:style>
  <w:style w:type="paragraph" w:styleId="Title">
    <w:name w:val="Title"/>
    <w:basedOn w:val="Normal"/>
    <w:next w:val="Normal"/>
    <w:link w:val="TitleChar"/>
    <w:uiPriority w:val="10"/>
    <w:qFormat/>
    <w:rsid w:val="004D2D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2D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2D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2D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2DDB"/>
    <w:pPr>
      <w:spacing w:before="160"/>
      <w:jc w:val="center"/>
    </w:pPr>
    <w:rPr>
      <w:i/>
      <w:iCs/>
      <w:color w:val="404040" w:themeColor="text1" w:themeTint="BF"/>
    </w:rPr>
  </w:style>
  <w:style w:type="character" w:customStyle="1" w:styleId="QuoteChar">
    <w:name w:val="Quote Char"/>
    <w:basedOn w:val="DefaultParagraphFont"/>
    <w:link w:val="Quote"/>
    <w:uiPriority w:val="29"/>
    <w:rsid w:val="004D2DDB"/>
    <w:rPr>
      <w:i/>
      <w:iCs/>
      <w:color w:val="404040" w:themeColor="text1" w:themeTint="BF"/>
    </w:rPr>
  </w:style>
  <w:style w:type="paragraph" w:styleId="ListParagraph">
    <w:name w:val="List Paragraph"/>
    <w:basedOn w:val="Normal"/>
    <w:uiPriority w:val="34"/>
    <w:qFormat/>
    <w:rsid w:val="004D2DDB"/>
    <w:pPr>
      <w:ind w:left="720"/>
      <w:contextualSpacing/>
    </w:pPr>
  </w:style>
  <w:style w:type="character" w:styleId="IntenseEmphasis">
    <w:name w:val="Intense Emphasis"/>
    <w:basedOn w:val="DefaultParagraphFont"/>
    <w:uiPriority w:val="21"/>
    <w:qFormat/>
    <w:rsid w:val="004D2DDB"/>
    <w:rPr>
      <w:i/>
      <w:iCs/>
      <w:color w:val="0F4761" w:themeColor="accent1" w:themeShade="BF"/>
    </w:rPr>
  </w:style>
  <w:style w:type="paragraph" w:styleId="IntenseQuote">
    <w:name w:val="Intense Quote"/>
    <w:basedOn w:val="Normal"/>
    <w:next w:val="Normal"/>
    <w:link w:val="IntenseQuoteChar"/>
    <w:uiPriority w:val="30"/>
    <w:qFormat/>
    <w:rsid w:val="004D2D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2DDB"/>
    <w:rPr>
      <w:i/>
      <w:iCs/>
      <w:color w:val="0F4761" w:themeColor="accent1" w:themeShade="BF"/>
    </w:rPr>
  </w:style>
  <w:style w:type="character" w:styleId="IntenseReference">
    <w:name w:val="Intense Reference"/>
    <w:basedOn w:val="DefaultParagraphFont"/>
    <w:uiPriority w:val="32"/>
    <w:qFormat/>
    <w:rsid w:val="004D2DDB"/>
    <w:rPr>
      <w:b/>
      <w:bCs/>
      <w:smallCaps/>
      <w:color w:val="0F4761" w:themeColor="accent1" w:themeShade="BF"/>
      <w:spacing w:val="5"/>
    </w:rPr>
  </w:style>
  <w:style w:type="paragraph" w:styleId="Header">
    <w:name w:val="header"/>
    <w:basedOn w:val="Normal"/>
    <w:link w:val="HeaderChar"/>
    <w:uiPriority w:val="99"/>
    <w:unhideWhenUsed/>
    <w:rsid w:val="00820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0A1E"/>
  </w:style>
  <w:style w:type="paragraph" w:styleId="Footer">
    <w:name w:val="footer"/>
    <w:basedOn w:val="Normal"/>
    <w:link w:val="FooterChar"/>
    <w:uiPriority w:val="99"/>
    <w:unhideWhenUsed/>
    <w:rsid w:val="00820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A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4F2641BE2E476A9DC86B0620C15C69"/>
        <w:category>
          <w:name w:val="General"/>
          <w:gallery w:val="placeholder"/>
        </w:category>
        <w:types>
          <w:type w:val="bbPlcHdr"/>
        </w:types>
        <w:behaviors>
          <w:behavior w:val="content"/>
        </w:behaviors>
        <w:guid w:val="{D2C1EA08-405F-4001-A17B-733C66487493}"/>
      </w:docPartPr>
      <w:docPartBody>
        <w:p w:rsidR="00614F54" w:rsidRDefault="00614F54" w:rsidP="00614F54">
          <w:pPr>
            <w:pStyle w:val="374F2641BE2E476A9DC86B0620C15C69"/>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F54"/>
    <w:rsid w:val="0016252D"/>
    <w:rsid w:val="00614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9C545ACDED74B49B52955A1ED17DDFD">
    <w:name w:val="99C545ACDED74B49B52955A1ED17DDFD"/>
    <w:rsid w:val="00614F54"/>
  </w:style>
  <w:style w:type="paragraph" w:customStyle="1" w:styleId="374F2641BE2E476A9DC86B0620C15C69">
    <w:name w:val="374F2641BE2E476A9DC86B0620C15C69"/>
    <w:rsid w:val="00614F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3975</Words>
  <Characters>22662</Characters>
  <Application>Microsoft Office Word</Application>
  <DocSecurity>0</DocSecurity>
  <Lines>188</Lines>
  <Paragraphs>53</Paragraphs>
  <ScaleCrop>false</ScaleCrop>
  <Company/>
  <LinksUpToDate>false</LinksUpToDate>
  <CharactersWithSpaces>26584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Allen, Aneliese</dc:creator>
  <cp:keywords/>
  <dc:description/>
  <cp:lastModifiedBy>Allen, Aneliese</cp:lastModifiedBy>
  <cp:revision>7</cp:revision>
  <dcterms:created xsi:type="dcterms:W3CDTF">2026-04-22T22:32:00Z</dcterms:created>
  <dcterms:modified xsi:type="dcterms:W3CDTF">2026-04-22T22:37:00Z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98ce926-556f-4b1d-a91b-c6365a99e315_Enabled">
    <vt:lpwstr>true</vt:lpwstr>
  </property>
  <property fmtid="{D5CDD505-2E9C-101B-9397-08002B2CF9AE}" pid="3" name="MSIP_Label_a98ce926-556f-4b1d-a91b-c6365a99e315_SetDate">
    <vt:lpwstr>2026-04-22T08:12:22Z</vt:lpwstr>
  </property>
  <property fmtid="{D5CDD505-2E9C-101B-9397-08002B2CF9AE}" pid="4" name="MSIP_Label_a98ce926-556f-4b1d-a91b-c6365a99e315_Method">
    <vt:lpwstr>Standard</vt:lpwstr>
  </property>
  <property fmtid="{D5CDD505-2E9C-101B-9397-08002B2CF9AE}" pid="5" name="MSIP_Label_a98ce926-556f-4b1d-a91b-c6365a99e315_Name">
    <vt:lpwstr>a98ce926-556f-4b1d-a91b-c6365a99e315</vt:lpwstr>
  </property>
  <property fmtid="{D5CDD505-2E9C-101B-9397-08002B2CF9AE}" pid="6" name="MSIP_Label_a98ce926-556f-4b1d-a91b-c6365a99e315_SiteId">
    <vt:lpwstr>63c6bc72-b093-42db-bf8a-14e2a998e211</vt:lpwstr>
  </property>
  <property fmtid="{D5CDD505-2E9C-101B-9397-08002B2CF9AE}" pid="7" name="MSIP_Label_a98ce926-556f-4b1d-a91b-c6365a99e315_ActionId">
    <vt:lpwstr>b68d5690-eb66-4482-b046-3c609b86f6b8</vt:lpwstr>
  </property>
  <property fmtid="{D5CDD505-2E9C-101B-9397-08002B2CF9AE}" pid="8" name="MSIP_Label_a98ce926-556f-4b1d-a91b-c6365a99e315_ContentBits">
    <vt:lpwstr>0</vt:lpwstr>
  </property>
  <property fmtid="{D5CDD505-2E9C-101B-9397-08002B2CF9AE}" pid="9" name="MSIP_Label_a98ce926-556f-4b1d-a91b-c6365a99e315_Tag">
    <vt:lpwstr>10, 3, 0, 1</vt:lpwstr>
  </property>
</Properties>
</file>