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9ED"/>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b w:val="1"/>
          <w:bCs w:val="1"/>
        </w:rPr>
      </w:pPr>
      <w:r w:rsidDel="00000000" w:rsidR="00000000" w:rsidRPr="00000000">
        <w:rPr>
          <w:rFonts w:ascii="Old Standard TT" w:cs="Old Standard TT" w:eastAsia="Old Standard TT" w:hAnsi="Old Standard TT"/>
          <w:b w:val="1"/>
          <w:bCs w:val="1"/>
          <w:rtl w:val="0"/>
        </w:rPr>
        <w:t xml:space="preserve">ehssan sassi</w:t>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b w:val="1"/>
          <w:bCs w:val="1"/>
        </w:rPr>
      </w:pPr>
      <w:r w:rsidDel="00000000" w:rsidR="00000000" w:rsidRPr="00000000">
        <w:rPr>
          <w:rFonts w:ascii="Old Standard TT" w:cs="Old Standard TT" w:eastAsia="Old Standard TT" w:hAnsi="Old Standard TT"/>
          <w:b w:val="1"/>
          <w:bCs w:val="1"/>
          <w:rtl w:val="0"/>
        </w:rPr>
        <w:t xml:space="preserve">2512085</w:t>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Fonts w:ascii="Old Standard TT" w:cs="Old Standard TT" w:eastAsia="Old Standard TT" w:hAnsi="Old Standard TT"/>
          <w:rtl w:val="0"/>
        </w:rPr>
        <w:t xml:space="preserve">oluwadamilola tayo</w:t>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6">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b w:val="1"/>
          <w:bCs w:val="1"/>
          <w:i w:val="1"/>
          <w:iCs w:val="1"/>
          <w:sz w:val="26"/>
          <w:szCs w:val="26"/>
          <w:u w:val="single"/>
        </w:rPr>
      </w:pPr>
      <w:r w:rsidDel="00000000" w:rsidR="00000000" w:rsidRPr="00000000">
        <w:rPr>
          <w:rFonts w:ascii="Old Standard TT" w:cs="Old Standard TT" w:eastAsia="Old Standard TT" w:hAnsi="Old Standard TT"/>
          <w:b w:val="1"/>
          <w:bCs w:val="1"/>
          <w:i w:val="1"/>
          <w:iCs w:val="1"/>
          <w:sz w:val="26"/>
          <w:szCs w:val="26"/>
          <w:u w:val="single"/>
          <w:rtl w:val="0"/>
        </w:rPr>
        <w:t xml:space="preserve">Task one:</w:t>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b w:val="1"/>
          <w:bCs w:val="1"/>
          <w:i w:val="1"/>
          <w:iCs w:val="1"/>
          <w:sz w:val="26"/>
          <w:szCs w:val="26"/>
          <w:u w:val="single"/>
        </w:rPr>
      </w:pPr>
      <w:r w:rsidDel="00000000" w:rsidR="00000000" w:rsidRPr="00000000">
        <w:rPr>
          <w:rtl w:val="0"/>
        </w:rPr>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b w:val="1"/>
          <w:bCs w:val="1"/>
          <w:i w:val="1"/>
          <w:iCs w:val="1"/>
          <w:sz w:val="44"/>
          <w:szCs w:val="44"/>
          <w:u w:val="single"/>
        </w:rPr>
      </w:pPr>
      <w:r w:rsidDel="00000000" w:rsidR="00000000" w:rsidRPr="00000000">
        <w:rPr>
          <w:rFonts w:ascii="Old Standard TT" w:cs="Old Standard TT" w:eastAsia="Old Standard TT" w:hAnsi="Old Standard TT"/>
          <w:b w:val="1"/>
          <w:bCs w:val="1"/>
          <w:i w:val="1"/>
          <w:iCs w:val="1"/>
          <w:color w:val="a64d79"/>
          <w:sz w:val="44"/>
          <w:szCs w:val="44"/>
          <w:u w:val="single"/>
          <w:rtl w:val="0"/>
        </w:rPr>
        <w:t xml:space="preserve">Residental</w:t>
      </w:r>
      <w:r w:rsidDel="00000000" w:rsidR="00000000" w:rsidRPr="00000000">
        <w:rPr>
          <w:rFonts w:ascii="Old Standard TT" w:cs="Old Standard TT" w:eastAsia="Old Standard TT" w:hAnsi="Old Standard TT"/>
          <w:b w:val="1"/>
          <w:bCs w:val="1"/>
          <w:i w:val="1"/>
          <w:iCs w:val="1"/>
          <w:sz w:val="44"/>
          <w:szCs w:val="44"/>
          <w:u w:val="single"/>
          <w:rtl w:val="0"/>
        </w:rPr>
        <w:t xml:space="preserve"> care homes in the uk</w:t>
      </w:r>
    </w:p>
    <w:p w:rsidR="00000000" w:rsidDel="00000000" w:rsidP="00000000" w:rsidRDefault="00000000" w:rsidRPr="00000000" w14:paraId="0000000A">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b w:val="1"/>
          <w:bCs w:val="1"/>
          <w:i w:val="1"/>
          <w:iCs w:val="1"/>
          <w:sz w:val="44"/>
          <w:szCs w:val="44"/>
          <w:u w:val="single"/>
        </w:rPr>
      </w:pPr>
      <w:r w:rsidDel="00000000" w:rsidR="00000000" w:rsidRPr="00000000">
        <w:rPr>
          <w:rtl w:val="0"/>
        </w:rPr>
      </w:r>
    </w:p>
    <w:p w:rsidR="00000000" w:rsidDel="00000000" w:rsidP="00000000" w:rsidRDefault="00000000" w:rsidRPr="00000000" w14:paraId="0000000B">
      <w:pPr>
        <w:pStyle w:val="Heading3"/>
        <w:keepNext w:val="0"/>
        <w:keepLines w:val="0"/>
        <w:widowControl w:val="1"/>
        <w:spacing w:after="80" w:before="280" w:lineRule="auto"/>
        <w:ind w:left="0" w:right="0" w:firstLine="0"/>
        <w:rPr>
          <w:i w:val="1"/>
          <w:iCs w:val="1"/>
          <w:color w:val="000000"/>
          <w:u w:val="single"/>
        </w:rPr>
      </w:pPr>
      <w:bookmarkStart w:colFirst="0" w:colLast="0" w:name="_xjnfmwqz2jy9" w:id="0"/>
      <w:bookmarkEnd w:id="0"/>
      <w:r w:rsidDel="00000000" w:rsidR="00000000" w:rsidRPr="00000000">
        <w:rPr>
          <w:i w:val="1"/>
          <w:iCs w:val="1"/>
          <w:color w:val="000000"/>
          <w:u w:val="single"/>
          <w:rtl w:val="0"/>
        </w:rPr>
        <w:t xml:space="preserve">What is a Residential Care Home?</w:t>
      </w:r>
    </w:p>
    <w:p w:rsidR="00000000" w:rsidDel="00000000" w:rsidP="00000000" w:rsidRDefault="00000000" w:rsidRPr="00000000" w14:paraId="0000000C">
      <w:pPr>
        <w:spacing w:after="240" w:before="240" w:line="240" w:lineRule="auto"/>
        <w:ind w:left="0" w:right="0" w:firstLine="0"/>
        <w:rPr>
          <w:rFonts w:ascii="Old Standard TT" w:cs="Old Standard TT" w:eastAsia="Old Standard TT" w:hAnsi="Old Standard TT"/>
          <w:sz w:val="30"/>
          <w:szCs w:val="30"/>
        </w:rPr>
      </w:pPr>
      <w:r w:rsidDel="00000000" w:rsidR="00000000" w:rsidRPr="00000000">
        <w:rPr>
          <w:rFonts w:ascii="Old Standard TT" w:cs="Old Standard TT" w:eastAsia="Old Standard TT" w:hAnsi="Old Standard TT"/>
          <w:sz w:val="30"/>
          <w:szCs w:val="30"/>
          <w:rtl w:val="0"/>
        </w:rPr>
        <w:t xml:space="preserve">Residential care homes provide accommodation and personal care for individuals who cannot live independently. This includes older people and individuals with disabilities. Staff support residents with daily activities such as washing, dressing, eating, and medication.</w:t>
      </w:r>
    </w:p>
    <w:p w:rsidR="00000000" w:rsidDel="00000000" w:rsidP="00000000" w:rsidRDefault="00000000" w:rsidRPr="00000000" w14:paraId="0000000D">
      <w:pPr>
        <w:pStyle w:val="Heading3"/>
        <w:keepNext w:val="0"/>
        <w:keepLines w:val="0"/>
        <w:widowControl w:val="1"/>
        <w:spacing w:after="80" w:before="280" w:lineRule="auto"/>
        <w:ind w:left="0" w:right="0" w:firstLine="0"/>
        <w:rPr/>
      </w:pPr>
      <w:bookmarkStart w:colFirst="0" w:colLast="0" w:name="_9aerrlqq6up4" w:id="1"/>
      <w:bookmarkEnd w:id="1"/>
      <w:r w:rsidDel="00000000" w:rsidR="00000000" w:rsidRPr="00000000">
        <w:rPr>
          <w:color w:val="38761d"/>
          <w:sz w:val="30"/>
          <w:szCs w:val="30"/>
          <w:rtl w:val="0"/>
        </w:rPr>
        <w:t xml:space="preserve">Brief</w:t>
      </w:r>
      <w:r w:rsidDel="00000000" w:rsidR="00000000" w:rsidRPr="00000000">
        <w:rPr>
          <w:color w:val="000000"/>
          <w:sz w:val="30"/>
          <w:szCs w:val="30"/>
          <w:rtl w:val="0"/>
        </w:rPr>
        <w:t xml:space="preserve"> History:</w:t>
      </w:r>
      <w:r w:rsidDel="00000000" w:rsidR="00000000" w:rsidRPr="00000000">
        <w:rPr>
          <w:rtl w:val="0"/>
        </w:rPr>
      </w:r>
    </w:p>
    <w:p w:rsidR="00000000" w:rsidDel="00000000" w:rsidP="00000000" w:rsidRDefault="00000000" w:rsidRPr="00000000" w14:paraId="0000000E">
      <w:pPr>
        <w:numPr>
          <w:ilvl w:val="0"/>
          <w:numId w:val="2"/>
        </w:numPr>
        <w:spacing w:after="0" w:afterAutospacing="0" w:before="480" w:line="240" w:lineRule="auto"/>
        <w:ind w:left="720" w:right="0" w:hanging="360"/>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Care was originally provided by families and charities</w:t>
        <w:br w:type="textWrapping"/>
      </w:r>
    </w:p>
    <w:p w:rsidR="00000000" w:rsidDel="00000000" w:rsidP="00000000" w:rsidRDefault="00000000" w:rsidRPr="00000000" w14:paraId="0000000F">
      <w:pPr>
        <w:numPr>
          <w:ilvl w:val="0"/>
          <w:numId w:val="2"/>
        </w:numPr>
        <w:spacing w:after="0" w:afterAutospacing="0" w:before="0" w:beforeAutospacing="0" w:line="240" w:lineRule="auto"/>
        <w:ind w:left="720" w:right="0" w:hanging="360"/>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Poor Laws supported vulnerable individuals</w:t>
        <w:br w:type="textWrapping"/>
      </w:r>
    </w:p>
    <w:p w:rsidR="00000000" w:rsidDel="00000000" w:rsidP="00000000" w:rsidRDefault="00000000" w:rsidRPr="00000000" w14:paraId="00000010">
      <w:pPr>
        <w:numPr>
          <w:ilvl w:val="0"/>
          <w:numId w:val="2"/>
        </w:numPr>
        <w:spacing w:after="0" w:afterAutospacing="0" w:before="0" w:beforeAutospacing="0" w:line="240" w:lineRule="auto"/>
        <w:ind w:left="720" w:right="0" w:hanging="360"/>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Expansion after World War II</w:t>
        <w:br w:type="textWrapping"/>
      </w:r>
    </w:p>
    <w:p w:rsidR="00000000" w:rsidDel="00000000" w:rsidP="00000000" w:rsidRDefault="00000000" w:rsidRPr="00000000" w14:paraId="00000011">
      <w:pPr>
        <w:numPr>
          <w:ilvl w:val="0"/>
          <w:numId w:val="2"/>
        </w:numPr>
        <w:spacing w:after="0" w:afterAutospacing="0" w:before="0" w:beforeAutospacing="0" w:line="240" w:lineRule="auto"/>
        <w:ind w:left="720" w:right="0" w:hanging="360"/>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Development alongside the National Health Service (1948)</w:t>
        <w:br w:type="textWrapping"/>
      </w:r>
    </w:p>
    <w:p w:rsidR="00000000" w:rsidDel="00000000" w:rsidP="00000000" w:rsidRDefault="00000000" w:rsidRPr="00000000" w14:paraId="00000012">
      <w:pPr>
        <w:numPr>
          <w:ilvl w:val="0"/>
          <w:numId w:val="2"/>
        </w:numPr>
        <w:spacing w:after="0" w:afterAutospacing="0" w:before="0" w:beforeAutospacing="0" w:line="240" w:lineRule="auto"/>
        <w:ind w:left="720" w:right="0" w:hanging="360"/>
        <w:jc w:val="center"/>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Modern care homes are regulated and structured</w:t>
        <w:br w:type="textWrapping"/>
      </w:r>
      <w:r w:rsidDel="00000000" w:rsidR="00000000" w:rsidRPr="00000000">
        <w:rPr>
          <w:rFonts w:ascii="Old Standard TT" w:cs="Old Standard TT" w:eastAsia="Old Standard TT" w:hAnsi="Old Standard TT"/>
          <w:sz w:val="28"/>
          <w:szCs w:val="28"/>
        </w:rPr>
        <w:drawing>
          <wp:inline distB="114300" distT="114300" distL="114300" distR="114300">
            <wp:extent cx="1800225" cy="25336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800225" cy="2533650"/>
                    </a:xfrm>
                    <a:prstGeom prst="rect"/>
                    <a:ln/>
                  </pic:spPr>
                </pic:pic>
              </a:graphicData>
            </a:graphic>
          </wp:inline>
        </w:drawing>
      </w:r>
      <w:r w:rsidDel="00000000" w:rsidR="00000000" w:rsidRPr="00000000">
        <w:rPr>
          <w:rFonts w:ascii="Old Standard TT" w:cs="Old Standard TT" w:eastAsia="Old Standard TT" w:hAnsi="Old Standard TT"/>
          <w:b w:val="1"/>
          <w:bCs w:val="1"/>
          <w:i w:val="1"/>
          <w:iCs w:val="1"/>
          <w:sz w:val="26"/>
          <w:szCs w:val="26"/>
          <w:u w:val="single"/>
          <w:rtl w:val="0"/>
        </w:rPr>
        <w:t xml:space="preserve">How the Service Works Today</w:t>
      </w:r>
    </w:p>
    <w:p w:rsidR="00000000" w:rsidDel="00000000" w:rsidP="00000000" w:rsidRDefault="00000000" w:rsidRPr="00000000" w14:paraId="00000013">
      <w:pPr>
        <w:numPr>
          <w:ilvl w:val="0"/>
          <w:numId w:val="1"/>
        </w:numPr>
        <w:spacing w:after="0" w:afterAutospacing="0" w:before="0" w:beforeAutospacing="0" w:line="240" w:lineRule="auto"/>
        <w:ind w:left="720" w:right="0" w:hanging="360"/>
        <w:jc w:val="right"/>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24-hour care and supervision</w:t>
        <w:br w:type="textWrapping"/>
      </w:r>
    </w:p>
    <w:p w:rsidR="00000000" w:rsidDel="00000000" w:rsidP="00000000" w:rsidRDefault="00000000" w:rsidRPr="00000000" w14:paraId="00000014">
      <w:pPr>
        <w:numPr>
          <w:ilvl w:val="0"/>
          <w:numId w:val="1"/>
        </w:numPr>
        <w:spacing w:after="0" w:afterAutospacing="0" w:before="0" w:beforeAutospacing="0" w:line="240" w:lineRule="auto"/>
        <w:ind w:left="720" w:right="0" w:hanging="360"/>
        <w:jc w:val="right"/>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Help with daily living activities</w:t>
        <w:br w:type="textWrapping"/>
      </w:r>
    </w:p>
    <w:p w:rsidR="00000000" w:rsidDel="00000000" w:rsidP="00000000" w:rsidRDefault="00000000" w:rsidRPr="00000000" w14:paraId="00000015">
      <w:pPr>
        <w:numPr>
          <w:ilvl w:val="0"/>
          <w:numId w:val="1"/>
        </w:numPr>
        <w:spacing w:after="0" w:afterAutospacing="0" w:before="0" w:beforeAutospacing="0" w:line="240" w:lineRule="auto"/>
        <w:ind w:left="720" w:right="0" w:hanging="360"/>
        <w:jc w:val="right"/>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Staff include carers, nurses, managers</w:t>
        <w:br w:type="textWrapping"/>
      </w:r>
    </w:p>
    <w:p w:rsidR="00000000" w:rsidDel="00000000" w:rsidP="00000000" w:rsidRDefault="00000000" w:rsidRPr="00000000" w14:paraId="00000016">
      <w:pPr>
        <w:numPr>
          <w:ilvl w:val="0"/>
          <w:numId w:val="1"/>
        </w:numPr>
        <w:spacing w:after="0" w:afterAutospacing="0" w:before="0" w:beforeAutospacing="0" w:line="240" w:lineRule="auto"/>
        <w:ind w:left="720" w:right="0" w:hanging="360"/>
        <w:jc w:val="right"/>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Regulated by the Care Quality Commission</w:t>
        <w:br w:type="textWrapping"/>
      </w:r>
    </w:p>
    <w:p w:rsidR="00000000" w:rsidDel="00000000" w:rsidP="00000000" w:rsidRDefault="00000000" w:rsidRPr="00000000" w14:paraId="00000017">
      <w:pPr>
        <w:numPr>
          <w:ilvl w:val="0"/>
          <w:numId w:val="1"/>
        </w:numPr>
        <w:spacing w:after="480" w:before="0" w:beforeAutospacing="0" w:line="240" w:lineRule="auto"/>
        <w:ind w:left="720" w:right="0" w:hanging="360"/>
        <w:jc w:val="right"/>
        <w:rPr>
          <w:rFonts w:ascii="Old Standard TT" w:cs="Old Standard TT" w:eastAsia="Old Standard TT" w:hAnsi="Old Standard TT"/>
          <w:sz w:val="28"/>
          <w:szCs w:val="28"/>
        </w:rPr>
      </w:pPr>
      <w:r w:rsidDel="00000000" w:rsidR="00000000" w:rsidRPr="00000000">
        <w:rPr>
          <w:rFonts w:ascii="Old Standard TT" w:cs="Old Standard TT" w:eastAsia="Old Standard TT" w:hAnsi="Old Standard TT"/>
          <w:sz w:val="28"/>
          <w:szCs w:val="28"/>
          <w:rtl w:val="0"/>
        </w:rPr>
        <w:t xml:space="preserve">Focus on person-centred care</w:t>
        <w:br w:type="textWrapping"/>
      </w:r>
    </w:p>
    <w:p w:rsidR="00000000" w:rsidDel="00000000" w:rsidP="00000000" w:rsidRDefault="00000000" w:rsidRPr="00000000" w14:paraId="00000018">
      <w:pPr>
        <w:spacing w:after="480" w:before="480" w:line="240" w:lineRule="auto"/>
        <w:ind w:left="0" w:right="0" w:firstLine="0"/>
        <w:jc w:val="right"/>
        <w:rPr>
          <w:rFonts w:ascii="Old Standard TT" w:cs="Old Standard TT" w:eastAsia="Old Standard TT" w:hAnsi="Old Standard TT"/>
          <w:sz w:val="28"/>
          <w:szCs w:val="28"/>
        </w:rPr>
      </w:pPr>
      <w:r w:rsidDel="00000000" w:rsidR="00000000" w:rsidRPr="00000000">
        <w:rPr>
          <w:rtl w:val="0"/>
        </w:rPr>
      </w:r>
    </w:p>
    <w:p w:rsidR="00000000" w:rsidDel="00000000" w:rsidP="00000000" w:rsidRDefault="00000000" w:rsidRPr="00000000" w14:paraId="00000019">
      <w:pPr>
        <w:spacing w:after="480" w:before="480" w:line="240" w:lineRule="auto"/>
        <w:ind w:left="0" w:right="0" w:firstLine="0"/>
        <w:jc w:val="center"/>
        <w:rPr>
          <w:rFonts w:ascii="Old Standard TT" w:cs="Old Standard TT" w:eastAsia="Old Standard TT" w:hAnsi="Old Standard TT"/>
          <w:b w:val="1"/>
          <w:bCs w:val="1"/>
          <w:i w:val="1"/>
          <w:iCs w:val="1"/>
          <w:sz w:val="36"/>
          <w:szCs w:val="36"/>
          <w:u w:val="single"/>
        </w:rPr>
      </w:pPr>
      <w:r w:rsidDel="00000000" w:rsidR="00000000" w:rsidRPr="00000000">
        <w:rPr>
          <w:rFonts w:ascii="Old Standard TT" w:cs="Old Standard TT" w:eastAsia="Old Standard TT" w:hAnsi="Old Standard TT"/>
          <w:b w:val="1"/>
          <w:bCs w:val="1"/>
          <w:i w:val="1"/>
          <w:iCs w:val="1"/>
          <w:sz w:val="36"/>
          <w:szCs w:val="36"/>
          <w:u w:val="single"/>
          <w:rtl w:val="0"/>
        </w:rPr>
        <w:t xml:space="preserve">reference list:</w:t>
      </w:r>
    </w:p>
    <w:p w:rsidR="00000000" w:rsidDel="00000000" w:rsidP="00000000" w:rsidRDefault="00000000" w:rsidRPr="00000000" w14:paraId="0000001A">
      <w:pPr>
        <w:pStyle w:val="Heading3"/>
        <w:keepNext w:val="0"/>
        <w:keepLines w:val="0"/>
        <w:widowControl w:val="1"/>
        <w:spacing w:after="80" w:before="280" w:lineRule="auto"/>
        <w:ind w:left="0" w:right="0" w:firstLine="0"/>
        <w:jc w:val="center"/>
        <w:rPr>
          <w:i w:val="1"/>
          <w:iCs w:val="1"/>
          <w:color w:val="000000"/>
          <w:u w:val="single"/>
        </w:rPr>
      </w:pPr>
      <w:bookmarkStart w:colFirst="0" w:colLast="0" w:name="_4mwv4o13j43y" w:id="2"/>
      <w:bookmarkEnd w:id="2"/>
      <w:r w:rsidDel="00000000" w:rsidR="00000000" w:rsidRPr="00000000">
        <w:rPr>
          <w:i w:val="1"/>
          <w:iCs w:val="1"/>
          <w:color w:val="000000"/>
          <w:u w:val="single"/>
          <w:rtl w:val="0"/>
        </w:rPr>
        <w:t xml:space="preserve">References</w:t>
      </w:r>
    </w:p>
    <w:p w:rsidR="00000000" w:rsidDel="00000000" w:rsidP="00000000" w:rsidRDefault="00000000" w:rsidRPr="00000000" w14:paraId="0000001B">
      <w:pPr>
        <w:numPr>
          <w:ilvl w:val="0"/>
          <w:numId w:val="3"/>
        </w:numPr>
        <w:spacing w:after="0" w:afterAutospacing="0" w:before="480" w:line="240" w:lineRule="auto"/>
        <w:ind w:left="720" w:right="0" w:hanging="360"/>
        <w:jc w:val="center"/>
        <w:rPr>
          <w:rFonts w:ascii="Old Standard TT" w:cs="Old Standard TT" w:eastAsia="Old Standard TT" w:hAnsi="Old Standard TT"/>
          <w:b w:val="1"/>
          <w:bCs w:val="1"/>
          <w:i w:val="1"/>
          <w:iCs w:val="1"/>
          <w:sz w:val="30"/>
          <w:szCs w:val="30"/>
        </w:rPr>
      </w:pPr>
      <w:r w:rsidDel="00000000" w:rsidR="00000000" w:rsidRPr="00000000">
        <w:rPr>
          <w:rFonts w:ascii="Old Standard TT" w:cs="Old Standard TT" w:eastAsia="Old Standard TT" w:hAnsi="Old Standard TT"/>
          <w:b w:val="1"/>
          <w:bCs w:val="1"/>
          <w:i w:val="1"/>
          <w:iCs w:val="1"/>
          <w:sz w:val="30"/>
          <w:szCs w:val="30"/>
          <w:u w:val="single"/>
          <w:rtl w:val="0"/>
        </w:rPr>
        <w:t xml:space="preserve">National Health Service (2023)</w:t>
        <w:br w:type="textWrapping"/>
      </w:r>
    </w:p>
    <w:p w:rsidR="00000000" w:rsidDel="00000000" w:rsidP="00000000" w:rsidRDefault="00000000" w:rsidRPr="00000000" w14:paraId="0000001C">
      <w:pPr>
        <w:numPr>
          <w:ilvl w:val="0"/>
          <w:numId w:val="3"/>
        </w:numPr>
        <w:spacing w:after="0" w:afterAutospacing="0" w:before="0" w:beforeAutospacing="0" w:line="240" w:lineRule="auto"/>
        <w:ind w:left="720" w:right="0" w:hanging="360"/>
        <w:jc w:val="center"/>
        <w:rPr>
          <w:rFonts w:ascii="Old Standard TT" w:cs="Old Standard TT" w:eastAsia="Old Standard TT" w:hAnsi="Old Standard TT"/>
          <w:b w:val="1"/>
          <w:bCs w:val="1"/>
          <w:i w:val="1"/>
          <w:iCs w:val="1"/>
          <w:sz w:val="30"/>
          <w:szCs w:val="30"/>
        </w:rPr>
      </w:pPr>
      <w:r w:rsidDel="00000000" w:rsidR="00000000" w:rsidRPr="00000000">
        <w:rPr>
          <w:rFonts w:ascii="Old Standard TT" w:cs="Old Standard TT" w:eastAsia="Old Standard TT" w:hAnsi="Old Standard TT"/>
          <w:b w:val="1"/>
          <w:bCs w:val="1"/>
          <w:i w:val="1"/>
          <w:iCs w:val="1"/>
          <w:sz w:val="30"/>
          <w:szCs w:val="30"/>
          <w:u w:val="single"/>
          <w:rtl w:val="0"/>
        </w:rPr>
        <w:t xml:space="preserve">Care Quality Commission (2022)</w:t>
        <w:br w:type="textWrapping"/>
      </w:r>
    </w:p>
    <w:p w:rsidR="00000000" w:rsidDel="00000000" w:rsidP="00000000" w:rsidRDefault="00000000" w:rsidRPr="00000000" w14:paraId="0000001D">
      <w:pPr>
        <w:numPr>
          <w:ilvl w:val="0"/>
          <w:numId w:val="3"/>
        </w:numPr>
        <w:spacing w:after="480" w:before="0" w:beforeAutospacing="0" w:line="240" w:lineRule="auto"/>
        <w:ind w:left="720" w:right="0" w:hanging="360"/>
        <w:jc w:val="center"/>
        <w:rPr>
          <w:rFonts w:ascii="Old Standard TT" w:cs="Old Standard TT" w:eastAsia="Old Standard TT" w:hAnsi="Old Standard TT"/>
          <w:b w:val="1"/>
          <w:bCs w:val="1"/>
          <w:i w:val="1"/>
          <w:iCs w:val="1"/>
          <w:sz w:val="30"/>
          <w:szCs w:val="30"/>
        </w:rPr>
      </w:pPr>
      <w:r w:rsidDel="00000000" w:rsidR="00000000" w:rsidRPr="00000000">
        <w:rPr>
          <w:rFonts w:ascii="Old Standard TT" w:cs="Old Standard TT" w:eastAsia="Old Standard TT" w:hAnsi="Old Standard TT"/>
          <w:b w:val="1"/>
          <w:bCs w:val="1"/>
          <w:i w:val="1"/>
          <w:iCs w:val="1"/>
          <w:sz w:val="30"/>
          <w:szCs w:val="30"/>
          <w:u w:val="single"/>
          <w:rtl w:val="0"/>
        </w:rPr>
        <w:t xml:space="preserve">Age UK (2021)</w:t>
        <w:br w:type="textWrapping"/>
      </w:r>
    </w:p>
    <w:p w:rsidR="00000000" w:rsidDel="00000000" w:rsidP="00000000" w:rsidRDefault="00000000" w:rsidRPr="00000000" w14:paraId="0000001E">
      <w:pPr>
        <w:spacing w:after="480" w:before="480" w:line="240" w:lineRule="auto"/>
        <w:ind w:left="0" w:right="0" w:firstLine="0"/>
        <w:jc w:val="center"/>
        <w:rPr>
          <w:rFonts w:ascii="Old Standard TT" w:cs="Old Standard TT" w:eastAsia="Old Standard TT" w:hAnsi="Old Standard TT"/>
          <w:b w:val="1"/>
          <w:bCs w:val="1"/>
          <w:i w:val="1"/>
          <w:iCs w:val="1"/>
          <w:sz w:val="36"/>
          <w:szCs w:val="36"/>
          <w:u w:val="single"/>
        </w:rPr>
      </w:pPr>
      <w:r w:rsidDel="00000000" w:rsidR="00000000" w:rsidRPr="00000000">
        <w:rPr>
          <w:rtl w:val="0"/>
        </w:rPr>
      </w:r>
    </w:p>
    <w:p w:rsidR="00000000" w:rsidDel="00000000" w:rsidP="00000000" w:rsidRDefault="00000000" w:rsidRPr="00000000" w14:paraId="0000001F">
      <w:pPr>
        <w:spacing w:after="240" w:before="240" w:line="240" w:lineRule="auto"/>
        <w:ind w:left="0" w:right="0" w:firstLine="0"/>
        <w:rPr>
          <w:rFonts w:ascii="Old Standard TT" w:cs="Old Standard TT" w:eastAsia="Old Standard TT" w:hAnsi="Old Standard TT"/>
          <w:b w:val="1"/>
          <w:bCs w:val="1"/>
          <w:i w:val="1"/>
          <w:iCs w:val="1"/>
          <w:sz w:val="36"/>
          <w:szCs w:val="36"/>
          <w:u w:val="single"/>
        </w:rPr>
      </w:pPr>
      <w:r w:rsidDel="00000000" w:rsidR="00000000" w:rsidRPr="00000000">
        <w:rPr>
          <w:rtl w:val="0"/>
        </w:rPr>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b w:val="1"/>
          <w:bCs w:val="1"/>
          <w:i w:val="1"/>
          <w:iCs w:val="1"/>
          <w:sz w:val="44"/>
          <w:szCs w:val="44"/>
          <w:u w:val="single"/>
        </w:rPr>
      </w:pPr>
      <w:r w:rsidDel="00000000" w:rsidR="00000000" w:rsidRPr="00000000">
        <w:rPr>
          <w:rtl w:val="0"/>
        </w:rPr>
      </w:r>
    </w:p>
    <w:p w:rsidR="00000000" w:rsidDel="00000000" w:rsidP="00000000" w:rsidRDefault="00000000" w:rsidRPr="00000000" w14:paraId="00000021">
      <w:pPr>
        <w:spacing w:before="0" w:line="240" w:lineRule="auto"/>
        <w:jc w:val="center"/>
        <w:rPr>
          <w:sz w:val="46"/>
          <w:szCs w:val="46"/>
        </w:rPr>
      </w:pPr>
      <w:r w:rsidDel="00000000" w:rsidR="00000000" w:rsidRPr="00000000">
        <w:rPr>
          <w:color w:val="38761d"/>
          <w:sz w:val="46"/>
          <w:szCs w:val="46"/>
          <w:rtl w:val="0"/>
        </w:rPr>
        <w:t xml:space="preserve">Community</w:t>
      </w:r>
      <w:r w:rsidDel="00000000" w:rsidR="00000000" w:rsidRPr="00000000">
        <w:rPr>
          <w:sz w:val="46"/>
          <w:szCs w:val="46"/>
          <w:rtl w:val="0"/>
        </w:rPr>
        <w:t xml:space="preserve"> Antenatal Midwifery Services</w:t>
      </w:r>
    </w:p>
    <w:p w:rsidR="00000000" w:rsidDel="00000000" w:rsidP="00000000" w:rsidRDefault="00000000" w:rsidRPr="00000000" w14:paraId="00000022">
      <w:pP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Fonts w:ascii="Old Standard TT" w:cs="Old Standard TT" w:eastAsia="Old Standard TT" w:hAnsi="Old Standard TT"/>
        </w:rPr>
        <w:drawing>
          <wp:inline distB="114300" distT="114300" distL="114300" distR="114300">
            <wp:extent cx="5057775" cy="424815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057775" cy="424815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after="240" w:before="240" w:line="240" w:lineRule="auto"/>
        <w:ind w:left="0" w:right="0" w:firstLine="0"/>
        <w:rPr>
          <w:sz w:val="26"/>
          <w:szCs w:val="26"/>
        </w:rPr>
      </w:pPr>
      <w:r w:rsidDel="00000000" w:rsidR="00000000" w:rsidRPr="00000000">
        <w:rPr>
          <w:sz w:val="26"/>
          <w:szCs w:val="26"/>
          <w:rtl w:val="0"/>
        </w:rPr>
        <w:t xml:space="preserve">Community antenatal midwifery services are a vital part of the health and social care system in the UK. Community antenatal care is essential for monitoring pregnancy (National Health Service, 2023).</w:t>
        <w:br w:type="textWrapping"/>
        <w:t xml:space="preserve">These services provide care and support to pregnant women before childbirth, usually within the community such as GP clinics, health centres, or at home. The aim is to ensure the health and wellbeing of both the mother and baby throughout pregnancy. Antenatal care supports public health outcomes (Public Health England, 2019).</w:t>
        <w:br w:type="textWrapping"/>
        <w:t xml:space="preserve"> This essay will explore the origins of community antenatal midwifery services, evaluate how they function today, and discuss their importance in improving outcomes for service users.</w:t>
      </w:r>
    </w:p>
    <w:p w:rsidR="00000000" w:rsidDel="00000000" w:rsidP="00000000" w:rsidRDefault="00000000" w:rsidRPr="00000000" w14:paraId="00000027">
      <w:pPr>
        <w:spacing w:after="240" w:before="240" w:line="240" w:lineRule="auto"/>
        <w:ind w:left="0" w:right="0" w:firstLine="0"/>
        <w:rPr>
          <w:sz w:val="26"/>
          <w:szCs w:val="26"/>
        </w:rPr>
      </w:pPr>
      <w:r w:rsidDel="00000000" w:rsidR="00000000" w:rsidRPr="00000000">
        <w:rPr>
          <w:sz w:val="26"/>
          <w:szCs w:val="26"/>
          <w:rtl w:val="0"/>
        </w:rPr>
        <w:t xml:space="preserve">The origins of antenatal care can be traced back to the early 20th century, when maternal and infant mortality rates were high, and there was a need for better healthcare support for pregnant women. Initially, care was limited and often provided by untrained individuals or charitable organisations. Over time, the role of trained midwives became more recognised, especially following the introduction of regulations such as the Midwives Act 1902 in the UK, which aimed to improve standards of care. Midwives provide personalised care based on individual needs (National Institute for Health and Care Excellence, 2021). A major development occurred with the establishment of the National Health Service in 1948, which made healthcare services, including antenatal care, free and accessible to all. This led to the expansion of community-based midwifery services, allowing pregnant women to receive regular monitoring and support throughout their pregnancy.</w:t>
      </w:r>
    </w:p>
    <w:p w:rsidR="00000000" w:rsidDel="00000000" w:rsidP="00000000" w:rsidRDefault="00000000" w:rsidRPr="00000000" w14:paraId="00000028">
      <w:pPr>
        <w:spacing w:after="240" w:before="240" w:line="240" w:lineRule="auto"/>
        <w:ind w:left="0" w:right="0" w:firstLine="0"/>
        <w:rPr>
          <w:sz w:val="26"/>
          <w:szCs w:val="26"/>
        </w:rPr>
      </w:pPr>
      <w:r w:rsidDel="00000000" w:rsidR="00000000" w:rsidRPr="00000000">
        <w:rPr>
          <w:sz w:val="26"/>
          <w:szCs w:val="26"/>
          <w:rtl w:val="0"/>
        </w:rPr>
        <w:t xml:space="preserve">Today, community antenatal midwifery services are delivered by qualified midwives who provide a range of essential services. These include regular health check-ups, monitoring the development of the baby, providing advice on nutrition and lifestyle, and offering emotional support. Midwives also carry out screenings and identify any potential risks or complications early.  Midwives play a key role in supporting women throughout pregnancy (Royal College of Midwives, 2022).</w:t>
        <w:br w:type="textWrapping"/>
        <w:t xml:space="preserve">Care is often provided in community settings, making it more accessible and convenient for women. A key feature of modern antenatal care is the focus on person-centred care, where the individual needs, preferences, and cultural backgrounds of women are respected. The services are guided by national standards and policies set by organisations such as the National Institute for Health and Care Excellence, ensuring high-quality and consistent care.</w:t>
      </w:r>
    </w:p>
    <w:p w:rsidR="00000000" w:rsidDel="00000000" w:rsidP="00000000" w:rsidRDefault="00000000" w:rsidRPr="00000000" w14:paraId="00000029">
      <w:pPr>
        <w:spacing w:after="240" w:before="240" w:line="240" w:lineRule="auto"/>
        <w:ind w:left="0" w:right="0" w:firstLine="0"/>
        <w:rPr>
          <w:sz w:val="26"/>
          <w:szCs w:val="26"/>
        </w:rPr>
      </w:pPr>
      <w:r w:rsidDel="00000000" w:rsidR="00000000" w:rsidRPr="00000000">
        <w:rPr>
          <w:sz w:val="26"/>
          <w:szCs w:val="26"/>
          <w:rtl w:val="0"/>
        </w:rPr>
        <w:t xml:space="preserve">Despite their importance, community antenatal midwifery services face several challenges. One significant issue is staff shortages, which can lead to increased workloads for midwives and reduced time for each patient. Additionally, there may be inequalities in access to services, particularly for women from disadvantaged backgrounds or those living in rural areas. While these services aim to provide comprehensive care, resource limitations can sometimes affect the quality and consistency of support provided. However, overall, the benefits of these services outweigh the challenges, as they play a crucial role in preventing complications and promoting healthy pregnancies.</w:t>
      </w:r>
    </w:p>
    <w:p w:rsidR="00000000" w:rsidDel="00000000" w:rsidP="00000000" w:rsidRDefault="00000000" w:rsidRPr="00000000" w14:paraId="0000002A">
      <w:pPr>
        <w:spacing w:after="240" w:before="240" w:line="240" w:lineRule="auto"/>
        <w:ind w:left="0" w:right="0" w:firstLine="0"/>
        <w:rPr>
          <w:sz w:val="26"/>
          <w:szCs w:val="26"/>
        </w:rPr>
      </w:pPr>
      <w:r w:rsidDel="00000000" w:rsidR="00000000" w:rsidRPr="00000000">
        <w:rPr>
          <w:sz w:val="26"/>
          <w:szCs w:val="26"/>
          <w:rtl w:val="0"/>
        </w:rPr>
        <w:t xml:space="preserve">Community antenatal midwifery services are highly significant in enhancing the quality of life for service users. They contribute to better health outcomes by ensuring that potential risks are identified and managed early. These services also provide education and support, empowering women to make informed decisions about their health and pregnancy. Furthermore, they help reduce the need for emergency hospital interventions, thereby easing pressure on the wider healthcare system. Emotional support provided by midwives can also improve the mental wellbeing of expectant mothers, which is an important aspect of overall care.</w:t>
      </w:r>
    </w:p>
    <w:p w:rsidR="00000000" w:rsidDel="00000000" w:rsidP="00000000" w:rsidRDefault="00000000" w:rsidRPr="00000000" w14:paraId="0000002B">
      <w:pPr>
        <w:spacing w:after="240" w:before="240" w:line="240" w:lineRule="auto"/>
        <w:ind w:left="0" w:right="0" w:firstLine="0"/>
        <w:rPr>
          <w:sz w:val="26"/>
          <w:szCs w:val="26"/>
        </w:rPr>
      </w:pPr>
      <w:r w:rsidDel="00000000" w:rsidR="00000000" w:rsidRPr="00000000">
        <w:rPr>
          <w:sz w:val="26"/>
          <w:szCs w:val="26"/>
          <w:rtl w:val="0"/>
        </w:rPr>
        <w:t xml:space="preserve">In conclusion, community antenatal midwifery services have developed significantly over time and are now a key component of the UK healthcare system. From their early beginnings to their current role in providing comprehensive and person-centred care, these services have greatly improved maternal and infant health outcomes. Although challenges such as staffing and resource limitations remain, their importance in supporting safe and healthy pregnancies cannot be overstated.</w:t>
      </w:r>
    </w:p>
    <w:p w:rsidR="00000000" w:rsidDel="00000000" w:rsidP="00000000" w:rsidRDefault="00000000" w:rsidRPr="00000000" w14:paraId="0000002C">
      <w:pPr>
        <w:spacing w:after="240" w:before="240" w:line="240" w:lineRule="auto"/>
        <w:ind w:left="0" w:right="0" w:firstLine="0"/>
        <w:rPr>
          <w:sz w:val="26"/>
          <w:szCs w:val="26"/>
        </w:rPr>
      </w:pPr>
      <w:r w:rsidDel="00000000" w:rsidR="00000000" w:rsidRPr="00000000">
        <w:rPr>
          <w:rtl w:val="0"/>
        </w:rPr>
      </w:r>
    </w:p>
    <w:p w:rsidR="00000000" w:rsidDel="00000000" w:rsidP="00000000" w:rsidRDefault="00000000" w:rsidRPr="00000000" w14:paraId="0000002D">
      <w:pPr>
        <w:spacing w:after="240" w:before="240" w:line="240" w:lineRule="auto"/>
        <w:ind w:left="0" w:right="0" w:firstLine="0"/>
        <w:jc w:val="center"/>
        <w:rPr>
          <w:b w:val="1"/>
          <w:bCs w:val="1"/>
          <w:i w:val="1"/>
          <w:iCs w:val="1"/>
          <w:sz w:val="36"/>
          <w:szCs w:val="36"/>
          <w:u w:val="single"/>
        </w:rPr>
      </w:pPr>
      <w:r w:rsidDel="00000000" w:rsidR="00000000" w:rsidRPr="00000000">
        <w:rPr>
          <w:b w:val="1"/>
          <w:bCs w:val="1"/>
          <w:i w:val="1"/>
          <w:iCs w:val="1"/>
          <w:sz w:val="36"/>
          <w:szCs w:val="36"/>
          <w:u w:val="single"/>
          <w:rtl w:val="0"/>
        </w:rPr>
        <w:t xml:space="preserve">references list:</w:t>
      </w:r>
    </w:p>
    <w:p w:rsidR="00000000" w:rsidDel="00000000" w:rsidP="00000000" w:rsidRDefault="00000000" w:rsidRPr="00000000" w14:paraId="0000002E">
      <w:pPr>
        <w:spacing w:after="240" w:before="240" w:line="240" w:lineRule="auto"/>
        <w:ind w:left="0" w:right="0" w:firstLine="0"/>
        <w:jc w:val="center"/>
        <w:rPr>
          <w:b w:val="1"/>
          <w:bCs w:val="1"/>
          <w:i w:val="1"/>
          <w:iCs w:val="1"/>
          <w:sz w:val="36"/>
          <w:szCs w:val="36"/>
          <w:u w:val="single"/>
        </w:rPr>
      </w:pPr>
      <w:r w:rsidDel="00000000" w:rsidR="00000000" w:rsidRPr="00000000">
        <w:rPr>
          <w:rtl w:val="0"/>
        </w:rPr>
      </w:r>
    </w:p>
    <w:p w:rsidR="00000000" w:rsidDel="00000000" w:rsidP="00000000" w:rsidRDefault="00000000" w:rsidRPr="00000000" w14:paraId="0000002F">
      <w:pPr>
        <w:numPr>
          <w:ilvl w:val="0"/>
          <w:numId w:val="4"/>
        </w:numPr>
        <w:spacing w:after="0" w:afterAutospacing="0" w:before="480" w:line="240" w:lineRule="auto"/>
        <w:ind w:left="720" w:right="0" w:hanging="360"/>
        <w:rPr>
          <w:i w:val="1"/>
          <w:iCs w:val="1"/>
          <w:sz w:val="26"/>
          <w:szCs w:val="26"/>
        </w:rPr>
      </w:pPr>
      <w:r w:rsidDel="00000000" w:rsidR="00000000" w:rsidRPr="00000000">
        <w:rPr>
          <w:i w:val="1"/>
          <w:iCs w:val="1"/>
          <w:sz w:val="26"/>
          <w:szCs w:val="26"/>
          <w:rtl w:val="0"/>
        </w:rPr>
        <w:t xml:space="preserve">Nursing and Midwifery Council (2018) The Code: Professional standards of practice and behaviour. Available at: https://www.nmc.org.uk</w:t>
        <w:br w:type="textWrapping"/>
      </w:r>
    </w:p>
    <w:p w:rsidR="00000000" w:rsidDel="00000000" w:rsidP="00000000" w:rsidRDefault="00000000" w:rsidRPr="00000000" w14:paraId="00000030">
      <w:pPr>
        <w:numPr>
          <w:ilvl w:val="0"/>
          <w:numId w:val="4"/>
        </w:numPr>
        <w:spacing w:after="0" w:afterAutospacing="0" w:before="0" w:beforeAutospacing="0" w:line="240" w:lineRule="auto"/>
        <w:ind w:left="720" w:right="0" w:hanging="360"/>
        <w:rPr>
          <w:i w:val="1"/>
          <w:iCs w:val="1"/>
          <w:sz w:val="26"/>
          <w:szCs w:val="26"/>
        </w:rPr>
      </w:pPr>
      <w:r w:rsidDel="00000000" w:rsidR="00000000" w:rsidRPr="00000000">
        <w:rPr>
          <w:i w:val="1"/>
          <w:iCs w:val="1"/>
          <w:sz w:val="26"/>
          <w:szCs w:val="26"/>
          <w:rtl w:val="0"/>
        </w:rPr>
        <w:t xml:space="preserve">Public Health England (2019) Maternity and early years data. Available at: https://www.gov.uk</w:t>
        <w:br w:type="textWrapping"/>
      </w:r>
    </w:p>
    <w:p w:rsidR="00000000" w:rsidDel="00000000" w:rsidP="00000000" w:rsidRDefault="00000000" w:rsidRPr="00000000" w14:paraId="00000031">
      <w:pPr>
        <w:numPr>
          <w:ilvl w:val="0"/>
          <w:numId w:val="4"/>
        </w:numPr>
        <w:spacing w:after="0" w:afterAutospacing="0" w:before="0" w:beforeAutospacing="0" w:line="240" w:lineRule="auto"/>
        <w:ind w:left="720" w:right="0" w:hanging="360"/>
        <w:rPr>
          <w:i w:val="1"/>
          <w:iCs w:val="1"/>
          <w:sz w:val="26"/>
          <w:szCs w:val="26"/>
        </w:rPr>
      </w:pPr>
      <w:r w:rsidDel="00000000" w:rsidR="00000000" w:rsidRPr="00000000">
        <w:rPr>
          <w:i w:val="1"/>
          <w:iCs w:val="1"/>
          <w:sz w:val="26"/>
          <w:szCs w:val="26"/>
          <w:rtl w:val="0"/>
        </w:rPr>
        <w:t xml:space="preserve">NHS England (2022) Better Births: Improving outcomes of maternity services. Available at: https://www.england.nhs.uk</w:t>
        <w:br w:type="textWrapping"/>
      </w:r>
    </w:p>
    <w:p w:rsidR="00000000" w:rsidDel="00000000" w:rsidP="00000000" w:rsidRDefault="00000000" w:rsidRPr="00000000" w14:paraId="00000032">
      <w:pPr>
        <w:numPr>
          <w:ilvl w:val="0"/>
          <w:numId w:val="4"/>
        </w:numPr>
        <w:spacing w:after="0" w:afterAutospacing="0" w:before="0" w:beforeAutospacing="0" w:line="240" w:lineRule="auto"/>
        <w:ind w:left="720" w:right="0" w:hanging="360"/>
        <w:rPr>
          <w:i w:val="1"/>
          <w:iCs w:val="1"/>
          <w:sz w:val="26"/>
          <w:szCs w:val="26"/>
        </w:rPr>
      </w:pPr>
      <w:r w:rsidDel="00000000" w:rsidR="00000000" w:rsidRPr="00000000">
        <w:rPr>
          <w:i w:val="1"/>
          <w:iCs w:val="1"/>
          <w:sz w:val="26"/>
          <w:szCs w:val="26"/>
          <w:rtl w:val="0"/>
        </w:rPr>
        <w:t xml:space="preserve">Office for Health Improvement and Disparities (2022) Health inequalities in maternity care. Available at: https://www.gov.uk</w:t>
        <w:br w:type="textWrapping"/>
      </w:r>
    </w:p>
    <w:p w:rsidR="00000000" w:rsidDel="00000000" w:rsidP="00000000" w:rsidRDefault="00000000" w:rsidRPr="00000000" w14:paraId="00000033">
      <w:pPr>
        <w:numPr>
          <w:ilvl w:val="0"/>
          <w:numId w:val="4"/>
        </w:numPr>
        <w:spacing w:after="0" w:afterAutospacing="0" w:before="0" w:beforeAutospacing="0" w:line="240" w:lineRule="auto"/>
        <w:ind w:left="720" w:right="0" w:hanging="360"/>
        <w:rPr>
          <w:i w:val="1"/>
          <w:iCs w:val="1"/>
          <w:sz w:val="26"/>
          <w:szCs w:val="26"/>
        </w:rPr>
      </w:pPr>
      <w:r w:rsidDel="00000000" w:rsidR="00000000" w:rsidRPr="00000000">
        <w:rPr>
          <w:i w:val="1"/>
          <w:iCs w:val="1"/>
          <w:sz w:val="26"/>
          <w:szCs w:val="26"/>
          <w:rtl w:val="0"/>
        </w:rPr>
        <w:t xml:space="preserve">Kings Fund (2021) The NHS and social care overview. Available at: https://www.kingsfund.org.uk</w:t>
        <w:br w:type="textWrapping"/>
      </w:r>
    </w:p>
    <w:p w:rsidR="00000000" w:rsidDel="00000000" w:rsidP="00000000" w:rsidRDefault="00000000" w:rsidRPr="00000000" w14:paraId="00000034">
      <w:pPr>
        <w:numPr>
          <w:ilvl w:val="0"/>
          <w:numId w:val="4"/>
        </w:numPr>
        <w:spacing w:after="480" w:before="0" w:beforeAutospacing="0" w:line="240" w:lineRule="auto"/>
        <w:ind w:left="720" w:right="0" w:hanging="360"/>
        <w:rPr>
          <w:i w:val="1"/>
          <w:iCs w:val="1"/>
          <w:sz w:val="26"/>
          <w:szCs w:val="26"/>
        </w:rPr>
      </w:pPr>
      <w:r w:rsidDel="00000000" w:rsidR="00000000" w:rsidRPr="00000000">
        <w:rPr>
          <w:i w:val="1"/>
          <w:iCs w:val="1"/>
          <w:sz w:val="26"/>
          <w:szCs w:val="26"/>
          <w:rtl w:val="0"/>
        </w:rPr>
        <w:t xml:space="preserve">Royal College of Obstetricians and Gynaecologists (2020) Standards for maternity care. Available at: https://www.rcog.org.uk</w:t>
        <w:br w:type="textWrapping"/>
      </w:r>
    </w:p>
    <w:p w:rsidR="00000000" w:rsidDel="00000000" w:rsidP="00000000" w:rsidRDefault="00000000" w:rsidRPr="00000000" w14:paraId="00000035">
      <w:pPr>
        <w:spacing w:after="240" w:before="240" w:line="240" w:lineRule="auto"/>
        <w:ind w:left="0" w:right="0" w:firstLine="0"/>
        <w:rPr>
          <w:i w:val="1"/>
          <w:iCs w:val="1"/>
          <w:sz w:val="36"/>
          <w:szCs w:val="36"/>
        </w:rPr>
      </w:pPr>
      <w:r w:rsidDel="00000000" w:rsidR="00000000" w:rsidRPr="00000000">
        <w:rPr>
          <w:rtl w:val="0"/>
        </w:rPr>
      </w:r>
    </w:p>
    <w:p w:rsidR="00000000" w:rsidDel="00000000" w:rsidP="00000000" w:rsidRDefault="00000000" w:rsidRPr="00000000" w14:paraId="00000036">
      <w:pPr>
        <w:spacing w:after="240" w:before="240" w:line="240" w:lineRule="auto"/>
        <w:ind w:left="0" w:right="0" w:firstLine="0"/>
        <w:jc w:val="center"/>
        <w:rPr>
          <w:b w:val="1"/>
          <w:bCs w:val="1"/>
          <w:i w:val="1"/>
          <w:iCs w:val="1"/>
          <w:sz w:val="36"/>
          <w:szCs w:val="36"/>
          <w:u w:val="single"/>
        </w:rPr>
      </w:pPr>
      <w:r w:rsidDel="00000000" w:rsidR="00000000" w:rsidRPr="00000000">
        <w:rPr>
          <w:rtl w:val="0"/>
        </w:rPr>
      </w:r>
    </w:p>
    <w:p w:rsidR="00000000" w:rsidDel="00000000" w:rsidP="00000000" w:rsidRDefault="00000000" w:rsidRPr="00000000" w14:paraId="00000037">
      <w:pPr>
        <w:spacing w:before="0" w:line="240" w:lineRule="auto"/>
        <w:rPr>
          <w:sz w:val="46"/>
          <w:szCs w:val="46"/>
        </w:rPr>
      </w:pPr>
      <w:r w:rsidDel="00000000" w:rsidR="00000000" w:rsidRPr="00000000">
        <w:rPr>
          <w:rtl w:val="0"/>
        </w:rPr>
      </w:r>
    </w:p>
    <w:p w:rsidR="00000000" w:rsidDel="00000000" w:rsidP="00000000" w:rsidRDefault="00000000" w:rsidRPr="00000000" w14:paraId="0000003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sectPr>
      <w:headerReference r:id="rId8" w:type="first"/>
      <w:headerReference r:id="rId9" w:type="default"/>
      <w:footerReference r:id="rId10" w:type="first"/>
      <w:pgSz w:h="15840" w:w="12240" w:orient="portrait"/>
      <w:pgMar w:bottom="1152" w:top="1152"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PT Serif">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ld Standard TT">
    <w:embedRegular w:fontKey="{00000000-0000-0000-0000-000000000000}" r:id="rId5" w:subsetted="0"/>
    <w:embedBold w:fontKey="{00000000-0000-0000-0000-000000000000}" r:id="rId6" w:subsetted="0"/>
    <w:embedItalic w:fontKey="{00000000-0000-0000-0000-000000000000}" r:id="rId7"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9">
    <w:pPr>
      <w:pStyle w:val="Heading6"/>
      <w:pageBreakBefore w:val="0"/>
      <w:pBdr>
        <w:top w:space="0" w:sz="0" w:val="nil"/>
        <w:left w:space="0" w:sz="0" w:val="nil"/>
        <w:bottom w:space="0" w:sz="0" w:val="nil"/>
        <w:right w:space="0" w:sz="0" w:val="nil"/>
        <w:between w:space="0" w:sz="0" w:val="nil"/>
      </w:pBdr>
      <w:shd w:fill="auto" w:val="clear"/>
      <w:spacing w:before="0" w:lineRule="auto"/>
      <w:rPr/>
    </w:pPr>
    <w:bookmarkStart w:colFirst="0" w:colLast="0" w:name="_2mzs7k926ll" w:id="3"/>
    <w:bookmarkEnd w:id="3"/>
    <w:r w:rsidDel="00000000" w:rsidR="00000000" w:rsidRPr="00000000">
      <w:rPr>
        <w:rtl w:val="0"/>
      </w:rPr>
    </w:r>
  </w:p>
  <w:tbl>
    <w:tblPr>
      <w:tblStyle w:val="Table1"/>
      <w:tblW w:w="12225.0" w:type="dxa"/>
      <w:jc w:val="left"/>
      <w:tblInd w:w="-1440.0" w:type="dxa"/>
      <w:tblLayout w:type="fixed"/>
      <w:tblLook w:val="0600"/>
    </w:tblPr>
    <w:tblGrid>
      <w:gridCol w:w="8985"/>
      <w:gridCol w:w="3240"/>
      <w:tblGridChange w:id="0">
        <w:tblGrid>
          <w:gridCol w:w="8985"/>
          <w:gridCol w:w="3240"/>
        </w:tblGrid>
      </w:tblGridChange>
    </w:tblGrid>
    <w:tr>
      <w:trPr>
        <w:cantSplit w:val="0"/>
        <w:trHeight w:val="160" w:hRule="atLeast"/>
        <w:tblHeader w:val="0"/>
      </w:trPr>
      <w:tc>
        <w:tcPr>
          <w:gridSpan w:val="2"/>
          <w:tcBorders>
            <w:top w:color="000000" w:space="0" w:sz="8" w:val="single"/>
            <w:left w:color="000000" w:space="0" w:sz="8" w:val="single"/>
            <w:bottom w:color="00a797" w:space="0" w:sz="8" w:val="single"/>
            <w:right w:color="000000" w:space="0" w:sz="8" w:val="single"/>
          </w:tcBorders>
          <w:shd w:fill="000000" w:val="clear"/>
          <w:tcMar>
            <w:top w:w="100.0" w:type="dxa"/>
            <w:left w:w="100.0" w:type="dxa"/>
            <w:bottom w:w="100.0" w:type="dxa"/>
            <w:right w:w="100.0" w:type="dxa"/>
          </w:tcMar>
          <w:vAlign w:val="top"/>
        </w:tcPr>
        <w:p w:rsidR="00000000" w:rsidDel="00000000" w:rsidP="00000000" w:rsidRDefault="00000000" w:rsidRPr="00000000" w14:paraId="0000003A">
          <w:pPr>
            <w:pStyle w:val="Heading5"/>
            <w:pageBreakBefore w:val="0"/>
            <w:widowControl w:val="0"/>
            <w:pBdr>
              <w:top w:space="0" w:sz="0" w:val="nil"/>
              <w:left w:space="0" w:sz="0" w:val="nil"/>
              <w:bottom w:space="0" w:sz="0" w:val="nil"/>
              <w:right w:space="0" w:sz="0" w:val="nil"/>
              <w:between w:space="0" w:sz="0" w:val="nil"/>
            </w:pBdr>
            <w:shd w:fill="auto" w:val="clear"/>
            <w:spacing w:before="0" w:line="240" w:lineRule="auto"/>
            <w:ind w:left="-45" w:right="960" w:firstLine="0"/>
            <w:jc w:val="right"/>
            <w:rPr>
              <w:sz w:val="12"/>
              <w:szCs w:val="12"/>
            </w:rPr>
          </w:pPr>
          <w:bookmarkStart w:colFirst="0" w:colLast="0" w:name="_247svd1nybjm" w:id="4"/>
          <w:bookmarkEnd w:id="4"/>
          <w:r w:rsidDel="00000000" w:rsidR="00000000" w:rsidRPr="00000000">
            <w:rPr>
              <w:rtl w:val="0"/>
            </w:rPr>
          </w:r>
        </w:p>
      </w:tc>
    </w:tr>
    <w:tr>
      <w:trPr>
        <w:cantSplit w:val="0"/>
        <w:trHeight w:val="900" w:hRule="atLeast"/>
        <w:tblHeader w:val="0"/>
      </w:trPr>
      <w:tc>
        <w:tcPr>
          <w:tcBorders>
            <w:top w:color="00a797" w:space="0" w:sz="8" w:val="single"/>
            <w:left w:color="00a797" w:space="0" w:sz="8" w:val="single"/>
            <w:bottom w:color="00a797" w:space="0" w:sz="8" w:val="single"/>
            <w:right w:color="00a797" w:space="0" w:sz="8" w:val="single"/>
          </w:tcBorders>
          <w:shd w:fill="00a797" w:val="clear"/>
          <w:tcMar>
            <w:top w:w="100.0" w:type="dxa"/>
            <w:left w:w="100.0" w:type="dxa"/>
            <w:bottom w:w="100.0" w:type="dxa"/>
            <w:right w:w="100.0" w:type="dxa"/>
          </w:tcMar>
          <w:vAlign w:val="top"/>
        </w:tcPr>
        <w:p w:rsidR="00000000" w:rsidDel="00000000" w:rsidP="00000000" w:rsidRDefault="00000000" w:rsidRPr="00000000" w14:paraId="0000003C">
          <w:pPr>
            <w:pStyle w:val="Heading4"/>
            <w:pageBreakBefore w:val="0"/>
            <w:pBdr>
              <w:top w:space="0" w:sz="0" w:val="nil"/>
              <w:left w:space="0" w:sz="0" w:val="nil"/>
              <w:bottom w:space="0" w:sz="0" w:val="nil"/>
              <w:right w:space="0" w:sz="0" w:val="nil"/>
              <w:between w:space="0" w:sz="0" w:val="nil"/>
            </w:pBdr>
            <w:shd w:fill="auto" w:val="clear"/>
            <w:rPr>
              <w:rFonts w:ascii="Old Standard TT" w:cs="Old Standard TT" w:eastAsia="Old Standard TT" w:hAnsi="Old Standard TT"/>
              <w:color w:val="fff9ed"/>
              <w:sz w:val="24"/>
              <w:szCs w:val="24"/>
              <w:u w:val="none"/>
            </w:rPr>
          </w:pPr>
          <w:bookmarkStart w:colFirst="0" w:colLast="0" w:name="_247svd1nybjm" w:id="4"/>
          <w:bookmarkEnd w:id="4"/>
          <w:r w:rsidDel="00000000" w:rsidR="00000000" w:rsidRPr="00000000">
            <w:rPr>
              <w:rtl w:val="0"/>
            </w:rPr>
          </w:r>
        </w:p>
      </w:tc>
      <w:tc>
        <w:tcPr>
          <w:tcBorders>
            <w:top w:color="00a797" w:space="0" w:sz="8" w:val="single"/>
            <w:left w:color="00a797" w:space="0" w:sz="8" w:val="single"/>
            <w:bottom w:color="00a797" w:space="0" w:sz="8" w:val="single"/>
            <w:right w:color="00a797" w:space="0" w:sz="8" w:val="single"/>
          </w:tcBorders>
          <w:shd w:fill="00a797" w:val="clear"/>
          <w:tcMar>
            <w:top w:w="100.0" w:type="dxa"/>
            <w:left w:w="100.0" w:type="dxa"/>
            <w:bottom w:w="100.0" w:type="dxa"/>
            <w:right w:w="100.0" w:type="dxa"/>
          </w:tcMar>
          <w:vAlign w:val="center"/>
        </w:tcPr>
        <w:p w:rsidR="00000000" w:rsidDel="00000000" w:rsidP="00000000" w:rsidRDefault="00000000" w:rsidRPr="00000000" w14:paraId="0000003D">
          <w:pPr>
            <w:pageBreakBefore w:val="0"/>
            <w:pBdr>
              <w:top w:space="0" w:sz="0" w:val="nil"/>
              <w:left w:space="0" w:sz="0" w:val="nil"/>
              <w:bottom w:space="0" w:sz="0" w:val="nil"/>
              <w:right w:space="0" w:sz="0" w:val="nil"/>
              <w:between w:space="0" w:sz="0" w:val="nil"/>
            </w:pBdr>
            <w:shd w:fill="auto" w:val="clear"/>
            <w:spacing w:before="0" w:lineRule="auto"/>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tc>
    </w:tr>
  </w:tbl>
  <w:p w:rsidR="00000000" w:rsidDel="00000000" w:rsidP="00000000" w:rsidRDefault="00000000" w:rsidRPr="00000000" w14:paraId="0000003E">
    <w:pPr>
      <w:pStyle w:val="Heading6"/>
      <w:pageBreakBefore w:val="0"/>
      <w:pBdr>
        <w:top w:space="0" w:sz="0" w:val="nil"/>
        <w:left w:space="0" w:sz="0" w:val="nil"/>
        <w:bottom w:space="0" w:sz="0" w:val="nil"/>
        <w:right w:space="0" w:sz="0" w:val="nil"/>
        <w:between w:space="0" w:sz="0" w:val="nil"/>
      </w:pBdr>
      <w:shd w:fill="auto" w:val="clear"/>
      <w:rPr/>
    </w:pPr>
    <w:bookmarkStart w:colFirst="0" w:colLast="0" w:name="_k2z3n45ztaex" w:id="6"/>
    <w:bookmarkEnd w:id="6"/>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F">
    <w:pPr>
      <w:pageBreakBefore w:val="0"/>
      <w:pBdr>
        <w:top w:space="0" w:sz="0" w:val="nil"/>
        <w:left w:space="0" w:sz="0" w:val="nil"/>
        <w:bottom w:space="0" w:sz="0" w:val="nil"/>
        <w:right w:space="0" w:sz="0" w:val="nil"/>
        <w:between w:space="0" w:sz="0" w:val="nil"/>
      </w:pBdr>
      <w:shd w:fill="auto" w:val="clear"/>
      <w:spacing w:before="0" w:line="240" w:lineRule="auto"/>
      <w:ind w:left="-15" w:right="-15" w:firstLine="0"/>
      <w:rPr>
        <w:sz w:val="12"/>
        <w:szCs w:val="1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PT Serif" w:cs="PT Serif" w:eastAsia="PT Serif" w:hAnsi="PT Serif"/>
        <w:sz w:val="22"/>
        <w:szCs w:val="22"/>
        <w:lang w:val="en"/>
      </w:rPr>
    </w:rPrDefault>
    <w:pPrDefault>
      <w:pPr>
        <w:spacing w:before="200" w:line="312" w:lineRule="auto"/>
        <w:ind w:left="-15" w:right="-15" w:firstLine="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before="320" w:line="240" w:lineRule="auto"/>
    </w:pPr>
    <w:rPr>
      <w:rFonts w:ascii="Old Standard TT" w:cs="Old Standard TT" w:eastAsia="Old Standard TT" w:hAnsi="Old Standard TT"/>
      <w:b w:val="1"/>
      <w:bCs w:val="1"/>
      <w:sz w:val="36"/>
      <w:szCs w:val="36"/>
    </w:rPr>
  </w:style>
  <w:style w:type="paragraph" w:styleId="Heading2">
    <w:name w:val="heading 2"/>
    <w:basedOn w:val="Normal"/>
    <w:next w:val="Normal"/>
    <w:pPr>
      <w:keepNext w:val="1"/>
      <w:keepLines w:val="1"/>
      <w:pageBreakBefore w:val="0"/>
      <w:spacing w:before="480" w:lineRule="auto"/>
    </w:pPr>
    <w:rPr>
      <w:rFonts w:ascii="Old Standard TT" w:cs="Old Standard TT" w:eastAsia="Old Standard TT" w:hAnsi="Old Standard TT"/>
      <w:b w:val="1"/>
      <w:bCs w:val="1"/>
      <w:sz w:val="28"/>
      <w:szCs w:val="28"/>
    </w:rPr>
  </w:style>
  <w:style w:type="paragraph" w:styleId="Heading3">
    <w:name w:val="heading 3"/>
    <w:basedOn w:val="Normal"/>
    <w:next w:val="Normal"/>
    <w:pPr>
      <w:keepNext w:val="1"/>
      <w:keepLines w:val="1"/>
      <w:pageBreakBefore w:val="0"/>
      <w:widowControl w:val="0"/>
      <w:spacing w:line="240" w:lineRule="auto"/>
      <w:ind w:right="780"/>
    </w:pPr>
    <w:rPr>
      <w:rFonts w:ascii="Old Standard TT" w:cs="Old Standard TT" w:eastAsia="Old Standard TT" w:hAnsi="Old Standard TT"/>
      <w:b w:val="1"/>
      <w:bCs w:val="1"/>
      <w:color w:val="01857b"/>
      <w:sz w:val="26"/>
      <w:szCs w:val="26"/>
    </w:rPr>
  </w:style>
  <w:style w:type="paragraph" w:styleId="Heading4">
    <w:name w:val="heading 4"/>
    <w:basedOn w:val="Normal"/>
    <w:next w:val="Normal"/>
    <w:pPr>
      <w:keepNext w:val="1"/>
      <w:keepLines w:val="1"/>
      <w:pageBreakBefore w:val="0"/>
      <w:spacing w:line="240" w:lineRule="auto"/>
      <w:ind w:firstLine="0"/>
    </w:pPr>
    <w:rPr>
      <w:color w:val="01857b"/>
    </w:rPr>
  </w:style>
  <w:style w:type="paragraph" w:styleId="Heading5">
    <w:name w:val="heading 5"/>
    <w:basedOn w:val="Normal"/>
    <w:next w:val="Normal"/>
    <w:pPr>
      <w:keepNext w:val="1"/>
      <w:keepLines w:val="1"/>
      <w:pageBreakBefore w:val="0"/>
      <w:widowControl w:val="0"/>
      <w:spacing w:before="0" w:line="240" w:lineRule="auto"/>
      <w:ind w:left="-45" w:right="960"/>
    </w:pPr>
    <w:rPr>
      <w:rFonts w:ascii="Old Standard TT" w:cs="Old Standard TT" w:eastAsia="Old Standard TT" w:hAnsi="Old Standard TT"/>
      <w:sz w:val="22"/>
      <w:szCs w:val="22"/>
    </w:rPr>
  </w:style>
  <w:style w:type="paragraph" w:styleId="Heading6">
    <w:name w:val="heading 6"/>
    <w:basedOn w:val="Normal"/>
    <w:next w:val="Normal"/>
    <w:pPr>
      <w:keepNext w:val="1"/>
      <w:keepLines w:val="1"/>
      <w:pageBreakBefore w:val="0"/>
      <w:spacing w:line="240" w:lineRule="auto"/>
      <w:ind w:left="-15" w:right="-15" w:firstLine="0"/>
    </w:pPr>
    <w:rPr>
      <w:rFonts w:ascii="Old Standard TT" w:cs="Old Standard TT" w:eastAsia="Old Standard TT" w:hAnsi="Old Standard TT"/>
      <w:color w:val="666666"/>
      <w:sz w:val="12"/>
      <w:szCs w:val="12"/>
    </w:rPr>
  </w:style>
  <w:style w:type="paragraph" w:styleId="Title">
    <w:name w:val="Title"/>
    <w:basedOn w:val="Normal"/>
    <w:next w:val="Normal"/>
    <w:pPr>
      <w:pageBreakBefore w:val="0"/>
      <w:spacing w:before="320" w:line="240" w:lineRule="auto"/>
    </w:pPr>
    <w:rPr>
      <w:rFonts w:ascii="Old Standard TT" w:cs="Old Standard TT" w:eastAsia="Old Standard TT" w:hAnsi="Old Standard TT"/>
      <w:b w:val="1"/>
      <w:bCs w:val="1"/>
      <w:color w:val="00a797"/>
      <w:sz w:val="72"/>
      <w:szCs w:val="72"/>
    </w:rPr>
  </w:style>
  <w:style w:type="paragraph" w:styleId="Subtitle">
    <w:name w:val="Subtitle"/>
    <w:basedOn w:val="Normal"/>
    <w:next w:val="Normal"/>
    <w:pPr>
      <w:pageBreakBefore w:val="0"/>
      <w:spacing w:before="320" w:lineRule="auto"/>
    </w:pPr>
    <w:rPr>
      <w:rFonts w:ascii="Old Standard TT" w:cs="Old Standard TT" w:eastAsia="Old Standard TT" w:hAnsi="Old Standard TT"/>
      <w:b w:val="1"/>
      <w:bCs w:val="1"/>
      <w:sz w:val="26"/>
      <w:szCs w:val="26"/>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PTSerif-regular.ttf"/><Relationship Id="rId2" Type="http://schemas.openxmlformats.org/officeDocument/2006/relationships/font" Target="fonts/PTSerif-bold.ttf"/><Relationship Id="rId3" Type="http://schemas.openxmlformats.org/officeDocument/2006/relationships/font" Target="fonts/PTSerif-italic.ttf"/><Relationship Id="rId4" Type="http://schemas.openxmlformats.org/officeDocument/2006/relationships/font" Target="fonts/PTSerif-boldItalic.ttf"/><Relationship Id="rId5" Type="http://schemas.openxmlformats.org/officeDocument/2006/relationships/font" Target="fonts/OldStandardTT-regular.ttf"/><Relationship Id="rId6" Type="http://schemas.openxmlformats.org/officeDocument/2006/relationships/font" Target="fonts/OldStandardTT-bold.ttf"/><Relationship Id="rId7" Type="http://schemas.openxmlformats.org/officeDocument/2006/relationships/font" Target="fonts/OldStandardTT-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