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AFA00" w14:textId="77777777" w:rsidR="0017178E" w:rsidRPr="00485497" w:rsidRDefault="0017178E" w:rsidP="00485497">
      <w:pPr>
        <w:spacing w:line="360" w:lineRule="auto"/>
        <w:jc w:val="center"/>
        <w:rPr>
          <w:rFonts w:ascii="Arial" w:hAnsi="Arial" w:cs="Arial"/>
          <w:sz w:val="24"/>
          <w:szCs w:val="24"/>
        </w:rPr>
      </w:pPr>
      <w:r w:rsidRPr="00485497">
        <w:rPr>
          <w:rFonts w:ascii="Arial" w:hAnsi="Arial" w:cs="Arial"/>
          <w:noProof/>
          <w:sz w:val="24"/>
          <w:szCs w:val="24"/>
        </w:rPr>
        <w:drawing>
          <wp:inline distT="0" distB="0" distL="0" distR="0" wp14:anchorId="1F55E7ED" wp14:editId="3DAF3B26">
            <wp:extent cx="2460510" cy="1650577"/>
            <wp:effectExtent l="0" t="0" r="0" b="0"/>
            <wp:docPr id="1151481291" name="Picture 3" descr="Free Employability Workshop with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mployability Workshop with University of Wales Trinity Sai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989" cy="1656936"/>
                    </a:xfrm>
                    <a:prstGeom prst="rect">
                      <a:avLst/>
                    </a:prstGeom>
                    <a:noFill/>
                    <a:ln>
                      <a:noFill/>
                    </a:ln>
                  </pic:spPr>
                </pic:pic>
              </a:graphicData>
            </a:graphic>
          </wp:inline>
        </w:drawing>
      </w:r>
    </w:p>
    <w:p w14:paraId="349DE1F0" w14:textId="10664C0B" w:rsidR="001A61B0" w:rsidRPr="00485497" w:rsidRDefault="001A61B0" w:rsidP="00485497">
      <w:pPr>
        <w:spacing w:line="360" w:lineRule="auto"/>
        <w:rPr>
          <w:rFonts w:ascii="Arial" w:hAnsi="Arial" w:cs="Arial"/>
          <w:sz w:val="24"/>
          <w:szCs w:val="24"/>
        </w:rPr>
      </w:pPr>
      <w:r w:rsidRPr="00485497">
        <w:rPr>
          <w:rFonts w:ascii="Arial" w:hAnsi="Arial" w:cs="Arial"/>
          <w:sz w:val="24"/>
          <w:szCs w:val="24"/>
        </w:rPr>
        <w:t xml:space="preserve">INTERNATIONAL MARKET </w:t>
      </w:r>
      <w:r w:rsidR="00A66D40" w:rsidRPr="00485497">
        <w:rPr>
          <w:rFonts w:ascii="Arial" w:hAnsi="Arial" w:cs="Arial"/>
          <w:sz w:val="24"/>
          <w:szCs w:val="24"/>
        </w:rPr>
        <w:t>BUSINESS</w:t>
      </w:r>
      <w:r w:rsidRPr="00485497">
        <w:rPr>
          <w:rFonts w:ascii="Arial" w:hAnsi="Arial" w:cs="Arial"/>
          <w:sz w:val="24"/>
          <w:szCs w:val="24"/>
        </w:rPr>
        <w:t xml:space="preserve"> </w:t>
      </w:r>
      <w:r w:rsidR="000C7B73" w:rsidRPr="00485497">
        <w:rPr>
          <w:rFonts w:ascii="Arial" w:hAnsi="Arial" w:cs="Arial"/>
          <w:sz w:val="24"/>
          <w:szCs w:val="24"/>
        </w:rPr>
        <w:t xml:space="preserve">ANALYSIS </w:t>
      </w:r>
      <w:r w:rsidRPr="00485497">
        <w:rPr>
          <w:rFonts w:ascii="Arial" w:hAnsi="Arial" w:cs="Arial"/>
          <w:sz w:val="24"/>
          <w:szCs w:val="24"/>
        </w:rPr>
        <w:t>OF TOYOTA INDUSTRIES CORPORATION ELECTRIC VEHICLE IN MULTIPLE COUNTRIES (JAPAN AND USA)</w:t>
      </w:r>
      <w:r w:rsidR="007830C6" w:rsidRPr="00485497">
        <w:rPr>
          <w:rFonts w:ascii="Arial" w:hAnsi="Arial" w:cs="Arial"/>
          <w:sz w:val="24"/>
          <w:szCs w:val="24"/>
        </w:rPr>
        <w:t xml:space="preserve">    </w:t>
      </w:r>
    </w:p>
    <w:tbl>
      <w:tblPr>
        <w:tblStyle w:val="TableGrid"/>
        <w:tblW w:w="0" w:type="auto"/>
        <w:tblLook w:val="04A0" w:firstRow="1" w:lastRow="0" w:firstColumn="1" w:lastColumn="0" w:noHBand="0" w:noVBand="1"/>
      </w:tblPr>
      <w:tblGrid>
        <w:gridCol w:w="4621"/>
        <w:gridCol w:w="4621"/>
      </w:tblGrid>
      <w:tr w:rsidR="0017178E" w:rsidRPr="00485497" w14:paraId="59982D78" w14:textId="77777777">
        <w:tc>
          <w:tcPr>
            <w:tcW w:w="4621" w:type="dxa"/>
          </w:tcPr>
          <w:p w14:paraId="45AA66DB" w14:textId="7777777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Student Name</w:t>
            </w:r>
          </w:p>
        </w:tc>
        <w:tc>
          <w:tcPr>
            <w:tcW w:w="4621" w:type="dxa"/>
          </w:tcPr>
          <w:p w14:paraId="3538A82A" w14:textId="7777777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Kumakamba Punga</w:t>
            </w:r>
          </w:p>
        </w:tc>
      </w:tr>
      <w:tr w:rsidR="0017178E" w:rsidRPr="00485497" w14:paraId="617A361A" w14:textId="77777777">
        <w:tc>
          <w:tcPr>
            <w:tcW w:w="4621" w:type="dxa"/>
          </w:tcPr>
          <w:p w14:paraId="3E15491C" w14:textId="7777777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Student Number</w:t>
            </w:r>
          </w:p>
        </w:tc>
        <w:tc>
          <w:tcPr>
            <w:tcW w:w="4621" w:type="dxa"/>
          </w:tcPr>
          <w:p w14:paraId="51A27BF5" w14:textId="7777777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2226848</w:t>
            </w:r>
          </w:p>
        </w:tc>
      </w:tr>
      <w:tr w:rsidR="0017178E" w:rsidRPr="00485497" w14:paraId="51B88075" w14:textId="77777777">
        <w:tc>
          <w:tcPr>
            <w:tcW w:w="4621" w:type="dxa"/>
          </w:tcPr>
          <w:p w14:paraId="287A63F4" w14:textId="7777777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Lecturer</w:t>
            </w:r>
          </w:p>
        </w:tc>
        <w:tc>
          <w:tcPr>
            <w:tcW w:w="4621" w:type="dxa"/>
          </w:tcPr>
          <w:p w14:paraId="7A595FAE" w14:textId="2DB37534" w:rsidR="0017178E" w:rsidRPr="00485497" w:rsidRDefault="00A75A77" w:rsidP="00485497">
            <w:pPr>
              <w:spacing w:line="360" w:lineRule="auto"/>
              <w:rPr>
                <w:rFonts w:ascii="Arial" w:hAnsi="Arial" w:cs="Arial"/>
                <w:sz w:val="24"/>
                <w:szCs w:val="24"/>
              </w:rPr>
            </w:pPr>
            <w:r w:rsidRPr="00485497">
              <w:rPr>
                <w:rFonts w:ascii="Arial" w:hAnsi="Arial" w:cs="Arial"/>
                <w:sz w:val="24"/>
                <w:szCs w:val="24"/>
              </w:rPr>
              <w:t>Professor Mansoob Murshed </w:t>
            </w:r>
          </w:p>
        </w:tc>
      </w:tr>
    </w:tbl>
    <w:p w14:paraId="2E24F839" w14:textId="77777777" w:rsidR="0017178E" w:rsidRPr="00485497" w:rsidRDefault="0017178E" w:rsidP="00485497">
      <w:pPr>
        <w:spacing w:line="360" w:lineRule="auto"/>
        <w:rPr>
          <w:rFonts w:ascii="Arial" w:hAnsi="Arial" w:cs="Arial"/>
          <w:sz w:val="24"/>
          <w:szCs w:val="24"/>
        </w:rPr>
      </w:pPr>
    </w:p>
    <w:p w14:paraId="5B5375E0" w14:textId="39823BC2" w:rsidR="0017178E" w:rsidRPr="00485497" w:rsidRDefault="00000000" w:rsidP="00485497">
      <w:pPr>
        <w:spacing w:line="360" w:lineRule="auto"/>
        <w:rPr>
          <w:rFonts w:ascii="Arial" w:hAnsi="Arial" w:cs="Arial"/>
          <w:sz w:val="24"/>
          <w:szCs w:val="24"/>
        </w:rPr>
      </w:pPr>
      <w:r w:rsidRPr="00485497">
        <w:rPr>
          <w:rFonts w:ascii="Arial" w:hAnsi="Arial" w:cs="Arial"/>
          <w:sz w:val="24"/>
          <w:szCs w:val="24"/>
        </w:rPr>
      </w:r>
      <w:r w:rsidRPr="00485497">
        <w:rPr>
          <w:rFonts w:ascii="Arial" w:hAnsi="Arial" w:cs="Arial"/>
          <w:sz w:val="24"/>
          <w:szCs w:val="24"/>
        </w:rPr>
        <w:pict w14:anchorId="76AE1A3E">
          <v:group id="_x0000_s1029" style="width:451.3pt;height:165.25pt;mso-position-horizontal-relative:char;mso-position-vertical-relative:line" coordsize="57315,357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57315;height:3228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">
              <v:imagedata r:id="rId9" o:title=""/>
            </v:shape>
            <v:shapetype id="_x0000_t202" coordsize="21600,21600" o:spt="202" path="m,l,21600r21600,l21600,xe">
              <v:stroke joinstyle="miter"/>
              <v:path gradientshapeok="t" o:connecttype="rect"/>
            </v:shapetype>
            <v:shape id="Text Box 2" o:spid="_x0000_s1031" type="#_x0000_t202" style="position:absolute;top:32287;width:57315;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" stroked="f">
              <v:textbox style="mso-next-textbox:#Text Box 2">
                <w:txbxContent>
                  <w:p w14:paraId="5CFA1625" w14:textId="77777777" w:rsidR="0017178E" w:rsidRPr="000626DB" w:rsidRDefault="0017178E" w:rsidP="0017178E">
                    <w:pPr>
                      <w:rPr>
                        <w:sz w:val="18"/>
                        <w:szCs w:val="18"/>
                      </w:rPr>
                    </w:pPr>
                    <w:hyperlink r:id="rId10" w:history="1">
                      <w:r w:rsidRPr="000626DB">
                        <w:rPr>
                          <w:rStyle w:val="Hyperlink"/>
                          <w:sz w:val="18"/>
                          <w:szCs w:val="18"/>
                        </w:rPr>
                        <w:t>This Photo</w:t>
                      </w:r>
                    </w:hyperlink>
                    <w:r w:rsidRPr="000626DB">
                      <w:rPr>
                        <w:sz w:val="18"/>
                        <w:szCs w:val="18"/>
                      </w:rPr>
                      <w:t xml:space="preserve"> by Unknown Author is licensed under </w:t>
                    </w:r>
                    <w:hyperlink r:id="rId11" w:history="1">
                      <w:r w:rsidRPr="000626DB">
                        <w:rPr>
                          <w:rStyle w:val="Hyperlink"/>
                          <w:sz w:val="18"/>
                          <w:szCs w:val="18"/>
                        </w:rPr>
                        <w:t>CC BY-SA</w:t>
                      </w:r>
                    </w:hyperlink>
                  </w:p>
                </w:txbxContent>
              </v:textbox>
            </v:shape>
            <w10:anchorlock/>
          </v:group>
        </w:pict>
      </w:r>
    </w:p>
    <w:p w14:paraId="2BDE040B" w14:textId="2DA7F694" w:rsidR="0017178E" w:rsidRPr="00485497" w:rsidRDefault="00000000" w:rsidP="00485497">
      <w:pPr>
        <w:spacing w:line="360" w:lineRule="auto"/>
        <w:rPr>
          <w:rFonts w:ascii="Arial" w:hAnsi="Arial" w:cs="Arial"/>
          <w:sz w:val="24"/>
          <w:szCs w:val="24"/>
        </w:rPr>
      </w:pPr>
      <w:r w:rsidRPr="00485497">
        <w:rPr>
          <w:rFonts w:ascii="Arial" w:hAnsi="Arial" w:cs="Arial"/>
          <w:sz w:val="24"/>
          <w:szCs w:val="24"/>
        </w:rPr>
      </w:r>
      <w:r w:rsidRPr="00485497">
        <w:rPr>
          <w:rFonts w:ascii="Arial" w:hAnsi="Arial" w:cs="Arial"/>
          <w:sz w:val="24"/>
          <w:szCs w:val="24"/>
        </w:rPr>
        <w:pict w14:anchorId="5FDFCB27">
          <v:group id="Group 6" o:spid="_x0000_s1032" style="width:451.3pt;height:202.8pt;mso-position-horizontal-relative:char;mso-position-vertical-relative:line" coordsize="57315,40468">
            <v:shape id="Picture 4" o:spid="_x0000_s1033" type="#_x0000_t75" style="position:absolute;width:57315;height:37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">
              <v:imagedata r:id="rId12" o:title=""/>
            </v:shape>
            <v:shape id="Text Box 5" o:spid="_x0000_s1034" type="#_x0000_t202" style="position:absolute;top:3703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" stroked="f">
              <v:textbox>
                <w:txbxContent>
                  <w:p w14:paraId="5D5AC9C3" w14:textId="41FB1CFD" w:rsidR="00D41085" w:rsidRPr="00D41085" w:rsidRDefault="00D41085" w:rsidP="00D41085">
                    <w:pPr>
                      <w:rPr>
                        <w:sz w:val="18"/>
                        <w:szCs w:val="18"/>
                      </w:rPr>
                    </w:pPr>
                    <w:hyperlink r:id="rId13" w:history="1">
                      <w:r w:rsidRPr="00D41085">
                        <w:rPr>
                          <w:rStyle w:val="Hyperlink"/>
                          <w:sz w:val="18"/>
                          <w:szCs w:val="18"/>
                        </w:rPr>
                        <w:t>This Photo</w:t>
                      </w:r>
                    </w:hyperlink>
                    <w:r w:rsidRPr="00D41085">
                      <w:rPr>
                        <w:sz w:val="18"/>
                        <w:szCs w:val="18"/>
                      </w:rPr>
                      <w:t xml:space="preserve"> by Unknown Author is licensed under </w:t>
                    </w:r>
                    <w:hyperlink r:id="rId14" w:history="1">
                      <w:r w:rsidRPr="00D41085">
                        <w:rPr>
                          <w:rStyle w:val="Hyperlink"/>
                          <w:sz w:val="18"/>
                          <w:szCs w:val="18"/>
                        </w:rPr>
                        <w:t>CC BY</w:t>
                      </w:r>
                    </w:hyperlink>
                  </w:p>
                </w:txbxContent>
              </v:textbox>
            </v:shape>
            <w10:anchorlock/>
          </v:group>
        </w:pict>
      </w:r>
    </w:p>
    <w:p w14:paraId="7F4DE286" w14:textId="54F2D711"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lastRenderedPageBreak/>
        <w:t xml:space="preserve">TABLE OF CONTENTS                                                                                              </w:t>
      </w:r>
      <w:r w:rsidR="003D79BB" w:rsidRPr="00485497">
        <w:rPr>
          <w:rFonts w:ascii="Arial" w:hAnsi="Arial" w:cs="Arial"/>
          <w:sz w:val="24"/>
          <w:szCs w:val="24"/>
        </w:rPr>
        <w:t xml:space="preserve"> </w:t>
      </w:r>
      <w:r w:rsidRPr="00485497">
        <w:rPr>
          <w:rFonts w:ascii="Arial" w:hAnsi="Arial" w:cs="Arial"/>
          <w:sz w:val="24"/>
          <w:szCs w:val="24"/>
        </w:rPr>
        <w:t>3</w:t>
      </w:r>
    </w:p>
    <w:p w14:paraId="69F82849" w14:textId="0603E864"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CHAPTER 1 INTRODUCTION                                                                                   </w:t>
      </w:r>
      <w:r w:rsidR="00157DA0" w:rsidRPr="00485497">
        <w:rPr>
          <w:rFonts w:ascii="Arial" w:hAnsi="Arial" w:cs="Arial"/>
          <w:sz w:val="24"/>
          <w:szCs w:val="24"/>
        </w:rPr>
        <w:t xml:space="preserve"> </w:t>
      </w:r>
      <w:r w:rsidR="00FA6005" w:rsidRPr="00485497">
        <w:rPr>
          <w:rFonts w:ascii="Arial" w:hAnsi="Arial" w:cs="Arial"/>
          <w:sz w:val="24"/>
          <w:szCs w:val="24"/>
        </w:rPr>
        <w:t>4</w:t>
      </w:r>
    </w:p>
    <w:p w14:paraId="702E713A" w14:textId="431790CF"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1.1 Toyota Industries Corporation Background                                                           </w:t>
      </w:r>
      <w:r w:rsidR="00157DA0" w:rsidRPr="00485497">
        <w:rPr>
          <w:rFonts w:ascii="Arial" w:hAnsi="Arial" w:cs="Arial"/>
          <w:sz w:val="24"/>
          <w:szCs w:val="24"/>
        </w:rPr>
        <w:t xml:space="preserve"> </w:t>
      </w:r>
      <w:r w:rsidR="00FA6005" w:rsidRPr="00485497">
        <w:rPr>
          <w:rFonts w:ascii="Arial" w:hAnsi="Arial" w:cs="Arial"/>
          <w:sz w:val="24"/>
          <w:szCs w:val="24"/>
        </w:rPr>
        <w:t>4</w:t>
      </w:r>
    </w:p>
    <w:p w14:paraId="40BAAFD0" w14:textId="5D78D0A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1.2 Scope of Analysis                                                                                                  </w:t>
      </w:r>
      <w:r w:rsidR="00BC0F54" w:rsidRPr="00485497">
        <w:rPr>
          <w:rFonts w:ascii="Arial" w:hAnsi="Arial" w:cs="Arial"/>
          <w:sz w:val="24"/>
          <w:szCs w:val="24"/>
        </w:rPr>
        <w:t>5</w:t>
      </w:r>
    </w:p>
    <w:p w14:paraId="54F78E36" w14:textId="4912E64D"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1.3 Justification of Product and Market </w:t>
      </w:r>
      <w:r w:rsidR="00DB6D6A" w:rsidRPr="00485497">
        <w:rPr>
          <w:rFonts w:ascii="Arial" w:hAnsi="Arial" w:cs="Arial"/>
          <w:sz w:val="24"/>
          <w:szCs w:val="24"/>
        </w:rPr>
        <w:t>context</w:t>
      </w:r>
      <w:r w:rsidR="00A420A6" w:rsidRPr="00485497">
        <w:rPr>
          <w:rFonts w:ascii="Arial" w:hAnsi="Arial" w:cs="Arial"/>
          <w:sz w:val="24"/>
          <w:szCs w:val="24"/>
        </w:rPr>
        <w:t xml:space="preserve">   </w:t>
      </w:r>
      <w:r w:rsidRPr="00485497">
        <w:rPr>
          <w:rFonts w:ascii="Arial" w:hAnsi="Arial" w:cs="Arial"/>
          <w:sz w:val="24"/>
          <w:szCs w:val="24"/>
        </w:rPr>
        <w:t xml:space="preserve">                                                      </w:t>
      </w:r>
      <w:r w:rsidR="00C22497" w:rsidRPr="00485497">
        <w:rPr>
          <w:rFonts w:ascii="Arial" w:hAnsi="Arial" w:cs="Arial"/>
          <w:sz w:val="24"/>
          <w:szCs w:val="24"/>
        </w:rPr>
        <w:t xml:space="preserve"> </w:t>
      </w:r>
      <w:r w:rsidRPr="00485497">
        <w:rPr>
          <w:rFonts w:ascii="Arial" w:hAnsi="Arial" w:cs="Arial"/>
          <w:sz w:val="24"/>
          <w:szCs w:val="24"/>
        </w:rPr>
        <w:t xml:space="preserve"> </w:t>
      </w:r>
      <w:r w:rsidR="00F62553" w:rsidRPr="00485497">
        <w:rPr>
          <w:rFonts w:ascii="Arial" w:hAnsi="Arial" w:cs="Arial"/>
          <w:sz w:val="24"/>
          <w:szCs w:val="24"/>
        </w:rPr>
        <w:t>7</w:t>
      </w:r>
    </w:p>
    <w:p w14:paraId="38178AAE" w14:textId="498F03CD"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CHAPTER 2</w:t>
      </w:r>
      <w:r w:rsidR="005D332B" w:rsidRPr="00485497">
        <w:rPr>
          <w:rFonts w:ascii="Arial" w:hAnsi="Arial" w:cs="Arial"/>
          <w:sz w:val="24"/>
          <w:szCs w:val="24"/>
        </w:rPr>
        <w:t xml:space="preserve"> </w:t>
      </w:r>
      <w:r w:rsidR="001139FE" w:rsidRPr="00485497">
        <w:rPr>
          <w:rFonts w:ascii="Arial" w:hAnsi="Arial" w:cs="Arial"/>
          <w:sz w:val="24"/>
          <w:szCs w:val="24"/>
        </w:rPr>
        <w:t>COMPARATIVE MARKET</w:t>
      </w:r>
      <w:r w:rsidR="00C63272" w:rsidRPr="00485497">
        <w:rPr>
          <w:rFonts w:ascii="Arial" w:hAnsi="Arial" w:cs="Arial"/>
          <w:sz w:val="24"/>
          <w:szCs w:val="24"/>
        </w:rPr>
        <w:t xml:space="preserve"> ANALYSIS</w:t>
      </w:r>
      <w:r w:rsidR="005D5391" w:rsidRPr="00485497">
        <w:rPr>
          <w:rFonts w:ascii="Arial" w:hAnsi="Arial" w:cs="Arial"/>
          <w:sz w:val="24"/>
          <w:szCs w:val="24"/>
        </w:rPr>
        <w:t xml:space="preserve"> OF JAPAN AND USA       </w:t>
      </w:r>
      <w:r w:rsidR="005D332B" w:rsidRPr="00485497">
        <w:rPr>
          <w:rFonts w:ascii="Arial" w:hAnsi="Arial" w:cs="Arial"/>
          <w:sz w:val="24"/>
          <w:szCs w:val="24"/>
        </w:rPr>
        <w:t xml:space="preserve">      </w:t>
      </w:r>
      <w:r w:rsidR="00C22497" w:rsidRPr="00485497">
        <w:rPr>
          <w:rFonts w:ascii="Arial" w:hAnsi="Arial" w:cs="Arial"/>
          <w:sz w:val="24"/>
          <w:szCs w:val="24"/>
        </w:rPr>
        <w:t xml:space="preserve"> </w:t>
      </w:r>
      <w:r w:rsidR="005D332B" w:rsidRPr="00485497">
        <w:rPr>
          <w:rFonts w:ascii="Arial" w:hAnsi="Arial" w:cs="Arial"/>
          <w:sz w:val="24"/>
          <w:szCs w:val="24"/>
        </w:rPr>
        <w:t xml:space="preserve"> </w:t>
      </w:r>
      <w:r w:rsidR="00F62553" w:rsidRPr="00485497">
        <w:rPr>
          <w:rFonts w:ascii="Arial" w:hAnsi="Arial" w:cs="Arial"/>
          <w:sz w:val="24"/>
          <w:szCs w:val="24"/>
        </w:rPr>
        <w:t>10</w:t>
      </w:r>
    </w:p>
    <w:p w14:paraId="7A2FFF9D" w14:textId="225A8286"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2.1 </w:t>
      </w:r>
      <w:r w:rsidR="008D5BE7" w:rsidRPr="00485497">
        <w:rPr>
          <w:rFonts w:ascii="Arial" w:hAnsi="Arial" w:cs="Arial"/>
          <w:sz w:val="24"/>
          <w:szCs w:val="24"/>
        </w:rPr>
        <w:t>PESTEL</w:t>
      </w:r>
      <w:r w:rsidR="0054422F" w:rsidRPr="00485497">
        <w:rPr>
          <w:rFonts w:ascii="Arial" w:hAnsi="Arial" w:cs="Arial"/>
          <w:sz w:val="24"/>
          <w:szCs w:val="24"/>
        </w:rPr>
        <w:t xml:space="preserve"> </w:t>
      </w:r>
      <w:r w:rsidR="00605AA6" w:rsidRPr="00485497">
        <w:rPr>
          <w:rFonts w:ascii="Arial" w:hAnsi="Arial" w:cs="Arial"/>
          <w:sz w:val="24"/>
          <w:szCs w:val="24"/>
        </w:rPr>
        <w:t>A</w:t>
      </w:r>
      <w:r w:rsidR="0054422F" w:rsidRPr="00485497">
        <w:rPr>
          <w:rFonts w:ascii="Arial" w:hAnsi="Arial" w:cs="Arial"/>
          <w:sz w:val="24"/>
          <w:szCs w:val="24"/>
        </w:rPr>
        <w:t xml:space="preserve">nalysis      </w:t>
      </w:r>
      <w:r w:rsidR="008D5BE7" w:rsidRPr="00485497">
        <w:rPr>
          <w:rFonts w:ascii="Arial" w:hAnsi="Arial" w:cs="Arial"/>
          <w:sz w:val="24"/>
          <w:szCs w:val="24"/>
        </w:rPr>
        <w:t xml:space="preserve">    </w:t>
      </w:r>
      <w:r w:rsidR="0054422F" w:rsidRPr="00485497">
        <w:rPr>
          <w:rFonts w:ascii="Arial" w:hAnsi="Arial" w:cs="Arial"/>
          <w:sz w:val="24"/>
          <w:szCs w:val="24"/>
        </w:rPr>
        <w:t xml:space="preserve">                                                                                     </w:t>
      </w:r>
      <w:r w:rsidR="00C22497" w:rsidRPr="00485497">
        <w:rPr>
          <w:rFonts w:ascii="Arial" w:hAnsi="Arial" w:cs="Arial"/>
          <w:sz w:val="24"/>
          <w:szCs w:val="24"/>
        </w:rPr>
        <w:t xml:space="preserve"> </w:t>
      </w:r>
      <w:r w:rsidR="0054422F" w:rsidRPr="00485497">
        <w:rPr>
          <w:rFonts w:ascii="Arial" w:hAnsi="Arial" w:cs="Arial"/>
          <w:sz w:val="24"/>
          <w:szCs w:val="24"/>
        </w:rPr>
        <w:t xml:space="preserve"> </w:t>
      </w:r>
      <w:r w:rsidR="00A74286" w:rsidRPr="00485497">
        <w:rPr>
          <w:rFonts w:ascii="Arial" w:hAnsi="Arial" w:cs="Arial"/>
          <w:sz w:val="24"/>
          <w:szCs w:val="24"/>
        </w:rPr>
        <w:t>10</w:t>
      </w:r>
    </w:p>
    <w:p w14:paraId="1E6E120A" w14:textId="473837D6"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2.2 </w:t>
      </w:r>
      <w:r w:rsidR="00386233" w:rsidRPr="00485497">
        <w:rPr>
          <w:rFonts w:ascii="Arial" w:hAnsi="Arial" w:cs="Arial"/>
          <w:sz w:val="24"/>
          <w:szCs w:val="24"/>
        </w:rPr>
        <w:t xml:space="preserve">Comparative </w:t>
      </w:r>
      <w:r w:rsidR="00F1104F" w:rsidRPr="00485497">
        <w:rPr>
          <w:rFonts w:ascii="Arial" w:hAnsi="Arial" w:cs="Arial"/>
          <w:sz w:val="24"/>
          <w:szCs w:val="24"/>
        </w:rPr>
        <w:t>D</w:t>
      </w:r>
      <w:r w:rsidR="00386233" w:rsidRPr="00485497">
        <w:rPr>
          <w:rFonts w:ascii="Arial" w:hAnsi="Arial" w:cs="Arial"/>
          <w:sz w:val="24"/>
          <w:szCs w:val="24"/>
        </w:rPr>
        <w:t>iscu</w:t>
      </w:r>
      <w:r w:rsidR="00130F3F" w:rsidRPr="00485497">
        <w:rPr>
          <w:rFonts w:ascii="Arial" w:hAnsi="Arial" w:cs="Arial"/>
          <w:sz w:val="24"/>
          <w:szCs w:val="24"/>
        </w:rPr>
        <w:t>ssion of the Macro-E</w:t>
      </w:r>
      <w:r w:rsidR="00A72CC5" w:rsidRPr="00485497">
        <w:rPr>
          <w:rFonts w:ascii="Arial" w:hAnsi="Arial" w:cs="Arial"/>
          <w:sz w:val="24"/>
          <w:szCs w:val="24"/>
        </w:rPr>
        <w:t xml:space="preserve">nvironment      </w:t>
      </w:r>
      <w:r w:rsidRPr="00485497">
        <w:rPr>
          <w:rFonts w:ascii="Arial" w:hAnsi="Arial" w:cs="Arial"/>
          <w:sz w:val="24"/>
          <w:szCs w:val="24"/>
        </w:rPr>
        <w:t xml:space="preserve">                                     </w:t>
      </w:r>
      <w:r w:rsidR="00C22497" w:rsidRPr="00485497">
        <w:rPr>
          <w:rFonts w:ascii="Arial" w:hAnsi="Arial" w:cs="Arial"/>
          <w:sz w:val="24"/>
          <w:szCs w:val="24"/>
        </w:rPr>
        <w:t xml:space="preserve"> </w:t>
      </w:r>
      <w:r w:rsidR="00A74286" w:rsidRPr="00485497">
        <w:rPr>
          <w:rFonts w:ascii="Arial" w:hAnsi="Arial" w:cs="Arial"/>
          <w:sz w:val="24"/>
          <w:szCs w:val="24"/>
        </w:rPr>
        <w:t>1</w:t>
      </w:r>
      <w:r w:rsidR="007A553E" w:rsidRPr="00485497">
        <w:rPr>
          <w:rFonts w:ascii="Arial" w:hAnsi="Arial" w:cs="Arial"/>
          <w:sz w:val="24"/>
          <w:szCs w:val="24"/>
        </w:rPr>
        <w:t>0</w:t>
      </w:r>
    </w:p>
    <w:p w14:paraId="7FB6C19A" w14:textId="6B6BEEF2"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2.3 </w:t>
      </w:r>
      <w:r w:rsidR="009170D8" w:rsidRPr="00485497">
        <w:rPr>
          <w:rFonts w:ascii="Arial" w:hAnsi="Arial" w:cs="Arial"/>
          <w:sz w:val="24"/>
          <w:szCs w:val="24"/>
        </w:rPr>
        <w:t xml:space="preserve">Hofstede </w:t>
      </w:r>
      <w:r w:rsidR="00605AA6" w:rsidRPr="00485497">
        <w:rPr>
          <w:rFonts w:ascii="Arial" w:hAnsi="Arial" w:cs="Arial"/>
          <w:sz w:val="24"/>
          <w:szCs w:val="24"/>
        </w:rPr>
        <w:t xml:space="preserve">Cultural Analysis                                                                               </w:t>
      </w:r>
      <w:r w:rsidR="009170D8" w:rsidRPr="00485497">
        <w:rPr>
          <w:rFonts w:ascii="Arial" w:hAnsi="Arial" w:cs="Arial"/>
          <w:sz w:val="24"/>
          <w:szCs w:val="24"/>
        </w:rPr>
        <w:t xml:space="preserve">    </w:t>
      </w:r>
      <w:r w:rsidR="007A553E" w:rsidRPr="00485497">
        <w:rPr>
          <w:rFonts w:ascii="Arial" w:hAnsi="Arial" w:cs="Arial"/>
          <w:sz w:val="24"/>
          <w:szCs w:val="24"/>
        </w:rPr>
        <w:t>11</w:t>
      </w:r>
    </w:p>
    <w:p w14:paraId="3063643C" w14:textId="4BAC49A9" w:rsidR="00304CE4" w:rsidRPr="00485497" w:rsidRDefault="00A952AB" w:rsidP="00485497">
      <w:pPr>
        <w:spacing w:line="360" w:lineRule="auto"/>
        <w:rPr>
          <w:rFonts w:ascii="Arial" w:hAnsi="Arial" w:cs="Arial"/>
          <w:sz w:val="24"/>
          <w:szCs w:val="24"/>
        </w:rPr>
      </w:pPr>
      <w:r w:rsidRPr="00485497">
        <w:rPr>
          <w:rFonts w:ascii="Arial" w:hAnsi="Arial" w:cs="Arial"/>
          <w:sz w:val="24"/>
          <w:szCs w:val="24"/>
        </w:rPr>
        <w:t>2.4 Comparative</w:t>
      </w:r>
      <w:r w:rsidR="00C700A1" w:rsidRPr="00485497">
        <w:rPr>
          <w:rFonts w:ascii="Arial" w:hAnsi="Arial" w:cs="Arial"/>
          <w:sz w:val="24"/>
          <w:szCs w:val="24"/>
        </w:rPr>
        <w:t xml:space="preserve"> Discussion of </w:t>
      </w:r>
      <w:r w:rsidR="003D0567" w:rsidRPr="00485497">
        <w:rPr>
          <w:rFonts w:ascii="Arial" w:hAnsi="Arial" w:cs="Arial"/>
          <w:sz w:val="24"/>
          <w:szCs w:val="24"/>
        </w:rPr>
        <w:t>Cultural</w:t>
      </w:r>
      <w:r w:rsidR="00BE3FB0" w:rsidRPr="00485497">
        <w:rPr>
          <w:rFonts w:ascii="Arial" w:hAnsi="Arial" w:cs="Arial"/>
          <w:sz w:val="24"/>
          <w:szCs w:val="24"/>
        </w:rPr>
        <w:t xml:space="preserve"> Strateg</w:t>
      </w:r>
      <w:r w:rsidR="005208D1" w:rsidRPr="00485497">
        <w:rPr>
          <w:rFonts w:ascii="Arial" w:hAnsi="Arial" w:cs="Arial"/>
          <w:sz w:val="24"/>
          <w:szCs w:val="24"/>
        </w:rPr>
        <w:t xml:space="preserve">y                                                      </w:t>
      </w:r>
      <w:r w:rsidR="00B94A98" w:rsidRPr="00485497">
        <w:rPr>
          <w:rFonts w:ascii="Arial" w:hAnsi="Arial" w:cs="Arial"/>
          <w:sz w:val="24"/>
          <w:szCs w:val="24"/>
        </w:rPr>
        <w:t>12</w:t>
      </w:r>
    </w:p>
    <w:p w14:paraId="212E2516" w14:textId="376F43BE"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CHAPTER 3 </w:t>
      </w:r>
      <w:r w:rsidR="004F49EF" w:rsidRPr="00485497">
        <w:rPr>
          <w:rFonts w:ascii="Arial" w:hAnsi="Arial" w:cs="Arial"/>
          <w:sz w:val="24"/>
          <w:szCs w:val="24"/>
        </w:rPr>
        <w:t>COMPARATIVE ANALYSIS OF</w:t>
      </w:r>
      <w:r w:rsidR="00CB4647" w:rsidRPr="00485497">
        <w:rPr>
          <w:rFonts w:ascii="Arial" w:hAnsi="Arial" w:cs="Arial"/>
          <w:sz w:val="24"/>
          <w:szCs w:val="24"/>
        </w:rPr>
        <w:t xml:space="preserve"> </w:t>
      </w:r>
      <w:r w:rsidR="00987D07" w:rsidRPr="00485497">
        <w:rPr>
          <w:rFonts w:ascii="Arial" w:hAnsi="Arial" w:cs="Arial"/>
          <w:sz w:val="24"/>
          <w:szCs w:val="24"/>
        </w:rPr>
        <w:t>STP STRATEGIES</w:t>
      </w:r>
      <w:r w:rsidR="008D24F8" w:rsidRPr="00485497">
        <w:rPr>
          <w:rFonts w:ascii="Arial" w:hAnsi="Arial" w:cs="Arial"/>
          <w:sz w:val="24"/>
          <w:szCs w:val="24"/>
        </w:rPr>
        <w:t xml:space="preserve">                         </w:t>
      </w:r>
      <w:r w:rsidR="00C22497" w:rsidRPr="00485497">
        <w:rPr>
          <w:rFonts w:ascii="Arial" w:hAnsi="Arial" w:cs="Arial"/>
          <w:sz w:val="24"/>
          <w:szCs w:val="24"/>
        </w:rPr>
        <w:t xml:space="preserve"> </w:t>
      </w:r>
      <w:r w:rsidR="008D24F8" w:rsidRPr="00485497">
        <w:rPr>
          <w:rFonts w:ascii="Arial" w:hAnsi="Arial" w:cs="Arial"/>
          <w:sz w:val="24"/>
          <w:szCs w:val="24"/>
        </w:rPr>
        <w:t xml:space="preserve"> </w:t>
      </w:r>
      <w:r w:rsidR="004F49EF" w:rsidRPr="00485497">
        <w:rPr>
          <w:rFonts w:ascii="Arial" w:hAnsi="Arial" w:cs="Arial"/>
          <w:sz w:val="24"/>
          <w:szCs w:val="24"/>
        </w:rPr>
        <w:t xml:space="preserve"> </w:t>
      </w:r>
      <w:r w:rsidRPr="00485497">
        <w:rPr>
          <w:rFonts w:ascii="Arial" w:hAnsi="Arial" w:cs="Arial"/>
          <w:sz w:val="24"/>
          <w:szCs w:val="24"/>
        </w:rPr>
        <w:t>1</w:t>
      </w:r>
      <w:r w:rsidR="00074DF7" w:rsidRPr="00485497">
        <w:rPr>
          <w:rFonts w:ascii="Arial" w:hAnsi="Arial" w:cs="Arial"/>
          <w:sz w:val="24"/>
          <w:szCs w:val="24"/>
        </w:rPr>
        <w:t>3</w:t>
      </w:r>
    </w:p>
    <w:p w14:paraId="02518574" w14:textId="53DBFD74"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3.1 </w:t>
      </w:r>
      <w:r w:rsidR="001A6527" w:rsidRPr="00485497">
        <w:rPr>
          <w:rFonts w:ascii="Arial" w:hAnsi="Arial" w:cs="Arial"/>
          <w:sz w:val="24"/>
          <w:szCs w:val="24"/>
        </w:rPr>
        <w:t>S</w:t>
      </w:r>
      <w:r w:rsidR="00B461EE" w:rsidRPr="00485497">
        <w:rPr>
          <w:rFonts w:ascii="Arial" w:hAnsi="Arial" w:cs="Arial"/>
          <w:sz w:val="24"/>
          <w:szCs w:val="24"/>
        </w:rPr>
        <w:t>trategic</w:t>
      </w:r>
      <w:r w:rsidR="00BB459A" w:rsidRPr="00485497">
        <w:rPr>
          <w:rFonts w:ascii="Arial" w:hAnsi="Arial" w:cs="Arial"/>
          <w:sz w:val="24"/>
          <w:szCs w:val="24"/>
        </w:rPr>
        <w:t xml:space="preserve"> Segment</w:t>
      </w:r>
      <w:r w:rsidR="00A54A21" w:rsidRPr="00485497">
        <w:rPr>
          <w:rFonts w:ascii="Arial" w:hAnsi="Arial" w:cs="Arial"/>
          <w:sz w:val="24"/>
          <w:szCs w:val="24"/>
        </w:rPr>
        <w:t>s</w:t>
      </w:r>
      <w:r w:rsidR="00B461EE" w:rsidRPr="00485497">
        <w:rPr>
          <w:rFonts w:ascii="Arial" w:hAnsi="Arial" w:cs="Arial"/>
          <w:sz w:val="24"/>
          <w:szCs w:val="24"/>
        </w:rPr>
        <w:t xml:space="preserve"> Analys</w:t>
      </w:r>
      <w:r w:rsidR="00BB459A" w:rsidRPr="00485497">
        <w:rPr>
          <w:rFonts w:ascii="Arial" w:hAnsi="Arial" w:cs="Arial"/>
          <w:sz w:val="24"/>
          <w:szCs w:val="24"/>
        </w:rPr>
        <w:t>is</w:t>
      </w:r>
      <w:r w:rsidR="001A6527" w:rsidRPr="00485497">
        <w:rPr>
          <w:rFonts w:ascii="Arial" w:hAnsi="Arial" w:cs="Arial"/>
          <w:sz w:val="24"/>
          <w:szCs w:val="24"/>
        </w:rPr>
        <w:t xml:space="preserve">  </w:t>
      </w:r>
      <w:r w:rsidR="00A54A21" w:rsidRPr="00485497">
        <w:rPr>
          <w:rFonts w:ascii="Arial" w:hAnsi="Arial" w:cs="Arial"/>
          <w:sz w:val="24"/>
          <w:szCs w:val="24"/>
        </w:rPr>
        <w:t xml:space="preserve">                                                                          </w:t>
      </w:r>
      <w:r w:rsidR="001A6527" w:rsidRPr="00485497">
        <w:rPr>
          <w:rFonts w:ascii="Arial" w:hAnsi="Arial" w:cs="Arial"/>
          <w:sz w:val="24"/>
          <w:szCs w:val="24"/>
        </w:rPr>
        <w:t xml:space="preserve"> </w:t>
      </w:r>
      <w:r w:rsidR="00C22497" w:rsidRPr="00485497">
        <w:rPr>
          <w:rFonts w:ascii="Arial" w:hAnsi="Arial" w:cs="Arial"/>
          <w:sz w:val="24"/>
          <w:szCs w:val="24"/>
        </w:rPr>
        <w:t xml:space="preserve"> </w:t>
      </w:r>
      <w:r w:rsidR="004164F9" w:rsidRPr="00485497">
        <w:rPr>
          <w:rFonts w:ascii="Arial" w:hAnsi="Arial" w:cs="Arial"/>
          <w:sz w:val="24"/>
          <w:szCs w:val="24"/>
        </w:rPr>
        <w:t xml:space="preserve"> </w:t>
      </w:r>
      <w:r w:rsidRPr="00485497">
        <w:rPr>
          <w:rFonts w:ascii="Arial" w:hAnsi="Arial" w:cs="Arial"/>
          <w:sz w:val="24"/>
          <w:szCs w:val="24"/>
        </w:rPr>
        <w:t>1</w:t>
      </w:r>
      <w:r w:rsidR="00C01713" w:rsidRPr="00485497">
        <w:rPr>
          <w:rFonts w:ascii="Arial" w:hAnsi="Arial" w:cs="Arial"/>
          <w:sz w:val="24"/>
          <w:szCs w:val="24"/>
        </w:rPr>
        <w:t>3</w:t>
      </w:r>
    </w:p>
    <w:p w14:paraId="0C79590F" w14:textId="2285867C"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3.2 </w:t>
      </w:r>
      <w:r w:rsidR="002F44A5" w:rsidRPr="00485497">
        <w:rPr>
          <w:rFonts w:ascii="Arial" w:hAnsi="Arial" w:cs="Arial"/>
          <w:sz w:val="24"/>
          <w:szCs w:val="24"/>
        </w:rPr>
        <w:t xml:space="preserve">Comparative Discussion of </w:t>
      </w:r>
      <w:r w:rsidR="009F461B" w:rsidRPr="00485497">
        <w:rPr>
          <w:rFonts w:ascii="Arial" w:hAnsi="Arial" w:cs="Arial"/>
          <w:sz w:val="24"/>
          <w:szCs w:val="24"/>
        </w:rPr>
        <w:t>STP</w:t>
      </w:r>
      <w:r w:rsidR="00C210B0" w:rsidRPr="00485497">
        <w:rPr>
          <w:rFonts w:ascii="Arial" w:hAnsi="Arial" w:cs="Arial"/>
          <w:sz w:val="24"/>
          <w:szCs w:val="24"/>
        </w:rPr>
        <w:t xml:space="preserve"> </w:t>
      </w:r>
      <w:r w:rsidR="00E6189A" w:rsidRPr="00485497">
        <w:rPr>
          <w:rFonts w:ascii="Arial" w:hAnsi="Arial" w:cs="Arial"/>
          <w:sz w:val="24"/>
          <w:szCs w:val="24"/>
        </w:rPr>
        <w:t>Strategi</w:t>
      </w:r>
      <w:r w:rsidR="004F542B" w:rsidRPr="00485497">
        <w:rPr>
          <w:rFonts w:ascii="Arial" w:hAnsi="Arial" w:cs="Arial"/>
          <w:sz w:val="24"/>
          <w:szCs w:val="24"/>
        </w:rPr>
        <w:t xml:space="preserve">es                                                     </w:t>
      </w:r>
      <w:r w:rsidR="00C210B0" w:rsidRPr="00485497">
        <w:rPr>
          <w:rFonts w:ascii="Arial" w:hAnsi="Arial" w:cs="Arial"/>
          <w:sz w:val="24"/>
          <w:szCs w:val="24"/>
        </w:rPr>
        <w:t xml:space="preserve">  </w:t>
      </w:r>
      <w:r w:rsidR="00C22497" w:rsidRPr="00485497">
        <w:rPr>
          <w:rFonts w:ascii="Arial" w:hAnsi="Arial" w:cs="Arial"/>
          <w:sz w:val="24"/>
          <w:szCs w:val="24"/>
        </w:rPr>
        <w:t xml:space="preserve">  </w:t>
      </w:r>
      <w:r w:rsidRPr="00485497">
        <w:rPr>
          <w:rFonts w:ascii="Arial" w:hAnsi="Arial" w:cs="Arial"/>
          <w:sz w:val="24"/>
          <w:szCs w:val="24"/>
        </w:rPr>
        <w:t xml:space="preserve">13                                              </w:t>
      </w:r>
    </w:p>
    <w:p w14:paraId="265A447C" w14:textId="43767E67"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CHAPTER 4 </w:t>
      </w:r>
      <w:r w:rsidR="00925275" w:rsidRPr="00485497">
        <w:rPr>
          <w:rFonts w:ascii="Arial" w:hAnsi="Arial" w:cs="Arial"/>
          <w:sz w:val="24"/>
          <w:szCs w:val="24"/>
        </w:rPr>
        <w:t xml:space="preserve">COMPARATIVE ANALYSIS OF </w:t>
      </w:r>
      <w:r w:rsidR="002B3A71" w:rsidRPr="00485497">
        <w:rPr>
          <w:rFonts w:ascii="Arial" w:hAnsi="Arial" w:cs="Arial"/>
          <w:sz w:val="24"/>
          <w:szCs w:val="24"/>
        </w:rPr>
        <w:t>INTERNATIONAL MAR</w:t>
      </w:r>
      <w:r w:rsidR="00380A52" w:rsidRPr="00485497">
        <w:rPr>
          <w:rFonts w:ascii="Arial" w:hAnsi="Arial" w:cs="Arial"/>
          <w:sz w:val="24"/>
          <w:szCs w:val="24"/>
        </w:rPr>
        <w:t>KETING</w:t>
      </w:r>
      <w:r w:rsidR="00925275" w:rsidRPr="00485497">
        <w:rPr>
          <w:rFonts w:ascii="Arial" w:hAnsi="Arial" w:cs="Arial"/>
          <w:sz w:val="24"/>
          <w:szCs w:val="24"/>
        </w:rPr>
        <w:t xml:space="preserve"> </w:t>
      </w:r>
      <w:r w:rsidR="00380A52" w:rsidRPr="00485497">
        <w:rPr>
          <w:rFonts w:ascii="Arial" w:hAnsi="Arial" w:cs="Arial"/>
          <w:sz w:val="24"/>
          <w:szCs w:val="24"/>
        </w:rPr>
        <w:t xml:space="preserve">MIX </w:t>
      </w:r>
      <w:r w:rsidRPr="00485497">
        <w:rPr>
          <w:rFonts w:ascii="Arial" w:hAnsi="Arial" w:cs="Arial"/>
          <w:sz w:val="24"/>
          <w:szCs w:val="24"/>
        </w:rPr>
        <w:t>15</w:t>
      </w:r>
    </w:p>
    <w:p w14:paraId="7001FDB6" w14:textId="5F39FA22"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4.1 </w:t>
      </w:r>
      <w:r w:rsidR="001D6477" w:rsidRPr="00485497">
        <w:rPr>
          <w:rFonts w:ascii="Arial" w:hAnsi="Arial" w:cs="Arial"/>
          <w:sz w:val="24"/>
          <w:szCs w:val="24"/>
        </w:rPr>
        <w:t>Segments</w:t>
      </w:r>
      <w:r w:rsidRPr="00485497">
        <w:rPr>
          <w:rFonts w:ascii="Arial" w:hAnsi="Arial" w:cs="Arial"/>
          <w:sz w:val="24"/>
          <w:szCs w:val="24"/>
        </w:rPr>
        <w:t xml:space="preserve"> Analysis</w:t>
      </w:r>
      <w:r w:rsidR="00B312A3" w:rsidRPr="00485497">
        <w:rPr>
          <w:rFonts w:ascii="Arial" w:hAnsi="Arial" w:cs="Arial"/>
          <w:sz w:val="24"/>
          <w:szCs w:val="24"/>
        </w:rPr>
        <w:t xml:space="preserve"> of 7</w:t>
      </w:r>
      <w:r w:rsidR="00E74F37" w:rsidRPr="00485497">
        <w:rPr>
          <w:rFonts w:ascii="Arial" w:hAnsi="Arial" w:cs="Arial"/>
          <w:sz w:val="24"/>
          <w:szCs w:val="24"/>
        </w:rPr>
        <w:t>Ps</w:t>
      </w:r>
      <w:r w:rsidRPr="00485497">
        <w:rPr>
          <w:rFonts w:ascii="Arial" w:hAnsi="Arial" w:cs="Arial"/>
          <w:sz w:val="24"/>
          <w:szCs w:val="24"/>
        </w:rPr>
        <w:t xml:space="preserve">                                                               </w:t>
      </w:r>
      <w:r w:rsidR="004164F9" w:rsidRPr="00485497">
        <w:rPr>
          <w:rFonts w:ascii="Arial" w:hAnsi="Arial" w:cs="Arial"/>
          <w:sz w:val="24"/>
          <w:szCs w:val="24"/>
        </w:rPr>
        <w:t xml:space="preserve"> </w:t>
      </w:r>
      <w:r w:rsidR="003D79BB" w:rsidRPr="00485497">
        <w:rPr>
          <w:rFonts w:ascii="Arial" w:hAnsi="Arial" w:cs="Arial"/>
          <w:sz w:val="24"/>
          <w:szCs w:val="24"/>
        </w:rPr>
        <w:t xml:space="preserve"> </w:t>
      </w:r>
      <w:r w:rsidR="001D6477" w:rsidRPr="00485497">
        <w:rPr>
          <w:rFonts w:ascii="Arial" w:hAnsi="Arial" w:cs="Arial"/>
          <w:sz w:val="24"/>
          <w:szCs w:val="24"/>
        </w:rPr>
        <w:t xml:space="preserve">                 </w:t>
      </w:r>
      <w:r w:rsidR="003D79BB" w:rsidRPr="00485497">
        <w:rPr>
          <w:rFonts w:ascii="Arial" w:hAnsi="Arial" w:cs="Arial"/>
          <w:sz w:val="24"/>
          <w:szCs w:val="24"/>
        </w:rPr>
        <w:t xml:space="preserve"> </w:t>
      </w:r>
      <w:r w:rsidRPr="00485497">
        <w:rPr>
          <w:rFonts w:ascii="Arial" w:hAnsi="Arial" w:cs="Arial"/>
          <w:sz w:val="24"/>
          <w:szCs w:val="24"/>
        </w:rPr>
        <w:t>15</w:t>
      </w:r>
    </w:p>
    <w:p w14:paraId="176F1450" w14:textId="6565BE50"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4.2 </w:t>
      </w:r>
      <w:r w:rsidR="00741A18" w:rsidRPr="00485497">
        <w:rPr>
          <w:rFonts w:ascii="Arial" w:hAnsi="Arial" w:cs="Arial"/>
          <w:sz w:val="24"/>
          <w:szCs w:val="24"/>
        </w:rPr>
        <w:t>C</w:t>
      </w:r>
      <w:r w:rsidR="00360718" w:rsidRPr="00485497">
        <w:rPr>
          <w:rFonts w:ascii="Arial" w:hAnsi="Arial" w:cs="Arial"/>
          <w:sz w:val="24"/>
          <w:szCs w:val="24"/>
        </w:rPr>
        <w:t xml:space="preserve">omparative </w:t>
      </w:r>
      <w:r w:rsidR="00072C45" w:rsidRPr="00485497">
        <w:rPr>
          <w:rFonts w:ascii="Arial" w:hAnsi="Arial" w:cs="Arial"/>
          <w:sz w:val="24"/>
          <w:szCs w:val="24"/>
        </w:rPr>
        <w:t>Evaluation of 7Ps</w:t>
      </w:r>
      <w:r w:rsidR="00B312A3" w:rsidRPr="00485497">
        <w:rPr>
          <w:rFonts w:ascii="Arial" w:hAnsi="Arial" w:cs="Arial"/>
          <w:sz w:val="24"/>
          <w:szCs w:val="24"/>
        </w:rPr>
        <w:t xml:space="preserve">                                                                        </w:t>
      </w:r>
      <w:r w:rsidR="00360718" w:rsidRPr="00485497">
        <w:rPr>
          <w:rFonts w:ascii="Arial" w:hAnsi="Arial" w:cs="Arial"/>
          <w:sz w:val="24"/>
          <w:szCs w:val="24"/>
        </w:rPr>
        <w:t xml:space="preserve">   </w:t>
      </w:r>
      <w:r w:rsidRPr="00485497">
        <w:rPr>
          <w:rFonts w:ascii="Arial" w:hAnsi="Arial" w:cs="Arial"/>
          <w:sz w:val="24"/>
          <w:szCs w:val="24"/>
        </w:rPr>
        <w:t>1</w:t>
      </w:r>
      <w:r w:rsidR="008A65A0" w:rsidRPr="00485497">
        <w:rPr>
          <w:rFonts w:ascii="Arial" w:hAnsi="Arial" w:cs="Arial"/>
          <w:sz w:val="24"/>
          <w:szCs w:val="24"/>
        </w:rPr>
        <w:t>6</w:t>
      </w:r>
    </w:p>
    <w:p w14:paraId="4159E5F1" w14:textId="09B60905"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CHPTER 5 </w:t>
      </w:r>
      <w:r w:rsidR="00DA3DFC" w:rsidRPr="00485497">
        <w:rPr>
          <w:rFonts w:ascii="Arial" w:hAnsi="Arial" w:cs="Arial"/>
          <w:sz w:val="24"/>
          <w:szCs w:val="24"/>
        </w:rPr>
        <w:t xml:space="preserve">TOYOTA’S </w:t>
      </w:r>
      <w:r w:rsidR="00D0490A" w:rsidRPr="00485497">
        <w:rPr>
          <w:rFonts w:ascii="Arial" w:hAnsi="Arial" w:cs="Arial"/>
          <w:sz w:val="24"/>
          <w:szCs w:val="24"/>
        </w:rPr>
        <w:t>MARKET E</w:t>
      </w:r>
      <w:r w:rsidR="007E5C50" w:rsidRPr="00485497">
        <w:rPr>
          <w:rFonts w:ascii="Arial" w:hAnsi="Arial" w:cs="Arial"/>
          <w:sz w:val="24"/>
          <w:szCs w:val="24"/>
        </w:rPr>
        <w:t>NTRY ANALYSIS OF</w:t>
      </w:r>
      <w:r w:rsidR="003B0ED8" w:rsidRPr="00485497">
        <w:rPr>
          <w:rFonts w:ascii="Arial" w:hAnsi="Arial" w:cs="Arial"/>
          <w:sz w:val="24"/>
          <w:szCs w:val="24"/>
        </w:rPr>
        <w:t xml:space="preserve"> USA                            </w:t>
      </w:r>
      <w:r w:rsidR="007E5C50" w:rsidRPr="00485497">
        <w:rPr>
          <w:rFonts w:ascii="Arial" w:hAnsi="Arial" w:cs="Arial"/>
          <w:sz w:val="24"/>
          <w:szCs w:val="24"/>
        </w:rPr>
        <w:t xml:space="preserve"> </w:t>
      </w:r>
      <w:r w:rsidRPr="00485497">
        <w:rPr>
          <w:rFonts w:ascii="Arial" w:hAnsi="Arial" w:cs="Arial"/>
          <w:sz w:val="24"/>
          <w:szCs w:val="24"/>
        </w:rPr>
        <w:t xml:space="preserve">    </w:t>
      </w:r>
      <w:r w:rsidR="008A65A0" w:rsidRPr="00485497">
        <w:rPr>
          <w:rFonts w:ascii="Arial" w:hAnsi="Arial" w:cs="Arial"/>
          <w:sz w:val="24"/>
          <w:szCs w:val="24"/>
        </w:rPr>
        <w:t>17</w:t>
      </w:r>
    </w:p>
    <w:p w14:paraId="30D71E80" w14:textId="3DEAEEFB"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5.</w:t>
      </w:r>
      <w:r w:rsidR="00137957" w:rsidRPr="00485497">
        <w:rPr>
          <w:rFonts w:ascii="Arial" w:hAnsi="Arial" w:cs="Arial"/>
          <w:sz w:val="24"/>
          <w:szCs w:val="24"/>
        </w:rPr>
        <w:t xml:space="preserve">1 Overview of Toyota’s International Expansion                                         </w:t>
      </w:r>
      <w:r w:rsidR="00A01175" w:rsidRPr="00485497">
        <w:rPr>
          <w:rFonts w:ascii="Arial" w:hAnsi="Arial" w:cs="Arial"/>
          <w:sz w:val="24"/>
          <w:szCs w:val="24"/>
        </w:rPr>
        <w:t xml:space="preserve"> </w:t>
      </w:r>
      <w:r w:rsidR="00137957" w:rsidRPr="00485497">
        <w:rPr>
          <w:rFonts w:ascii="Arial" w:hAnsi="Arial" w:cs="Arial"/>
          <w:sz w:val="24"/>
          <w:szCs w:val="24"/>
        </w:rPr>
        <w:t xml:space="preserve">          </w:t>
      </w:r>
      <w:r w:rsidR="00CF4AF0" w:rsidRPr="00485497">
        <w:rPr>
          <w:rFonts w:ascii="Arial" w:hAnsi="Arial" w:cs="Arial"/>
          <w:sz w:val="24"/>
          <w:szCs w:val="24"/>
        </w:rPr>
        <w:t>17</w:t>
      </w:r>
    </w:p>
    <w:p w14:paraId="47B9E712" w14:textId="75525C9A"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5.</w:t>
      </w:r>
      <w:r w:rsidR="00A01175" w:rsidRPr="00485497">
        <w:rPr>
          <w:rFonts w:ascii="Arial" w:hAnsi="Arial" w:cs="Arial"/>
          <w:sz w:val="24"/>
          <w:szCs w:val="24"/>
        </w:rPr>
        <w:t xml:space="preserve"> 2 Toyota’s International Market Entry Strategy                                                     </w:t>
      </w:r>
      <w:r w:rsidR="00CF4AF0" w:rsidRPr="00485497">
        <w:rPr>
          <w:rFonts w:ascii="Arial" w:hAnsi="Arial" w:cs="Arial"/>
          <w:sz w:val="24"/>
          <w:szCs w:val="24"/>
        </w:rPr>
        <w:t>18</w:t>
      </w:r>
    </w:p>
    <w:p w14:paraId="41E27DD2" w14:textId="5A752712"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CHAPTER 6 IMPLIMENTATIONS RECOMMENDATIONS                                     </w:t>
      </w:r>
      <w:r w:rsidR="000055D1" w:rsidRPr="00485497">
        <w:rPr>
          <w:rFonts w:ascii="Arial" w:hAnsi="Arial" w:cs="Arial"/>
          <w:sz w:val="24"/>
          <w:szCs w:val="24"/>
        </w:rPr>
        <w:t xml:space="preserve"> </w:t>
      </w:r>
      <w:r w:rsidR="00FC0E9A" w:rsidRPr="00485497">
        <w:rPr>
          <w:rFonts w:ascii="Arial" w:hAnsi="Arial" w:cs="Arial"/>
          <w:sz w:val="24"/>
          <w:szCs w:val="24"/>
        </w:rPr>
        <w:t>20</w:t>
      </w:r>
    </w:p>
    <w:p w14:paraId="2901CACA" w14:textId="0FA1CA4F"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6.1 </w:t>
      </w:r>
      <w:r w:rsidR="00BD3DF9" w:rsidRPr="00485497">
        <w:rPr>
          <w:rFonts w:ascii="Arial" w:hAnsi="Arial" w:cs="Arial"/>
          <w:sz w:val="24"/>
          <w:szCs w:val="24"/>
        </w:rPr>
        <w:t>M</w:t>
      </w:r>
      <w:r w:rsidR="0099282F" w:rsidRPr="00485497">
        <w:rPr>
          <w:rFonts w:ascii="Arial" w:hAnsi="Arial" w:cs="Arial"/>
          <w:sz w:val="24"/>
          <w:szCs w:val="24"/>
        </w:rPr>
        <w:t xml:space="preserve">arketing Mix </w:t>
      </w:r>
      <w:r w:rsidR="000D583C" w:rsidRPr="00485497">
        <w:rPr>
          <w:rFonts w:ascii="Arial" w:hAnsi="Arial" w:cs="Arial"/>
          <w:sz w:val="24"/>
          <w:szCs w:val="24"/>
        </w:rPr>
        <w:t xml:space="preserve">Recommendations    </w:t>
      </w:r>
      <w:r w:rsidR="00AA633A" w:rsidRPr="00485497">
        <w:rPr>
          <w:rFonts w:ascii="Arial" w:hAnsi="Arial" w:cs="Arial"/>
          <w:sz w:val="24"/>
          <w:szCs w:val="24"/>
        </w:rPr>
        <w:t xml:space="preserve">                                             </w:t>
      </w:r>
      <w:r w:rsidR="000D583C" w:rsidRPr="00485497">
        <w:rPr>
          <w:rFonts w:ascii="Arial" w:hAnsi="Arial" w:cs="Arial"/>
          <w:sz w:val="24"/>
          <w:szCs w:val="24"/>
        </w:rPr>
        <w:t xml:space="preserve">              </w:t>
      </w:r>
      <w:r w:rsidR="00AA633A" w:rsidRPr="00485497">
        <w:rPr>
          <w:rFonts w:ascii="Arial" w:hAnsi="Arial" w:cs="Arial"/>
          <w:sz w:val="24"/>
          <w:szCs w:val="24"/>
        </w:rPr>
        <w:t xml:space="preserve">  </w:t>
      </w:r>
      <w:r w:rsidR="00B81252" w:rsidRPr="00485497">
        <w:rPr>
          <w:rFonts w:ascii="Arial" w:hAnsi="Arial" w:cs="Arial"/>
          <w:sz w:val="24"/>
          <w:szCs w:val="24"/>
        </w:rPr>
        <w:t xml:space="preserve">    </w:t>
      </w:r>
      <w:r w:rsidR="000055D1" w:rsidRPr="00485497">
        <w:rPr>
          <w:rFonts w:ascii="Arial" w:hAnsi="Arial" w:cs="Arial"/>
          <w:sz w:val="24"/>
          <w:szCs w:val="24"/>
        </w:rPr>
        <w:t xml:space="preserve"> </w:t>
      </w:r>
      <w:r w:rsidRPr="00485497">
        <w:rPr>
          <w:rFonts w:ascii="Arial" w:hAnsi="Arial" w:cs="Arial"/>
          <w:sz w:val="24"/>
          <w:szCs w:val="24"/>
        </w:rPr>
        <w:t>2</w:t>
      </w:r>
      <w:r w:rsidR="00ED3AEC" w:rsidRPr="00485497">
        <w:rPr>
          <w:rFonts w:ascii="Arial" w:hAnsi="Arial" w:cs="Arial"/>
          <w:sz w:val="24"/>
          <w:szCs w:val="24"/>
        </w:rPr>
        <w:t>0</w:t>
      </w:r>
    </w:p>
    <w:p w14:paraId="44CD77A2" w14:textId="1E747E0F"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6.2 </w:t>
      </w:r>
      <w:r w:rsidR="00AB13F9" w:rsidRPr="00485497">
        <w:rPr>
          <w:rFonts w:ascii="Arial" w:hAnsi="Arial" w:cs="Arial"/>
          <w:sz w:val="24"/>
          <w:szCs w:val="24"/>
        </w:rPr>
        <w:t xml:space="preserve">Market </w:t>
      </w:r>
      <w:r w:rsidR="00F93C4B" w:rsidRPr="00485497">
        <w:rPr>
          <w:rFonts w:ascii="Arial" w:hAnsi="Arial" w:cs="Arial"/>
          <w:sz w:val="24"/>
          <w:szCs w:val="24"/>
        </w:rPr>
        <w:t xml:space="preserve">Entry Recommendations                  </w:t>
      </w:r>
      <w:r w:rsidR="00B8595C" w:rsidRPr="00485497">
        <w:rPr>
          <w:rFonts w:ascii="Arial" w:hAnsi="Arial" w:cs="Arial"/>
          <w:sz w:val="24"/>
          <w:szCs w:val="24"/>
        </w:rPr>
        <w:t xml:space="preserve">   </w:t>
      </w:r>
      <w:r w:rsidR="00B9293D" w:rsidRPr="00485497">
        <w:rPr>
          <w:rFonts w:ascii="Arial" w:hAnsi="Arial" w:cs="Arial"/>
          <w:sz w:val="24"/>
          <w:szCs w:val="24"/>
        </w:rPr>
        <w:t xml:space="preserve">                                                  </w:t>
      </w:r>
      <w:r w:rsidR="000055D1" w:rsidRPr="00485497">
        <w:rPr>
          <w:rFonts w:ascii="Arial" w:hAnsi="Arial" w:cs="Arial"/>
          <w:sz w:val="24"/>
          <w:szCs w:val="24"/>
        </w:rPr>
        <w:t xml:space="preserve"> </w:t>
      </w:r>
      <w:r w:rsidRPr="00485497">
        <w:rPr>
          <w:rFonts w:ascii="Arial" w:hAnsi="Arial" w:cs="Arial"/>
          <w:sz w:val="24"/>
          <w:szCs w:val="24"/>
        </w:rPr>
        <w:t>2</w:t>
      </w:r>
      <w:r w:rsidR="00C52EAF" w:rsidRPr="00485497">
        <w:rPr>
          <w:rFonts w:ascii="Arial" w:hAnsi="Arial" w:cs="Arial"/>
          <w:sz w:val="24"/>
          <w:szCs w:val="24"/>
        </w:rPr>
        <w:t>0</w:t>
      </w:r>
      <w:r w:rsidRPr="00485497">
        <w:rPr>
          <w:rFonts w:ascii="Arial" w:hAnsi="Arial" w:cs="Arial"/>
          <w:sz w:val="24"/>
          <w:szCs w:val="24"/>
        </w:rPr>
        <w:t xml:space="preserve">  </w:t>
      </w:r>
    </w:p>
    <w:p w14:paraId="197349EF" w14:textId="70E8BEC4"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CONCLUSION                                                                                                        </w:t>
      </w:r>
      <w:r w:rsidR="00F93C4B" w:rsidRPr="00485497">
        <w:rPr>
          <w:rFonts w:ascii="Arial" w:hAnsi="Arial" w:cs="Arial"/>
          <w:sz w:val="24"/>
          <w:szCs w:val="24"/>
        </w:rPr>
        <w:t xml:space="preserve"> </w:t>
      </w:r>
      <w:r w:rsidRPr="00485497">
        <w:rPr>
          <w:rFonts w:ascii="Arial" w:hAnsi="Arial" w:cs="Arial"/>
          <w:sz w:val="24"/>
          <w:szCs w:val="24"/>
        </w:rPr>
        <w:t>2</w:t>
      </w:r>
      <w:r w:rsidR="009B492C" w:rsidRPr="00485497">
        <w:rPr>
          <w:rFonts w:ascii="Arial" w:hAnsi="Arial" w:cs="Arial"/>
          <w:sz w:val="24"/>
          <w:szCs w:val="24"/>
        </w:rPr>
        <w:t>2</w:t>
      </w:r>
    </w:p>
    <w:p w14:paraId="76E8259F" w14:textId="2CE3199C" w:rsidR="0017178E" w:rsidRPr="00485497" w:rsidRDefault="0017178E" w:rsidP="00485497">
      <w:pPr>
        <w:spacing w:line="360" w:lineRule="auto"/>
        <w:rPr>
          <w:rFonts w:ascii="Arial" w:hAnsi="Arial" w:cs="Arial"/>
          <w:sz w:val="24"/>
          <w:szCs w:val="24"/>
        </w:rPr>
      </w:pPr>
      <w:r w:rsidRPr="00485497">
        <w:rPr>
          <w:rFonts w:ascii="Arial" w:hAnsi="Arial" w:cs="Arial"/>
          <w:sz w:val="24"/>
          <w:szCs w:val="24"/>
        </w:rPr>
        <w:t xml:space="preserve">REFERENCES                                                                                                      </w:t>
      </w:r>
      <w:r w:rsidR="00F93C4B" w:rsidRPr="00485497">
        <w:rPr>
          <w:rFonts w:ascii="Arial" w:hAnsi="Arial" w:cs="Arial"/>
          <w:sz w:val="24"/>
          <w:szCs w:val="24"/>
        </w:rPr>
        <w:t xml:space="preserve"> </w:t>
      </w:r>
      <w:r w:rsidRPr="00485497">
        <w:rPr>
          <w:rFonts w:ascii="Arial" w:hAnsi="Arial" w:cs="Arial"/>
          <w:sz w:val="24"/>
          <w:szCs w:val="24"/>
        </w:rPr>
        <w:t xml:space="preserve"> </w:t>
      </w:r>
      <w:r w:rsidR="000055D1" w:rsidRPr="00485497">
        <w:rPr>
          <w:rFonts w:ascii="Arial" w:hAnsi="Arial" w:cs="Arial"/>
          <w:sz w:val="24"/>
          <w:szCs w:val="24"/>
        </w:rPr>
        <w:t xml:space="preserve"> </w:t>
      </w:r>
      <w:r w:rsidRPr="00485497">
        <w:rPr>
          <w:rFonts w:ascii="Arial" w:hAnsi="Arial" w:cs="Arial"/>
          <w:sz w:val="24"/>
          <w:szCs w:val="24"/>
        </w:rPr>
        <w:t>2</w:t>
      </w:r>
      <w:r w:rsidR="00AC348B" w:rsidRPr="00485497">
        <w:rPr>
          <w:rFonts w:ascii="Arial" w:hAnsi="Arial" w:cs="Arial"/>
          <w:sz w:val="24"/>
          <w:szCs w:val="24"/>
        </w:rPr>
        <w:t>4</w:t>
      </w:r>
    </w:p>
    <w:p w14:paraId="42F82FC2" w14:textId="6E76F821" w:rsidR="0017178E" w:rsidRDefault="0017178E" w:rsidP="00485497">
      <w:pPr>
        <w:spacing w:line="360" w:lineRule="auto"/>
        <w:rPr>
          <w:rFonts w:ascii="Arial" w:hAnsi="Arial" w:cs="Arial"/>
          <w:sz w:val="24"/>
          <w:szCs w:val="24"/>
        </w:rPr>
      </w:pPr>
      <w:r w:rsidRPr="00485497">
        <w:rPr>
          <w:rFonts w:ascii="Arial" w:hAnsi="Arial" w:cs="Arial"/>
          <w:sz w:val="24"/>
          <w:szCs w:val="24"/>
        </w:rPr>
        <w:lastRenderedPageBreak/>
        <w:t xml:space="preserve">APPENDICES                                                                                                        </w:t>
      </w:r>
      <w:r w:rsidR="000055D1" w:rsidRPr="00485497">
        <w:rPr>
          <w:rFonts w:ascii="Arial" w:hAnsi="Arial" w:cs="Arial"/>
          <w:sz w:val="24"/>
          <w:szCs w:val="24"/>
        </w:rPr>
        <w:t xml:space="preserve"> </w:t>
      </w:r>
      <w:r w:rsidRPr="00485497">
        <w:rPr>
          <w:rFonts w:ascii="Arial" w:hAnsi="Arial" w:cs="Arial"/>
          <w:sz w:val="24"/>
          <w:szCs w:val="24"/>
        </w:rPr>
        <w:t>2</w:t>
      </w:r>
      <w:r w:rsidR="000252B1" w:rsidRPr="00485497">
        <w:rPr>
          <w:rFonts w:ascii="Arial" w:hAnsi="Arial" w:cs="Arial"/>
          <w:sz w:val="24"/>
          <w:szCs w:val="24"/>
        </w:rPr>
        <w:t>6</w:t>
      </w:r>
    </w:p>
    <w:p w14:paraId="673F5BDF" w14:textId="2152052C" w:rsidR="000563B8" w:rsidRPr="00485497" w:rsidRDefault="000563B8" w:rsidP="000563B8">
      <w:pPr>
        <w:spacing w:line="360" w:lineRule="auto"/>
        <w:rPr>
          <w:rFonts w:ascii="Arial" w:hAnsi="Arial" w:cs="Arial"/>
          <w:sz w:val="24"/>
          <w:szCs w:val="24"/>
        </w:rPr>
      </w:pPr>
      <w:r w:rsidRPr="00485497">
        <w:rPr>
          <w:rFonts w:ascii="Arial" w:hAnsi="Arial" w:cs="Arial"/>
          <w:sz w:val="24"/>
          <w:szCs w:val="24"/>
        </w:rPr>
        <w:t>SECTION 2: REFLECTIVE ACCOUNT USING GIBBS’ REFLECTIVE CYCLE: CRITICAL REFLECTION ON MY INTERNATIONAL BUSINESS CONCEPT</w:t>
      </w:r>
      <w:r>
        <w:rPr>
          <w:rFonts w:ascii="Arial" w:hAnsi="Arial" w:cs="Arial"/>
          <w:sz w:val="24"/>
          <w:szCs w:val="24"/>
        </w:rPr>
        <w:t>S</w:t>
      </w:r>
      <w:r w:rsidRPr="00485497">
        <w:rPr>
          <w:rFonts w:ascii="Arial" w:hAnsi="Arial" w:cs="Arial"/>
          <w:sz w:val="24"/>
          <w:szCs w:val="24"/>
        </w:rPr>
        <w:t xml:space="preserve"> JOURNEY AND THE DEVELOPMENT OF INTERNATIONAL MARKET BUSINESS ANALYSIS CAPABILITIE</w:t>
      </w:r>
      <w:r>
        <w:rPr>
          <w:rFonts w:ascii="Arial" w:hAnsi="Arial" w:cs="Arial"/>
          <w:sz w:val="24"/>
          <w:szCs w:val="24"/>
        </w:rPr>
        <w:t xml:space="preserve">                                                                                       </w:t>
      </w:r>
      <w:r w:rsidR="007A0E4C">
        <w:rPr>
          <w:rFonts w:ascii="Arial" w:hAnsi="Arial" w:cs="Arial"/>
          <w:sz w:val="24"/>
          <w:szCs w:val="24"/>
        </w:rPr>
        <w:t xml:space="preserve"> </w:t>
      </w:r>
      <w:r>
        <w:rPr>
          <w:rFonts w:ascii="Arial" w:hAnsi="Arial" w:cs="Arial"/>
          <w:sz w:val="24"/>
          <w:szCs w:val="24"/>
        </w:rPr>
        <w:t>33</w:t>
      </w:r>
    </w:p>
    <w:p w14:paraId="63023886" w14:textId="77777777" w:rsidR="000563B8" w:rsidRPr="00485497" w:rsidRDefault="000563B8" w:rsidP="00485497">
      <w:pPr>
        <w:spacing w:line="360" w:lineRule="auto"/>
        <w:rPr>
          <w:rFonts w:ascii="Arial" w:hAnsi="Arial" w:cs="Arial"/>
          <w:sz w:val="24"/>
          <w:szCs w:val="24"/>
        </w:rPr>
      </w:pPr>
    </w:p>
    <w:p w14:paraId="3FDF5D51" w14:textId="77777777" w:rsidR="00D66AFB" w:rsidRPr="00485497" w:rsidRDefault="00D66AFB" w:rsidP="00485497">
      <w:pPr>
        <w:spacing w:line="360" w:lineRule="auto"/>
        <w:rPr>
          <w:rFonts w:ascii="Arial" w:hAnsi="Arial" w:cs="Arial"/>
          <w:sz w:val="24"/>
          <w:szCs w:val="24"/>
        </w:rPr>
      </w:pPr>
    </w:p>
    <w:p w14:paraId="49BFF1EF" w14:textId="77777777" w:rsidR="00166585" w:rsidRPr="00485497" w:rsidRDefault="00166585" w:rsidP="00485497">
      <w:pPr>
        <w:spacing w:line="360" w:lineRule="auto"/>
        <w:rPr>
          <w:rFonts w:ascii="Arial" w:hAnsi="Arial" w:cs="Arial"/>
          <w:sz w:val="24"/>
          <w:szCs w:val="24"/>
        </w:rPr>
      </w:pPr>
    </w:p>
    <w:p w14:paraId="2188DCBB" w14:textId="77777777" w:rsidR="00166585" w:rsidRPr="00485497" w:rsidRDefault="00166585" w:rsidP="00485497">
      <w:pPr>
        <w:spacing w:line="360" w:lineRule="auto"/>
        <w:rPr>
          <w:rFonts w:ascii="Arial" w:hAnsi="Arial" w:cs="Arial"/>
          <w:sz w:val="24"/>
          <w:szCs w:val="24"/>
        </w:rPr>
      </w:pPr>
    </w:p>
    <w:p w14:paraId="0C99A122" w14:textId="77777777" w:rsidR="00166585" w:rsidRPr="00485497" w:rsidRDefault="00166585" w:rsidP="00485497">
      <w:pPr>
        <w:spacing w:line="360" w:lineRule="auto"/>
        <w:rPr>
          <w:rFonts w:ascii="Arial" w:hAnsi="Arial" w:cs="Arial"/>
          <w:sz w:val="24"/>
          <w:szCs w:val="24"/>
        </w:rPr>
      </w:pPr>
    </w:p>
    <w:p w14:paraId="02CEEF60" w14:textId="77777777" w:rsidR="00166585" w:rsidRPr="00485497" w:rsidRDefault="00166585" w:rsidP="00485497">
      <w:pPr>
        <w:spacing w:line="360" w:lineRule="auto"/>
        <w:rPr>
          <w:rFonts w:ascii="Arial" w:hAnsi="Arial" w:cs="Arial"/>
          <w:sz w:val="24"/>
          <w:szCs w:val="24"/>
        </w:rPr>
      </w:pPr>
    </w:p>
    <w:p w14:paraId="4441BD75" w14:textId="77777777" w:rsidR="00166585" w:rsidRPr="00485497" w:rsidRDefault="00166585" w:rsidP="00485497">
      <w:pPr>
        <w:spacing w:line="360" w:lineRule="auto"/>
        <w:rPr>
          <w:rFonts w:ascii="Arial" w:hAnsi="Arial" w:cs="Arial"/>
          <w:sz w:val="24"/>
          <w:szCs w:val="24"/>
        </w:rPr>
      </w:pPr>
    </w:p>
    <w:p w14:paraId="1AA522D7" w14:textId="77777777" w:rsidR="00166585" w:rsidRPr="00485497" w:rsidRDefault="00166585" w:rsidP="00485497">
      <w:pPr>
        <w:spacing w:line="360" w:lineRule="auto"/>
        <w:rPr>
          <w:rFonts w:ascii="Arial" w:hAnsi="Arial" w:cs="Arial"/>
          <w:sz w:val="24"/>
          <w:szCs w:val="24"/>
        </w:rPr>
      </w:pPr>
    </w:p>
    <w:p w14:paraId="5DC6E0DF" w14:textId="77777777" w:rsidR="00166585" w:rsidRPr="00485497" w:rsidRDefault="00166585" w:rsidP="00485497">
      <w:pPr>
        <w:spacing w:line="360" w:lineRule="auto"/>
        <w:rPr>
          <w:rFonts w:ascii="Arial" w:hAnsi="Arial" w:cs="Arial"/>
          <w:sz w:val="24"/>
          <w:szCs w:val="24"/>
        </w:rPr>
      </w:pPr>
    </w:p>
    <w:p w14:paraId="6EB6A410" w14:textId="77777777" w:rsidR="00166585" w:rsidRPr="00485497" w:rsidRDefault="00166585" w:rsidP="00485497">
      <w:pPr>
        <w:spacing w:line="360" w:lineRule="auto"/>
        <w:rPr>
          <w:rFonts w:ascii="Arial" w:hAnsi="Arial" w:cs="Arial"/>
          <w:sz w:val="24"/>
          <w:szCs w:val="24"/>
        </w:rPr>
      </w:pPr>
    </w:p>
    <w:p w14:paraId="558CC7EE" w14:textId="77777777" w:rsidR="00166585" w:rsidRPr="00485497" w:rsidRDefault="00166585" w:rsidP="00485497">
      <w:pPr>
        <w:spacing w:line="360" w:lineRule="auto"/>
        <w:rPr>
          <w:rFonts w:ascii="Arial" w:hAnsi="Arial" w:cs="Arial"/>
          <w:sz w:val="24"/>
          <w:szCs w:val="24"/>
        </w:rPr>
      </w:pPr>
    </w:p>
    <w:p w14:paraId="45E86A6F" w14:textId="77777777" w:rsidR="00166585" w:rsidRPr="00485497" w:rsidRDefault="00166585" w:rsidP="00485497">
      <w:pPr>
        <w:spacing w:line="360" w:lineRule="auto"/>
        <w:rPr>
          <w:rFonts w:ascii="Arial" w:hAnsi="Arial" w:cs="Arial"/>
          <w:sz w:val="24"/>
          <w:szCs w:val="24"/>
        </w:rPr>
      </w:pPr>
    </w:p>
    <w:p w14:paraId="646A28E0" w14:textId="77777777" w:rsidR="00166585" w:rsidRPr="00485497" w:rsidRDefault="00166585" w:rsidP="00485497">
      <w:pPr>
        <w:spacing w:line="360" w:lineRule="auto"/>
        <w:rPr>
          <w:rFonts w:ascii="Arial" w:hAnsi="Arial" w:cs="Arial"/>
          <w:sz w:val="24"/>
          <w:szCs w:val="24"/>
        </w:rPr>
      </w:pPr>
    </w:p>
    <w:p w14:paraId="730DA77A" w14:textId="77777777" w:rsidR="00166585" w:rsidRPr="00485497" w:rsidRDefault="00166585" w:rsidP="00485497">
      <w:pPr>
        <w:spacing w:line="360" w:lineRule="auto"/>
        <w:rPr>
          <w:rFonts w:ascii="Arial" w:hAnsi="Arial" w:cs="Arial"/>
          <w:sz w:val="24"/>
          <w:szCs w:val="24"/>
        </w:rPr>
      </w:pPr>
    </w:p>
    <w:p w14:paraId="1BA47F47" w14:textId="77777777" w:rsidR="00166585" w:rsidRPr="00485497" w:rsidRDefault="00166585" w:rsidP="00485497">
      <w:pPr>
        <w:spacing w:line="360" w:lineRule="auto"/>
        <w:rPr>
          <w:rFonts w:ascii="Arial" w:hAnsi="Arial" w:cs="Arial"/>
          <w:sz w:val="24"/>
          <w:szCs w:val="24"/>
        </w:rPr>
      </w:pPr>
    </w:p>
    <w:p w14:paraId="5060BAFF" w14:textId="77777777" w:rsidR="00166585" w:rsidRPr="00485497" w:rsidRDefault="00166585" w:rsidP="00485497">
      <w:pPr>
        <w:spacing w:line="360" w:lineRule="auto"/>
        <w:rPr>
          <w:rFonts w:ascii="Arial" w:hAnsi="Arial" w:cs="Arial"/>
          <w:sz w:val="24"/>
          <w:szCs w:val="24"/>
        </w:rPr>
      </w:pPr>
    </w:p>
    <w:p w14:paraId="5D7AE68A" w14:textId="77777777" w:rsidR="00166585" w:rsidRPr="00485497" w:rsidRDefault="00166585" w:rsidP="00485497">
      <w:pPr>
        <w:spacing w:line="360" w:lineRule="auto"/>
        <w:rPr>
          <w:rFonts w:ascii="Arial" w:hAnsi="Arial" w:cs="Arial"/>
          <w:sz w:val="24"/>
          <w:szCs w:val="24"/>
        </w:rPr>
      </w:pPr>
    </w:p>
    <w:p w14:paraId="30684D12" w14:textId="77777777" w:rsidR="00166585" w:rsidRPr="00485497" w:rsidRDefault="00166585" w:rsidP="00485497">
      <w:pPr>
        <w:spacing w:line="360" w:lineRule="auto"/>
        <w:rPr>
          <w:rFonts w:ascii="Arial" w:hAnsi="Arial" w:cs="Arial"/>
          <w:sz w:val="24"/>
          <w:szCs w:val="24"/>
        </w:rPr>
      </w:pPr>
    </w:p>
    <w:p w14:paraId="34C52639" w14:textId="77777777" w:rsidR="00166585" w:rsidRPr="00485497" w:rsidRDefault="00166585" w:rsidP="00485497">
      <w:pPr>
        <w:spacing w:line="360" w:lineRule="auto"/>
        <w:rPr>
          <w:rFonts w:ascii="Arial" w:hAnsi="Arial" w:cs="Arial"/>
          <w:sz w:val="24"/>
          <w:szCs w:val="24"/>
        </w:rPr>
      </w:pPr>
    </w:p>
    <w:p w14:paraId="2440F799" w14:textId="77777777" w:rsidR="007A0E4C" w:rsidRDefault="007A0E4C" w:rsidP="00485497">
      <w:pPr>
        <w:spacing w:line="360" w:lineRule="auto"/>
        <w:rPr>
          <w:rFonts w:ascii="Arial" w:hAnsi="Arial" w:cs="Arial"/>
          <w:sz w:val="24"/>
          <w:szCs w:val="24"/>
        </w:rPr>
      </w:pPr>
    </w:p>
    <w:p w14:paraId="549E3D39" w14:textId="1844D8E1"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lastRenderedPageBreak/>
        <w:t>CHAPTER 1: INTRODUCTION</w:t>
      </w:r>
    </w:p>
    <w:p w14:paraId="559F8813"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1.1 Toyota Industries Corporation Background</w:t>
      </w:r>
    </w:p>
    <w:p w14:paraId="64342EF8" w14:textId="76ACBFE4"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 xml:space="preserve">Toyota Industries Corporation (TICO) continues to play a significant role in the global business environment through its international market expansion strategies, technological innovation, and commitment to sustainable development. In an increasingly competitive automotive industry characterised by technological disruption, changing consumer preferences, and environmental regulations, multinational corporations must develop effective international marketing strategies to achieve sustainable competitive advantage and maintain market leadership (Murshed, 2026). Consequently, understanding how Toyota manages its international operations and marketing activities across different markets is important for evaluating its long-term competitiveness. As the challenge toward competitors still a huge concern to it structural strategic experience in accordance </w:t>
      </w:r>
      <w:r w:rsidR="00886742" w:rsidRPr="00485497">
        <w:rPr>
          <w:rFonts w:ascii="Arial" w:hAnsi="Arial" w:cs="Arial"/>
          <w:sz w:val="24"/>
          <w:szCs w:val="24"/>
        </w:rPr>
        <w:t>with</w:t>
      </w:r>
      <w:r w:rsidRPr="00485497">
        <w:rPr>
          <w:rFonts w:ascii="Arial" w:hAnsi="Arial" w:cs="Arial"/>
          <w:sz w:val="24"/>
          <w:szCs w:val="24"/>
        </w:rPr>
        <w:t xml:space="preserve"> its business policies and others aspect such as technology disruption, we have been appointed strategic manager consultant to evaluate the company’s international marketing that enables this multinational corporations to expand their customer </w:t>
      </w:r>
      <w:r w:rsidR="00B37C24" w:rsidRPr="00485497">
        <w:rPr>
          <w:rFonts w:ascii="Arial" w:hAnsi="Arial" w:cs="Arial"/>
          <w:sz w:val="24"/>
          <w:szCs w:val="24"/>
        </w:rPr>
        <w:t>base and</w:t>
      </w:r>
      <w:r w:rsidRPr="00485497">
        <w:rPr>
          <w:rFonts w:ascii="Arial" w:hAnsi="Arial" w:cs="Arial"/>
          <w:sz w:val="24"/>
          <w:szCs w:val="24"/>
        </w:rPr>
        <w:t xml:space="preserve"> achieve sustainable competitive advantage across different markets.</w:t>
      </w:r>
    </w:p>
    <w:p w14:paraId="40FAD9C7"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Toyota Industries Corporation is headquartered in Kariya, Japan, and was founded in 1926 by Sakichi Toyoda. The company operates across multiple industries, including material handling equipment, automobiles, logistics, textile machinery, compressors, and electronics. The Material Handling Equipment (MHE) division, particularly Toyota forklifts, remains the company’s largest revenue-generating business segment and a major source of competitive advantage. In addition, Toyota has increasingly invested in electric vehicle (EV) technologies to support global sustainability objectives and respond to growing demand for environmentally friendly transportation solutions (Toyota Motor Corporation, 2025).</w:t>
      </w:r>
    </w:p>
    <w:p w14:paraId="72818088" w14:textId="1C63D54B"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 xml:space="preserve">According to Murshed (2026), successful international marketing requires organisations to understand market differences and apply appropriate segmentation, targeting, and positioning (STP) strategies to create customer value and competitive advantage. Equally important is the ability to adapt marketing decisions to local market conditions while maintaining a consistent global brand identity. Toyota’s international expansion reflects these principles through its ability to combine global </w:t>
      </w:r>
      <w:r w:rsidRPr="00485497">
        <w:rPr>
          <w:rFonts w:ascii="Arial" w:hAnsi="Arial" w:cs="Arial"/>
          <w:sz w:val="24"/>
          <w:szCs w:val="24"/>
        </w:rPr>
        <w:lastRenderedPageBreak/>
        <w:t>operational efficiencies with local market responsiveness.</w:t>
      </w:r>
      <w:r w:rsidR="00BF6956" w:rsidRPr="00485497">
        <w:rPr>
          <w:rFonts w:ascii="Arial" w:hAnsi="Arial" w:cs="Arial"/>
          <w:sz w:val="24"/>
          <w:szCs w:val="24"/>
        </w:rPr>
        <w:t xml:space="preserve"> The company</w:t>
      </w:r>
      <w:r w:rsidR="00BF6956" w:rsidRPr="00485497">
        <w:rPr>
          <w:rFonts w:ascii="Arial" w:hAnsi="Arial" w:cs="Arial"/>
          <w:sz w:val="24"/>
          <w:szCs w:val="24"/>
        </w:rPr>
        <w:t>'s long-term success has been attributed not only to its technological capabilities and operational efficiency but also to its distinctive corporate governance system, which emphasises stakeholder interests, continuous improvement, and long-term value creation (Yoshimori, 2005).</w:t>
      </w:r>
    </w:p>
    <w:p w14:paraId="6D2CC80E"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This report analyses Toyota’s international marketing strategy in Japan and the United States by applying PESTEL analysis to compare and contrast their macro-environments and Hofstede’s cultural dimensions framework to evaluate cultural differences influencing consumer behaviour. The report further examines Toyota’s Segmentation, Targeting and Positioning (STP) strategies and its application of the 7Ps marketing mix in both markets. Furthermore, it evaluates Toyota’s market entry strategy in the United States, discusses ethical considerations affecting its international marketing activities, and provides recommendations for future international marketing development.</w:t>
      </w:r>
    </w:p>
    <w:p w14:paraId="6A03BB97"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1.2 Scope of Analysis</w:t>
      </w:r>
    </w:p>
    <w:p w14:paraId="2C408F76"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This report examines the international market entry strategy and marketing mix of Toyota’s electric vehicle (EV) business in two strategically important markets: Japan, the home country, and the United States, the host country. As one of the world’s leading automotive manufacturers, Toyota has increasingly focused on electrification to address changing consumer preferences, environmental concerns, and global sustainability objectives (Toyota Motor Corporation, 2025). The report analyses how Toyota adapts its international marketing strategies to different economic, political, technological, and cultural environments while maintaining a consistent global brand identity.</w:t>
      </w:r>
    </w:p>
    <w:p w14:paraId="43CC6228"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 xml:space="preserve">The study employs PESTEL analysis and Hofstede’s cultural framework to compare macro-environmental and cultural conditions in both countries. It also evaluates Toyota’s Segmentation, Targeting and Positioning (STP) strategies together with the application of the 7Ps marketing mix. Murshed (2026) argues that effective segmentation allows firms to identify distinct customer groups, targeting enables organisations to focus resources on the most profitable market segments, and positioning creates a unique value proposition that differentiates products from competitors. These concepts are particularly relevant to Toyota’s EV strategy, where </w:t>
      </w:r>
      <w:r w:rsidRPr="00485497">
        <w:rPr>
          <w:rFonts w:ascii="Arial" w:hAnsi="Arial" w:cs="Arial"/>
          <w:sz w:val="24"/>
          <w:szCs w:val="24"/>
        </w:rPr>
        <w:lastRenderedPageBreak/>
        <w:t>customer needs and expectations vary considerably between Japan and the United States.</w:t>
      </w:r>
    </w:p>
    <w:p w14:paraId="12DE6C87"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Furthermore, the report assesses Toyota’s market entry strategy in the United States, examines ethical issues associated with its marketing activities, and provides recommendations for strengthening its future international marketing performance (Keegan and Green, 2023). In addition, the analysis considers factors influencing consumer buying behaviour, including cultural values, environmental awareness, income levels, government incentives, technological preferences, and lifestyle trends. According to Murshed (2026), understanding consumer buying behaviour is essential for multinational corporations because purchasing decisions are influenced by a combination of personal, social, cultural, and psychological factors that differ across international markets.</w:t>
      </w:r>
    </w:p>
    <w:p w14:paraId="79F64245"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Overview of Toyota’s Electric Vehicle Business in Japan</w:t>
      </w:r>
    </w:p>
    <w:p w14:paraId="775938FD"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Japan represents Toyota’s home market and serves as the centre of its global operations, innovation, and strategic development. Toyota has established a strong reputation in sustainable mobility through pioneering hybrid technologies, most notably the Prius, and has subsequently expanded its battery electric vehicle (BEV) portfolio through the Toyota bZ (Beyond Zero) series (Toyota Motor Corporation, 2025). The Japanese government’s commitment to achieving carbon neutrality by 2050 has further encouraged investment in EV technologies and supporting infrastructure (International Energy Agency, 2024).</w:t>
      </w:r>
    </w:p>
    <w:p w14:paraId="34EC3FB7"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Within Japan, Toyota benefits from advanced manufacturing capabilities, strong research and development resources, and a consumer base that values product quality, reliability, and technological innovation. These characteristics support Toyota’s positioning strategy, which focuses on delivering high-quality and environmentally responsible mobility solutions. Murshed (2026) highlights that successful positioning enables organisations to establish favourable perceptions in consumers’ minds, strengthening brand loyalty and market competitiveness.</w:t>
      </w:r>
    </w:p>
    <w:p w14:paraId="6655286B"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Overview of Toyota’s Electric Vehicle Business in the United States</w:t>
      </w:r>
    </w:p>
    <w:p w14:paraId="6BFC8203"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 xml:space="preserve">The United States is one of Toyota’s largest and most significant international markets, offering substantial opportunities for growth in the EV sector. Rising </w:t>
      </w:r>
      <w:r w:rsidRPr="00485497">
        <w:rPr>
          <w:rFonts w:ascii="Arial" w:hAnsi="Arial" w:cs="Arial"/>
          <w:sz w:val="24"/>
          <w:szCs w:val="24"/>
        </w:rPr>
        <w:lastRenderedPageBreak/>
        <w:t>environmental awareness, supportive government policies, and increasing demand for sustainable transportation have accelerated EV adoption across the country (International Energy Agency, 2024). To strengthen its competitive position, Toyota has invested heavily in local manufacturing facilities, battery production plants, and distribution networks.</w:t>
      </w:r>
    </w:p>
    <w:p w14:paraId="51149191"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Toyota aims to position its electric vehicles as reliable, technologically advanced, and environmentally responsible alternatives within a highly competitive market characterised by strong competitors such as Tesla and Ford (Kotler, Keller and Chernev, 2022). The company’s investment in local production reflects key international production decisions discussed by Murshed (2026), including manufacturing location, operational efficiency, supply-chain coordination, and responsiveness to local market demand. Consequently, the United States plays a critical role in Toyota’s global electrification strategy and long-term international expansion plans.</w:t>
      </w:r>
    </w:p>
    <w:p w14:paraId="1D2157D9"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1.3 Justification of Product and Market Context</w:t>
      </w:r>
    </w:p>
    <w:p w14:paraId="2333D017"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The electric vehicle (EV) market presents contrasting conditions in Japan and the United States. Although Japan is home to Toyota and is recognised for its automotive innovation, EV adoption remains relatively low. EV sales penetration has remained around 3–4% of new vehicle sales, reflecting consumer preference for hybrid vehicles, limited charging infrastructure growth, and a cautious approach towards full battery-electric vehicle adoption. This indicates that while Japan offers a technologically advanced environment, the transition to pure EVs is progressing gradually (Toyota Motor Corporation, 2025).</w:t>
      </w:r>
    </w:p>
    <w:p w14:paraId="15C2B4EF"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From an international business perspective, Murshed (2026) argues that multinational corporations must evaluate differences in consumer behaviour, government policies, competitive structures, and operational environments when selecting products and markets for international expansion. These factors are particularly relevant to Toyota’s EV strategy because market demand and customer expectations vary significantly between Japan and the United States.</w:t>
      </w:r>
    </w:p>
    <w:p w14:paraId="69A3FF9A"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1.3.1 Justification of Product and Market Context in Japan</w:t>
      </w:r>
    </w:p>
    <w:p w14:paraId="53919B6C"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lastRenderedPageBreak/>
        <w:t>Japan provides a favourable market context for Toyota’s electric vehicles due to its advanced technological infrastructure, strong environmental policies, and high consumer trust in domestic automotive brands. As Toyota’s home market, Japan offers significant advantages through established research and development capabilities, efficient manufacturing systems, and government support for carbon neutrality initiatives.</w:t>
      </w:r>
    </w:p>
    <w:p w14:paraId="14046E55"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Japanese consumers increasingly demand environmentally sustainable transportation solutions while maintaining expectations for reliability, quality, and innovation, which align closely with Toyota’s brand positioning (International Energy Agency, 2024). Furthermore, the growing emphasis on reducing greenhouse gas emissions and the expansion of EV charging infrastructure create favourable conditions for Toyota’s electric vehicle growth within the domestic market (Toyota Motor Corporation, 2025).</w:t>
      </w:r>
    </w:p>
    <w:p w14:paraId="09095C2B"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In addition, Japan provides important operational advantages through its highly developed manufacturing ecosystem and supplier networks. Murshed (2026) notes that global manufacturing strategies require firms to balance efficiency, quality, innovation, and responsiveness. Toyota’s strong domestic production capabilities support continuous product development and strengthen its global competitive position in the EV industry.</w:t>
      </w:r>
    </w:p>
    <w:p w14:paraId="47219452"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1.3.2 Justification of Product and Market Context in the United States</w:t>
      </w:r>
    </w:p>
    <w:p w14:paraId="6E43D831"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The United States represents a strategically important market for Toyota’s electric vehicles due to its large consumer base, growing environmental awareness, and increasing demand for sustainable mobility solutions. Government incentives, investments in charging infrastructure, and stricter emissions regulations have accelerated EV adoption across many states (International Energy Agency, 2024). Additionally, American consumers demonstrate strong interest in innovative automotive technologies, creating opportunities for Toyota to expand its electric vehicle portfolio.</w:t>
      </w:r>
    </w:p>
    <w:p w14:paraId="3BC9B7CD"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 xml:space="preserve">Despite intense competition from manufacturers such as Tesla and Ford, Toyota’s reputation for quality, reliability, and technological excellence provides a strong foundation for market growth and long-term competitiveness in the U.S. EV sector (Kotler, Keller and Chernev, 2022). The company’s substantial investment in local </w:t>
      </w:r>
      <w:r w:rsidRPr="00485497">
        <w:rPr>
          <w:rFonts w:ascii="Arial" w:hAnsi="Arial" w:cs="Arial"/>
          <w:sz w:val="24"/>
          <w:szCs w:val="24"/>
        </w:rPr>
        <w:lastRenderedPageBreak/>
        <w:t>manufacturing and battery production also reflects the importance of global supply-chain management and global sourcing in international business operations.</w:t>
      </w:r>
    </w:p>
    <w:p w14:paraId="449D11CF" w14:textId="77777777" w:rsidR="00295985" w:rsidRPr="00485497" w:rsidRDefault="00295985" w:rsidP="00485497">
      <w:pPr>
        <w:spacing w:line="360" w:lineRule="auto"/>
        <w:rPr>
          <w:rFonts w:ascii="Arial" w:hAnsi="Arial" w:cs="Arial"/>
          <w:sz w:val="24"/>
          <w:szCs w:val="24"/>
        </w:rPr>
      </w:pPr>
      <w:r w:rsidRPr="00485497">
        <w:rPr>
          <w:rFonts w:ascii="Arial" w:hAnsi="Arial" w:cs="Arial"/>
          <w:sz w:val="24"/>
          <w:szCs w:val="24"/>
        </w:rPr>
        <w:t>According to Murshed (2026), global sourcing enables multinational corporations to access resources, technology, expertise, and production inputs from different countries while improving cost efficiency and operational flexibility. Effective global supply-chain management further supports competitiveness through enhanced coordination of production, logistics, procurement, and distribution activities across international markets. Toyota’s established manufacturing facilities and supplier relationships within the United States therefore contribute not only to market responsiveness but also to the company’s broader global manufacturing strategy. Consequently, the United States remains a critical market for Toyota’s future EV growth and international competitiveness.</w:t>
      </w:r>
    </w:p>
    <w:p w14:paraId="1EA3313C" w14:textId="77777777" w:rsidR="00F75E64" w:rsidRPr="00485497" w:rsidRDefault="00F75E64" w:rsidP="00485497">
      <w:pPr>
        <w:spacing w:after="0" w:line="360" w:lineRule="auto"/>
        <w:rPr>
          <w:rFonts w:ascii="Arial" w:hAnsi="Arial" w:cs="Arial"/>
          <w:sz w:val="24"/>
          <w:szCs w:val="24"/>
        </w:rPr>
      </w:pPr>
    </w:p>
    <w:p w14:paraId="2F2812DE" w14:textId="77777777" w:rsidR="004B6006" w:rsidRPr="00485497" w:rsidRDefault="004B6006" w:rsidP="00485497">
      <w:pPr>
        <w:spacing w:line="360" w:lineRule="auto"/>
        <w:rPr>
          <w:rFonts w:ascii="Arial" w:hAnsi="Arial" w:cs="Arial"/>
          <w:sz w:val="24"/>
          <w:szCs w:val="24"/>
        </w:rPr>
      </w:pPr>
    </w:p>
    <w:p w14:paraId="5B68485A" w14:textId="77777777" w:rsidR="004B6006" w:rsidRPr="00485497" w:rsidRDefault="004B6006" w:rsidP="00485497">
      <w:pPr>
        <w:spacing w:line="360" w:lineRule="auto"/>
        <w:rPr>
          <w:rFonts w:ascii="Arial" w:hAnsi="Arial" w:cs="Arial"/>
          <w:sz w:val="24"/>
          <w:szCs w:val="24"/>
        </w:rPr>
      </w:pPr>
    </w:p>
    <w:p w14:paraId="56767FD4" w14:textId="77777777" w:rsidR="004B6006" w:rsidRPr="00485497" w:rsidRDefault="004B6006" w:rsidP="00485497">
      <w:pPr>
        <w:spacing w:line="360" w:lineRule="auto"/>
        <w:rPr>
          <w:rFonts w:ascii="Arial" w:hAnsi="Arial" w:cs="Arial"/>
          <w:sz w:val="24"/>
          <w:szCs w:val="24"/>
        </w:rPr>
      </w:pPr>
    </w:p>
    <w:p w14:paraId="3B6CCBAB" w14:textId="77777777" w:rsidR="004B6006" w:rsidRPr="00485497" w:rsidRDefault="004B6006" w:rsidP="00485497">
      <w:pPr>
        <w:spacing w:line="360" w:lineRule="auto"/>
        <w:rPr>
          <w:rFonts w:ascii="Arial" w:hAnsi="Arial" w:cs="Arial"/>
          <w:sz w:val="24"/>
          <w:szCs w:val="24"/>
        </w:rPr>
      </w:pPr>
    </w:p>
    <w:p w14:paraId="1CE4ED1F" w14:textId="77777777" w:rsidR="004B6006" w:rsidRPr="00485497" w:rsidRDefault="004B6006" w:rsidP="00485497">
      <w:pPr>
        <w:spacing w:line="360" w:lineRule="auto"/>
        <w:rPr>
          <w:rFonts w:ascii="Arial" w:hAnsi="Arial" w:cs="Arial"/>
          <w:sz w:val="24"/>
          <w:szCs w:val="24"/>
        </w:rPr>
      </w:pPr>
    </w:p>
    <w:p w14:paraId="0973CEE1" w14:textId="77777777" w:rsidR="004B6006" w:rsidRPr="00485497" w:rsidRDefault="004B6006" w:rsidP="00485497">
      <w:pPr>
        <w:spacing w:line="360" w:lineRule="auto"/>
        <w:rPr>
          <w:rFonts w:ascii="Arial" w:hAnsi="Arial" w:cs="Arial"/>
          <w:sz w:val="24"/>
          <w:szCs w:val="24"/>
        </w:rPr>
      </w:pPr>
    </w:p>
    <w:p w14:paraId="7B891024" w14:textId="77777777" w:rsidR="004B6006" w:rsidRPr="00485497" w:rsidRDefault="004B6006" w:rsidP="00485497">
      <w:pPr>
        <w:spacing w:line="360" w:lineRule="auto"/>
        <w:rPr>
          <w:rFonts w:ascii="Arial" w:hAnsi="Arial" w:cs="Arial"/>
          <w:sz w:val="24"/>
          <w:szCs w:val="24"/>
        </w:rPr>
      </w:pPr>
    </w:p>
    <w:p w14:paraId="4A8E0459" w14:textId="77777777" w:rsidR="004B6006" w:rsidRPr="00485497" w:rsidRDefault="004B6006" w:rsidP="00485497">
      <w:pPr>
        <w:spacing w:line="360" w:lineRule="auto"/>
        <w:rPr>
          <w:rFonts w:ascii="Arial" w:hAnsi="Arial" w:cs="Arial"/>
          <w:sz w:val="24"/>
          <w:szCs w:val="24"/>
        </w:rPr>
      </w:pPr>
    </w:p>
    <w:p w14:paraId="37E67E3B" w14:textId="77777777" w:rsidR="004B6006" w:rsidRPr="00485497" w:rsidRDefault="004B6006" w:rsidP="00485497">
      <w:pPr>
        <w:spacing w:line="360" w:lineRule="auto"/>
        <w:rPr>
          <w:rFonts w:ascii="Arial" w:hAnsi="Arial" w:cs="Arial"/>
          <w:sz w:val="24"/>
          <w:szCs w:val="24"/>
        </w:rPr>
      </w:pPr>
    </w:p>
    <w:p w14:paraId="3A93F1BB" w14:textId="77777777" w:rsidR="004B6006" w:rsidRPr="00485497" w:rsidRDefault="004B6006" w:rsidP="00485497">
      <w:pPr>
        <w:spacing w:line="360" w:lineRule="auto"/>
        <w:rPr>
          <w:rFonts w:ascii="Arial" w:hAnsi="Arial" w:cs="Arial"/>
          <w:sz w:val="24"/>
          <w:szCs w:val="24"/>
        </w:rPr>
      </w:pPr>
    </w:p>
    <w:p w14:paraId="1212C402" w14:textId="77777777" w:rsidR="004B6006" w:rsidRPr="00485497" w:rsidRDefault="004B6006" w:rsidP="00485497">
      <w:pPr>
        <w:spacing w:line="360" w:lineRule="auto"/>
        <w:rPr>
          <w:rFonts w:ascii="Arial" w:hAnsi="Arial" w:cs="Arial"/>
          <w:sz w:val="24"/>
          <w:szCs w:val="24"/>
        </w:rPr>
      </w:pPr>
    </w:p>
    <w:p w14:paraId="24855D55" w14:textId="77777777" w:rsidR="004B6006" w:rsidRPr="00485497" w:rsidRDefault="004B6006" w:rsidP="00485497">
      <w:pPr>
        <w:spacing w:line="360" w:lineRule="auto"/>
        <w:rPr>
          <w:rFonts w:ascii="Arial" w:hAnsi="Arial" w:cs="Arial"/>
          <w:sz w:val="24"/>
          <w:szCs w:val="24"/>
        </w:rPr>
      </w:pPr>
    </w:p>
    <w:p w14:paraId="4117958E" w14:textId="77777777" w:rsidR="004B6006" w:rsidRPr="00485497" w:rsidRDefault="004B6006" w:rsidP="00485497">
      <w:pPr>
        <w:spacing w:line="360" w:lineRule="auto"/>
        <w:rPr>
          <w:rFonts w:ascii="Arial" w:hAnsi="Arial" w:cs="Arial"/>
          <w:sz w:val="24"/>
          <w:szCs w:val="24"/>
        </w:rPr>
      </w:pPr>
    </w:p>
    <w:p w14:paraId="38415203" w14:textId="77777777" w:rsidR="004B6006" w:rsidRPr="00485497" w:rsidRDefault="004B6006" w:rsidP="00485497">
      <w:pPr>
        <w:spacing w:line="360" w:lineRule="auto"/>
        <w:rPr>
          <w:rFonts w:ascii="Arial" w:hAnsi="Arial" w:cs="Arial"/>
          <w:sz w:val="24"/>
          <w:szCs w:val="24"/>
        </w:rPr>
      </w:pPr>
    </w:p>
    <w:p w14:paraId="772CA7A7" w14:textId="77777777" w:rsidR="004B6006" w:rsidRPr="00485497" w:rsidRDefault="004B6006" w:rsidP="00485497">
      <w:pPr>
        <w:spacing w:line="360" w:lineRule="auto"/>
        <w:rPr>
          <w:rFonts w:ascii="Arial" w:hAnsi="Arial" w:cs="Arial"/>
          <w:sz w:val="24"/>
          <w:szCs w:val="24"/>
        </w:rPr>
      </w:pPr>
    </w:p>
    <w:p w14:paraId="3E1756F3" w14:textId="77777777" w:rsidR="00F62553" w:rsidRPr="00485497" w:rsidRDefault="00F62553" w:rsidP="00485497">
      <w:pPr>
        <w:spacing w:line="360" w:lineRule="auto"/>
        <w:rPr>
          <w:rFonts w:ascii="Arial" w:hAnsi="Arial" w:cs="Arial"/>
          <w:sz w:val="24"/>
          <w:szCs w:val="24"/>
        </w:rPr>
      </w:pPr>
    </w:p>
    <w:p w14:paraId="58BD29F9" w14:textId="0728AA3B" w:rsidR="00F75E64" w:rsidRPr="00485497" w:rsidRDefault="00F75E64" w:rsidP="00485497">
      <w:pPr>
        <w:spacing w:line="360" w:lineRule="auto"/>
        <w:rPr>
          <w:rFonts w:ascii="Arial" w:hAnsi="Arial" w:cs="Arial"/>
          <w:sz w:val="24"/>
          <w:szCs w:val="24"/>
        </w:rPr>
      </w:pPr>
      <w:r w:rsidRPr="00485497">
        <w:rPr>
          <w:rFonts w:ascii="Arial" w:hAnsi="Arial" w:cs="Arial"/>
          <w:sz w:val="24"/>
          <w:szCs w:val="24"/>
        </w:rPr>
        <w:t xml:space="preserve">CHAPTER 2 COMPARATIVE MARKET ANALYSIS OF JAPAN AND </w:t>
      </w:r>
      <w:r w:rsidR="00BA4D05" w:rsidRPr="00485497">
        <w:rPr>
          <w:rFonts w:ascii="Arial" w:hAnsi="Arial" w:cs="Arial"/>
          <w:sz w:val="24"/>
          <w:szCs w:val="24"/>
        </w:rPr>
        <w:t>USA.</w:t>
      </w:r>
    </w:p>
    <w:p w14:paraId="4E110E01" w14:textId="77777777" w:rsidR="00FF20AD" w:rsidRPr="00485497" w:rsidRDefault="00FF20AD" w:rsidP="00485497">
      <w:pPr>
        <w:spacing w:line="360" w:lineRule="auto"/>
        <w:rPr>
          <w:rFonts w:ascii="Arial" w:hAnsi="Arial" w:cs="Arial"/>
          <w:sz w:val="24"/>
          <w:szCs w:val="24"/>
        </w:rPr>
      </w:pPr>
    </w:p>
    <w:p w14:paraId="1B1EEFC1" w14:textId="77777777" w:rsidR="00BA4D05" w:rsidRPr="00485497" w:rsidRDefault="00F75E64" w:rsidP="00485497">
      <w:pPr>
        <w:spacing w:after="0" w:line="360" w:lineRule="auto"/>
        <w:rPr>
          <w:rFonts w:ascii="Arial" w:hAnsi="Arial" w:cs="Arial"/>
          <w:sz w:val="24"/>
          <w:szCs w:val="24"/>
        </w:rPr>
      </w:pPr>
      <w:r w:rsidRPr="00485497">
        <w:rPr>
          <w:rFonts w:ascii="Arial" w:hAnsi="Arial" w:cs="Arial"/>
          <w:sz w:val="24"/>
          <w:szCs w:val="24"/>
        </w:rPr>
        <w:t>2.1 PESTEL Analysis</w:t>
      </w:r>
      <w:r w:rsidR="00BA4D05" w:rsidRPr="00485497">
        <w:rPr>
          <w:rFonts w:ascii="Arial" w:hAnsi="Arial" w:cs="Arial"/>
          <w:sz w:val="24"/>
          <w:szCs w:val="24"/>
        </w:rPr>
        <w:t>.</w:t>
      </w:r>
    </w:p>
    <w:p w14:paraId="286BBF45" w14:textId="77777777" w:rsidR="00D372CE" w:rsidRPr="00485497" w:rsidRDefault="00D372CE" w:rsidP="00485497">
      <w:pPr>
        <w:spacing w:after="0" w:line="360" w:lineRule="auto"/>
        <w:rPr>
          <w:rFonts w:ascii="Arial" w:hAnsi="Arial" w:cs="Arial"/>
          <w:sz w:val="24"/>
          <w:szCs w:val="24"/>
        </w:rPr>
      </w:pPr>
    </w:p>
    <w:p w14:paraId="39EB5467" w14:textId="3BBC5D44" w:rsidR="0082580D" w:rsidRPr="00485497" w:rsidRDefault="0082580D" w:rsidP="00485497">
      <w:pPr>
        <w:spacing w:line="360" w:lineRule="auto"/>
        <w:rPr>
          <w:rFonts w:ascii="Arial" w:hAnsi="Arial" w:cs="Arial"/>
          <w:sz w:val="24"/>
          <w:szCs w:val="24"/>
          <w:lang w:val="en-US"/>
        </w:rPr>
      </w:pPr>
      <w:r w:rsidRPr="00485497">
        <w:rPr>
          <w:rFonts w:ascii="Arial" w:hAnsi="Arial" w:cs="Arial"/>
          <w:sz w:val="24"/>
          <w:szCs w:val="24"/>
        </w:rPr>
        <w:t xml:space="preserve">(See </w:t>
      </w:r>
      <w:r w:rsidR="008C002E" w:rsidRPr="00485497">
        <w:rPr>
          <w:rFonts w:ascii="Arial" w:hAnsi="Arial" w:cs="Arial"/>
          <w:sz w:val="24"/>
          <w:szCs w:val="24"/>
        </w:rPr>
        <w:t>Appendix 1: Table 1</w:t>
      </w:r>
      <w:r w:rsidRPr="00485497">
        <w:rPr>
          <w:rFonts w:ascii="Arial" w:hAnsi="Arial" w:cs="Arial"/>
          <w:sz w:val="24"/>
          <w:szCs w:val="24"/>
        </w:rPr>
        <w:t xml:space="preserve">. </w:t>
      </w:r>
      <w:r w:rsidRPr="00485497">
        <w:rPr>
          <w:rFonts w:ascii="Arial" w:hAnsi="Arial" w:cs="Arial"/>
          <w:sz w:val="24"/>
          <w:szCs w:val="24"/>
          <w:lang w:val="en-US"/>
        </w:rPr>
        <w:t xml:space="preserve">Toyota’s </w:t>
      </w:r>
      <w:r w:rsidRPr="00485497">
        <w:rPr>
          <w:rFonts w:ascii="Arial" w:hAnsi="Arial" w:cs="Arial"/>
          <w:sz w:val="24"/>
          <w:szCs w:val="24"/>
        </w:rPr>
        <w:t>Comparative Discussion of PESTEL analysis</w:t>
      </w:r>
      <w:r w:rsidR="00EA084E" w:rsidRPr="00485497">
        <w:rPr>
          <w:rFonts w:ascii="Arial" w:hAnsi="Arial" w:cs="Arial"/>
          <w:sz w:val="24"/>
          <w:szCs w:val="24"/>
        </w:rPr>
        <w:t>)</w:t>
      </w:r>
      <w:r w:rsidR="00911DE0" w:rsidRPr="00485497">
        <w:rPr>
          <w:rFonts w:ascii="Arial" w:hAnsi="Arial" w:cs="Arial"/>
          <w:sz w:val="24"/>
          <w:szCs w:val="24"/>
        </w:rPr>
        <w:t>.</w:t>
      </w:r>
    </w:p>
    <w:p w14:paraId="0A19100C" w14:textId="704EF0A0" w:rsidR="001F57F9" w:rsidRPr="00485497" w:rsidRDefault="006B57E2" w:rsidP="00485497">
      <w:pPr>
        <w:spacing w:line="360" w:lineRule="auto"/>
        <w:rPr>
          <w:rFonts w:ascii="Arial" w:hAnsi="Arial" w:cs="Arial"/>
          <w:sz w:val="24"/>
          <w:szCs w:val="24"/>
        </w:rPr>
      </w:pPr>
      <w:r w:rsidRPr="00485497">
        <w:rPr>
          <w:rFonts w:ascii="Arial" w:hAnsi="Arial" w:cs="Arial"/>
          <w:sz w:val="24"/>
          <w:szCs w:val="24"/>
          <w:lang w:val="en-US"/>
        </w:rPr>
        <w:t xml:space="preserve">Toyota’s </w:t>
      </w:r>
      <w:r w:rsidRPr="00485497">
        <w:rPr>
          <w:rFonts w:ascii="Arial" w:hAnsi="Arial" w:cs="Arial"/>
          <w:sz w:val="24"/>
          <w:szCs w:val="24"/>
        </w:rPr>
        <w:t xml:space="preserve">Comparative Discussion </w:t>
      </w:r>
      <w:r w:rsidR="00B778E1" w:rsidRPr="00485497">
        <w:rPr>
          <w:rFonts w:ascii="Arial" w:hAnsi="Arial" w:cs="Arial"/>
          <w:sz w:val="24"/>
          <w:szCs w:val="24"/>
        </w:rPr>
        <w:t>from table 1</w:t>
      </w:r>
      <w:r w:rsidR="004A095A" w:rsidRPr="00485497">
        <w:rPr>
          <w:rFonts w:ascii="Arial" w:hAnsi="Arial" w:cs="Arial"/>
          <w:sz w:val="24"/>
          <w:szCs w:val="24"/>
        </w:rPr>
        <w:t xml:space="preserve"> of</w:t>
      </w:r>
      <w:r w:rsidR="00351E85" w:rsidRPr="00485497">
        <w:rPr>
          <w:rFonts w:ascii="Arial" w:hAnsi="Arial" w:cs="Arial"/>
          <w:sz w:val="24"/>
          <w:szCs w:val="24"/>
        </w:rPr>
        <w:t xml:space="preserve"> t</w:t>
      </w:r>
      <w:r w:rsidR="0083498A" w:rsidRPr="00485497">
        <w:rPr>
          <w:rFonts w:ascii="Arial" w:hAnsi="Arial" w:cs="Arial"/>
          <w:sz w:val="24"/>
          <w:szCs w:val="24"/>
        </w:rPr>
        <w:t xml:space="preserve">he PESTEL analysis indicates that </w:t>
      </w:r>
      <w:r w:rsidR="00950F94" w:rsidRPr="00485497">
        <w:rPr>
          <w:rFonts w:ascii="Arial" w:hAnsi="Arial" w:cs="Arial"/>
          <w:sz w:val="24"/>
          <w:szCs w:val="24"/>
        </w:rPr>
        <w:t xml:space="preserve">Japan (home country) and the United States (host country) </w:t>
      </w:r>
      <w:r w:rsidR="0083498A" w:rsidRPr="00485497">
        <w:rPr>
          <w:rFonts w:ascii="Arial" w:hAnsi="Arial" w:cs="Arial"/>
          <w:sz w:val="24"/>
          <w:szCs w:val="24"/>
        </w:rPr>
        <w:t>provide favourable environments for Toyota’s electric vehicle business, although each market presents distinct opportunities and challenges. Politically, both countries support sustainable transportation through environmental policies and incentives. Economically, the United States offers a larger consumer market, while Japan provides a stable and technologically advanced economy. Socially, increasing environmental awareness in both countries is driving demand for electric vehicles. Technological advancements and strong innovation capabilities support Toyota’s product development and competitiveness. Environmental regulations encourage investment in low-emission vehicles, while legal frameworks ensure compliance with safety and sustainability standards. Overall, these factors create significant opportunities for Toyota to strengthen its global EV market position and achieve long-term growth (Johnson et al., 2020; Xu, 2023).</w:t>
      </w:r>
    </w:p>
    <w:p w14:paraId="2BCF0BE4" w14:textId="77777777" w:rsidR="00D959BB" w:rsidRPr="00485497" w:rsidRDefault="00D959BB" w:rsidP="00485497">
      <w:pPr>
        <w:spacing w:line="360" w:lineRule="auto"/>
        <w:rPr>
          <w:rFonts w:ascii="Arial" w:hAnsi="Arial" w:cs="Arial"/>
          <w:sz w:val="24"/>
          <w:szCs w:val="24"/>
        </w:rPr>
      </w:pPr>
    </w:p>
    <w:p w14:paraId="27F18221" w14:textId="77777777" w:rsidR="00D467D0" w:rsidRPr="00485497" w:rsidRDefault="003E301F" w:rsidP="00485497">
      <w:pPr>
        <w:spacing w:line="360" w:lineRule="auto"/>
        <w:rPr>
          <w:rFonts w:ascii="Arial" w:hAnsi="Arial" w:cs="Arial"/>
          <w:sz w:val="24"/>
          <w:szCs w:val="24"/>
        </w:rPr>
      </w:pPr>
      <w:r w:rsidRPr="00485497">
        <w:rPr>
          <w:rFonts w:ascii="Arial" w:hAnsi="Arial" w:cs="Arial"/>
          <w:sz w:val="24"/>
          <w:szCs w:val="24"/>
        </w:rPr>
        <w:t xml:space="preserve">2.2 Comparative Discussion of the Macro-Environment. </w:t>
      </w:r>
    </w:p>
    <w:p w14:paraId="448A8B07" w14:textId="77777777" w:rsidR="00FF20AD" w:rsidRPr="00485497" w:rsidRDefault="00FF20AD" w:rsidP="00485497">
      <w:pPr>
        <w:spacing w:line="360" w:lineRule="auto"/>
        <w:rPr>
          <w:rFonts w:ascii="Arial" w:hAnsi="Arial" w:cs="Arial"/>
          <w:sz w:val="24"/>
          <w:szCs w:val="24"/>
        </w:rPr>
      </w:pPr>
    </w:p>
    <w:p w14:paraId="7BAB917A" w14:textId="77777777" w:rsidR="00591481" w:rsidRPr="00485497" w:rsidRDefault="00D467D0" w:rsidP="00485497">
      <w:pPr>
        <w:spacing w:line="360" w:lineRule="auto"/>
        <w:rPr>
          <w:rFonts w:ascii="Arial" w:hAnsi="Arial" w:cs="Arial"/>
          <w:sz w:val="24"/>
          <w:szCs w:val="24"/>
        </w:rPr>
      </w:pPr>
      <w:r w:rsidRPr="00485497">
        <w:rPr>
          <w:rFonts w:ascii="Arial" w:hAnsi="Arial" w:cs="Arial"/>
          <w:sz w:val="24"/>
          <w:szCs w:val="24"/>
        </w:rPr>
        <w:t xml:space="preserve">(See Appendix </w:t>
      </w:r>
      <w:r w:rsidR="00911DE0" w:rsidRPr="00485497">
        <w:rPr>
          <w:rFonts w:ascii="Arial" w:hAnsi="Arial" w:cs="Arial"/>
          <w:sz w:val="24"/>
          <w:szCs w:val="24"/>
        </w:rPr>
        <w:t>2</w:t>
      </w:r>
      <w:r w:rsidRPr="00485497">
        <w:rPr>
          <w:rFonts w:ascii="Arial" w:hAnsi="Arial" w:cs="Arial"/>
          <w:sz w:val="24"/>
          <w:szCs w:val="24"/>
        </w:rPr>
        <w:t xml:space="preserve">: Table </w:t>
      </w:r>
      <w:r w:rsidR="00911DE0" w:rsidRPr="00485497">
        <w:rPr>
          <w:rFonts w:ascii="Arial" w:hAnsi="Arial" w:cs="Arial"/>
          <w:sz w:val="24"/>
          <w:szCs w:val="24"/>
        </w:rPr>
        <w:t>2</w:t>
      </w:r>
      <w:r w:rsidRPr="00485497">
        <w:rPr>
          <w:rFonts w:ascii="Arial" w:hAnsi="Arial" w:cs="Arial"/>
          <w:sz w:val="24"/>
          <w:szCs w:val="24"/>
        </w:rPr>
        <w:t xml:space="preserve">. </w:t>
      </w:r>
      <w:r w:rsidRPr="00485497">
        <w:rPr>
          <w:rFonts w:ascii="Arial" w:hAnsi="Arial" w:cs="Arial"/>
          <w:sz w:val="24"/>
          <w:szCs w:val="24"/>
          <w:lang w:val="en-US"/>
        </w:rPr>
        <w:t xml:space="preserve">Toyota’s </w:t>
      </w:r>
      <w:r w:rsidRPr="00485497">
        <w:rPr>
          <w:rFonts w:ascii="Arial" w:hAnsi="Arial" w:cs="Arial"/>
          <w:sz w:val="24"/>
          <w:szCs w:val="24"/>
        </w:rPr>
        <w:t>Comparative Discussion of the Macro-Environment)</w:t>
      </w:r>
      <w:r w:rsidR="00911DE0" w:rsidRPr="00485497">
        <w:rPr>
          <w:rFonts w:ascii="Arial" w:hAnsi="Arial" w:cs="Arial"/>
          <w:sz w:val="24"/>
          <w:szCs w:val="24"/>
        </w:rPr>
        <w:t>.</w:t>
      </w:r>
    </w:p>
    <w:p w14:paraId="7FF8DE84" w14:textId="42BDDFAD" w:rsidR="00591481" w:rsidRPr="00485497" w:rsidRDefault="00591481" w:rsidP="00485497">
      <w:pPr>
        <w:spacing w:after="0" w:line="360" w:lineRule="auto"/>
        <w:rPr>
          <w:rFonts w:ascii="Arial" w:hAnsi="Arial" w:cs="Arial"/>
          <w:sz w:val="24"/>
          <w:szCs w:val="24"/>
        </w:rPr>
      </w:pPr>
      <w:r w:rsidRPr="00485497">
        <w:rPr>
          <w:rFonts w:ascii="Arial" w:hAnsi="Arial" w:cs="Arial"/>
          <w:sz w:val="24"/>
          <w:szCs w:val="24"/>
        </w:rPr>
        <w:t>Following the PESTEL analysis, it is evident that Japan</w:t>
      </w:r>
      <w:r w:rsidR="00263947" w:rsidRPr="00485497">
        <w:rPr>
          <w:rFonts w:ascii="Arial" w:hAnsi="Arial" w:cs="Arial"/>
          <w:sz w:val="24"/>
          <w:szCs w:val="24"/>
        </w:rPr>
        <w:t xml:space="preserve"> (home coun</w:t>
      </w:r>
      <w:r w:rsidR="00A0229D" w:rsidRPr="00485497">
        <w:rPr>
          <w:rFonts w:ascii="Arial" w:hAnsi="Arial" w:cs="Arial"/>
          <w:sz w:val="24"/>
          <w:szCs w:val="24"/>
        </w:rPr>
        <w:t>try)</w:t>
      </w:r>
      <w:r w:rsidRPr="00485497">
        <w:rPr>
          <w:rFonts w:ascii="Arial" w:hAnsi="Arial" w:cs="Arial"/>
          <w:sz w:val="24"/>
          <w:szCs w:val="24"/>
        </w:rPr>
        <w:t xml:space="preserve"> and the United States</w:t>
      </w:r>
      <w:r w:rsidR="00A0229D" w:rsidRPr="00485497">
        <w:rPr>
          <w:rFonts w:ascii="Arial" w:hAnsi="Arial" w:cs="Arial"/>
          <w:sz w:val="24"/>
          <w:szCs w:val="24"/>
        </w:rPr>
        <w:t xml:space="preserve"> (host country)</w:t>
      </w:r>
      <w:r w:rsidRPr="00485497">
        <w:rPr>
          <w:rFonts w:ascii="Arial" w:hAnsi="Arial" w:cs="Arial"/>
          <w:sz w:val="24"/>
          <w:szCs w:val="24"/>
        </w:rPr>
        <w:t xml:space="preserve"> offer distinct advantages for Toyota’s electric vehicle (EV) business. Japan serves as Toyota’s home market, providing a strong foundation through advanced manufacturing capabilities, established supply chains, and </w:t>
      </w:r>
      <w:r w:rsidRPr="00485497">
        <w:rPr>
          <w:rFonts w:ascii="Arial" w:hAnsi="Arial" w:cs="Arial"/>
          <w:sz w:val="24"/>
          <w:szCs w:val="24"/>
        </w:rPr>
        <w:lastRenderedPageBreak/>
        <w:t>extensive research and development expertise</w:t>
      </w:r>
      <w:r w:rsidR="00190AFC" w:rsidRPr="00485497">
        <w:rPr>
          <w:rFonts w:ascii="Arial" w:hAnsi="Arial" w:cs="Arial"/>
          <w:sz w:val="24"/>
          <w:szCs w:val="24"/>
        </w:rPr>
        <w:t>, with operational stability and a supportive domestic environment</w:t>
      </w:r>
      <w:r w:rsidR="00FF20AD" w:rsidRPr="00485497">
        <w:rPr>
          <w:rFonts w:ascii="Arial" w:hAnsi="Arial" w:cs="Arial"/>
          <w:sz w:val="24"/>
          <w:szCs w:val="24"/>
        </w:rPr>
        <w:t>.</w:t>
      </w:r>
      <w:r w:rsidRPr="00485497">
        <w:rPr>
          <w:rFonts w:ascii="Arial" w:hAnsi="Arial" w:cs="Arial"/>
          <w:sz w:val="24"/>
          <w:szCs w:val="24"/>
        </w:rPr>
        <w:t xml:space="preserve"> The market is characterised by customer loyalty and a strong preference for quality, reliability, and efficiency, which align closely with Toyota’s brand values (Liker, 2004).</w:t>
      </w:r>
    </w:p>
    <w:p w14:paraId="097D6F0F" w14:textId="55A8BD9F" w:rsidR="00591481" w:rsidRPr="00485497" w:rsidRDefault="00591481" w:rsidP="00485497">
      <w:pPr>
        <w:spacing w:line="360" w:lineRule="auto"/>
        <w:rPr>
          <w:rFonts w:ascii="Arial" w:hAnsi="Arial" w:cs="Arial"/>
          <w:sz w:val="24"/>
          <w:szCs w:val="24"/>
        </w:rPr>
      </w:pPr>
      <w:r w:rsidRPr="00485497">
        <w:rPr>
          <w:rFonts w:ascii="Arial" w:hAnsi="Arial" w:cs="Arial"/>
          <w:sz w:val="24"/>
          <w:szCs w:val="24"/>
        </w:rPr>
        <w:t>Conversely, the United States represents</w:t>
      </w:r>
      <w:r w:rsidR="00B943BA" w:rsidRPr="00485497">
        <w:rPr>
          <w:rFonts w:ascii="Arial" w:hAnsi="Arial" w:cs="Arial"/>
          <w:sz w:val="24"/>
          <w:szCs w:val="24"/>
        </w:rPr>
        <w:t xml:space="preserve"> serving host market</w:t>
      </w:r>
      <w:r w:rsidR="00C921DB" w:rsidRPr="00485497">
        <w:rPr>
          <w:rFonts w:ascii="Arial" w:hAnsi="Arial" w:cs="Arial"/>
          <w:sz w:val="24"/>
          <w:szCs w:val="24"/>
        </w:rPr>
        <w:t>,</w:t>
      </w:r>
      <w:r w:rsidRPr="00485497">
        <w:rPr>
          <w:rFonts w:ascii="Arial" w:hAnsi="Arial" w:cs="Arial"/>
          <w:sz w:val="24"/>
          <w:szCs w:val="24"/>
        </w:rPr>
        <w:t xml:space="preserve"> a larger and more dynamic market with significant growth potential for EVs. The increasing adoption of electric vehicles, supported by expanding charging infrastructure and changing consumer preferences, presents opportunities for Toyota to strengthen its market position</w:t>
      </w:r>
      <w:r w:rsidR="00BA67C0" w:rsidRPr="00485497">
        <w:rPr>
          <w:rFonts w:ascii="Arial" w:hAnsi="Arial" w:cs="Arial"/>
          <w:sz w:val="24"/>
          <w:szCs w:val="24"/>
        </w:rPr>
        <w:t xml:space="preserve">, </w:t>
      </w:r>
      <w:r w:rsidR="007F52F5" w:rsidRPr="00485497">
        <w:rPr>
          <w:rFonts w:ascii="Arial" w:hAnsi="Arial" w:cs="Arial"/>
          <w:sz w:val="24"/>
          <w:szCs w:val="24"/>
        </w:rPr>
        <w:t>offering greater opportunities for expansion and revenue growth</w:t>
      </w:r>
      <w:r w:rsidRPr="00485497">
        <w:rPr>
          <w:rFonts w:ascii="Arial" w:hAnsi="Arial" w:cs="Arial"/>
          <w:sz w:val="24"/>
          <w:szCs w:val="24"/>
        </w:rPr>
        <w:t xml:space="preserve"> However, the company faces more intense competition from established EV manufacturers and emerging entrants (Xu, 2023).</w:t>
      </w:r>
    </w:p>
    <w:p w14:paraId="7F5CFE46" w14:textId="77777777" w:rsidR="00A97C51" w:rsidRPr="00485497" w:rsidRDefault="00A97C51" w:rsidP="00485497">
      <w:pPr>
        <w:spacing w:line="360" w:lineRule="auto"/>
        <w:rPr>
          <w:rFonts w:ascii="Arial" w:hAnsi="Arial" w:cs="Arial"/>
          <w:sz w:val="24"/>
          <w:szCs w:val="24"/>
        </w:rPr>
      </w:pPr>
    </w:p>
    <w:p w14:paraId="6637E896" w14:textId="77777777" w:rsidR="00C9091A" w:rsidRPr="00485497" w:rsidRDefault="00A97C51" w:rsidP="00485497">
      <w:pPr>
        <w:spacing w:line="360" w:lineRule="auto"/>
        <w:rPr>
          <w:rFonts w:ascii="Arial" w:hAnsi="Arial" w:cs="Arial"/>
          <w:sz w:val="24"/>
          <w:szCs w:val="24"/>
        </w:rPr>
      </w:pPr>
      <w:r w:rsidRPr="00485497">
        <w:rPr>
          <w:rFonts w:ascii="Arial" w:hAnsi="Arial" w:cs="Arial"/>
          <w:sz w:val="24"/>
          <w:szCs w:val="24"/>
        </w:rPr>
        <w:t>2.3 Hofstede Cultural Analysis.</w:t>
      </w:r>
    </w:p>
    <w:p w14:paraId="364506CD" w14:textId="77777777" w:rsidR="00AD0382" w:rsidRPr="00485497" w:rsidRDefault="00AD0382" w:rsidP="00485497">
      <w:pPr>
        <w:spacing w:line="360" w:lineRule="auto"/>
        <w:rPr>
          <w:rFonts w:ascii="Arial" w:hAnsi="Arial" w:cs="Arial"/>
          <w:sz w:val="24"/>
          <w:szCs w:val="24"/>
        </w:rPr>
      </w:pPr>
    </w:p>
    <w:p w14:paraId="4D12BE50" w14:textId="4D89B080" w:rsidR="00C9091A" w:rsidRPr="00485497" w:rsidRDefault="00C9091A" w:rsidP="00485497">
      <w:pPr>
        <w:spacing w:line="360" w:lineRule="auto"/>
        <w:rPr>
          <w:rFonts w:ascii="Arial" w:hAnsi="Arial" w:cs="Arial"/>
          <w:sz w:val="24"/>
          <w:szCs w:val="24"/>
        </w:rPr>
      </w:pPr>
      <w:r w:rsidRPr="00485497">
        <w:rPr>
          <w:rFonts w:ascii="Arial" w:hAnsi="Arial" w:cs="Arial"/>
          <w:sz w:val="24"/>
          <w:szCs w:val="24"/>
        </w:rPr>
        <w:t xml:space="preserve">(See Appendix </w:t>
      </w:r>
      <w:r w:rsidR="008B4376" w:rsidRPr="00485497">
        <w:rPr>
          <w:rFonts w:ascii="Arial" w:hAnsi="Arial" w:cs="Arial"/>
          <w:sz w:val="24"/>
          <w:szCs w:val="24"/>
        </w:rPr>
        <w:t>3</w:t>
      </w:r>
      <w:r w:rsidRPr="00485497">
        <w:rPr>
          <w:rFonts w:ascii="Arial" w:hAnsi="Arial" w:cs="Arial"/>
          <w:sz w:val="24"/>
          <w:szCs w:val="24"/>
        </w:rPr>
        <w:t xml:space="preserve">: Table </w:t>
      </w:r>
      <w:r w:rsidR="008B4376" w:rsidRPr="00485497">
        <w:rPr>
          <w:rFonts w:ascii="Arial" w:hAnsi="Arial" w:cs="Arial"/>
          <w:sz w:val="24"/>
          <w:szCs w:val="24"/>
        </w:rPr>
        <w:t>3</w:t>
      </w:r>
      <w:r w:rsidRPr="00485497">
        <w:rPr>
          <w:rFonts w:ascii="Arial" w:hAnsi="Arial" w:cs="Arial"/>
          <w:sz w:val="24"/>
          <w:szCs w:val="24"/>
        </w:rPr>
        <w:t xml:space="preserve">. </w:t>
      </w:r>
      <w:r w:rsidRPr="00485497">
        <w:rPr>
          <w:rFonts w:ascii="Arial" w:hAnsi="Arial" w:cs="Arial"/>
          <w:sz w:val="24"/>
          <w:szCs w:val="24"/>
          <w:lang w:val="en-US"/>
        </w:rPr>
        <w:t xml:space="preserve">Toyota’s </w:t>
      </w:r>
      <w:r w:rsidRPr="00485497">
        <w:rPr>
          <w:rFonts w:ascii="Arial" w:hAnsi="Arial" w:cs="Arial"/>
          <w:sz w:val="24"/>
          <w:szCs w:val="24"/>
        </w:rPr>
        <w:t xml:space="preserve">Comparative Discussion of </w:t>
      </w:r>
      <w:r w:rsidR="00DE47B6" w:rsidRPr="00485497">
        <w:rPr>
          <w:rFonts w:ascii="Arial" w:hAnsi="Arial" w:cs="Arial"/>
          <w:sz w:val="24"/>
          <w:szCs w:val="24"/>
        </w:rPr>
        <w:t>Hofstede Cultural Analysis</w:t>
      </w:r>
      <w:r w:rsidRPr="00485497">
        <w:rPr>
          <w:rFonts w:ascii="Arial" w:hAnsi="Arial" w:cs="Arial"/>
          <w:sz w:val="24"/>
          <w:szCs w:val="24"/>
        </w:rPr>
        <w:t>).</w:t>
      </w:r>
    </w:p>
    <w:p w14:paraId="1C7957EA" w14:textId="7C1A2251" w:rsidR="00C815A3" w:rsidRPr="00485497" w:rsidRDefault="00667F8B" w:rsidP="00485497">
      <w:pPr>
        <w:spacing w:line="360" w:lineRule="auto"/>
        <w:rPr>
          <w:rFonts w:ascii="Arial" w:hAnsi="Arial" w:cs="Arial"/>
          <w:sz w:val="24"/>
          <w:szCs w:val="24"/>
        </w:rPr>
      </w:pPr>
      <w:r w:rsidRPr="00485497">
        <w:rPr>
          <w:rFonts w:ascii="Arial" w:hAnsi="Arial" w:cs="Arial"/>
          <w:sz w:val="24"/>
          <w:szCs w:val="24"/>
        </w:rPr>
        <w:t xml:space="preserve">The </w:t>
      </w:r>
      <w:r w:rsidR="00C815A3" w:rsidRPr="00485497">
        <w:rPr>
          <w:rFonts w:ascii="Arial" w:hAnsi="Arial" w:cs="Arial"/>
          <w:sz w:val="24"/>
          <w:szCs w:val="24"/>
        </w:rPr>
        <w:t xml:space="preserve">Hofstede’s cultural dimensions framework </w:t>
      </w:r>
      <w:r w:rsidR="008661CC" w:rsidRPr="00485497">
        <w:rPr>
          <w:rFonts w:ascii="Arial" w:hAnsi="Arial" w:cs="Arial"/>
          <w:sz w:val="24"/>
          <w:szCs w:val="24"/>
        </w:rPr>
        <w:t>in this report</w:t>
      </w:r>
      <w:r w:rsidR="004F321D" w:rsidRPr="00485497">
        <w:rPr>
          <w:rFonts w:ascii="Arial" w:hAnsi="Arial" w:cs="Arial"/>
          <w:sz w:val="24"/>
          <w:szCs w:val="24"/>
        </w:rPr>
        <w:t xml:space="preserve"> </w:t>
      </w:r>
      <w:r w:rsidR="00C815A3" w:rsidRPr="00485497">
        <w:rPr>
          <w:rFonts w:ascii="Arial" w:hAnsi="Arial" w:cs="Arial"/>
          <w:sz w:val="24"/>
          <w:szCs w:val="24"/>
        </w:rPr>
        <w:t>provides valuable insights into the cultural differences between Japan and the United States and their implications for Toyota’s electric vehicle (EV) marketing strategies. Understanding these cultural variations enables Toyota to adapt its products, communication, and customer engagement approaches to meet local consumer expectations more effectively (Johnson et al., 2020).</w:t>
      </w:r>
    </w:p>
    <w:p w14:paraId="762E7B5B" w14:textId="7A25536F" w:rsidR="00C815A3" w:rsidRPr="00485497" w:rsidRDefault="00C815A3" w:rsidP="00485497">
      <w:pPr>
        <w:spacing w:after="0" w:line="360" w:lineRule="auto"/>
        <w:rPr>
          <w:rFonts w:ascii="Arial" w:hAnsi="Arial" w:cs="Arial"/>
          <w:sz w:val="24"/>
          <w:szCs w:val="24"/>
        </w:rPr>
      </w:pPr>
      <w:r w:rsidRPr="00485497">
        <w:rPr>
          <w:rFonts w:ascii="Arial" w:hAnsi="Arial" w:cs="Arial"/>
          <w:sz w:val="24"/>
          <w:szCs w:val="24"/>
        </w:rPr>
        <w:t>The cultural differences between Japan</w:t>
      </w:r>
      <w:r w:rsidR="00F30F2A" w:rsidRPr="00485497">
        <w:rPr>
          <w:rFonts w:ascii="Arial" w:hAnsi="Arial" w:cs="Arial"/>
          <w:sz w:val="24"/>
          <w:szCs w:val="24"/>
        </w:rPr>
        <w:t xml:space="preserve"> (home country)</w:t>
      </w:r>
      <w:r w:rsidRPr="00485497">
        <w:rPr>
          <w:rFonts w:ascii="Arial" w:hAnsi="Arial" w:cs="Arial"/>
          <w:sz w:val="24"/>
          <w:szCs w:val="24"/>
        </w:rPr>
        <w:t xml:space="preserve"> and the United States </w:t>
      </w:r>
      <w:r w:rsidR="00F30F2A" w:rsidRPr="00485497">
        <w:rPr>
          <w:rFonts w:ascii="Arial" w:hAnsi="Arial" w:cs="Arial"/>
          <w:sz w:val="24"/>
          <w:szCs w:val="24"/>
        </w:rPr>
        <w:t>(host country)</w:t>
      </w:r>
      <w:r w:rsidR="0013611E" w:rsidRPr="00485497">
        <w:rPr>
          <w:rFonts w:ascii="Arial" w:hAnsi="Arial" w:cs="Arial"/>
          <w:sz w:val="24"/>
          <w:szCs w:val="24"/>
        </w:rPr>
        <w:t xml:space="preserve"> </w:t>
      </w:r>
      <w:r w:rsidRPr="00485497">
        <w:rPr>
          <w:rFonts w:ascii="Arial" w:hAnsi="Arial" w:cs="Arial"/>
          <w:sz w:val="24"/>
          <w:szCs w:val="24"/>
        </w:rPr>
        <w:t>significantly influence consumer behaviour and marketing effectiveness. Japanese consumers typically value reliability, quality, and long-term product performance, which aligns with Toyota’s reputation for durable and dependable vehicles. Furthermore, high uncertainty avoidance in Japan means consumers are more likely to favour established brands and proven technologies before adopting new innovations (Liker, 2004).</w:t>
      </w:r>
    </w:p>
    <w:p w14:paraId="4491F0B6" w14:textId="16DF29B7" w:rsidR="00C815A3" w:rsidRPr="00485497" w:rsidRDefault="00C815A3" w:rsidP="00485497">
      <w:pPr>
        <w:spacing w:after="0" w:line="360" w:lineRule="auto"/>
        <w:rPr>
          <w:rFonts w:ascii="Arial" w:hAnsi="Arial" w:cs="Arial"/>
          <w:sz w:val="24"/>
          <w:szCs w:val="24"/>
        </w:rPr>
      </w:pPr>
      <w:r w:rsidRPr="00485497">
        <w:rPr>
          <w:rFonts w:ascii="Arial" w:hAnsi="Arial" w:cs="Arial"/>
          <w:sz w:val="24"/>
          <w:szCs w:val="24"/>
        </w:rPr>
        <w:t xml:space="preserve">In contrast, American consumers demonstrate higher levels of individualism and indulgence, making them more receptive to marketing messages that emphasise </w:t>
      </w:r>
      <w:r w:rsidRPr="00485497">
        <w:rPr>
          <w:rFonts w:ascii="Arial" w:hAnsi="Arial" w:cs="Arial"/>
          <w:sz w:val="24"/>
          <w:szCs w:val="24"/>
        </w:rPr>
        <w:lastRenderedPageBreak/>
        <w:t xml:space="preserve">innovation, personal benefits, and technological advancement. </w:t>
      </w:r>
      <w:r w:rsidR="0013611E" w:rsidRPr="00485497">
        <w:rPr>
          <w:rFonts w:ascii="Arial" w:hAnsi="Arial" w:cs="Arial"/>
          <w:sz w:val="24"/>
          <w:szCs w:val="24"/>
        </w:rPr>
        <w:t>Therefore</w:t>
      </w:r>
      <w:r w:rsidRPr="00485497">
        <w:rPr>
          <w:rFonts w:ascii="Arial" w:hAnsi="Arial" w:cs="Arial"/>
          <w:sz w:val="24"/>
          <w:szCs w:val="24"/>
        </w:rPr>
        <w:t xml:space="preserve">, Toyota’s EV marketing in the United States </w:t>
      </w:r>
      <w:r w:rsidR="0013611E" w:rsidRPr="00485497">
        <w:rPr>
          <w:rFonts w:ascii="Arial" w:hAnsi="Arial" w:cs="Arial"/>
          <w:sz w:val="24"/>
          <w:szCs w:val="24"/>
        </w:rPr>
        <w:t>is</w:t>
      </w:r>
      <w:r w:rsidRPr="00485497">
        <w:rPr>
          <w:rFonts w:ascii="Arial" w:hAnsi="Arial" w:cs="Arial"/>
          <w:sz w:val="24"/>
          <w:szCs w:val="24"/>
        </w:rPr>
        <w:t xml:space="preserve"> focus on performance, connectivity, and lifestyle enhancement, while its Japanese marketing </w:t>
      </w:r>
      <w:r w:rsidR="0013611E" w:rsidRPr="00485497">
        <w:rPr>
          <w:rFonts w:ascii="Arial" w:hAnsi="Arial" w:cs="Arial"/>
          <w:sz w:val="24"/>
          <w:szCs w:val="24"/>
        </w:rPr>
        <w:t>is</w:t>
      </w:r>
      <w:r w:rsidRPr="00485497">
        <w:rPr>
          <w:rFonts w:ascii="Arial" w:hAnsi="Arial" w:cs="Arial"/>
          <w:sz w:val="24"/>
          <w:szCs w:val="24"/>
        </w:rPr>
        <w:t xml:space="preserve"> continue highlighting quality, efficiency, and environmental responsibility (Keegan and Green, 2023).</w:t>
      </w:r>
    </w:p>
    <w:p w14:paraId="2DCC4445" w14:textId="4FE4EF3D" w:rsidR="00C815A3" w:rsidRPr="00485497" w:rsidRDefault="00C815A3" w:rsidP="00485497">
      <w:pPr>
        <w:spacing w:line="360" w:lineRule="auto"/>
        <w:rPr>
          <w:rFonts w:ascii="Arial" w:hAnsi="Arial" w:cs="Arial"/>
          <w:sz w:val="24"/>
          <w:szCs w:val="24"/>
        </w:rPr>
      </w:pPr>
      <w:r w:rsidRPr="00485497">
        <w:rPr>
          <w:rFonts w:ascii="Arial" w:hAnsi="Arial" w:cs="Arial"/>
          <w:sz w:val="24"/>
          <w:szCs w:val="24"/>
        </w:rPr>
        <w:t>While maintaining a consistent global brand image, the company emphasise reliability and long-term value in Japan and focus on innovation, personal choice, and technological features in the United States. Such adaptation can strengthen customer relationships and enhance Toyota’s competitiveness in both markets (Johnson et al., 2020; Hitt, Ireland and Hoskisson, 2019).</w:t>
      </w:r>
    </w:p>
    <w:p w14:paraId="022879F3" w14:textId="77777777" w:rsidR="007F527F" w:rsidRPr="00485497" w:rsidRDefault="007F527F" w:rsidP="00485497">
      <w:pPr>
        <w:spacing w:line="360" w:lineRule="auto"/>
        <w:rPr>
          <w:rFonts w:ascii="Arial" w:hAnsi="Arial" w:cs="Arial"/>
          <w:sz w:val="24"/>
          <w:szCs w:val="24"/>
        </w:rPr>
      </w:pPr>
    </w:p>
    <w:p w14:paraId="0E241F07" w14:textId="77777777" w:rsidR="00E8400A" w:rsidRPr="00485497" w:rsidRDefault="007F527F" w:rsidP="00485497">
      <w:pPr>
        <w:spacing w:line="360" w:lineRule="auto"/>
        <w:rPr>
          <w:rFonts w:ascii="Arial" w:hAnsi="Arial" w:cs="Arial"/>
          <w:sz w:val="24"/>
          <w:szCs w:val="24"/>
        </w:rPr>
      </w:pPr>
      <w:r w:rsidRPr="00485497">
        <w:rPr>
          <w:rFonts w:ascii="Arial" w:hAnsi="Arial" w:cs="Arial"/>
          <w:sz w:val="24"/>
          <w:szCs w:val="24"/>
        </w:rPr>
        <w:t>2.4 Comparative Discussion of Cultural Strategy</w:t>
      </w:r>
      <w:r w:rsidRPr="00485497">
        <w:rPr>
          <w:rFonts w:ascii="Arial" w:hAnsi="Arial" w:cs="Arial"/>
          <w:sz w:val="24"/>
          <w:szCs w:val="24"/>
        </w:rPr>
        <w:t>.</w:t>
      </w:r>
    </w:p>
    <w:p w14:paraId="623B6C6C" w14:textId="77777777" w:rsidR="00E8400A" w:rsidRPr="00485497" w:rsidRDefault="00E8400A" w:rsidP="00485497">
      <w:pPr>
        <w:spacing w:line="360" w:lineRule="auto"/>
        <w:rPr>
          <w:rFonts w:ascii="Arial" w:hAnsi="Arial" w:cs="Arial"/>
          <w:sz w:val="24"/>
          <w:szCs w:val="24"/>
        </w:rPr>
      </w:pPr>
    </w:p>
    <w:p w14:paraId="75051E45" w14:textId="481628CA" w:rsidR="00DF3030" w:rsidRPr="00485497" w:rsidRDefault="00E8400A" w:rsidP="00485497">
      <w:pPr>
        <w:spacing w:line="360" w:lineRule="auto"/>
        <w:rPr>
          <w:rFonts w:ascii="Arial" w:hAnsi="Arial" w:cs="Arial"/>
          <w:sz w:val="24"/>
          <w:szCs w:val="24"/>
        </w:rPr>
      </w:pPr>
      <w:r w:rsidRPr="00485497">
        <w:rPr>
          <w:rFonts w:ascii="Arial" w:hAnsi="Arial" w:cs="Arial"/>
          <w:sz w:val="24"/>
          <w:szCs w:val="24"/>
        </w:rPr>
        <w:t>Toyota’s cultural strategy in Japan and the United States reflects the need to balance global consistency with local responsiveness. While Japan’s collectivist culture emphasises quality, reliability, and long-term relationships, the United States places greater importance on individualism, innovation, and personal choice. Consequently, Toyota adapts its marketing communications and customer engagement approaches to suit local cultural preferences while maintaining a consistent global brand identity. This approach strengthens customer satisfaction and international competitiveness (Murshed, 2026).</w:t>
      </w:r>
      <w:r w:rsidR="007F527F" w:rsidRPr="00485497">
        <w:rPr>
          <w:rFonts w:ascii="Arial" w:hAnsi="Arial" w:cs="Arial"/>
          <w:sz w:val="24"/>
          <w:szCs w:val="24"/>
        </w:rPr>
        <w:t xml:space="preserve">                                                      </w:t>
      </w:r>
    </w:p>
    <w:p w14:paraId="7083F9F5" w14:textId="77777777" w:rsidR="00B051E7" w:rsidRPr="00485497" w:rsidRDefault="00B051E7" w:rsidP="00485497">
      <w:pPr>
        <w:spacing w:line="360" w:lineRule="auto"/>
        <w:rPr>
          <w:rFonts w:ascii="Arial" w:hAnsi="Arial" w:cs="Arial"/>
          <w:sz w:val="24"/>
          <w:szCs w:val="24"/>
        </w:rPr>
      </w:pPr>
    </w:p>
    <w:p w14:paraId="38699C09" w14:textId="77777777" w:rsidR="00825B72" w:rsidRPr="00485497" w:rsidRDefault="00825B72" w:rsidP="00485497">
      <w:pPr>
        <w:spacing w:line="360" w:lineRule="auto"/>
        <w:rPr>
          <w:rFonts w:ascii="Arial" w:hAnsi="Arial" w:cs="Arial"/>
          <w:sz w:val="24"/>
          <w:szCs w:val="24"/>
        </w:rPr>
      </w:pPr>
    </w:p>
    <w:p w14:paraId="317E6B5F" w14:textId="77777777" w:rsidR="00825B72" w:rsidRPr="00485497" w:rsidRDefault="00825B72" w:rsidP="00485497">
      <w:pPr>
        <w:spacing w:line="360" w:lineRule="auto"/>
        <w:rPr>
          <w:rFonts w:ascii="Arial" w:hAnsi="Arial" w:cs="Arial"/>
          <w:sz w:val="24"/>
          <w:szCs w:val="24"/>
        </w:rPr>
      </w:pPr>
    </w:p>
    <w:p w14:paraId="7E03800C" w14:textId="77777777" w:rsidR="00825B72" w:rsidRPr="00485497" w:rsidRDefault="00825B72" w:rsidP="00485497">
      <w:pPr>
        <w:spacing w:line="360" w:lineRule="auto"/>
        <w:rPr>
          <w:rFonts w:ascii="Arial" w:hAnsi="Arial" w:cs="Arial"/>
          <w:sz w:val="24"/>
          <w:szCs w:val="24"/>
        </w:rPr>
      </w:pPr>
    </w:p>
    <w:p w14:paraId="2726EC34" w14:textId="77777777" w:rsidR="00825B72" w:rsidRPr="00485497" w:rsidRDefault="00825B72" w:rsidP="00485497">
      <w:pPr>
        <w:spacing w:line="360" w:lineRule="auto"/>
        <w:rPr>
          <w:rFonts w:ascii="Arial" w:hAnsi="Arial" w:cs="Arial"/>
          <w:sz w:val="24"/>
          <w:szCs w:val="24"/>
        </w:rPr>
      </w:pPr>
    </w:p>
    <w:p w14:paraId="0CC67A66" w14:textId="77777777" w:rsidR="00825B72" w:rsidRPr="00485497" w:rsidRDefault="00825B72" w:rsidP="00485497">
      <w:pPr>
        <w:spacing w:line="360" w:lineRule="auto"/>
        <w:rPr>
          <w:rFonts w:ascii="Arial" w:hAnsi="Arial" w:cs="Arial"/>
          <w:sz w:val="24"/>
          <w:szCs w:val="24"/>
        </w:rPr>
      </w:pPr>
    </w:p>
    <w:p w14:paraId="30F1F0B6" w14:textId="77777777" w:rsidR="00825B72" w:rsidRPr="00485497" w:rsidRDefault="00825B72" w:rsidP="00485497">
      <w:pPr>
        <w:spacing w:line="360" w:lineRule="auto"/>
        <w:rPr>
          <w:rFonts w:ascii="Arial" w:hAnsi="Arial" w:cs="Arial"/>
          <w:sz w:val="24"/>
          <w:szCs w:val="24"/>
        </w:rPr>
      </w:pPr>
    </w:p>
    <w:p w14:paraId="05A4884C" w14:textId="77777777" w:rsidR="00825B72" w:rsidRPr="00485497" w:rsidRDefault="00825B72" w:rsidP="00485497">
      <w:pPr>
        <w:spacing w:line="360" w:lineRule="auto"/>
        <w:rPr>
          <w:rFonts w:ascii="Arial" w:hAnsi="Arial" w:cs="Arial"/>
          <w:sz w:val="24"/>
          <w:szCs w:val="24"/>
        </w:rPr>
      </w:pPr>
    </w:p>
    <w:p w14:paraId="65191D6E" w14:textId="77777777" w:rsidR="00825B72" w:rsidRPr="00485497" w:rsidRDefault="00825B72" w:rsidP="00485497">
      <w:pPr>
        <w:spacing w:line="360" w:lineRule="auto"/>
        <w:rPr>
          <w:rFonts w:ascii="Arial" w:hAnsi="Arial" w:cs="Arial"/>
          <w:sz w:val="24"/>
          <w:szCs w:val="24"/>
        </w:rPr>
      </w:pPr>
    </w:p>
    <w:p w14:paraId="40DAA476" w14:textId="77777777" w:rsidR="00825B72" w:rsidRPr="00485497" w:rsidRDefault="00825B72" w:rsidP="00485497">
      <w:pPr>
        <w:spacing w:line="360" w:lineRule="auto"/>
        <w:rPr>
          <w:rFonts w:ascii="Arial" w:hAnsi="Arial" w:cs="Arial"/>
          <w:sz w:val="24"/>
          <w:szCs w:val="24"/>
        </w:rPr>
      </w:pPr>
    </w:p>
    <w:p w14:paraId="65273ED1" w14:textId="68E1FE03" w:rsidR="00D05436" w:rsidRPr="00485497" w:rsidRDefault="00D05436" w:rsidP="00485497">
      <w:pPr>
        <w:spacing w:line="360" w:lineRule="auto"/>
        <w:rPr>
          <w:rFonts w:ascii="Arial" w:hAnsi="Arial" w:cs="Arial"/>
          <w:sz w:val="24"/>
          <w:szCs w:val="24"/>
        </w:rPr>
      </w:pPr>
      <w:r w:rsidRPr="00485497">
        <w:rPr>
          <w:rFonts w:ascii="Arial" w:hAnsi="Arial" w:cs="Arial"/>
          <w:sz w:val="24"/>
          <w:szCs w:val="24"/>
        </w:rPr>
        <w:t>CHAPTER 3 COMPARATIVE ANALYSIS OF STP STRATEGIES</w:t>
      </w:r>
      <w:r w:rsidR="00575407" w:rsidRPr="00485497">
        <w:rPr>
          <w:rFonts w:ascii="Arial" w:hAnsi="Arial" w:cs="Arial"/>
          <w:sz w:val="24"/>
          <w:szCs w:val="24"/>
        </w:rPr>
        <w:t>.</w:t>
      </w:r>
    </w:p>
    <w:p w14:paraId="0EF4C31B" w14:textId="77777777" w:rsidR="00575407" w:rsidRPr="00485497" w:rsidRDefault="00575407" w:rsidP="00485497">
      <w:pPr>
        <w:spacing w:line="360" w:lineRule="auto"/>
        <w:rPr>
          <w:rFonts w:ascii="Arial" w:hAnsi="Arial" w:cs="Arial"/>
          <w:sz w:val="24"/>
          <w:szCs w:val="24"/>
        </w:rPr>
      </w:pPr>
    </w:p>
    <w:p w14:paraId="4770A9C8" w14:textId="6FE8F8E3" w:rsidR="00575407" w:rsidRPr="00485497" w:rsidRDefault="00D05436" w:rsidP="00485497">
      <w:pPr>
        <w:spacing w:line="360" w:lineRule="auto"/>
        <w:rPr>
          <w:rFonts w:ascii="Arial" w:hAnsi="Arial" w:cs="Arial"/>
          <w:sz w:val="24"/>
          <w:szCs w:val="24"/>
        </w:rPr>
      </w:pPr>
      <w:r w:rsidRPr="00485497">
        <w:rPr>
          <w:rFonts w:ascii="Arial" w:hAnsi="Arial" w:cs="Arial"/>
          <w:sz w:val="24"/>
          <w:szCs w:val="24"/>
        </w:rPr>
        <w:t>3.1 Strategic Segments Analysis</w:t>
      </w:r>
      <w:r w:rsidR="006177EC" w:rsidRPr="00485497">
        <w:rPr>
          <w:rFonts w:ascii="Arial" w:hAnsi="Arial" w:cs="Arial"/>
          <w:sz w:val="24"/>
          <w:szCs w:val="24"/>
        </w:rPr>
        <w:t>.</w:t>
      </w:r>
    </w:p>
    <w:p w14:paraId="3FD7F5D0" w14:textId="77777777" w:rsidR="00971205" w:rsidRPr="00485497" w:rsidRDefault="00971205" w:rsidP="00485497">
      <w:pPr>
        <w:spacing w:line="360" w:lineRule="auto"/>
        <w:rPr>
          <w:rFonts w:ascii="Arial" w:hAnsi="Arial" w:cs="Arial"/>
          <w:sz w:val="24"/>
          <w:szCs w:val="24"/>
        </w:rPr>
      </w:pPr>
    </w:p>
    <w:p w14:paraId="441C4045" w14:textId="3B1BB90D" w:rsidR="004B47F4" w:rsidRPr="00485497" w:rsidRDefault="006F24E2" w:rsidP="00485497">
      <w:pPr>
        <w:spacing w:line="360" w:lineRule="auto"/>
        <w:rPr>
          <w:rFonts w:ascii="Arial" w:hAnsi="Arial" w:cs="Arial"/>
          <w:sz w:val="24"/>
          <w:szCs w:val="24"/>
        </w:rPr>
      </w:pPr>
      <w:r w:rsidRPr="00485497">
        <w:rPr>
          <w:rFonts w:ascii="Arial" w:hAnsi="Arial" w:cs="Arial"/>
          <w:sz w:val="24"/>
          <w:szCs w:val="24"/>
        </w:rPr>
        <w:t>The m</w:t>
      </w:r>
      <w:r w:rsidR="004B47F4" w:rsidRPr="00485497">
        <w:rPr>
          <w:rFonts w:ascii="Arial" w:hAnsi="Arial" w:cs="Arial"/>
          <w:sz w:val="24"/>
          <w:szCs w:val="24"/>
        </w:rPr>
        <w:t xml:space="preserve">arket segmentation </w:t>
      </w:r>
      <w:r w:rsidRPr="00485497">
        <w:rPr>
          <w:rFonts w:ascii="Arial" w:hAnsi="Arial" w:cs="Arial"/>
          <w:sz w:val="24"/>
          <w:szCs w:val="24"/>
        </w:rPr>
        <w:t xml:space="preserve">as </w:t>
      </w:r>
      <w:r w:rsidR="004B47F4" w:rsidRPr="00485497">
        <w:rPr>
          <w:rFonts w:ascii="Arial" w:hAnsi="Arial" w:cs="Arial"/>
          <w:sz w:val="24"/>
          <w:szCs w:val="24"/>
        </w:rPr>
        <w:t>a fundamental component of international marketing strategy, enabling organisations to divide a broad market into groups of consumers with similar needs, preferences, and purchasing behaviours</w:t>
      </w:r>
      <w:r w:rsidR="00BC3F7F" w:rsidRPr="00485497">
        <w:rPr>
          <w:rFonts w:ascii="Arial" w:hAnsi="Arial" w:cs="Arial"/>
          <w:sz w:val="24"/>
          <w:szCs w:val="24"/>
        </w:rPr>
        <w:t xml:space="preserve">, </w:t>
      </w:r>
      <w:r w:rsidR="00BE72A3" w:rsidRPr="00485497">
        <w:rPr>
          <w:rFonts w:ascii="Arial" w:hAnsi="Arial" w:cs="Arial"/>
          <w:sz w:val="24"/>
          <w:szCs w:val="24"/>
        </w:rPr>
        <w:t>indicates f</w:t>
      </w:r>
      <w:r w:rsidR="004B47F4" w:rsidRPr="00485497">
        <w:rPr>
          <w:rFonts w:ascii="Arial" w:hAnsi="Arial" w:cs="Arial"/>
          <w:sz w:val="24"/>
          <w:szCs w:val="24"/>
        </w:rPr>
        <w:t>or Toyota’s electric vehicle (EV) business, segmentation</w:t>
      </w:r>
      <w:r w:rsidR="00F21FF4" w:rsidRPr="00485497">
        <w:rPr>
          <w:rFonts w:ascii="Arial" w:hAnsi="Arial" w:cs="Arial"/>
          <w:sz w:val="24"/>
          <w:szCs w:val="24"/>
        </w:rPr>
        <w:t xml:space="preserve">s that </w:t>
      </w:r>
      <w:r w:rsidR="004B47F4" w:rsidRPr="00485497">
        <w:rPr>
          <w:rFonts w:ascii="Arial" w:hAnsi="Arial" w:cs="Arial"/>
          <w:sz w:val="24"/>
          <w:szCs w:val="24"/>
        </w:rPr>
        <w:t>allows the company to develop targeted marketing strategies that reflect the differing characteristics of consumers in Japan and the United States. Although</w:t>
      </w:r>
      <w:r w:rsidR="003937EB" w:rsidRPr="00485497">
        <w:rPr>
          <w:rFonts w:ascii="Arial" w:hAnsi="Arial" w:cs="Arial"/>
          <w:sz w:val="24"/>
          <w:szCs w:val="24"/>
        </w:rPr>
        <w:t>,</w:t>
      </w:r>
      <w:r w:rsidR="004B47F4" w:rsidRPr="00485497">
        <w:rPr>
          <w:rFonts w:ascii="Arial" w:hAnsi="Arial" w:cs="Arial"/>
          <w:sz w:val="24"/>
          <w:szCs w:val="24"/>
        </w:rPr>
        <w:t xml:space="preserve"> both markets contain environmentally conscious consumers, differences in demographics, lifestyle preferences, and technology adoption influence Toyota’s segmentation approach (Kotler, Keller and Chernev, 2022).</w:t>
      </w:r>
    </w:p>
    <w:p w14:paraId="2389CE12" w14:textId="77777777" w:rsidR="00143006" w:rsidRPr="00485497" w:rsidRDefault="00143006" w:rsidP="00485497">
      <w:pPr>
        <w:spacing w:line="360" w:lineRule="auto"/>
        <w:rPr>
          <w:rFonts w:ascii="Arial" w:hAnsi="Arial" w:cs="Arial"/>
          <w:sz w:val="24"/>
          <w:szCs w:val="24"/>
        </w:rPr>
      </w:pPr>
    </w:p>
    <w:p w14:paraId="2DB71987" w14:textId="00BE4530" w:rsidR="000511D9" w:rsidRPr="00485497" w:rsidRDefault="000511D9" w:rsidP="00485497">
      <w:pPr>
        <w:spacing w:line="360" w:lineRule="auto"/>
        <w:rPr>
          <w:rFonts w:ascii="Arial" w:hAnsi="Arial" w:cs="Arial"/>
          <w:sz w:val="24"/>
          <w:szCs w:val="24"/>
        </w:rPr>
      </w:pPr>
      <w:r w:rsidRPr="00485497">
        <w:rPr>
          <w:rFonts w:ascii="Arial" w:hAnsi="Arial" w:cs="Arial"/>
          <w:sz w:val="24"/>
          <w:szCs w:val="24"/>
        </w:rPr>
        <w:t xml:space="preserve">3.2 Comparative Discussion of STP Strategies.                                                       </w:t>
      </w:r>
    </w:p>
    <w:p w14:paraId="17CFFB5F" w14:textId="77777777" w:rsidR="000511D9" w:rsidRPr="00485497" w:rsidRDefault="000511D9" w:rsidP="00485497">
      <w:pPr>
        <w:spacing w:line="360" w:lineRule="auto"/>
        <w:rPr>
          <w:rFonts w:ascii="Arial" w:hAnsi="Arial" w:cs="Arial"/>
          <w:sz w:val="24"/>
          <w:szCs w:val="24"/>
        </w:rPr>
      </w:pPr>
    </w:p>
    <w:p w14:paraId="3BF2B542" w14:textId="77777777" w:rsidR="001E5DE2" w:rsidRPr="00485497" w:rsidRDefault="001E5DE2" w:rsidP="00485497">
      <w:pPr>
        <w:spacing w:line="360" w:lineRule="auto"/>
        <w:rPr>
          <w:rFonts w:ascii="Arial" w:hAnsi="Arial" w:cs="Arial"/>
          <w:sz w:val="24"/>
          <w:szCs w:val="24"/>
        </w:rPr>
      </w:pPr>
      <w:r w:rsidRPr="00485497">
        <w:rPr>
          <w:rFonts w:ascii="Arial" w:hAnsi="Arial" w:cs="Arial"/>
          <w:sz w:val="24"/>
          <w:szCs w:val="24"/>
        </w:rPr>
        <w:t xml:space="preserve">(See Appendix 4: Table 4. </w:t>
      </w:r>
      <w:r w:rsidRPr="00485497">
        <w:rPr>
          <w:rFonts w:ascii="Arial" w:hAnsi="Arial" w:cs="Arial"/>
          <w:sz w:val="24"/>
          <w:szCs w:val="24"/>
          <w:lang w:val="en-US"/>
        </w:rPr>
        <w:t xml:space="preserve">Toyota’s </w:t>
      </w:r>
      <w:r w:rsidRPr="00485497">
        <w:rPr>
          <w:rFonts w:ascii="Arial" w:hAnsi="Arial" w:cs="Arial"/>
          <w:sz w:val="24"/>
          <w:szCs w:val="24"/>
        </w:rPr>
        <w:t>Comparative Segmentation Variable Analysis).</w:t>
      </w:r>
    </w:p>
    <w:p w14:paraId="0ADA62E6" w14:textId="48B0A690" w:rsidR="004B47F4" w:rsidRPr="00485497" w:rsidRDefault="001C1FA6" w:rsidP="00485497">
      <w:pPr>
        <w:spacing w:line="360" w:lineRule="auto"/>
        <w:rPr>
          <w:rFonts w:ascii="Arial" w:hAnsi="Arial" w:cs="Arial"/>
          <w:sz w:val="24"/>
          <w:szCs w:val="24"/>
        </w:rPr>
      </w:pPr>
      <w:r w:rsidRPr="00485497">
        <w:rPr>
          <w:rFonts w:ascii="Arial" w:hAnsi="Arial" w:cs="Arial"/>
          <w:sz w:val="24"/>
          <w:szCs w:val="24"/>
        </w:rPr>
        <w:t xml:space="preserve">In </w:t>
      </w:r>
      <w:r w:rsidR="00FB48A1" w:rsidRPr="00485497">
        <w:rPr>
          <w:rFonts w:ascii="Arial" w:hAnsi="Arial" w:cs="Arial"/>
          <w:sz w:val="24"/>
          <w:szCs w:val="24"/>
        </w:rPr>
        <w:t>comparison</w:t>
      </w:r>
      <w:r w:rsidRPr="00485497">
        <w:rPr>
          <w:rFonts w:ascii="Arial" w:hAnsi="Arial" w:cs="Arial"/>
          <w:sz w:val="24"/>
          <w:szCs w:val="24"/>
        </w:rPr>
        <w:t xml:space="preserve">, </w:t>
      </w:r>
      <w:r w:rsidR="00FB48A1" w:rsidRPr="00485497">
        <w:rPr>
          <w:rFonts w:ascii="Arial" w:hAnsi="Arial" w:cs="Arial"/>
          <w:sz w:val="24"/>
          <w:szCs w:val="24"/>
        </w:rPr>
        <w:t xml:space="preserve">the </w:t>
      </w:r>
      <w:r w:rsidR="004B47F4" w:rsidRPr="00485497">
        <w:rPr>
          <w:rFonts w:ascii="Arial" w:hAnsi="Arial" w:cs="Arial"/>
          <w:sz w:val="24"/>
          <w:szCs w:val="24"/>
        </w:rPr>
        <w:t>Japan</w:t>
      </w:r>
      <w:r w:rsidR="00224D92" w:rsidRPr="00485497">
        <w:rPr>
          <w:rFonts w:ascii="Arial" w:hAnsi="Arial" w:cs="Arial"/>
          <w:sz w:val="24"/>
          <w:szCs w:val="24"/>
        </w:rPr>
        <w:t xml:space="preserve"> market </w:t>
      </w:r>
      <w:r w:rsidR="004B47F4" w:rsidRPr="00485497">
        <w:rPr>
          <w:rFonts w:ascii="Arial" w:hAnsi="Arial" w:cs="Arial"/>
          <w:sz w:val="24"/>
          <w:szCs w:val="24"/>
        </w:rPr>
        <w:t>primarily focuses on consumers seeking reliability, efficiency, and environmental responsibility</w:t>
      </w:r>
      <w:r w:rsidR="00224D92" w:rsidRPr="00485497">
        <w:rPr>
          <w:rFonts w:ascii="Arial" w:hAnsi="Arial" w:cs="Arial"/>
          <w:sz w:val="24"/>
          <w:szCs w:val="24"/>
        </w:rPr>
        <w:t xml:space="preserve"> showing</w:t>
      </w:r>
      <w:r w:rsidR="004B47F4" w:rsidRPr="00485497">
        <w:rPr>
          <w:rFonts w:ascii="Arial" w:hAnsi="Arial" w:cs="Arial"/>
          <w:sz w:val="24"/>
          <w:szCs w:val="24"/>
        </w:rPr>
        <w:t xml:space="preserve"> high level of uncertainty avoidance among Japanese consumers encourages Toyota to emphasise proven technology, quality assurance, and long-term ownership benefits (Liker, 2004). Furthermore, the dense urban environment creates demand for efficient and practical electric vehicles.</w:t>
      </w:r>
    </w:p>
    <w:p w14:paraId="585B217A" w14:textId="76CA9776" w:rsidR="004B47F4" w:rsidRPr="00485497" w:rsidRDefault="004B47F4" w:rsidP="00485497">
      <w:pPr>
        <w:spacing w:after="0" w:line="360" w:lineRule="auto"/>
        <w:rPr>
          <w:rFonts w:ascii="Arial" w:hAnsi="Arial" w:cs="Arial"/>
          <w:sz w:val="24"/>
          <w:szCs w:val="24"/>
        </w:rPr>
      </w:pPr>
      <w:r w:rsidRPr="00485497">
        <w:rPr>
          <w:rFonts w:ascii="Arial" w:hAnsi="Arial" w:cs="Arial"/>
          <w:sz w:val="24"/>
          <w:szCs w:val="24"/>
        </w:rPr>
        <w:t xml:space="preserve">In contrast, the United States presents a more diverse and innovation-driven market. American consumers are generally more receptive to new technologies and place greater importance on vehicle performance, connectivity, and lifestyle benefits. Consequently, Toyota targets younger professionals, technology enthusiasts, and environmentally conscious households who seek advanced mobility solutions and </w:t>
      </w:r>
      <w:r w:rsidRPr="00485497">
        <w:rPr>
          <w:rFonts w:ascii="Arial" w:hAnsi="Arial" w:cs="Arial"/>
          <w:sz w:val="24"/>
          <w:szCs w:val="24"/>
        </w:rPr>
        <w:lastRenderedPageBreak/>
        <w:t>sustainable transportation options (Xu, 2023). This broader segmentation approach enables Toyota to compete effectively against established EV manufacturers in the American market.</w:t>
      </w:r>
    </w:p>
    <w:p w14:paraId="3B201A5D" w14:textId="77777777" w:rsidR="004B47F4" w:rsidRPr="00485497" w:rsidRDefault="004B47F4" w:rsidP="00485497">
      <w:pPr>
        <w:spacing w:after="0" w:line="360" w:lineRule="auto"/>
        <w:rPr>
          <w:rFonts w:ascii="Arial" w:hAnsi="Arial" w:cs="Arial"/>
          <w:sz w:val="24"/>
          <w:szCs w:val="24"/>
        </w:rPr>
      </w:pPr>
      <w:r w:rsidRPr="00485497">
        <w:rPr>
          <w:rFonts w:ascii="Arial" w:hAnsi="Arial" w:cs="Arial"/>
          <w:sz w:val="24"/>
          <w:szCs w:val="24"/>
        </w:rPr>
        <w:t>Overall, Toyota adopts differentiated segmentation strategies in Japan and the United States to address variations in consumer behaviour and market conditions. While Japanese segmentation emphasises reliability, efficiency, and long-term value, the American strategy focuses more heavily on innovation, performance, and technological advancement. These differences enable Toyota to align its EV offerings with local consumer expectations and strengthen its competitive position in both markets (Johnson et al., 2020; Keegan and Green, 2023).</w:t>
      </w:r>
    </w:p>
    <w:p w14:paraId="441DEB8C" w14:textId="77777777" w:rsidR="00BC02CF" w:rsidRPr="00485497" w:rsidRDefault="00BC02CF" w:rsidP="00485497">
      <w:pPr>
        <w:spacing w:after="0" w:line="360" w:lineRule="auto"/>
        <w:rPr>
          <w:rFonts w:ascii="Arial" w:hAnsi="Arial" w:cs="Arial"/>
          <w:sz w:val="24"/>
          <w:szCs w:val="24"/>
        </w:rPr>
      </w:pPr>
    </w:p>
    <w:p w14:paraId="207FA763" w14:textId="77777777" w:rsidR="00BC02CF" w:rsidRPr="00485497" w:rsidRDefault="00BC02CF" w:rsidP="00485497">
      <w:pPr>
        <w:spacing w:after="0" w:line="360" w:lineRule="auto"/>
        <w:rPr>
          <w:rFonts w:ascii="Arial" w:hAnsi="Arial" w:cs="Arial"/>
          <w:sz w:val="24"/>
          <w:szCs w:val="24"/>
        </w:rPr>
      </w:pPr>
    </w:p>
    <w:p w14:paraId="4F90BD28" w14:textId="77777777" w:rsidR="005679EC" w:rsidRPr="00485497" w:rsidRDefault="005679EC" w:rsidP="00485497">
      <w:pPr>
        <w:spacing w:line="360" w:lineRule="auto"/>
        <w:rPr>
          <w:rFonts w:ascii="Arial" w:hAnsi="Arial" w:cs="Arial"/>
          <w:sz w:val="24"/>
          <w:szCs w:val="24"/>
        </w:rPr>
      </w:pPr>
    </w:p>
    <w:p w14:paraId="13BB107D" w14:textId="77777777" w:rsidR="005679EC" w:rsidRPr="00485497" w:rsidRDefault="005679EC" w:rsidP="00485497">
      <w:pPr>
        <w:spacing w:line="360" w:lineRule="auto"/>
        <w:rPr>
          <w:rFonts w:ascii="Arial" w:hAnsi="Arial" w:cs="Arial"/>
          <w:sz w:val="24"/>
          <w:szCs w:val="24"/>
        </w:rPr>
      </w:pPr>
    </w:p>
    <w:p w14:paraId="2AE20204" w14:textId="77777777" w:rsidR="005679EC" w:rsidRPr="00485497" w:rsidRDefault="005679EC" w:rsidP="00485497">
      <w:pPr>
        <w:spacing w:line="360" w:lineRule="auto"/>
        <w:rPr>
          <w:rFonts w:ascii="Arial" w:hAnsi="Arial" w:cs="Arial"/>
          <w:sz w:val="24"/>
          <w:szCs w:val="24"/>
        </w:rPr>
      </w:pPr>
    </w:p>
    <w:p w14:paraId="6EE416FD" w14:textId="77777777" w:rsidR="005679EC" w:rsidRPr="00485497" w:rsidRDefault="005679EC" w:rsidP="00485497">
      <w:pPr>
        <w:spacing w:line="360" w:lineRule="auto"/>
        <w:rPr>
          <w:rFonts w:ascii="Arial" w:hAnsi="Arial" w:cs="Arial"/>
          <w:sz w:val="24"/>
          <w:szCs w:val="24"/>
        </w:rPr>
      </w:pPr>
    </w:p>
    <w:p w14:paraId="6B23AC55" w14:textId="77777777" w:rsidR="005679EC" w:rsidRPr="00485497" w:rsidRDefault="005679EC" w:rsidP="00485497">
      <w:pPr>
        <w:spacing w:line="360" w:lineRule="auto"/>
        <w:rPr>
          <w:rFonts w:ascii="Arial" w:hAnsi="Arial" w:cs="Arial"/>
          <w:sz w:val="24"/>
          <w:szCs w:val="24"/>
        </w:rPr>
      </w:pPr>
    </w:p>
    <w:p w14:paraId="0A063F63" w14:textId="77777777" w:rsidR="005679EC" w:rsidRPr="00485497" w:rsidRDefault="005679EC" w:rsidP="00485497">
      <w:pPr>
        <w:spacing w:line="360" w:lineRule="auto"/>
        <w:rPr>
          <w:rFonts w:ascii="Arial" w:hAnsi="Arial" w:cs="Arial"/>
          <w:sz w:val="24"/>
          <w:szCs w:val="24"/>
        </w:rPr>
      </w:pPr>
    </w:p>
    <w:p w14:paraId="094900EC" w14:textId="77777777" w:rsidR="005679EC" w:rsidRPr="00485497" w:rsidRDefault="005679EC" w:rsidP="00485497">
      <w:pPr>
        <w:spacing w:line="360" w:lineRule="auto"/>
        <w:rPr>
          <w:rFonts w:ascii="Arial" w:hAnsi="Arial" w:cs="Arial"/>
          <w:sz w:val="24"/>
          <w:szCs w:val="24"/>
        </w:rPr>
      </w:pPr>
    </w:p>
    <w:p w14:paraId="4CC3FD67" w14:textId="77777777" w:rsidR="005679EC" w:rsidRPr="00485497" w:rsidRDefault="005679EC" w:rsidP="00485497">
      <w:pPr>
        <w:spacing w:line="360" w:lineRule="auto"/>
        <w:rPr>
          <w:rFonts w:ascii="Arial" w:hAnsi="Arial" w:cs="Arial"/>
          <w:sz w:val="24"/>
          <w:szCs w:val="24"/>
        </w:rPr>
      </w:pPr>
    </w:p>
    <w:p w14:paraId="61458680" w14:textId="77777777" w:rsidR="005679EC" w:rsidRPr="00485497" w:rsidRDefault="005679EC" w:rsidP="00485497">
      <w:pPr>
        <w:spacing w:line="360" w:lineRule="auto"/>
        <w:rPr>
          <w:rFonts w:ascii="Arial" w:hAnsi="Arial" w:cs="Arial"/>
          <w:sz w:val="24"/>
          <w:szCs w:val="24"/>
        </w:rPr>
      </w:pPr>
    </w:p>
    <w:p w14:paraId="685C2C24" w14:textId="77777777" w:rsidR="005679EC" w:rsidRPr="00485497" w:rsidRDefault="005679EC" w:rsidP="00485497">
      <w:pPr>
        <w:spacing w:line="360" w:lineRule="auto"/>
        <w:rPr>
          <w:rFonts w:ascii="Arial" w:hAnsi="Arial" w:cs="Arial"/>
          <w:sz w:val="24"/>
          <w:szCs w:val="24"/>
        </w:rPr>
      </w:pPr>
    </w:p>
    <w:p w14:paraId="79BC1A10" w14:textId="77777777" w:rsidR="005679EC" w:rsidRPr="00485497" w:rsidRDefault="005679EC" w:rsidP="00485497">
      <w:pPr>
        <w:spacing w:line="360" w:lineRule="auto"/>
        <w:rPr>
          <w:rFonts w:ascii="Arial" w:hAnsi="Arial" w:cs="Arial"/>
          <w:sz w:val="24"/>
          <w:szCs w:val="24"/>
        </w:rPr>
      </w:pPr>
    </w:p>
    <w:p w14:paraId="1058DDE6" w14:textId="77777777" w:rsidR="005679EC" w:rsidRPr="00485497" w:rsidRDefault="005679EC" w:rsidP="00485497">
      <w:pPr>
        <w:spacing w:line="360" w:lineRule="auto"/>
        <w:rPr>
          <w:rFonts w:ascii="Arial" w:hAnsi="Arial" w:cs="Arial"/>
          <w:sz w:val="24"/>
          <w:szCs w:val="24"/>
        </w:rPr>
      </w:pPr>
    </w:p>
    <w:p w14:paraId="50CBB9B4" w14:textId="77777777" w:rsidR="005679EC" w:rsidRPr="00485497" w:rsidRDefault="005679EC" w:rsidP="00485497">
      <w:pPr>
        <w:spacing w:line="360" w:lineRule="auto"/>
        <w:rPr>
          <w:rFonts w:ascii="Arial" w:hAnsi="Arial" w:cs="Arial"/>
          <w:sz w:val="24"/>
          <w:szCs w:val="24"/>
        </w:rPr>
      </w:pPr>
    </w:p>
    <w:p w14:paraId="440EC713" w14:textId="77777777" w:rsidR="005679EC" w:rsidRPr="00485497" w:rsidRDefault="005679EC" w:rsidP="00485497">
      <w:pPr>
        <w:spacing w:line="360" w:lineRule="auto"/>
        <w:rPr>
          <w:rFonts w:ascii="Arial" w:hAnsi="Arial" w:cs="Arial"/>
          <w:sz w:val="24"/>
          <w:szCs w:val="24"/>
        </w:rPr>
      </w:pPr>
    </w:p>
    <w:p w14:paraId="163E4EA8" w14:textId="77777777" w:rsidR="005679EC" w:rsidRPr="00485497" w:rsidRDefault="005679EC" w:rsidP="00485497">
      <w:pPr>
        <w:spacing w:line="360" w:lineRule="auto"/>
        <w:rPr>
          <w:rFonts w:ascii="Arial" w:hAnsi="Arial" w:cs="Arial"/>
          <w:sz w:val="24"/>
          <w:szCs w:val="24"/>
        </w:rPr>
      </w:pPr>
    </w:p>
    <w:p w14:paraId="3E7BD838" w14:textId="77777777" w:rsidR="005679EC" w:rsidRPr="00485497" w:rsidRDefault="005679EC" w:rsidP="00485497">
      <w:pPr>
        <w:spacing w:line="360" w:lineRule="auto"/>
        <w:rPr>
          <w:rFonts w:ascii="Arial" w:hAnsi="Arial" w:cs="Arial"/>
          <w:sz w:val="24"/>
          <w:szCs w:val="24"/>
        </w:rPr>
      </w:pPr>
    </w:p>
    <w:p w14:paraId="0D166681" w14:textId="6F5C2EC9" w:rsidR="00BC02CF" w:rsidRPr="00485497" w:rsidRDefault="00BC02CF" w:rsidP="00485497">
      <w:pPr>
        <w:spacing w:line="360" w:lineRule="auto"/>
        <w:rPr>
          <w:rFonts w:ascii="Arial" w:hAnsi="Arial" w:cs="Arial"/>
          <w:sz w:val="24"/>
          <w:szCs w:val="24"/>
        </w:rPr>
      </w:pPr>
      <w:r w:rsidRPr="00485497">
        <w:rPr>
          <w:rFonts w:ascii="Arial" w:hAnsi="Arial" w:cs="Arial"/>
          <w:sz w:val="24"/>
          <w:szCs w:val="24"/>
        </w:rPr>
        <w:lastRenderedPageBreak/>
        <w:t>CHAPTER 4 COMPARATIVE ANALYSIS OF INTERNATIONAL MARKETING MIX.</w:t>
      </w:r>
    </w:p>
    <w:p w14:paraId="1B411CCF" w14:textId="77777777" w:rsidR="0096140D" w:rsidRPr="00485497" w:rsidRDefault="0096140D" w:rsidP="00485497">
      <w:pPr>
        <w:spacing w:line="360" w:lineRule="auto"/>
        <w:rPr>
          <w:rFonts w:ascii="Arial" w:hAnsi="Arial" w:cs="Arial"/>
          <w:sz w:val="24"/>
          <w:szCs w:val="24"/>
        </w:rPr>
      </w:pPr>
    </w:p>
    <w:p w14:paraId="2F6727E0" w14:textId="6B17F6A7" w:rsidR="00BC02CF" w:rsidRPr="00485497" w:rsidRDefault="00BC02CF" w:rsidP="00485497">
      <w:pPr>
        <w:spacing w:line="360" w:lineRule="auto"/>
        <w:rPr>
          <w:rFonts w:ascii="Arial" w:hAnsi="Arial" w:cs="Arial"/>
          <w:sz w:val="24"/>
          <w:szCs w:val="24"/>
        </w:rPr>
      </w:pPr>
      <w:r w:rsidRPr="00485497">
        <w:rPr>
          <w:rFonts w:ascii="Arial" w:hAnsi="Arial" w:cs="Arial"/>
          <w:sz w:val="24"/>
          <w:szCs w:val="24"/>
        </w:rPr>
        <w:t>4.1 Segments Analysis of 7Ps</w:t>
      </w:r>
      <w:r w:rsidR="0096140D" w:rsidRPr="00485497">
        <w:rPr>
          <w:rFonts w:ascii="Arial" w:hAnsi="Arial" w:cs="Arial"/>
          <w:sz w:val="24"/>
          <w:szCs w:val="24"/>
        </w:rPr>
        <w:t>.</w:t>
      </w:r>
    </w:p>
    <w:p w14:paraId="1DB8087A" w14:textId="77777777" w:rsidR="007417EB" w:rsidRPr="00485497" w:rsidRDefault="00AC4C59" w:rsidP="00485497">
      <w:pPr>
        <w:spacing w:after="0" w:line="360" w:lineRule="auto"/>
        <w:rPr>
          <w:rFonts w:ascii="Arial" w:hAnsi="Arial" w:cs="Arial"/>
          <w:sz w:val="24"/>
          <w:szCs w:val="24"/>
        </w:rPr>
      </w:pPr>
      <w:r w:rsidRPr="00485497">
        <w:rPr>
          <w:rFonts w:ascii="Arial" w:hAnsi="Arial" w:cs="Arial"/>
          <w:sz w:val="24"/>
          <w:szCs w:val="24"/>
        </w:rPr>
        <w:t xml:space="preserve">(See Appendix </w:t>
      </w:r>
      <w:r w:rsidR="001D51CF" w:rsidRPr="00485497">
        <w:rPr>
          <w:rFonts w:ascii="Arial" w:hAnsi="Arial" w:cs="Arial"/>
          <w:sz w:val="24"/>
          <w:szCs w:val="24"/>
        </w:rPr>
        <w:t>5</w:t>
      </w:r>
      <w:r w:rsidRPr="00485497">
        <w:rPr>
          <w:rFonts w:ascii="Arial" w:hAnsi="Arial" w:cs="Arial"/>
          <w:sz w:val="24"/>
          <w:szCs w:val="24"/>
        </w:rPr>
        <w:t xml:space="preserve">: Table </w:t>
      </w:r>
      <w:r w:rsidR="001D51CF" w:rsidRPr="00485497">
        <w:rPr>
          <w:rFonts w:ascii="Arial" w:hAnsi="Arial" w:cs="Arial"/>
          <w:sz w:val="24"/>
          <w:szCs w:val="24"/>
        </w:rPr>
        <w:t>5</w:t>
      </w:r>
      <w:r w:rsidRPr="00485497">
        <w:rPr>
          <w:rFonts w:ascii="Arial" w:hAnsi="Arial" w:cs="Arial"/>
          <w:sz w:val="24"/>
          <w:szCs w:val="24"/>
        </w:rPr>
        <w:t xml:space="preserve">. </w:t>
      </w:r>
      <w:r w:rsidRPr="00485497">
        <w:rPr>
          <w:rFonts w:ascii="Arial" w:hAnsi="Arial" w:cs="Arial"/>
          <w:sz w:val="24"/>
          <w:szCs w:val="24"/>
          <w:lang w:val="en-US"/>
        </w:rPr>
        <w:t xml:space="preserve">Toyota’s </w:t>
      </w:r>
      <w:r w:rsidRPr="00485497">
        <w:rPr>
          <w:rFonts w:ascii="Arial" w:hAnsi="Arial" w:cs="Arial"/>
          <w:sz w:val="24"/>
          <w:szCs w:val="24"/>
        </w:rPr>
        <w:t xml:space="preserve">Comparative Segmentation </w:t>
      </w:r>
      <w:r w:rsidR="007417EB" w:rsidRPr="00485497">
        <w:rPr>
          <w:rFonts w:ascii="Arial" w:hAnsi="Arial" w:cs="Arial"/>
          <w:sz w:val="24"/>
          <w:szCs w:val="24"/>
        </w:rPr>
        <w:t>Marketing Mix (7Ps)</w:t>
      </w:r>
    </w:p>
    <w:p w14:paraId="6743100A" w14:textId="3829E020" w:rsidR="00AC4C59" w:rsidRPr="00485497" w:rsidRDefault="00AC4C59" w:rsidP="00485497">
      <w:pPr>
        <w:spacing w:line="360" w:lineRule="auto"/>
        <w:rPr>
          <w:rFonts w:ascii="Arial" w:hAnsi="Arial" w:cs="Arial"/>
          <w:sz w:val="24"/>
          <w:szCs w:val="24"/>
        </w:rPr>
      </w:pPr>
      <w:r w:rsidRPr="00485497">
        <w:rPr>
          <w:rFonts w:ascii="Arial" w:hAnsi="Arial" w:cs="Arial"/>
          <w:sz w:val="24"/>
          <w:szCs w:val="24"/>
        </w:rPr>
        <w:t>Analysis).</w:t>
      </w:r>
    </w:p>
    <w:p w14:paraId="0471014F" w14:textId="12959890" w:rsidR="00657631" w:rsidRPr="00485497" w:rsidRDefault="007F282D" w:rsidP="00485497">
      <w:pPr>
        <w:spacing w:line="360" w:lineRule="auto"/>
        <w:rPr>
          <w:rFonts w:ascii="Arial" w:hAnsi="Arial" w:cs="Arial"/>
          <w:sz w:val="24"/>
          <w:szCs w:val="24"/>
        </w:rPr>
      </w:pPr>
      <w:r w:rsidRPr="00485497">
        <w:rPr>
          <w:rFonts w:ascii="Arial" w:hAnsi="Arial" w:cs="Arial"/>
          <w:sz w:val="24"/>
          <w:szCs w:val="24"/>
          <w:lang w:val="en-US"/>
        </w:rPr>
        <w:t xml:space="preserve">Toyota’s </w:t>
      </w:r>
      <w:r w:rsidRPr="00485497">
        <w:rPr>
          <w:rFonts w:ascii="Arial" w:hAnsi="Arial" w:cs="Arial"/>
          <w:sz w:val="24"/>
          <w:szCs w:val="24"/>
        </w:rPr>
        <w:t>Comparative Segmentation Marketing Mix (7Ps)</w:t>
      </w:r>
      <w:r w:rsidR="00E725A9" w:rsidRPr="00485497">
        <w:rPr>
          <w:rFonts w:ascii="Arial" w:hAnsi="Arial" w:cs="Arial"/>
          <w:sz w:val="24"/>
          <w:szCs w:val="24"/>
        </w:rPr>
        <w:t xml:space="preserve"> p</w:t>
      </w:r>
      <w:r w:rsidR="00657631" w:rsidRPr="00485497">
        <w:rPr>
          <w:rFonts w:ascii="Arial" w:hAnsi="Arial" w:cs="Arial"/>
          <w:sz w:val="24"/>
          <w:szCs w:val="24"/>
        </w:rPr>
        <w:t xml:space="preserve">roduct strategy </w:t>
      </w:r>
      <w:r w:rsidR="00E725A9" w:rsidRPr="00485497">
        <w:rPr>
          <w:rFonts w:ascii="Arial" w:hAnsi="Arial" w:cs="Arial"/>
          <w:sz w:val="24"/>
          <w:szCs w:val="24"/>
        </w:rPr>
        <w:t>as a</w:t>
      </w:r>
      <w:r w:rsidR="00657631" w:rsidRPr="00485497">
        <w:rPr>
          <w:rFonts w:ascii="Arial" w:hAnsi="Arial" w:cs="Arial"/>
          <w:sz w:val="24"/>
          <w:szCs w:val="24"/>
        </w:rPr>
        <w:t xml:space="preserve"> critical element of </w:t>
      </w:r>
      <w:r w:rsidR="00DC3468" w:rsidRPr="00485497">
        <w:rPr>
          <w:rFonts w:ascii="Arial" w:hAnsi="Arial" w:cs="Arial"/>
          <w:sz w:val="24"/>
          <w:szCs w:val="24"/>
        </w:rPr>
        <w:t>the</w:t>
      </w:r>
      <w:r w:rsidR="00657631" w:rsidRPr="00485497">
        <w:rPr>
          <w:rFonts w:ascii="Arial" w:hAnsi="Arial" w:cs="Arial"/>
          <w:sz w:val="24"/>
          <w:szCs w:val="24"/>
        </w:rPr>
        <w:t xml:space="preserve"> international marketing mix, enables the company to adapt its electric vehicle (EV) offerings to the needs and preferences of consumers in different markets. While Toyota maintains a consistent global commitment to quality, reliability, and innovation, product adaptations are necessary to address the differing consumer expectations and market conditions in Japan and the United States (Kotler, Keller and Chernev, 2022).</w:t>
      </w:r>
    </w:p>
    <w:p w14:paraId="3F2A4F74" w14:textId="77777777" w:rsidR="00657631" w:rsidRPr="00485497" w:rsidRDefault="00657631" w:rsidP="00485497">
      <w:pPr>
        <w:spacing w:after="0" w:line="360" w:lineRule="auto"/>
        <w:rPr>
          <w:rFonts w:ascii="Arial" w:hAnsi="Arial" w:cs="Arial"/>
          <w:sz w:val="24"/>
          <w:szCs w:val="24"/>
        </w:rPr>
      </w:pPr>
      <w:r w:rsidRPr="00485497">
        <w:rPr>
          <w:rFonts w:ascii="Arial" w:hAnsi="Arial" w:cs="Arial"/>
          <w:sz w:val="24"/>
          <w:szCs w:val="24"/>
        </w:rPr>
        <w:t>Toyota’s product strategy in Japan is shaped by consumer preferences for reliability, efficiency, and long-term value. Japanese customers tend to favour practical vehicles that deliver consistent performance and low operating costs. Consequently, Toyota emphasises quality engineering, energy efficiency, and dependable technology within its EV portfolio. The company’s strong domestic reputation further supports customer confidence in newly introduced electric vehicle models (Liker, 2004).</w:t>
      </w:r>
    </w:p>
    <w:p w14:paraId="2AAF7D1B" w14:textId="77777777" w:rsidR="001367EB" w:rsidRPr="00485497" w:rsidRDefault="001367EB" w:rsidP="00485497">
      <w:pPr>
        <w:spacing w:after="0" w:line="360" w:lineRule="auto"/>
        <w:rPr>
          <w:rFonts w:ascii="Arial" w:hAnsi="Arial" w:cs="Arial"/>
          <w:sz w:val="24"/>
          <w:szCs w:val="24"/>
        </w:rPr>
      </w:pPr>
      <w:r w:rsidRPr="00485497">
        <w:rPr>
          <w:rFonts w:ascii="Arial" w:hAnsi="Arial" w:cs="Arial"/>
          <w:sz w:val="24"/>
          <w:szCs w:val="24"/>
        </w:rPr>
        <w:t>In contrast, the United States market is characterised by greater demand for innovation, performance, and advanced technological features. American consumers often prioritise vehicle range, connectivity, digital integration, and driving experience when purchasing EVs. As a result, Toyota incorporates more advanced infotainment systems, larger battery capacities, and enhanced performance features to meet local expectations and compete effectively against major EV rivals (Xu, 2023). This adaptation demonstrates Toyota’s ability to balance global standardisation with local responsiveness.</w:t>
      </w:r>
    </w:p>
    <w:p w14:paraId="1ADDB896" w14:textId="59462D5A" w:rsidR="00096657" w:rsidRPr="00485497" w:rsidRDefault="00E5573F" w:rsidP="00485497">
      <w:pPr>
        <w:spacing w:line="360" w:lineRule="auto"/>
        <w:rPr>
          <w:rFonts w:ascii="Arial" w:hAnsi="Arial" w:cs="Arial"/>
          <w:sz w:val="24"/>
          <w:szCs w:val="24"/>
        </w:rPr>
      </w:pPr>
      <w:r w:rsidRPr="00485497">
        <w:rPr>
          <w:rFonts w:ascii="Arial" w:hAnsi="Arial" w:cs="Arial"/>
          <w:sz w:val="24"/>
          <w:szCs w:val="24"/>
        </w:rPr>
        <w:t>Therefore</w:t>
      </w:r>
      <w:r w:rsidR="00553DF9" w:rsidRPr="00485497">
        <w:rPr>
          <w:rFonts w:ascii="Arial" w:hAnsi="Arial" w:cs="Arial"/>
          <w:sz w:val="24"/>
          <w:szCs w:val="24"/>
        </w:rPr>
        <w:t xml:space="preserve">, Toyota’s product strategy reflects the differing needs of consumers in Japan and the United States. In Japan, the emphasis is placed on reliability, efficiency, and long-term ownership value, whereas in the United States the focus shifts towards innovation, technological sophistication, and performance. By adapting its product offerings to local market conditions while maintaining its core brand values, Toyota strengthens its competitive position in both markets and </w:t>
      </w:r>
      <w:r w:rsidR="00553DF9" w:rsidRPr="00485497">
        <w:rPr>
          <w:rFonts w:ascii="Arial" w:hAnsi="Arial" w:cs="Arial"/>
          <w:sz w:val="24"/>
          <w:szCs w:val="24"/>
        </w:rPr>
        <w:lastRenderedPageBreak/>
        <w:t>supports the long-term success of its electric vehicle business (Keegan and Green, 2023; Johnson et al., 2020).</w:t>
      </w:r>
    </w:p>
    <w:p w14:paraId="4F4F8C1A" w14:textId="77777777" w:rsidR="007D7A4F" w:rsidRPr="00485497" w:rsidRDefault="007D7A4F" w:rsidP="00485497">
      <w:pPr>
        <w:spacing w:line="360" w:lineRule="auto"/>
        <w:rPr>
          <w:rFonts w:ascii="Arial" w:hAnsi="Arial" w:cs="Arial"/>
          <w:sz w:val="24"/>
          <w:szCs w:val="24"/>
        </w:rPr>
      </w:pPr>
    </w:p>
    <w:p w14:paraId="6A4C52EE" w14:textId="3DEAC9EA" w:rsidR="00BC02CF" w:rsidRPr="00485497" w:rsidRDefault="00BC02CF" w:rsidP="00485497">
      <w:pPr>
        <w:spacing w:after="0" w:line="360" w:lineRule="auto"/>
        <w:rPr>
          <w:rFonts w:ascii="Arial" w:hAnsi="Arial" w:cs="Arial"/>
          <w:sz w:val="24"/>
          <w:szCs w:val="24"/>
        </w:rPr>
      </w:pPr>
      <w:r w:rsidRPr="00485497">
        <w:rPr>
          <w:rFonts w:ascii="Arial" w:hAnsi="Arial" w:cs="Arial"/>
          <w:sz w:val="24"/>
          <w:szCs w:val="24"/>
        </w:rPr>
        <w:t>4.2 Comparative Evaluation of 7Ps</w:t>
      </w:r>
      <w:r w:rsidR="002C1976" w:rsidRPr="00485497">
        <w:rPr>
          <w:rFonts w:ascii="Arial" w:hAnsi="Arial" w:cs="Arial"/>
          <w:sz w:val="24"/>
          <w:szCs w:val="24"/>
        </w:rPr>
        <w:t>.</w:t>
      </w:r>
      <w:r w:rsidRPr="00485497">
        <w:rPr>
          <w:rFonts w:ascii="Arial" w:hAnsi="Arial" w:cs="Arial"/>
          <w:sz w:val="24"/>
          <w:szCs w:val="24"/>
        </w:rPr>
        <w:t xml:space="preserve">                                                                          </w:t>
      </w:r>
    </w:p>
    <w:p w14:paraId="69629662" w14:textId="77777777" w:rsidR="00C50D18" w:rsidRPr="00485497" w:rsidRDefault="00C50D18" w:rsidP="00485497">
      <w:pPr>
        <w:spacing w:after="0" w:line="360" w:lineRule="auto"/>
        <w:rPr>
          <w:rFonts w:ascii="Arial" w:hAnsi="Arial" w:cs="Arial"/>
          <w:sz w:val="24"/>
          <w:szCs w:val="24"/>
        </w:rPr>
      </w:pPr>
    </w:p>
    <w:p w14:paraId="6582E39B" w14:textId="4C65B9B6" w:rsidR="00C50D18" w:rsidRPr="00485497" w:rsidRDefault="00C50D18" w:rsidP="00485497">
      <w:pPr>
        <w:spacing w:line="360" w:lineRule="auto"/>
        <w:rPr>
          <w:rFonts w:ascii="Arial" w:hAnsi="Arial" w:cs="Arial"/>
          <w:sz w:val="24"/>
          <w:szCs w:val="24"/>
        </w:rPr>
      </w:pPr>
      <w:r w:rsidRPr="00485497">
        <w:rPr>
          <w:rFonts w:ascii="Arial" w:hAnsi="Arial" w:cs="Arial"/>
          <w:sz w:val="24"/>
          <w:szCs w:val="24"/>
        </w:rPr>
        <w:t>The comparative analysis of Toyota’s 7Ps marketing mix demonstrates a balance between global standardisation and local adaptation in Japan</w:t>
      </w:r>
      <w:r w:rsidR="009B494A" w:rsidRPr="00485497">
        <w:rPr>
          <w:rFonts w:ascii="Arial" w:hAnsi="Arial" w:cs="Arial"/>
          <w:sz w:val="24"/>
          <w:szCs w:val="24"/>
        </w:rPr>
        <w:t xml:space="preserve"> (home country)</w:t>
      </w:r>
      <w:r w:rsidRPr="00485497">
        <w:rPr>
          <w:rFonts w:ascii="Arial" w:hAnsi="Arial" w:cs="Arial"/>
          <w:sz w:val="24"/>
          <w:szCs w:val="24"/>
        </w:rPr>
        <w:t xml:space="preserve"> and the United States</w:t>
      </w:r>
      <w:r w:rsidR="009B494A" w:rsidRPr="00485497">
        <w:rPr>
          <w:rFonts w:ascii="Arial" w:hAnsi="Arial" w:cs="Arial"/>
          <w:sz w:val="24"/>
          <w:szCs w:val="24"/>
        </w:rPr>
        <w:t xml:space="preserve"> of America (host country)</w:t>
      </w:r>
      <w:r w:rsidRPr="00485497">
        <w:rPr>
          <w:rFonts w:ascii="Arial" w:hAnsi="Arial" w:cs="Arial"/>
          <w:sz w:val="24"/>
          <w:szCs w:val="24"/>
        </w:rPr>
        <w:t>. Across both markets, Toyota maintains consistent brand values centred on quality, reliability, innovation, and sustainability. However, significant adaptations are evident in product design, pricing approaches, promotional activities, and distribution strategies to accommodate differing consumer preferences and market conditions. Japan emphasises efficiency, reliability, and long-term value, whereas the United States prioritises innovation, performance, and customer experience. These adaptations enable Toyota to meet local customer expectations while sustaining a strong global competitive position in the rapidly growing electric vehicle market (Keegan and Green, 2023; Johnson et al., 2020)</w:t>
      </w:r>
      <w:r w:rsidR="00AE32DC" w:rsidRPr="00485497">
        <w:rPr>
          <w:rFonts w:ascii="Arial" w:hAnsi="Arial" w:cs="Arial"/>
          <w:sz w:val="24"/>
          <w:szCs w:val="24"/>
        </w:rPr>
        <w:t>.</w:t>
      </w:r>
    </w:p>
    <w:p w14:paraId="5F2E776C" w14:textId="77777777" w:rsidR="00BA7EFE" w:rsidRPr="00485497" w:rsidRDefault="00BA7EFE" w:rsidP="00485497">
      <w:pPr>
        <w:spacing w:line="360" w:lineRule="auto"/>
        <w:rPr>
          <w:rFonts w:ascii="Arial" w:hAnsi="Arial" w:cs="Arial"/>
          <w:sz w:val="24"/>
          <w:szCs w:val="24"/>
        </w:rPr>
      </w:pPr>
    </w:p>
    <w:p w14:paraId="16BE3946" w14:textId="77777777" w:rsidR="00BA7EFE" w:rsidRPr="00485497" w:rsidRDefault="00BA7EFE" w:rsidP="00485497">
      <w:pPr>
        <w:spacing w:line="360" w:lineRule="auto"/>
        <w:rPr>
          <w:rFonts w:ascii="Arial" w:hAnsi="Arial" w:cs="Arial"/>
          <w:sz w:val="24"/>
          <w:szCs w:val="24"/>
        </w:rPr>
      </w:pPr>
    </w:p>
    <w:p w14:paraId="383C855C" w14:textId="77777777" w:rsidR="00842931" w:rsidRPr="00485497" w:rsidRDefault="00842931" w:rsidP="00485497">
      <w:pPr>
        <w:spacing w:line="360" w:lineRule="auto"/>
        <w:rPr>
          <w:rFonts w:ascii="Arial" w:hAnsi="Arial" w:cs="Arial"/>
          <w:sz w:val="24"/>
          <w:szCs w:val="24"/>
        </w:rPr>
      </w:pPr>
    </w:p>
    <w:p w14:paraId="796377BB" w14:textId="77777777" w:rsidR="00842931" w:rsidRPr="00485497" w:rsidRDefault="00842931" w:rsidP="00485497">
      <w:pPr>
        <w:spacing w:line="360" w:lineRule="auto"/>
        <w:rPr>
          <w:rFonts w:ascii="Arial" w:hAnsi="Arial" w:cs="Arial"/>
          <w:sz w:val="24"/>
          <w:szCs w:val="24"/>
        </w:rPr>
      </w:pPr>
    </w:p>
    <w:p w14:paraId="177765F7" w14:textId="77777777" w:rsidR="00842931" w:rsidRPr="00485497" w:rsidRDefault="00842931" w:rsidP="00485497">
      <w:pPr>
        <w:spacing w:line="360" w:lineRule="auto"/>
        <w:rPr>
          <w:rFonts w:ascii="Arial" w:hAnsi="Arial" w:cs="Arial"/>
          <w:sz w:val="24"/>
          <w:szCs w:val="24"/>
        </w:rPr>
      </w:pPr>
    </w:p>
    <w:p w14:paraId="4A474ECE" w14:textId="77777777" w:rsidR="00842931" w:rsidRPr="00485497" w:rsidRDefault="00842931" w:rsidP="00485497">
      <w:pPr>
        <w:spacing w:line="360" w:lineRule="auto"/>
        <w:rPr>
          <w:rFonts w:ascii="Arial" w:hAnsi="Arial" w:cs="Arial"/>
          <w:sz w:val="24"/>
          <w:szCs w:val="24"/>
        </w:rPr>
      </w:pPr>
    </w:p>
    <w:p w14:paraId="2121468E" w14:textId="77777777" w:rsidR="00842931" w:rsidRPr="00485497" w:rsidRDefault="00842931" w:rsidP="00485497">
      <w:pPr>
        <w:spacing w:line="360" w:lineRule="auto"/>
        <w:rPr>
          <w:rFonts w:ascii="Arial" w:hAnsi="Arial" w:cs="Arial"/>
          <w:sz w:val="24"/>
          <w:szCs w:val="24"/>
        </w:rPr>
      </w:pPr>
    </w:p>
    <w:p w14:paraId="51B082E1" w14:textId="77777777" w:rsidR="00842931" w:rsidRPr="00485497" w:rsidRDefault="00842931" w:rsidP="00485497">
      <w:pPr>
        <w:spacing w:line="360" w:lineRule="auto"/>
        <w:rPr>
          <w:rFonts w:ascii="Arial" w:hAnsi="Arial" w:cs="Arial"/>
          <w:sz w:val="24"/>
          <w:szCs w:val="24"/>
        </w:rPr>
      </w:pPr>
    </w:p>
    <w:p w14:paraId="5485D10F" w14:textId="77777777" w:rsidR="00842931" w:rsidRPr="00485497" w:rsidRDefault="00842931" w:rsidP="00485497">
      <w:pPr>
        <w:spacing w:line="360" w:lineRule="auto"/>
        <w:rPr>
          <w:rFonts w:ascii="Arial" w:hAnsi="Arial" w:cs="Arial"/>
          <w:sz w:val="24"/>
          <w:szCs w:val="24"/>
        </w:rPr>
      </w:pPr>
    </w:p>
    <w:p w14:paraId="474E7809" w14:textId="77777777" w:rsidR="00842931" w:rsidRPr="00485497" w:rsidRDefault="00842931" w:rsidP="00485497">
      <w:pPr>
        <w:spacing w:line="360" w:lineRule="auto"/>
        <w:rPr>
          <w:rFonts w:ascii="Arial" w:hAnsi="Arial" w:cs="Arial"/>
          <w:sz w:val="24"/>
          <w:szCs w:val="24"/>
        </w:rPr>
      </w:pPr>
    </w:p>
    <w:p w14:paraId="7BE91AE5" w14:textId="77777777" w:rsidR="00842931" w:rsidRPr="00485497" w:rsidRDefault="00842931" w:rsidP="00485497">
      <w:pPr>
        <w:spacing w:line="360" w:lineRule="auto"/>
        <w:rPr>
          <w:rFonts w:ascii="Arial" w:hAnsi="Arial" w:cs="Arial"/>
          <w:sz w:val="24"/>
          <w:szCs w:val="24"/>
        </w:rPr>
      </w:pPr>
    </w:p>
    <w:p w14:paraId="70865926" w14:textId="363969F4" w:rsidR="00B566C5" w:rsidRPr="00485497" w:rsidRDefault="00B566C5" w:rsidP="00485497">
      <w:pPr>
        <w:spacing w:line="360" w:lineRule="auto"/>
        <w:rPr>
          <w:rFonts w:ascii="Arial" w:hAnsi="Arial" w:cs="Arial"/>
          <w:sz w:val="24"/>
          <w:szCs w:val="24"/>
        </w:rPr>
      </w:pPr>
      <w:r w:rsidRPr="00485497">
        <w:rPr>
          <w:rFonts w:ascii="Arial" w:hAnsi="Arial" w:cs="Arial"/>
          <w:sz w:val="24"/>
          <w:szCs w:val="24"/>
        </w:rPr>
        <w:t>CHPTER 5 TOYOTA’S MARKET ENTRY ANALYSIS OF USA</w:t>
      </w:r>
      <w:r w:rsidR="00BA7EFE" w:rsidRPr="00485497">
        <w:rPr>
          <w:rFonts w:ascii="Arial" w:hAnsi="Arial" w:cs="Arial"/>
          <w:sz w:val="24"/>
          <w:szCs w:val="24"/>
        </w:rPr>
        <w:t>.</w:t>
      </w:r>
    </w:p>
    <w:p w14:paraId="1EA0B0C5" w14:textId="77777777" w:rsidR="00BA7EFE" w:rsidRPr="00485497" w:rsidRDefault="00BA7EFE" w:rsidP="00485497">
      <w:pPr>
        <w:spacing w:line="360" w:lineRule="auto"/>
        <w:rPr>
          <w:rFonts w:ascii="Arial" w:hAnsi="Arial" w:cs="Arial"/>
          <w:sz w:val="24"/>
          <w:szCs w:val="24"/>
        </w:rPr>
      </w:pPr>
    </w:p>
    <w:p w14:paraId="6D1709C7" w14:textId="7D5CB15A" w:rsidR="00B566C5" w:rsidRPr="00485497" w:rsidRDefault="00B566C5" w:rsidP="00485497">
      <w:pPr>
        <w:spacing w:line="360" w:lineRule="auto"/>
        <w:rPr>
          <w:rFonts w:ascii="Arial" w:hAnsi="Arial" w:cs="Arial"/>
          <w:sz w:val="24"/>
          <w:szCs w:val="24"/>
        </w:rPr>
      </w:pPr>
      <w:r w:rsidRPr="00485497">
        <w:rPr>
          <w:rFonts w:ascii="Arial" w:hAnsi="Arial" w:cs="Arial"/>
          <w:sz w:val="24"/>
          <w:szCs w:val="24"/>
        </w:rPr>
        <w:t>5.1 Overview of Toyota’s International Expansion</w:t>
      </w:r>
      <w:r w:rsidR="00BA7EFE" w:rsidRPr="00485497">
        <w:rPr>
          <w:rFonts w:ascii="Arial" w:hAnsi="Arial" w:cs="Arial"/>
          <w:sz w:val="24"/>
          <w:szCs w:val="24"/>
        </w:rPr>
        <w:t>.</w:t>
      </w:r>
    </w:p>
    <w:p w14:paraId="4C208018" w14:textId="77777777" w:rsidR="00BA7EFE" w:rsidRPr="00485497" w:rsidRDefault="00BA7EFE" w:rsidP="00485497">
      <w:pPr>
        <w:spacing w:line="360" w:lineRule="auto"/>
        <w:rPr>
          <w:rFonts w:ascii="Arial" w:hAnsi="Arial" w:cs="Arial"/>
          <w:sz w:val="24"/>
          <w:szCs w:val="24"/>
        </w:rPr>
      </w:pPr>
    </w:p>
    <w:p w14:paraId="06B55827" w14:textId="5523D069" w:rsidR="00AE650B" w:rsidRPr="00485497" w:rsidRDefault="00AE650B" w:rsidP="00485497">
      <w:pPr>
        <w:spacing w:after="0" w:line="360" w:lineRule="auto"/>
        <w:rPr>
          <w:rFonts w:ascii="Arial" w:hAnsi="Arial" w:cs="Arial"/>
          <w:sz w:val="24"/>
          <w:szCs w:val="24"/>
        </w:rPr>
      </w:pPr>
      <w:r w:rsidRPr="00485497">
        <w:rPr>
          <w:rFonts w:ascii="Arial" w:hAnsi="Arial" w:cs="Arial"/>
          <w:sz w:val="24"/>
          <w:szCs w:val="24"/>
        </w:rPr>
        <w:t xml:space="preserve">(See Appendix </w:t>
      </w:r>
      <w:r w:rsidR="00777614" w:rsidRPr="00485497">
        <w:rPr>
          <w:rFonts w:ascii="Arial" w:hAnsi="Arial" w:cs="Arial"/>
          <w:sz w:val="24"/>
          <w:szCs w:val="24"/>
        </w:rPr>
        <w:t>6</w:t>
      </w:r>
      <w:r w:rsidRPr="00485497">
        <w:rPr>
          <w:rFonts w:ascii="Arial" w:hAnsi="Arial" w:cs="Arial"/>
          <w:sz w:val="24"/>
          <w:szCs w:val="24"/>
        </w:rPr>
        <w:t xml:space="preserve">: </w:t>
      </w:r>
      <w:r w:rsidRPr="00485497">
        <w:rPr>
          <w:rFonts w:ascii="Arial" w:hAnsi="Arial" w:cs="Arial"/>
          <w:sz w:val="24"/>
          <w:szCs w:val="24"/>
          <w:lang w:val="en-US"/>
        </w:rPr>
        <w:t xml:space="preserve">Toyota’s </w:t>
      </w:r>
      <w:r w:rsidR="007F086F" w:rsidRPr="00485497">
        <w:rPr>
          <w:rFonts w:ascii="Arial" w:hAnsi="Arial" w:cs="Arial"/>
          <w:sz w:val="24"/>
          <w:szCs w:val="24"/>
        </w:rPr>
        <w:t xml:space="preserve">International Expansion into the United States </w:t>
      </w:r>
      <w:r w:rsidRPr="00485497">
        <w:rPr>
          <w:rFonts w:ascii="Arial" w:hAnsi="Arial" w:cs="Arial"/>
          <w:sz w:val="24"/>
          <w:szCs w:val="24"/>
        </w:rPr>
        <w:t>Analysis</w:t>
      </w:r>
      <w:r w:rsidR="002939DE" w:rsidRPr="00485497">
        <w:rPr>
          <w:rFonts w:ascii="Arial" w:hAnsi="Arial" w:cs="Arial"/>
          <w:sz w:val="24"/>
          <w:szCs w:val="24"/>
        </w:rPr>
        <w:t>, and Table 6</w:t>
      </w:r>
      <w:r w:rsidR="00611A6C" w:rsidRPr="00485497">
        <w:rPr>
          <w:rFonts w:ascii="Arial" w:hAnsi="Arial" w:cs="Arial"/>
          <w:sz w:val="24"/>
          <w:szCs w:val="24"/>
        </w:rPr>
        <w:t xml:space="preserve">: </w:t>
      </w:r>
      <w:r w:rsidR="00F14B93" w:rsidRPr="00485497">
        <w:rPr>
          <w:rFonts w:ascii="Arial" w:hAnsi="Arial" w:cs="Arial"/>
          <w:sz w:val="24"/>
          <w:szCs w:val="24"/>
        </w:rPr>
        <w:t>Key Stages of Toyota's Expansion into the United States</w:t>
      </w:r>
      <w:r w:rsidR="00611A6C" w:rsidRPr="00485497">
        <w:rPr>
          <w:rFonts w:ascii="Arial" w:hAnsi="Arial" w:cs="Arial"/>
          <w:sz w:val="24"/>
          <w:szCs w:val="24"/>
        </w:rPr>
        <w:t>.</w:t>
      </w:r>
    </w:p>
    <w:p w14:paraId="2D161E13" w14:textId="77777777" w:rsidR="00611A6C" w:rsidRPr="00485497" w:rsidRDefault="00611A6C" w:rsidP="00485497">
      <w:pPr>
        <w:spacing w:after="0" w:line="360" w:lineRule="auto"/>
        <w:rPr>
          <w:rFonts w:ascii="Arial" w:hAnsi="Arial" w:cs="Arial"/>
          <w:sz w:val="24"/>
          <w:szCs w:val="24"/>
        </w:rPr>
      </w:pPr>
    </w:p>
    <w:p w14:paraId="2048D113" w14:textId="42AF3FE3" w:rsidR="00017B86" w:rsidRPr="00485497" w:rsidRDefault="005D7B4A" w:rsidP="00485497">
      <w:pPr>
        <w:spacing w:line="360" w:lineRule="auto"/>
        <w:rPr>
          <w:rFonts w:ascii="Arial" w:hAnsi="Arial" w:cs="Arial"/>
          <w:sz w:val="24"/>
          <w:szCs w:val="24"/>
        </w:rPr>
      </w:pPr>
      <w:r w:rsidRPr="00485497">
        <w:rPr>
          <w:rFonts w:ascii="Arial" w:hAnsi="Arial" w:cs="Arial"/>
          <w:sz w:val="24"/>
          <w:szCs w:val="24"/>
          <w:lang w:val="en-US"/>
        </w:rPr>
        <w:t>5</w:t>
      </w:r>
      <w:r w:rsidR="00C65B07" w:rsidRPr="00485497">
        <w:rPr>
          <w:rFonts w:ascii="Arial" w:hAnsi="Arial" w:cs="Arial"/>
          <w:sz w:val="24"/>
          <w:szCs w:val="24"/>
          <w:lang w:val="en-US"/>
        </w:rPr>
        <w:t xml:space="preserve">.1.1 </w:t>
      </w:r>
      <w:r w:rsidR="00017B86" w:rsidRPr="00485497">
        <w:rPr>
          <w:rFonts w:ascii="Arial" w:hAnsi="Arial" w:cs="Arial"/>
          <w:sz w:val="24"/>
          <w:szCs w:val="24"/>
          <w:lang w:val="en-US"/>
        </w:rPr>
        <w:t>T</w:t>
      </w:r>
      <w:r w:rsidR="00A73C8C" w:rsidRPr="00485497">
        <w:rPr>
          <w:rFonts w:ascii="Arial" w:hAnsi="Arial" w:cs="Arial"/>
          <w:sz w:val="24"/>
          <w:szCs w:val="24"/>
          <w:lang w:val="en-US"/>
        </w:rPr>
        <w:t xml:space="preserve">he </w:t>
      </w:r>
      <w:r w:rsidR="00810BD8" w:rsidRPr="00485497">
        <w:rPr>
          <w:rFonts w:ascii="Arial" w:hAnsi="Arial" w:cs="Arial"/>
          <w:sz w:val="24"/>
          <w:szCs w:val="24"/>
        </w:rPr>
        <w:t>overview</w:t>
      </w:r>
      <w:r w:rsidR="00017B86" w:rsidRPr="00485497">
        <w:rPr>
          <w:rFonts w:ascii="Arial" w:hAnsi="Arial" w:cs="Arial"/>
          <w:sz w:val="24"/>
          <w:szCs w:val="24"/>
        </w:rPr>
        <w:t xml:space="preserve"> of Toyota’s International</w:t>
      </w:r>
      <w:r w:rsidR="00A43B00" w:rsidRPr="00485497">
        <w:rPr>
          <w:rFonts w:ascii="Arial" w:hAnsi="Arial" w:cs="Arial"/>
          <w:sz w:val="24"/>
          <w:szCs w:val="24"/>
        </w:rPr>
        <w:t xml:space="preserve"> </w:t>
      </w:r>
      <w:r w:rsidR="00017B86" w:rsidRPr="00485497">
        <w:rPr>
          <w:rFonts w:ascii="Arial" w:hAnsi="Arial" w:cs="Arial"/>
          <w:sz w:val="24"/>
          <w:szCs w:val="24"/>
        </w:rPr>
        <w:t>Expansion into the United States</w:t>
      </w:r>
      <w:r w:rsidR="00C65B07" w:rsidRPr="00485497">
        <w:rPr>
          <w:rFonts w:ascii="Arial" w:hAnsi="Arial" w:cs="Arial"/>
          <w:sz w:val="24"/>
          <w:szCs w:val="24"/>
        </w:rPr>
        <w:t>.</w:t>
      </w:r>
    </w:p>
    <w:p w14:paraId="248986B8" w14:textId="77777777" w:rsidR="00017B86" w:rsidRPr="00485497" w:rsidRDefault="00017B86" w:rsidP="00485497">
      <w:pPr>
        <w:spacing w:line="360" w:lineRule="auto"/>
        <w:rPr>
          <w:rFonts w:ascii="Arial" w:hAnsi="Arial" w:cs="Arial"/>
          <w:sz w:val="24"/>
          <w:szCs w:val="24"/>
        </w:rPr>
      </w:pPr>
      <w:r w:rsidRPr="00485497">
        <w:rPr>
          <w:rFonts w:ascii="Arial" w:hAnsi="Arial" w:cs="Arial"/>
          <w:sz w:val="24"/>
          <w:szCs w:val="24"/>
        </w:rPr>
        <w:t>The United States has been one of Toyota’s most important international markets and a central component of its global expansion strategy. Toyota initially entered the U.S. market through vehicle exports during the 1950s before progressively increasing its commitment through foreign direct investment (FDI), local manufacturing facilities, and strategic partnerships. This expansion enabled Toyota to establish a strong market presence, improve responsiveness to local customer needs, and reduce the costs associated with exporting vehicles from Japan. The company’s long-term investment approach reflects its objective of securing sustainable growth and strengthening its competitive position within one of the world's largest automotive markets (Liker, 2004).</w:t>
      </w:r>
    </w:p>
    <w:p w14:paraId="4B01F8E4" w14:textId="77777777" w:rsidR="00017B86" w:rsidRPr="00485497" w:rsidRDefault="00017B86" w:rsidP="00485497">
      <w:pPr>
        <w:spacing w:after="0" w:line="360" w:lineRule="auto"/>
        <w:rPr>
          <w:rFonts w:ascii="Arial" w:hAnsi="Arial" w:cs="Arial"/>
          <w:sz w:val="24"/>
          <w:szCs w:val="24"/>
        </w:rPr>
      </w:pPr>
      <w:r w:rsidRPr="00485497">
        <w:rPr>
          <w:rFonts w:ascii="Arial" w:hAnsi="Arial" w:cs="Arial"/>
          <w:sz w:val="24"/>
          <w:szCs w:val="24"/>
        </w:rPr>
        <w:t>Toyota's expansion into the United States reflects a gradual and strategic internationalisation process. Rather than relying solely on exports, the company invested heavily in local production and operational capabilities. This approach enabled Toyota to overcome trade barriers, reduce transportation costs, and respond more effectively to changes in consumer demand. The establishment of manufacturing facilities also supported Toyota's renowned production system, allowing the company to maintain quality standards while increasing operational efficiency (Womack, Jones and Roos, 1990).</w:t>
      </w:r>
    </w:p>
    <w:p w14:paraId="25B61793" w14:textId="614416D8" w:rsidR="00017B86" w:rsidRPr="00485497" w:rsidRDefault="00017B86" w:rsidP="00485497">
      <w:pPr>
        <w:spacing w:after="0" w:line="360" w:lineRule="auto"/>
        <w:rPr>
          <w:rFonts w:ascii="Arial" w:hAnsi="Arial" w:cs="Arial"/>
          <w:sz w:val="24"/>
          <w:szCs w:val="24"/>
        </w:rPr>
      </w:pPr>
      <w:r w:rsidRPr="00485497">
        <w:rPr>
          <w:rFonts w:ascii="Arial" w:hAnsi="Arial" w:cs="Arial"/>
          <w:sz w:val="24"/>
          <w:szCs w:val="24"/>
        </w:rPr>
        <w:t xml:space="preserve">Furthermore, Toyota's expansion strategy aligns with the resource-based view of competitive advantage, whereby the company's manufacturing expertise, technological capabilities, and organisational knowledge have been leveraged to create sustainable competitive advantages within the U.S. market </w:t>
      </w:r>
      <w:r w:rsidR="00DB3540" w:rsidRPr="00485497">
        <w:rPr>
          <w:rFonts w:ascii="Arial" w:hAnsi="Arial" w:cs="Arial"/>
          <w:sz w:val="24"/>
          <w:szCs w:val="24"/>
        </w:rPr>
        <w:t xml:space="preserve">in </w:t>
      </w:r>
      <w:r w:rsidR="006B781D" w:rsidRPr="00485497">
        <w:rPr>
          <w:rFonts w:ascii="Arial" w:hAnsi="Arial" w:cs="Arial"/>
          <w:sz w:val="24"/>
          <w:szCs w:val="24"/>
        </w:rPr>
        <w:t xml:space="preserve">accordance with </w:t>
      </w:r>
      <w:r w:rsidRPr="00485497">
        <w:rPr>
          <w:rFonts w:ascii="Arial" w:hAnsi="Arial" w:cs="Arial"/>
          <w:sz w:val="24"/>
          <w:szCs w:val="24"/>
        </w:rPr>
        <w:t xml:space="preserve">Barney </w:t>
      </w:r>
      <w:r w:rsidR="006F5EB3" w:rsidRPr="00485497">
        <w:rPr>
          <w:rFonts w:ascii="Arial" w:hAnsi="Arial" w:cs="Arial"/>
          <w:sz w:val="24"/>
          <w:szCs w:val="24"/>
        </w:rPr>
        <w:t>(</w:t>
      </w:r>
      <w:r w:rsidRPr="00485497">
        <w:rPr>
          <w:rFonts w:ascii="Arial" w:hAnsi="Arial" w:cs="Arial"/>
          <w:sz w:val="24"/>
          <w:szCs w:val="24"/>
        </w:rPr>
        <w:t>1991). More recently, investments in electric vehicle production and battery technologies demonstrate Toyota's commitment to maintaining long-term competitiveness in a rapidly evolving automotive industry.</w:t>
      </w:r>
    </w:p>
    <w:p w14:paraId="2FC73E9B" w14:textId="77777777" w:rsidR="00FD062A" w:rsidRPr="00485497" w:rsidRDefault="00FD062A" w:rsidP="00485497">
      <w:pPr>
        <w:spacing w:after="0" w:line="360" w:lineRule="auto"/>
        <w:rPr>
          <w:rFonts w:ascii="Arial" w:hAnsi="Arial" w:cs="Arial"/>
          <w:sz w:val="24"/>
          <w:szCs w:val="24"/>
        </w:rPr>
      </w:pPr>
    </w:p>
    <w:p w14:paraId="55B32696" w14:textId="11C6930A" w:rsidR="00017B86" w:rsidRPr="00485497" w:rsidRDefault="00FD062A" w:rsidP="00485497">
      <w:pPr>
        <w:spacing w:after="0" w:line="360" w:lineRule="auto"/>
        <w:rPr>
          <w:rFonts w:ascii="Arial" w:hAnsi="Arial" w:cs="Arial"/>
          <w:sz w:val="24"/>
          <w:szCs w:val="24"/>
        </w:rPr>
      </w:pPr>
      <w:r w:rsidRPr="00485497">
        <w:rPr>
          <w:rFonts w:ascii="Arial" w:hAnsi="Arial" w:cs="Arial"/>
          <w:sz w:val="24"/>
          <w:szCs w:val="24"/>
        </w:rPr>
        <w:t xml:space="preserve">5.1.2 </w:t>
      </w:r>
      <w:r w:rsidR="00017B86" w:rsidRPr="00485497">
        <w:rPr>
          <w:rFonts w:ascii="Arial" w:hAnsi="Arial" w:cs="Arial"/>
          <w:sz w:val="24"/>
          <w:szCs w:val="24"/>
        </w:rPr>
        <w:t>Summary</w:t>
      </w:r>
      <w:r w:rsidR="006E539A" w:rsidRPr="00485497">
        <w:rPr>
          <w:rFonts w:ascii="Arial" w:hAnsi="Arial" w:cs="Arial"/>
          <w:sz w:val="24"/>
          <w:szCs w:val="24"/>
        </w:rPr>
        <w:t xml:space="preserve"> of the Overview.</w:t>
      </w:r>
    </w:p>
    <w:p w14:paraId="2728DCD0" w14:textId="77777777" w:rsidR="00A2156B" w:rsidRPr="00485497" w:rsidRDefault="00A2156B" w:rsidP="00485497">
      <w:pPr>
        <w:spacing w:after="0" w:line="360" w:lineRule="auto"/>
        <w:rPr>
          <w:rFonts w:ascii="Arial" w:hAnsi="Arial" w:cs="Arial"/>
          <w:sz w:val="24"/>
          <w:szCs w:val="24"/>
        </w:rPr>
      </w:pPr>
    </w:p>
    <w:p w14:paraId="2570C519" w14:textId="2297445B" w:rsidR="00BA7EFE" w:rsidRPr="00485497" w:rsidRDefault="00017B86" w:rsidP="00485497">
      <w:pPr>
        <w:spacing w:after="0" w:line="360" w:lineRule="auto"/>
        <w:rPr>
          <w:rFonts w:ascii="Arial" w:hAnsi="Arial" w:cs="Arial"/>
          <w:sz w:val="24"/>
          <w:szCs w:val="24"/>
        </w:rPr>
      </w:pPr>
      <w:r w:rsidRPr="00485497">
        <w:rPr>
          <w:rFonts w:ascii="Arial" w:hAnsi="Arial" w:cs="Arial"/>
          <w:sz w:val="24"/>
          <w:szCs w:val="24"/>
        </w:rPr>
        <w:t>Overall, Toyota's expansion into the United States has evolved from a simple export strategy to a comprehensive market presence supported by foreign direct investment, local manufacturing, and technological innovation. This long-term commitment has enabled the company to establish a strong competitive position, increase market share, and support the future growth of its electric vehicle business in the United States (Grant, 2022; Hitt, Ireland and Hoskisson, 2019).</w:t>
      </w:r>
    </w:p>
    <w:p w14:paraId="0453A77E" w14:textId="77777777" w:rsidR="00BA7EFE" w:rsidRPr="00485497" w:rsidRDefault="00BA7EFE" w:rsidP="00485497">
      <w:pPr>
        <w:spacing w:line="360" w:lineRule="auto"/>
        <w:rPr>
          <w:rFonts w:ascii="Arial" w:hAnsi="Arial" w:cs="Arial"/>
          <w:sz w:val="24"/>
          <w:szCs w:val="24"/>
        </w:rPr>
      </w:pPr>
    </w:p>
    <w:p w14:paraId="5CD87FA4" w14:textId="68636A42" w:rsidR="00971205" w:rsidRPr="00485497" w:rsidRDefault="00B566C5" w:rsidP="00485497">
      <w:pPr>
        <w:spacing w:line="360" w:lineRule="auto"/>
        <w:rPr>
          <w:rFonts w:ascii="Arial" w:hAnsi="Arial" w:cs="Arial"/>
          <w:sz w:val="24"/>
          <w:szCs w:val="24"/>
        </w:rPr>
      </w:pPr>
      <w:r w:rsidRPr="00485497">
        <w:rPr>
          <w:rFonts w:ascii="Arial" w:hAnsi="Arial" w:cs="Arial"/>
          <w:sz w:val="24"/>
          <w:szCs w:val="24"/>
        </w:rPr>
        <w:t>5.2 Toyota’s International Market Entry Strategy</w:t>
      </w:r>
      <w:r w:rsidR="00BA7EFE" w:rsidRPr="00485497">
        <w:rPr>
          <w:rFonts w:ascii="Arial" w:hAnsi="Arial" w:cs="Arial"/>
          <w:sz w:val="24"/>
          <w:szCs w:val="24"/>
        </w:rPr>
        <w:t>.</w:t>
      </w:r>
      <w:r w:rsidRPr="00485497">
        <w:rPr>
          <w:rFonts w:ascii="Arial" w:hAnsi="Arial" w:cs="Arial"/>
          <w:sz w:val="24"/>
          <w:szCs w:val="24"/>
        </w:rPr>
        <w:t xml:space="preserve">                                                     </w:t>
      </w:r>
    </w:p>
    <w:p w14:paraId="1D5825A8" w14:textId="77777777" w:rsidR="00FF23DF" w:rsidRPr="00485497" w:rsidRDefault="00FF23DF" w:rsidP="00485497">
      <w:pPr>
        <w:spacing w:after="0" w:line="360" w:lineRule="auto"/>
        <w:rPr>
          <w:rFonts w:ascii="Arial" w:hAnsi="Arial" w:cs="Arial"/>
          <w:sz w:val="24"/>
          <w:szCs w:val="24"/>
        </w:rPr>
      </w:pPr>
    </w:p>
    <w:p w14:paraId="2B034CAD" w14:textId="1FFF33BF" w:rsidR="009F4F57" w:rsidRPr="00485497" w:rsidRDefault="009F4F57" w:rsidP="00485497">
      <w:pPr>
        <w:spacing w:after="0" w:line="360" w:lineRule="auto"/>
        <w:rPr>
          <w:rFonts w:ascii="Arial" w:hAnsi="Arial" w:cs="Arial"/>
          <w:sz w:val="24"/>
          <w:szCs w:val="24"/>
        </w:rPr>
      </w:pPr>
      <w:r w:rsidRPr="00485497">
        <w:rPr>
          <w:rFonts w:ascii="Arial" w:hAnsi="Arial" w:cs="Arial"/>
          <w:sz w:val="24"/>
          <w:szCs w:val="24"/>
        </w:rPr>
        <w:t>Toyota’s International Market Entry Strategy in the United States</w:t>
      </w:r>
      <w:r w:rsidR="0082016E" w:rsidRPr="00485497">
        <w:rPr>
          <w:rFonts w:ascii="Arial" w:hAnsi="Arial" w:cs="Arial"/>
          <w:sz w:val="24"/>
          <w:szCs w:val="24"/>
        </w:rPr>
        <w:t xml:space="preserve"> did</w:t>
      </w:r>
      <w:r w:rsidRPr="00485497">
        <w:rPr>
          <w:rFonts w:ascii="Arial" w:hAnsi="Arial" w:cs="Arial"/>
          <w:sz w:val="24"/>
          <w:szCs w:val="24"/>
        </w:rPr>
        <w:t xml:space="preserve"> </w:t>
      </w:r>
      <w:r w:rsidR="00F562A3" w:rsidRPr="00485497">
        <w:rPr>
          <w:rFonts w:ascii="Arial" w:hAnsi="Arial" w:cs="Arial"/>
          <w:sz w:val="24"/>
          <w:szCs w:val="24"/>
        </w:rPr>
        <w:t>adopt</w:t>
      </w:r>
      <w:r w:rsidRPr="00485497">
        <w:rPr>
          <w:rFonts w:ascii="Arial" w:hAnsi="Arial" w:cs="Arial"/>
          <w:sz w:val="24"/>
          <w:szCs w:val="24"/>
        </w:rPr>
        <w:t xml:space="preserve"> a gradual and low-risk market entry strategy when entering the United States, evolving from exporting vehicles to establishing extensive local manufacturing operations through foreign direct investment (FDI). Initially, the company entered the U.S.</w:t>
      </w:r>
      <w:r w:rsidR="0078649A" w:rsidRPr="00485497">
        <w:rPr>
          <w:rFonts w:ascii="Arial" w:hAnsi="Arial" w:cs="Arial"/>
          <w:sz w:val="24"/>
          <w:szCs w:val="24"/>
        </w:rPr>
        <w:t>A</w:t>
      </w:r>
      <w:r w:rsidRPr="00485497">
        <w:rPr>
          <w:rFonts w:ascii="Arial" w:hAnsi="Arial" w:cs="Arial"/>
          <w:sz w:val="24"/>
          <w:szCs w:val="24"/>
        </w:rPr>
        <w:t xml:space="preserve"> market through exports, allowing Toyota to test consumer demand and build brand recognition without committing significant resources. As demand for Toyota vehicles increased, the company shifted towards a more committed market entry approach by developing dealer networks and investing in local production facilities (Liker, 2004).</w:t>
      </w:r>
    </w:p>
    <w:p w14:paraId="38A14EE8" w14:textId="77777777" w:rsidR="009F4F57" w:rsidRPr="00485497" w:rsidRDefault="009F4F57" w:rsidP="00485497">
      <w:pPr>
        <w:spacing w:after="0" w:line="360" w:lineRule="auto"/>
        <w:rPr>
          <w:rFonts w:ascii="Arial" w:hAnsi="Arial" w:cs="Arial"/>
          <w:sz w:val="24"/>
          <w:szCs w:val="24"/>
        </w:rPr>
      </w:pPr>
      <w:r w:rsidRPr="00485497">
        <w:rPr>
          <w:rFonts w:ascii="Arial" w:hAnsi="Arial" w:cs="Arial"/>
          <w:sz w:val="24"/>
          <w:szCs w:val="24"/>
        </w:rPr>
        <w:t>A significant milestone in Toyota’s market entry strategy was the formation of the New United Motor Manufacturing, Inc. (NUMMI) joint venture with General Motors in 1984. This strategic alliance enabled Toyota to gain valuable knowledge of the American market, labour practices, and consumer preferences while sharing operational risks. The experience gained through NUMMI provided a foundation for Toyota’s subsequent expansion across the United States (Womack, Jones and Roos, 1990).</w:t>
      </w:r>
    </w:p>
    <w:p w14:paraId="1F5CEDC1" w14:textId="77777777" w:rsidR="009F4F57" w:rsidRPr="00485497" w:rsidRDefault="009F4F57" w:rsidP="00485497">
      <w:pPr>
        <w:spacing w:after="0" w:line="360" w:lineRule="auto"/>
        <w:rPr>
          <w:rFonts w:ascii="Arial" w:hAnsi="Arial" w:cs="Arial"/>
          <w:sz w:val="24"/>
          <w:szCs w:val="24"/>
        </w:rPr>
      </w:pPr>
      <w:r w:rsidRPr="00485497">
        <w:rPr>
          <w:rFonts w:ascii="Arial" w:hAnsi="Arial" w:cs="Arial"/>
          <w:sz w:val="24"/>
          <w:szCs w:val="24"/>
        </w:rPr>
        <w:t xml:space="preserve">Following the success of the joint venture, Toyota adopted a foreign direct investment strategy by establishing wholly owned manufacturing plants in several U.S. states. This approach allowed the company to reduce transportation costs, avoid trade restrictions, improve supply chain efficiency, and respond more effectively to local market conditions. Furthermore, local production strengthened </w:t>
      </w:r>
      <w:r w:rsidRPr="00485497">
        <w:rPr>
          <w:rFonts w:ascii="Arial" w:hAnsi="Arial" w:cs="Arial"/>
          <w:sz w:val="24"/>
          <w:szCs w:val="24"/>
        </w:rPr>
        <w:lastRenderedPageBreak/>
        <w:t>Toyota’s relationship with American consumers and enhanced its reputation as a contributor to the U.S. economy (Johnson et al., 2020).</w:t>
      </w:r>
    </w:p>
    <w:p w14:paraId="4B19C5ED" w14:textId="0FD2E781" w:rsidR="009F4F57" w:rsidRPr="00485497" w:rsidRDefault="009F4F57" w:rsidP="00485497">
      <w:pPr>
        <w:spacing w:after="0" w:line="360" w:lineRule="auto"/>
        <w:rPr>
          <w:rFonts w:ascii="Arial" w:hAnsi="Arial" w:cs="Arial"/>
          <w:sz w:val="24"/>
          <w:szCs w:val="24"/>
        </w:rPr>
      </w:pPr>
      <w:r w:rsidRPr="00485497">
        <w:rPr>
          <w:rFonts w:ascii="Arial" w:hAnsi="Arial" w:cs="Arial"/>
          <w:sz w:val="24"/>
          <w:szCs w:val="24"/>
        </w:rPr>
        <w:t xml:space="preserve">From a strategic perspective, Toyota’s entry mode reflects a balance between risk reduction and long-term commitment. The progression from exporting to joint ventures and ultimately to wholly owned subsidiaries </w:t>
      </w:r>
      <w:r w:rsidR="00324FF4" w:rsidRPr="00485497">
        <w:rPr>
          <w:rFonts w:ascii="Arial" w:hAnsi="Arial" w:cs="Arial"/>
          <w:sz w:val="24"/>
          <w:szCs w:val="24"/>
        </w:rPr>
        <w:t>demonstrate</w:t>
      </w:r>
      <w:r w:rsidRPr="00485497">
        <w:rPr>
          <w:rFonts w:ascii="Arial" w:hAnsi="Arial" w:cs="Arial"/>
          <w:sz w:val="24"/>
          <w:szCs w:val="24"/>
        </w:rPr>
        <w:t xml:space="preserve"> a carefully planned internationalisation process designed to maximise competitive advantage and market penetration. This strategy has enabled Toyota to become one of the most successful foreign automotive manufacturers in the United States while supporting the company’s current expansion into the electric vehicle market (Grant, 2022; Hitt, Ireland and Hoskisson, 2019).</w:t>
      </w:r>
    </w:p>
    <w:p w14:paraId="377763F7" w14:textId="77777777" w:rsidR="00DA2B95" w:rsidRPr="00485497" w:rsidRDefault="00DA2B95" w:rsidP="00485497">
      <w:pPr>
        <w:spacing w:after="0" w:line="360" w:lineRule="auto"/>
        <w:rPr>
          <w:rFonts w:ascii="Arial" w:hAnsi="Arial" w:cs="Arial"/>
          <w:sz w:val="24"/>
          <w:szCs w:val="24"/>
        </w:rPr>
      </w:pPr>
    </w:p>
    <w:p w14:paraId="01A84253" w14:textId="77777777" w:rsidR="000A1413" w:rsidRPr="00485497" w:rsidRDefault="000A1413" w:rsidP="00485497">
      <w:pPr>
        <w:spacing w:line="360" w:lineRule="auto"/>
        <w:rPr>
          <w:rFonts w:ascii="Arial" w:hAnsi="Arial" w:cs="Arial"/>
          <w:sz w:val="24"/>
          <w:szCs w:val="24"/>
        </w:rPr>
      </w:pPr>
    </w:p>
    <w:p w14:paraId="72D2B536" w14:textId="77777777" w:rsidR="000A1413" w:rsidRPr="00485497" w:rsidRDefault="000A1413" w:rsidP="00485497">
      <w:pPr>
        <w:spacing w:line="360" w:lineRule="auto"/>
        <w:rPr>
          <w:rFonts w:ascii="Arial" w:hAnsi="Arial" w:cs="Arial"/>
          <w:sz w:val="24"/>
          <w:szCs w:val="24"/>
        </w:rPr>
      </w:pPr>
    </w:p>
    <w:p w14:paraId="518F3D55" w14:textId="77777777" w:rsidR="000A1413" w:rsidRPr="00485497" w:rsidRDefault="000A1413" w:rsidP="00485497">
      <w:pPr>
        <w:spacing w:line="360" w:lineRule="auto"/>
        <w:rPr>
          <w:rFonts w:ascii="Arial" w:hAnsi="Arial" w:cs="Arial"/>
          <w:sz w:val="24"/>
          <w:szCs w:val="24"/>
        </w:rPr>
      </w:pPr>
    </w:p>
    <w:p w14:paraId="0D545AB7" w14:textId="77777777" w:rsidR="000A1413" w:rsidRPr="00485497" w:rsidRDefault="000A1413" w:rsidP="00485497">
      <w:pPr>
        <w:spacing w:line="360" w:lineRule="auto"/>
        <w:rPr>
          <w:rFonts w:ascii="Arial" w:hAnsi="Arial" w:cs="Arial"/>
          <w:sz w:val="24"/>
          <w:szCs w:val="24"/>
        </w:rPr>
      </w:pPr>
    </w:p>
    <w:p w14:paraId="53169E23" w14:textId="77777777" w:rsidR="000A1413" w:rsidRPr="00485497" w:rsidRDefault="000A1413" w:rsidP="00485497">
      <w:pPr>
        <w:spacing w:line="360" w:lineRule="auto"/>
        <w:rPr>
          <w:rFonts w:ascii="Arial" w:hAnsi="Arial" w:cs="Arial"/>
          <w:sz w:val="24"/>
          <w:szCs w:val="24"/>
        </w:rPr>
      </w:pPr>
    </w:p>
    <w:p w14:paraId="7430C249" w14:textId="77777777" w:rsidR="000A1413" w:rsidRPr="00485497" w:rsidRDefault="000A1413" w:rsidP="00485497">
      <w:pPr>
        <w:spacing w:line="360" w:lineRule="auto"/>
        <w:rPr>
          <w:rFonts w:ascii="Arial" w:hAnsi="Arial" w:cs="Arial"/>
          <w:sz w:val="24"/>
          <w:szCs w:val="24"/>
        </w:rPr>
      </w:pPr>
    </w:p>
    <w:p w14:paraId="778FD1DD" w14:textId="77777777" w:rsidR="000A1413" w:rsidRPr="00485497" w:rsidRDefault="000A1413" w:rsidP="00485497">
      <w:pPr>
        <w:spacing w:line="360" w:lineRule="auto"/>
        <w:rPr>
          <w:rFonts w:ascii="Arial" w:hAnsi="Arial" w:cs="Arial"/>
          <w:sz w:val="24"/>
          <w:szCs w:val="24"/>
        </w:rPr>
      </w:pPr>
    </w:p>
    <w:p w14:paraId="50FF5B66" w14:textId="77777777" w:rsidR="000A1413" w:rsidRPr="00485497" w:rsidRDefault="000A1413" w:rsidP="00485497">
      <w:pPr>
        <w:spacing w:line="360" w:lineRule="auto"/>
        <w:rPr>
          <w:rFonts w:ascii="Arial" w:hAnsi="Arial" w:cs="Arial"/>
          <w:sz w:val="24"/>
          <w:szCs w:val="24"/>
        </w:rPr>
      </w:pPr>
    </w:p>
    <w:p w14:paraId="25E18733" w14:textId="77777777" w:rsidR="000A1413" w:rsidRPr="00485497" w:rsidRDefault="000A1413" w:rsidP="00485497">
      <w:pPr>
        <w:spacing w:line="360" w:lineRule="auto"/>
        <w:rPr>
          <w:rFonts w:ascii="Arial" w:hAnsi="Arial" w:cs="Arial"/>
          <w:sz w:val="24"/>
          <w:szCs w:val="24"/>
        </w:rPr>
      </w:pPr>
    </w:p>
    <w:p w14:paraId="72CDFA87" w14:textId="77777777" w:rsidR="000A1413" w:rsidRPr="00485497" w:rsidRDefault="000A1413" w:rsidP="00485497">
      <w:pPr>
        <w:spacing w:line="360" w:lineRule="auto"/>
        <w:rPr>
          <w:rFonts w:ascii="Arial" w:hAnsi="Arial" w:cs="Arial"/>
          <w:sz w:val="24"/>
          <w:szCs w:val="24"/>
        </w:rPr>
      </w:pPr>
    </w:p>
    <w:p w14:paraId="1C9E2505" w14:textId="77777777" w:rsidR="000A1413" w:rsidRPr="00485497" w:rsidRDefault="000A1413" w:rsidP="00485497">
      <w:pPr>
        <w:spacing w:line="360" w:lineRule="auto"/>
        <w:rPr>
          <w:rFonts w:ascii="Arial" w:hAnsi="Arial" w:cs="Arial"/>
          <w:sz w:val="24"/>
          <w:szCs w:val="24"/>
        </w:rPr>
      </w:pPr>
    </w:p>
    <w:p w14:paraId="45AADED6" w14:textId="77777777" w:rsidR="000A1413" w:rsidRPr="00485497" w:rsidRDefault="000A1413" w:rsidP="00485497">
      <w:pPr>
        <w:spacing w:line="360" w:lineRule="auto"/>
        <w:rPr>
          <w:rFonts w:ascii="Arial" w:hAnsi="Arial" w:cs="Arial"/>
          <w:sz w:val="24"/>
          <w:szCs w:val="24"/>
        </w:rPr>
      </w:pPr>
    </w:p>
    <w:p w14:paraId="20819182" w14:textId="77777777" w:rsidR="000A1413" w:rsidRPr="00485497" w:rsidRDefault="000A1413" w:rsidP="00485497">
      <w:pPr>
        <w:spacing w:line="360" w:lineRule="auto"/>
        <w:rPr>
          <w:rFonts w:ascii="Arial" w:hAnsi="Arial" w:cs="Arial"/>
          <w:sz w:val="24"/>
          <w:szCs w:val="24"/>
        </w:rPr>
      </w:pPr>
    </w:p>
    <w:p w14:paraId="1EB59D8A" w14:textId="77777777" w:rsidR="000A1413" w:rsidRPr="00485497" w:rsidRDefault="000A1413" w:rsidP="00485497">
      <w:pPr>
        <w:spacing w:line="360" w:lineRule="auto"/>
        <w:rPr>
          <w:rFonts w:ascii="Arial" w:hAnsi="Arial" w:cs="Arial"/>
          <w:sz w:val="24"/>
          <w:szCs w:val="24"/>
        </w:rPr>
      </w:pPr>
    </w:p>
    <w:p w14:paraId="4347C503" w14:textId="77777777" w:rsidR="000A1413" w:rsidRPr="00485497" w:rsidRDefault="000A1413" w:rsidP="00485497">
      <w:pPr>
        <w:spacing w:line="360" w:lineRule="auto"/>
        <w:rPr>
          <w:rFonts w:ascii="Arial" w:hAnsi="Arial" w:cs="Arial"/>
          <w:sz w:val="24"/>
          <w:szCs w:val="24"/>
        </w:rPr>
      </w:pPr>
    </w:p>
    <w:p w14:paraId="3134DADC" w14:textId="77777777" w:rsidR="000A1413" w:rsidRPr="00485497" w:rsidRDefault="000A1413" w:rsidP="00485497">
      <w:pPr>
        <w:spacing w:line="360" w:lineRule="auto"/>
        <w:rPr>
          <w:rFonts w:ascii="Arial" w:hAnsi="Arial" w:cs="Arial"/>
          <w:sz w:val="24"/>
          <w:szCs w:val="24"/>
        </w:rPr>
      </w:pPr>
    </w:p>
    <w:p w14:paraId="496BCA20" w14:textId="21E0E8D1" w:rsidR="00D6112E" w:rsidRPr="00485497" w:rsidRDefault="00D6112E" w:rsidP="00485497">
      <w:pPr>
        <w:spacing w:line="360" w:lineRule="auto"/>
        <w:rPr>
          <w:rFonts w:ascii="Arial" w:hAnsi="Arial" w:cs="Arial"/>
          <w:sz w:val="24"/>
          <w:szCs w:val="24"/>
        </w:rPr>
      </w:pPr>
      <w:r w:rsidRPr="00485497">
        <w:rPr>
          <w:rFonts w:ascii="Arial" w:hAnsi="Arial" w:cs="Arial"/>
          <w:sz w:val="24"/>
          <w:szCs w:val="24"/>
        </w:rPr>
        <w:lastRenderedPageBreak/>
        <w:t>CHAPTER 6 IMPLIMENTATIONS RECOMMENDATIONS.</w:t>
      </w:r>
    </w:p>
    <w:p w14:paraId="6A3342EA" w14:textId="77777777" w:rsidR="00C279D4" w:rsidRPr="00485497" w:rsidRDefault="00C279D4" w:rsidP="00485497">
      <w:pPr>
        <w:spacing w:line="360" w:lineRule="auto"/>
        <w:rPr>
          <w:rFonts w:ascii="Arial" w:hAnsi="Arial" w:cs="Arial"/>
          <w:sz w:val="24"/>
          <w:szCs w:val="24"/>
        </w:rPr>
      </w:pPr>
    </w:p>
    <w:p w14:paraId="4735F93A" w14:textId="3E177629" w:rsidR="00D6112E" w:rsidRPr="00485497" w:rsidRDefault="00D6112E" w:rsidP="00485497">
      <w:pPr>
        <w:spacing w:line="360" w:lineRule="auto"/>
        <w:rPr>
          <w:rFonts w:ascii="Arial" w:hAnsi="Arial" w:cs="Arial"/>
          <w:sz w:val="24"/>
          <w:szCs w:val="24"/>
        </w:rPr>
      </w:pPr>
      <w:r w:rsidRPr="00485497">
        <w:rPr>
          <w:rFonts w:ascii="Arial" w:hAnsi="Arial" w:cs="Arial"/>
          <w:sz w:val="24"/>
          <w:szCs w:val="24"/>
        </w:rPr>
        <w:t>6.1 Marketing Mix Recommendations.</w:t>
      </w:r>
    </w:p>
    <w:p w14:paraId="1651C50F" w14:textId="77777777" w:rsidR="00C279D4" w:rsidRPr="00485497" w:rsidRDefault="00C279D4" w:rsidP="00485497">
      <w:pPr>
        <w:spacing w:line="360" w:lineRule="auto"/>
        <w:rPr>
          <w:rFonts w:ascii="Arial" w:hAnsi="Arial" w:cs="Arial"/>
          <w:sz w:val="24"/>
          <w:szCs w:val="24"/>
        </w:rPr>
      </w:pPr>
    </w:p>
    <w:p w14:paraId="3E5694AB" w14:textId="65E35CD4" w:rsidR="00067190" w:rsidRPr="00485497" w:rsidRDefault="00067190" w:rsidP="00485497">
      <w:pPr>
        <w:spacing w:after="0" w:line="360" w:lineRule="auto"/>
        <w:rPr>
          <w:rFonts w:ascii="Arial" w:hAnsi="Arial" w:cs="Arial"/>
          <w:sz w:val="24"/>
          <w:szCs w:val="24"/>
        </w:rPr>
      </w:pPr>
      <w:r w:rsidRPr="00485497">
        <w:rPr>
          <w:rFonts w:ascii="Arial" w:hAnsi="Arial" w:cs="Arial"/>
          <w:sz w:val="24"/>
          <w:szCs w:val="24"/>
        </w:rPr>
        <w:t>Toyota should continue implementing a balanced marketing mix strategy that combines global brand consistency with local market adaptation across both Japan</w:t>
      </w:r>
      <w:r w:rsidR="00FD3DD7" w:rsidRPr="00485497">
        <w:rPr>
          <w:rFonts w:ascii="Arial" w:hAnsi="Arial" w:cs="Arial"/>
          <w:sz w:val="24"/>
          <w:szCs w:val="24"/>
        </w:rPr>
        <w:t xml:space="preserve"> (home country)</w:t>
      </w:r>
      <w:r w:rsidRPr="00485497">
        <w:rPr>
          <w:rFonts w:ascii="Arial" w:hAnsi="Arial" w:cs="Arial"/>
          <w:sz w:val="24"/>
          <w:szCs w:val="24"/>
        </w:rPr>
        <w:t xml:space="preserve"> and the United States</w:t>
      </w:r>
      <w:r w:rsidR="00E337B9" w:rsidRPr="00485497">
        <w:rPr>
          <w:rFonts w:ascii="Arial" w:hAnsi="Arial" w:cs="Arial"/>
          <w:sz w:val="24"/>
          <w:szCs w:val="24"/>
        </w:rPr>
        <w:t xml:space="preserve"> of America (host country)</w:t>
      </w:r>
      <w:r w:rsidRPr="00485497">
        <w:rPr>
          <w:rFonts w:ascii="Arial" w:hAnsi="Arial" w:cs="Arial"/>
          <w:sz w:val="24"/>
          <w:szCs w:val="24"/>
        </w:rPr>
        <w:t>. In terms of product strategy, the company should expand its electric vehicle portfolio by developing models that meet the differing needs of consumers in each market, including compact and efficient vehicles for Japan and larger, technology-focused models for the United States. Regarding pricing, Toyota should maintain competitive pricing while offering flexible financing solutions and incentives to increase EV accessibility.</w:t>
      </w:r>
    </w:p>
    <w:p w14:paraId="1A9239B1" w14:textId="77777777" w:rsidR="00067190" w:rsidRPr="00485497" w:rsidRDefault="00067190" w:rsidP="00485497">
      <w:pPr>
        <w:spacing w:after="0" w:line="360" w:lineRule="auto"/>
        <w:rPr>
          <w:rFonts w:ascii="Arial" w:hAnsi="Arial" w:cs="Arial"/>
          <w:sz w:val="24"/>
          <w:szCs w:val="24"/>
        </w:rPr>
      </w:pPr>
      <w:r w:rsidRPr="00485497">
        <w:rPr>
          <w:rFonts w:ascii="Arial" w:hAnsi="Arial" w:cs="Arial"/>
          <w:sz w:val="24"/>
          <w:szCs w:val="24"/>
        </w:rPr>
        <w:t>For promotion, the company should strengthen its digital marketing activities and sustainability-focused communications while tailoring messages to local cultural preferences. In Japan, promotional efforts should emphasise reliability, quality, and long-term value, whereas in the United States greater emphasis should be placed on innovation, performance, and technological advancement. Furthermore, Toyota should continue improving its distribution channels, customer service processes, and charging infrastructure partnerships in both countries to enhance customer experience. By continuously adapting the 7Ps to local market conditions while maintaining its global reputation for quality and innovation, Toyota can strengthen its competitive position and support long-term growth in both markets (Keegan and Green, 2023; Kotler, Keller and Chernev, 2022; Johnson et al., 2020).</w:t>
      </w:r>
    </w:p>
    <w:p w14:paraId="5ED64577" w14:textId="77777777" w:rsidR="007931D0" w:rsidRPr="00485497" w:rsidRDefault="007931D0" w:rsidP="00485497">
      <w:pPr>
        <w:spacing w:after="0" w:line="360" w:lineRule="auto"/>
        <w:rPr>
          <w:rFonts w:ascii="Arial" w:hAnsi="Arial" w:cs="Arial"/>
          <w:sz w:val="24"/>
          <w:szCs w:val="24"/>
        </w:rPr>
      </w:pPr>
    </w:p>
    <w:p w14:paraId="72770479" w14:textId="64E325B8" w:rsidR="00DA2B95" w:rsidRPr="00485497" w:rsidRDefault="00D6112E" w:rsidP="00485497">
      <w:pPr>
        <w:spacing w:after="0" w:line="360" w:lineRule="auto"/>
        <w:rPr>
          <w:rFonts w:ascii="Arial" w:hAnsi="Arial" w:cs="Arial"/>
          <w:sz w:val="24"/>
          <w:szCs w:val="24"/>
        </w:rPr>
      </w:pPr>
      <w:r w:rsidRPr="00485497">
        <w:rPr>
          <w:rFonts w:ascii="Arial" w:hAnsi="Arial" w:cs="Arial"/>
          <w:sz w:val="24"/>
          <w:szCs w:val="24"/>
        </w:rPr>
        <w:t xml:space="preserve">6.2 Market Entry Recommendations.                                                                        </w:t>
      </w:r>
    </w:p>
    <w:p w14:paraId="1EA4D2BF" w14:textId="77777777" w:rsidR="006177EC" w:rsidRPr="00485497" w:rsidRDefault="006177EC" w:rsidP="00485497">
      <w:pPr>
        <w:spacing w:line="360" w:lineRule="auto"/>
        <w:rPr>
          <w:rFonts w:ascii="Arial" w:hAnsi="Arial" w:cs="Arial"/>
          <w:sz w:val="24"/>
          <w:szCs w:val="24"/>
        </w:rPr>
      </w:pPr>
    </w:p>
    <w:p w14:paraId="606E230C" w14:textId="5DE60E0F" w:rsidR="00AD5326" w:rsidRPr="00485497" w:rsidRDefault="00AD5326" w:rsidP="00485497">
      <w:pPr>
        <w:spacing w:after="0" w:line="360" w:lineRule="auto"/>
        <w:rPr>
          <w:rFonts w:ascii="Arial" w:hAnsi="Arial" w:cs="Arial"/>
          <w:sz w:val="24"/>
          <w:szCs w:val="24"/>
        </w:rPr>
      </w:pPr>
      <w:r w:rsidRPr="00485497">
        <w:rPr>
          <w:rFonts w:ascii="Arial" w:hAnsi="Arial" w:cs="Arial"/>
          <w:sz w:val="24"/>
          <w:szCs w:val="24"/>
        </w:rPr>
        <w:t>Although Toyota has successfully established itself in the United States</w:t>
      </w:r>
      <w:r w:rsidR="00C87CD5" w:rsidRPr="00485497">
        <w:rPr>
          <w:rFonts w:ascii="Arial" w:hAnsi="Arial" w:cs="Arial"/>
          <w:sz w:val="24"/>
          <w:szCs w:val="24"/>
        </w:rPr>
        <w:t xml:space="preserve"> of Americca</w:t>
      </w:r>
      <w:r w:rsidRPr="00485497">
        <w:rPr>
          <w:rFonts w:ascii="Arial" w:hAnsi="Arial" w:cs="Arial"/>
          <w:sz w:val="24"/>
          <w:szCs w:val="24"/>
        </w:rPr>
        <w:t xml:space="preserve"> through foreign direct investment and local manufacturing, future market expansion should focus on strengthening localisation and strategic partnerships. The company should increase investment in domestic battery production and EV-related technologies to reduce supply chain risks and improve responsiveness to market demand. Toyota should also pursue additional collaborations with technology firms, </w:t>
      </w:r>
      <w:r w:rsidRPr="00485497">
        <w:rPr>
          <w:rFonts w:ascii="Arial" w:hAnsi="Arial" w:cs="Arial"/>
          <w:sz w:val="24"/>
          <w:szCs w:val="24"/>
        </w:rPr>
        <w:lastRenderedPageBreak/>
        <w:t>energy providers, and charging network operators to accelerate innovation and support EV adoption. Furthermore, expanding research and development activities within the United States would enable Toyota to better understand changing consumer preferences and regulatory requirements. By reinforcing its local presence while maintaining global operational efficiencies, Toyota can enhance its competitive advantage and secure sustainable growth within the rapidly evolving American EV market (Grant, 2022; Hitt, Ireland and Hoskisson, 2019).</w:t>
      </w:r>
    </w:p>
    <w:p w14:paraId="60D362CC" w14:textId="77777777" w:rsidR="008E188A" w:rsidRPr="00485497" w:rsidRDefault="008E188A" w:rsidP="00485497">
      <w:pPr>
        <w:spacing w:after="0" w:line="360" w:lineRule="auto"/>
        <w:rPr>
          <w:rFonts w:ascii="Arial" w:hAnsi="Arial" w:cs="Arial"/>
          <w:sz w:val="24"/>
          <w:szCs w:val="24"/>
        </w:rPr>
      </w:pPr>
    </w:p>
    <w:p w14:paraId="08D7AB91" w14:textId="77777777" w:rsidR="00D938F2" w:rsidRPr="00485497" w:rsidRDefault="00D938F2" w:rsidP="00485497">
      <w:pPr>
        <w:spacing w:after="0" w:line="360" w:lineRule="auto"/>
        <w:rPr>
          <w:rFonts w:ascii="Arial" w:hAnsi="Arial" w:cs="Arial"/>
          <w:sz w:val="24"/>
          <w:szCs w:val="24"/>
        </w:rPr>
      </w:pPr>
    </w:p>
    <w:p w14:paraId="534339EA" w14:textId="77777777" w:rsidR="00D938F2" w:rsidRPr="00485497" w:rsidRDefault="00D938F2" w:rsidP="00485497">
      <w:pPr>
        <w:spacing w:after="0" w:line="360" w:lineRule="auto"/>
        <w:rPr>
          <w:rFonts w:ascii="Arial" w:hAnsi="Arial" w:cs="Arial"/>
          <w:sz w:val="24"/>
          <w:szCs w:val="24"/>
        </w:rPr>
      </w:pPr>
    </w:p>
    <w:p w14:paraId="237E135B" w14:textId="77777777" w:rsidR="00D938F2" w:rsidRPr="00485497" w:rsidRDefault="00D938F2" w:rsidP="00485497">
      <w:pPr>
        <w:spacing w:after="0" w:line="360" w:lineRule="auto"/>
        <w:rPr>
          <w:rFonts w:ascii="Arial" w:hAnsi="Arial" w:cs="Arial"/>
          <w:sz w:val="24"/>
          <w:szCs w:val="24"/>
        </w:rPr>
      </w:pPr>
    </w:p>
    <w:p w14:paraId="7D324EA7" w14:textId="77777777" w:rsidR="00D938F2" w:rsidRPr="00485497" w:rsidRDefault="00D938F2" w:rsidP="00485497">
      <w:pPr>
        <w:spacing w:after="0" w:line="360" w:lineRule="auto"/>
        <w:rPr>
          <w:rFonts w:ascii="Arial" w:hAnsi="Arial" w:cs="Arial"/>
          <w:sz w:val="24"/>
          <w:szCs w:val="24"/>
        </w:rPr>
      </w:pPr>
    </w:p>
    <w:p w14:paraId="3C656673" w14:textId="77777777" w:rsidR="00D938F2" w:rsidRPr="00485497" w:rsidRDefault="00D938F2" w:rsidP="00485497">
      <w:pPr>
        <w:spacing w:after="0" w:line="360" w:lineRule="auto"/>
        <w:rPr>
          <w:rFonts w:ascii="Arial" w:hAnsi="Arial" w:cs="Arial"/>
          <w:sz w:val="24"/>
          <w:szCs w:val="24"/>
        </w:rPr>
      </w:pPr>
    </w:p>
    <w:p w14:paraId="4DD3594E" w14:textId="77777777" w:rsidR="00D938F2" w:rsidRPr="00485497" w:rsidRDefault="00D938F2" w:rsidP="00485497">
      <w:pPr>
        <w:spacing w:after="0" w:line="360" w:lineRule="auto"/>
        <w:rPr>
          <w:rFonts w:ascii="Arial" w:hAnsi="Arial" w:cs="Arial"/>
          <w:sz w:val="24"/>
          <w:szCs w:val="24"/>
        </w:rPr>
      </w:pPr>
    </w:p>
    <w:p w14:paraId="203F889F" w14:textId="77777777" w:rsidR="00D938F2" w:rsidRPr="00485497" w:rsidRDefault="00D938F2" w:rsidP="00485497">
      <w:pPr>
        <w:spacing w:after="0" w:line="360" w:lineRule="auto"/>
        <w:rPr>
          <w:rFonts w:ascii="Arial" w:hAnsi="Arial" w:cs="Arial"/>
          <w:sz w:val="24"/>
          <w:szCs w:val="24"/>
        </w:rPr>
      </w:pPr>
    </w:p>
    <w:p w14:paraId="14446D9F" w14:textId="77777777" w:rsidR="00D938F2" w:rsidRPr="00485497" w:rsidRDefault="00D938F2" w:rsidP="00485497">
      <w:pPr>
        <w:spacing w:after="0" w:line="360" w:lineRule="auto"/>
        <w:rPr>
          <w:rFonts w:ascii="Arial" w:hAnsi="Arial" w:cs="Arial"/>
          <w:sz w:val="24"/>
          <w:szCs w:val="24"/>
        </w:rPr>
      </w:pPr>
    </w:p>
    <w:p w14:paraId="2460F84B" w14:textId="77777777" w:rsidR="00D938F2" w:rsidRPr="00485497" w:rsidRDefault="00D938F2" w:rsidP="00485497">
      <w:pPr>
        <w:spacing w:after="0" w:line="360" w:lineRule="auto"/>
        <w:rPr>
          <w:rFonts w:ascii="Arial" w:hAnsi="Arial" w:cs="Arial"/>
          <w:sz w:val="24"/>
          <w:szCs w:val="24"/>
        </w:rPr>
      </w:pPr>
    </w:p>
    <w:p w14:paraId="2FE090F1" w14:textId="77777777" w:rsidR="00D938F2" w:rsidRPr="00485497" w:rsidRDefault="00D938F2" w:rsidP="00485497">
      <w:pPr>
        <w:spacing w:after="0" w:line="360" w:lineRule="auto"/>
        <w:rPr>
          <w:rFonts w:ascii="Arial" w:hAnsi="Arial" w:cs="Arial"/>
          <w:sz w:val="24"/>
          <w:szCs w:val="24"/>
        </w:rPr>
      </w:pPr>
    </w:p>
    <w:p w14:paraId="0E9BA242" w14:textId="77777777" w:rsidR="00D938F2" w:rsidRPr="00485497" w:rsidRDefault="00D938F2" w:rsidP="00485497">
      <w:pPr>
        <w:spacing w:after="0" w:line="360" w:lineRule="auto"/>
        <w:rPr>
          <w:rFonts w:ascii="Arial" w:hAnsi="Arial" w:cs="Arial"/>
          <w:sz w:val="24"/>
          <w:szCs w:val="24"/>
        </w:rPr>
      </w:pPr>
    </w:p>
    <w:p w14:paraId="0B01CFE0" w14:textId="77777777" w:rsidR="00D938F2" w:rsidRPr="00485497" w:rsidRDefault="00D938F2" w:rsidP="00485497">
      <w:pPr>
        <w:spacing w:after="0" w:line="360" w:lineRule="auto"/>
        <w:rPr>
          <w:rFonts w:ascii="Arial" w:hAnsi="Arial" w:cs="Arial"/>
          <w:sz w:val="24"/>
          <w:szCs w:val="24"/>
        </w:rPr>
      </w:pPr>
    </w:p>
    <w:p w14:paraId="43D71D6E" w14:textId="77777777" w:rsidR="00D938F2" w:rsidRPr="00485497" w:rsidRDefault="00D938F2" w:rsidP="00485497">
      <w:pPr>
        <w:spacing w:after="0" w:line="360" w:lineRule="auto"/>
        <w:rPr>
          <w:rFonts w:ascii="Arial" w:hAnsi="Arial" w:cs="Arial"/>
          <w:sz w:val="24"/>
          <w:szCs w:val="24"/>
        </w:rPr>
      </w:pPr>
    </w:p>
    <w:p w14:paraId="047E6A25" w14:textId="77777777" w:rsidR="00D938F2" w:rsidRPr="00485497" w:rsidRDefault="00D938F2" w:rsidP="00485497">
      <w:pPr>
        <w:spacing w:after="0" w:line="360" w:lineRule="auto"/>
        <w:rPr>
          <w:rFonts w:ascii="Arial" w:hAnsi="Arial" w:cs="Arial"/>
          <w:sz w:val="24"/>
          <w:szCs w:val="24"/>
        </w:rPr>
      </w:pPr>
    </w:p>
    <w:p w14:paraId="151DC4DA" w14:textId="77777777" w:rsidR="00D938F2" w:rsidRPr="00485497" w:rsidRDefault="00D938F2" w:rsidP="00485497">
      <w:pPr>
        <w:spacing w:after="0" w:line="360" w:lineRule="auto"/>
        <w:rPr>
          <w:rFonts w:ascii="Arial" w:hAnsi="Arial" w:cs="Arial"/>
          <w:sz w:val="24"/>
          <w:szCs w:val="24"/>
        </w:rPr>
      </w:pPr>
    </w:p>
    <w:p w14:paraId="0124481A" w14:textId="77777777" w:rsidR="00D938F2" w:rsidRPr="00485497" w:rsidRDefault="00D938F2" w:rsidP="00485497">
      <w:pPr>
        <w:spacing w:after="0" w:line="360" w:lineRule="auto"/>
        <w:rPr>
          <w:rFonts w:ascii="Arial" w:hAnsi="Arial" w:cs="Arial"/>
          <w:sz w:val="24"/>
          <w:szCs w:val="24"/>
        </w:rPr>
      </w:pPr>
    </w:p>
    <w:p w14:paraId="4BFD6FE5" w14:textId="77777777" w:rsidR="00D938F2" w:rsidRPr="00485497" w:rsidRDefault="00D938F2" w:rsidP="00485497">
      <w:pPr>
        <w:spacing w:after="0" w:line="360" w:lineRule="auto"/>
        <w:rPr>
          <w:rFonts w:ascii="Arial" w:hAnsi="Arial" w:cs="Arial"/>
          <w:sz w:val="24"/>
          <w:szCs w:val="24"/>
        </w:rPr>
      </w:pPr>
    </w:p>
    <w:p w14:paraId="144AAA82" w14:textId="77777777" w:rsidR="00D938F2" w:rsidRPr="00485497" w:rsidRDefault="00D938F2" w:rsidP="00485497">
      <w:pPr>
        <w:spacing w:after="0" w:line="360" w:lineRule="auto"/>
        <w:rPr>
          <w:rFonts w:ascii="Arial" w:hAnsi="Arial" w:cs="Arial"/>
          <w:sz w:val="24"/>
          <w:szCs w:val="24"/>
        </w:rPr>
      </w:pPr>
    </w:p>
    <w:p w14:paraId="22CDA40B" w14:textId="77777777" w:rsidR="00D938F2" w:rsidRPr="00485497" w:rsidRDefault="00D938F2" w:rsidP="00485497">
      <w:pPr>
        <w:spacing w:after="0" w:line="360" w:lineRule="auto"/>
        <w:rPr>
          <w:rFonts w:ascii="Arial" w:hAnsi="Arial" w:cs="Arial"/>
          <w:sz w:val="24"/>
          <w:szCs w:val="24"/>
        </w:rPr>
      </w:pPr>
    </w:p>
    <w:p w14:paraId="17115336" w14:textId="77777777" w:rsidR="00D938F2" w:rsidRPr="00485497" w:rsidRDefault="00D938F2" w:rsidP="00485497">
      <w:pPr>
        <w:spacing w:after="0" w:line="360" w:lineRule="auto"/>
        <w:rPr>
          <w:rFonts w:ascii="Arial" w:hAnsi="Arial" w:cs="Arial"/>
          <w:sz w:val="24"/>
          <w:szCs w:val="24"/>
        </w:rPr>
      </w:pPr>
    </w:p>
    <w:p w14:paraId="5D5080FE" w14:textId="77777777" w:rsidR="00D938F2" w:rsidRPr="00485497" w:rsidRDefault="00D938F2" w:rsidP="00485497">
      <w:pPr>
        <w:spacing w:after="0" w:line="360" w:lineRule="auto"/>
        <w:rPr>
          <w:rFonts w:ascii="Arial" w:hAnsi="Arial" w:cs="Arial"/>
          <w:sz w:val="24"/>
          <w:szCs w:val="24"/>
        </w:rPr>
      </w:pPr>
    </w:p>
    <w:p w14:paraId="3D48B47C" w14:textId="77777777" w:rsidR="00D938F2" w:rsidRPr="00485497" w:rsidRDefault="00D938F2" w:rsidP="00485497">
      <w:pPr>
        <w:spacing w:after="0" w:line="360" w:lineRule="auto"/>
        <w:rPr>
          <w:rFonts w:ascii="Arial" w:hAnsi="Arial" w:cs="Arial"/>
          <w:sz w:val="24"/>
          <w:szCs w:val="24"/>
        </w:rPr>
      </w:pPr>
    </w:p>
    <w:p w14:paraId="3623A8EF" w14:textId="77777777" w:rsidR="00D938F2" w:rsidRPr="00485497" w:rsidRDefault="00D938F2" w:rsidP="00485497">
      <w:pPr>
        <w:spacing w:after="0" w:line="360" w:lineRule="auto"/>
        <w:rPr>
          <w:rFonts w:ascii="Arial" w:hAnsi="Arial" w:cs="Arial"/>
          <w:sz w:val="24"/>
          <w:szCs w:val="24"/>
        </w:rPr>
      </w:pPr>
    </w:p>
    <w:p w14:paraId="0C728A8E" w14:textId="77777777" w:rsidR="00AE09E4" w:rsidRPr="00485497" w:rsidRDefault="00AE09E4" w:rsidP="00485497">
      <w:pPr>
        <w:spacing w:after="0" w:line="360" w:lineRule="auto"/>
        <w:rPr>
          <w:rFonts w:ascii="Arial" w:hAnsi="Arial" w:cs="Arial"/>
          <w:sz w:val="24"/>
          <w:szCs w:val="24"/>
        </w:rPr>
      </w:pPr>
    </w:p>
    <w:p w14:paraId="219AD0E3" w14:textId="7FEEEFCD" w:rsidR="008E188A" w:rsidRPr="00485497" w:rsidRDefault="008E188A" w:rsidP="00485497">
      <w:pPr>
        <w:spacing w:after="0" w:line="360" w:lineRule="auto"/>
        <w:rPr>
          <w:rFonts w:ascii="Arial" w:hAnsi="Arial" w:cs="Arial"/>
          <w:sz w:val="24"/>
          <w:szCs w:val="24"/>
        </w:rPr>
      </w:pPr>
      <w:r w:rsidRPr="00485497">
        <w:rPr>
          <w:rFonts w:ascii="Arial" w:hAnsi="Arial" w:cs="Arial"/>
          <w:sz w:val="24"/>
          <w:szCs w:val="24"/>
        </w:rPr>
        <w:t>CONCLUSION.</w:t>
      </w:r>
    </w:p>
    <w:p w14:paraId="4CD98FD4" w14:textId="77777777" w:rsidR="008E188A" w:rsidRPr="00485497" w:rsidRDefault="008E188A" w:rsidP="00485497">
      <w:pPr>
        <w:spacing w:after="0" w:line="360" w:lineRule="auto"/>
        <w:rPr>
          <w:rFonts w:ascii="Arial" w:hAnsi="Arial" w:cs="Arial"/>
          <w:sz w:val="24"/>
          <w:szCs w:val="24"/>
        </w:rPr>
      </w:pPr>
    </w:p>
    <w:p w14:paraId="4A257ED3" w14:textId="77777777" w:rsidR="005C6C48" w:rsidRPr="00485497" w:rsidRDefault="005C6C48" w:rsidP="00485497">
      <w:pPr>
        <w:spacing w:after="0" w:line="360" w:lineRule="auto"/>
        <w:rPr>
          <w:rFonts w:ascii="Arial" w:hAnsi="Arial" w:cs="Arial"/>
          <w:sz w:val="24"/>
          <w:szCs w:val="24"/>
        </w:rPr>
      </w:pPr>
      <w:r w:rsidRPr="00485497">
        <w:rPr>
          <w:rFonts w:ascii="Arial" w:hAnsi="Arial" w:cs="Arial"/>
          <w:sz w:val="24"/>
          <w:szCs w:val="24"/>
        </w:rPr>
        <w:lastRenderedPageBreak/>
        <w:t>This report has critically examined Toyota Industries Corporation’s international market entry and marketing strategies in Japan and the United States, with a particular focus on its electric vehicle (EV) business. The analysis demonstrates that variations in political, economic, social, technological, and cultural environments significantly influence Toyota’s strategic decisions in both markets. As highlighted by Murshed (2026), successful international business operations require firms to apply segmentation, targeting, and positioning (STP) strategies effectively to identify attractive customer groups, tailor value propositions, and establish a distinctive market position that generates competitive advantage. Toyota has successfully segmented its markets based on consumer preferences, environmental awareness, and purchasing power, enabling the company to target diverse customer groups while positioning its EV products as reliable, innovative, and environmentally sustainable.</w:t>
      </w:r>
    </w:p>
    <w:p w14:paraId="1B7F46D0" w14:textId="77777777" w:rsidR="005C6C48" w:rsidRPr="00485497" w:rsidRDefault="005C6C48" w:rsidP="00485497">
      <w:pPr>
        <w:spacing w:after="0" w:line="360" w:lineRule="auto"/>
        <w:rPr>
          <w:rFonts w:ascii="Arial" w:hAnsi="Arial" w:cs="Arial"/>
          <w:sz w:val="24"/>
          <w:szCs w:val="24"/>
        </w:rPr>
      </w:pPr>
      <w:r w:rsidRPr="00485497">
        <w:rPr>
          <w:rFonts w:ascii="Arial" w:hAnsi="Arial" w:cs="Arial"/>
          <w:sz w:val="24"/>
          <w:szCs w:val="24"/>
        </w:rPr>
        <w:t>The study also highlights the importance of understanding factors influencing consumer buying behaviour, including cultural values, income levels, environmental concerns, government incentives, and technological expectations. These factors differ considerably between Japan and the United States, requiring Toyota to adapt its marketing mix and communication strategies accordingly. Murshed (2026) further emphasises that multinational corporations (MNCs) must balance standardisation and adaptation when developing international marketing policies. Toyota’s global brand identity is largely standardised, while product features, promotional activities, and distribution approaches are adapted to local market conditions.</w:t>
      </w:r>
    </w:p>
    <w:p w14:paraId="7CCC4B16" w14:textId="77777777" w:rsidR="005C6C48" w:rsidRPr="00485497" w:rsidRDefault="005C6C48" w:rsidP="00485497">
      <w:pPr>
        <w:spacing w:after="0" w:line="360" w:lineRule="auto"/>
        <w:rPr>
          <w:rFonts w:ascii="Arial" w:hAnsi="Arial" w:cs="Arial"/>
          <w:sz w:val="24"/>
          <w:szCs w:val="24"/>
        </w:rPr>
      </w:pPr>
      <w:r w:rsidRPr="00485497">
        <w:rPr>
          <w:rFonts w:ascii="Arial" w:hAnsi="Arial" w:cs="Arial"/>
          <w:sz w:val="24"/>
          <w:szCs w:val="24"/>
        </w:rPr>
        <w:t>From an operations perspective, key production decisions such as manufacturing location, cost efficiency, quality control, and supply-chain coordination remain central to international competitiveness. Toyota’s global manufacturing strategy combines domestic innovation capabilities in Japan with local production facilities in the United States, enhancing responsiveness and reducing operational risks. Furthermore, global sourcing and supply-chain management play a critical role in securing essential components and supporting efficient production processes. As noted by Murshed (2026), effective global supply-chain management enables firms to achieve economies of scale, operational flexibility, and sustainable competitive advantage. Consequently, Toyota’s continued commitment to innovation, sustainability, and strategic adaptation positions the company strongly for future growth within the global electric vehicle market.</w:t>
      </w:r>
    </w:p>
    <w:p w14:paraId="088FB096" w14:textId="77777777" w:rsidR="005E0CF6" w:rsidRPr="00485497" w:rsidRDefault="005E0CF6" w:rsidP="00485497">
      <w:pPr>
        <w:spacing w:after="0" w:line="360" w:lineRule="auto"/>
        <w:rPr>
          <w:rFonts w:ascii="Arial" w:hAnsi="Arial" w:cs="Arial"/>
          <w:sz w:val="24"/>
          <w:szCs w:val="24"/>
        </w:rPr>
      </w:pPr>
    </w:p>
    <w:p w14:paraId="582661A2" w14:textId="77777777" w:rsidR="007D0BE7" w:rsidRPr="00485497" w:rsidRDefault="007D0BE7" w:rsidP="00485497">
      <w:pPr>
        <w:spacing w:after="0" w:line="360" w:lineRule="auto"/>
        <w:rPr>
          <w:rFonts w:ascii="Arial" w:hAnsi="Arial" w:cs="Arial"/>
          <w:sz w:val="24"/>
          <w:szCs w:val="24"/>
        </w:rPr>
      </w:pPr>
    </w:p>
    <w:p w14:paraId="3E4166FE" w14:textId="77777777" w:rsidR="008E188A" w:rsidRPr="00485497" w:rsidRDefault="008E188A" w:rsidP="00485497">
      <w:pPr>
        <w:spacing w:after="0" w:line="360" w:lineRule="auto"/>
        <w:rPr>
          <w:rFonts w:ascii="Arial" w:hAnsi="Arial" w:cs="Arial"/>
          <w:sz w:val="24"/>
          <w:szCs w:val="24"/>
        </w:rPr>
      </w:pPr>
    </w:p>
    <w:p w14:paraId="08B2B1BE" w14:textId="77777777" w:rsidR="006177EC" w:rsidRPr="00485497" w:rsidRDefault="006177EC" w:rsidP="00485497">
      <w:pPr>
        <w:spacing w:line="360" w:lineRule="auto"/>
        <w:rPr>
          <w:rFonts w:ascii="Arial" w:hAnsi="Arial" w:cs="Arial"/>
          <w:sz w:val="24"/>
          <w:szCs w:val="24"/>
        </w:rPr>
      </w:pPr>
    </w:p>
    <w:p w14:paraId="4B354F03" w14:textId="77777777" w:rsidR="00F666A6" w:rsidRPr="00485497" w:rsidRDefault="00F666A6" w:rsidP="00485497">
      <w:pPr>
        <w:spacing w:line="360" w:lineRule="auto"/>
        <w:rPr>
          <w:rFonts w:ascii="Arial" w:hAnsi="Arial" w:cs="Arial"/>
          <w:sz w:val="24"/>
          <w:szCs w:val="24"/>
        </w:rPr>
      </w:pPr>
    </w:p>
    <w:p w14:paraId="4127C2E2" w14:textId="77777777" w:rsidR="00F666A6" w:rsidRPr="00485497" w:rsidRDefault="00F666A6" w:rsidP="00485497">
      <w:pPr>
        <w:spacing w:line="360" w:lineRule="auto"/>
        <w:rPr>
          <w:rFonts w:ascii="Arial" w:hAnsi="Arial" w:cs="Arial"/>
          <w:sz w:val="24"/>
          <w:szCs w:val="24"/>
        </w:rPr>
      </w:pPr>
    </w:p>
    <w:p w14:paraId="2B5D155F" w14:textId="77777777" w:rsidR="00F666A6" w:rsidRPr="00485497" w:rsidRDefault="00F666A6" w:rsidP="00485497">
      <w:pPr>
        <w:spacing w:line="360" w:lineRule="auto"/>
        <w:rPr>
          <w:rFonts w:ascii="Arial" w:hAnsi="Arial" w:cs="Arial"/>
          <w:sz w:val="24"/>
          <w:szCs w:val="24"/>
        </w:rPr>
      </w:pPr>
    </w:p>
    <w:p w14:paraId="64BE180D" w14:textId="77777777" w:rsidR="00F666A6" w:rsidRPr="00485497" w:rsidRDefault="00F666A6" w:rsidP="00485497">
      <w:pPr>
        <w:spacing w:line="360" w:lineRule="auto"/>
        <w:rPr>
          <w:rFonts w:ascii="Arial" w:hAnsi="Arial" w:cs="Arial"/>
          <w:sz w:val="24"/>
          <w:szCs w:val="24"/>
        </w:rPr>
      </w:pPr>
    </w:p>
    <w:p w14:paraId="7F2D0728" w14:textId="77777777" w:rsidR="00F666A6" w:rsidRPr="00485497" w:rsidRDefault="00F666A6" w:rsidP="00485497">
      <w:pPr>
        <w:spacing w:line="360" w:lineRule="auto"/>
        <w:rPr>
          <w:rFonts w:ascii="Arial" w:hAnsi="Arial" w:cs="Arial"/>
          <w:sz w:val="24"/>
          <w:szCs w:val="24"/>
        </w:rPr>
      </w:pPr>
    </w:p>
    <w:p w14:paraId="55777ED4" w14:textId="77777777" w:rsidR="002E6E7D" w:rsidRPr="00485497" w:rsidRDefault="002E6E7D" w:rsidP="00485497">
      <w:pPr>
        <w:spacing w:line="360" w:lineRule="auto"/>
        <w:rPr>
          <w:rFonts w:ascii="Arial" w:hAnsi="Arial" w:cs="Arial"/>
          <w:sz w:val="24"/>
          <w:szCs w:val="24"/>
        </w:rPr>
      </w:pPr>
    </w:p>
    <w:p w14:paraId="718356A3" w14:textId="77777777" w:rsidR="002E6E7D" w:rsidRPr="00485497" w:rsidRDefault="002E6E7D" w:rsidP="00485497">
      <w:pPr>
        <w:spacing w:line="360" w:lineRule="auto"/>
        <w:rPr>
          <w:rFonts w:ascii="Arial" w:hAnsi="Arial" w:cs="Arial"/>
          <w:sz w:val="24"/>
          <w:szCs w:val="24"/>
        </w:rPr>
      </w:pPr>
    </w:p>
    <w:p w14:paraId="46073F0D" w14:textId="77777777" w:rsidR="002E6E7D" w:rsidRPr="00485497" w:rsidRDefault="002E6E7D" w:rsidP="00485497">
      <w:pPr>
        <w:spacing w:line="360" w:lineRule="auto"/>
        <w:rPr>
          <w:rFonts w:ascii="Arial" w:hAnsi="Arial" w:cs="Arial"/>
          <w:sz w:val="24"/>
          <w:szCs w:val="24"/>
        </w:rPr>
      </w:pPr>
    </w:p>
    <w:p w14:paraId="76296E10" w14:textId="77777777" w:rsidR="002E6E7D" w:rsidRPr="00485497" w:rsidRDefault="002E6E7D" w:rsidP="00485497">
      <w:pPr>
        <w:spacing w:line="360" w:lineRule="auto"/>
        <w:rPr>
          <w:rFonts w:ascii="Arial" w:hAnsi="Arial" w:cs="Arial"/>
          <w:sz w:val="24"/>
          <w:szCs w:val="24"/>
        </w:rPr>
      </w:pPr>
    </w:p>
    <w:p w14:paraId="24A41883" w14:textId="77777777" w:rsidR="002E6E7D" w:rsidRPr="00485497" w:rsidRDefault="002E6E7D" w:rsidP="00485497">
      <w:pPr>
        <w:spacing w:line="360" w:lineRule="auto"/>
        <w:rPr>
          <w:rFonts w:ascii="Arial" w:hAnsi="Arial" w:cs="Arial"/>
          <w:sz w:val="24"/>
          <w:szCs w:val="24"/>
        </w:rPr>
      </w:pPr>
    </w:p>
    <w:p w14:paraId="1A7E775A" w14:textId="77777777" w:rsidR="002E6E7D" w:rsidRPr="00485497" w:rsidRDefault="002E6E7D" w:rsidP="00485497">
      <w:pPr>
        <w:spacing w:line="360" w:lineRule="auto"/>
        <w:rPr>
          <w:rFonts w:ascii="Arial" w:hAnsi="Arial" w:cs="Arial"/>
          <w:sz w:val="24"/>
          <w:szCs w:val="24"/>
        </w:rPr>
      </w:pPr>
    </w:p>
    <w:p w14:paraId="4C44987D" w14:textId="77777777" w:rsidR="002E6E7D" w:rsidRPr="00485497" w:rsidRDefault="002E6E7D" w:rsidP="00485497">
      <w:pPr>
        <w:spacing w:line="360" w:lineRule="auto"/>
        <w:rPr>
          <w:rFonts w:ascii="Arial" w:hAnsi="Arial" w:cs="Arial"/>
          <w:sz w:val="24"/>
          <w:szCs w:val="24"/>
        </w:rPr>
      </w:pPr>
    </w:p>
    <w:p w14:paraId="16F9E846" w14:textId="77777777" w:rsidR="002E6E7D" w:rsidRPr="00485497" w:rsidRDefault="002E6E7D" w:rsidP="00485497">
      <w:pPr>
        <w:spacing w:line="360" w:lineRule="auto"/>
        <w:rPr>
          <w:rFonts w:ascii="Arial" w:hAnsi="Arial" w:cs="Arial"/>
          <w:sz w:val="24"/>
          <w:szCs w:val="24"/>
        </w:rPr>
      </w:pPr>
    </w:p>
    <w:p w14:paraId="05F63110" w14:textId="77777777" w:rsidR="002E6E7D" w:rsidRPr="00485497" w:rsidRDefault="002E6E7D" w:rsidP="00485497">
      <w:pPr>
        <w:spacing w:line="360" w:lineRule="auto"/>
        <w:rPr>
          <w:rFonts w:ascii="Arial" w:hAnsi="Arial" w:cs="Arial"/>
          <w:sz w:val="24"/>
          <w:szCs w:val="24"/>
        </w:rPr>
      </w:pPr>
    </w:p>
    <w:p w14:paraId="2A455344" w14:textId="77777777" w:rsidR="002E6E7D" w:rsidRPr="00485497" w:rsidRDefault="002E6E7D" w:rsidP="00485497">
      <w:pPr>
        <w:spacing w:line="360" w:lineRule="auto"/>
        <w:rPr>
          <w:rFonts w:ascii="Arial" w:hAnsi="Arial" w:cs="Arial"/>
          <w:sz w:val="24"/>
          <w:szCs w:val="24"/>
        </w:rPr>
      </w:pPr>
    </w:p>
    <w:p w14:paraId="7264D459" w14:textId="77777777" w:rsidR="00AE09E4" w:rsidRPr="00485497" w:rsidRDefault="00AE09E4" w:rsidP="00485497">
      <w:pPr>
        <w:spacing w:line="360" w:lineRule="auto"/>
        <w:rPr>
          <w:rFonts w:ascii="Arial" w:hAnsi="Arial" w:cs="Arial"/>
          <w:sz w:val="24"/>
          <w:szCs w:val="24"/>
        </w:rPr>
      </w:pPr>
    </w:p>
    <w:p w14:paraId="4639D8BA" w14:textId="77777777" w:rsidR="00AE09E4" w:rsidRPr="00485497" w:rsidRDefault="00AE09E4" w:rsidP="00485497">
      <w:pPr>
        <w:spacing w:line="360" w:lineRule="auto"/>
        <w:rPr>
          <w:rFonts w:ascii="Arial" w:hAnsi="Arial" w:cs="Arial"/>
          <w:sz w:val="24"/>
          <w:szCs w:val="24"/>
        </w:rPr>
      </w:pPr>
    </w:p>
    <w:p w14:paraId="0357854C" w14:textId="77777777" w:rsidR="00AE09E4" w:rsidRPr="00485497" w:rsidRDefault="00AE09E4" w:rsidP="00485497">
      <w:pPr>
        <w:spacing w:line="360" w:lineRule="auto"/>
        <w:rPr>
          <w:rFonts w:ascii="Arial" w:hAnsi="Arial" w:cs="Arial"/>
          <w:sz w:val="24"/>
          <w:szCs w:val="24"/>
        </w:rPr>
      </w:pPr>
    </w:p>
    <w:p w14:paraId="4DD5BC58" w14:textId="77777777" w:rsidR="00AE09E4" w:rsidRPr="00485497" w:rsidRDefault="00AE09E4" w:rsidP="00485497">
      <w:pPr>
        <w:spacing w:line="360" w:lineRule="auto"/>
        <w:rPr>
          <w:rFonts w:ascii="Arial" w:hAnsi="Arial" w:cs="Arial"/>
          <w:sz w:val="24"/>
          <w:szCs w:val="24"/>
        </w:rPr>
      </w:pPr>
    </w:p>
    <w:p w14:paraId="00BE5368" w14:textId="77777777" w:rsidR="00AE09E4" w:rsidRPr="00485497" w:rsidRDefault="00AE09E4" w:rsidP="00485497">
      <w:pPr>
        <w:spacing w:line="360" w:lineRule="auto"/>
        <w:rPr>
          <w:rFonts w:ascii="Arial" w:hAnsi="Arial" w:cs="Arial"/>
          <w:sz w:val="24"/>
          <w:szCs w:val="24"/>
        </w:rPr>
      </w:pPr>
    </w:p>
    <w:p w14:paraId="28BFFE08" w14:textId="1BA76AF1" w:rsidR="002E6E7D" w:rsidRPr="00485497" w:rsidRDefault="00DF738B" w:rsidP="00485497">
      <w:pPr>
        <w:spacing w:line="360" w:lineRule="auto"/>
        <w:rPr>
          <w:rFonts w:ascii="Arial" w:hAnsi="Arial" w:cs="Arial"/>
          <w:sz w:val="24"/>
          <w:szCs w:val="24"/>
        </w:rPr>
      </w:pPr>
      <w:r w:rsidRPr="00485497">
        <w:rPr>
          <w:rFonts w:ascii="Arial" w:hAnsi="Arial" w:cs="Arial"/>
          <w:sz w:val="24"/>
          <w:szCs w:val="24"/>
        </w:rPr>
        <w:t>RE</w:t>
      </w:r>
      <w:r w:rsidR="00AE09E4" w:rsidRPr="00485497">
        <w:rPr>
          <w:rFonts w:ascii="Arial" w:hAnsi="Arial" w:cs="Arial"/>
          <w:sz w:val="24"/>
          <w:szCs w:val="24"/>
        </w:rPr>
        <w:t>FERENCES</w:t>
      </w:r>
    </w:p>
    <w:p w14:paraId="44617A48" w14:textId="77777777" w:rsidR="002E6E7D" w:rsidRPr="00485497" w:rsidRDefault="002E6E7D" w:rsidP="00485497">
      <w:pPr>
        <w:spacing w:line="360" w:lineRule="auto"/>
        <w:rPr>
          <w:rFonts w:ascii="Arial" w:hAnsi="Arial" w:cs="Arial"/>
          <w:sz w:val="24"/>
          <w:szCs w:val="24"/>
        </w:rPr>
      </w:pPr>
    </w:p>
    <w:p w14:paraId="39348296" w14:textId="23863B18"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Barney, J. (1991) ‘Firm resources and sustained competitive advantage’, </w:t>
      </w:r>
      <w:r w:rsidRPr="00485497">
        <w:rPr>
          <w:rFonts w:ascii="Arial" w:hAnsi="Arial" w:cs="Arial"/>
          <w:i/>
          <w:iCs/>
          <w:sz w:val="24"/>
          <w:szCs w:val="24"/>
        </w:rPr>
        <w:t>Journal of Management</w:t>
      </w:r>
      <w:r w:rsidRPr="00485497">
        <w:rPr>
          <w:rFonts w:ascii="Arial" w:hAnsi="Arial" w:cs="Arial"/>
          <w:sz w:val="24"/>
          <w:szCs w:val="24"/>
        </w:rPr>
        <w:t>, 17(1), pp. 99–120.</w:t>
      </w:r>
    </w:p>
    <w:p w14:paraId="64485155" w14:textId="77777777" w:rsidR="00BF5209" w:rsidRPr="00485497" w:rsidRDefault="00BF5209" w:rsidP="00485497">
      <w:pPr>
        <w:spacing w:after="0" w:line="360" w:lineRule="auto"/>
        <w:rPr>
          <w:rFonts w:ascii="Arial" w:hAnsi="Arial" w:cs="Arial"/>
          <w:sz w:val="24"/>
          <w:szCs w:val="24"/>
        </w:rPr>
      </w:pPr>
    </w:p>
    <w:p w14:paraId="2E8279A7" w14:textId="77777777"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Cateora, P.R., Gilly, M.C. and Graham, J.L. (2021) </w:t>
      </w:r>
      <w:r w:rsidRPr="00485497">
        <w:rPr>
          <w:rFonts w:ascii="Arial" w:hAnsi="Arial" w:cs="Arial"/>
          <w:i/>
          <w:iCs/>
          <w:sz w:val="24"/>
          <w:szCs w:val="24"/>
        </w:rPr>
        <w:t>International Marketing</w:t>
      </w:r>
      <w:r w:rsidRPr="00485497">
        <w:rPr>
          <w:rFonts w:ascii="Arial" w:hAnsi="Arial" w:cs="Arial"/>
          <w:sz w:val="24"/>
          <w:szCs w:val="24"/>
        </w:rPr>
        <w:t>. 18th edn. New York: McGraw-Hill Education.</w:t>
      </w:r>
    </w:p>
    <w:p w14:paraId="627C2E15" w14:textId="77777777" w:rsidR="00166CFF" w:rsidRPr="00485497" w:rsidRDefault="00166CFF" w:rsidP="00485497">
      <w:pPr>
        <w:spacing w:after="0" w:line="360" w:lineRule="auto"/>
        <w:rPr>
          <w:rFonts w:ascii="Arial" w:hAnsi="Arial" w:cs="Arial"/>
          <w:sz w:val="24"/>
          <w:szCs w:val="24"/>
        </w:rPr>
      </w:pPr>
    </w:p>
    <w:p w14:paraId="5E81C83E" w14:textId="68E274A1"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Czinkota, M.R. and Ronkainen, I.A. (2022) </w:t>
      </w:r>
      <w:r w:rsidRPr="00485497">
        <w:rPr>
          <w:rFonts w:ascii="Arial" w:hAnsi="Arial" w:cs="Arial"/>
          <w:i/>
          <w:iCs/>
          <w:sz w:val="24"/>
          <w:szCs w:val="24"/>
        </w:rPr>
        <w:t>International Marketing</w:t>
      </w:r>
      <w:r w:rsidRPr="00485497">
        <w:rPr>
          <w:rFonts w:ascii="Arial" w:hAnsi="Arial" w:cs="Arial"/>
          <w:sz w:val="24"/>
          <w:szCs w:val="24"/>
        </w:rPr>
        <w:t>. 11th edn. Boston: Cengage Learning.</w:t>
      </w:r>
    </w:p>
    <w:p w14:paraId="0ADE8523" w14:textId="77777777" w:rsidR="00166CFF" w:rsidRPr="00485497" w:rsidRDefault="00166CFF" w:rsidP="00485497">
      <w:pPr>
        <w:spacing w:after="0" w:line="360" w:lineRule="auto"/>
        <w:rPr>
          <w:rFonts w:ascii="Arial" w:hAnsi="Arial" w:cs="Arial"/>
          <w:sz w:val="24"/>
          <w:szCs w:val="24"/>
        </w:rPr>
      </w:pPr>
    </w:p>
    <w:p w14:paraId="33EBE4CA" w14:textId="66CEAF11"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Doole, I., Lowe, R. and Kenyon, A. (2022) </w:t>
      </w:r>
      <w:r w:rsidRPr="00485497">
        <w:rPr>
          <w:rFonts w:ascii="Arial" w:hAnsi="Arial" w:cs="Arial"/>
          <w:i/>
          <w:iCs/>
          <w:sz w:val="24"/>
          <w:szCs w:val="24"/>
        </w:rPr>
        <w:t>International Marketing Strategy</w:t>
      </w:r>
      <w:r w:rsidRPr="00485497">
        <w:rPr>
          <w:rFonts w:ascii="Arial" w:hAnsi="Arial" w:cs="Arial"/>
          <w:sz w:val="24"/>
          <w:szCs w:val="24"/>
        </w:rPr>
        <w:t>. 9th edn. London: Cengage Learning.</w:t>
      </w:r>
    </w:p>
    <w:p w14:paraId="19974AC3" w14:textId="77777777" w:rsidR="006F41C0" w:rsidRPr="00485497" w:rsidRDefault="006F41C0" w:rsidP="00485497">
      <w:pPr>
        <w:spacing w:after="0" w:line="360" w:lineRule="auto"/>
        <w:rPr>
          <w:rFonts w:ascii="Arial" w:hAnsi="Arial" w:cs="Arial"/>
          <w:sz w:val="24"/>
          <w:szCs w:val="24"/>
        </w:rPr>
      </w:pPr>
    </w:p>
    <w:p w14:paraId="7BB4F34B" w14:textId="784C8C26"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Dunning, J.H. (2000) ‘The Eclectic Paradigm as an Envelope for Economic and Business Theories of MNE Activity’, </w:t>
      </w:r>
      <w:r w:rsidRPr="00485497">
        <w:rPr>
          <w:rFonts w:ascii="Arial" w:hAnsi="Arial" w:cs="Arial"/>
          <w:i/>
          <w:iCs/>
          <w:sz w:val="24"/>
          <w:szCs w:val="24"/>
        </w:rPr>
        <w:t>International Business Review</w:t>
      </w:r>
      <w:r w:rsidRPr="00485497">
        <w:rPr>
          <w:rFonts w:ascii="Arial" w:hAnsi="Arial" w:cs="Arial"/>
          <w:sz w:val="24"/>
          <w:szCs w:val="24"/>
        </w:rPr>
        <w:t>, 9(2), pp. 163–190.</w:t>
      </w:r>
    </w:p>
    <w:p w14:paraId="224C7964" w14:textId="77777777" w:rsidR="006F41C0" w:rsidRPr="00485497" w:rsidRDefault="006F41C0" w:rsidP="00485497">
      <w:pPr>
        <w:spacing w:after="0" w:line="360" w:lineRule="auto"/>
        <w:rPr>
          <w:rFonts w:ascii="Arial" w:hAnsi="Arial" w:cs="Arial"/>
          <w:sz w:val="24"/>
          <w:szCs w:val="24"/>
        </w:rPr>
      </w:pPr>
    </w:p>
    <w:p w14:paraId="67E6833F" w14:textId="2BA98B29"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Grant, R.M. (2022) </w:t>
      </w:r>
      <w:r w:rsidRPr="00485497">
        <w:rPr>
          <w:rFonts w:ascii="Arial" w:hAnsi="Arial" w:cs="Arial"/>
          <w:i/>
          <w:iCs/>
          <w:sz w:val="24"/>
          <w:szCs w:val="24"/>
        </w:rPr>
        <w:t>Contemporary Strategy Analysis</w:t>
      </w:r>
      <w:r w:rsidRPr="00485497">
        <w:rPr>
          <w:rFonts w:ascii="Arial" w:hAnsi="Arial" w:cs="Arial"/>
          <w:sz w:val="24"/>
          <w:szCs w:val="24"/>
        </w:rPr>
        <w:t>. 11th edn. Hoboken: Wiley.</w:t>
      </w:r>
    </w:p>
    <w:p w14:paraId="11460399" w14:textId="77777777"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Hill, C.W.L. and Hult, G.T.M. (2023) </w:t>
      </w:r>
      <w:r w:rsidRPr="00485497">
        <w:rPr>
          <w:rFonts w:ascii="Arial" w:hAnsi="Arial" w:cs="Arial"/>
          <w:i/>
          <w:iCs/>
          <w:sz w:val="24"/>
          <w:szCs w:val="24"/>
        </w:rPr>
        <w:t>International Business: Competing in the Global Marketplace</w:t>
      </w:r>
      <w:r w:rsidRPr="00485497">
        <w:rPr>
          <w:rFonts w:ascii="Arial" w:hAnsi="Arial" w:cs="Arial"/>
          <w:sz w:val="24"/>
          <w:szCs w:val="24"/>
        </w:rPr>
        <w:t>. 15th edn. New York: McGraw-Hill.</w:t>
      </w:r>
    </w:p>
    <w:p w14:paraId="3C0713D3" w14:textId="77777777" w:rsidR="006F41C0" w:rsidRPr="00485497" w:rsidRDefault="006F41C0" w:rsidP="00485497">
      <w:pPr>
        <w:spacing w:after="0" w:line="360" w:lineRule="auto"/>
        <w:rPr>
          <w:rFonts w:ascii="Arial" w:hAnsi="Arial" w:cs="Arial"/>
          <w:sz w:val="24"/>
          <w:szCs w:val="24"/>
        </w:rPr>
      </w:pPr>
    </w:p>
    <w:p w14:paraId="4604B3C9" w14:textId="6AD9AE78"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Hitt, M.A., Ireland, R.D. and Hoskisson, R.E. (2019) </w:t>
      </w:r>
      <w:r w:rsidRPr="00485497">
        <w:rPr>
          <w:rFonts w:ascii="Arial" w:hAnsi="Arial" w:cs="Arial"/>
          <w:i/>
          <w:iCs/>
          <w:sz w:val="24"/>
          <w:szCs w:val="24"/>
        </w:rPr>
        <w:t>Strategic Management: Competitiveness and Globalization: Concepts and Cases</w:t>
      </w:r>
      <w:r w:rsidRPr="00485497">
        <w:rPr>
          <w:rFonts w:ascii="Arial" w:hAnsi="Arial" w:cs="Arial"/>
          <w:sz w:val="24"/>
          <w:szCs w:val="24"/>
        </w:rPr>
        <w:t>. 13th edn. Boston: Cengage Learning.</w:t>
      </w:r>
    </w:p>
    <w:p w14:paraId="495ADEAF" w14:textId="77777777" w:rsidR="00463533" w:rsidRPr="00485497" w:rsidRDefault="00463533" w:rsidP="00485497">
      <w:pPr>
        <w:spacing w:after="0" w:line="360" w:lineRule="auto"/>
        <w:rPr>
          <w:rFonts w:ascii="Arial" w:hAnsi="Arial" w:cs="Arial"/>
          <w:sz w:val="24"/>
          <w:szCs w:val="24"/>
        </w:rPr>
      </w:pPr>
    </w:p>
    <w:p w14:paraId="3D72107E" w14:textId="11E2EAEA"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Hofstede Insights (2024) </w:t>
      </w:r>
      <w:r w:rsidRPr="00485497">
        <w:rPr>
          <w:rFonts w:ascii="Arial" w:hAnsi="Arial" w:cs="Arial"/>
          <w:i/>
          <w:iCs/>
          <w:sz w:val="24"/>
          <w:szCs w:val="24"/>
        </w:rPr>
        <w:t>Country Comparison: Japan and United States</w:t>
      </w:r>
      <w:r w:rsidRPr="00485497">
        <w:rPr>
          <w:rFonts w:ascii="Arial" w:hAnsi="Arial" w:cs="Arial"/>
          <w:sz w:val="24"/>
          <w:szCs w:val="24"/>
        </w:rPr>
        <w:t>.</w:t>
      </w:r>
    </w:p>
    <w:p w14:paraId="5BEF8FE2" w14:textId="77777777"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International Energy Agency (2024) </w:t>
      </w:r>
      <w:r w:rsidRPr="00485497">
        <w:rPr>
          <w:rFonts w:ascii="Arial" w:hAnsi="Arial" w:cs="Arial"/>
          <w:i/>
          <w:iCs/>
          <w:sz w:val="24"/>
          <w:szCs w:val="24"/>
        </w:rPr>
        <w:t>Global EV Outlook 2024</w:t>
      </w:r>
      <w:r w:rsidRPr="00485497">
        <w:rPr>
          <w:rFonts w:ascii="Arial" w:hAnsi="Arial" w:cs="Arial"/>
          <w:sz w:val="24"/>
          <w:szCs w:val="24"/>
        </w:rPr>
        <w:t>. Paris: IEA.</w:t>
      </w:r>
    </w:p>
    <w:p w14:paraId="17FF8AEC" w14:textId="77777777" w:rsidR="00463533" w:rsidRPr="00485497" w:rsidRDefault="00463533" w:rsidP="00485497">
      <w:pPr>
        <w:spacing w:after="0" w:line="360" w:lineRule="auto"/>
        <w:rPr>
          <w:rFonts w:ascii="Arial" w:hAnsi="Arial" w:cs="Arial"/>
          <w:sz w:val="24"/>
          <w:szCs w:val="24"/>
        </w:rPr>
      </w:pPr>
    </w:p>
    <w:p w14:paraId="106FB057" w14:textId="3E1DCAF2"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Johnson, G., Whittington, R., Scholes, K., Angwin, D. and Regnér, P. (2020) </w:t>
      </w:r>
      <w:r w:rsidRPr="00485497">
        <w:rPr>
          <w:rFonts w:ascii="Arial" w:hAnsi="Arial" w:cs="Arial"/>
          <w:i/>
          <w:iCs/>
          <w:sz w:val="24"/>
          <w:szCs w:val="24"/>
        </w:rPr>
        <w:t>Exploring Strategy</w:t>
      </w:r>
      <w:r w:rsidRPr="00485497">
        <w:rPr>
          <w:rFonts w:ascii="Arial" w:hAnsi="Arial" w:cs="Arial"/>
          <w:sz w:val="24"/>
          <w:szCs w:val="24"/>
        </w:rPr>
        <w:t>. 12th edn. Harlow: Pearson.</w:t>
      </w:r>
    </w:p>
    <w:p w14:paraId="13BBFA1F" w14:textId="77777777" w:rsidR="00463533" w:rsidRPr="00485497" w:rsidRDefault="00463533" w:rsidP="00485497">
      <w:pPr>
        <w:spacing w:after="0" w:line="360" w:lineRule="auto"/>
        <w:rPr>
          <w:rFonts w:ascii="Arial" w:hAnsi="Arial" w:cs="Arial"/>
          <w:sz w:val="24"/>
          <w:szCs w:val="24"/>
        </w:rPr>
      </w:pPr>
    </w:p>
    <w:p w14:paraId="27CCA7EA" w14:textId="41812D84"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Keegan, W.J. and Green, M.C. (2023) </w:t>
      </w:r>
      <w:r w:rsidRPr="00485497">
        <w:rPr>
          <w:rFonts w:ascii="Arial" w:hAnsi="Arial" w:cs="Arial"/>
          <w:i/>
          <w:iCs/>
          <w:sz w:val="24"/>
          <w:szCs w:val="24"/>
        </w:rPr>
        <w:t>Global Marketing</w:t>
      </w:r>
      <w:r w:rsidRPr="00485497">
        <w:rPr>
          <w:rFonts w:ascii="Arial" w:hAnsi="Arial" w:cs="Arial"/>
          <w:sz w:val="24"/>
          <w:szCs w:val="24"/>
        </w:rPr>
        <w:t>. 11th edn. Harlow: Pearson.</w:t>
      </w:r>
    </w:p>
    <w:p w14:paraId="29451E69" w14:textId="77777777" w:rsidR="001F219E" w:rsidRPr="00485497" w:rsidRDefault="001F219E" w:rsidP="00485497">
      <w:pPr>
        <w:spacing w:after="0" w:line="360" w:lineRule="auto"/>
        <w:rPr>
          <w:rFonts w:ascii="Arial" w:hAnsi="Arial" w:cs="Arial"/>
          <w:sz w:val="24"/>
          <w:szCs w:val="24"/>
        </w:rPr>
      </w:pPr>
    </w:p>
    <w:p w14:paraId="71527939" w14:textId="58EA22C7"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lastRenderedPageBreak/>
        <w:t xml:space="preserve">Kotler, P., Keller, K.L. and Chernev, A. (2022) </w:t>
      </w:r>
      <w:r w:rsidRPr="00485497">
        <w:rPr>
          <w:rFonts w:ascii="Arial" w:hAnsi="Arial" w:cs="Arial"/>
          <w:i/>
          <w:iCs/>
          <w:sz w:val="24"/>
          <w:szCs w:val="24"/>
        </w:rPr>
        <w:t>Marketing Management</w:t>
      </w:r>
      <w:r w:rsidRPr="00485497">
        <w:rPr>
          <w:rFonts w:ascii="Arial" w:hAnsi="Arial" w:cs="Arial"/>
          <w:sz w:val="24"/>
          <w:szCs w:val="24"/>
        </w:rPr>
        <w:t>. 16th edn. Harlow: Pearson.</w:t>
      </w:r>
    </w:p>
    <w:p w14:paraId="01097C26" w14:textId="77777777" w:rsidR="001F219E" w:rsidRPr="00485497" w:rsidRDefault="001F219E" w:rsidP="00485497">
      <w:pPr>
        <w:spacing w:after="0" w:line="360" w:lineRule="auto"/>
        <w:rPr>
          <w:rFonts w:ascii="Arial" w:hAnsi="Arial" w:cs="Arial"/>
          <w:sz w:val="24"/>
          <w:szCs w:val="24"/>
        </w:rPr>
      </w:pPr>
    </w:p>
    <w:p w14:paraId="040168E9" w14:textId="5BAC6E1F"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Liker, J.K. (2004) </w:t>
      </w:r>
      <w:r w:rsidRPr="00485497">
        <w:rPr>
          <w:rFonts w:ascii="Arial" w:hAnsi="Arial" w:cs="Arial"/>
          <w:i/>
          <w:iCs/>
          <w:sz w:val="24"/>
          <w:szCs w:val="24"/>
        </w:rPr>
        <w:t>The Toyota Way: 14 Management Principles from the World's Greatest Manufacturer</w:t>
      </w:r>
      <w:r w:rsidRPr="00485497">
        <w:rPr>
          <w:rFonts w:ascii="Arial" w:hAnsi="Arial" w:cs="Arial"/>
          <w:sz w:val="24"/>
          <w:szCs w:val="24"/>
        </w:rPr>
        <w:t>. New York: McGraw-Hill.</w:t>
      </w:r>
    </w:p>
    <w:p w14:paraId="7FF69202" w14:textId="77777777" w:rsidR="001F219E" w:rsidRPr="00485497" w:rsidRDefault="001F219E" w:rsidP="00485497">
      <w:pPr>
        <w:spacing w:after="0" w:line="360" w:lineRule="auto"/>
        <w:rPr>
          <w:rFonts w:ascii="Arial" w:hAnsi="Arial" w:cs="Arial"/>
          <w:sz w:val="24"/>
          <w:szCs w:val="24"/>
        </w:rPr>
      </w:pPr>
    </w:p>
    <w:p w14:paraId="45226705" w14:textId="63EC6BF5"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Murshed, M. (2026) </w:t>
      </w:r>
      <w:r w:rsidRPr="00485497">
        <w:rPr>
          <w:rFonts w:ascii="Arial" w:hAnsi="Arial" w:cs="Arial"/>
          <w:i/>
          <w:iCs/>
          <w:sz w:val="24"/>
          <w:szCs w:val="24"/>
        </w:rPr>
        <w:t>LCMB7034 – MBA International Business Concept</w:t>
      </w:r>
      <w:r w:rsidRPr="00485497">
        <w:rPr>
          <w:rFonts w:ascii="Arial" w:hAnsi="Arial" w:cs="Arial"/>
          <w:sz w:val="24"/>
          <w:szCs w:val="24"/>
        </w:rPr>
        <w:t>. University of Wales Trinity Saint David. Unpublished lecture materials.</w:t>
      </w:r>
    </w:p>
    <w:p w14:paraId="58313FE6" w14:textId="77777777" w:rsidR="001F219E" w:rsidRPr="00485497" w:rsidRDefault="001F219E" w:rsidP="00485497">
      <w:pPr>
        <w:spacing w:after="0" w:line="360" w:lineRule="auto"/>
        <w:rPr>
          <w:rFonts w:ascii="Arial" w:hAnsi="Arial" w:cs="Arial"/>
          <w:sz w:val="24"/>
          <w:szCs w:val="24"/>
        </w:rPr>
      </w:pPr>
    </w:p>
    <w:p w14:paraId="53D70361" w14:textId="314C53A2"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Toyota Motor Corporation (2025) </w:t>
      </w:r>
      <w:r w:rsidRPr="00485497">
        <w:rPr>
          <w:rFonts w:ascii="Arial" w:hAnsi="Arial" w:cs="Arial"/>
          <w:i/>
          <w:iCs/>
          <w:sz w:val="24"/>
          <w:szCs w:val="24"/>
        </w:rPr>
        <w:t>Annual Report 2025: For the Fiscal Year Ended 31 March 2025</w:t>
      </w:r>
      <w:r w:rsidRPr="00485497">
        <w:rPr>
          <w:rFonts w:ascii="Arial" w:hAnsi="Arial" w:cs="Arial"/>
          <w:sz w:val="24"/>
          <w:szCs w:val="24"/>
        </w:rPr>
        <w:t>. Toyota City: Toyota Motor Corporation. Available at: Toyota Motor Corporation Investor Relations website (Accessed: 16 June 2026).</w:t>
      </w:r>
    </w:p>
    <w:p w14:paraId="557457F9" w14:textId="77777777" w:rsidR="001665BB" w:rsidRPr="00485497" w:rsidRDefault="001665BB" w:rsidP="00485497">
      <w:pPr>
        <w:spacing w:after="0" w:line="360" w:lineRule="auto"/>
        <w:rPr>
          <w:rFonts w:ascii="Arial" w:hAnsi="Arial" w:cs="Arial"/>
          <w:sz w:val="24"/>
          <w:szCs w:val="24"/>
        </w:rPr>
      </w:pPr>
    </w:p>
    <w:p w14:paraId="7AA994E6" w14:textId="094C76C0"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Toyota Motor Corporation (2025) </w:t>
      </w:r>
      <w:r w:rsidRPr="00485497">
        <w:rPr>
          <w:rFonts w:ascii="Arial" w:hAnsi="Arial" w:cs="Arial"/>
          <w:i/>
          <w:iCs/>
          <w:sz w:val="24"/>
          <w:szCs w:val="24"/>
        </w:rPr>
        <w:t>Integrated Report 2025</w:t>
      </w:r>
      <w:r w:rsidRPr="00485497">
        <w:rPr>
          <w:rFonts w:ascii="Arial" w:hAnsi="Arial" w:cs="Arial"/>
          <w:sz w:val="24"/>
          <w:szCs w:val="24"/>
        </w:rPr>
        <w:t>. Toyota City: Toyota Motor Corporation.</w:t>
      </w:r>
    </w:p>
    <w:p w14:paraId="5798FE52" w14:textId="77777777" w:rsidR="001665BB" w:rsidRPr="00485497" w:rsidRDefault="001665BB" w:rsidP="00485497">
      <w:pPr>
        <w:spacing w:after="0" w:line="360" w:lineRule="auto"/>
        <w:rPr>
          <w:rFonts w:ascii="Arial" w:hAnsi="Arial" w:cs="Arial"/>
          <w:sz w:val="24"/>
          <w:szCs w:val="24"/>
        </w:rPr>
      </w:pPr>
    </w:p>
    <w:p w14:paraId="56C234A3" w14:textId="6B5FDC72"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Womack, J.P., Jones, D.T. and Roos, D. (1990) </w:t>
      </w:r>
      <w:r w:rsidRPr="00485497">
        <w:rPr>
          <w:rFonts w:ascii="Arial" w:hAnsi="Arial" w:cs="Arial"/>
          <w:i/>
          <w:iCs/>
          <w:sz w:val="24"/>
          <w:szCs w:val="24"/>
        </w:rPr>
        <w:t>The Machine That Changed the World</w:t>
      </w:r>
      <w:r w:rsidRPr="00485497">
        <w:rPr>
          <w:rFonts w:ascii="Arial" w:hAnsi="Arial" w:cs="Arial"/>
          <w:sz w:val="24"/>
          <w:szCs w:val="24"/>
        </w:rPr>
        <w:t>. New York: Rawson Associates.</w:t>
      </w:r>
    </w:p>
    <w:p w14:paraId="69F3249C" w14:textId="77777777" w:rsidR="001665BB" w:rsidRPr="00485497" w:rsidRDefault="001665BB" w:rsidP="00485497">
      <w:pPr>
        <w:spacing w:after="0" w:line="360" w:lineRule="auto"/>
        <w:rPr>
          <w:rFonts w:ascii="Arial" w:hAnsi="Arial" w:cs="Arial"/>
          <w:sz w:val="24"/>
          <w:szCs w:val="24"/>
        </w:rPr>
      </w:pPr>
    </w:p>
    <w:p w14:paraId="736A3F6E" w14:textId="236161D6" w:rsidR="00CF3E61" w:rsidRPr="00485497" w:rsidRDefault="00CF3E61" w:rsidP="00485497">
      <w:pPr>
        <w:spacing w:after="0" w:line="360" w:lineRule="auto"/>
        <w:rPr>
          <w:rFonts w:ascii="Arial" w:hAnsi="Arial" w:cs="Arial"/>
          <w:sz w:val="24"/>
          <w:szCs w:val="24"/>
        </w:rPr>
      </w:pPr>
      <w:r w:rsidRPr="00485497">
        <w:rPr>
          <w:rFonts w:ascii="Arial" w:hAnsi="Arial" w:cs="Arial"/>
          <w:sz w:val="24"/>
          <w:szCs w:val="24"/>
        </w:rPr>
        <w:t xml:space="preserve">Xu, Z. (2023) ‘Analysis of Toyota and its Competitors Based on PESTEL and SWOT’, </w:t>
      </w:r>
      <w:r w:rsidRPr="00485497">
        <w:rPr>
          <w:rFonts w:ascii="Arial" w:hAnsi="Arial" w:cs="Arial"/>
          <w:i/>
          <w:iCs/>
          <w:sz w:val="24"/>
          <w:szCs w:val="24"/>
        </w:rPr>
        <w:t>BCP Business &amp; Management</w:t>
      </w:r>
      <w:r w:rsidRPr="00485497">
        <w:rPr>
          <w:rFonts w:ascii="Arial" w:hAnsi="Arial" w:cs="Arial"/>
          <w:sz w:val="24"/>
          <w:szCs w:val="24"/>
        </w:rPr>
        <w:t>, 37, pp. 446–455. Available at: ResearchGate publication page (Accessed: 13 June 2026).</w:t>
      </w:r>
    </w:p>
    <w:p w14:paraId="664C7EA8" w14:textId="77777777" w:rsidR="001665BB" w:rsidRPr="00485497" w:rsidRDefault="001665BB" w:rsidP="00485497">
      <w:pPr>
        <w:spacing w:after="0" w:line="360" w:lineRule="auto"/>
        <w:rPr>
          <w:rFonts w:ascii="Arial" w:hAnsi="Arial" w:cs="Arial"/>
          <w:sz w:val="24"/>
          <w:szCs w:val="24"/>
        </w:rPr>
      </w:pPr>
    </w:p>
    <w:p w14:paraId="4C9947F0" w14:textId="7526689A" w:rsidR="00726966" w:rsidRPr="00485497" w:rsidRDefault="00726966" w:rsidP="00485497">
      <w:pPr>
        <w:spacing w:after="0" w:line="360" w:lineRule="auto"/>
        <w:rPr>
          <w:rFonts w:ascii="Arial" w:hAnsi="Arial" w:cs="Arial"/>
          <w:i/>
          <w:iCs/>
          <w:sz w:val="24"/>
          <w:szCs w:val="24"/>
        </w:rPr>
      </w:pPr>
      <w:r w:rsidRPr="00485497">
        <w:rPr>
          <w:rFonts w:ascii="Arial" w:hAnsi="Arial" w:cs="Arial"/>
          <w:sz w:val="24"/>
          <w:szCs w:val="24"/>
        </w:rPr>
        <w:t xml:space="preserve">Yoshimori, M. (2005) “Does Corporate Governance Matter? Why the Corporate Performance of Toyota and Canon </w:t>
      </w:r>
      <w:r w:rsidR="00BD6C94" w:rsidRPr="00485497">
        <w:rPr>
          <w:rFonts w:ascii="Arial" w:hAnsi="Arial" w:cs="Arial"/>
          <w:sz w:val="24"/>
          <w:szCs w:val="24"/>
        </w:rPr>
        <w:t>are</w:t>
      </w:r>
      <w:r w:rsidRPr="00485497">
        <w:rPr>
          <w:rFonts w:ascii="Arial" w:hAnsi="Arial" w:cs="Arial"/>
          <w:sz w:val="24"/>
          <w:szCs w:val="24"/>
        </w:rPr>
        <w:t xml:space="preserve"> Superior to GM and Xerox,” </w:t>
      </w:r>
      <w:r w:rsidRPr="00485497">
        <w:rPr>
          <w:rFonts w:ascii="Arial" w:hAnsi="Arial" w:cs="Arial"/>
          <w:i/>
          <w:iCs/>
          <w:sz w:val="24"/>
          <w:szCs w:val="24"/>
        </w:rPr>
        <w:t>Corporate Governance: An International Review</w:t>
      </w:r>
      <w:r w:rsidRPr="00485497">
        <w:rPr>
          <w:rFonts w:ascii="Arial" w:hAnsi="Arial" w:cs="Arial"/>
          <w:sz w:val="24"/>
          <w:szCs w:val="24"/>
        </w:rPr>
        <w:t>, 13(3), pp. 447–457. Available at: https://doi.org/10.1111/j.1467-8683.2005.00439.x.</w:t>
      </w:r>
    </w:p>
    <w:p w14:paraId="2D10D1AC" w14:textId="77777777" w:rsidR="00726966" w:rsidRPr="00485497" w:rsidRDefault="00726966" w:rsidP="00485497">
      <w:pPr>
        <w:spacing w:after="0" w:line="360" w:lineRule="auto"/>
        <w:rPr>
          <w:rFonts w:ascii="Arial" w:hAnsi="Arial" w:cs="Arial"/>
          <w:sz w:val="24"/>
          <w:szCs w:val="24"/>
        </w:rPr>
      </w:pPr>
    </w:p>
    <w:p w14:paraId="7EC11BF6" w14:textId="77777777" w:rsidR="00ED2BE2" w:rsidRPr="00485497" w:rsidRDefault="00ED2BE2" w:rsidP="00485497">
      <w:pPr>
        <w:spacing w:after="0" w:line="360" w:lineRule="auto"/>
        <w:rPr>
          <w:rFonts w:ascii="Arial" w:hAnsi="Arial" w:cs="Arial"/>
          <w:sz w:val="24"/>
          <w:szCs w:val="24"/>
        </w:rPr>
      </w:pPr>
    </w:p>
    <w:p w14:paraId="454ACB13" w14:textId="77777777" w:rsidR="006E204B" w:rsidRPr="00485497" w:rsidRDefault="006E204B" w:rsidP="00485497">
      <w:pPr>
        <w:spacing w:after="0" w:line="360" w:lineRule="auto"/>
        <w:rPr>
          <w:rFonts w:ascii="Arial" w:hAnsi="Arial" w:cs="Arial"/>
          <w:sz w:val="24"/>
          <w:szCs w:val="24"/>
        </w:rPr>
      </w:pPr>
    </w:p>
    <w:p w14:paraId="2A59CA8F" w14:textId="77777777" w:rsidR="00B5188D" w:rsidRPr="00485497" w:rsidRDefault="00B5188D" w:rsidP="00485497">
      <w:pPr>
        <w:spacing w:line="360" w:lineRule="auto"/>
        <w:rPr>
          <w:rFonts w:ascii="Arial" w:hAnsi="Arial" w:cs="Arial"/>
          <w:sz w:val="24"/>
          <w:szCs w:val="24"/>
        </w:rPr>
      </w:pPr>
    </w:p>
    <w:p w14:paraId="4A10EA4B" w14:textId="77777777" w:rsidR="009E7061" w:rsidRPr="00485497" w:rsidRDefault="009E7061" w:rsidP="00485497">
      <w:pPr>
        <w:spacing w:line="360" w:lineRule="auto"/>
        <w:rPr>
          <w:rFonts w:ascii="Arial" w:hAnsi="Arial" w:cs="Arial"/>
          <w:sz w:val="24"/>
          <w:szCs w:val="24"/>
        </w:rPr>
      </w:pPr>
    </w:p>
    <w:p w14:paraId="4B016A8C" w14:textId="757CA69E" w:rsidR="00C23ED5" w:rsidRPr="00485497" w:rsidRDefault="00C23ED5" w:rsidP="00485497">
      <w:pPr>
        <w:spacing w:line="360" w:lineRule="auto"/>
        <w:rPr>
          <w:rFonts w:ascii="Arial" w:hAnsi="Arial" w:cs="Arial"/>
          <w:sz w:val="24"/>
          <w:szCs w:val="24"/>
        </w:rPr>
      </w:pPr>
      <w:r w:rsidRPr="00485497">
        <w:rPr>
          <w:rFonts w:ascii="Arial" w:hAnsi="Arial" w:cs="Arial"/>
          <w:sz w:val="24"/>
          <w:szCs w:val="24"/>
        </w:rPr>
        <w:t>APP</w:t>
      </w:r>
      <w:r w:rsidR="00B56B01" w:rsidRPr="00485497">
        <w:rPr>
          <w:rFonts w:ascii="Arial" w:hAnsi="Arial" w:cs="Arial"/>
          <w:sz w:val="24"/>
          <w:szCs w:val="24"/>
        </w:rPr>
        <w:t>ENDICES</w:t>
      </w:r>
      <w:r w:rsidR="00B81D00" w:rsidRPr="00485497">
        <w:rPr>
          <w:rFonts w:ascii="Arial" w:hAnsi="Arial" w:cs="Arial"/>
          <w:sz w:val="24"/>
          <w:szCs w:val="24"/>
        </w:rPr>
        <w:t>.</w:t>
      </w:r>
    </w:p>
    <w:p w14:paraId="570B36BC" w14:textId="51EEABE6" w:rsidR="005E4906" w:rsidRPr="00485497" w:rsidRDefault="00B81D00" w:rsidP="00485497">
      <w:pPr>
        <w:spacing w:line="360" w:lineRule="auto"/>
        <w:rPr>
          <w:rFonts w:ascii="Arial" w:hAnsi="Arial" w:cs="Arial"/>
          <w:sz w:val="24"/>
          <w:szCs w:val="24"/>
          <w:lang w:val="en-US"/>
        </w:rPr>
      </w:pPr>
      <w:r w:rsidRPr="00485497">
        <w:rPr>
          <w:rFonts w:ascii="Arial" w:hAnsi="Arial" w:cs="Arial"/>
          <w:sz w:val="24"/>
          <w:szCs w:val="24"/>
        </w:rPr>
        <w:lastRenderedPageBreak/>
        <w:t xml:space="preserve">Appendix </w:t>
      </w:r>
      <w:r w:rsidR="00A6341E" w:rsidRPr="00485497">
        <w:rPr>
          <w:rFonts w:ascii="Arial" w:hAnsi="Arial" w:cs="Arial"/>
          <w:sz w:val="24"/>
          <w:szCs w:val="24"/>
        </w:rPr>
        <w:t>1</w:t>
      </w:r>
      <w:r w:rsidRPr="00485497">
        <w:rPr>
          <w:rFonts w:ascii="Arial" w:hAnsi="Arial" w:cs="Arial"/>
          <w:sz w:val="24"/>
          <w:szCs w:val="24"/>
        </w:rPr>
        <w:t xml:space="preserve">: </w:t>
      </w:r>
      <w:r w:rsidR="00417952" w:rsidRPr="00485497">
        <w:rPr>
          <w:rFonts w:ascii="Arial" w:hAnsi="Arial" w:cs="Arial"/>
          <w:sz w:val="24"/>
          <w:szCs w:val="24"/>
        </w:rPr>
        <w:t xml:space="preserve">Table 1. </w:t>
      </w:r>
      <w:r w:rsidR="00417952" w:rsidRPr="00485497">
        <w:rPr>
          <w:rFonts w:ascii="Arial" w:hAnsi="Arial" w:cs="Arial"/>
          <w:sz w:val="24"/>
          <w:szCs w:val="24"/>
          <w:lang w:val="en-US"/>
        </w:rPr>
        <w:t xml:space="preserve">Toyota’s </w:t>
      </w:r>
      <w:r w:rsidR="00417952" w:rsidRPr="00485497">
        <w:rPr>
          <w:rFonts w:ascii="Arial" w:hAnsi="Arial" w:cs="Arial"/>
          <w:sz w:val="24"/>
          <w:szCs w:val="24"/>
        </w:rPr>
        <w:t>Comparative Discussion of PESTEL analysis</w:t>
      </w:r>
      <w:r w:rsidR="00417952" w:rsidRPr="00485497">
        <w:rPr>
          <w:rFonts w:ascii="Arial" w:hAnsi="Arial" w:cs="Arial"/>
          <w:sz w:val="24"/>
          <w:szCs w:val="24"/>
          <w:lang w:val="en-US"/>
        </w:rPr>
        <w:t>.</w:t>
      </w:r>
    </w:p>
    <w:p w14:paraId="1D8E5488" w14:textId="564BAD46" w:rsidR="009504C7" w:rsidRPr="00485497" w:rsidRDefault="009504C7" w:rsidP="00485497">
      <w:pPr>
        <w:spacing w:line="360" w:lineRule="auto"/>
        <w:rPr>
          <w:rFonts w:ascii="Arial" w:hAnsi="Arial" w:cs="Arial"/>
          <w:sz w:val="24"/>
          <w:szCs w:val="24"/>
          <w:lang w:val="en-US"/>
        </w:rPr>
      </w:pPr>
      <w:r w:rsidRPr="00485497">
        <w:rPr>
          <w:rFonts w:ascii="Arial" w:hAnsi="Arial" w:cs="Arial"/>
          <w:sz w:val="24"/>
          <w:szCs w:val="24"/>
          <w:lang w:val="en-US"/>
        </w:rPr>
        <w:t xml:space="preserve">The table </w:t>
      </w:r>
      <w:r w:rsidR="008C1441" w:rsidRPr="00485497">
        <w:rPr>
          <w:rFonts w:ascii="Arial" w:hAnsi="Arial" w:cs="Arial"/>
          <w:sz w:val="24"/>
          <w:szCs w:val="24"/>
          <w:lang w:val="en-US"/>
        </w:rPr>
        <w:t>below on Toyota’s</w:t>
      </w:r>
      <w:r w:rsidRPr="00485497">
        <w:rPr>
          <w:rFonts w:ascii="Arial" w:hAnsi="Arial" w:cs="Arial"/>
          <w:sz w:val="24"/>
          <w:szCs w:val="24"/>
          <w:lang w:val="en-US"/>
        </w:rPr>
        <w:t xml:space="preserve"> </w:t>
      </w:r>
      <w:r w:rsidRPr="00485497">
        <w:rPr>
          <w:rFonts w:ascii="Arial" w:hAnsi="Arial" w:cs="Arial"/>
          <w:sz w:val="24"/>
          <w:szCs w:val="24"/>
        </w:rPr>
        <w:t>Comparative Discussion from table 1 of the PESTEL analysis indicates that both Japan</w:t>
      </w:r>
      <w:r w:rsidR="00E9065B" w:rsidRPr="00485497">
        <w:rPr>
          <w:rFonts w:ascii="Arial" w:hAnsi="Arial" w:cs="Arial"/>
          <w:sz w:val="24"/>
          <w:szCs w:val="24"/>
        </w:rPr>
        <w:t xml:space="preserve"> (home countr</w:t>
      </w:r>
      <w:r w:rsidR="005A3ACE" w:rsidRPr="00485497">
        <w:rPr>
          <w:rFonts w:ascii="Arial" w:hAnsi="Arial" w:cs="Arial"/>
          <w:sz w:val="24"/>
          <w:szCs w:val="24"/>
        </w:rPr>
        <w:t>y</w:t>
      </w:r>
      <w:r w:rsidR="00E9065B" w:rsidRPr="00485497">
        <w:rPr>
          <w:rFonts w:ascii="Arial" w:hAnsi="Arial" w:cs="Arial"/>
          <w:sz w:val="24"/>
          <w:szCs w:val="24"/>
        </w:rPr>
        <w:t>)</w:t>
      </w:r>
      <w:r w:rsidRPr="00485497">
        <w:rPr>
          <w:rFonts w:ascii="Arial" w:hAnsi="Arial" w:cs="Arial"/>
          <w:sz w:val="24"/>
          <w:szCs w:val="24"/>
        </w:rPr>
        <w:t xml:space="preserve"> and the United States</w:t>
      </w:r>
      <w:r w:rsidR="00D525B9" w:rsidRPr="00485497">
        <w:rPr>
          <w:rFonts w:ascii="Arial" w:hAnsi="Arial" w:cs="Arial"/>
          <w:sz w:val="24"/>
          <w:szCs w:val="24"/>
        </w:rPr>
        <w:t xml:space="preserve"> (host countr</w:t>
      </w:r>
      <w:r w:rsidR="005A3ACE" w:rsidRPr="00485497">
        <w:rPr>
          <w:rFonts w:ascii="Arial" w:hAnsi="Arial" w:cs="Arial"/>
          <w:sz w:val="24"/>
          <w:szCs w:val="24"/>
        </w:rPr>
        <w:t>y</w:t>
      </w:r>
      <w:r w:rsidR="00D525B9" w:rsidRPr="00485497">
        <w:rPr>
          <w:rFonts w:ascii="Arial" w:hAnsi="Arial" w:cs="Arial"/>
          <w:sz w:val="24"/>
          <w:szCs w:val="24"/>
        </w:rPr>
        <w:t>)</w:t>
      </w:r>
      <w:r w:rsidRPr="00485497">
        <w:rPr>
          <w:rFonts w:ascii="Arial" w:hAnsi="Arial" w:cs="Arial"/>
          <w:sz w:val="24"/>
          <w:szCs w:val="24"/>
        </w:rPr>
        <w:t xml:space="preserve"> provide favourable environments for Toyota’s electric vehicle business, although each market presents distinct opportunities and challenges</w:t>
      </w:r>
      <w:r w:rsidR="00950F94" w:rsidRPr="00485497">
        <w:rPr>
          <w:rFonts w:ascii="Arial" w:hAnsi="Arial" w:cs="Arial"/>
          <w:sz w:val="24"/>
          <w:szCs w:val="24"/>
        </w:rPr>
        <w:t>.</w:t>
      </w:r>
    </w:p>
    <w:p w14:paraId="7BD89E3B" w14:textId="7458ABA8" w:rsidR="005E4906" w:rsidRPr="00485497" w:rsidRDefault="005E4906" w:rsidP="00485497">
      <w:pPr>
        <w:spacing w:line="360" w:lineRule="auto"/>
        <w:jc w:val="center"/>
        <w:rPr>
          <w:rFonts w:ascii="Arial" w:hAnsi="Arial" w:cs="Arial"/>
          <w:sz w:val="24"/>
          <w:szCs w:val="24"/>
          <w:lang w:val="en-US"/>
        </w:rPr>
      </w:pPr>
      <w:r w:rsidRPr="00485497">
        <w:rPr>
          <w:rFonts w:ascii="Arial" w:hAnsi="Arial" w:cs="Arial"/>
          <w:sz w:val="24"/>
          <w:szCs w:val="24"/>
        </w:rPr>
        <w:t xml:space="preserve">Table 1. </w:t>
      </w:r>
      <w:r w:rsidRPr="00485497">
        <w:rPr>
          <w:rFonts w:ascii="Arial" w:hAnsi="Arial" w:cs="Arial"/>
          <w:sz w:val="24"/>
          <w:szCs w:val="24"/>
          <w:lang w:val="en-US"/>
        </w:rPr>
        <w:t xml:space="preserve">Toyota’s </w:t>
      </w:r>
      <w:r w:rsidRPr="00485497">
        <w:rPr>
          <w:rFonts w:ascii="Arial" w:hAnsi="Arial" w:cs="Arial"/>
          <w:sz w:val="24"/>
          <w:szCs w:val="24"/>
        </w:rPr>
        <w:t>Comparative Discussion of PESTEL analysis</w:t>
      </w:r>
      <w:r w:rsidR="00F52D51" w:rsidRPr="00485497">
        <w:rPr>
          <w:rFonts w:ascii="Arial" w:hAnsi="Arial" w:cs="Arial"/>
          <w:sz w:val="24"/>
          <w:szCs w:val="24"/>
          <w:lang w:val="en-US"/>
        </w:rPr>
        <w:t>.</w:t>
      </w:r>
    </w:p>
    <w:tbl>
      <w:tblPr>
        <w:tblStyle w:val="TableGrid"/>
        <w:tblW w:w="0" w:type="auto"/>
        <w:tblLook w:val="04A0" w:firstRow="1" w:lastRow="0" w:firstColumn="1" w:lastColumn="0" w:noHBand="0" w:noVBand="1"/>
      </w:tblPr>
      <w:tblGrid>
        <w:gridCol w:w="3080"/>
        <w:gridCol w:w="3081"/>
        <w:gridCol w:w="3081"/>
      </w:tblGrid>
      <w:tr w:rsidR="005E4906" w:rsidRPr="00485497" w14:paraId="4971B6CF" w14:textId="77777777" w:rsidTr="00D860CD">
        <w:tc>
          <w:tcPr>
            <w:tcW w:w="3080" w:type="dxa"/>
            <w:vAlign w:val="center"/>
          </w:tcPr>
          <w:p w14:paraId="403B491A"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Factor</w:t>
            </w:r>
          </w:p>
        </w:tc>
        <w:tc>
          <w:tcPr>
            <w:tcW w:w="3081" w:type="dxa"/>
            <w:vAlign w:val="center"/>
          </w:tcPr>
          <w:p w14:paraId="3D70341A"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Japan (Home Country)</w:t>
            </w:r>
          </w:p>
        </w:tc>
        <w:tc>
          <w:tcPr>
            <w:tcW w:w="3081" w:type="dxa"/>
            <w:vAlign w:val="center"/>
          </w:tcPr>
          <w:p w14:paraId="148B9221"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USA (Host Country)</w:t>
            </w:r>
          </w:p>
        </w:tc>
      </w:tr>
      <w:tr w:rsidR="005E4906" w:rsidRPr="00485497" w14:paraId="2FAFE203" w14:textId="77777777" w:rsidTr="00D860CD">
        <w:tc>
          <w:tcPr>
            <w:tcW w:w="3080" w:type="dxa"/>
            <w:vAlign w:val="center"/>
          </w:tcPr>
          <w:p w14:paraId="2A7EED3B"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Political</w:t>
            </w:r>
          </w:p>
        </w:tc>
        <w:tc>
          <w:tcPr>
            <w:tcW w:w="3081" w:type="dxa"/>
            <w:vAlign w:val="center"/>
          </w:tcPr>
          <w:p w14:paraId="625FB597"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Stable government with strong support for green technologies and carbon neutrality initiatives.</w:t>
            </w:r>
          </w:p>
        </w:tc>
        <w:tc>
          <w:tcPr>
            <w:tcW w:w="3081" w:type="dxa"/>
            <w:vAlign w:val="center"/>
          </w:tcPr>
          <w:p w14:paraId="0CC654CD"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Federal and state governments provide EV incentives, though policies vary by administration and state.</w:t>
            </w:r>
          </w:p>
        </w:tc>
      </w:tr>
      <w:tr w:rsidR="005E4906" w:rsidRPr="00485497" w14:paraId="47857E74" w14:textId="77777777" w:rsidTr="00D860CD">
        <w:tc>
          <w:tcPr>
            <w:tcW w:w="3080" w:type="dxa"/>
            <w:vAlign w:val="center"/>
          </w:tcPr>
          <w:p w14:paraId="097E6702"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Economic</w:t>
            </w:r>
          </w:p>
        </w:tc>
        <w:tc>
          <w:tcPr>
            <w:tcW w:w="3081" w:type="dxa"/>
            <w:vAlign w:val="center"/>
          </w:tcPr>
          <w:p w14:paraId="51426A01"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Mature economy with slower growth and high purchasing power.</w:t>
            </w:r>
          </w:p>
        </w:tc>
        <w:tc>
          <w:tcPr>
            <w:tcW w:w="3081" w:type="dxa"/>
            <w:vAlign w:val="center"/>
          </w:tcPr>
          <w:p w14:paraId="7BE97DA1"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Largest consumer market globally with high disposable income and significant EV investment.</w:t>
            </w:r>
          </w:p>
        </w:tc>
      </w:tr>
      <w:tr w:rsidR="005E4906" w:rsidRPr="00485497" w14:paraId="066E0E0F" w14:textId="77777777" w:rsidTr="00D860CD">
        <w:tc>
          <w:tcPr>
            <w:tcW w:w="3080" w:type="dxa"/>
            <w:vAlign w:val="center"/>
          </w:tcPr>
          <w:p w14:paraId="6750F072"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Social</w:t>
            </w:r>
          </w:p>
        </w:tc>
        <w:tc>
          <w:tcPr>
            <w:tcW w:w="3081" w:type="dxa"/>
            <w:vAlign w:val="center"/>
          </w:tcPr>
          <w:p w14:paraId="27252A1F"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Aging population, strong environmental awareness, preference for quality and reliability.</w:t>
            </w:r>
          </w:p>
        </w:tc>
        <w:tc>
          <w:tcPr>
            <w:tcW w:w="3081" w:type="dxa"/>
            <w:vAlign w:val="center"/>
          </w:tcPr>
          <w:p w14:paraId="57CD9F88"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Diverse population with increasing demand for sustainable transportation and innovative technology.</w:t>
            </w:r>
          </w:p>
        </w:tc>
      </w:tr>
      <w:tr w:rsidR="005E4906" w:rsidRPr="00485497" w14:paraId="675DBBFD" w14:textId="77777777" w:rsidTr="00D860CD">
        <w:tc>
          <w:tcPr>
            <w:tcW w:w="3080" w:type="dxa"/>
            <w:vAlign w:val="center"/>
          </w:tcPr>
          <w:p w14:paraId="471E0D45"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Technological</w:t>
            </w:r>
          </w:p>
        </w:tc>
        <w:tc>
          <w:tcPr>
            <w:tcW w:w="3081" w:type="dxa"/>
            <w:vAlign w:val="center"/>
          </w:tcPr>
          <w:p w14:paraId="66EFF644"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Advanced manufacturing capabilities and strong R&amp;D infrastructure.</w:t>
            </w:r>
          </w:p>
        </w:tc>
        <w:tc>
          <w:tcPr>
            <w:tcW w:w="3081" w:type="dxa"/>
            <w:vAlign w:val="center"/>
          </w:tcPr>
          <w:p w14:paraId="1EC7859E"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Highly innovative technology ecosystem supporting EV development and charging infrastructure.</w:t>
            </w:r>
          </w:p>
        </w:tc>
      </w:tr>
      <w:tr w:rsidR="005E4906" w:rsidRPr="00485497" w14:paraId="61353963" w14:textId="77777777" w:rsidTr="00D860CD">
        <w:tc>
          <w:tcPr>
            <w:tcW w:w="3080" w:type="dxa"/>
            <w:vAlign w:val="center"/>
          </w:tcPr>
          <w:p w14:paraId="1201BE97"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Environmental</w:t>
            </w:r>
          </w:p>
        </w:tc>
        <w:tc>
          <w:tcPr>
            <w:tcW w:w="3081" w:type="dxa"/>
            <w:vAlign w:val="center"/>
          </w:tcPr>
          <w:p w14:paraId="67F96CFC"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Strong commitment to reducing carbon emissions and promoting clean energy.</w:t>
            </w:r>
          </w:p>
        </w:tc>
        <w:tc>
          <w:tcPr>
            <w:tcW w:w="3081" w:type="dxa"/>
            <w:vAlign w:val="center"/>
          </w:tcPr>
          <w:p w14:paraId="66D70059"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Increasing environmental regulations and consumer demand for sustainable mobility solutions.</w:t>
            </w:r>
          </w:p>
        </w:tc>
      </w:tr>
      <w:tr w:rsidR="005E4906" w:rsidRPr="00485497" w14:paraId="4DE9D101" w14:textId="77777777" w:rsidTr="00D860CD">
        <w:tc>
          <w:tcPr>
            <w:tcW w:w="3080" w:type="dxa"/>
            <w:vAlign w:val="center"/>
          </w:tcPr>
          <w:p w14:paraId="51E769C0"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Legal</w:t>
            </w:r>
          </w:p>
        </w:tc>
        <w:tc>
          <w:tcPr>
            <w:tcW w:w="3081" w:type="dxa"/>
            <w:vAlign w:val="center"/>
          </w:tcPr>
          <w:p w14:paraId="35D0BBF9"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Strict vehicle safety and environmental regulations.</w:t>
            </w:r>
          </w:p>
        </w:tc>
        <w:tc>
          <w:tcPr>
            <w:tcW w:w="3081" w:type="dxa"/>
            <w:vAlign w:val="center"/>
          </w:tcPr>
          <w:p w14:paraId="23C81567" w14:textId="77777777" w:rsidR="005E4906" w:rsidRPr="00485497" w:rsidRDefault="005E4906" w:rsidP="00485497">
            <w:pPr>
              <w:spacing w:line="360" w:lineRule="auto"/>
              <w:rPr>
                <w:rFonts w:ascii="Arial" w:hAnsi="Arial" w:cs="Arial"/>
                <w:sz w:val="24"/>
                <w:szCs w:val="24"/>
              </w:rPr>
            </w:pPr>
            <w:r w:rsidRPr="00485497">
              <w:rPr>
                <w:rFonts w:ascii="Arial" w:hAnsi="Arial" w:cs="Arial"/>
                <w:sz w:val="24"/>
                <w:szCs w:val="24"/>
              </w:rPr>
              <w:t xml:space="preserve">Complex federal and state regulations concerning emissions, safety, and </w:t>
            </w:r>
            <w:r w:rsidRPr="00485497">
              <w:rPr>
                <w:rFonts w:ascii="Arial" w:hAnsi="Arial" w:cs="Arial"/>
                <w:sz w:val="24"/>
                <w:szCs w:val="24"/>
              </w:rPr>
              <w:lastRenderedPageBreak/>
              <w:t>consumer protection.</w:t>
            </w:r>
          </w:p>
        </w:tc>
      </w:tr>
    </w:tbl>
    <w:p w14:paraId="1E04033C" w14:textId="77777777" w:rsidR="005E4906" w:rsidRPr="00485497" w:rsidRDefault="005E4906" w:rsidP="00485497">
      <w:pPr>
        <w:spacing w:after="0" w:line="360" w:lineRule="auto"/>
        <w:rPr>
          <w:rFonts w:ascii="Arial" w:hAnsi="Arial" w:cs="Arial"/>
          <w:sz w:val="24"/>
          <w:szCs w:val="24"/>
        </w:rPr>
      </w:pPr>
      <w:r w:rsidRPr="00485497">
        <w:rPr>
          <w:rFonts w:ascii="Arial" w:hAnsi="Arial" w:cs="Arial"/>
          <w:sz w:val="24"/>
          <w:szCs w:val="24"/>
        </w:rPr>
        <w:lastRenderedPageBreak/>
        <w:t xml:space="preserve">                                                                                                   </w:t>
      </w:r>
    </w:p>
    <w:p w14:paraId="1AFCCF8B" w14:textId="77777777" w:rsidR="005E4906" w:rsidRPr="00485497" w:rsidRDefault="005E4906" w:rsidP="00485497">
      <w:pPr>
        <w:spacing w:after="0" w:line="360" w:lineRule="auto"/>
        <w:rPr>
          <w:rFonts w:ascii="Arial" w:hAnsi="Arial" w:cs="Arial"/>
          <w:sz w:val="24"/>
          <w:szCs w:val="24"/>
        </w:rPr>
      </w:pPr>
    </w:p>
    <w:p w14:paraId="1E55A2E7" w14:textId="53BF33E4" w:rsidR="009441BD" w:rsidRPr="00485497" w:rsidRDefault="00B81D00" w:rsidP="00485497">
      <w:pPr>
        <w:spacing w:line="360" w:lineRule="auto"/>
        <w:jc w:val="center"/>
        <w:rPr>
          <w:rFonts w:ascii="Arial" w:hAnsi="Arial" w:cs="Arial"/>
          <w:sz w:val="24"/>
          <w:szCs w:val="24"/>
        </w:rPr>
      </w:pPr>
      <w:r w:rsidRPr="00485497">
        <w:rPr>
          <w:rFonts w:ascii="Arial" w:hAnsi="Arial" w:cs="Arial"/>
          <w:sz w:val="24"/>
          <w:szCs w:val="24"/>
        </w:rPr>
        <w:br/>
        <w:t xml:space="preserve">Appendix </w:t>
      </w:r>
      <w:r w:rsidR="0064603D" w:rsidRPr="00485497">
        <w:rPr>
          <w:rFonts w:ascii="Arial" w:hAnsi="Arial" w:cs="Arial"/>
          <w:sz w:val="24"/>
          <w:szCs w:val="24"/>
        </w:rPr>
        <w:t>2</w:t>
      </w:r>
      <w:r w:rsidR="003C2892" w:rsidRPr="00485497">
        <w:rPr>
          <w:rFonts w:ascii="Arial" w:hAnsi="Arial" w:cs="Arial"/>
          <w:sz w:val="24"/>
          <w:szCs w:val="24"/>
        </w:rPr>
        <w:t>:</w:t>
      </w:r>
      <w:r w:rsidR="009441BD" w:rsidRPr="00485497">
        <w:rPr>
          <w:rFonts w:ascii="Arial" w:hAnsi="Arial" w:cs="Arial"/>
          <w:sz w:val="24"/>
          <w:szCs w:val="24"/>
        </w:rPr>
        <w:t xml:space="preserve"> Table 2. </w:t>
      </w:r>
      <w:r w:rsidR="009441BD" w:rsidRPr="00485497">
        <w:rPr>
          <w:rFonts w:ascii="Arial" w:hAnsi="Arial" w:cs="Arial"/>
          <w:sz w:val="24"/>
          <w:szCs w:val="24"/>
          <w:lang w:val="en-US"/>
        </w:rPr>
        <w:t xml:space="preserve">Toyota’s </w:t>
      </w:r>
      <w:r w:rsidR="009441BD" w:rsidRPr="00485497">
        <w:rPr>
          <w:rFonts w:ascii="Arial" w:hAnsi="Arial" w:cs="Arial"/>
          <w:sz w:val="24"/>
          <w:szCs w:val="24"/>
        </w:rPr>
        <w:t>Comparative Discussion of the Macro-Environment</w:t>
      </w:r>
      <w:r w:rsidR="001C5B8C" w:rsidRPr="00485497">
        <w:rPr>
          <w:rFonts w:ascii="Arial" w:hAnsi="Arial" w:cs="Arial"/>
          <w:sz w:val="24"/>
          <w:szCs w:val="24"/>
        </w:rPr>
        <w:t>.</w:t>
      </w:r>
    </w:p>
    <w:p w14:paraId="318C4C1E" w14:textId="25CDDD14" w:rsidR="00F10CB9" w:rsidRPr="00485497" w:rsidRDefault="008759EF" w:rsidP="00485497">
      <w:pPr>
        <w:spacing w:line="360" w:lineRule="auto"/>
        <w:rPr>
          <w:rFonts w:ascii="Arial" w:hAnsi="Arial" w:cs="Arial"/>
          <w:sz w:val="24"/>
          <w:szCs w:val="24"/>
        </w:rPr>
      </w:pPr>
      <w:r w:rsidRPr="00485497">
        <w:rPr>
          <w:rFonts w:ascii="Arial" w:hAnsi="Arial" w:cs="Arial"/>
          <w:sz w:val="24"/>
          <w:szCs w:val="24"/>
          <w:lang w:val="en-US"/>
        </w:rPr>
        <w:t xml:space="preserve">The table below on Toyota’s </w:t>
      </w:r>
      <w:r w:rsidRPr="00485497">
        <w:rPr>
          <w:rFonts w:ascii="Arial" w:hAnsi="Arial" w:cs="Arial"/>
          <w:sz w:val="24"/>
          <w:szCs w:val="24"/>
        </w:rPr>
        <w:t xml:space="preserve">Comparative Discussion from table </w:t>
      </w:r>
      <w:r w:rsidR="002E40EF" w:rsidRPr="00485497">
        <w:rPr>
          <w:rFonts w:ascii="Arial" w:hAnsi="Arial" w:cs="Arial"/>
          <w:sz w:val="24"/>
          <w:szCs w:val="24"/>
        </w:rPr>
        <w:t>2</w:t>
      </w:r>
      <w:r w:rsidRPr="00485497">
        <w:rPr>
          <w:rFonts w:ascii="Arial" w:hAnsi="Arial" w:cs="Arial"/>
          <w:sz w:val="24"/>
          <w:szCs w:val="24"/>
        </w:rPr>
        <w:t xml:space="preserve"> </w:t>
      </w:r>
      <w:r w:rsidR="002E40EF" w:rsidRPr="00485497">
        <w:rPr>
          <w:rFonts w:ascii="Arial" w:hAnsi="Arial" w:cs="Arial"/>
          <w:sz w:val="24"/>
          <w:szCs w:val="24"/>
        </w:rPr>
        <w:t>of the Macro-Environment in</w:t>
      </w:r>
      <w:r w:rsidR="00DC1C80" w:rsidRPr="00485497">
        <w:rPr>
          <w:rFonts w:ascii="Arial" w:hAnsi="Arial" w:cs="Arial"/>
          <w:sz w:val="24"/>
          <w:szCs w:val="24"/>
        </w:rPr>
        <w:t>dicate that</w:t>
      </w:r>
      <w:r w:rsidR="00ED245A" w:rsidRPr="00485497">
        <w:rPr>
          <w:rFonts w:ascii="Arial" w:hAnsi="Arial" w:cs="Arial"/>
          <w:sz w:val="24"/>
          <w:szCs w:val="24"/>
        </w:rPr>
        <w:t xml:space="preserve"> Japan (home country) </w:t>
      </w:r>
      <w:r w:rsidRPr="00485497">
        <w:rPr>
          <w:rFonts w:ascii="Arial" w:hAnsi="Arial" w:cs="Arial"/>
          <w:sz w:val="24"/>
          <w:szCs w:val="24"/>
        </w:rPr>
        <w:t>provides Toyota with operational stability and a supportive domestic environment, while the United States</w:t>
      </w:r>
      <w:r w:rsidR="00ED245A" w:rsidRPr="00485497">
        <w:rPr>
          <w:rFonts w:ascii="Arial" w:hAnsi="Arial" w:cs="Arial"/>
          <w:sz w:val="24"/>
          <w:szCs w:val="24"/>
        </w:rPr>
        <w:t xml:space="preserve"> (host country)</w:t>
      </w:r>
      <w:r w:rsidRPr="00485497">
        <w:rPr>
          <w:rFonts w:ascii="Arial" w:hAnsi="Arial" w:cs="Arial"/>
          <w:sz w:val="24"/>
          <w:szCs w:val="24"/>
        </w:rPr>
        <w:t xml:space="preserve"> offers greater opportunities for expansion and revenue growth. </w:t>
      </w:r>
    </w:p>
    <w:p w14:paraId="5C577DEC" w14:textId="507EF510" w:rsidR="00DF7E03" w:rsidRPr="00485497" w:rsidRDefault="00992B12" w:rsidP="00485497">
      <w:pPr>
        <w:spacing w:line="360" w:lineRule="auto"/>
        <w:jc w:val="center"/>
        <w:rPr>
          <w:rFonts w:ascii="Arial" w:hAnsi="Arial" w:cs="Arial"/>
          <w:sz w:val="24"/>
          <w:szCs w:val="24"/>
        </w:rPr>
      </w:pPr>
      <w:r w:rsidRPr="00485497">
        <w:rPr>
          <w:rFonts w:ascii="Arial" w:hAnsi="Arial" w:cs="Arial"/>
          <w:sz w:val="24"/>
          <w:szCs w:val="24"/>
        </w:rPr>
        <w:t xml:space="preserve">Table 2. </w:t>
      </w:r>
      <w:r w:rsidRPr="00485497">
        <w:rPr>
          <w:rFonts w:ascii="Arial" w:hAnsi="Arial" w:cs="Arial"/>
          <w:sz w:val="24"/>
          <w:szCs w:val="24"/>
          <w:lang w:val="en-US"/>
        </w:rPr>
        <w:t xml:space="preserve">Toyota’s </w:t>
      </w:r>
      <w:r w:rsidRPr="00485497">
        <w:rPr>
          <w:rFonts w:ascii="Arial" w:hAnsi="Arial" w:cs="Arial"/>
          <w:sz w:val="24"/>
          <w:szCs w:val="24"/>
        </w:rPr>
        <w:t>Comparative Discussion of the Macro-Environment.</w:t>
      </w:r>
    </w:p>
    <w:tbl>
      <w:tblPr>
        <w:tblStyle w:val="TableGrid"/>
        <w:tblW w:w="0" w:type="auto"/>
        <w:tblLook w:val="04A0" w:firstRow="1" w:lastRow="0" w:firstColumn="1" w:lastColumn="0" w:noHBand="0" w:noVBand="1"/>
      </w:tblPr>
      <w:tblGrid>
        <w:gridCol w:w="3080"/>
        <w:gridCol w:w="3081"/>
        <w:gridCol w:w="3081"/>
      </w:tblGrid>
      <w:tr w:rsidR="009441BD" w:rsidRPr="00485497" w14:paraId="08C5927E" w14:textId="77777777" w:rsidTr="00D860CD">
        <w:tc>
          <w:tcPr>
            <w:tcW w:w="3080" w:type="dxa"/>
            <w:vAlign w:val="center"/>
          </w:tcPr>
          <w:p w14:paraId="56573967"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Criteria</w:t>
            </w:r>
          </w:p>
        </w:tc>
        <w:tc>
          <w:tcPr>
            <w:tcW w:w="3081" w:type="dxa"/>
            <w:vAlign w:val="center"/>
          </w:tcPr>
          <w:p w14:paraId="6B421B2D"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Japan</w:t>
            </w:r>
          </w:p>
        </w:tc>
        <w:tc>
          <w:tcPr>
            <w:tcW w:w="3081" w:type="dxa"/>
            <w:vAlign w:val="center"/>
          </w:tcPr>
          <w:p w14:paraId="621989BA"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United States</w:t>
            </w:r>
          </w:p>
        </w:tc>
      </w:tr>
      <w:tr w:rsidR="009441BD" w:rsidRPr="00485497" w14:paraId="096E3851" w14:textId="77777777" w:rsidTr="00D860CD">
        <w:tc>
          <w:tcPr>
            <w:tcW w:w="3080" w:type="dxa"/>
            <w:vAlign w:val="center"/>
          </w:tcPr>
          <w:p w14:paraId="1E91B129"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Market Role</w:t>
            </w:r>
          </w:p>
        </w:tc>
        <w:tc>
          <w:tcPr>
            <w:tcW w:w="3081" w:type="dxa"/>
            <w:vAlign w:val="center"/>
          </w:tcPr>
          <w:p w14:paraId="56462D03"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Home market</w:t>
            </w:r>
          </w:p>
        </w:tc>
        <w:tc>
          <w:tcPr>
            <w:tcW w:w="3081" w:type="dxa"/>
            <w:vAlign w:val="center"/>
          </w:tcPr>
          <w:p w14:paraId="5D39B1FE"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Strategic international market</w:t>
            </w:r>
          </w:p>
        </w:tc>
      </w:tr>
      <w:tr w:rsidR="009441BD" w:rsidRPr="00485497" w14:paraId="3FA96E47" w14:textId="77777777" w:rsidTr="00D860CD">
        <w:tc>
          <w:tcPr>
            <w:tcW w:w="3080" w:type="dxa"/>
            <w:vAlign w:val="center"/>
          </w:tcPr>
          <w:p w14:paraId="64732323"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Consumer Preference</w:t>
            </w:r>
          </w:p>
        </w:tc>
        <w:tc>
          <w:tcPr>
            <w:tcW w:w="3081" w:type="dxa"/>
            <w:vAlign w:val="center"/>
          </w:tcPr>
          <w:p w14:paraId="3017D9E5"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Reliability, efficiency, quality</w:t>
            </w:r>
          </w:p>
        </w:tc>
        <w:tc>
          <w:tcPr>
            <w:tcW w:w="3081" w:type="dxa"/>
            <w:vAlign w:val="center"/>
          </w:tcPr>
          <w:p w14:paraId="1E0EFA6A"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Innovation, performance, technology</w:t>
            </w:r>
          </w:p>
        </w:tc>
      </w:tr>
      <w:tr w:rsidR="009441BD" w:rsidRPr="00485497" w14:paraId="0CBF426E" w14:textId="77777777" w:rsidTr="00D860CD">
        <w:tc>
          <w:tcPr>
            <w:tcW w:w="3080" w:type="dxa"/>
            <w:vAlign w:val="center"/>
          </w:tcPr>
          <w:p w14:paraId="61F8755B"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Market Size</w:t>
            </w:r>
          </w:p>
        </w:tc>
        <w:tc>
          <w:tcPr>
            <w:tcW w:w="3081" w:type="dxa"/>
            <w:vAlign w:val="center"/>
          </w:tcPr>
          <w:p w14:paraId="13BAFC8D"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Moderate</w:t>
            </w:r>
          </w:p>
        </w:tc>
        <w:tc>
          <w:tcPr>
            <w:tcW w:w="3081" w:type="dxa"/>
            <w:vAlign w:val="center"/>
          </w:tcPr>
          <w:p w14:paraId="0777748F"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Very large</w:t>
            </w:r>
          </w:p>
        </w:tc>
      </w:tr>
      <w:tr w:rsidR="009441BD" w:rsidRPr="00485497" w14:paraId="106930EE" w14:textId="77777777" w:rsidTr="00D860CD">
        <w:tc>
          <w:tcPr>
            <w:tcW w:w="3080" w:type="dxa"/>
            <w:vAlign w:val="center"/>
          </w:tcPr>
          <w:p w14:paraId="20643D72"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Competitive Intensity</w:t>
            </w:r>
          </w:p>
        </w:tc>
        <w:tc>
          <w:tcPr>
            <w:tcW w:w="3081" w:type="dxa"/>
            <w:vAlign w:val="center"/>
          </w:tcPr>
          <w:p w14:paraId="4095FCD4"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Moderate</w:t>
            </w:r>
          </w:p>
        </w:tc>
        <w:tc>
          <w:tcPr>
            <w:tcW w:w="3081" w:type="dxa"/>
            <w:vAlign w:val="center"/>
          </w:tcPr>
          <w:p w14:paraId="5511369E"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High</w:t>
            </w:r>
          </w:p>
        </w:tc>
      </w:tr>
      <w:tr w:rsidR="009441BD" w:rsidRPr="00485497" w14:paraId="5C4A7E0F" w14:textId="77777777" w:rsidTr="00D860CD">
        <w:tc>
          <w:tcPr>
            <w:tcW w:w="3080" w:type="dxa"/>
            <w:vAlign w:val="center"/>
          </w:tcPr>
          <w:p w14:paraId="2E86D2A9"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Growth Potential</w:t>
            </w:r>
          </w:p>
        </w:tc>
        <w:tc>
          <w:tcPr>
            <w:tcW w:w="3081" w:type="dxa"/>
            <w:vAlign w:val="center"/>
          </w:tcPr>
          <w:p w14:paraId="054C59B7"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Stable</w:t>
            </w:r>
          </w:p>
        </w:tc>
        <w:tc>
          <w:tcPr>
            <w:tcW w:w="3081" w:type="dxa"/>
            <w:vAlign w:val="center"/>
          </w:tcPr>
          <w:p w14:paraId="5D1A7D6C"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High</w:t>
            </w:r>
          </w:p>
        </w:tc>
      </w:tr>
      <w:tr w:rsidR="009441BD" w:rsidRPr="00485497" w14:paraId="2567B040" w14:textId="77777777" w:rsidTr="00D860CD">
        <w:tc>
          <w:tcPr>
            <w:tcW w:w="3080" w:type="dxa"/>
            <w:vAlign w:val="center"/>
          </w:tcPr>
          <w:p w14:paraId="30D2FFE2"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Brand Recognition</w:t>
            </w:r>
          </w:p>
        </w:tc>
        <w:tc>
          <w:tcPr>
            <w:tcW w:w="3081" w:type="dxa"/>
            <w:vAlign w:val="center"/>
          </w:tcPr>
          <w:p w14:paraId="29AF534D"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Very strong</w:t>
            </w:r>
          </w:p>
        </w:tc>
        <w:tc>
          <w:tcPr>
            <w:tcW w:w="3081" w:type="dxa"/>
            <w:vAlign w:val="center"/>
          </w:tcPr>
          <w:p w14:paraId="461B6E6A"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Strong</w:t>
            </w:r>
          </w:p>
        </w:tc>
      </w:tr>
      <w:tr w:rsidR="009441BD" w:rsidRPr="00485497" w14:paraId="78C72A06" w14:textId="77777777" w:rsidTr="00D860CD">
        <w:tc>
          <w:tcPr>
            <w:tcW w:w="3080" w:type="dxa"/>
            <w:vAlign w:val="center"/>
          </w:tcPr>
          <w:p w14:paraId="15E155A1"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Manufacturing Presence</w:t>
            </w:r>
          </w:p>
        </w:tc>
        <w:tc>
          <w:tcPr>
            <w:tcW w:w="3081" w:type="dxa"/>
            <w:vAlign w:val="center"/>
          </w:tcPr>
          <w:p w14:paraId="009EB4D2"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Extensive</w:t>
            </w:r>
          </w:p>
        </w:tc>
        <w:tc>
          <w:tcPr>
            <w:tcW w:w="3081" w:type="dxa"/>
            <w:vAlign w:val="center"/>
          </w:tcPr>
          <w:p w14:paraId="638B79A9" w14:textId="77777777" w:rsidR="009441BD" w:rsidRPr="00485497" w:rsidRDefault="009441BD" w:rsidP="00485497">
            <w:pPr>
              <w:spacing w:line="360" w:lineRule="auto"/>
              <w:rPr>
                <w:rFonts w:ascii="Arial" w:hAnsi="Arial" w:cs="Arial"/>
                <w:sz w:val="24"/>
                <w:szCs w:val="24"/>
              </w:rPr>
            </w:pPr>
            <w:r w:rsidRPr="00485497">
              <w:rPr>
                <w:rFonts w:ascii="Arial" w:hAnsi="Arial" w:cs="Arial"/>
                <w:sz w:val="24"/>
                <w:szCs w:val="24"/>
              </w:rPr>
              <w:t>Extensive local production</w:t>
            </w:r>
          </w:p>
        </w:tc>
      </w:tr>
    </w:tbl>
    <w:p w14:paraId="227BF50A" w14:textId="77777777" w:rsidR="00156079" w:rsidRPr="00485497" w:rsidRDefault="00156079" w:rsidP="00485497">
      <w:pPr>
        <w:spacing w:line="360" w:lineRule="auto"/>
        <w:rPr>
          <w:rFonts w:ascii="Arial" w:hAnsi="Arial" w:cs="Arial"/>
          <w:sz w:val="24"/>
          <w:szCs w:val="24"/>
        </w:rPr>
      </w:pPr>
    </w:p>
    <w:p w14:paraId="478AD13E" w14:textId="77777777" w:rsidR="00637E2A" w:rsidRPr="00485497" w:rsidRDefault="00A05073" w:rsidP="00485497">
      <w:pPr>
        <w:spacing w:line="360" w:lineRule="auto"/>
        <w:rPr>
          <w:rFonts w:ascii="Arial" w:hAnsi="Arial" w:cs="Arial"/>
          <w:sz w:val="24"/>
          <w:szCs w:val="24"/>
        </w:rPr>
      </w:pPr>
      <w:r w:rsidRPr="00485497">
        <w:rPr>
          <w:rFonts w:ascii="Arial" w:hAnsi="Arial" w:cs="Arial"/>
          <w:sz w:val="24"/>
          <w:szCs w:val="24"/>
        </w:rPr>
        <w:t xml:space="preserve">Appendix 3: Table 3. </w:t>
      </w:r>
      <w:r w:rsidRPr="00485497">
        <w:rPr>
          <w:rFonts w:ascii="Arial" w:hAnsi="Arial" w:cs="Arial"/>
          <w:sz w:val="24"/>
          <w:szCs w:val="24"/>
          <w:lang w:val="en-US"/>
        </w:rPr>
        <w:t xml:space="preserve">Toyota’s </w:t>
      </w:r>
      <w:r w:rsidRPr="00485497">
        <w:rPr>
          <w:rFonts w:ascii="Arial" w:hAnsi="Arial" w:cs="Arial"/>
          <w:sz w:val="24"/>
          <w:szCs w:val="24"/>
        </w:rPr>
        <w:t>Comparative Discussion of Hofstede Cultural Analysis</w:t>
      </w:r>
      <w:r w:rsidR="00156079" w:rsidRPr="00485497">
        <w:rPr>
          <w:rFonts w:ascii="Arial" w:hAnsi="Arial" w:cs="Arial"/>
          <w:sz w:val="24"/>
          <w:szCs w:val="24"/>
        </w:rPr>
        <w:t>.</w:t>
      </w:r>
      <w:r w:rsidRPr="00485497">
        <w:rPr>
          <w:rFonts w:ascii="Arial" w:hAnsi="Arial" w:cs="Arial"/>
          <w:sz w:val="24"/>
          <w:szCs w:val="24"/>
        </w:rPr>
        <w:t xml:space="preserve"> </w:t>
      </w:r>
    </w:p>
    <w:p w14:paraId="019016DB" w14:textId="0863CE51" w:rsidR="0015789E" w:rsidRPr="00485497" w:rsidRDefault="008B343A" w:rsidP="00485497">
      <w:pPr>
        <w:spacing w:line="360" w:lineRule="auto"/>
        <w:rPr>
          <w:rFonts w:ascii="Arial" w:hAnsi="Arial" w:cs="Arial"/>
          <w:sz w:val="24"/>
          <w:szCs w:val="24"/>
        </w:rPr>
      </w:pPr>
      <w:r w:rsidRPr="00485497">
        <w:rPr>
          <w:rFonts w:ascii="Arial" w:hAnsi="Arial" w:cs="Arial"/>
          <w:sz w:val="24"/>
          <w:szCs w:val="24"/>
          <w:lang w:val="en-US"/>
        </w:rPr>
        <w:t xml:space="preserve">The table below on Toyota’s </w:t>
      </w:r>
      <w:r w:rsidRPr="00485497">
        <w:rPr>
          <w:rFonts w:ascii="Arial" w:hAnsi="Arial" w:cs="Arial"/>
          <w:sz w:val="24"/>
          <w:szCs w:val="24"/>
        </w:rPr>
        <w:t xml:space="preserve">Comparative Discussion from table </w:t>
      </w:r>
      <w:r w:rsidR="00F0723E" w:rsidRPr="00485497">
        <w:rPr>
          <w:rFonts w:ascii="Arial" w:hAnsi="Arial" w:cs="Arial"/>
          <w:sz w:val="24"/>
          <w:szCs w:val="24"/>
        </w:rPr>
        <w:t xml:space="preserve">3 of </w:t>
      </w:r>
      <w:r w:rsidR="00A02CF4" w:rsidRPr="00485497">
        <w:rPr>
          <w:rFonts w:ascii="Arial" w:hAnsi="Arial" w:cs="Arial"/>
          <w:sz w:val="24"/>
          <w:szCs w:val="24"/>
        </w:rPr>
        <w:t>Hofstede Cultural Analysis</w:t>
      </w:r>
      <w:r w:rsidR="00BA79A9" w:rsidRPr="00485497">
        <w:rPr>
          <w:rFonts w:ascii="Arial" w:hAnsi="Arial" w:cs="Arial"/>
          <w:sz w:val="24"/>
          <w:szCs w:val="24"/>
        </w:rPr>
        <w:t xml:space="preserve"> indicate that</w:t>
      </w:r>
      <w:r w:rsidR="003C7DF9" w:rsidRPr="00485497">
        <w:rPr>
          <w:rFonts w:ascii="Arial" w:hAnsi="Arial" w:cs="Arial"/>
          <w:sz w:val="24"/>
          <w:szCs w:val="24"/>
        </w:rPr>
        <w:t xml:space="preserve"> </w:t>
      </w:r>
      <w:r w:rsidR="00637E2A" w:rsidRPr="00485497">
        <w:rPr>
          <w:rFonts w:ascii="Arial" w:hAnsi="Arial" w:cs="Arial"/>
          <w:sz w:val="24"/>
          <w:szCs w:val="24"/>
        </w:rPr>
        <w:t xml:space="preserve">Toyota’s EV marketing in </w:t>
      </w:r>
      <w:r w:rsidR="0015789E" w:rsidRPr="00485497">
        <w:rPr>
          <w:rFonts w:ascii="Arial" w:hAnsi="Arial" w:cs="Arial"/>
          <w:sz w:val="24"/>
          <w:szCs w:val="24"/>
        </w:rPr>
        <w:t xml:space="preserve">maintaining a consistent global brand image, the company emphasise reliability and long-term value in Japan and focus on innovation, personal choice, and technological features in the United States. </w:t>
      </w:r>
    </w:p>
    <w:p w14:paraId="338A0E11" w14:textId="0D742494" w:rsidR="00637E2A" w:rsidRPr="00485497" w:rsidRDefault="0015789E" w:rsidP="00485497">
      <w:pPr>
        <w:spacing w:line="360" w:lineRule="auto"/>
        <w:rPr>
          <w:rFonts w:ascii="Arial" w:hAnsi="Arial" w:cs="Arial"/>
          <w:sz w:val="24"/>
          <w:szCs w:val="24"/>
        </w:rPr>
      </w:pPr>
      <w:r w:rsidRPr="00485497">
        <w:rPr>
          <w:rFonts w:ascii="Arial" w:hAnsi="Arial" w:cs="Arial"/>
          <w:sz w:val="24"/>
          <w:szCs w:val="24"/>
        </w:rPr>
        <w:t xml:space="preserve">While </w:t>
      </w:r>
      <w:r w:rsidR="00637E2A" w:rsidRPr="00485497">
        <w:rPr>
          <w:rFonts w:ascii="Arial" w:hAnsi="Arial" w:cs="Arial"/>
          <w:sz w:val="24"/>
          <w:szCs w:val="24"/>
        </w:rPr>
        <w:t>the United States is focus on performance, connectivity, and lifestyle enhancement, while its Japanese marketing is continue highlighting quality, efficiency, and environmental responsibility (Keegan and Green, 2023).</w:t>
      </w:r>
    </w:p>
    <w:p w14:paraId="4560E7C4" w14:textId="31A817C1" w:rsidR="00B17D3A" w:rsidRPr="00485497" w:rsidRDefault="00B17D3A" w:rsidP="00485497">
      <w:pPr>
        <w:spacing w:line="360" w:lineRule="auto"/>
        <w:rPr>
          <w:rFonts w:ascii="Arial" w:hAnsi="Arial" w:cs="Arial"/>
          <w:sz w:val="24"/>
          <w:szCs w:val="24"/>
        </w:rPr>
      </w:pPr>
      <w:r w:rsidRPr="00485497">
        <w:rPr>
          <w:rFonts w:ascii="Arial" w:hAnsi="Arial" w:cs="Arial"/>
          <w:sz w:val="24"/>
          <w:szCs w:val="24"/>
        </w:rPr>
        <w:lastRenderedPageBreak/>
        <w:t xml:space="preserve">Such adaptation can strengthen customer relationships and enhance Toyota’s competitiveness in both markets.                                                                                    </w:t>
      </w:r>
    </w:p>
    <w:p w14:paraId="090FAE6D" w14:textId="77777777" w:rsidR="00A05073" w:rsidRPr="00485497" w:rsidRDefault="00A05073" w:rsidP="00485497">
      <w:pPr>
        <w:spacing w:line="360" w:lineRule="auto"/>
        <w:jc w:val="center"/>
        <w:rPr>
          <w:rFonts w:ascii="Arial" w:hAnsi="Arial" w:cs="Arial"/>
          <w:sz w:val="24"/>
          <w:szCs w:val="24"/>
        </w:rPr>
      </w:pPr>
      <w:r w:rsidRPr="00485497">
        <w:rPr>
          <w:rFonts w:ascii="Arial" w:hAnsi="Arial" w:cs="Arial"/>
          <w:sz w:val="24"/>
          <w:szCs w:val="24"/>
        </w:rPr>
        <w:t xml:space="preserve">Table 3. </w:t>
      </w:r>
      <w:r w:rsidRPr="00485497">
        <w:rPr>
          <w:rFonts w:ascii="Arial" w:hAnsi="Arial" w:cs="Arial"/>
          <w:sz w:val="24"/>
          <w:szCs w:val="24"/>
          <w:lang w:val="en-US"/>
        </w:rPr>
        <w:t xml:space="preserve">Toyota’s </w:t>
      </w:r>
      <w:r w:rsidRPr="00485497">
        <w:rPr>
          <w:rFonts w:ascii="Arial" w:hAnsi="Arial" w:cs="Arial"/>
          <w:sz w:val="24"/>
          <w:szCs w:val="24"/>
        </w:rPr>
        <w:t>Comparative Discussion of Hofstede Cultural Analysis).</w:t>
      </w:r>
    </w:p>
    <w:tbl>
      <w:tblPr>
        <w:tblStyle w:val="TableGrid"/>
        <w:tblW w:w="0" w:type="auto"/>
        <w:tblLook w:val="04A0" w:firstRow="1" w:lastRow="0" w:firstColumn="1" w:lastColumn="0" w:noHBand="0" w:noVBand="1"/>
      </w:tblPr>
      <w:tblGrid>
        <w:gridCol w:w="2310"/>
        <w:gridCol w:w="2310"/>
        <w:gridCol w:w="2311"/>
        <w:gridCol w:w="2311"/>
      </w:tblGrid>
      <w:tr w:rsidR="00A05073" w:rsidRPr="00485497" w14:paraId="47109A59" w14:textId="77777777" w:rsidTr="00D860CD">
        <w:tc>
          <w:tcPr>
            <w:tcW w:w="2310" w:type="dxa"/>
            <w:vAlign w:val="center"/>
          </w:tcPr>
          <w:p w14:paraId="39A3358F"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Cultural Dimension</w:t>
            </w:r>
          </w:p>
        </w:tc>
        <w:tc>
          <w:tcPr>
            <w:tcW w:w="2310" w:type="dxa"/>
            <w:vAlign w:val="center"/>
          </w:tcPr>
          <w:p w14:paraId="454A7E00"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Japan</w:t>
            </w:r>
          </w:p>
        </w:tc>
        <w:tc>
          <w:tcPr>
            <w:tcW w:w="2311" w:type="dxa"/>
            <w:vAlign w:val="center"/>
          </w:tcPr>
          <w:p w14:paraId="55D091AD"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United States</w:t>
            </w:r>
          </w:p>
        </w:tc>
        <w:tc>
          <w:tcPr>
            <w:tcW w:w="2311" w:type="dxa"/>
            <w:vAlign w:val="center"/>
          </w:tcPr>
          <w:p w14:paraId="3D718538"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Marketing Implications for Toyota</w:t>
            </w:r>
          </w:p>
        </w:tc>
      </w:tr>
      <w:tr w:rsidR="00A05073" w:rsidRPr="00485497" w14:paraId="0B460ADA" w14:textId="77777777" w:rsidTr="00D860CD">
        <w:tc>
          <w:tcPr>
            <w:tcW w:w="2310" w:type="dxa"/>
            <w:vAlign w:val="center"/>
          </w:tcPr>
          <w:p w14:paraId="62FE1C7A"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Power Distance</w:t>
            </w:r>
          </w:p>
        </w:tc>
        <w:tc>
          <w:tcPr>
            <w:tcW w:w="2310" w:type="dxa"/>
            <w:vAlign w:val="center"/>
          </w:tcPr>
          <w:p w14:paraId="49974D7C"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Moderate</w:t>
            </w:r>
          </w:p>
        </w:tc>
        <w:tc>
          <w:tcPr>
            <w:tcW w:w="2311" w:type="dxa"/>
            <w:vAlign w:val="center"/>
          </w:tcPr>
          <w:p w14:paraId="4C846DBB"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Low</w:t>
            </w:r>
          </w:p>
        </w:tc>
        <w:tc>
          <w:tcPr>
            <w:tcW w:w="2311" w:type="dxa"/>
            <w:vAlign w:val="center"/>
          </w:tcPr>
          <w:p w14:paraId="0F72770D"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Japanese consumers generally accept hierarchical structures.</w:t>
            </w:r>
          </w:p>
          <w:p w14:paraId="354DF894"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while American consumers prefer equality and personalised interactions.</w:t>
            </w:r>
          </w:p>
        </w:tc>
      </w:tr>
      <w:tr w:rsidR="00A05073" w:rsidRPr="00485497" w14:paraId="4C30A66B" w14:textId="77777777" w:rsidTr="00D860CD">
        <w:tc>
          <w:tcPr>
            <w:tcW w:w="2310" w:type="dxa"/>
            <w:vAlign w:val="center"/>
          </w:tcPr>
          <w:p w14:paraId="191B12CE"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Individualism</w:t>
            </w:r>
          </w:p>
        </w:tc>
        <w:tc>
          <w:tcPr>
            <w:tcW w:w="2310" w:type="dxa"/>
            <w:vAlign w:val="center"/>
          </w:tcPr>
          <w:p w14:paraId="3EAD38DC"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Moderate</w:t>
            </w:r>
          </w:p>
        </w:tc>
        <w:tc>
          <w:tcPr>
            <w:tcW w:w="2311" w:type="dxa"/>
            <w:vAlign w:val="center"/>
          </w:tcPr>
          <w:p w14:paraId="166B2977"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Very High</w:t>
            </w:r>
          </w:p>
        </w:tc>
        <w:tc>
          <w:tcPr>
            <w:tcW w:w="2311" w:type="dxa"/>
            <w:vAlign w:val="center"/>
          </w:tcPr>
          <w:p w14:paraId="28227008"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Japanese consumers place greater importance on group harmony and social responsibility, whereas U.S. consumers emphasise personal choice and self-expression.</w:t>
            </w:r>
          </w:p>
        </w:tc>
      </w:tr>
      <w:tr w:rsidR="00A05073" w:rsidRPr="00485497" w14:paraId="3496DFEC" w14:textId="77777777" w:rsidTr="00D860CD">
        <w:tc>
          <w:tcPr>
            <w:tcW w:w="2310" w:type="dxa"/>
            <w:vAlign w:val="center"/>
          </w:tcPr>
          <w:p w14:paraId="016D239A"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Masculinity</w:t>
            </w:r>
          </w:p>
        </w:tc>
        <w:tc>
          <w:tcPr>
            <w:tcW w:w="2310" w:type="dxa"/>
            <w:vAlign w:val="center"/>
          </w:tcPr>
          <w:p w14:paraId="52FB7E6C"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Very High</w:t>
            </w:r>
          </w:p>
        </w:tc>
        <w:tc>
          <w:tcPr>
            <w:tcW w:w="2311" w:type="dxa"/>
            <w:vAlign w:val="center"/>
          </w:tcPr>
          <w:p w14:paraId="152DC6E9"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High</w:t>
            </w:r>
          </w:p>
        </w:tc>
        <w:tc>
          <w:tcPr>
            <w:tcW w:w="2311" w:type="dxa"/>
            <w:vAlign w:val="center"/>
          </w:tcPr>
          <w:p w14:paraId="18349723"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 xml:space="preserve">Consumers in both countries value achievement and success, </w:t>
            </w:r>
            <w:r w:rsidRPr="00485497">
              <w:rPr>
                <w:rFonts w:ascii="Arial" w:hAnsi="Arial" w:cs="Arial"/>
                <w:sz w:val="24"/>
                <w:szCs w:val="24"/>
              </w:rPr>
              <w:lastRenderedPageBreak/>
              <w:t>supporting Toyota’s emphasis on performance and innovation.</w:t>
            </w:r>
          </w:p>
        </w:tc>
      </w:tr>
      <w:tr w:rsidR="00A05073" w:rsidRPr="00485497" w14:paraId="67D33DFA" w14:textId="77777777" w:rsidTr="00D860CD">
        <w:tc>
          <w:tcPr>
            <w:tcW w:w="2310" w:type="dxa"/>
            <w:vAlign w:val="center"/>
          </w:tcPr>
          <w:p w14:paraId="1B194225"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lastRenderedPageBreak/>
              <w:t>Uncertainty Avoidance</w:t>
            </w:r>
          </w:p>
        </w:tc>
        <w:tc>
          <w:tcPr>
            <w:tcW w:w="2310" w:type="dxa"/>
            <w:vAlign w:val="center"/>
          </w:tcPr>
          <w:p w14:paraId="330B3E03"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High</w:t>
            </w:r>
          </w:p>
        </w:tc>
        <w:tc>
          <w:tcPr>
            <w:tcW w:w="2311" w:type="dxa"/>
            <w:vAlign w:val="center"/>
          </w:tcPr>
          <w:p w14:paraId="5156D83F"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Moderate</w:t>
            </w:r>
          </w:p>
        </w:tc>
        <w:tc>
          <w:tcPr>
            <w:tcW w:w="2311" w:type="dxa"/>
            <w:vAlign w:val="center"/>
          </w:tcPr>
          <w:p w14:paraId="0BB2DCF4"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Japanese consumers prefer reliable, proven technologies, while Americans are generally more willing to adopt new innovations.</w:t>
            </w:r>
          </w:p>
        </w:tc>
      </w:tr>
      <w:tr w:rsidR="00A05073" w:rsidRPr="00485497" w14:paraId="3782C257" w14:textId="77777777" w:rsidTr="00D860CD">
        <w:tc>
          <w:tcPr>
            <w:tcW w:w="2310" w:type="dxa"/>
            <w:vAlign w:val="center"/>
          </w:tcPr>
          <w:p w14:paraId="2DFD88A5"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Long-Term Orientation</w:t>
            </w:r>
          </w:p>
        </w:tc>
        <w:tc>
          <w:tcPr>
            <w:tcW w:w="2310" w:type="dxa"/>
            <w:vAlign w:val="center"/>
          </w:tcPr>
          <w:p w14:paraId="72700033"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Very High</w:t>
            </w:r>
          </w:p>
        </w:tc>
        <w:tc>
          <w:tcPr>
            <w:tcW w:w="2311" w:type="dxa"/>
            <w:vAlign w:val="center"/>
          </w:tcPr>
          <w:p w14:paraId="4DC491B3"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Low to Moderate</w:t>
            </w:r>
          </w:p>
        </w:tc>
        <w:tc>
          <w:tcPr>
            <w:tcW w:w="2311" w:type="dxa"/>
            <w:vAlign w:val="center"/>
          </w:tcPr>
          <w:p w14:paraId="09164C88"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Japanese consumers focus on long-term value and sustainability, whereas U.S. consumers often seek immediate benefits and convenience.</w:t>
            </w:r>
          </w:p>
        </w:tc>
      </w:tr>
      <w:tr w:rsidR="00A05073" w:rsidRPr="00485497" w14:paraId="3BEE936F" w14:textId="77777777" w:rsidTr="00D860CD">
        <w:tc>
          <w:tcPr>
            <w:tcW w:w="2310" w:type="dxa"/>
            <w:vAlign w:val="center"/>
          </w:tcPr>
          <w:p w14:paraId="2E6661A4"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Indulgence</w:t>
            </w:r>
          </w:p>
        </w:tc>
        <w:tc>
          <w:tcPr>
            <w:tcW w:w="2310" w:type="dxa"/>
            <w:vAlign w:val="center"/>
          </w:tcPr>
          <w:p w14:paraId="28BCA8D8"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Moderate</w:t>
            </w:r>
          </w:p>
        </w:tc>
        <w:tc>
          <w:tcPr>
            <w:tcW w:w="2311" w:type="dxa"/>
            <w:vAlign w:val="center"/>
          </w:tcPr>
          <w:p w14:paraId="68A63F42"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High</w:t>
            </w:r>
          </w:p>
        </w:tc>
        <w:tc>
          <w:tcPr>
            <w:tcW w:w="2311" w:type="dxa"/>
            <w:vAlign w:val="center"/>
          </w:tcPr>
          <w:p w14:paraId="4CD5AA2E" w14:textId="77777777" w:rsidR="00A05073" w:rsidRPr="00485497" w:rsidRDefault="00A05073" w:rsidP="00485497">
            <w:pPr>
              <w:spacing w:line="360" w:lineRule="auto"/>
              <w:rPr>
                <w:rFonts w:ascii="Arial" w:hAnsi="Arial" w:cs="Arial"/>
                <w:sz w:val="24"/>
                <w:szCs w:val="24"/>
              </w:rPr>
            </w:pPr>
            <w:r w:rsidRPr="00485497">
              <w:rPr>
                <w:rFonts w:ascii="Arial" w:hAnsi="Arial" w:cs="Arial"/>
                <w:sz w:val="24"/>
                <w:szCs w:val="24"/>
              </w:rPr>
              <w:t>American consumers are more motivated by enjoyment and lifestyle benefits, creating opportunities for lifestyle-focused EV marketing.</w:t>
            </w:r>
          </w:p>
        </w:tc>
      </w:tr>
    </w:tbl>
    <w:p w14:paraId="4A9AD24E" w14:textId="77777777" w:rsidR="00A05073" w:rsidRPr="00485497" w:rsidRDefault="00A05073" w:rsidP="00485497">
      <w:pPr>
        <w:spacing w:line="360" w:lineRule="auto"/>
        <w:rPr>
          <w:rFonts w:ascii="Arial" w:hAnsi="Arial" w:cs="Arial"/>
          <w:sz w:val="24"/>
          <w:szCs w:val="24"/>
        </w:rPr>
      </w:pPr>
    </w:p>
    <w:p w14:paraId="6DF9F3C8" w14:textId="6746AF3A"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 xml:space="preserve">Appendix 4: Table 4. </w:t>
      </w:r>
      <w:r w:rsidRPr="00485497">
        <w:rPr>
          <w:rFonts w:ascii="Arial" w:hAnsi="Arial" w:cs="Arial"/>
          <w:sz w:val="24"/>
          <w:szCs w:val="24"/>
          <w:lang w:val="en-US"/>
        </w:rPr>
        <w:t xml:space="preserve">Toyota’s </w:t>
      </w:r>
      <w:r w:rsidRPr="00485497">
        <w:rPr>
          <w:rFonts w:ascii="Arial" w:hAnsi="Arial" w:cs="Arial"/>
          <w:sz w:val="24"/>
          <w:szCs w:val="24"/>
        </w:rPr>
        <w:t>Comparative Segmentation Variable Analysis.</w:t>
      </w:r>
    </w:p>
    <w:p w14:paraId="0967D95E" w14:textId="5B55F26B" w:rsidR="00E82AB8" w:rsidRPr="00485497" w:rsidRDefault="00991413" w:rsidP="00485497">
      <w:pPr>
        <w:spacing w:line="360" w:lineRule="auto"/>
        <w:rPr>
          <w:rFonts w:ascii="Arial" w:hAnsi="Arial" w:cs="Arial"/>
          <w:sz w:val="24"/>
          <w:szCs w:val="24"/>
        </w:rPr>
      </w:pPr>
      <w:r w:rsidRPr="00485497">
        <w:rPr>
          <w:rFonts w:ascii="Arial" w:hAnsi="Arial" w:cs="Arial"/>
          <w:sz w:val="24"/>
          <w:szCs w:val="24"/>
          <w:lang w:val="en-US"/>
        </w:rPr>
        <w:lastRenderedPageBreak/>
        <w:t xml:space="preserve">The table below on Toyota’s </w:t>
      </w:r>
      <w:r w:rsidRPr="00485497">
        <w:rPr>
          <w:rFonts w:ascii="Arial" w:hAnsi="Arial" w:cs="Arial"/>
          <w:sz w:val="24"/>
          <w:szCs w:val="24"/>
        </w:rPr>
        <w:t xml:space="preserve">Comparative Discussion from table </w:t>
      </w:r>
      <w:r w:rsidR="005317B4" w:rsidRPr="00485497">
        <w:rPr>
          <w:rFonts w:ascii="Arial" w:hAnsi="Arial" w:cs="Arial"/>
          <w:sz w:val="24"/>
          <w:szCs w:val="24"/>
        </w:rPr>
        <w:t>4</w:t>
      </w:r>
      <w:r w:rsidRPr="00485497">
        <w:rPr>
          <w:rFonts w:ascii="Arial" w:hAnsi="Arial" w:cs="Arial"/>
          <w:sz w:val="24"/>
          <w:szCs w:val="24"/>
        </w:rPr>
        <w:t xml:space="preserve"> of</w:t>
      </w:r>
      <w:r w:rsidR="006763FB" w:rsidRPr="00485497">
        <w:rPr>
          <w:rFonts w:ascii="Arial" w:hAnsi="Arial" w:cs="Arial"/>
          <w:sz w:val="24"/>
          <w:szCs w:val="24"/>
        </w:rPr>
        <w:t xml:space="preserve"> Segmentation Variable</w:t>
      </w:r>
      <w:r w:rsidR="00CF5B8A" w:rsidRPr="00485497">
        <w:rPr>
          <w:rFonts w:ascii="Arial" w:hAnsi="Arial" w:cs="Arial"/>
          <w:sz w:val="24"/>
          <w:szCs w:val="24"/>
        </w:rPr>
        <w:t xml:space="preserve"> Analys</w:t>
      </w:r>
      <w:r w:rsidR="001A5F42" w:rsidRPr="00485497">
        <w:rPr>
          <w:rFonts w:ascii="Arial" w:hAnsi="Arial" w:cs="Arial"/>
          <w:sz w:val="24"/>
          <w:szCs w:val="24"/>
        </w:rPr>
        <w:t>i</w:t>
      </w:r>
      <w:r w:rsidR="00CF5B8A" w:rsidRPr="00485497">
        <w:rPr>
          <w:rFonts w:ascii="Arial" w:hAnsi="Arial" w:cs="Arial"/>
          <w:sz w:val="24"/>
          <w:szCs w:val="24"/>
        </w:rPr>
        <w:t>s</w:t>
      </w:r>
      <w:r w:rsidR="003D5AC1" w:rsidRPr="00485497">
        <w:rPr>
          <w:rFonts w:ascii="Arial" w:hAnsi="Arial" w:cs="Arial"/>
          <w:sz w:val="24"/>
          <w:szCs w:val="24"/>
        </w:rPr>
        <w:t xml:space="preserve"> indicat</w:t>
      </w:r>
      <w:r w:rsidR="00F31127" w:rsidRPr="00485497">
        <w:rPr>
          <w:rFonts w:ascii="Arial" w:hAnsi="Arial" w:cs="Arial"/>
          <w:sz w:val="24"/>
          <w:szCs w:val="24"/>
        </w:rPr>
        <w:t>ing</w:t>
      </w:r>
      <w:r w:rsidR="003D5AC1" w:rsidRPr="00485497">
        <w:rPr>
          <w:rFonts w:ascii="Arial" w:hAnsi="Arial" w:cs="Arial"/>
          <w:sz w:val="24"/>
          <w:szCs w:val="24"/>
        </w:rPr>
        <w:t xml:space="preserve"> that Toyota’s EV </w:t>
      </w:r>
      <w:r w:rsidR="00E82AB8" w:rsidRPr="00485497">
        <w:rPr>
          <w:rFonts w:ascii="Arial" w:hAnsi="Arial" w:cs="Arial"/>
          <w:sz w:val="24"/>
          <w:szCs w:val="24"/>
        </w:rPr>
        <w:t>adopts differentiated segmentation strategies in Japan</w:t>
      </w:r>
      <w:r w:rsidR="00EF4FF1" w:rsidRPr="00485497">
        <w:rPr>
          <w:rFonts w:ascii="Arial" w:hAnsi="Arial" w:cs="Arial"/>
          <w:sz w:val="24"/>
          <w:szCs w:val="24"/>
        </w:rPr>
        <w:t xml:space="preserve"> (home country)</w:t>
      </w:r>
      <w:r w:rsidR="00E82AB8" w:rsidRPr="00485497">
        <w:rPr>
          <w:rFonts w:ascii="Arial" w:hAnsi="Arial" w:cs="Arial"/>
          <w:sz w:val="24"/>
          <w:szCs w:val="24"/>
        </w:rPr>
        <w:t xml:space="preserve"> and the United States</w:t>
      </w:r>
      <w:r w:rsidR="00EF4FF1" w:rsidRPr="00485497">
        <w:rPr>
          <w:rFonts w:ascii="Arial" w:hAnsi="Arial" w:cs="Arial"/>
          <w:sz w:val="24"/>
          <w:szCs w:val="24"/>
        </w:rPr>
        <w:t xml:space="preserve"> (host country)</w:t>
      </w:r>
      <w:r w:rsidR="00E82AB8" w:rsidRPr="00485497">
        <w:rPr>
          <w:rFonts w:ascii="Arial" w:hAnsi="Arial" w:cs="Arial"/>
          <w:sz w:val="24"/>
          <w:szCs w:val="24"/>
        </w:rPr>
        <w:t xml:space="preserve"> to address variations in consumer behaviour and market conditions. While Japanese segmentation emphasises reliability, efficiency, and long-term value, the American strategy focuses more heavily on innovation, performance, and technological advancement. </w:t>
      </w:r>
      <w:r w:rsidR="00B01F1D" w:rsidRPr="00485497">
        <w:rPr>
          <w:rFonts w:ascii="Arial" w:hAnsi="Arial" w:cs="Arial"/>
          <w:sz w:val="24"/>
          <w:szCs w:val="24"/>
        </w:rPr>
        <w:t>Therefore</w:t>
      </w:r>
      <w:r w:rsidR="00C0568B" w:rsidRPr="00485497">
        <w:rPr>
          <w:rFonts w:ascii="Arial" w:hAnsi="Arial" w:cs="Arial"/>
          <w:sz w:val="24"/>
          <w:szCs w:val="24"/>
        </w:rPr>
        <w:t>,</w:t>
      </w:r>
      <w:r w:rsidR="007C5541" w:rsidRPr="00485497">
        <w:rPr>
          <w:rFonts w:ascii="Arial" w:hAnsi="Arial" w:cs="Arial"/>
          <w:sz w:val="24"/>
          <w:szCs w:val="24"/>
        </w:rPr>
        <w:t xml:space="preserve"> th</w:t>
      </w:r>
      <w:r w:rsidR="00C0568B" w:rsidRPr="00485497">
        <w:rPr>
          <w:rFonts w:ascii="Arial" w:hAnsi="Arial" w:cs="Arial"/>
          <w:sz w:val="24"/>
          <w:szCs w:val="24"/>
        </w:rPr>
        <w:t>e</w:t>
      </w:r>
      <w:r w:rsidR="00E82AB8" w:rsidRPr="00485497">
        <w:rPr>
          <w:rFonts w:ascii="Arial" w:hAnsi="Arial" w:cs="Arial"/>
          <w:sz w:val="24"/>
          <w:szCs w:val="24"/>
        </w:rPr>
        <w:t xml:space="preserve">se differences enable Toyota to align its EV offerings with </w:t>
      </w:r>
      <w:r w:rsidR="00E61BFF" w:rsidRPr="00485497">
        <w:rPr>
          <w:rFonts w:ascii="Arial" w:hAnsi="Arial" w:cs="Arial"/>
          <w:sz w:val="24"/>
          <w:szCs w:val="24"/>
        </w:rPr>
        <w:t xml:space="preserve">both countries’ </w:t>
      </w:r>
      <w:r w:rsidR="00E82AB8" w:rsidRPr="00485497">
        <w:rPr>
          <w:rFonts w:ascii="Arial" w:hAnsi="Arial" w:cs="Arial"/>
          <w:sz w:val="24"/>
          <w:szCs w:val="24"/>
        </w:rPr>
        <w:t>local consumer expectations and strengthen its competitive position in both markets</w:t>
      </w:r>
    </w:p>
    <w:p w14:paraId="07A59F17" w14:textId="77777777" w:rsidR="00E0246F" w:rsidRPr="00485497" w:rsidRDefault="00E0246F" w:rsidP="00485497">
      <w:pPr>
        <w:spacing w:line="360" w:lineRule="auto"/>
        <w:rPr>
          <w:rFonts w:ascii="Arial" w:hAnsi="Arial" w:cs="Arial"/>
          <w:sz w:val="24"/>
          <w:szCs w:val="24"/>
        </w:rPr>
      </w:pPr>
    </w:p>
    <w:p w14:paraId="77D4F63E" w14:textId="77777777" w:rsidR="00E0246F" w:rsidRPr="00485497" w:rsidRDefault="00E0246F" w:rsidP="00485497">
      <w:pPr>
        <w:spacing w:line="360" w:lineRule="auto"/>
        <w:jc w:val="center"/>
        <w:rPr>
          <w:rFonts w:ascii="Arial" w:hAnsi="Arial" w:cs="Arial"/>
          <w:sz w:val="24"/>
          <w:szCs w:val="24"/>
        </w:rPr>
      </w:pPr>
      <w:r w:rsidRPr="00485497">
        <w:rPr>
          <w:rFonts w:ascii="Arial" w:hAnsi="Arial" w:cs="Arial"/>
          <w:sz w:val="24"/>
          <w:szCs w:val="24"/>
        </w:rPr>
        <w:t>Table 4: Comparative Segmentation Analysis of Toyota EVs in Japan and the USA.</w:t>
      </w:r>
    </w:p>
    <w:tbl>
      <w:tblPr>
        <w:tblStyle w:val="TableGrid"/>
        <w:tblW w:w="0" w:type="auto"/>
        <w:tblLook w:val="04A0" w:firstRow="1" w:lastRow="0" w:firstColumn="1" w:lastColumn="0" w:noHBand="0" w:noVBand="1"/>
      </w:tblPr>
      <w:tblGrid>
        <w:gridCol w:w="3080"/>
        <w:gridCol w:w="3081"/>
        <w:gridCol w:w="3081"/>
      </w:tblGrid>
      <w:tr w:rsidR="00E0246F" w:rsidRPr="00485497" w14:paraId="2CB11889" w14:textId="77777777" w:rsidTr="00D860CD">
        <w:tc>
          <w:tcPr>
            <w:tcW w:w="3080" w:type="dxa"/>
            <w:vAlign w:val="center"/>
          </w:tcPr>
          <w:p w14:paraId="3FF78DE7"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Segmentation Variable</w:t>
            </w:r>
          </w:p>
        </w:tc>
        <w:tc>
          <w:tcPr>
            <w:tcW w:w="3081" w:type="dxa"/>
            <w:vAlign w:val="center"/>
          </w:tcPr>
          <w:p w14:paraId="170BA79E"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Japan (Home Country)</w:t>
            </w:r>
          </w:p>
        </w:tc>
        <w:tc>
          <w:tcPr>
            <w:tcW w:w="3081" w:type="dxa"/>
            <w:vAlign w:val="center"/>
          </w:tcPr>
          <w:p w14:paraId="352A23ED"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USA (Host Country)</w:t>
            </w:r>
          </w:p>
        </w:tc>
      </w:tr>
      <w:tr w:rsidR="00E0246F" w:rsidRPr="00485497" w14:paraId="307B5859" w14:textId="77777777" w:rsidTr="00D860CD">
        <w:tc>
          <w:tcPr>
            <w:tcW w:w="3080" w:type="dxa"/>
            <w:vAlign w:val="center"/>
          </w:tcPr>
          <w:p w14:paraId="210706A7"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Demographic</w:t>
            </w:r>
          </w:p>
        </w:tc>
        <w:tc>
          <w:tcPr>
            <w:tcW w:w="3081" w:type="dxa"/>
            <w:vAlign w:val="center"/>
          </w:tcPr>
          <w:p w14:paraId="25970811"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Middle-income professionals, families, and older consumers</w:t>
            </w:r>
          </w:p>
        </w:tc>
        <w:tc>
          <w:tcPr>
            <w:tcW w:w="3081" w:type="dxa"/>
            <w:vAlign w:val="center"/>
          </w:tcPr>
          <w:p w14:paraId="2E1D2E06"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Young professionals, affluent households, families</w:t>
            </w:r>
          </w:p>
        </w:tc>
      </w:tr>
      <w:tr w:rsidR="00E0246F" w:rsidRPr="00485497" w14:paraId="5BEE85A8" w14:textId="77777777" w:rsidTr="00D860CD">
        <w:tc>
          <w:tcPr>
            <w:tcW w:w="3080" w:type="dxa"/>
            <w:vAlign w:val="center"/>
          </w:tcPr>
          <w:p w14:paraId="06F922B5"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Geographic</w:t>
            </w:r>
          </w:p>
        </w:tc>
        <w:tc>
          <w:tcPr>
            <w:tcW w:w="3081" w:type="dxa"/>
            <w:vAlign w:val="center"/>
          </w:tcPr>
          <w:p w14:paraId="1EB51B19"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Highly urbanised cities with developed public infrastructure</w:t>
            </w:r>
          </w:p>
        </w:tc>
        <w:tc>
          <w:tcPr>
            <w:tcW w:w="3081" w:type="dxa"/>
            <w:vAlign w:val="center"/>
          </w:tcPr>
          <w:p w14:paraId="24DD6167"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Urban and suburban markets with growing charging networks</w:t>
            </w:r>
          </w:p>
        </w:tc>
      </w:tr>
      <w:tr w:rsidR="00E0246F" w:rsidRPr="00485497" w14:paraId="0A4DBDA2" w14:textId="77777777" w:rsidTr="00D860CD">
        <w:tc>
          <w:tcPr>
            <w:tcW w:w="3080" w:type="dxa"/>
            <w:vAlign w:val="center"/>
          </w:tcPr>
          <w:p w14:paraId="688A64AE"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Psychographic</w:t>
            </w:r>
          </w:p>
        </w:tc>
        <w:tc>
          <w:tcPr>
            <w:tcW w:w="3081" w:type="dxa"/>
            <w:vAlign w:val="center"/>
          </w:tcPr>
          <w:p w14:paraId="20456192"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Environmentally conscious, quality-oriented, risk-averse consumers</w:t>
            </w:r>
          </w:p>
        </w:tc>
        <w:tc>
          <w:tcPr>
            <w:tcW w:w="3081" w:type="dxa"/>
            <w:vAlign w:val="center"/>
          </w:tcPr>
          <w:p w14:paraId="20BCE945"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Innovation-driven, lifestyle-oriented, environmentally conscious consumers</w:t>
            </w:r>
          </w:p>
        </w:tc>
      </w:tr>
      <w:tr w:rsidR="00E0246F" w:rsidRPr="00485497" w14:paraId="685FB58C" w14:textId="77777777" w:rsidTr="00D860CD">
        <w:tc>
          <w:tcPr>
            <w:tcW w:w="3080" w:type="dxa"/>
            <w:vAlign w:val="center"/>
          </w:tcPr>
          <w:p w14:paraId="6370A0DA"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Behavioural</w:t>
            </w:r>
          </w:p>
        </w:tc>
        <w:tc>
          <w:tcPr>
            <w:tcW w:w="3081" w:type="dxa"/>
            <w:vAlign w:val="center"/>
          </w:tcPr>
          <w:p w14:paraId="72D7C374"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Focus on reliability, efficiency, and long-term value</w:t>
            </w:r>
          </w:p>
        </w:tc>
        <w:tc>
          <w:tcPr>
            <w:tcW w:w="3081" w:type="dxa"/>
            <w:vAlign w:val="center"/>
          </w:tcPr>
          <w:p w14:paraId="5A72276F"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Focus on performance, technology, convenience, and sustainability</w:t>
            </w:r>
          </w:p>
        </w:tc>
      </w:tr>
      <w:tr w:rsidR="00E0246F" w:rsidRPr="00485497" w14:paraId="358F34D6" w14:textId="77777777" w:rsidTr="00D860CD">
        <w:tc>
          <w:tcPr>
            <w:tcW w:w="3080" w:type="dxa"/>
            <w:vAlign w:val="center"/>
          </w:tcPr>
          <w:p w14:paraId="3AC4AF1A"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Technology Adoption</w:t>
            </w:r>
          </w:p>
        </w:tc>
        <w:tc>
          <w:tcPr>
            <w:tcW w:w="3081" w:type="dxa"/>
            <w:vAlign w:val="center"/>
          </w:tcPr>
          <w:p w14:paraId="267E39DC"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Moderate adoption of new technologies after proven success</w:t>
            </w:r>
          </w:p>
        </w:tc>
        <w:tc>
          <w:tcPr>
            <w:tcW w:w="3081" w:type="dxa"/>
            <w:vAlign w:val="center"/>
          </w:tcPr>
          <w:p w14:paraId="537E765A" w14:textId="77777777" w:rsidR="00E0246F" w:rsidRPr="00485497" w:rsidRDefault="00E0246F" w:rsidP="00485497">
            <w:pPr>
              <w:spacing w:line="360" w:lineRule="auto"/>
              <w:rPr>
                <w:rFonts w:ascii="Arial" w:hAnsi="Arial" w:cs="Arial"/>
                <w:sz w:val="24"/>
                <w:szCs w:val="24"/>
              </w:rPr>
            </w:pPr>
            <w:r w:rsidRPr="00485497">
              <w:rPr>
                <w:rFonts w:ascii="Arial" w:hAnsi="Arial" w:cs="Arial"/>
                <w:sz w:val="24"/>
                <w:szCs w:val="24"/>
              </w:rPr>
              <w:t>Higher willingness to adopt innovative EV technologies</w:t>
            </w:r>
          </w:p>
        </w:tc>
      </w:tr>
    </w:tbl>
    <w:p w14:paraId="55377EC0" w14:textId="77777777" w:rsidR="00301B12" w:rsidRPr="00485497" w:rsidRDefault="00301B12" w:rsidP="00485497">
      <w:pPr>
        <w:spacing w:after="0" w:line="360" w:lineRule="auto"/>
        <w:rPr>
          <w:rFonts w:ascii="Arial" w:hAnsi="Arial" w:cs="Arial"/>
          <w:sz w:val="24"/>
          <w:szCs w:val="24"/>
        </w:rPr>
      </w:pPr>
    </w:p>
    <w:p w14:paraId="4CB8B357" w14:textId="3EA4D977" w:rsidR="00301B12" w:rsidRPr="00485497" w:rsidRDefault="00301B12" w:rsidP="00485497">
      <w:pPr>
        <w:spacing w:after="0" w:line="360" w:lineRule="auto"/>
        <w:rPr>
          <w:rFonts w:ascii="Arial" w:hAnsi="Arial" w:cs="Arial"/>
          <w:sz w:val="24"/>
          <w:szCs w:val="24"/>
        </w:rPr>
      </w:pPr>
      <w:r w:rsidRPr="00485497">
        <w:rPr>
          <w:rFonts w:ascii="Arial" w:hAnsi="Arial" w:cs="Arial"/>
          <w:sz w:val="24"/>
          <w:szCs w:val="24"/>
        </w:rPr>
        <w:t xml:space="preserve">Appendix 5: Table 5. </w:t>
      </w:r>
      <w:r w:rsidRPr="00485497">
        <w:rPr>
          <w:rFonts w:ascii="Arial" w:hAnsi="Arial" w:cs="Arial"/>
          <w:sz w:val="24"/>
          <w:szCs w:val="24"/>
          <w:lang w:val="en-US"/>
        </w:rPr>
        <w:t xml:space="preserve">Toyota’s </w:t>
      </w:r>
      <w:r w:rsidRPr="00485497">
        <w:rPr>
          <w:rFonts w:ascii="Arial" w:hAnsi="Arial" w:cs="Arial"/>
          <w:sz w:val="24"/>
          <w:szCs w:val="24"/>
        </w:rPr>
        <w:t>Comparative Segmentation Marketing Mix (7Ps)</w:t>
      </w:r>
    </w:p>
    <w:p w14:paraId="64C4F7A1" w14:textId="4D066164" w:rsidR="00301B12" w:rsidRPr="00485497" w:rsidRDefault="00301B12" w:rsidP="00485497">
      <w:pPr>
        <w:spacing w:line="360" w:lineRule="auto"/>
        <w:rPr>
          <w:rFonts w:ascii="Arial" w:hAnsi="Arial" w:cs="Arial"/>
          <w:sz w:val="24"/>
          <w:szCs w:val="24"/>
        </w:rPr>
      </w:pPr>
      <w:r w:rsidRPr="00485497">
        <w:rPr>
          <w:rFonts w:ascii="Arial" w:hAnsi="Arial" w:cs="Arial"/>
          <w:sz w:val="24"/>
          <w:szCs w:val="24"/>
        </w:rPr>
        <w:t>Analysis.</w:t>
      </w:r>
    </w:p>
    <w:p w14:paraId="7C0CF2C0" w14:textId="351D4361" w:rsidR="00F51231" w:rsidRPr="00485497" w:rsidRDefault="00CE2911" w:rsidP="00485497">
      <w:pPr>
        <w:spacing w:after="0" w:line="360" w:lineRule="auto"/>
        <w:rPr>
          <w:rFonts w:ascii="Arial" w:hAnsi="Arial" w:cs="Arial"/>
          <w:sz w:val="24"/>
          <w:szCs w:val="24"/>
        </w:rPr>
      </w:pPr>
      <w:r w:rsidRPr="00485497">
        <w:rPr>
          <w:rFonts w:ascii="Arial" w:hAnsi="Arial" w:cs="Arial"/>
          <w:sz w:val="24"/>
          <w:szCs w:val="24"/>
          <w:lang w:val="en-US"/>
        </w:rPr>
        <w:lastRenderedPageBreak/>
        <w:t xml:space="preserve">The table below on Toyota’s </w:t>
      </w:r>
      <w:r w:rsidRPr="00485497">
        <w:rPr>
          <w:rFonts w:ascii="Arial" w:hAnsi="Arial" w:cs="Arial"/>
          <w:sz w:val="24"/>
          <w:szCs w:val="24"/>
        </w:rPr>
        <w:t xml:space="preserve">Comparative Discussion from table </w:t>
      </w:r>
      <w:r w:rsidR="00B01F1D" w:rsidRPr="00485497">
        <w:rPr>
          <w:rFonts w:ascii="Arial" w:hAnsi="Arial" w:cs="Arial"/>
          <w:sz w:val="24"/>
          <w:szCs w:val="24"/>
        </w:rPr>
        <w:t>5</w:t>
      </w:r>
      <w:r w:rsidRPr="00485497">
        <w:rPr>
          <w:rFonts w:ascii="Arial" w:hAnsi="Arial" w:cs="Arial"/>
          <w:sz w:val="24"/>
          <w:szCs w:val="24"/>
        </w:rPr>
        <w:t xml:space="preserve"> of</w:t>
      </w:r>
      <w:r w:rsidR="00FF6159" w:rsidRPr="00485497">
        <w:rPr>
          <w:rFonts w:ascii="Arial" w:hAnsi="Arial" w:cs="Arial"/>
          <w:sz w:val="24"/>
          <w:szCs w:val="24"/>
        </w:rPr>
        <w:t xml:space="preserve"> Segmentation Marketing Mix (7Ps) Analysis</w:t>
      </w:r>
      <w:r w:rsidR="00C60B1D" w:rsidRPr="00485497">
        <w:rPr>
          <w:rFonts w:ascii="Arial" w:hAnsi="Arial" w:cs="Arial"/>
          <w:sz w:val="24"/>
          <w:szCs w:val="24"/>
        </w:rPr>
        <w:t xml:space="preserve"> indicating that Toyota’s EV</w:t>
      </w:r>
      <w:r w:rsidR="00F51231" w:rsidRPr="00485497">
        <w:rPr>
          <w:rFonts w:ascii="Arial" w:hAnsi="Arial" w:cs="Arial"/>
          <w:sz w:val="24"/>
          <w:szCs w:val="24"/>
        </w:rPr>
        <w:t xml:space="preserve"> product strategy</w:t>
      </w:r>
      <w:r w:rsidR="005803DD" w:rsidRPr="00485497">
        <w:rPr>
          <w:rFonts w:ascii="Arial" w:hAnsi="Arial" w:cs="Arial"/>
          <w:sz w:val="24"/>
          <w:szCs w:val="24"/>
        </w:rPr>
        <w:t xml:space="preserve"> </w:t>
      </w:r>
      <w:r w:rsidR="000E2491" w:rsidRPr="00485497">
        <w:rPr>
          <w:rFonts w:ascii="Arial" w:hAnsi="Arial" w:cs="Arial"/>
          <w:sz w:val="24"/>
          <w:szCs w:val="24"/>
        </w:rPr>
        <w:t>reflects the differing needs of consumers in Japan</w:t>
      </w:r>
      <w:r w:rsidR="004F0352" w:rsidRPr="00485497">
        <w:rPr>
          <w:rFonts w:ascii="Arial" w:hAnsi="Arial" w:cs="Arial"/>
          <w:sz w:val="24"/>
          <w:szCs w:val="24"/>
        </w:rPr>
        <w:t xml:space="preserve"> (home country)</w:t>
      </w:r>
      <w:r w:rsidR="000E2491" w:rsidRPr="00485497">
        <w:rPr>
          <w:rFonts w:ascii="Arial" w:hAnsi="Arial" w:cs="Arial"/>
          <w:sz w:val="24"/>
          <w:szCs w:val="24"/>
        </w:rPr>
        <w:t xml:space="preserve"> and the United States</w:t>
      </w:r>
      <w:r w:rsidR="004F0352" w:rsidRPr="00485497">
        <w:rPr>
          <w:rFonts w:ascii="Arial" w:hAnsi="Arial" w:cs="Arial"/>
          <w:sz w:val="24"/>
          <w:szCs w:val="24"/>
        </w:rPr>
        <w:t xml:space="preserve"> (host country)</w:t>
      </w:r>
      <w:r w:rsidR="000E2491" w:rsidRPr="00485497">
        <w:rPr>
          <w:rFonts w:ascii="Arial" w:hAnsi="Arial" w:cs="Arial"/>
          <w:sz w:val="24"/>
          <w:szCs w:val="24"/>
        </w:rPr>
        <w:t>. In Japan, the emphasis is placed on reliability, efficiency, and long-term ownership value, whereas in the United States the focus shifts towards innovation, technological sophistication, and performance. By adapting its product offerings to local market conditions while maintaining its core brand values, Toyota strengthens its competitive position in both markets and supports the long-term success of its electric vehicle business</w:t>
      </w:r>
      <w:r w:rsidR="00235EFA" w:rsidRPr="00485497">
        <w:rPr>
          <w:rFonts w:ascii="Arial" w:hAnsi="Arial" w:cs="Arial"/>
          <w:sz w:val="24"/>
          <w:szCs w:val="24"/>
        </w:rPr>
        <w:t>.</w:t>
      </w:r>
      <w:r w:rsidR="00F51231" w:rsidRPr="00485497">
        <w:rPr>
          <w:rFonts w:ascii="Arial" w:hAnsi="Arial" w:cs="Arial"/>
          <w:sz w:val="24"/>
          <w:szCs w:val="24"/>
        </w:rPr>
        <w:t xml:space="preserve"> </w:t>
      </w:r>
    </w:p>
    <w:p w14:paraId="6D17FFAE" w14:textId="77777777" w:rsidR="00301B12" w:rsidRPr="00485497" w:rsidRDefault="00301B12" w:rsidP="00485497">
      <w:pPr>
        <w:spacing w:after="0" w:line="360" w:lineRule="auto"/>
        <w:jc w:val="center"/>
        <w:rPr>
          <w:rFonts w:ascii="Arial" w:hAnsi="Arial" w:cs="Arial"/>
          <w:sz w:val="24"/>
          <w:szCs w:val="24"/>
        </w:rPr>
      </w:pPr>
    </w:p>
    <w:p w14:paraId="680F4931" w14:textId="4652AF33" w:rsidR="00F0573A" w:rsidRPr="00485497" w:rsidRDefault="00F0573A" w:rsidP="00485497">
      <w:pPr>
        <w:spacing w:after="0" w:line="360" w:lineRule="auto"/>
        <w:jc w:val="center"/>
        <w:rPr>
          <w:rFonts w:ascii="Arial" w:hAnsi="Arial" w:cs="Arial"/>
          <w:sz w:val="24"/>
          <w:szCs w:val="24"/>
        </w:rPr>
      </w:pPr>
      <w:r w:rsidRPr="00485497">
        <w:rPr>
          <w:rFonts w:ascii="Arial" w:hAnsi="Arial" w:cs="Arial"/>
          <w:sz w:val="24"/>
          <w:szCs w:val="24"/>
        </w:rPr>
        <w:t xml:space="preserve">Table 5. </w:t>
      </w:r>
      <w:r w:rsidRPr="00485497">
        <w:rPr>
          <w:rFonts w:ascii="Arial" w:hAnsi="Arial" w:cs="Arial"/>
          <w:sz w:val="24"/>
          <w:szCs w:val="24"/>
          <w:lang w:val="en-US"/>
        </w:rPr>
        <w:t xml:space="preserve">Toyota’s </w:t>
      </w:r>
      <w:r w:rsidRPr="00485497">
        <w:rPr>
          <w:rFonts w:ascii="Arial" w:hAnsi="Arial" w:cs="Arial"/>
          <w:sz w:val="24"/>
          <w:szCs w:val="24"/>
        </w:rPr>
        <w:t>Comparative Segmentation Marketing Mix (7Ps)</w:t>
      </w:r>
    </w:p>
    <w:p w14:paraId="2D77CB79" w14:textId="77777777" w:rsidR="00F0573A" w:rsidRPr="00485497" w:rsidRDefault="00F0573A" w:rsidP="00485497">
      <w:pPr>
        <w:spacing w:line="360" w:lineRule="auto"/>
        <w:jc w:val="center"/>
        <w:rPr>
          <w:rFonts w:ascii="Arial" w:hAnsi="Arial" w:cs="Arial"/>
          <w:sz w:val="24"/>
          <w:szCs w:val="24"/>
        </w:rPr>
      </w:pPr>
      <w:r w:rsidRPr="00485497">
        <w:rPr>
          <w:rFonts w:ascii="Arial" w:hAnsi="Arial" w:cs="Arial"/>
          <w:sz w:val="24"/>
          <w:szCs w:val="24"/>
        </w:rPr>
        <w:t>Analysis.</w:t>
      </w:r>
    </w:p>
    <w:tbl>
      <w:tblPr>
        <w:tblStyle w:val="TableGrid"/>
        <w:tblW w:w="0" w:type="auto"/>
        <w:tblLook w:val="04A0" w:firstRow="1" w:lastRow="0" w:firstColumn="1" w:lastColumn="0" w:noHBand="0" w:noVBand="1"/>
      </w:tblPr>
      <w:tblGrid>
        <w:gridCol w:w="3080"/>
        <w:gridCol w:w="3081"/>
        <w:gridCol w:w="3081"/>
      </w:tblGrid>
      <w:tr w:rsidR="00F0573A" w:rsidRPr="00485497" w14:paraId="173A756C" w14:textId="77777777" w:rsidTr="00D860CD">
        <w:tc>
          <w:tcPr>
            <w:tcW w:w="3080" w:type="dxa"/>
            <w:vAlign w:val="center"/>
          </w:tcPr>
          <w:p w14:paraId="67C5B64C"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Product Element</w:t>
            </w:r>
          </w:p>
        </w:tc>
        <w:tc>
          <w:tcPr>
            <w:tcW w:w="3081" w:type="dxa"/>
            <w:vAlign w:val="center"/>
          </w:tcPr>
          <w:p w14:paraId="26EF7D8B"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Japan (Home Country)</w:t>
            </w:r>
          </w:p>
        </w:tc>
        <w:tc>
          <w:tcPr>
            <w:tcW w:w="3081" w:type="dxa"/>
            <w:vAlign w:val="center"/>
          </w:tcPr>
          <w:p w14:paraId="4CB0019B"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USA (Host Country)</w:t>
            </w:r>
          </w:p>
        </w:tc>
      </w:tr>
      <w:tr w:rsidR="00F0573A" w:rsidRPr="00485497" w14:paraId="5C20ECD4" w14:textId="77777777" w:rsidTr="00D860CD">
        <w:tc>
          <w:tcPr>
            <w:tcW w:w="3080" w:type="dxa"/>
            <w:vAlign w:val="center"/>
          </w:tcPr>
          <w:p w14:paraId="38B7691B"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Product Focus</w:t>
            </w:r>
          </w:p>
        </w:tc>
        <w:tc>
          <w:tcPr>
            <w:tcW w:w="3081" w:type="dxa"/>
            <w:vAlign w:val="center"/>
          </w:tcPr>
          <w:p w14:paraId="6F48057A"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Efficiency, reliability, and practicality</w:t>
            </w:r>
          </w:p>
        </w:tc>
        <w:tc>
          <w:tcPr>
            <w:tcW w:w="3081" w:type="dxa"/>
            <w:vAlign w:val="center"/>
          </w:tcPr>
          <w:p w14:paraId="3906FCE7"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Performance, innovation, and driving experience</w:t>
            </w:r>
          </w:p>
        </w:tc>
      </w:tr>
      <w:tr w:rsidR="00F0573A" w:rsidRPr="00485497" w14:paraId="3CCCDF0A" w14:textId="77777777" w:rsidTr="00D860CD">
        <w:tc>
          <w:tcPr>
            <w:tcW w:w="3080" w:type="dxa"/>
            <w:vAlign w:val="center"/>
          </w:tcPr>
          <w:p w14:paraId="762A62B8"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Vehicle Size</w:t>
            </w:r>
          </w:p>
        </w:tc>
        <w:tc>
          <w:tcPr>
            <w:tcW w:w="3081" w:type="dxa"/>
            <w:vAlign w:val="center"/>
          </w:tcPr>
          <w:p w14:paraId="531A27A6"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Compact and medium-sized vehicles suited to urban environments</w:t>
            </w:r>
          </w:p>
        </w:tc>
        <w:tc>
          <w:tcPr>
            <w:tcW w:w="3081" w:type="dxa"/>
            <w:vAlign w:val="center"/>
          </w:tcPr>
          <w:p w14:paraId="2D70006B"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Larger vehicles and SUVs suited to longer travel distances</w:t>
            </w:r>
          </w:p>
        </w:tc>
      </w:tr>
      <w:tr w:rsidR="00F0573A" w:rsidRPr="00485497" w14:paraId="2FC76647" w14:textId="77777777" w:rsidTr="00D860CD">
        <w:tc>
          <w:tcPr>
            <w:tcW w:w="3080" w:type="dxa"/>
            <w:vAlign w:val="center"/>
          </w:tcPr>
          <w:p w14:paraId="1A955821"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Technology Features</w:t>
            </w:r>
          </w:p>
        </w:tc>
        <w:tc>
          <w:tcPr>
            <w:tcW w:w="3081" w:type="dxa"/>
            <w:vAlign w:val="center"/>
          </w:tcPr>
          <w:p w14:paraId="6E62A721"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Proven and dependable technologies</w:t>
            </w:r>
          </w:p>
        </w:tc>
        <w:tc>
          <w:tcPr>
            <w:tcW w:w="3081" w:type="dxa"/>
            <w:vAlign w:val="center"/>
          </w:tcPr>
          <w:p w14:paraId="59B27F38"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Advanced connectivity, smart systems, and digital features</w:t>
            </w:r>
          </w:p>
        </w:tc>
      </w:tr>
      <w:tr w:rsidR="00F0573A" w:rsidRPr="00485497" w14:paraId="424DC429" w14:textId="77777777" w:rsidTr="00D860CD">
        <w:tc>
          <w:tcPr>
            <w:tcW w:w="3080" w:type="dxa"/>
            <w:vAlign w:val="center"/>
          </w:tcPr>
          <w:p w14:paraId="0FAB90F5"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Environmental Features</w:t>
            </w:r>
          </w:p>
        </w:tc>
        <w:tc>
          <w:tcPr>
            <w:tcW w:w="3081" w:type="dxa"/>
            <w:vAlign w:val="center"/>
          </w:tcPr>
          <w:p w14:paraId="43E4AE57"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Emphasis on energy efficiency and sustainability</w:t>
            </w:r>
          </w:p>
        </w:tc>
        <w:tc>
          <w:tcPr>
            <w:tcW w:w="3081" w:type="dxa"/>
            <w:vAlign w:val="center"/>
          </w:tcPr>
          <w:p w14:paraId="3701274F"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Emphasis on zero-emission performance and battery range</w:t>
            </w:r>
          </w:p>
        </w:tc>
      </w:tr>
      <w:tr w:rsidR="00F0573A" w:rsidRPr="00485497" w14:paraId="2772953D" w14:textId="77777777" w:rsidTr="00D860CD">
        <w:tc>
          <w:tcPr>
            <w:tcW w:w="3080" w:type="dxa"/>
            <w:vAlign w:val="center"/>
          </w:tcPr>
          <w:p w14:paraId="3C6B3728"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Quality Expectations</w:t>
            </w:r>
          </w:p>
        </w:tc>
        <w:tc>
          <w:tcPr>
            <w:tcW w:w="3081" w:type="dxa"/>
            <w:vAlign w:val="center"/>
          </w:tcPr>
          <w:p w14:paraId="782FC056"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High focus on durability and long-term value</w:t>
            </w:r>
          </w:p>
        </w:tc>
        <w:tc>
          <w:tcPr>
            <w:tcW w:w="3081" w:type="dxa"/>
            <w:vAlign w:val="center"/>
          </w:tcPr>
          <w:p w14:paraId="5AF29608"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High focus on innovation and customer experience</w:t>
            </w:r>
          </w:p>
        </w:tc>
      </w:tr>
      <w:tr w:rsidR="00F0573A" w:rsidRPr="00485497" w14:paraId="2A03153D" w14:textId="77777777" w:rsidTr="00D860CD">
        <w:tc>
          <w:tcPr>
            <w:tcW w:w="3080" w:type="dxa"/>
            <w:vAlign w:val="center"/>
          </w:tcPr>
          <w:p w14:paraId="71D400F3"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Product Innovation</w:t>
            </w:r>
          </w:p>
        </w:tc>
        <w:tc>
          <w:tcPr>
            <w:tcW w:w="3081" w:type="dxa"/>
            <w:vAlign w:val="center"/>
          </w:tcPr>
          <w:p w14:paraId="6D356887"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Gradual introduction of new technologies</w:t>
            </w:r>
          </w:p>
        </w:tc>
        <w:tc>
          <w:tcPr>
            <w:tcW w:w="3081" w:type="dxa"/>
            <w:vAlign w:val="center"/>
          </w:tcPr>
          <w:p w14:paraId="34F805CB" w14:textId="77777777" w:rsidR="00F0573A" w:rsidRPr="00485497" w:rsidRDefault="00F0573A" w:rsidP="00485497">
            <w:pPr>
              <w:spacing w:line="360" w:lineRule="auto"/>
              <w:rPr>
                <w:rFonts w:ascii="Arial" w:hAnsi="Arial" w:cs="Arial"/>
                <w:sz w:val="24"/>
                <w:szCs w:val="24"/>
              </w:rPr>
            </w:pPr>
            <w:r w:rsidRPr="00485497">
              <w:rPr>
                <w:rFonts w:ascii="Arial" w:hAnsi="Arial" w:cs="Arial"/>
                <w:sz w:val="24"/>
                <w:szCs w:val="24"/>
              </w:rPr>
              <w:t>Faster adoption of innovative EV technologies</w:t>
            </w:r>
          </w:p>
        </w:tc>
      </w:tr>
    </w:tbl>
    <w:p w14:paraId="53528C7E" w14:textId="77777777" w:rsidR="00F0573A" w:rsidRPr="00485497" w:rsidRDefault="00F0573A" w:rsidP="00485497">
      <w:pPr>
        <w:spacing w:line="360" w:lineRule="auto"/>
        <w:rPr>
          <w:rFonts w:ascii="Arial" w:hAnsi="Arial" w:cs="Arial"/>
          <w:sz w:val="24"/>
          <w:szCs w:val="24"/>
        </w:rPr>
      </w:pPr>
    </w:p>
    <w:p w14:paraId="20E4949E" w14:textId="77777777" w:rsidR="00F0573A" w:rsidRPr="00485497" w:rsidRDefault="00F0573A" w:rsidP="00485497">
      <w:pPr>
        <w:spacing w:line="360" w:lineRule="auto"/>
        <w:rPr>
          <w:rFonts w:ascii="Arial" w:hAnsi="Arial" w:cs="Arial"/>
          <w:sz w:val="24"/>
          <w:szCs w:val="24"/>
        </w:rPr>
      </w:pPr>
    </w:p>
    <w:p w14:paraId="4EF92967" w14:textId="4F3E1B63" w:rsidR="007F086F" w:rsidRPr="00485497" w:rsidRDefault="00AE650B" w:rsidP="00485497">
      <w:pPr>
        <w:spacing w:after="0" w:line="360" w:lineRule="auto"/>
        <w:rPr>
          <w:rFonts w:ascii="Arial" w:hAnsi="Arial" w:cs="Arial"/>
          <w:sz w:val="24"/>
          <w:szCs w:val="24"/>
        </w:rPr>
      </w:pPr>
      <w:r w:rsidRPr="00485497">
        <w:rPr>
          <w:rFonts w:ascii="Arial" w:hAnsi="Arial" w:cs="Arial"/>
          <w:sz w:val="24"/>
          <w:szCs w:val="24"/>
        </w:rPr>
        <w:lastRenderedPageBreak/>
        <w:t xml:space="preserve">Appendix </w:t>
      </w:r>
      <w:r w:rsidR="009B0905" w:rsidRPr="00485497">
        <w:rPr>
          <w:rFonts w:ascii="Arial" w:hAnsi="Arial" w:cs="Arial"/>
          <w:sz w:val="24"/>
          <w:szCs w:val="24"/>
        </w:rPr>
        <w:t>6</w:t>
      </w:r>
      <w:r w:rsidRPr="00485497">
        <w:rPr>
          <w:rFonts w:ascii="Arial" w:hAnsi="Arial" w:cs="Arial"/>
          <w:sz w:val="24"/>
          <w:szCs w:val="24"/>
        </w:rPr>
        <w:t xml:space="preserve">: Table </w:t>
      </w:r>
      <w:r w:rsidR="009B0905" w:rsidRPr="00485497">
        <w:rPr>
          <w:rFonts w:ascii="Arial" w:hAnsi="Arial" w:cs="Arial"/>
          <w:sz w:val="24"/>
          <w:szCs w:val="24"/>
        </w:rPr>
        <w:t>6</w:t>
      </w:r>
      <w:r w:rsidRPr="00485497">
        <w:rPr>
          <w:rFonts w:ascii="Arial" w:hAnsi="Arial" w:cs="Arial"/>
          <w:sz w:val="24"/>
          <w:szCs w:val="24"/>
        </w:rPr>
        <w:t xml:space="preserve">. </w:t>
      </w:r>
      <w:r w:rsidR="007F086F" w:rsidRPr="00485497">
        <w:rPr>
          <w:rFonts w:ascii="Arial" w:hAnsi="Arial" w:cs="Arial"/>
          <w:sz w:val="24"/>
          <w:szCs w:val="24"/>
          <w:lang w:val="en-US"/>
        </w:rPr>
        <w:t xml:space="preserve">Toyota’s </w:t>
      </w:r>
      <w:r w:rsidR="007F086F" w:rsidRPr="00485497">
        <w:rPr>
          <w:rFonts w:ascii="Arial" w:hAnsi="Arial" w:cs="Arial"/>
          <w:sz w:val="24"/>
          <w:szCs w:val="24"/>
        </w:rPr>
        <w:t>International Expansion into the United States Analysis).</w:t>
      </w:r>
    </w:p>
    <w:p w14:paraId="2410BFD0" w14:textId="47B62B7C" w:rsidR="00777614" w:rsidRPr="00485497" w:rsidRDefault="00777614" w:rsidP="00485497">
      <w:pPr>
        <w:spacing w:after="0" w:line="360" w:lineRule="auto"/>
        <w:rPr>
          <w:rFonts w:ascii="Arial" w:hAnsi="Arial" w:cs="Arial"/>
          <w:sz w:val="24"/>
          <w:szCs w:val="24"/>
        </w:rPr>
      </w:pPr>
    </w:p>
    <w:p w14:paraId="55454CFD" w14:textId="77777777" w:rsidR="000E0A5D" w:rsidRPr="00485497" w:rsidRDefault="000E0A5D" w:rsidP="00485497">
      <w:pPr>
        <w:spacing w:after="0" w:line="360" w:lineRule="auto"/>
        <w:jc w:val="center"/>
        <w:rPr>
          <w:rFonts w:ascii="Arial" w:hAnsi="Arial" w:cs="Arial"/>
          <w:sz w:val="24"/>
          <w:szCs w:val="24"/>
        </w:rPr>
      </w:pPr>
      <w:r w:rsidRPr="00485497">
        <w:rPr>
          <w:rFonts w:ascii="Arial" w:hAnsi="Arial" w:cs="Arial"/>
          <w:sz w:val="24"/>
          <w:szCs w:val="24"/>
        </w:rPr>
        <w:t>Table 6: Key Stages of Toyota's Expansion into the United States.</w:t>
      </w:r>
    </w:p>
    <w:tbl>
      <w:tblPr>
        <w:tblStyle w:val="TableGrid"/>
        <w:tblW w:w="0" w:type="auto"/>
        <w:tblLook w:val="04A0" w:firstRow="1" w:lastRow="0" w:firstColumn="1" w:lastColumn="0" w:noHBand="0" w:noVBand="1"/>
      </w:tblPr>
      <w:tblGrid>
        <w:gridCol w:w="3080"/>
        <w:gridCol w:w="3081"/>
        <w:gridCol w:w="3081"/>
      </w:tblGrid>
      <w:tr w:rsidR="000E0A5D" w:rsidRPr="00485497" w14:paraId="541028FC" w14:textId="77777777" w:rsidTr="00D860CD">
        <w:tc>
          <w:tcPr>
            <w:tcW w:w="3080" w:type="dxa"/>
            <w:vAlign w:val="center"/>
          </w:tcPr>
          <w:p w14:paraId="5EA770FB"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Expansion Activity</w:t>
            </w:r>
          </w:p>
        </w:tc>
        <w:tc>
          <w:tcPr>
            <w:tcW w:w="3081" w:type="dxa"/>
            <w:vAlign w:val="center"/>
          </w:tcPr>
          <w:p w14:paraId="58A63CAD"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Strategic Purpose</w:t>
            </w:r>
          </w:p>
        </w:tc>
        <w:tc>
          <w:tcPr>
            <w:tcW w:w="3081" w:type="dxa"/>
            <w:vAlign w:val="center"/>
          </w:tcPr>
          <w:p w14:paraId="7C729D79"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Outcome</w:t>
            </w:r>
          </w:p>
        </w:tc>
      </w:tr>
      <w:tr w:rsidR="000E0A5D" w:rsidRPr="00485497" w14:paraId="5AE544E0" w14:textId="77777777" w:rsidTr="00D860CD">
        <w:tc>
          <w:tcPr>
            <w:tcW w:w="3080" w:type="dxa"/>
            <w:vAlign w:val="center"/>
          </w:tcPr>
          <w:p w14:paraId="0B013978"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Vehicle Exports</w:t>
            </w:r>
          </w:p>
        </w:tc>
        <w:tc>
          <w:tcPr>
            <w:tcW w:w="3081" w:type="dxa"/>
            <w:vAlign w:val="center"/>
          </w:tcPr>
          <w:p w14:paraId="490675FA"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Test market potential and establish brand awareness</w:t>
            </w:r>
          </w:p>
        </w:tc>
        <w:tc>
          <w:tcPr>
            <w:tcW w:w="3081" w:type="dxa"/>
            <w:vAlign w:val="center"/>
          </w:tcPr>
          <w:p w14:paraId="17E8D94E"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Initial entry into the U.S. market</w:t>
            </w:r>
          </w:p>
        </w:tc>
      </w:tr>
      <w:tr w:rsidR="000E0A5D" w:rsidRPr="00485497" w14:paraId="3C7AD2EB" w14:textId="77777777" w:rsidTr="00D860CD">
        <w:tc>
          <w:tcPr>
            <w:tcW w:w="3080" w:type="dxa"/>
            <w:vAlign w:val="center"/>
          </w:tcPr>
          <w:p w14:paraId="2890206A"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Dealer Network Development</w:t>
            </w:r>
          </w:p>
        </w:tc>
        <w:tc>
          <w:tcPr>
            <w:tcW w:w="3081" w:type="dxa"/>
            <w:vAlign w:val="center"/>
          </w:tcPr>
          <w:p w14:paraId="3C385095"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Increase customer access and sales coverage</w:t>
            </w:r>
          </w:p>
        </w:tc>
        <w:tc>
          <w:tcPr>
            <w:tcW w:w="3081" w:type="dxa"/>
            <w:vAlign w:val="center"/>
          </w:tcPr>
          <w:p w14:paraId="5778484F"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Improved market penetration</w:t>
            </w:r>
          </w:p>
        </w:tc>
      </w:tr>
      <w:tr w:rsidR="000E0A5D" w:rsidRPr="00485497" w14:paraId="42DF84C3" w14:textId="77777777" w:rsidTr="00D860CD">
        <w:tc>
          <w:tcPr>
            <w:tcW w:w="3080" w:type="dxa"/>
            <w:vAlign w:val="center"/>
          </w:tcPr>
          <w:p w14:paraId="4EFA6181"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Joint Venture (NUMMI)</w:t>
            </w:r>
          </w:p>
        </w:tc>
        <w:tc>
          <w:tcPr>
            <w:tcW w:w="3081" w:type="dxa"/>
            <w:vAlign w:val="center"/>
          </w:tcPr>
          <w:p w14:paraId="767B6D6C"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Gain local market knowledge and manufacturing experience</w:t>
            </w:r>
          </w:p>
        </w:tc>
        <w:tc>
          <w:tcPr>
            <w:tcW w:w="3081" w:type="dxa"/>
            <w:vAlign w:val="center"/>
          </w:tcPr>
          <w:p w14:paraId="7821C716"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Enhanced operational learning</w:t>
            </w:r>
          </w:p>
        </w:tc>
      </w:tr>
      <w:tr w:rsidR="000E0A5D" w:rsidRPr="00485497" w14:paraId="02B137F4" w14:textId="77777777" w:rsidTr="00D860CD">
        <w:tc>
          <w:tcPr>
            <w:tcW w:w="3080" w:type="dxa"/>
            <w:vAlign w:val="center"/>
          </w:tcPr>
          <w:p w14:paraId="13F50ABA"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Foreign Direct Investment</w:t>
            </w:r>
          </w:p>
        </w:tc>
        <w:tc>
          <w:tcPr>
            <w:tcW w:w="3081" w:type="dxa"/>
            <w:vAlign w:val="center"/>
          </w:tcPr>
          <w:p w14:paraId="3AA94BE6"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Establish local production facilities</w:t>
            </w:r>
          </w:p>
        </w:tc>
        <w:tc>
          <w:tcPr>
            <w:tcW w:w="3081" w:type="dxa"/>
            <w:vAlign w:val="center"/>
          </w:tcPr>
          <w:p w14:paraId="0BD19797"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Reduced costs and increased competitiveness</w:t>
            </w:r>
          </w:p>
        </w:tc>
      </w:tr>
      <w:tr w:rsidR="000E0A5D" w:rsidRPr="00485497" w14:paraId="27DA5DD3" w14:textId="77777777" w:rsidTr="00D860CD">
        <w:tc>
          <w:tcPr>
            <w:tcW w:w="3080" w:type="dxa"/>
            <w:vAlign w:val="center"/>
          </w:tcPr>
          <w:p w14:paraId="63BC32AD"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Expansion Activity</w:t>
            </w:r>
          </w:p>
        </w:tc>
        <w:tc>
          <w:tcPr>
            <w:tcW w:w="3081" w:type="dxa"/>
            <w:vAlign w:val="center"/>
          </w:tcPr>
          <w:p w14:paraId="45F1090A"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Strategic Purpose</w:t>
            </w:r>
          </w:p>
        </w:tc>
        <w:tc>
          <w:tcPr>
            <w:tcW w:w="3081" w:type="dxa"/>
            <w:vAlign w:val="center"/>
          </w:tcPr>
          <w:p w14:paraId="4AF4AE95"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Outcome</w:t>
            </w:r>
          </w:p>
        </w:tc>
      </w:tr>
      <w:tr w:rsidR="000E0A5D" w:rsidRPr="00485497" w14:paraId="235697DB" w14:textId="77777777" w:rsidTr="00D860CD">
        <w:tc>
          <w:tcPr>
            <w:tcW w:w="3080" w:type="dxa"/>
            <w:vAlign w:val="center"/>
          </w:tcPr>
          <w:p w14:paraId="7F4E3D5E"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Vehicle Exports</w:t>
            </w:r>
          </w:p>
        </w:tc>
        <w:tc>
          <w:tcPr>
            <w:tcW w:w="3081" w:type="dxa"/>
            <w:vAlign w:val="center"/>
          </w:tcPr>
          <w:p w14:paraId="7795378E"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Test market potential and establish brand awareness</w:t>
            </w:r>
          </w:p>
        </w:tc>
        <w:tc>
          <w:tcPr>
            <w:tcW w:w="3081" w:type="dxa"/>
            <w:vAlign w:val="center"/>
          </w:tcPr>
          <w:p w14:paraId="32813EE5" w14:textId="77777777" w:rsidR="000E0A5D" w:rsidRPr="00485497" w:rsidRDefault="000E0A5D" w:rsidP="00485497">
            <w:pPr>
              <w:spacing w:line="360" w:lineRule="auto"/>
              <w:rPr>
                <w:rFonts w:ascii="Arial" w:hAnsi="Arial" w:cs="Arial"/>
                <w:sz w:val="24"/>
                <w:szCs w:val="24"/>
              </w:rPr>
            </w:pPr>
            <w:r w:rsidRPr="00485497">
              <w:rPr>
                <w:rFonts w:ascii="Arial" w:hAnsi="Arial" w:cs="Arial"/>
                <w:sz w:val="24"/>
                <w:szCs w:val="24"/>
              </w:rPr>
              <w:t>Initial entry into the U.S. market</w:t>
            </w:r>
          </w:p>
        </w:tc>
      </w:tr>
    </w:tbl>
    <w:p w14:paraId="4C0C7D08" w14:textId="77777777" w:rsidR="000E0A5D" w:rsidRPr="00485497" w:rsidRDefault="000E0A5D" w:rsidP="00485497">
      <w:pPr>
        <w:spacing w:line="360" w:lineRule="auto"/>
        <w:rPr>
          <w:rFonts w:ascii="Arial" w:hAnsi="Arial" w:cs="Arial"/>
          <w:sz w:val="24"/>
          <w:szCs w:val="24"/>
        </w:rPr>
      </w:pPr>
    </w:p>
    <w:p w14:paraId="01F67C68" w14:textId="77777777" w:rsidR="00F0573A" w:rsidRPr="00485497" w:rsidRDefault="00F0573A" w:rsidP="00485497">
      <w:pPr>
        <w:spacing w:line="360" w:lineRule="auto"/>
        <w:rPr>
          <w:rFonts w:ascii="Arial" w:hAnsi="Arial" w:cs="Arial"/>
          <w:sz w:val="24"/>
          <w:szCs w:val="24"/>
        </w:rPr>
      </w:pPr>
    </w:p>
    <w:p w14:paraId="355E9901" w14:textId="77777777" w:rsidR="00E0246F" w:rsidRPr="00485497" w:rsidRDefault="00E0246F" w:rsidP="00485497">
      <w:pPr>
        <w:spacing w:line="360" w:lineRule="auto"/>
        <w:rPr>
          <w:rFonts w:ascii="Arial" w:hAnsi="Arial" w:cs="Arial"/>
          <w:sz w:val="24"/>
          <w:szCs w:val="24"/>
        </w:rPr>
      </w:pPr>
    </w:p>
    <w:p w14:paraId="1502A187" w14:textId="77777777" w:rsidR="00A05073" w:rsidRPr="00485497" w:rsidRDefault="00A05073" w:rsidP="00485497">
      <w:pPr>
        <w:spacing w:after="0" w:line="360" w:lineRule="auto"/>
        <w:rPr>
          <w:rFonts w:ascii="Arial" w:hAnsi="Arial" w:cs="Arial"/>
          <w:sz w:val="24"/>
          <w:szCs w:val="24"/>
        </w:rPr>
      </w:pPr>
    </w:p>
    <w:p w14:paraId="338B8AE7" w14:textId="77777777" w:rsidR="009441BD" w:rsidRPr="00485497" w:rsidRDefault="009441BD" w:rsidP="00485497">
      <w:pPr>
        <w:spacing w:line="360" w:lineRule="auto"/>
        <w:rPr>
          <w:rFonts w:ascii="Arial" w:hAnsi="Arial" w:cs="Arial"/>
          <w:sz w:val="24"/>
          <w:szCs w:val="24"/>
        </w:rPr>
      </w:pPr>
    </w:p>
    <w:p w14:paraId="3A554A0E" w14:textId="59552248" w:rsidR="00B81D00" w:rsidRPr="00485497" w:rsidRDefault="00B81D00" w:rsidP="00485497">
      <w:pPr>
        <w:spacing w:line="360" w:lineRule="auto"/>
        <w:rPr>
          <w:rFonts w:ascii="Arial" w:hAnsi="Arial" w:cs="Arial"/>
          <w:sz w:val="24"/>
          <w:szCs w:val="24"/>
          <w:lang w:val="en-US"/>
        </w:rPr>
      </w:pPr>
      <w:r w:rsidRPr="00485497">
        <w:rPr>
          <w:rFonts w:ascii="Arial" w:hAnsi="Arial" w:cs="Arial"/>
          <w:sz w:val="24"/>
          <w:szCs w:val="24"/>
        </w:rPr>
        <w:br/>
      </w:r>
    </w:p>
    <w:p w14:paraId="1F9F38DD" w14:textId="77777777" w:rsidR="00B81D00" w:rsidRPr="00485497" w:rsidRDefault="00B81D00" w:rsidP="00485497">
      <w:pPr>
        <w:spacing w:line="360" w:lineRule="auto"/>
        <w:rPr>
          <w:rFonts w:ascii="Arial" w:hAnsi="Arial" w:cs="Arial"/>
          <w:sz w:val="24"/>
          <w:szCs w:val="24"/>
        </w:rPr>
      </w:pPr>
    </w:p>
    <w:p w14:paraId="20F9597B" w14:textId="77777777" w:rsidR="00F666A6" w:rsidRPr="00485497" w:rsidRDefault="00F666A6" w:rsidP="00485497">
      <w:pPr>
        <w:spacing w:line="360" w:lineRule="auto"/>
        <w:rPr>
          <w:rFonts w:ascii="Arial" w:hAnsi="Arial" w:cs="Arial"/>
          <w:vanish/>
          <w:sz w:val="24"/>
          <w:szCs w:val="24"/>
        </w:rPr>
      </w:pPr>
      <w:r w:rsidRPr="00485497">
        <w:rPr>
          <w:rFonts w:ascii="Arial" w:hAnsi="Arial" w:cs="Arial"/>
          <w:vanish/>
          <w:sz w:val="24"/>
          <w:szCs w:val="24"/>
        </w:rPr>
        <w:t>Top of Form</w:t>
      </w:r>
    </w:p>
    <w:p w14:paraId="18EA77D6" w14:textId="77777777" w:rsidR="00F666A6" w:rsidRPr="00485497" w:rsidRDefault="00F666A6" w:rsidP="00485497">
      <w:pPr>
        <w:spacing w:line="360" w:lineRule="auto"/>
        <w:rPr>
          <w:rFonts w:ascii="Arial" w:hAnsi="Arial" w:cs="Arial"/>
          <w:sz w:val="24"/>
          <w:szCs w:val="24"/>
        </w:rPr>
      </w:pPr>
    </w:p>
    <w:p w14:paraId="20785E7A" w14:textId="77777777" w:rsidR="00F666A6" w:rsidRPr="00485497" w:rsidRDefault="00F666A6" w:rsidP="00485497">
      <w:pPr>
        <w:spacing w:line="360" w:lineRule="auto"/>
        <w:rPr>
          <w:rFonts w:ascii="Arial" w:hAnsi="Arial" w:cs="Arial"/>
          <w:sz w:val="24"/>
          <w:szCs w:val="24"/>
        </w:rPr>
      </w:pPr>
    </w:p>
    <w:p w14:paraId="151EFEC1" w14:textId="77777777" w:rsidR="0017178E" w:rsidRPr="00485497" w:rsidRDefault="0017178E" w:rsidP="00485497">
      <w:pPr>
        <w:spacing w:line="360" w:lineRule="auto"/>
        <w:rPr>
          <w:rFonts w:ascii="Arial" w:hAnsi="Arial" w:cs="Arial"/>
          <w:sz w:val="24"/>
          <w:szCs w:val="24"/>
        </w:rPr>
      </w:pPr>
    </w:p>
    <w:p w14:paraId="322F25C4" w14:textId="77777777" w:rsidR="00A3077A" w:rsidRDefault="00A3077A" w:rsidP="00485497">
      <w:pPr>
        <w:spacing w:line="360" w:lineRule="auto"/>
        <w:rPr>
          <w:rFonts w:ascii="Arial" w:hAnsi="Arial" w:cs="Arial"/>
          <w:sz w:val="24"/>
          <w:szCs w:val="24"/>
        </w:rPr>
      </w:pPr>
    </w:p>
    <w:p w14:paraId="611FE30A" w14:textId="05BCAC6B" w:rsidR="0017178E" w:rsidRPr="00485497" w:rsidRDefault="000B7058" w:rsidP="00485497">
      <w:pPr>
        <w:spacing w:line="360" w:lineRule="auto"/>
        <w:rPr>
          <w:rFonts w:ascii="Arial" w:hAnsi="Arial" w:cs="Arial"/>
          <w:sz w:val="24"/>
          <w:szCs w:val="24"/>
        </w:rPr>
      </w:pPr>
      <w:r w:rsidRPr="00485497">
        <w:rPr>
          <w:rFonts w:ascii="Arial" w:hAnsi="Arial" w:cs="Arial"/>
          <w:sz w:val="24"/>
          <w:szCs w:val="24"/>
        </w:rPr>
        <w:lastRenderedPageBreak/>
        <w:t xml:space="preserve">SECTION 2: REFLECTIVE ACCOUNT USING GIBBS’ REFLECTIVE CYCLE: CRITICAL REFLECTION ON MY INTERNATIONAL </w:t>
      </w:r>
      <w:r w:rsidR="00C248BF" w:rsidRPr="00485497">
        <w:rPr>
          <w:rFonts w:ascii="Arial" w:hAnsi="Arial" w:cs="Arial"/>
          <w:sz w:val="24"/>
          <w:szCs w:val="24"/>
        </w:rPr>
        <w:t>B</w:t>
      </w:r>
      <w:r w:rsidR="002F4753" w:rsidRPr="00485497">
        <w:rPr>
          <w:rFonts w:ascii="Arial" w:hAnsi="Arial" w:cs="Arial"/>
          <w:sz w:val="24"/>
          <w:szCs w:val="24"/>
        </w:rPr>
        <w:t>USINESS CONCEPT</w:t>
      </w:r>
      <w:r w:rsidR="00FF1125">
        <w:rPr>
          <w:rFonts w:ascii="Arial" w:hAnsi="Arial" w:cs="Arial"/>
          <w:sz w:val="24"/>
          <w:szCs w:val="24"/>
        </w:rPr>
        <w:t>S</w:t>
      </w:r>
      <w:r w:rsidRPr="00485497">
        <w:rPr>
          <w:rFonts w:ascii="Arial" w:hAnsi="Arial" w:cs="Arial"/>
          <w:sz w:val="24"/>
          <w:szCs w:val="24"/>
        </w:rPr>
        <w:t xml:space="preserve"> JOURNEY AND THE DEVELOPMENT OF </w:t>
      </w:r>
      <w:r w:rsidR="005A2E28" w:rsidRPr="00485497">
        <w:rPr>
          <w:rFonts w:ascii="Arial" w:hAnsi="Arial" w:cs="Arial"/>
          <w:sz w:val="24"/>
          <w:szCs w:val="24"/>
        </w:rPr>
        <w:t>INTERNATIONAL MARKET BUSINESS ANALYSIS</w:t>
      </w:r>
      <w:r w:rsidRPr="00485497">
        <w:rPr>
          <w:rFonts w:ascii="Arial" w:hAnsi="Arial" w:cs="Arial"/>
          <w:sz w:val="24"/>
          <w:szCs w:val="24"/>
        </w:rPr>
        <w:t xml:space="preserve"> CAPABILITIE</w:t>
      </w:r>
    </w:p>
    <w:p w14:paraId="2A86B990" w14:textId="77777777" w:rsidR="007B765B" w:rsidRPr="00485497" w:rsidRDefault="007B765B" w:rsidP="0048549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7B765B" w:rsidRPr="00485497" w14:paraId="4940C687" w14:textId="77777777" w:rsidTr="000E09EA">
        <w:tc>
          <w:tcPr>
            <w:tcW w:w="4621" w:type="dxa"/>
          </w:tcPr>
          <w:p w14:paraId="0D898868"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Student Name</w:t>
            </w:r>
          </w:p>
        </w:tc>
        <w:tc>
          <w:tcPr>
            <w:tcW w:w="4621" w:type="dxa"/>
          </w:tcPr>
          <w:p w14:paraId="7042AF02"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KUMAKAMBA PUNGA</w:t>
            </w:r>
          </w:p>
        </w:tc>
      </w:tr>
      <w:tr w:rsidR="007B765B" w:rsidRPr="00485497" w14:paraId="4E7F5683" w14:textId="77777777" w:rsidTr="000E09EA">
        <w:tc>
          <w:tcPr>
            <w:tcW w:w="4621" w:type="dxa"/>
          </w:tcPr>
          <w:p w14:paraId="550D0AF9"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Student Number</w:t>
            </w:r>
          </w:p>
        </w:tc>
        <w:tc>
          <w:tcPr>
            <w:tcW w:w="4621" w:type="dxa"/>
          </w:tcPr>
          <w:p w14:paraId="706ADBCE"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2226848</w:t>
            </w:r>
          </w:p>
        </w:tc>
      </w:tr>
      <w:tr w:rsidR="007B765B" w:rsidRPr="00485497" w14:paraId="798C3C04" w14:textId="77777777" w:rsidTr="000E09EA">
        <w:tc>
          <w:tcPr>
            <w:tcW w:w="4621" w:type="dxa"/>
          </w:tcPr>
          <w:p w14:paraId="0626AFFE"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Supervisor</w:t>
            </w:r>
          </w:p>
        </w:tc>
        <w:tc>
          <w:tcPr>
            <w:tcW w:w="4621" w:type="dxa"/>
          </w:tcPr>
          <w:p w14:paraId="153A52EE" w14:textId="31A3F2D0" w:rsidR="007B765B" w:rsidRPr="00485497" w:rsidRDefault="00B80D6B" w:rsidP="00485497">
            <w:pPr>
              <w:spacing w:line="360" w:lineRule="auto"/>
              <w:jc w:val="both"/>
              <w:rPr>
                <w:rFonts w:ascii="Arial" w:hAnsi="Arial" w:cs="Arial"/>
                <w:sz w:val="24"/>
                <w:szCs w:val="24"/>
              </w:rPr>
            </w:pPr>
            <w:r w:rsidRPr="00485497">
              <w:rPr>
                <w:rFonts w:ascii="Arial" w:hAnsi="Arial" w:cs="Arial"/>
                <w:sz w:val="24"/>
                <w:szCs w:val="24"/>
              </w:rPr>
              <w:t>Professor Mansoob Murshed </w:t>
            </w:r>
          </w:p>
        </w:tc>
      </w:tr>
    </w:tbl>
    <w:p w14:paraId="13E75134" w14:textId="77777777" w:rsidR="007B765B" w:rsidRPr="00485497" w:rsidRDefault="007B765B" w:rsidP="00485497">
      <w:pPr>
        <w:spacing w:line="360" w:lineRule="auto"/>
        <w:jc w:val="both"/>
        <w:rPr>
          <w:rFonts w:ascii="Arial" w:hAnsi="Arial" w:cs="Arial"/>
          <w:sz w:val="24"/>
          <w:szCs w:val="24"/>
        </w:rPr>
      </w:pPr>
    </w:p>
    <w:p w14:paraId="2C22F329" w14:textId="77777777" w:rsidR="007B765B" w:rsidRPr="00485497" w:rsidRDefault="007B765B" w:rsidP="00485497">
      <w:pPr>
        <w:spacing w:line="360" w:lineRule="auto"/>
        <w:jc w:val="both"/>
        <w:rPr>
          <w:rFonts w:ascii="Arial" w:hAnsi="Arial" w:cs="Arial"/>
          <w:sz w:val="24"/>
          <w:szCs w:val="24"/>
        </w:rPr>
      </w:pPr>
    </w:p>
    <w:p w14:paraId="53D7395F"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 xml:space="preserve">                                      </w:t>
      </w:r>
      <w:r w:rsidRPr="00485497">
        <w:rPr>
          <w:rFonts w:ascii="Arial" w:hAnsi="Arial" w:cs="Arial"/>
          <w:sz w:val="24"/>
          <w:szCs w:val="24"/>
        </w:rPr>
      </w:r>
      <w:r w:rsidRPr="00485497">
        <w:rPr>
          <w:rFonts w:ascii="Arial" w:hAnsi="Arial" w:cs="Arial"/>
          <w:sz w:val="24"/>
          <w:szCs w:val="24"/>
        </w:rPr>
        <w:pict w14:anchorId="515C8088">
          <v:group id="Group 3" o:spid="_x0000_s1036" style="width:208.8pt;height:197.6pt;mso-position-horizontal-relative:char;mso-position-vertical-relative:line" coordsize="11430,25095">
            <v:shape id="Picture 1" o:spid="_x0000_s1037" type="#_x0000_t75" style="position:absolute;width:11430;height:212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">
              <v:imagedata r:id="rId15" o:title=""/>
            </v:shape>
            <v:shape id="Text Box 2" o:spid="_x0000_s1038" type="#_x0000_t202" style="position:absolute;top:21412;width:11430;height:36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" stroked="f">
              <v:textbox>
                <w:txbxContent>
                  <w:p w14:paraId="64BBBFE4" w14:textId="77777777" w:rsidR="007B765B" w:rsidRPr="00AF063A" w:rsidRDefault="007B765B" w:rsidP="007B765B">
                    <w:pPr>
                      <w:rPr>
                        <w:sz w:val="18"/>
                        <w:szCs w:val="18"/>
                      </w:rPr>
                    </w:pPr>
                    <w:hyperlink r:id="rId16" w:history="1">
                      <w:r w:rsidRPr="00AF063A">
                        <w:rPr>
                          <w:rStyle w:val="Hyperlink"/>
                          <w:sz w:val="18"/>
                          <w:szCs w:val="18"/>
                        </w:rPr>
                        <w:t>This Photo</w:t>
                      </w:r>
                    </w:hyperlink>
                    <w:r w:rsidRPr="00AF063A">
                      <w:rPr>
                        <w:sz w:val="18"/>
                        <w:szCs w:val="18"/>
                      </w:rPr>
                      <w:t xml:space="preserve"> by Unknown Author is licensed under </w:t>
                    </w:r>
                    <w:hyperlink r:id="rId17" w:history="1">
                      <w:r w:rsidRPr="00AF063A">
                        <w:rPr>
                          <w:rStyle w:val="Hyperlink"/>
                          <w:sz w:val="18"/>
                          <w:szCs w:val="18"/>
                        </w:rPr>
                        <w:t>CC BY-SA</w:t>
                      </w:r>
                    </w:hyperlink>
                  </w:p>
                </w:txbxContent>
              </v:textbox>
            </v:shape>
            <w10:anchorlock/>
          </v:group>
        </w:pict>
      </w:r>
    </w:p>
    <w:p w14:paraId="02C0C450" w14:textId="77777777" w:rsidR="007B765B" w:rsidRPr="00485497" w:rsidRDefault="007B765B" w:rsidP="00485497">
      <w:pPr>
        <w:spacing w:line="360" w:lineRule="auto"/>
        <w:jc w:val="both"/>
        <w:rPr>
          <w:rFonts w:ascii="Arial" w:hAnsi="Arial" w:cs="Arial"/>
          <w:sz w:val="24"/>
          <w:szCs w:val="24"/>
        </w:rPr>
      </w:pPr>
    </w:p>
    <w:p w14:paraId="3837D986" w14:textId="77777777" w:rsidR="007B765B" w:rsidRPr="00485497" w:rsidRDefault="007B765B" w:rsidP="00485497">
      <w:pPr>
        <w:spacing w:line="360" w:lineRule="auto"/>
        <w:jc w:val="both"/>
        <w:rPr>
          <w:rFonts w:ascii="Arial" w:hAnsi="Arial" w:cs="Arial"/>
          <w:sz w:val="24"/>
          <w:szCs w:val="24"/>
        </w:rPr>
      </w:pPr>
    </w:p>
    <w:p w14:paraId="51A0C6D1" w14:textId="77777777" w:rsidR="007B765B" w:rsidRPr="00485497" w:rsidRDefault="007B765B" w:rsidP="00485497">
      <w:pPr>
        <w:spacing w:line="360" w:lineRule="auto"/>
        <w:jc w:val="both"/>
        <w:rPr>
          <w:rFonts w:ascii="Arial" w:hAnsi="Arial" w:cs="Arial"/>
          <w:sz w:val="24"/>
          <w:szCs w:val="24"/>
        </w:rPr>
      </w:pPr>
    </w:p>
    <w:p w14:paraId="1FF8284E" w14:textId="77777777" w:rsidR="007B765B" w:rsidRPr="00485497" w:rsidRDefault="007B765B" w:rsidP="00485497">
      <w:pPr>
        <w:spacing w:line="360" w:lineRule="auto"/>
        <w:jc w:val="both"/>
        <w:rPr>
          <w:rFonts w:ascii="Arial" w:hAnsi="Arial" w:cs="Arial"/>
          <w:sz w:val="24"/>
          <w:szCs w:val="24"/>
        </w:rPr>
      </w:pPr>
    </w:p>
    <w:p w14:paraId="0E2EECCA" w14:textId="77777777" w:rsidR="007B765B" w:rsidRPr="00485497" w:rsidRDefault="007B765B" w:rsidP="00485497">
      <w:pPr>
        <w:spacing w:line="360" w:lineRule="auto"/>
        <w:jc w:val="both"/>
        <w:rPr>
          <w:rFonts w:ascii="Arial" w:hAnsi="Arial" w:cs="Arial"/>
          <w:sz w:val="24"/>
          <w:szCs w:val="24"/>
        </w:rPr>
      </w:pPr>
    </w:p>
    <w:p w14:paraId="393EBA8E" w14:textId="77777777" w:rsidR="007B765B" w:rsidRPr="00485497" w:rsidRDefault="007B765B" w:rsidP="00485497">
      <w:pPr>
        <w:spacing w:line="360" w:lineRule="auto"/>
        <w:jc w:val="both"/>
        <w:rPr>
          <w:rFonts w:ascii="Arial" w:hAnsi="Arial" w:cs="Arial"/>
          <w:sz w:val="24"/>
          <w:szCs w:val="24"/>
        </w:rPr>
      </w:pPr>
    </w:p>
    <w:p w14:paraId="3687A3C4" w14:textId="77777777" w:rsidR="007B765B" w:rsidRPr="00485497" w:rsidRDefault="007B765B" w:rsidP="00485497">
      <w:pPr>
        <w:spacing w:line="360" w:lineRule="auto"/>
        <w:jc w:val="both"/>
        <w:rPr>
          <w:rFonts w:ascii="Arial" w:hAnsi="Arial" w:cs="Arial"/>
          <w:sz w:val="24"/>
          <w:szCs w:val="24"/>
        </w:rPr>
      </w:pPr>
    </w:p>
    <w:p w14:paraId="0CA2694D" w14:textId="77777777" w:rsidR="007B765B" w:rsidRPr="00485497" w:rsidRDefault="007B765B" w:rsidP="00485497">
      <w:pPr>
        <w:spacing w:line="360" w:lineRule="auto"/>
        <w:jc w:val="both"/>
        <w:rPr>
          <w:rFonts w:ascii="Arial" w:hAnsi="Arial" w:cs="Arial"/>
          <w:sz w:val="24"/>
          <w:szCs w:val="24"/>
        </w:rPr>
      </w:pPr>
    </w:p>
    <w:p w14:paraId="4DAE734F" w14:textId="77777777" w:rsidR="007B765B" w:rsidRPr="00485497" w:rsidRDefault="007B765B" w:rsidP="00485497">
      <w:pPr>
        <w:spacing w:line="360" w:lineRule="auto"/>
        <w:jc w:val="both"/>
        <w:rPr>
          <w:rFonts w:ascii="Arial" w:hAnsi="Arial" w:cs="Arial"/>
          <w:sz w:val="24"/>
          <w:szCs w:val="24"/>
        </w:rPr>
      </w:pPr>
    </w:p>
    <w:p w14:paraId="388A6A5A"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lastRenderedPageBreak/>
        <w:t>INTRODUCTION</w:t>
      </w:r>
    </w:p>
    <w:p w14:paraId="311ED191" w14:textId="77777777" w:rsidR="007B765B" w:rsidRPr="00485497" w:rsidRDefault="007B765B" w:rsidP="00485497">
      <w:pPr>
        <w:spacing w:line="360" w:lineRule="auto"/>
        <w:rPr>
          <w:rFonts w:ascii="Arial" w:hAnsi="Arial" w:cs="Arial"/>
          <w:sz w:val="24"/>
          <w:szCs w:val="24"/>
        </w:rPr>
      </w:pPr>
    </w:p>
    <w:p w14:paraId="33110499" w14:textId="77777777" w:rsidR="00EF718F" w:rsidRPr="00485497" w:rsidRDefault="00EF718F" w:rsidP="00485497">
      <w:pPr>
        <w:spacing w:line="360" w:lineRule="auto"/>
        <w:jc w:val="both"/>
        <w:rPr>
          <w:rFonts w:ascii="Arial" w:hAnsi="Arial" w:cs="Arial"/>
          <w:sz w:val="24"/>
          <w:szCs w:val="24"/>
        </w:rPr>
      </w:pPr>
      <w:r w:rsidRPr="00485497">
        <w:rPr>
          <w:rFonts w:ascii="Arial" w:hAnsi="Arial" w:cs="Arial"/>
          <w:sz w:val="24"/>
          <w:szCs w:val="24"/>
        </w:rPr>
        <w:t>This reflective account critically examines my learning journey throughout the LCMB7034 – MBA International Business Concept module and the process of researching, analysing, and preparing the assessment entitled International Market Business Analysis of Toyota Industries Corporation Electric Vehicle in Multiple Countries (Japan and the United States). The assignment provided an opportunity to apply international business theories and frameworks to a real-world multinational corporation operating in the rapidly growing electric vehicle (EV) industry. Through this process, I developed a deeper understanding of international market entry, global marketing, consumer behaviour, cross-cultural management, and international operations while strengthening my research and analytical skills.</w:t>
      </w:r>
    </w:p>
    <w:p w14:paraId="2EEA22D9" w14:textId="77777777" w:rsidR="00EF718F" w:rsidRPr="00485497" w:rsidRDefault="00EF718F" w:rsidP="00485497">
      <w:pPr>
        <w:spacing w:line="360" w:lineRule="auto"/>
        <w:jc w:val="both"/>
        <w:rPr>
          <w:rFonts w:ascii="Arial" w:hAnsi="Arial" w:cs="Arial"/>
          <w:sz w:val="24"/>
          <w:szCs w:val="24"/>
        </w:rPr>
      </w:pPr>
      <w:r w:rsidRPr="00485497">
        <w:rPr>
          <w:rFonts w:ascii="Arial" w:hAnsi="Arial" w:cs="Arial"/>
          <w:sz w:val="24"/>
          <w:szCs w:val="24"/>
        </w:rPr>
        <w:t>This reflection is structured using Gibbs’ Reflective Cycle (1988), which consists of six stages: Description, Feelings, Evaluation, Analysis, Conclusion, and Action Plan. The model provides a systematic approach for evaluating experiences and identifying areas for future improvement (Gibbs, 1988). Throughout the assignment, lectures, academic readings, case studies, and discussions helped me understand how multinational corporations achieve competitive advantage in international markets (Murshed, 2026). This reflection evaluates the learning process and the knowledge gained during the preparation of the assessment.</w:t>
      </w:r>
    </w:p>
    <w:p w14:paraId="68D3F83A" w14:textId="77777777" w:rsidR="007B765B" w:rsidRPr="00485497" w:rsidRDefault="007B765B" w:rsidP="00485497">
      <w:pPr>
        <w:spacing w:line="360" w:lineRule="auto"/>
        <w:jc w:val="both"/>
        <w:rPr>
          <w:rFonts w:ascii="Arial" w:hAnsi="Arial" w:cs="Arial"/>
          <w:sz w:val="24"/>
          <w:szCs w:val="24"/>
        </w:rPr>
      </w:pPr>
    </w:p>
    <w:p w14:paraId="26E6B98A"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GIBBS’ SIX-STAGE REFLECTIVE CYCLE RESEARCH PROCESS</w:t>
      </w:r>
    </w:p>
    <w:p w14:paraId="7C68AF42" w14:textId="77777777" w:rsidR="007B765B" w:rsidRPr="00485497" w:rsidRDefault="007B765B" w:rsidP="00485497">
      <w:pPr>
        <w:spacing w:line="360" w:lineRule="auto"/>
        <w:jc w:val="both"/>
        <w:rPr>
          <w:rFonts w:ascii="Arial" w:hAnsi="Arial" w:cs="Arial"/>
          <w:sz w:val="24"/>
          <w:szCs w:val="24"/>
        </w:rPr>
      </w:pPr>
    </w:p>
    <w:p w14:paraId="571865CB"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DESCRIPTION</w:t>
      </w:r>
    </w:p>
    <w:p w14:paraId="5E060F76" w14:textId="77777777" w:rsidR="007B765B" w:rsidRPr="00485497" w:rsidRDefault="007B765B" w:rsidP="00485497">
      <w:pPr>
        <w:spacing w:line="360" w:lineRule="auto"/>
        <w:jc w:val="both"/>
        <w:rPr>
          <w:rFonts w:ascii="Arial" w:hAnsi="Arial" w:cs="Arial"/>
          <w:sz w:val="24"/>
          <w:szCs w:val="24"/>
        </w:rPr>
      </w:pPr>
    </w:p>
    <w:p w14:paraId="1A50E81A" w14:textId="00A73D8B" w:rsidR="004E43CD" w:rsidRPr="00485497" w:rsidRDefault="004E43CD" w:rsidP="00485497">
      <w:pPr>
        <w:spacing w:line="360" w:lineRule="auto"/>
        <w:jc w:val="both"/>
        <w:rPr>
          <w:rFonts w:ascii="Arial" w:hAnsi="Arial" w:cs="Arial"/>
          <w:sz w:val="24"/>
          <w:szCs w:val="24"/>
        </w:rPr>
      </w:pPr>
      <w:r w:rsidRPr="00485497">
        <w:rPr>
          <w:rFonts w:ascii="Arial" w:hAnsi="Arial" w:cs="Arial"/>
          <w:sz w:val="24"/>
          <w:szCs w:val="24"/>
        </w:rPr>
        <w:t xml:space="preserve">The purpose of the assignment was to analyse Toyota Industries Corporation’s electric vehicle business in Japan and the United States. </w:t>
      </w:r>
      <w:r w:rsidR="002C27EB" w:rsidRPr="00485497">
        <w:rPr>
          <w:rFonts w:ascii="Arial" w:hAnsi="Arial" w:cs="Arial"/>
          <w:sz w:val="24"/>
          <w:szCs w:val="24"/>
        </w:rPr>
        <w:t>To complete the task</w:t>
      </w:r>
      <w:r w:rsidR="002C27EB" w:rsidRPr="00485497">
        <w:rPr>
          <w:rFonts w:ascii="Arial" w:hAnsi="Arial" w:cs="Arial"/>
          <w:sz w:val="24"/>
          <w:szCs w:val="24"/>
        </w:rPr>
        <w:t xml:space="preserve">, </w:t>
      </w:r>
      <w:r w:rsidR="00823CF0" w:rsidRPr="00485497">
        <w:rPr>
          <w:rFonts w:ascii="Arial" w:hAnsi="Arial" w:cs="Arial"/>
          <w:sz w:val="24"/>
          <w:szCs w:val="24"/>
        </w:rPr>
        <w:t>t</w:t>
      </w:r>
      <w:r w:rsidRPr="00485497">
        <w:rPr>
          <w:rFonts w:ascii="Arial" w:hAnsi="Arial" w:cs="Arial"/>
          <w:sz w:val="24"/>
          <w:szCs w:val="24"/>
        </w:rPr>
        <w:t>he assessment focused on examining international market entry strategies, marketing approaches, consumer behaviour, cultural influences, and operational activities</w:t>
      </w:r>
      <w:r w:rsidR="008F3FDA" w:rsidRPr="00485497">
        <w:rPr>
          <w:rFonts w:ascii="Arial" w:hAnsi="Arial" w:cs="Arial"/>
          <w:sz w:val="24"/>
          <w:szCs w:val="24"/>
        </w:rPr>
        <w:t xml:space="preserve"> by </w:t>
      </w:r>
      <w:r w:rsidRPr="00485497">
        <w:rPr>
          <w:rFonts w:ascii="Arial" w:hAnsi="Arial" w:cs="Arial"/>
          <w:sz w:val="24"/>
          <w:szCs w:val="24"/>
        </w:rPr>
        <w:lastRenderedPageBreak/>
        <w:t>investigat</w:t>
      </w:r>
      <w:r w:rsidR="008F3FDA" w:rsidRPr="00485497">
        <w:rPr>
          <w:rFonts w:ascii="Arial" w:hAnsi="Arial" w:cs="Arial"/>
          <w:sz w:val="24"/>
          <w:szCs w:val="24"/>
        </w:rPr>
        <w:t>ing</w:t>
      </w:r>
      <w:r w:rsidRPr="00485497">
        <w:rPr>
          <w:rFonts w:ascii="Arial" w:hAnsi="Arial" w:cs="Arial"/>
          <w:sz w:val="24"/>
          <w:szCs w:val="24"/>
        </w:rPr>
        <w:t xml:space="preserve"> Toyota’s competitive position and strategic responses to different international environments.</w:t>
      </w:r>
    </w:p>
    <w:p w14:paraId="2CE4E51E" w14:textId="3920A494" w:rsidR="004E43CD" w:rsidRPr="00485497" w:rsidRDefault="00494462" w:rsidP="00485497">
      <w:pPr>
        <w:spacing w:line="360" w:lineRule="auto"/>
        <w:jc w:val="both"/>
        <w:rPr>
          <w:rFonts w:ascii="Arial" w:hAnsi="Arial" w:cs="Arial"/>
          <w:sz w:val="24"/>
          <w:szCs w:val="24"/>
        </w:rPr>
      </w:pPr>
      <w:r w:rsidRPr="00485497">
        <w:rPr>
          <w:rFonts w:ascii="Arial" w:hAnsi="Arial" w:cs="Arial"/>
          <w:sz w:val="24"/>
          <w:szCs w:val="24"/>
        </w:rPr>
        <w:t>From</w:t>
      </w:r>
      <w:r w:rsidR="001B6C3A" w:rsidRPr="00485497">
        <w:rPr>
          <w:rFonts w:ascii="Arial" w:hAnsi="Arial" w:cs="Arial"/>
          <w:sz w:val="24"/>
          <w:szCs w:val="24"/>
        </w:rPr>
        <w:t xml:space="preserve"> the</w:t>
      </w:r>
      <w:r w:rsidR="004E43CD" w:rsidRPr="00485497">
        <w:rPr>
          <w:rFonts w:ascii="Arial" w:hAnsi="Arial" w:cs="Arial"/>
          <w:sz w:val="24"/>
          <w:szCs w:val="24"/>
        </w:rPr>
        <w:t xml:space="preserve"> secondary data</w:t>
      </w:r>
      <w:r w:rsidR="00B935E0" w:rsidRPr="00485497">
        <w:rPr>
          <w:rFonts w:ascii="Arial" w:hAnsi="Arial" w:cs="Arial"/>
          <w:sz w:val="24"/>
          <w:szCs w:val="24"/>
        </w:rPr>
        <w:t xml:space="preserve"> of the</w:t>
      </w:r>
      <w:r w:rsidR="004E43CD" w:rsidRPr="00485497">
        <w:rPr>
          <w:rFonts w:ascii="Arial" w:hAnsi="Arial" w:cs="Arial"/>
          <w:sz w:val="24"/>
          <w:szCs w:val="24"/>
        </w:rPr>
        <w:t xml:space="preserve"> academic journals, textbooks, company reports, and industry publications. Key frameworks used included PESTEL analysis, Hofstede’s cultural dimensions, Segmentation, Targeting and Positioning (STP), and the 7Ps marketing mix. These frameworks enabled a structured comparison of Japan and the United States and provided insights into how Toyota adapts its strategies across different markets.</w:t>
      </w:r>
    </w:p>
    <w:p w14:paraId="64368829" w14:textId="77777777" w:rsidR="004E43CD" w:rsidRPr="00485497" w:rsidRDefault="004E43CD" w:rsidP="00485497">
      <w:pPr>
        <w:spacing w:line="360" w:lineRule="auto"/>
        <w:jc w:val="both"/>
        <w:rPr>
          <w:rFonts w:ascii="Arial" w:hAnsi="Arial" w:cs="Arial"/>
          <w:sz w:val="24"/>
          <w:szCs w:val="24"/>
        </w:rPr>
      </w:pPr>
      <w:r w:rsidRPr="00485497">
        <w:rPr>
          <w:rFonts w:ascii="Arial" w:hAnsi="Arial" w:cs="Arial"/>
          <w:sz w:val="24"/>
          <w:szCs w:val="24"/>
        </w:rPr>
        <w:t>The module content was highly relevant throughout the process. Concepts such as international market entry, global competitiveness, consumer behaviour, and global supply-chain management helped guide the analysis. The assignment also highlighted the importance of balancing global integration with local responsiveness, a key challenge faced by multinational corporations operating across diverse markets (Bartlett and Ghoshal, 1989).</w:t>
      </w:r>
    </w:p>
    <w:p w14:paraId="618A3FD9" w14:textId="77777777" w:rsidR="007B765B" w:rsidRPr="00485497" w:rsidRDefault="007B765B" w:rsidP="00485497">
      <w:pPr>
        <w:spacing w:line="360" w:lineRule="auto"/>
        <w:jc w:val="both"/>
        <w:rPr>
          <w:rFonts w:ascii="Arial" w:hAnsi="Arial" w:cs="Arial"/>
          <w:sz w:val="24"/>
          <w:szCs w:val="24"/>
        </w:rPr>
      </w:pPr>
    </w:p>
    <w:p w14:paraId="0FC047AB"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FEELINGS</w:t>
      </w:r>
    </w:p>
    <w:p w14:paraId="5E8A2ACF" w14:textId="77777777" w:rsidR="007B765B" w:rsidRPr="00485497" w:rsidRDefault="007B765B" w:rsidP="00485497">
      <w:pPr>
        <w:spacing w:line="360" w:lineRule="auto"/>
        <w:rPr>
          <w:rFonts w:ascii="Arial" w:hAnsi="Arial" w:cs="Arial"/>
          <w:sz w:val="24"/>
          <w:szCs w:val="24"/>
        </w:rPr>
      </w:pPr>
    </w:p>
    <w:p w14:paraId="0E606B2B" w14:textId="77777777" w:rsidR="004E01D3" w:rsidRPr="00485497" w:rsidRDefault="004E01D3" w:rsidP="00485497">
      <w:pPr>
        <w:spacing w:line="360" w:lineRule="auto"/>
        <w:jc w:val="both"/>
        <w:rPr>
          <w:rFonts w:ascii="Arial" w:hAnsi="Arial" w:cs="Arial"/>
          <w:sz w:val="24"/>
          <w:szCs w:val="24"/>
        </w:rPr>
      </w:pPr>
      <w:r w:rsidRPr="00485497">
        <w:rPr>
          <w:rFonts w:ascii="Arial" w:hAnsi="Arial" w:cs="Arial"/>
          <w:sz w:val="24"/>
          <w:szCs w:val="24"/>
        </w:rPr>
        <w:t>At the beginning of the assignment, I felt enthusiastic because Toyota is one of the most successful multinational corporations in the world. However, I was also concerned about the complexity of comparing two different national markets while integrating several international business theories into one coherent analysis.</w:t>
      </w:r>
    </w:p>
    <w:p w14:paraId="23FC13AF" w14:textId="77777777" w:rsidR="004E01D3" w:rsidRPr="00485497" w:rsidRDefault="004E01D3" w:rsidP="00485497">
      <w:pPr>
        <w:spacing w:line="360" w:lineRule="auto"/>
        <w:jc w:val="both"/>
        <w:rPr>
          <w:rFonts w:ascii="Arial" w:hAnsi="Arial" w:cs="Arial"/>
          <w:sz w:val="24"/>
          <w:szCs w:val="24"/>
        </w:rPr>
      </w:pPr>
      <w:r w:rsidRPr="00485497">
        <w:rPr>
          <w:rFonts w:ascii="Arial" w:hAnsi="Arial" w:cs="Arial"/>
          <w:sz w:val="24"/>
          <w:szCs w:val="24"/>
        </w:rPr>
        <w:t>Initially, I found it challenging to connect different concepts such as market entry strategies, consumer behaviour, and operational management. As the research progressed, my confidence increased because I gained a clearer understanding of how these concepts interact in practice. The module lectures and discussions helped me appreciate the relevance of theoretical frameworks when analysing real business situations.</w:t>
      </w:r>
    </w:p>
    <w:p w14:paraId="188BE9DB" w14:textId="77777777" w:rsidR="004E01D3" w:rsidRPr="00485497" w:rsidRDefault="004E01D3" w:rsidP="00485497">
      <w:pPr>
        <w:spacing w:line="360" w:lineRule="auto"/>
        <w:jc w:val="both"/>
        <w:rPr>
          <w:rFonts w:ascii="Arial" w:hAnsi="Arial" w:cs="Arial"/>
          <w:sz w:val="24"/>
          <w:szCs w:val="24"/>
        </w:rPr>
      </w:pPr>
      <w:r w:rsidRPr="00485497">
        <w:rPr>
          <w:rFonts w:ascii="Arial" w:hAnsi="Arial" w:cs="Arial"/>
          <w:sz w:val="24"/>
          <w:szCs w:val="24"/>
        </w:rPr>
        <w:t xml:space="preserve">I also felt challenged by the large volume of information available about Toyota. Selecting reliable and relevant sources required careful judgement. Despite these difficulties, I became more confident in evaluating evidence and applying academic </w:t>
      </w:r>
      <w:r w:rsidRPr="00485497">
        <w:rPr>
          <w:rFonts w:ascii="Arial" w:hAnsi="Arial" w:cs="Arial"/>
          <w:sz w:val="24"/>
          <w:szCs w:val="24"/>
        </w:rPr>
        <w:lastRenderedPageBreak/>
        <w:t>theories. Completing each stage of the assignment provided a sense of achievement and reinforced my interest in international business.</w:t>
      </w:r>
    </w:p>
    <w:p w14:paraId="10D9F42F" w14:textId="77777777" w:rsidR="007B765B" w:rsidRPr="00485497" w:rsidRDefault="007B765B" w:rsidP="00485497">
      <w:pPr>
        <w:spacing w:line="360" w:lineRule="auto"/>
        <w:jc w:val="both"/>
        <w:rPr>
          <w:rFonts w:ascii="Arial" w:hAnsi="Arial" w:cs="Arial"/>
          <w:sz w:val="24"/>
          <w:szCs w:val="24"/>
        </w:rPr>
      </w:pPr>
    </w:p>
    <w:p w14:paraId="14796DA4" w14:textId="7777777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EVALUATION</w:t>
      </w:r>
    </w:p>
    <w:p w14:paraId="116FF9C2" w14:textId="77777777" w:rsidR="007B765B" w:rsidRPr="00485497" w:rsidRDefault="007B765B" w:rsidP="00485497">
      <w:pPr>
        <w:spacing w:line="360" w:lineRule="auto"/>
        <w:jc w:val="both"/>
        <w:rPr>
          <w:rFonts w:ascii="Arial" w:hAnsi="Arial" w:cs="Arial"/>
          <w:sz w:val="24"/>
          <w:szCs w:val="24"/>
        </w:rPr>
      </w:pPr>
    </w:p>
    <w:p w14:paraId="69036931" w14:textId="6E8507A3" w:rsidR="003C1431" w:rsidRPr="00485497" w:rsidRDefault="00694DCE" w:rsidP="00485497">
      <w:pPr>
        <w:spacing w:line="360" w:lineRule="auto"/>
        <w:jc w:val="both"/>
        <w:rPr>
          <w:rFonts w:ascii="Arial" w:hAnsi="Arial" w:cs="Arial"/>
          <w:sz w:val="24"/>
          <w:szCs w:val="24"/>
        </w:rPr>
      </w:pPr>
      <w:r w:rsidRPr="00485497">
        <w:rPr>
          <w:rFonts w:ascii="Arial" w:hAnsi="Arial" w:cs="Arial"/>
          <w:sz w:val="24"/>
          <w:szCs w:val="24"/>
        </w:rPr>
        <w:t>One of the most valuable aspects of this assignment was the opportunity to apply international business theories to a real multinational corporation. The use of PESTEL analysis enabled me to identify key environmental differences between Japan and the United States, while Hofstede’s cultural dimensions framework enhanced my understanding of how culture influences consumer behaviour and business practices. Furthermore, concepts discussed by Murshed (2026), including market segmentation, consumer behaviour, and global operations, helped me appreciate how Toyota adapts its strategies across different markets while maintaining a strong global brand. However, developing a more critical analysis and balancing comparisons between both markets were challenging. Overall, the assignment strengthened my understanding of international business and improved my ability to apply theory in practice.</w:t>
      </w:r>
    </w:p>
    <w:p w14:paraId="2B9F70C0" w14:textId="77777777" w:rsidR="00AB0746" w:rsidRPr="00485497" w:rsidRDefault="00AB0746" w:rsidP="00485497">
      <w:pPr>
        <w:spacing w:line="360" w:lineRule="auto"/>
        <w:jc w:val="both"/>
        <w:rPr>
          <w:rFonts w:ascii="Arial" w:hAnsi="Arial" w:cs="Arial"/>
          <w:sz w:val="24"/>
          <w:szCs w:val="24"/>
        </w:rPr>
      </w:pPr>
    </w:p>
    <w:p w14:paraId="5331016C" w14:textId="57B22A08"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ANALYSIS</w:t>
      </w:r>
    </w:p>
    <w:p w14:paraId="08665A18" w14:textId="77777777" w:rsidR="003058D6" w:rsidRPr="00485497" w:rsidRDefault="003058D6" w:rsidP="00485497">
      <w:pPr>
        <w:spacing w:line="360" w:lineRule="auto"/>
        <w:jc w:val="both"/>
        <w:rPr>
          <w:rFonts w:ascii="Arial" w:hAnsi="Arial" w:cs="Arial"/>
          <w:sz w:val="24"/>
          <w:szCs w:val="24"/>
        </w:rPr>
      </w:pPr>
    </w:p>
    <w:p w14:paraId="25570827" w14:textId="77777777" w:rsidR="0063752A" w:rsidRPr="00485497" w:rsidRDefault="0063752A" w:rsidP="00485497">
      <w:pPr>
        <w:spacing w:line="360" w:lineRule="auto"/>
        <w:jc w:val="both"/>
        <w:rPr>
          <w:rFonts w:ascii="Arial" w:hAnsi="Arial" w:cs="Arial"/>
          <w:sz w:val="24"/>
          <w:szCs w:val="24"/>
        </w:rPr>
      </w:pPr>
      <w:r w:rsidRPr="00485497">
        <w:rPr>
          <w:rFonts w:ascii="Arial" w:hAnsi="Arial" w:cs="Arial"/>
          <w:sz w:val="24"/>
          <w:szCs w:val="24"/>
        </w:rPr>
        <w:t>The assignment significantly enhanced my understanding of international business concepts and their practical application within a multinational context. One of the most important lessons learned was the need to balance global standardisation with local adaptation. Bartlett and Ghoshal (1989) argue that multinational corporations must achieve global efficiency while remaining responsive to local market needs. Toyota’s operations in Japan and the United States provided a clear example of this approach, as the company maintains a strong global brand while adapting its products and marketing strategies to suit different consumer preferences and market conditions.</w:t>
      </w:r>
    </w:p>
    <w:p w14:paraId="16E0760B" w14:textId="77777777" w:rsidR="0063752A" w:rsidRPr="00485497" w:rsidRDefault="0063752A" w:rsidP="00485497">
      <w:pPr>
        <w:spacing w:line="360" w:lineRule="auto"/>
        <w:jc w:val="both"/>
        <w:rPr>
          <w:rFonts w:ascii="Arial" w:hAnsi="Arial" w:cs="Arial"/>
          <w:sz w:val="24"/>
          <w:szCs w:val="24"/>
        </w:rPr>
      </w:pPr>
      <w:r w:rsidRPr="00485497">
        <w:rPr>
          <w:rFonts w:ascii="Arial" w:hAnsi="Arial" w:cs="Arial"/>
          <w:sz w:val="24"/>
          <w:szCs w:val="24"/>
        </w:rPr>
        <w:lastRenderedPageBreak/>
        <w:t>Another key learning outcome was recognising the impact of external environmental factors on strategic decision-making. Through the application of the PESTEL framework, I developed a greater appreciation of how political, economic, social, technological, environmental, and legal factors influence business performance and market opportunities (Johnson et al., 2020). The analysis highlighted how government policies and sustainability initiatives are accelerating the transition towards electric vehicles worldwide.</w:t>
      </w:r>
    </w:p>
    <w:p w14:paraId="3C1D4E7A" w14:textId="77777777" w:rsidR="0063752A" w:rsidRPr="00485497" w:rsidRDefault="0063752A" w:rsidP="00485497">
      <w:pPr>
        <w:spacing w:line="360" w:lineRule="auto"/>
        <w:jc w:val="both"/>
        <w:rPr>
          <w:rFonts w:ascii="Arial" w:hAnsi="Arial" w:cs="Arial"/>
          <w:sz w:val="24"/>
          <w:szCs w:val="24"/>
        </w:rPr>
      </w:pPr>
      <w:r w:rsidRPr="00485497">
        <w:rPr>
          <w:rFonts w:ascii="Arial" w:hAnsi="Arial" w:cs="Arial"/>
          <w:sz w:val="24"/>
          <w:szCs w:val="24"/>
        </w:rPr>
        <w:t>The assignment also deepened my understanding of consumer buying behaviour. According to Murshed (2026), purchasing decisions are influenced by cultural, social, personal, and psychological factors. This helped me understand why Toyota adopts different marketing approaches in Japan and the United States and reinforced the importance of segmentation, targeting, and positioning in international marketing.</w:t>
      </w:r>
    </w:p>
    <w:p w14:paraId="4B5866ED" w14:textId="77777777" w:rsidR="0063752A" w:rsidRPr="00485497" w:rsidRDefault="0063752A" w:rsidP="00485497">
      <w:pPr>
        <w:spacing w:line="360" w:lineRule="auto"/>
        <w:jc w:val="both"/>
        <w:rPr>
          <w:rFonts w:ascii="Arial" w:hAnsi="Arial" w:cs="Arial"/>
          <w:sz w:val="24"/>
          <w:szCs w:val="24"/>
        </w:rPr>
      </w:pPr>
      <w:r w:rsidRPr="00485497">
        <w:rPr>
          <w:rFonts w:ascii="Arial" w:hAnsi="Arial" w:cs="Arial"/>
          <w:sz w:val="24"/>
          <w:szCs w:val="24"/>
        </w:rPr>
        <w:t>Furthermore, Dunning’s (2000) Eclectic Paradigm improved my understanding of foreign direct investment and international market entry decisions, while analysing Toyota’s manufacturing network enhanced my appreciation of global supply-chain management and operational efficiency. Finally, the reflective process demonstrated the value of continuous learning and improvement. Reviewing feedback and refining my analysis enabled me to strengthen the quality of the assessment and further develop my academic and professional skills (Cappelli and Tavis, 2016).</w:t>
      </w:r>
    </w:p>
    <w:p w14:paraId="155D7930" w14:textId="77777777" w:rsidR="006E1A15" w:rsidRPr="00485497" w:rsidRDefault="006E1A15" w:rsidP="00485497">
      <w:pPr>
        <w:spacing w:line="360" w:lineRule="auto"/>
        <w:jc w:val="both"/>
        <w:rPr>
          <w:rFonts w:ascii="Arial" w:hAnsi="Arial" w:cs="Arial"/>
          <w:sz w:val="24"/>
          <w:szCs w:val="24"/>
        </w:rPr>
      </w:pPr>
    </w:p>
    <w:p w14:paraId="03C0B81F" w14:textId="5362EE51"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CONCLUSION</w:t>
      </w:r>
    </w:p>
    <w:p w14:paraId="13644186" w14:textId="77777777" w:rsidR="007B765B" w:rsidRPr="00485497" w:rsidRDefault="007B765B" w:rsidP="00485497">
      <w:pPr>
        <w:spacing w:line="360" w:lineRule="auto"/>
        <w:jc w:val="both"/>
        <w:rPr>
          <w:rFonts w:ascii="Arial" w:hAnsi="Arial" w:cs="Arial"/>
          <w:sz w:val="24"/>
          <w:szCs w:val="24"/>
        </w:rPr>
      </w:pPr>
    </w:p>
    <w:p w14:paraId="2F47AE8F" w14:textId="77777777"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Overall, this assignment was a valuable learning experience that strengthened my understanding of international business, strategic management, and global marketing. The process improved my ability to conduct independent research, evaluate information critically, and apply theoretical frameworks to practical business situations.</w:t>
      </w:r>
    </w:p>
    <w:p w14:paraId="6C00789E" w14:textId="23A11590"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 xml:space="preserve">The concepts studied in LCMB7034 – MBA International Business Concept were essential in supporting the completion of the assessment. </w:t>
      </w:r>
      <w:r w:rsidR="0063752A" w:rsidRPr="00485497">
        <w:rPr>
          <w:rFonts w:ascii="Arial" w:hAnsi="Arial" w:cs="Arial"/>
          <w:sz w:val="24"/>
          <w:szCs w:val="24"/>
        </w:rPr>
        <w:t>Theories</w:t>
      </w:r>
      <w:r w:rsidRPr="00485497">
        <w:rPr>
          <w:rFonts w:ascii="Arial" w:hAnsi="Arial" w:cs="Arial"/>
          <w:sz w:val="24"/>
          <w:szCs w:val="24"/>
        </w:rPr>
        <w:t xml:space="preserve"> relating to market entry strategies, consumer behaviour, international marketing, and global operations provided a strong foundation for analysing Toyota’s activities in Japan and the United </w:t>
      </w:r>
      <w:r w:rsidRPr="00485497">
        <w:rPr>
          <w:rFonts w:ascii="Arial" w:hAnsi="Arial" w:cs="Arial"/>
          <w:sz w:val="24"/>
          <w:szCs w:val="24"/>
        </w:rPr>
        <w:lastRenderedPageBreak/>
        <w:t>States. The experience increased my confidence in applying academic knowledge to real-world business challenges and enhanced my appreciation of the complexities associated with international business management.</w:t>
      </w:r>
    </w:p>
    <w:p w14:paraId="4529673E" w14:textId="77777777" w:rsidR="003C1431" w:rsidRPr="00485497" w:rsidRDefault="003C1431" w:rsidP="00485497">
      <w:pPr>
        <w:spacing w:line="360" w:lineRule="auto"/>
        <w:jc w:val="both"/>
        <w:rPr>
          <w:rFonts w:ascii="Arial" w:hAnsi="Arial" w:cs="Arial"/>
          <w:sz w:val="24"/>
          <w:szCs w:val="24"/>
        </w:rPr>
      </w:pPr>
    </w:p>
    <w:p w14:paraId="3F9896A7" w14:textId="42E77968"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t>STAGE OF ACTION PLAN</w:t>
      </w:r>
    </w:p>
    <w:p w14:paraId="73DF6AE2" w14:textId="77777777" w:rsidR="003C1431" w:rsidRPr="00485497" w:rsidRDefault="003C1431" w:rsidP="00485497">
      <w:pPr>
        <w:spacing w:line="360" w:lineRule="auto"/>
        <w:jc w:val="both"/>
        <w:rPr>
          <w:rFonts w:ascii="Arial" w:hAnsi="Arial" w:cs="Arial"/>
          <w:sz w:val="24"/>
          <w:szCs w:val="24"/>
        </w:rPr>
      </w:pPr>
    </w:p>
    <w:p w14:paraId="681C3139" w14:textId="606A94E8"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This reflection has identified several areas for future development. First, I intend to improve my critical analysis skills by engaging more extensively with academic literature and exploring alternative viewpoints. This will enable me to develop more balanced and insightful evaluations in future assignments.</w:t>
      </w:r>
    </w:p>
    <w:p w14:paraId="1C99446E" w14:textId="77777777"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Second, I plan to strengthen my research skills by becoming more efficient in identifying and synthesising high-quality sources. Better research practices will improve the quality and depth of future analyses.</w:t>
      </w:r>
    </w:p>
    <w:p w14:paraId="3EE2F8F1" w14:textId="77777777"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Third, I aim to continue developing my understanding of international business strategy, particularly in areas such as global supply-chain management, international market expansion, and cross-cultural management. These areas are increasingly important in today’s global business environment.</w:t>
      </w:r>
    </w:p>
    <w:p w14:paraId="24750C3F" w14:textId="77777777" w:rsidR="00374800" w:rsidRPr="00485497" w:rsidRDefault="00374800" w:rsidP="00485497">
      <w:pPr>
        <w:spacing w:line="360" w:lineRule="auto"/>
        <w:jc w:val="both"/>
        <w:rPr>
          <w:rFonts w:ascii="Arial" w:hAnsi="Arial" w:cs="Arial"/>
          <w:sz w:val="24"/>
          <w:szCs w:val="24"/>
        </w:rPr>
      </w:pPr>
      <w:r w:rsidRPr="00485497">
        <w:rPr>
          <w:rFonts w:ascii="Arial" w:hAnsi="Arial" w:cs="Arial"/>
          <w:sz w:val="24"/>
          <w:szCs w:val="24"/>
        </w:rPr>
        <w:t>Finally, I will apply the knowledge gained from this module to future academic and professional activities. Understanding how multinational corporations manage international operations and adapt to different market conditions will help me evaluate business opportunities more effectively and contribute to strategic decision-making in a global context.</w:t>
      </w:r>
    </w:p>
    <w:p w14:paraId="3963866F" w14:textId="77777777" w:rsidR="00374800" w:rsidRPr="00485497" w:rsidRDefault="00374800" w:rsidP="00485497">
      <w:pPr>
        <w:spacing w:line="360" w:lineRule="auto"/>
        <w:jc w:val="both"/>
        <w:rPr>
          <w:rFonts w:ascii="Arial" w:hAnsi="Arial" w:cs="Arial"/>
          <w:sz w:val="24"/>
          <w:szCs w:val="24"/>
        </w:rPr>
      </w:pPr>
    </w:p>
    <w:p w14:paraId="69161E53" w14:textId="77777777" w:rsidR="007B765B" w:rsidRPr="00485497" w:rsidRDefault="007B765B" w:rsidP="00485497">
      <w:pPr>
        <w:spacing w:line="360" w:lineRule="auto"/>
        <w:jc w:val="both"/>
        <w:rPr>
          <w:rFonts w:ascii="Arial" w:hAnsi="Arial" w:cs="Arial"/>
          <w:sz w:val="24"/>
          <w:szCs w:val="24"/>
        </w:rPr>
      </w:pPr>
    </w:p>
    <w:p w14:paraId="109644AD" w14:textId="77777777" w:rsidR="007B765B" w:rsidRPr="00485497" w:rsidRDefault="007B765B" w:rsidP="00485497">
      <w:pPr>
        <w:spacing w:line="360" w:lineRule="auto"/>
        <w:jc w:val="both"/>
        <w:rPr>
          <w:rFonts w:ascii="Arial" w:hAnsi="Arial" w:cs="Arial"/>
          <w:sz w:val="24"/>
          <w:szCs w:val="24"/>
        </w:rPr>
      </w:pPr>
    </w:p>
    <w:p w14:paraId="6FD55140" w14:textId="77777777" w:rsidR="007B765B" w:rsidRPr="00485497" w:rsidRDefault="007B765B" w:rsidP="00485497">
      <w:pPr>
        <w:spacing w:line="360" w:lineRule="auto"/>
        <w:jc w:val="both"/>
        <w:rPr>
          <w:rFonts w:ascii="Arial" w:hAnsi="Arial" w:cs="Arial"/>
          <w:sz w:val="24"/>
          <w:szCs w:val="24"/>
        </w:rPr>
      </w:pPr>
    </w:p>
    <w:p w14:paraId="4E242A5D" w14:textId="77777777" w:rsidR="003C1431" w:rsidRPr="00485497" w:rsidRDefault="003C1431" w:rsidP="00485497">
      <w:pPr>
        <w:spacing w:line="360" w:lineRule="auto"/>
        <w:jc w:val="both"/>
        <w:rPr>
          <w:rFonts w:ascii="Arial" w:hAnsi="Arial" w:cs="Arial"/>
          <w:sz w:val="24"/>
          <w:szCs w:val="24"/>
        </w:rPr>
      </w:pPr>
    </w:p>
    <w:p w14:paraId="5430675C" w14:textId="77777777" w:rsidR="003C1431" w:rsidRPr="00485497" w:rsidRDefault="003C1431" w:rsidP="00485497">
      <w:pPr>
        <w:spacing w:line="360" w:lineRule="auto"/>
        <w:jc w:val="both"/>
        <w:rPr>
          <w:rFonts w:ascii="Arial" w:hAnsi="Arial" w:cs="Arial"/>
          <w:sz w:val="24"/>
          <w:szCs w:val="24"/>
        </w:rPr>
      </w:pPr>
    </w:p>
    <w:p w14:paraId="330AE1B6" w14:textId="5C7A2027" w:rsidR="007B765B" w:rsidRPr="00485497" w:rsidRDefault="007B765B" w:rsidP="00485497">
      <w:pPr>
        <w:spacing w:line="360" w:lineRule="auto"/>
        <w:jc w:val="both"/>
        <w:rPr>
          <w:rFonts w:ascii="Arial" w:hAnsi="Arial" w:cs="Arial"/>
          <w:sz w:val="24"/>
          <w:szCs w:val="24"/>
        </w:rPr>
      </w:pPr>
      <w:r w:rsidRPr="00485497">
        <w:rPr>
          <w:rFonts w:ascii="Arial" w:hAnsi="Arial" w:cs="Arial"/>
          <w:sz w:val="24"/>
          <w:szCs w:val="24"/>
        </w:rPr>
        <w:lastRenderedPageBreak/>
        <w:t>REFFERENCES</w:t>
      </w:r>
    </w:p>
    <w:p w14:paraId="664EA876" w14:textId="77777777" w:rsidR="007B765B" w:rsidRPr="00485497" w:rsidRDefault="007B765B" w:rsidP="00485497">
      <w:pPr>
        <w:spacing w:line="360" w:lineRule="auto"/>
        <w:jc w:val="both"/>
        <w:rPr>
          <w:rFonts w:ascii="Arial" w:hAnsi="Arial" w:cs="Arial"/>
          <w:sz w:val="24"/>
          <w:szCs w:val="24"/>
        </w:rPr>
      </w:pPr>
    </w:p>
    <w:p w14:paraId="2C30F311"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Bartlett, C.A. and Ghoshal, S. (1989) </w:t>
      </w:r>
      <w:r w:rsidRPr="00485497">
        <w:rPr>
          <w:rFonts w:ascii="Arial" w:hAnsi="Arial" w:cs="Arial"/>
          <w:i/>
          <w:iCs/>
          <w:sz w:val="24"/>
          <w:szCs w:val="24"/>
        </w:rPr>
        <w:t>Managing Across Borders: The Transnational Solution</w:t>
      </w:r>
      <w:r w:rsidRPr="00485497">
        <w:rPr>
          <w:rFonts w:ascii="Arial" w:hAnsi="Arial" w:cs="Arial"/>
          <w:sz w:val="24"/>
          <w:szCs w:val="24"/>
        </w:rPr>
        <w:t>. Boston: Harvard Business School Press.</w:t>
      </w:r>
    </w:p>
    <w:p w14:paraId="6CE99CFA"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Cappelli, P. and Tavis, A. (2016) ‘The Performance Management Revolution’, </w:t>
      </w:r>
      <w:r w:rsidRPr="00485497">
        <w:rPr>
          <w:rFonts w:ascii="Arial" w:hAnsi="Arial" w:cs="Arial"/>
          <w:i/>
          <w:iCs/>
          <w:sz w:val="24"/>
          <w:szCs w:val="24"/>
        </w:rPr>
        <w:t>Harvard Business Review</w:t>
      </w:r>
      <w:r w:rsidRPr="00485497">
        <w:rPr>
          <w:rFonts w:ascii="Arial" w:hAnsi="Arial" w:cs="Arial"/>
          <w:sz w:val="24"/>
          <w:szCs w:val="24"/>
        </w:rPr>
        <w:t>, 94(10), pp. 58–67.</w:t>
      </w:r>
    </w:p>
    <w:p w14:paraId="59381FCD"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Dunning, J.H. (2000) ‘The Eclectic Paradigm as an Envelope for Economic and Business Theories of MNE Activity’, </w:t>
      </w:r>
      <w:r w:rsidRPr="00485497">
        <w:rPr>
          <w:rFonts w:ascii="Arial" w:hAnsi="Arial" w:cs="Arial"/>
          <w:i/>
          <w:iCs/>
          <w:sz w:val="24"/>
          <w:szCs w:val="24"/>
        </w:rPr>
        <w:t>International Business Review</w:t>
      </w:r>
      <w:r w:rsidRPr="00485497">
        <w:rPr>
          <w:rFonts w:ascii="Arial" w:hAnsi="Arial" w:cs="Arial"/>
          <w:sz w:val="24"/>
          <w:szCs w:val="24"/>
        </w:rPr>
        <w:t>, 9(2), pp. 163–190.</w:t>
      </w:r>
    </w:p>
    <w:p w14:paraId="5928D469"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Gibbs, G. (1988) </w:t>
      </w:r>
      <w:r w:rsidRPr="00485497">
        <w:rPr>
          <w:rFonts w:ascii="Arial" w:hAnsi="Arial" w:cs="Arial"/>
          <w:i/>
          <w:iCs/>
          <w:sz w:val="24"/>
          <w:szCs w:val="24"/>
        </w:rPr>
        <w:t>Learning by Doing: A Guide to Teaching and Learning Methods</w:t>
      </w:r>
      <w:r w:rsidRPr="00485497">
        <w:rPr>
          <w:rFonts w:ascii="Arial" w:hAnsi="Arial" w:cs="Arial"/>
          <w:sz w:val="24"/>
          <w:szCs w:val="24"/>
        </w:rPr>
        <w:t>. Oxford: Oxford Polytechnic.</w:t>
      </w:r>
    </w:p>
    <w:p w14:paraId="0E69B14A"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Johnson, G., Whittington, R., Scholes, K., Angwin, D. and Regnér, P. (2020) </w:t>
      </w:r>
      <w:r w:rsidRPr="00485497">
        <w:rPr>
          <w:rFonts w:ascii="Arial" w:hAnsi="Arial" w:cs="Arial"/>
          <w:i/>
          <w:iCs/>
          <w:sz w:val="24"/>
          <w:szCs w:val="24"/>
        </w:rPr>
        <w:t>Exploring Strategy</w:t>
      </w:r>
      <w:r w:rsidRPr="00485497">
        <w:rPr>
          <w:rFonts w:ascii="Arial" w:hAnsi="Arial" w:cs="Arial"/>
          <w:sz w:val="24"/>
          <w:szCs w:val="24"/>
        </w:rPr>
        <w:t>. 12th edn. Harlow: Pearson.</w:t>
      </w:r>
    </w:p>
    <w:p w14:paraId="07C32201" w14:textId="77777777" w:rsidR="001536D6" w:rsidRPr="00485497" w:rsidRDefault="001536D6" w:rsidP="00485497">
      <w:pPr>
        <w:spacing w:line="360" w:lineRule="auto"/>
        <w:rPr>
          <w:rFonts w:ascii="Arial" w:hAnsi="Arial" w:cs="Arial"/>
          <w:sz w:val="24"/>
          <w:szCs w:val="24"/>
        </w:rPr>
      </w:pPr>
      <w:r w:rsidRPr="00485497">
        <w:rPr>
          <w:rFonts w:ascii="Arial" w:hAnsi="Arial" w:cs="Arial"/>
          <w:sz w:val="24"/>
          <w:szCs w:val="24"/>
        </w:rPr>
        <w:t xml:space="preserve">Murshed, M. (2026) </w:t>
      </w:r>
      <w:r w:rsidRPr="00485497">
        <w:rPr>
          <w:rFonts w:ascii="Arial" w:hAnsi="Arial" w:cs="Arial"/>
          <w:i/>
          <w:iCs/>
          <w:sz w:val="24"/>
          <w:szCs w:val="24"/>
        </w:rPr>
        <w:t>LCMB7034 – MBA International Business Concept</w:t>
      </w:r>
      <w:r w:rsidRPr="00485497">
        <w:rPr>
          <w:rFonts w:ascii="Arial" w:hAnsi="Arial" w:cs="Arial"/>
          <w:sz w:val="24"/>
          <w:szCs w:val="24"/>
        </w:rPr>
        <w:t>. University of Wales Trinity Saint David. Unpublished lecture materials.</w:t>
      </w:r>
    </w:p>
    <w:p w14:paraId="51D47524" w14:textId="77777777" w:rsidR="007B765B" w:rsidRPr="00485497" w:rsidRDefault="007B765B" w:rsidP="00485497">
      <w:pPr>
        <w:spacing w:line="360" w:lineRule="auto"/>
        <w:rPr>
          <w:rFonts w:ascii="Arial" w:hAnsi="Arial" w:cs="Arial"/>
          <w:sz w:val="24"/>
          <w:szCs w:val="24"/>
        </w:rPr>
      </w:pPr>
    </w:p>
    <w:p w14:paraId="5E9ECC34" w14:textId="77777777" w:rsidR="007B765B" w:rsidRPr="00485497" w:rsidRDefault="007B765B" w:rsidP="00485497">
      <w:pPr>
        <w:spacing w:line="360" w:lineRule="auto"/>
        <w:rPr>
          <w:rFonts w:ascii="Arial" w:hAnsi="Arial" w:cs="Arial"/>
          <w:sz w:val="24"/>
          <w:szCs w:val="24"/>
        </w:rPr>
      </w:pPr>
      <w:r w:rsidRPr="00485497">
        <w:rPr>
          <w:rFonts w:ascii="Arial" w:hAnsi="Arial" w:cs="Arial"/>
          <w:sz w:val="24"/>
          <w:szCs w:val="24"/>
        </w:rPr>
        <w:t xml:space="preserve">Kotler, P., Keller, K.L. and Chernev, A. (2022) </w:t>
      </w:r>
      <w:r w:rsidRPr="00485497">
        <w:rPr>
          <w:rFonts w:ascii="Arial" w:hAnsi="Arial" w:cs="Arial"/>
          <w:i/>
          <w:iCs/>
          <w:sz w:val="24"/>
          <w:szCs w:val="24"/>
        </w:rPr>
        <w:t>Marketing Management</w:t>
      </w:r>
      <w:r w:rsidRPr="00485497">
        <w:rPr>
          <w:rFonts w:ascii="Arial" w:hAnsi="Arial" w:cs="Arial"/>
          <w:sz w:val="24"/>
          <w:szCs w:val="24"/>
        </w:rPr>
        <w:t>. 16th edn. Harlow: Pearson.</w:t>
      </w:r>
    </w:p>
    <w:p w14:paraId="77F40DFE" w14:textId="77777777" w:rsidR="00FD6C5F" w:rsidRPr="00485497" w:rsidRDefault="00FD6C5F" w:rsidP="00485497">
      <w:pPr>
        <w:spacing w:line="360" w:lineRule="auto"/>
        <w:rPr>
          <w:rFonts w:ascii="Arial" w:hAnsi="Arial" w:cs="Arial"/>
          <w:sz w:val="24"/>
          <w:szCs w:val="24"/>
        </w:rPr>
      </w:pPr>
    </w:p>
    <w:sectPr w:rsidR="00FD6C5F" w:rsidRPr="00485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6217D"/>
    <w:multiLevelType w:val="multilevel"/>
    <w:tmpl w:val="035A0A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74966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22938"/>
    <w:rsid w:val="000055D1"/>
    <w:rsid w:val="00017B86"/>
    <w:rsid w:val="000252B1"/>
    <w:rsid w:val="0004011B"/>
    <w:rsid w:val="00042E77"/>
    <w:rsid w:val="000511D9"/>
    <w:rsid w:val="000563B8"/>
    <w:rsid w:val="00065490"/>
    <w:rsid w:val="00067190"/>
    <w:rsid w:val="00072C45"/>
    <w:rsid w:val="00074DF7"/>
    <w:rsid w:val="00077E3E"/>
    <w:rsid w:val="00085CFA"/>
    <w:rsid w:val="0008673A"/>
    <w:rsid w:val="00096657"/>
    <w:rsid w:val="000A0AAC"/>
    <w:rsid w:val="000A1413"/>
    <w:rsid w:val="000A6D35"/>
    <w:rsid w:val="000B2140"/>
    <w:rsid w:val="000B7058"/>
    <w:rsid w:val="000B7113"/>
    <w:rsid w:val="000C7B73"/>
    <w:rsid w:val="000D583C"/>
    <w:rsid w:val="000E0A5D"/>
    <w:rsid w:val="000E243D"/>
    <w:rsid w:val="000E2491"/>
    <w:rsid w:val="000E3945"/>
    <w:rsid w:val="000F4ED6"/>
    <w:rsid w:val="00106A0D"/>
    <w:rsid w:val="001139FE"/>
    <w:rsid w:val="00122938"/>
    <w:rsid w:val="00124AAD"/>
    <w:rsid w:val="00130F3F"/>
    <w:rsid w:val="0013611E"/>
    <w:rsid w:val="001367EB"/>
    <w:rsid w:val="00137957"/>
    <w:rsid w:val="00143006"/>
    <w:rsid w:val="00147276"/>
    <w:rsid w:val="00152788"/>
    <w:rsid w:val="001536D6"/>
    <w:rsid w:val="00156079"/>
    <w:rsid w:val="00156A77"/>
    <w:rsid w:val="0015789E"/>
    <w:rsid w:val="00157DA0"/>
    <w:rsid w:val="00166585"/>
    <w:rsid w:val="001665BB"/>
    <w:rsid w:val="00166CFF"/>
    <w:rsid w:val="0016786E"/>
    <w:rsid w:val="00170694"/>
    <w:rsid w:val="0017178E"/>
    <w:rsid w:val="00171DD1"/>
    <w:rsid w:val="001732D9"/>
    <w:rsid w:val="001745F5"/>
    <w:rsid w:val="00177B19"/>
    <w:rsid w:val="001819E3"/>
    <w:rsid w:val="00190AFC"/>
    <w:rsid w:val="00190C2A"/>
    <w:rsid w:val="00191C61"/>
    <w:rsid w:val="001A5F42"/>
    <w:rsid w:val="001A61B0"/>
    <w:rsid w:val="001A6527"/>
    <w:rsid w:val="001B6C3A"/>
    <w:rsid w:val="001C1FA6"/>
    <w:rsid w:val="001C5B8C"/>
    <w:rsid w:val="001D15C2"/>
    <w:rsid w:val="001D51CF"/>
    <w:rsid w:val="001D6477"/>
    <w:rsid w:val="001E5DE2"/>
    <w:rsid w:val="001F20B5"/>
    <w:rsid w:val="001F219E"/>
    <w:rsid w:val="001F57F9"/>
    <w:rsid w:val="001F7C9E"/>
    <w:rsid w:val="00201863"/>
    <w:rsid w:val="00206298"/>
    <w:rsid w:val="00224D92"/>
    <w:rsid w:val="00235EFA"/>
    <w:rsid w:val="002425D8"/>
    <w:rsid w:val="00263947"/>
    <w:rsid w:val="00266F6D"/>
    <w:rsid w:val="0027250A"/>
    <w:rsid w:val="0027300D"/>
    <w:rsid w:val="00275BC4"/>
    <w:rsid w:val="00277F6D"/>
    <w:rsid w:val="00292F05"/>
    <w:rsid w:val="002939DE"/>
    <w:rsid w:val="00293B9C"/>
    <w:rsid w:val="00295985"/>
    <w:rsid w:val="002B3A71"/>
    <w:rsid w:val="002B3FE8"/>
    <w:rsid w:val="002B4907"/>
    <w:rsid w:val="002B4C3D"/>
    <w:rsid w:val="002C1976"/>
    <w:rsid w:val="002C27EB"/>
    <w:rsid w:val="002D0222"/>
    <w:rsid w:val="002E40EF"/>
    <w:rsid w:val="002E4FA9"/>
    <w:rsid w:val="002E6E7D"/>
    <w:rsid w:val="002F44A5"/>
    <w:rsid w:val="002F4753"/>
    <w:rsid w:val="002F68F8"/>
    <w:rsid w:val="00301B12"/>
    <w:rsid w:val="00304CE4"/>
    <w:rsid w:val="003058D6"/>
    <w:rsid w:val="003118EF"/>
    <w:rsid w:val="00324FF4"/>
    <w:rsid w:val="0033094D"/>
    <w:rsid w:val="0033365F"/>
    <w:rsid w:val="003346AD"/>
    <w:rsid w:val="003466FC"/>
    <w:rsid w:val="00351E85"/>
    <w:rsid w:val="00360718"/>
    <w:rsid w:val="00374800"/>
    <w:rsid w:val="00380A52"/>
    <w:rsid w:val="00386233"/>
    <w:rsid w:val="003937EB"/>
    <w:rsid w:val="003B0ED8"/>
    <w:rsid w:val="003C0433"/>
    <w:rsid w:val="003C1431"/>
    <w:rsid w:val="003C2892"/>
    <w:rsid w:val="003C3DA5"/>
    <w:rsid w:val="003C7DF9"/>
    <w:rsid w:val="003D0567"/>
    <w:rsid w:val="003D5AC1"/>
    <w:rsid w:val="003D79BB"/>
    <w:rsid w:val="003E301F"/>
    <w:rsid w:val="004041E9"/>
    <w:rsid w:val="00415D69"/>
    <w:rsid w:val="004164F9"/>
    <w:rsid w:val="0041742B"/>
    <w:rsid w:val="00417952"/>
    <w:rsid w:val="004235DF"/>
    <w:rsid w:val="00426FD1"/>
    <w:rsid w:val="0043572E"/>
    <w:rsid w:val="00463533"/>
    <w:rsid w:val="00464940"/>
    <w:rsid w:val="00472134"/>
    <w:rsid w:val="00473121"/>
    <w:rsid w:val="00477343"/>
    <w:rsid w:val="00483EA7"/>
    <w:rsid w:val="00485497"/>
    <w:rsid w:val="00492C08"/>
    <w:rsid w:val="00494462"/>
    <w:rsid w:val="004A095A"/>
    <w:rsid w:val="004A12A1"/>
    <w:rsid w:val="004B47F4"/>
    <w:rsid w:val="004B6006"/>
    <w:rsid w:val="004C272A"/>
    <w:rsid w:val="004C7310"/>
    <w:rsid w:val="004D6268"/>
    <w:rsid w:val="004E01D3"/>
    <w:rsid w:val="004E43CD"/>
    <w:rsid w:val="004F0352"/>
    <w:rsid w:val="004F321D"/>
    <w:rsid w:val="004F49EF"/>
    <w:rsid w:val="004F542B"/>
    <w:rsid w:val="004F59AF"/>
    <w:rsid w:val="005208D1"/>
    <w:rsid w:val="005261B2"/>
    <w:rsid w:val="00527F03"/>
    <w:rsid w:val="005317B4"/>
    <w:rsid w:val="00536EBD"/>
    <w:rsid w:val="00537B58"/>
    <w:rsid w:val="0054422F"/>
    <w:rsid w:val="00553DF9"/>
    <w:rsid w:val="005679EC"/>
    <w:rsid w:val="00575407"/>
    <w:rsid w:val="005803DD"/>
    <w:rsid w:val="00590ADF"/>
    <w:rsid w:val="00590D14"/>
    <w:rsid w:val="00591481"/>
    <w:rsid w:val="005A2E28"/>
    <w:rsid w:val="005A3ACE"/>
    <w:rsid w:val="005A6946"/>
    <w:rsid w:val="005B1350"/>
    <w:rsid w:val="005B3B5D"/>
    <w:rsid w:val="005B5260"/>
    <w:rsid w:val="005C6C48"/>
    <w:rsid w:val="005D332B"/>
    <w:rsid w:val="005D5391"/>
    <w:rsid w:val="005D7B4A"/>
    <w:rsid w:val="005E0CF6"/>
    <w:rsid w:val="005E4906"/>
    <w:rsid w:val="005E6657"/>
    <w:rsid w:val="005F0A04"/>
    <w:rsid w:val="005F3EBA"/>
    <w:rsid w:val="00605AA6"/>
    <w:rsid w:val="00605FAA"/>
    <w:rsid w:val="006113E2"/>
    <w:rsid w:val="00611A6C"/>
    <w:rsid w:val="006159D7"/>
    <w:rsid w:val="006177EC"/>
    <w:rsid w:val="00622082"/>
    <w:rsid w:val="00634875"/>
    <w:rsid w:val="0063752A"/>
    <w:rsid w:val="00637E2A"/>
    <w:rsid w:val="0064603D"/>
    <w:rsid w:val="00647A28"/>
    <w:rsid w:val="00657631"/>
    <w:rsid w:val="00667F8B"/>
    <w:rsid w:val="006763FB"/>
    <w:rsid w:val="00681B22"/>
    <w:rsid w:val="006859FF"/>
    <w:rsid w:val="00690848"/>
    <w:rsid w:val="00694DCE"/>
    <w:rsid w:val="006B2FF4"/>
    <w:rsid w:val="006B484B"/>
    <w:rsid w:val="006B57E2"/>
    <w:rsid w:val="006B68B9"/>
    <w:rsid w:val="006B781D"/>
    <w:rsid w:val="006C082B"/>
    <w:rsid w:val="006D1B7C"/>
    <w:rsid w:val="006E1A15"/>
    <w:rsid w:val="006E204B"/>
    <w:rsid w:val="006E539A"/>
    <w:rsid w:val="006E6C22"/>
    <w:rsid w:val="006E7B9E"/>
    <w:rsid w:val="006F24E2"/>
    <w:rsid w:val="006F41C0"/>
    <w:rsid w:val="006F5EB3"/>
    <w:rsid w:val="006F6231"/>
    <w:rsid w:val="00703C3F"/>
    <w:rsid w:val="00711BBA"/>
    <w:rsid w:val="00726966"/>
    <w:rsid w:val="00735ADA"/>
    <w:rsid w:val="007417EB"/>
    <w:rsid w:val="00741A18"/>
    <w:rsid w:val="00742CAE"/>
    <w:rsid w:val="00742D3E"/>
    <w:rsid w:val="00755F95"/>
    <w:rsid w:val="00761CE3"/>
    <w:rsid w:val="00767BA9"/>
    <w:rsid w:val="00774CA0"/>
    <w:rsid w:val="00777614"/>
    <w:rsid w:val="007830C6"/>
    <w:rsid w:val="0078649A"/>
    <w:rsid w:val="007931D0"/>
    <w:rsid w:val="007A0E4C"/>
    <w:rsid w:val="007A553E"/>
    <w:rsid w:val="007B5116"/>
    <w:rsid w:val="007B6FC2"/>
    <w:rsid w:val="007B765B"/>
    <w:rsid w:val="007B7A33"/>
    <w:rsid w:val="007C5541"/>
    <w:rsid w:val="007D0BE7"/>
    <w:rsid w:val="007D4AAE"/>
    <w:rsid w:val="007D625A"/>
    <w:rsid w:val="007D7A4F"/>
    <w:rsid w:val="007E0293"/>
    <w:rsid w:val="007E5C50"/>
    <w:rsid w:val="007F086F"/>
    <w:rsid w:val="007F282D"/>
    <w:rsid w:val="007F527F"/>
    <w:rsid w:val="007F52F5"/>
    <w:rsid w:val="00804D9B"/>
    <w:rsid w:val="00810BD8"/>
    <w:rsid w:val="00815D76"/>
    <w:rsid w:val="0082016E"/>
    <w:rsid w:val="00823CF0"/>
    <w:rsid w:val="0082580D"/>
    <w:rsid w:val="00825B72"/>
    <w:rsid w:val="0083070B"/>
    <w:rsid w:val="00832A64"/>
    <w:rsid w:val="00832C13"/>
    <w:rsid w:val="0083498A"/>
    <w:rsid w:val="00836646"/>
    <w:rsid w:val="00842931"/>
    <w:rsid w:val="00842EE0"/>
    <w:rsid w:val="008619AE"/>
    <w:rsid w:val="00861AF1"/>
    <w:rsid w:val="00865191"/>
    <w:rsid w:val="008661CC"/>
    <w:rsid w:val="008759EF"/>
    <w:rsid w:val="0087690A"/>
    <w:rsid w:val="00886742"/>
    <w:rsid w:val="008A65A0"/>
    <w:rsid w:val="008B0533"/>
    <w:rsid w:val="008B343A"/>
    <w:rsid w:val="008B4376"/>
    <w:rsid w:val="008C002E"/>
    <w:rsid w:val="008C1441"/>
    <w:rsid w:val="008D24F8"/>
    <w:rsid w:val="008D5BE7"/>
    <w:rsid w:val="008E188A"/>
    <w:rsid w:val="008F3FDA"/>
    <w:rsid w:val="0090127F"/>
    <w:rsid w:val="009035BF"/>
    <w:rsid w:val="00907D6B"/>
    <w:rsid w:val="00911DE0"/>
    <w:rsid w:val="00913759"/>
    <w:rsid w:val="00915E15"/>
    <w:rsid w:val="009170D8"/>
    <w:rsid w:val="00917348"/>
    <w:rsid w:val="00925275"/>
    <w:rsid w:val="0092754D"/>
    <w:rsid w:val="00943AED"/>
    <w:rsid w:val="009441BD"/>
    <w:rsid w:val="009444D9"/>
    <w:rsid w:val="009504C7"/>
    <w:rsid w:val="00950F94"/>
    <w:rsid w:val="009613B1"/>
    <w:rsid w:val="0096140D"/>
    <w:rsid w:val="00971205"/>
    <w:rsid w:val="0097653D"/>
    <w:rsid w:val="00987D07"/>
    <w:rsid w:val="00991413"/>
    <w:rsid w:val="0099282F"/>
    <w:rsid w:val="00992B12"/>
    <w:rsid w:val="0099698A"/>
    <w:rsid w:val="009B0905"/>
    <w:rsid w:val="009B492C"/>
    <w:rsid w:val="009B494A"/>
    <w:rsid w:val="009B5272"/>
    <w:rsid w:val="009C2DC9"/>
    <w:rsid w:val="009E2556"/>
    <w:rsid w:val="009E44FB"/>
    <w:rsid w:val="009E7061"/>
    <w:rsid w:val="009E7B57"/>
    <w:rsid w:val="009F0CB6"/>
    <w:rsid w:val="009F461B"/>
    <w:rsid w:val="009F4F57"/>
    <w:rsid w:val="00A01175"/>
    <w:rsid w:val="00A0229D"/>
    <w:rsid w:val="00A02C23"/>
    <w:rsid w:val="00A02CF4"/>
    <w:rsid w:val="00A05073"/>
    <w:rsid w:val="00A135D2"/>
    <w:rsid w:val="00A2156B"/>
    <w:rsid w:val="00A3077A"/>
    <w:rsid w:val="00A3449D"/>
    <w:rsid w:val="00A420A6"/>
    <w:rsid w:val="00A42C80"/>
    <w:rsid w:val="00A43B00"/>
    <w:rsid w:val="00A442AE"/>
    <w:rsid w:val="00A54A21"/>
    <w:rsid w:val="00A6341E"/>
    <w:rsid w:val="00A66D40"/>
    <w:rsid w:val="00A71D97"/>
    <w:rsid w:val="00A72CC5"/>
    <w:rsid w:val="00A73243"/>
    <w:rsid w:val="00A73AE5"/>
    <w:rsid w:val="00A73C8C"/>
    <w:rsid w:val="00A74286"/>
    <w:rsid w:val="00A75A77"/>
    <w:rsid w:val="00A81935"/>
    <w:rsid w:val="00A952AB"/>
    <w:rsid w:val="00A97C51"/>
    <w:rsid w:val="00AA5711"/>
    <w:rsid w:val="00AA633A"/>
    <w:rsid w:val="00AB0746"/>
    <w:rsid w:val="00AB12A0"/>
    <w:rsid w:val="00AB13F9"/>
    <w:rsid w:val="00AB2D8C"/>
    <w:rsid w:val="00AB78B6"/>
    <w:rsid w:val="00AC348B"/>
    <w:rsid w:val="00AC4C59"/>
    <w:rsid w:val="00AC5E5E"/>
    <w:rsid w:val="00AD0382"/>
    <w:rsid w:val="00AD5326"/>
    <w:rsid w:val="00AD5659"/>
    <w:rsid w:val="00AE09E4"/>
    <w:rsid w:val="00AE1D70"/>
    <w:rsid w:val="00AE32DC"/>
    <w:rsid w:val="00AE650B"/>
    <w:rsid w:val="00B01F1D"/>
    <w:rsid w:val="00B051E7"/>
    <w:rsid w:val="00B07F60"/>
    <w:rsid w:val="00B157FE"/>
    <w:rsid w:val="00B15FFD"/>
    <w:rsid w:val="00B17D3A"/>
    <w:rsid w:val="00B25EAB"/>
    <w:rsid w:val="00B312A3"/>
    <w:rsid w:val="00B316EB"/>
    <w:rsid w:val="00B3540A"/>
    <w:rsid w:val="00B35AF8"/>
    <w:rsid w:val="00B37C24"/>
    <w:rsid w:val="00B461EE"/>
    <w:rsid w:val="00B5188D"/>
    <w:rsid w:val="00B54887"/>
    <w:rsid w:val="00B54C87"/>
    <w:rsid w:val="00B55C3E"/>
    <w:rsid w:val="00B566C5"/>
    <w:rsid w:val="00B56B01"/>
    <w:rsid w:val="00B7320D"/>
    <w:rsid w:val="00B77489"/>
    <w:rsid w:val="00B778E1"/>
    <w:rsid w:val="00B806D1"/>
    <w:rsid w:val="00B80D6B"/>
    <w:rsid w:val="00B81252"/>
    <w:rsid w:val="00B81D00"/>
    <w:rsid w:val="00B8595C"/>
    <w:rsid w:val="00B9293D"/>
    <w:rsid w:val="00B935E0"/>
    <w:rsid w:val="00B943BA"/>
    <w:rsid w:val="00B94A98"/>
    <w:rsid w:val="00BA0EA8"/>
    <w:rsid w:val="00BA1C8E"/>
    <w:rsid w:val="00BA4D05"/>
    <w:rsid w:val="00BA67C0"/>
    <w:rsid w:val="00BA79A9"/>
    <w:rsid w:val="00BA7EFE"/>
    <w:rsid w:val="00BB0C07"/>
    <w:rsid w:val="00BB459A"/>
    <w:rsid w:val="00BB4970"/>
    <w:rsid w:val="00BB77A9"/>
    <w:rsid w:val="00BC02CF"/>
    <w:rsid w:val="00BC0F54"/>
    <w:rsid w:val="00BC1D31"/>
    <w:rsid w:val="00BC3F7F"/>
    <w:rsid w:val="00BD3DF9"/>
    <w:rsid w:val="00BD6C94"/>
    <w:rsid w:val="00BE3FB0"/>
    <w:rsid w:val="00BE72A3"/>
    <w:rsid w:val="00BF5209"/>
    <w:rsid w:val="00BF6956"/>
    <w:rsid w:val="00C01713"/>
    <w:rsid w:val="00C0568B"/>
    <w:rsid w:val="00C178A1"/>
    <w:rsid w:val="00C210B0"/>
    <w:rsid w:val="00C22497"/>
    <w:rsid w:val="00C23ED5"/>
    <w:rsid w:val="00C241DB"/>
    <w:rsid w:val="00C248BF"/>
    <w:rsid w:val="00C279D4"/>
    <w:rsid w:val="00C365CE"/>
    <w:rsid w:val="00C50D18"/>
    <w:rsid w:val="00C52EAF"/>
    <w:rsid w:val="00C60B1D"/>
    <w:rsid w:val="00C62782"/>
    <w:rsid w:val="00C63272"/>
    <w:rsid w:val="00C65B07"/>
    <w:rsid w:val="00C700A1"/>
    <w:rsid w:val="00C73219"/>
    <w:rsid w:val="00C73F32"/>
    <w:rsid w:val="00C815A3"/>
    <w:rsid w:val="00C87CD5"/>
    <w:rsid w:val="00C9091A"/>
    <w:rsid w:val="00C90C7F"/>
    <w:rsid w:val="00C921DB"/>
    <w:rsid w:val="00CB2A72"/>
    <w:rsid w:val="00CB4647"/>
    <w:rsid w:val="00CD7B7D"/>
    <w:rsid w:val="00CE2911"/>
    <w:rsid w:val="00CE5765"/>
    <w:rsid w:val="00CF3E61"/>
    <w:rsid w:val="00CF4AF0"/>
    <w:rsid w:val="00CF5B8A"/>
    <w:rsid w:val="00D0490A"/>
    <w:rsid w:val="00D05436"/>
    <w:rsid w:val="00D0738A"/>
    <w:rsid w:val="00D13A69"/>
    <w:rsid w:val="00D14E36"/>
    <w:rsid w:val="00D20DE2"/>
    <w:rsid w:val="00D335E8"/>
    <w:rsid w:val="00D372CE"/>
    <w:rsid w:val="00D40C8F"/>
    <w:rsid w:val="00D41085"/>
    <w:rsid w:val="00D41C76"/>
    <w:rsid w:val="00D45ECF"/>
    <w:rsid w:val="00D467D0"/>
    <w:rsid w:val="00D525B9"/>
    <w:rsid w:val="00D6112E"/>
    <w:rsid w:val="00D66996"/>
    <w:rsid w:val="00D66AFB"/>
    <w:rsid w:val="00D71F99"/>
    <w:rsid w:val="00D76AB7"/>
    <w:rsid w:val="00D938F2"/>
    <w:rsid w:val="00D959BB"/>
    <w:rsid w:val="00D96577"/>
    <w:rsid w:val="00DA2B95"/>
    <w:rsid w:val="00DA3DFC"/>
    <w:rsid w:val="00DB3540"/>
    <w:rsid w:val="00DB6D6A"/>
    <w:rsid w:val="00DC1C80"/>
    <w:rsid w:val="00DC3468"/>
    <w:rsid w:val="00DC5260"/>
    <w:rsid w:val="00DC765D"/>
    <w:rsid w:val="00DD425C"/>
    <w:rsid w:val="00DE47B6"/>
    <w:rsid w:val="00DF3030"/>
    <w:rsid w:val="00DF69EC"/>
    <w:rsid w:val="00DF738B"/>
    <w:rsid w:val="00DF7E03"/>
    <w:rsid w:val="00E0246F"/>
    <w:rsid w:val="00E11966"/>
    <w:rsid w:val="00E216C8"/>
    <w:rsid w:val="00E21C28"/>
    <w:rsid w:val="00E24E0A"/>
    <w:rsid w:val="00E27B51"/>
    <w:rsid w:val="00E337B9"/>
    <w:rsid w:val="00E52ABE"/>
    <w:rsid w:val="00E5573F"/>
    <w:rsid w:val="00E57092"/>
    <w:rsid w:val="00E6189A"/>
    <w:rsid w:val="00E61BFF"/>
    <w:rsid w:val="00E67FE9"/>
    <w:rsid w:val="00E725A9"/>
    <w:rsid w:val="00E74F37"/>
    <w:rsid w:val="00E82AB8"/>
    <w:rsid w:val="00E8400A"/>
    <w:rsid w:val="00E9065B"/>
    <w:rsid w:val="00EA084E"/>
    <w:rsid w:val="00EA1A49"/>
    <w:rsid w:val="00EB1ED2"/>
    <w:rsid w:val="00EB2080"/>
    <w:rsid w:val="00EC241C"/>
    <w:rsid w:val="00EC30B7"/>
    <w:rsid w:val="00ED245A"/>
    <w:rsid w:val="00ED2BE2"/>
    <w:rsid w:val="00ED3AEC"/>
    <w:rsid w:val="00ED4DD8"/>
    <w:rsid w:val="00ED5E3E"/>
    <w:rsid w:val="00EF2D3E"/>
    <w:rsid w:val="00EF4FF1"/>
    <w:rsid w:val="00EF718F"/>
    <w:rsid w:val="00F0573A"/>
    <w:rsid w:val="00F0723E"/>
    <w:rsid w:val="00F10CB9"/>
    <w:rsid w:val="00F1104F"/>
    <w:rsid w:val="00F11C96"/>
    <w:rsid w:val="00F14B93"/>
    <w:rsid w:val="00F21FF4"/>
    <w:rsid w:val="00F25267"/>
    <w:rsid w:val="00F30F2A"/>
    <w:rsid w:val="00F31127"/>
    <w:rsid w:val="00F322ED"/>
    <w:rsid w:val="00F45CD8"/>
    <w:rsid w:val="00F51231"/>
    <w:rsid w:val="00F52D51"/>
    <w:rsid w:val="00F562A3"/>
    <w:rsid w:val="00F62553"/>
    <w:rsid w:val="00F666A6"/>
    <w:rsid w:val="00F67861"/>
    <w:rsid w:val="00F67FAE"/>
    <w:rsid w:val="00F7349A"/>
    <w:rsid w:val="00F75E64"/>
    <w:rsid w:val="00F81670"/>
    <w:rsid w:val="00F93C4B"/>
    <w:rsid w:val="00F97E9F"/>
    <w:rsid w:val="00FA0BD2"/>
    <w:rsid w:val="00FA39DD"/>
    <w:rsid w:val="00FA6005"/>
    <w:rsid w:val="00FB48A1"/>
    <w:rsid w:val="00FB7482"/>
    <w:rsid w:val="00FB7F3F"/>
    <w:rsid w:val="00FC01F1"/>
    <w:rsid w:val="00FC0E9A"/>
    <w:rsid w:val="00FD062A"/>
    <w:rsid w:val="00FD3DD7"/>
    <w:rsid w:val="00FD4849"/>
    <w:rsid w:val="00FD6C5F"/>
    <w:rsid w:val="00FF0E8E"/>
    <w:rsid w:val="00FF1125"/>
    <w:rsid w:val="00FF20AD"/>
    <w:rsid w:val="00FF23DF"/>
    <w:rsid w:val="00FF6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6BAD15A7"/>
  <w15:chartTrackingRefBased/>
  <w15:docId w15:val="{E2FB280F-3FE7-4F70-B7BB-1957C30F9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78E"/>
  </w:style>
  <w:style w:type="paragraph" w:styleId="Heading1">
    <w:name w:val="heading 1"/>
    <w:basedOn w:val="Normal"/>
    <w:next w:val="Normal"/>
    <w:link w:val="Heading1Char"/>
    <w:uiPriority w:val="9"/>
    <w:qFormat/>
    <w:rsid w:val="001229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9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9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9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9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9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9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9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9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9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9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9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9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9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938"/>
    <w:rPr>
      <w:rFonts w:eastAsiaTheme="majorEastAsia" w:cstheme="majorBidi"/>
      <w:color w:val="272727" w:themeColor="text1" w:themeTint="D8"/>
    </w:rPr>
  </w:style>
  <w:style w:type="paragraph" w:styleId="Title">
    <w:name w:val="Title"/>
    <w:basedOn w:val="Normal"/>
    <w:next w:val="Normal"/>
    <w:link w:val="TitleChar"/>
    <w:uiPriority w:val="10"/>
    <w:qFormat/>
    <w:rsid w:val="00122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9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938"/>
    <w:pPr>
      <w:spacing w:before="160"/>
      <w:jc w:val="center"/>
    </w:pPr>
    <w:rPr>
      <w:i/>
      <w:iCs/>
      <w:color w:val="404040" w:themeColor="text1" w:themeTint="BF"/>
    </w:rPr>
  </w:style>
  <w:style w:type="character" w:customStyle="1" w:styleId="QuoteChar">
    <w:name w:val="Quote Char"/>
    <w:basedOn w:val="DefaultParagraphFont"/>
    <w:link w:val="Quote"/>
    <w:uiPriority w:val="29"/>
    <w:rsid w:val="00122938"/>
    <w:rPr>
      <w:i/>
      <w:iCs/>
      <w:color w:val="404040" w:themeColor="text1" w:themeTint="BF"/>
    </w:rPr>
  </w:style>
  <w:style w:type="paragraph" w:styleId="ListParagraph">
    <w:name w:val="List Paragraph"/>
    <w:basedOn w:val="Normal"/>
    <w:uiPriority w:val="34"/>
    <w:qFormat/>
    <w:rsid w:val="00122938"/>
    <w:pPr>
      <w:ind w:left="720"/>
      <w:contextualSpacing/>
    </w:pPr>
  </w:style>
  <w:style w:type="character" w:styleId="IntenseEmphasis">
    <w:name w:val="Intense Emphasis"/>
    <w:basedOn w:val="DefaultParagraphFont"/>
    <w:uiPriority w:val="21"/>
    <w:qFormat/>
    <w:rsid w:val="00122938"/>
    <w:rPr>
      <w:i/>
      <w:iCs/>
      <w:color w:val="0F4761" w:themeColor="accent1" w:themeShade="BF"/>
    </w:rPr>
  </w:style>
  <w:style w:type="paragraph" w:styleId="IntenseQuote">
    <w:name w:val="Intense Quote"/>
    <w:basedOn w:val="Normal"/>
    <w:next w:val="Normal"/>
    <w:link w:val="IntenseQuoteChar"/>
    <w:uiPriority w:val="30"/>
    <w:qFormat/>
    <w:rsid w:val="001229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938"/>
    <w:rPr>
      <w:i/>
      <w:iCs/>
      <w:color w:val="0F4761" w:themeColor="accent1" w:themeShade="BF"/>
    </w:rPr>
  </w:style>
  <w:style w:type="character" w:styleId="IntenseReference">
    <w:name w:val="Intense Reference"/>
    <w:basedOn w:val="DefaultParagraphFont"/>
    <w:uiPriority w:val="32"/>
    <w:qFormat/>
    <w:rsid w:val="00122938"/>
    <w:rPr>
      <w:b/>
      <w:bCs/>
      <w:smallCaps/>
      <w:color w:val="0F4761" w:themeColor="accent1" w:themeShade="BF"/>
      <w:spacing w:val="5"/>
    </w:rPr>
  </w:style>
  <w:style w:type="table" w:styleId="TableGrid">
    <w:name w:val="Table Grid"/>
    <w:basedOn w:val="TableNormal"/>
    <w:uiPriority w:val="39"/>
    <w:rsid w:val="00171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178E"/>
    <w:rPr>
      <w:color w:val="467886" w:themeColor="hyperlink"/>
      <w:u w:val="single"/>
    </w:rPr>
  </w:style>
  <w:style w:type="character" w:styleId="UnresolvedMention">
    <w:name w:val="Unresolved Mention"/>
    <w:basedOn w:val="DefaultParagraphFont"/>
    <w:uiPriority w:val="99"/>
    <w:semiHidden/>
    <w:unhideWhenUsed/>
    <w:rsid w:val="006E6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utamotor.com/toyota-recorta-en-un-tercio-su-meta-de-autos-electricos-en-202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creativecommons.org/licenses/by-sa/3.0/" TargetMode="External"/><Relationship Id="rId2" Type="http://schemas.openxmlformats.org/officeDocument/2006/relationships/customXml" Target="../customXml/item2.xml"/><Relationship Id="rId16" Type="http://schemas.openxmlformats.org/officeDocument/2006/relationships/hyperlink" Target="https://commons.wikimedia.org/wiki/Category:Mary_Gibbs_and_Jesse_H._Jones_Reflection_P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sa/3.0/"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hyperlink" Target="https://glassalmanac.com/toyota-ditches-hydrogen-the-bold-shift-toward-battery-tech-as-the-fuel-of-the-futur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307DC27-5E0A-4F37-9D28-0D8076353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26F00-443A-4A16-951E-6DA0B2384D32}">
  <ds:schemaRefs>
    <ds:schemaRef ds:uri="http://schemas.microsoft.com/sharepoint/v3/contenttype/forms"/>
  </ds:schemaRefs>
</ds:datastoreItem>
</file>

<file path=customXml/itemProps3.xml><?xml version="1.0" encoding="utf-8"?>
<ds:datastoreItem xmlns:ds="http://schemas.openxmlformats.org/officeDocument/2006/customXml" ds:itemID="{361C2548-0818-4D74-A681-FD5CE1A456F4}">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8790</Words>
  <Characters>50105</Characters>
  <Application>Microsoft Office Word</Application>
  <DocSecurity>0</DocSecurity>
  <Lines>417</Lines>
  <Paragraphs>117</Paragraphs>
  <ScaleCrop>false</ScaleCrop>
  <Company/>
  <LinksUpToDate>false</LinksUpToDate>
  <CharactersWithSpaces>58778</CharactersWithSpaces>
  <SharedDoc>false</SharedDoc>
  <HLinks>
    <vt:vector size="24" baseType="variant">
      <vt:variant>
        <vt:i4>5308431</vt:i4>
      </vt:variant>
      <vt:variant>
        <vt:i4>9</vt:i4>
      </vt:variant>
      <vt:variant>
        <vt:i4>0</vt:i4>
      </vt:variant>
      <vt:variant>
        <vt:i4>5</vt:i4>
      </vt:variant>
      <vt:variant>
        <vt:lpwstr>https://creativecommons.org/licenses/by/3.0/</vt:lpwstr>
      </vt:variant>
      <vt:variant>
        <vt:lpwstr/>
      </vt:variant>
      <vt:variant>
        <vt:i4>6881404</vt:i4>
      </vt:variant>
      <vt:variant>
        <vt:i4>6</vt:i4>
      </vt:variant>
      <vt:variant>
        <vt:i4>0</vt:i4>
      </vt:variant>
      <vt:variant>
        <vt:i4>5</vt:i4>
      </vt:variant>
      <vt:variant>
        <vt:lpwstr>https://www.rutamotor.com/toyota-recorta-en-un-tercio-su-meta-de-autos-electricos-en-2026/</vt:lpwstr>
      </vt:variant>
      <vt:variant>
        <vt:lpwstr/>
      </vt:variant>
      <vt:variant>
        <vt:i4>3145854</vt:i4>
      </vt:variant>
      <vt:variant>
        <vt:i4>3</vt:i4>
      </vt:variant>
      <vt:variant>
        <vt:i4>0</vt:i4>
      </vt:variant>
      <vt:variant>
        <vt:i4>5</vt:i4>
      </vt:variant>
      <vt:variant>
        <vt:lpwstr>https://creativecommons.org/licenses/by-sa/3.0/</vt:lpwstr>
      </vt:variant>
      <vt:variant>
        <vt:lpwstr/>
      </vt:variant>
      <vt:variant>
        <vt:i4>2752575</vt:i4>
      </vt:variant>
      <vt:variant>
        <vt:i4>0</vt:i4>
      </vt:variant>
      <vt:variant>
        <vt:i4>0</vt:i4>
      </vt:variant>
      <vt:variant>
        <vt:i4>5</vt:i4>
      </vt:variant>
      <vt:variant>
        <vt:lpwstr>https://glassalmanac.com/toyota-ditches-hydrogen-the-bold-shift-toward-battery-tech-as-the-fuel-of-the-future/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6</cp:revision>
  <dcterms:created xsi:type="dcterms:W3CDTF">2026-07-27T02:59:00Z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