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u w:val="single"/>
        </w:rPr>
      </w:pPr>
      <w:r w:rsidDel="00000000" w:rsidR="00000000" w:rsidRPr="00000000">
        <w:rPr>
          <w:sz w:val="32"/>
          <w:szCs w:val="32"/>
          <w:u w:val="single"/>
          <w:rtl w:val="0"/>
        </w:rPr>
        <w:t xml:space="preserve">Executive summary </w:t>
      </w:r>
    </w:p>
    <w:p w:rsidR="00000000" w:rsidDel="00000000" w:rsidP="00000000" w:rsidRDefault="00000000" w:rsidRPr="00000000" w14:paraId="00000002">
      <w:pPr>
        <w:rPr/>
      </w:pPr>
      <w:r w:rsidDel="00000000" w:rsidR="00000000" w:rsidRPr="00000000">
        <w:rPr>
          <w:rtl w:val="0"/>
        </w:rPr>
        <w:t xml:space="preserve">Tesco is one of the United Kingdom’s largest international retail and e-commerce organisations, operating across multiple markets in Europe and Asia. As part of its ongoing digital transformation strategy, Tesco plans to launch ConnectPlus – a new AI-enhanced customer loyalty and engagement platform designed to deliver personalised recommendations, mobile based rewards, and advanced customer insight analytics. The purpose of this report is to examine how effective stakeholder engagement can support the successful design, launch, and global adoption of ConnectPlus. Stakeholder theory emphasizes that organisational initiatives of this scale require coordinated collaboration, clear communication, and sustained alignment across diverse stakeholder groups (Freeman, 1984). Therefore, the report identifies Tesco’s key internal and external stakeholders and evaluates their interests, influence, and roles using established frameworks such as the Interest Influence Matrix and the Salience Model. </w:t>
      </w:r>
    </w:p>
    <w:p w:rsidR="00000000" w:rsidDel="00000000" w:rsidP="00000000" w:rsidRDefault="00000000" w:rsidRPr="00000000" w14:paraId="00000003">
      <w:pPr>
        <w:rPr/>
      </w:pPr>
      <w:r w:rsidDel="00000000" w:rsidR="00000000" w:rsidRPr="00000000">
        <w:rPr>
          <w:rtl w:val="0"/>
        </w:rPr>
        <w:t xml:space="preserve">The report also analyses mechanisms for engaging stakeholders across different cultural and market contexts – drawing on recognised engagement models including the RACI matrix, communication planning, and the 4Cs framework. Effective stakeholder engagement is shown to enhance collaboration, reduce resistance, and strengthen trust – which are essential for ensuring the successful global rollout of ConnectPlus. Sustainable engagement practices further contribute to improved organisational performance, customer loyalty, and ethical data governance (Christopher, Payne &amp; Ballantyne, 2013). The report concludes with recommendations to support Tesco in strengthening its stakeholder engagement processes and ensuring long-term success in deploying ConnectPlus across its international markets.</w:t>
      </w:r>
    </w:p>
    <w:p w:rsidR="00000000" w:rsidDel="00000000" w:rsidP="00000000" w:rsidRDefault="00000000" w:rsidRPr="00000000" w14:paraId="00000004">
      <w:pPr>
        <w:rPr>
          <w:sz w:val="32"/>
          <w:szCs w:val="32"/>
          <w:u w:val="single"/>
        </w:rPr>
      </w:pPr>
      <w:r w:rsidDel="00000000" w:rsidR="00000000" w:rsidRPr="00000000">
        <w:rPr>
          <w:sz w:val="32"/>
          <w:szCs w:val="32"/>
          <w:u w:val="single"/>
          <w:rtl w:val="0"/>
        </w:rPr>
        <w:t xml:space="preserve">SMART objectives</w:t>
      </w:r>
    </w:p>
    <w:p w:rsidR="00000000" w:rsidDel="00000000" w:rsidP="00000000" w:rsidRDefault="00000000" w:rsidRPr="00000000" w14:paraId="00000005">
      <w:pPr>
        <w:rPr/>
      </w:pPr>
      <w:r w:rsidDel="00000000" w:rsidR="00000000" w:rsidRPr="00000000">
        <w:rPr>
          <w:rtl w:val="0"/>
        </w:rPr>
        <w:t xml:space="preserve">The ConnectPlus project will be guided by a set of SMART objectives designed to ensure clarity, measurability, and strategic alignment. The first objective is to increase customer retention across Tesco’s UK and international markets by 10% within twelve months of the platform’s launch – supported by AI-driven personalisation features that enhance customer engagement (Christopher, Payne &amp; Ballantyne, 2013). A second objective is to achieve full operational deployment of ConnectPlus in all selected markets within six months – ensuring that technical integration, staff training, and stakeholder coordination are completed within defined timelines. The project also aims to improve the accuracy and usability of customer insight data by 20% within the first year, enabling more effective decision-making and targeted marketing campaigns. Finally, Tesco seeks to strengthen cross-functional collaboration by implementing structured stakeholder engagement mechanisms throughout the project lifecycle – reflecting the importance of coordinated stakeholder involvement in successful project delivery (Freeman, 1984).</w:t>
      </w:r>
    </w:p>
    <w:p w:rsidR="00000000" w:rsidDel="00000000" w:rsidP="00000000" w:rsidRDefault="00000000" w:rsidRPr="00000000" w14:paraId="00000006">
      <w:pPr>
        <w:rPr>
          <w:sz w:val="32"/>
          <w:szCs w:val="32"/>
          <w:u w:val="single"/>
        </w:rPr>
      </w:pPr>
      <w:r w:rsidDel="00000000" w:rsidR="00000000" w:rsidRPr="00000000">
        <w:rPr>
          <w:sz w:val="32"/>
          <w:szCs w:val="32"/>
          <w:u w:val="single"/>
          <w:rtl w:val="0"/>
        </w:rPr>
        <w:t xml:space="preserve">Stakeholder Identification</w:t>
      </w:r>
    </w:p>
    <w:p w:rsidR="00000000" w:rsidDel="00000000" w:rsidP="00000000" w:rsidRDefault="00000000" w:rsidRPr="00000000" w14:paraId="00000007">
      <w:pPr>
        <w:rPr/>
      </w:pPr>
      <w:r w:rsidDel="00000000" w:rsidR="00000000" w:rsidRPr="00000000">
        <w:rPr>
          <w:rtl w:val="0"/>
        </w:rPr>
        <w:t xml:space="preserve">The successful design, launch, and international adoption of Tesco’s ConnectPlus platform depends on the organisation’s ability to identify and understand the diverse stakeholders who influence, participate in, or are affected by the project. Stakeholder identification is a foundational stage in project management because it enables the project team to recognise the interests, expectations, and potential contributions of each group involved. According to (Freeman, 1984), stakeholders are individuals or groups who can affect or are affected by organisational activities, and effective engagement begins with accurately mapping who these stakeholders are and how they relate to the project. For a complex digital transformation initiative such as ConnectPlus, this process is essential for ensuring alignment, reducing resistance, and supporting coordinated decision-making across Tesco’s operational and international environments. </w:t>
      </w:r>
    </w:p>
    <w:p w:rsidR="00000000" w:rsidDel="00000000" w:rsidP="00000000" w:rsidRDefault="00000000" w:rsidRPr="00000000" w14:paraId="00000008">
      <w:pPr>
        <w:rPr/>
      </w:pPr>
      <w:r w:rsidDel="00000000" w:rsidR="00000000" w:rsidRPr="00000000">
        <w:rPr>
          <w:rtl w:val="0"/>
        </w:rPr>
        <w:t xml:space="preserve">Tesco’s stakeholder landscape is multi-layered – involving internal stakeholders who contribute directly to the development and implementation of the platform, as well as external stakeholders whose cooperation, compliance, and adoption will influence its long-term success. Internal stakeholders include senior leadership, digital transformation teams, IT and data analytics departments, marketing teams, store managers, customer service teams, and legal and compliance specialists. Each of these groups hold varying levels of interests and influence, which must be understood to prioritize engagement effectively. External stakeholders include customers, suppliers, technology vendors, payment partners, regulators, internal franchise partners, and shareholders. These groups operate across different cultural, regulatory, and market contexts – making their identification and categorisation essential for a global rollout. As (Bryson, 2011) argues, stakeholder mapping enables organisations to allocate resources and attention strategically – ensuring that high salience stakeholders receive appropriate engagement throughout the project lifecycle.</w:t>
      </w:r>
    </w:p>
    <w:p w:rsidR="00000000" w:rsidDel="00000000" w:rsidP="00000000" w:rsidRDefault="00000000" w:rsidRPr="00000000" w14:paraId="00000009">
      <w:pPr>
        <w:rPr/>
      </w:pPr>
      <w:r w:rsidDel="00000000" w:rsidR="00000000" w:rsidRPr="00000000">
        <w:rPr>
          <w:rtl w:val="0"/>
        </w:rPr>
        <w:t xml:space="preserve">To analyse these stakeholders systematically, this section applies recognised frameworks such as the Interest-Influence Matrix and the Salience Model. These tools support a structured evaluation of stakeholder power, legitimacy, and urgency – helping Tesco determine which groups require close management, regular communication, or ongoing monitoring. By categorising stakeholders though these models, Tesco can anticipate potential challenges, identify opportunities for collaboration, and design engagement strategies that align with the needs of both internal and external groups. This structured approach ensures that stakeholder identification is not merely descriptive but forms a critical foundation for effective engagement planning later in the report. </w:t>
      </w:r>
    </w:p>
    <w:p w:rsidR="00000000" w:rsidDel="00000000" w:rsidP="00000000" w:rsidRDefault="00000000" w:rsidRPr="00000000" w14:paraId="0000000A">
      <w:pPr>
        <w:rPr/>
      </w:pPr>
      <w:r w:rsidDel="00000000" w:rsidR="00000000" w:rsidRPr="00000000">
        <w:rPr>
          <w:rtl w:val="0"/>
        </w:rPr>
        <w:t xml:space="preserve">Tesco’s internal stakeholders play a central role in shaping the development, implementation, and operational success of the ConnectPlus platform. Senior leadership is a critical stakeholder group, responsible for providing strategic direction, approving investment, and ensuring organisational alignment. Their influence is significant – as executive sponsorship is often a determining factor in success of a digital transformation initiative (Kotter, 2012). The digital transformation team also holds high interest and influence, overseeing the integration of ConnectPlus into Tesco’s existing technological ecosystem and ensuring that the platform supports long-term innovation goals. </w:t>
      </w:r>
    </w:p>
    <w:p w:rsidR="00000000" w:rsidDel="00000000" w:rsidP="00000000" w:rsidRDefault="00000000" w:rsidRPr="00000000" w14:paraId="0000000B">
      <w:pPr>
        <w:rPr/>
      </w:pPr>
      <w:r w:rsidDel="00000000" w:rsidR="00000000" w:rsidRPr="00000000">
        <w:rPr>
          <w:rtl w:val="0"/>
        </w:rPr>
        <w:t xml:space="preserve">The IT and data analytics department contribute essential technical expertise – manging system architecture, cybersecurity, and customer insight analytics. Their involvement is vital, as effective data governance underprints the reliability and use of AI-driven platforms (Provost &amp; Fawcett, 2013). Marketing teams represent another key internal stakeholder group – responsible for customer communication, promotional strategy, and driving adoption across diverse markets. Their role is particularly important because successful loyalty initiatives depend on clear messaging and customer engagement (Kumar &amp; Reinartz, 2016). Collectively, these internal stakeholders form the operational foundation required for ConnectPlus to succeed. </w:t>
      </w:r>
    </w:p>
    <w:p w:rsidR="00000000" w:rsidDel="00000000" w:rsidP="00000000" w:rsidRDefault="00000000" w:rsidRPr="00000000" w14:paraId="0000000C">
      <w:pPr>
        <w:rPr/>
      </w:pPr>
      <w:r w:rsidDel="00000000" w:rsidR="00000000" w:rsidRPr="00000000">
        <w:rPr>
          <w:rtl w:val="0"/>
        </w:rPr>
        <w:t xml:space="preserve">Tesco’s external stakeholders play a crucial role in shaping the successful rollout and long-term adoption of the ConnectPlus platform across international markets. Customers represent the most significant external stakeholder group – as their engagement, satisfaction, and behavioural responses directly determine the platform’s effectiveness. The influence is substantial because customer acceptance is essential for loyalty programme success (Verhoef, 2003). Technology vendors and software partners also hold high interest and influence – providing the AI capabilities, mobile infrastructure, and integration support required for ConnectPlus to function reliably. Their collaboration is vital, as strong vendor relationships enhance innovation and system performance (Teece, 2010). </w:t>
      </w:r>
    </w:p>
    <w:p w:rsidR="00000000" w:rsidDel="00000000" w:rsidP="00000000" w:rsidRDefault="00000000" w:rsidRPr="00000000" w14:paraId="0000000D">
      <w:pPr>
        <w:rPr/>
      </w:pPr>
      <w:r w:rsidDel="00000000" w:rsidR="00000000" w:rsidRPr="00000000">
        <w:rPr>
          <w:rtl w:val="0"/>
        </w:rPr>
        <w:t xml:space="preserve">Regulators, including GDPR and data protection authorities, form another critical stakeholder group. Their oversight ensures that Tesco complies with legal requirement related to data privacy, ethical AI use, and consumer protection. Regulatory involvement is particularly important because non-compliance can result in financial penalties and reputational damage (Cavoukian, 2012). Additional external stakeholders such as payment partners, suppliers, franchise operators, and shareholders also contribute to the broader ecosystem that supports ConnectPlus – influencing operational stability, market expansion, and financial sustainability.</w:t>
      </w:r>
    </w:p>
    <w:p w:rsidR="00000000" w:rsidDel="00000000" w:rsidP="00000000" w:rsidRDefault="00000000" w:rsidRPr="00000000" w14:paraId="0000000E">
      <w:pPr>
        <w:rPr/>
      </w:pPr>
      <w:r w:rsidDel="00000000" w:rsidR="00000000" w:rsidRPr="00000000">
        <w:rPr>
          <w:rtl w:val="0"/>
        </w:rPr>
        <w:t xml:space="preserve">To prioritise effectively, Tesco must categorise stakeholders using structured analytical frameworks that highlight differences in interest, influence, and strategic importance. The Interest-Influence Matrix provides a clear method for determining how closely each stakeholder group should be managed. High-interest, high-influence stakeholders such as senior leadership, IT teams, and digital transformation specialists require continuous engagement because their decisions directly shape project outcomes. In contrast, customers and frontline staff both hold high interest but lower influence – meaning they require regular communication to support adoption. Regulators and shareholders possess high influence but lower day-to-day interest, making ongoing monitoring essential (Mendelow, 1991). </w:t>
      </w:r>
    </w:p>
    <w:p w:rsidR="00000000" w:rsidDel="00000000" w:rsidP="00000000" w:rsidRDefault="00000000" w:rsidRPr="00000000" w14:paraId="0000000F">
      <w:pPr>
        <w:rPr/>
      </w:pPr>
      <w:r w:rsidDel="00000000" w:rsidR="00000000" w:rsidRPr="00000000">
        <w:rPr>
          <w:rtl w:val="0"/>
        </w:rPr>
        <w:t xml:space="preserve">The Salience Model further categorise stakeholders based on power, legitimacy, and urgency. Senior leadership, regulators, and IT teams qualify as definitive stakeholders due to their strong authority and immediate relevance. Marketing teams, suppliers, and technology vendors are dominant stakeholders – while customers and store employees are classified as dependent stakeholders (Mitchell, Agle &amp; Wood, 1997). Using multiple frameworks enhances accuracy in stakeholder analysis and supports more targeted engagement strategies (Bourne, 2015). </w:t>
      </w:r>
    </w:p>
    <w:p w:rsidR="00000000" w:rsidDel="00000000" w:rsidP="00000000" w:rsidRDefault="00000000" w:rsidRPr="00000000" w14:paraId="00000010">
      <w:pPr>
        <w:rPr>
          <w:sz w:val="32"/>
          <w:szCs w:val="32"/>
          <w:u w:val="single"/>
        </w:rPr>
      </w:pPr>
      <w:r w:rsidDel="00000000" w:rsidR="00000000" w:rsidRPr="00000000">
        <w:rPr>
          <w:sz w:val="32"/>
          <w:szCs w:val="32"/>
          <w:u w:val="single"/>
          <w:rtl w:val="0"/>
        </w:rPr>
        <w:t xml:space="preserve">Stakeholder Roles and Responsibilities</w:t>
      </w:r>
    </w:p>
    <w:p w:rsidR="00000000" w:rsidDel="00000000" w:rsidP="00000000" w:rsidRDefault="00000000" w:rsidRPr="00000000" w14:paraId="00000011">
      <w:pPr>
        <w:rPr/>
      </w:pPr>
      <w:r w:rsidDel="00000000" w:rsidR="00000000" w:rsidRPr="00000000">
        <w:rPr>
          <w:rtl w:val="0"/>
        </w:rPr>
        <w:t xml:space="preserve">Understanding the roles and responsibilities of Tesco’s key stakeholders is essential for ensuring coordinated action, accountability, and effective decision making throughout the ConnectPlus project. Clearly defined responsibilities help minimise ambiguity, strengthen collaboration, and support successful implementation – reflecting the importance of structured stakeholder involvement in complex organisational initiatives (Cleland, 1999).</w:t>
      </w:r>
    </w:p>
    <w:p w:rsidR="00000000" w:rsidDel="00000000" w:rsidP="00000000" w:rsidRDefault="00000000" w:rsidRPr="00000000" w14:paraId="00000012">
      <w:pPr>
        <w:rPr/>
      </w:pPr>
      <w:r w:rsidDel="00000000" w:rsidR="00000000" w:rsidRPr="00000000">
        <w:rPr>
          <w:rtl w:val="0"/>
        </w:rPr>
        <w:t xml:space="preserve">Tesco’s senior leadership plays a pivotal role in guiding the ConnectPlus project – providing strategic oversight, approving resources, and ensuring alignment with organisational priorities. Their influence is substantial, as executive sponsorship is widely recognised as a critical success factor in major digital transformation initiatives (Schein, 2010). Effective leadership involvement also helps remove barriers, support cross-functional coordination, and maintain project momentum. </w:t>
      </w:r>
    </w:p>
    <w:p w:rsidR="00000000" w:rsidDel="00000000" w:rsidP="00000000" w:rsidRDefault="00000000" w:rsidRPr="00000000" w14:paraId="00000013">
      <w:pPr>
        <w:rPr/>
      </w:pPr>
      <w:r w:rsidDel="00000000" w:rsidR="00000000" w:rsidRPr="00000000">
        <w:rPr>
          <w:rtl w:val="0"/>
        </w:rPr>
        <w:t xml:space="preserve">Tesco’s digital transformation team plays a central role in coordinating the development and integration of the ConnectPlus platform across the organisation. The oversee cross-functional collaboration, ensure technological alignment, and manage implementation timelines. Their involvement is crucial – as digital transformation teams act as key drivers of organisational innovation and change (Vial, 2019). Effective coordination from this group supports system scalability and long-term digital growth. </w:t>
      </w:r>
    </w:p>
    <w:p w:rsidR="00000000" w:rsidDel="00000000" w:rsidP="00000000" w:rsidRDefault="00000000" w:rsidRPr="00000000" w14:paraId="00000014">
      <w:pPr>
        <w:rPr/>
      </w:pPr>
      <w:r w:rsidDel="00000000" w:rsidR="00000000" w:rsidRPr="00000000">
        <w:rPr>
          <w:rtl w:val="0"/>
        </w:rPr>
        <w:t xml:space="preserve">Tesco’s IT and data analytics teams are responsible for developing, securing, and maintaining the technical infrastructure that supports ConnectPlus. Their work includes managing system architecture, ensuring data quality, and overseeing cybersecurity. These functions are essential – as robust data governance and reliable technological foundations are critical for successful digital platforms (Khatri &amp; Brown, 2010). Their expertise directly influences system performance and long-term platform stability. </w:t>
      </w:r>
    </w:p>
    <w:p w:rsidR="00000000" w:rsidDel="00000000" w:rsidP="00000000" w:rsidRDefault="00000000" w:rsidRPr="00000000" w14:paraId="00000015">
      <w:pPr>
        <w:rPr/>
      </w:pPr>
      <w:r w:rsidDel="00000000" w:rsidR="00000000" w:rsidRPr="00000000">
        <w:rPr>
          <w:rtl w:val="0"/>
        </w:rPr>
        <w:t xml:space="preserve">Tesco’s marketing team plays a vital role in driving customer awareness and adopting the ConnectPlus platform. They are responsible for developing promotional campaigns, shaping customer messaging, and coordinating launch activities across multiple markets. Their involvement is essential – effective marketing communication significantly influences customer engagement and loyalty behaviours (Kotler &amp; Keller, 2016). Strong marketing leadership ensures consistent, customer-centred delivery of the platform. </w:t>
      </w:r>
    </w:p>
    <w:p w:rsidR="00000000" w:rsidDel="00000000" w:rsidP="00000000" w:rsidRDefault="00000000" w:rsidRPr="00000000" w14:paraId="00000016">
      <w:pPr>
        <w:rPr/>
      </w:pPr>
      <w:r w:rsidDel="00000000" w:rsidR="00000000" w:rsidRPr="00000000">
        <w:rPr>
          <w:rtl w:val="0"/>
        </w:rPr>
        <w:t xml:space="preserve">Store managers and frontline employees play a crucial role in supporting customer adoption of the ConnectPlus platform. They assist customers with queries, encourage registration, and provide operational feedback that ensure ongoing improvements. Their involvement is essential because frontline staff directly shape customer experience and influence engagement behaviours (Bitner, Ostrom &amp; Morgan, 2008). Effective training and clear communication enable these employees to confidently promote the platform and address customer needs across diverse store environments. </w:t>
      </w:r>
    </w:p>
    <w:p w:rsidR="00000000" w:rsidDel="00000000" w:rsidP="00000000" w:rsidRDefault="00000000" w:rsidRPr="00000000" w14:paraId="00000017">
      <w:pPr>
        <w:rPr/>
      </w:pPr>
      <w:r w:rsidDel="00000000" w:rsidR="00000000" w:rsidRPr="00000000">
        <w:rPr>
          <w:rtl w:val="0"/>
        </w:rPr>
        <w:t xml:space="preserve">Tesco’s legal and compliance team ensures that the ConnectPlus platform adheres to regulatory requirements, ethical data practices, and GDPR standards. They oversee risk management, review data-processing activities, and safeguard customer privacy throughout the project lifecycle. Their involvement is essential – as strong compliance frameworks protect organisations from egal, financial, and reputational harm (Solove, 2020). Effective collaboration with technical teams ensures that regulatory obligations are embedded into the system design and operational processes. </w:t>
      </w:r>
    </w:p>
    <w:p w:rsidR="00000000" w:rsidDel="00000000" w:rsidP="00000000" w:rsidRDefault="00000000" w:rsidRPr="00000000" w14:paraId="00000018">
      <w:pPr>
        <w:rPr>
          <w:sz w:val="32"/>
          <w:szCs w:val="32"/>
          <w:u w:val="single"/>
        </w:rPr>
      </w:pPr>
      <w:r w:rsidDel="00000000" w:rsidR="00000000" w:rsidRPr="00000000">
        <w:rPr>
          <w:sz w:val="32"/>
          <w:szCs w:val="32"/>
          <w:u w:val="single"/>
          <w:rtl w:val="0"/>
        </w:rPr>
        <w:t xml:space="preserve">Project Manager Plan / Process</w:t>
      </w:r>
    </w:p>
    <w:p w:rsidR="00000000" w:rsidDel="00000000" w:rsidP="00000000" w:rsidRDefault="00000000" w:rsidRPr="00000000" w14:paraId="00000019">
      <w:pPr>
        <w:rPr>
          <w:b w:val="1"/>
          <w:bCs w:val="1"/>
        </w:rPr>
      </w:pPr>
      <w:r w:rsidDel="00000000" w:rsidR="00000000" w:rsidRPr="00000000">
        <w:rPr>
          <w:b w:val="1"/>
          <w:bCs w:val="1"/>
          <w:rtl w:val="0"/>
        </w:rPr>
        <w:t xml:space="preserve">Purpose of stakeholders:</w:t>
      </w:r>
    </w:p>
    <w:p w:rsidR="00000000" w:rsidDel="00000000" w:rsidP="00000000" w:rsidRDefault="00000000" w:rsidRPr="00000000" w14:paraId="0000001A">
      <w:pPr>
        <w:rPr/>
      </w:pPr>
      <w:r w:rsidDel="00000000" w:rsidR="00000000" w:rsidRPr="00000000">
        <w:rPr>
          <w:rtl w:val="0"/>
        </w:rPr>
        <w:t xml:space="preserve">Purpose of stakeholder engagement is essential for ensuring coordinated action, shared understanding, and successful delivery of the ConnectPlus project. As project manager, my role involves designing a structured process that enables clear communication, timely collaboration, and proactive management of expectations across diverse internal and external groups. Engagement is not a single activity but a continuous, adaptive process that supports alignment, reduces resistance, and strengthens organisational commitment. Research emphasises that well-planned engagement improves project clarity, enhances decision-making, and reduces the likelihood of conflict or misunderstanding (Bryde &amp; Robinson, 2005).</w:t>
      </w:r>
    </w:p>
    <w:p w:rsidR="00000000" w:rsidDel="00000000" w:rsidP="00000000" w:rsidRDefault="00000000" w:rsidRPr="00000000" w14:paraId="0000001B">
      <w:pPr>
        <w:rPr/>
      </w:pPr>
      <w:r w:rsidDel="00000000" w:rsidR="00000000" w:rsidRPr="00000000">
        <w:rPr>
          <w:rtl w:val="0"/>
        </w:rPr>
        <w:t xml:space="preserve">For a complex digital transformation initiative such as ConnectPlus – engagement must be tailored to stakeholder influence, interest, and operational relevance. This ensures that high-priority groups receive focused attention while others are kept informed through appropriate channels. Effective engagement also supports early identification of risks and opportunities – enabling me to adjust strategies as needed (Aaltonen &amp; Sivonen, 2009). Ultimately, structured stakeholder engagement contributes directly to project success by fostering collaboration, transparency, and shared ownership (Yang et al., 2011). </w:t>
      </w:r>
    </w:p>
    <w:p w:rsidR="00000000" w:rsidDel="00000000" w:rsidP="00000000" w:rsidRDefault="00000000" w:rsidRPr="00000000" w14:paraId="0000001C">
      <w:pPr>
        <w:rPr>
          <w:b w:val="1"/>
          <w:bCs w:val="1"/>
        </w:rPr>
      </w:pPr>
      <w:r w:rsidDel="00000000" w:rsidR="00000000" w:rsidRPr="00000000">
        <w:rPr>
          <w:b w:val="1"/>
          <w:bCs w:val="1"/>
          <w:rtl w:val="0"/>
        </w:rPr>
        <w:t xml:space="preserve">Engagement objectives:</w:t>
      </w:r>
    </w:p>
    <w:p w:rsidR="00000000" w:rsidDel="00000000" w:rsidP="00000000" w:rsidRDefault="00000000" w:rsidRPr="00000000" w14:paraId="0000001D">
      <w:pPr>
        <w:rPr/>
      </w:pPr>
      <w:r w:rsidDel="00000000" w:rsidR="00000000" w:rsidRPr="00000000">
        <w:rPr>
          <w:rtl w:val="0"/>
        </w:rPr>
        <w:t xml:space="preserve">The primary objective of stakeholder engagement within the ConnectPlus project to establish clear, structured communication that supports collaboration, reduces certainty, and ensures alignment across all stakeholder groups. As the project manager, my aim is to create an engagement process that enables stakeholders to understand their roles, contribute effectively, and remain informed throughout each project phase. A well-defined engagement plan strengthens coordination and supports early identification of risks or conflicts (Freeman, 2010).</w:t>
      </w:r>
    </w:p>
    <w:p w:rsidR="00000000" w:rsidDel="00000000" w:rsidP="00000000" w:rsidRDefault="00000000" w:rsidRPr="00000000" w14:paraId="0000001E">
      <w:pPr>
        <w:rPr/>
      </w:pPr>
      <w:r w:rsidDel="00000000" w:rsidR="00000000" w:rsidRPr="00000000">
        <w:rPr>
          <w:rtl w:val="0"/>
        </w:rPr>
        <w:t xml:space="preserve">A second objective is to tailor engagement according to stakeholder characteristics using models such as </w:t>
      </w:r>
      <w:r w:rsidDel="00000000" w:rsidR="00000000" w:rsidRPr="00000000">
        <w:rPr>
          <w:b w:val="1"/>
          <w:bCs w:val="1"/>
          <w:rtl w:val="0"/>
        </w:rPr>
        <w:t xml:space="preserve">stakeholder typology</w:t>
      </w:r>
      <w:r w:rsidDel="00000000" w:rsidR="00000000" w:rsidRPr="00000000">
        <w:rPr>
          <w:rtl w:val="0"/>
        </w:rPr>
        <w:t xml:space="preserve"> and the </w:t>
      </w:r>
      <w:r w:rsidDel="00000000" w:rsidR="00000000" w:rsidRPr="00000000">
        <w:rPr>
          <w:b w:val="1"/>
          <w:bCs w:val="1"/>
          <w:rtl w:val="0"/>
        </w:rPr>
        <w:t xml:space="preserve">4Cs framework</w:t>
      </w:r>
      <w:r w:rsidDel="00000000" w:rsidR="00000000" w:rsidRPr="00000000">
        <w:rPr>
          <w:rtl w:val="0"/>
        </w:rPr>
        <w:t xml:space="preserve"> – communication, collaboration, consultation, and commitment – to ensure that each group receives the appropriate level of involvement. This approach enhances transparency and encourages shared ownership of project outcomes (Bryson, 2018).</w:t>
      </w:r>
    </w:p>
    <w:p w:rsidR="00000000" w:rsidDel="00000000" w:rsidP="00000000" w:rsidRDefault="00000000" w:rsidRPr="00000000" w14:paraId="0000001F">
      <w:pPr>
        <w:rPr/>
      </w:pPr>
      <w:r w:rsidDel="00000000" w:rsidR="00000000" w:rsidRPr="00000000">
        <w:rPr>
          <w:rtl w:val="0"/>
        </w:rPr>
        <w:t xml:space="preserve">Finally, engagement objectives include establishing accountability through tools such as the </w:t>
      </w:r>
      <w:r w:rsidDel="00000000" w:rsidR="00000000" w:rsidRPr="00000000">
        <w:rPr>
          <w:b w:val="1"/>
          <w:bCs w:val="1"/>
          <w:rtl w:val="0"/>
        </w:rPr>
        <w:t xml:space="preserve">RACI matrix</w:t>
      </w:r>
      <w:r w:rsidDel="00000000" w:rsidR="00000000" w:rsidRPr="00000000">
        <w:rPr>
          <w:rtl w:val="0"/>
        </w:rPr>
        <w:t xml:space="preserve"> – which clarifies responsibilities and improves decision-making efficiency. Effective engagement ultimately supports smoother implementation and stronger stakeholder commitment (Reed at al., 2009).</w:t>
      </w:r>
    </w:p>
    <w:p w:rsidR="00000000" w:rsidDel="00000000" w:rsidP="00000000" w:rsidRDefault="00000000" w:rsidRPr="00000000" w14:paraId="00000020">
      <w:pPr>
        <w:rPr>
          <w:b w:val="1"/>
          <w:bCs w:val="1"/>
        </w:rPr>
      </w:pPr>
      <w:r w:rsidDel="00000000" w:rsidR="00000000" w:rsidRPr="00000000">
        <w:rPr>
          <w:b w:val="1"/>
          <w:bCs w:val="1"/>
          <w:rtl w:val="0"/>
        </w:rPr>
        <w:t xml:space="preserve">Critical evaluation of engagement methods:</w:t>
      </w:r>
    </w:p>
    <w:p w:rsidR="00000000" w:rsidDel="00000000" w:rsidP="00000000" w:rsidRDefault="00000000" w:rsidRPr="00000000" w14:paraId="00000021">
      <w:pPr>
        <w:rPr/>
      </w:pPr>
      <w:r w:rsidDel="00000000" w:rsidR="00000000" w:rsidRPr="00000000">
        <w:rPr>
          <w:rtl w:val="0"/>
        </w:rPr>
        <w:t xml:space="preserve">Engaging stakeholders effectively in the ConnectPlus project requires a combination of structured communication tools, behavioural frameworks, and adaptive management techniques. As the project manager, my engagement approach must be critically evaluated to ensure that it meets the needs of diverse stakeholder groups. Formal communication plans provide clarity and consistency – enabling stakeholders to receive timely updates and reduce ambiguity across departments. Their effectiveness lies in supporting transparency – though they may be limited if communication overly top-down (Kerzner, 2017).</w:t>
      </w:r>
    </w:p>
    <w:p w:rsidR="00000000" w:rsidDel="00000000" w:rsidP="00000000" w:rsidRDefault="00000000" w:rsidRPr="00000000" w14:paraId="00000022">
      <w:pPr>
        <w:rPr/>
      </w:pPr>
      <w:r w:rsidDel="00000000" w:rsidR="00000000" w:rsidRPr="00000000">
        <w:rPr>
          <w:rtl w:val="0"/>
        </w:rPr>
        <w:t xml:space="preserve">Interactive methods such as workshops, cross-functional meetings, and collaborative problem-solving sessions encourage participation and strengthen shared ownership. These approaches align with the </w:t>
      </w:r>
      <w:r w:rsidDel="00000000" w:rsidR="00000000" w:rsidRPr="00000000">
        <w:rPr>
          <w:b w:val="1"/>
          <w:bCs w:val="1"/>
          <w:rtl w:val="0"/>
        </w:rPr>
        <w:t xml:space="preserve">4Cs model</w:t>
      </w:r>
      <w:r w:rsidDel="00000000" w:rsidR="00000000" w:rsidRPr="00000000">
        <w:rPr>
          <w:rtl w:val="0"/>
        </w:rPr>
        <w:t xml:space="preserve"> – communication, collaboration, consultation, and commitment – helping stakeholders feel involved in decision making. However, they require significant time and coordination – which can challenge fast-paced digital projects (Macnamara, 2016). </w:t>
      </w:r>
    </w:p>
    <w:p w:rsidR="00000000" w:rsidDel="00000000" w:rsidP="00000000" w:rsidRDefault="00000000" w:rsidRPr="00000000" w14:paraId="00000023">
      <w:pPr>
        <w:rPr/>
      </w:pPr>
      <w:r w:rsidDel="00000000" w:rsidR="00000000" w:rsidRPr="00000000">
        <w:rPr>
          <w:rtl w:val="0"/>
        </w:rPr>
        <w:t xml:space="preserve">Frameworks such as </w:t>
      </w:r>
      <w:r w:rsidDel="00000000" w:rsidR="00000000" w:rsidRPr="00000000">
        <w:rPr>
          <w:b w:val="1"/>
          <w:bCs w:val="1"/>
          <w:rtl w:val="0"/>
        </w:rPr>
        <w:t xml:space="preserve">SWANS</w:t>
      </w:r>
      <w:r w:rsidDel="00000000" w:rsidR="00000000" w:rsidRPr="00000000">
        <w:rPr>
          <w:rtl w:val="0"/>
        </w:rPr>
        <w:t xml:space="preserve"> and </w:t>
      </w:r>
      <w:r w:rsidDel="00000000" w:rsidR="00000000" w:rsidRPr="00000000">
        <w:rPr>
          <w:b w:val="1"/>
          <w:bCs w:val="1"/>
          <w:rtl w:val="0"/>
        </w:rPr>
        <w:t xml:space="preserve">OWANS</w:t>
      </w:r>
      <w:r w:rsidDel="00000000" w:rsidR="00000000" w:rsidRPr="00000000">
        <w:rPr>
          <w:rtl w:val="0"/>
        </w:rPr>
        <w:t xml:space="preserve"> help identify supportive and opposing stakeholders, enabling targeted engagement strategies. Similarly, tools like the stakeholder matrix and stakeholder typology assist in prioritising influence and interest – though they must be updated regularly as stakeholder position evolve (Olander, 2007). Finally, the </w:t>
      </w:r>
      <w:r w:rsidDel="00000000" w:rsidR="00000000" w:rsidRPr="00000000">
        <w:rPr>
          <w:b w:val="1"/>
          <w:bCs w:val="1"/>
          <w:rtl w:val="0"/>
        </w:rPr>
        <w:t xml:space="preserve">RACI matrix</w:t>
      </w:r>
      <w:r w:rsidDel="00000000" w:rsidR="00000000" w:rsidRPr="00000000">
        <w:rPr>
          <w:rtl w:val="0"/>
        </w:rPr>
        <w:t xml:space="preserve"> enhances accountability by clarifying responsibilities, but its effectiveness depends on consistent organisational adherence. </w:t>
      </w:r>
    </w:p>
    <w:p w:rsidR="00000000" w:rsidDel="00000000" w:rsidP="00000000" w:rsidRDefault="00000000" w:rsidRPr="00000000" w14:paraId="00000024">
      <w:pPr>
        <w:rPr>
          <w:b w:val="1"/>
          <w:bCs w:val="1"/>
        </w:rPr>
      </w:pPr>
      <w:r w:rsidDel="00000000" w:rsidR="00000000" w:rsidRPr="00000000">
        <w:rPr>
          <w:b w:val="1"/>
          <w:bCs w:val="1"/>
          <w:rtl w:val="0"/>
        </w:rPr>
        <w:t xml:space="preserve">Engagement strategy by stakeholder group:</w:t>
      </w:r>
    </w:p>
    <w:p w:rsidR="00000000" w:rsidDel="00000000" w:rsidP="00000000" w:rsidRDefault="00000000" w:rsidRPr="00000000" w14:paraId="00000025">
      <w:pPr>
        <w:rPr/>
      </w:pPr>
      <w:r w:rsidDel="00000000" w:rsidR="00000000" w:rsidRPr="00000000">
        <w:rPr>
          <w:rtl w:val="0"/>
        </w:rPr>
        <w:t xml:space="preserve">A tailored engagement strategy is essential to ensure each stakeholder group receives the appropriate level of communication, collaboration, and involvement throughout the ConnectPlus project. Senior leadership will be engaged through strategic briefings and governance meetings – ensuring alignment with organisational priorities and enabling timely decision making. This approach reflects the importance of maintaining strong executive relationships in complex projects (Pinto, 2016).</w:t>
      </w:r>
    </w:p>
    <w:p w:rsidR="00000000" w:rsidDel="00000000" w:rsidP="00000000" w:rsidRDefault="00000000" w:rsidRPr="00000000" w14:paraId="00000026">
      <w:pPr>
        <w:rPr/>
      </w:pPr>
      <w:r w:rsidDel="00000000" w:rsidR="00000000" w:rsidRPr="00000000">
        <w:rPr>
          <w:rtl w:val="0"/>
        </w:rPr>
        <w:t xml:space="preserve">The digital transformation team and IT specialists require frequent coordination meetings, technical workshops, and shared project dashboards to support collaboration and problem-solving. These methods will align with the </w:t>
      </w:r>
      <w:r w:rsidDel="00000000" w:rsidR="00000000" w:rsidRPr="00000000">
        <w:rPr>
          <w:b w:val="1"/>
          <w:bCs w:val="1"/>
          <w:rtl w:val="0"/>
        </w:rPr>
        <w:t xml:space="preserve">4Cs model</w:t>
      </w:r>
      <w:r w:rsidDel="00000000" w:rsidR="00000000" w:rsidRPr="00000000">
        <w:rPr>
          <w:rtl w:val="0"/>
        </w:rPr>
        <w:t xml:space="preserve"> – promoting communication and commitment across technical functions. Marketing teams will be engaged through campaign planning sessions and customer insight reviews, ensuring consistent messaging and effective customer-facing delivery. </w:t>
      </w:r>
    </w:p>
    <w:p w:rsidR="00000000" w:rsidDel="00000000" w:rsidP="00000000" w:rsidRDefault="00000000" w:rsidRPr="00000000" w14:paraId="00000027">
      <w:pPr>
        <w:rPr/>
      </w:pPr>
      <w:r w:rsidDel="00000000" w:rsidR="00000000" w:rsidRPr="00000000">
        <w:rPr>
          <w:rtl w:val="0"/>
        </w:rPr>
        <w:t xml:space="preserve">Store mangers and frontline employees will receive structured training, onboarding support, and feedback loops to strengthen adoption and operational readiness. Engagement with legal and compliance teams will involve regulatory reviews and GDPR workshops – ensuring risk mitigation and ethical data practices. Tailoring engagement in this way supports clarity, accountability, and shared ownership across all stakeholder groups (Turner &amp; Muller, 2004; Bourne, 2016).</w:t>
      </w:r>
    </w:p>
    <w:p w:rsidR="00000000" w:rsidDel="00000000" w:rsidP="00000000" w:rsidRDefault="00000000" w:rsidRPr="00000000" w14:paraId="00000028">
      <w:pPr>
        <w:rPr>
          <w:b w:val="1"/>
          <w:bCs w:val="1"/>
        </w:rPr>
      </w:pPr>
      <w:r w:rsidDel="00000000" w:rsidR="00000000" w:rsidRPr="00000000">
        <w:rPr>
          <w:b w:val="1"/>
          <w:bCs w:val="1"/>
          <w:rtl w:val="0"/>
        </w:rPr>
        <w:t xml:space="preserve">Evaluation of engagement methods:</w:t>
      </w:r>
    </w:p>
    <w:p w:rsidR="00000000" w:rsidDel="00000000" w:rsidP="00000000" w:rsidRDefault="00000000" w:rsidRPr="00000000" w14:paraId="00000029">
      <w:pPr>
        <w:rPr/>
      </w:pPr>
      <w:r w:rsidDel="00000000" w:rsidR="00000000" w:rsidRPr="00000000">
        <w:rPr>
          <w:rtl w:val="0"/>
        </w:rPr>
        <w:t xml:space="preserve">Evaluating stakeholder engagement methods is essential to ensure they remain effective, relevant, and aligned with the needs of the ConnectPlus project. As the project manager, I must assess how well each method supports communication, collaboration, and conflict management across diverse stakeholder groups. One key evaluation approach involves analysing feedback gathered through surveys, interviews, and structured reflection sessions – which helps identify strengths and areas requiring improvement (Rowe &amp; Frewer, 2000).</w:t>
      </w:r>
    </w:p>
    <w:p w:rsidR="00000000" w:rsidDel="00000000" w:rsidP="00000000" w:rsidRDefault="00000000" w:rsidRPr="00000000" w14:paraId="0000002A">
      <w:pPr>
        <w:rPr/>
      </w:pPr>
      <w:r w:rsidDel="00000000" w:rsidR="00000000" w:rsidRPr="00000000">
        <w:rPr>
          <w:rtl w:val="0"/>
        </w:rPr>
        <w:t xml:space="preserve">Performance indicators such as attendance levels, responsiveness, training completion rates, and adoption metrics provide measurable insights into engagement quality. These indicators help determine whether communication plans, workshops, and collaborative tools are achieving their intended outcomes (Nielsen, 2011). </w:t>
      </w:r>
    </w:p>
    <w:p w:rsidR="00000000" w:rsidDel="00000000" w:rsidP="00000000" w:rsidRDefault="00000000" w:rsidRPr="00000000" w14:paraId="0000002B">
      <w:pPr>
        <w:rPr/>
      </w:pPr>
      <w:r w:rsidDel="00000000" w:rsidR="00000000" w:rsidRPr="00000000">
        <w:rPr>
          <w:rtl w:val="0"/>
        </w:rPr>
        <w:t xml:space="preserve">Additionally, evaluating engagement requires monitoring and how effectively frameworks such as the </w:t>
      </w:r>
      <w:r w:rsidDel="00000000" w:rsidR="00000000" w:rsidRPr="00000000">
        <w:rPr>
          <w:b w:val="1"/>
          <w:bCs w:val="1"/>
          <w:rtl w:val="0"/>
        </w:rPr>
        <w:t xml:space="preserve">RACI matrix</w:t>
      </w:r>
      <w:r w:rsidDel="00000000" w:rsidR="00000000" w:rsidRPr="00000000">
        <w:rPr>
          <w:rtl w:val="0"/>
        </w:rPr>
        <w:t xml:space="preserve">, </w:t>
      </w:r>
      <w:r w:rsidDel="00000000" w:rsidR="00000000" w:rsidRPr="00000000">
        <w:rPr>
          <w:b w:val="1"/>
          <w:bCs w:val="1"/>
          <w:rtl w:val="0"/>
        </w:rPr>
        <w:t xml:space="preserve">stakeholder matrix</w:t>
      </w:r>
      <w:r w:rsidDel="00000000" w:rsidR="00000000" w:rsidRPr="00000000">
        <w:rPr>
          <w:rtl w:val="0"/>
        </w:rPr>
        <w:t xml:space="preserve">, and the </w:t>
      </w:r>
      <w:r w:rsidDel="00000000" w:rsidR="00000000" w:rsidRPr="00000000">
        <w:rPr>
          <w:b w:val="1"/>
          <w:bCs w:val="1"/>
          <w:rtl w:val="0"/>
        </w:rPr>
        <w:t xml:space="preserve">4Cs model</w:t>
      </w:r>
      <w:r w:rsidDel="00000000" w:rsidR="00000000" w:rsidRPr="00000000">
        <w:rPr>
          <w:rtl w:val="0"/>
        </w:rPr>
        <w:t xml:space="preserve"> supports clarity and accountability. Regular review ensures that engagement strategies adapt to evolving stakeholder needs and project conditions – strengthening long-term alignment and reducing conflict (Edelenbos &amp; Klijn, 2007).</w:t>
      </w:r>
    </w:p>
    <w:p w:rsidR="00000000" w:rsidDel="00000000" w:rsidP="00000000" w:rsidRDefault="00000000" w:rsidRPr="00000000" w14:paraId="0000002C">
      <w:pPr>
        <w:rPr>
          <w:b w:val="1"/>
          <w:bCs w:val="1"/>
        </w:rPr>
      </w:pPr>
      <w:r w:rsidDel="00000000" w:rsidR="00000000" w:rsidRPr="00000000">
        <w:rPr>
          <w:b w:val="1"/>
          <w:bCs w:val="1"/>
          <w:rtl w:val="0"/>
        </w:rPr>
        <w:t xml:space="preserve">Risks and mitigation:</w:t>
      </w:r>
    </w:p>
    <w:p w:rsidR="00000000" w:rsidDel="00000000" w:rsidP="00000000" w:rsidRDefault="00000000" w:rsidRPr="00000000" w14:paraId="0000002D">
      <w:pPr>
        <w:rPr/>
      </w:pPr>
      <w:r w:rsidDel="00000000" w:rsidR="00000000" w:rsidRPr="00000000">
        <w:rPr>
          <w:rtl w:val="0"/>
        </w:rPr>
        <w:t xml:space="preserve">Effective stakeholder engagement also requires recognising and mitigating risks that may disrupt communication, collaboration, or project progress. One key risk involves stakeholder disengagement – which can occur when communication is inconsistent or when stakeholders feel their input is undervalued. This risk can be mitigated through structured involvement plans, regular updates, and inclusive decision-making processes that reinforce transparency and trust (Morris, 2013). </w:t>
      </w:r>
    </w:p>
    <w:p w:rsidR="00000000" w:rsidDel="00000000" w:rsidP="00000000" w:rsidRDefault="00000000" w:rsidRPr="00000000" w14:paraId="0000002E">
      <w:pPr>
        <w:rPr/>
      </w:pPr>
      <w:r w:rsidDel="00000000" w:rsidR="00000000" w:rsidRPr="00000000">
        <w:rPr>
          <w:rtl w:val="0"/>
        </w:rPr>
        <w:t xml:space="preserve">Another significant risk is conflict between stakeholder groups – particularly when priorities differ or resource constraints emerge. Applying frameworks such as the </w:t>
      </w:r>
      <w:r w:rsidDel="00000000" w:rsidR="00000000" w:rsidRPr="00000000">
        <w:rPr>
          <w:b w:val="1"/>
          <w:bCs w:val="1"/>
          <w:rtl w:val="0"/>
        </w:rPr>
        <w:t xml:space="preserve">4Cs model</w:t>
      </w:r>
      <w:r w:rsidDel="00000000" w:rsidR="00000000" w:rsidRPr="00000000">
        <w:rPr>
          <w:rtl w:val="0"/>
        </w:rPr>
        <w:t xml:space="preserve"> and maintaining clarity through tools like the </w:t>
      </w:r>
      <w:r w:rsidDel="00000000" w:rsidR="00000000" w:rsidRPr="00000000">
        <w:rPr>
          <w:b w:val="1"/>
          <w:bCs w:val="1"/>
          <w:rtl w:val="0"/>
        </w:rPr>
        <w:t xml:space="preserve">RACI matrix</w:t>
      </w:r>
      <w:r w:rsidDel="00000000" w:rsidR="00000000" w:rsidRPr="00000000">
        <w:rPr>
          <w:rtl w:val="0"/>
        </w:rPr>
        <w:t xml:space="preserve"> helps reduce misunderstandings and supports constructive dialogue. Additionally, resistance to change may arise among frontline employees or departments unfamiliar with digital transformations. This can be mitigated through targeted training, early involvement, and continuous support – ensuring stakeholders confident and prepared (Kotter, 1996).</w:t>
      </w:r>
    </w:p>
    <w:p w:rsidR="00000000" w:rsidDel="00000000" w:rsidP="00000000" w:rsidRDefault="00000000" w:rsidRPr="00000000" w14:paraId="0000002F">
      <w:pPr>
        <w:rPr/>
      </w:pPr>
      <w:r w:rsidDel="00000000" w:rsidR="00000000" w:rsidRPr="00000000">
        <w:rPr>
          <w:rtl w:val="0"/>
        </w:rPr>
        <w:t xml:space="preserve">Proactive risk management ultimately strengthens engagement quality and supports smoother project delivery. </w:t>
      </w:r>
    </w:p>
    <w:p w:rsidR="00000000" w:rsidDel="00000000" w:rsidP="00000000" w:rsidRDefault="00000000" w:rsidRPr="00000000" w14:paraId="00000030">
      <w:pPr>
        <w:rPr>
          <w:b w:val="1"/>
          <w:bCs w:val="1"/>
        </w:rPr>
      </w:pPr>
      <w:r w:rsidDel="00000000" w:rsidR="00000000" w:rsidRPr="00000000">
        <w:rPr>
          <w:b w:val="1"/>
          <w:bCs w:val="1"/>
          <w:rtl w:val="0"/>
        </w:rPr>
        <w:t xml:space="preserve">SWANS and OWANS:</w:t>
      </w:r>
    </w:p>
    <w:p w:rsidR="00000000" w:rsidDel="00000000" w:rsidP="00000000" w:rsidRDefault="00000000" w:rsidRPr="00000000" w14:paraId="00000031">
      <w:pPr>
        <w:rPr/>
      </w:pPr>
      <w:r w:rsidDel="00000000" w:rsidR="00000000" w:rsidRPr="00000000">
        <w:rPr>
          <w:rtl w:val="0"/>
        </w:rPr>
        <w:t xml:space="preserve">The SWANS (Supporters, Winners, Advocates, Neutrals, Sceptics) and OWANS (Opponents, Withholders, Adversaries, Non-supporters, Saboteurs) models can help classify stakeholders based on their attitudes towards the project. These frameworks enable me to anticipate behavioural responses, tailor communication, and prioritise engagement strategies accordingly. Understanding supportive versus resistant groups strengthens conflict management and targeted intervention (Eskerod &amp; Jepsen, 2013).</w:t>
      </w:r>
    </w:p>
    <w:p w:rsidR="00000000" w:rsidDel="00000000" w:rsidP="00000000" w:rsidRDefault="00000000" w:rsidRPr="00000000" w14:paraId="00000032">
      <w:pPr>
        <w:rPr/>
      </w:pPr>
      <w:r w:rsidDel="00000000" w:rsidR="00000000" w:rsidRPr="00000000">
        <w:rPr>
          <w:rtl w:val="0"/>
        </w:rPr>
        <w:t xml:space="preserve">Within the ConnectPlus project, SWANS and OWANS can guide decisions about where to intensify collaboration, provide reassurance, or address concerns early. This structured categorisation improves engagement planning and reduces the likelihood of stakeholder-driven disruption (Mitchell et al. 1997).</w:t>
      </w:r>
    </w:p>
    <w:p w:rsidR="00000000" w:rsidDel="00000000" w:rsidP="00000000" w:rsidRDefault="00000000" w:rsidRPr="00000000" w14:paraId="00000033">
      <w:pPr>
        <w:rPr>
          <w:b w:val="1"/>
          <w:bCs w:val="1"/>
        </w:rPr>
      </w:pPr>
      <w:r w:rsidDel="00000000" w:rsidR="00000000" w:rsidRPr="00000000">
        <w:rPr>
          <w:b w:val="1"/>
          <w:bCs w:val="1"/>
          <w:rtl w:val="0"/>
        </w:rPr>
        <w:t xml:space="preserve">Closing summary:</w:t>
      </w:r>
    </w:p>
    <w:p w:rsidR="00000000" w:rsidDel="00000000" w:rsidP="00000000" w:rsidRDefault="00000000" w:rsidRPr="00000000" w14:paraId="00000034">
      <w:pPr>
        <w:rPr/>
      </w:pPr>
      <w:r w:rsidDel="00000000" w:rsidR="00000000" w:rsidRPr="00000000">
        <w:rPr>
          <w:rtl w:val="0"/>
        </w:rPr>
        <w:t xml:space="preserve">The stakeholder engagement process for the ConnectPlus project relies on structured communication, tailored strategies, and continuous evaluation to ensure alignment across all groups. As the project manager, my role is to maintain clarity, encourage collaboration, and adapt engagement methods as stakeholder needs evolve. By applying appropriate frameworks. Managing risks proactively and fostering open dialogue – the project benefits from stronger commitment and reduced conflict. Effective engagement ultimately supports smoother implementation, improved decision-making, and greater organisational readiness. The foundation prepares the business for the next stage of analysis on sustainable stakeholders’ engagement and its long-term impact on performance. </w:t>
      </w:r>
    </w:p>
    <w:p w:rsidR="00000000" w:rsidDel="00000000" w:rsidP="00000000" w:rsidRDefault="00000000" w:rsidRPr="00000000" w14:paraId="00000035">
      <w:pPr>
        <w:rPr>
          <w:sz w:val="32"/>
          <w:szCs w:val="32"/>
          <w:u w:val="single"/>
        </w:rPr>
      </w:pPr>
      <w:r w:rsidDel="00000000" w:rsidR="00000000" w:rsidRPr="00000000">
        <w:rPr>
          <w:sz w:val="32"/>
          <w:szCs w:val="32"/>
          <w:u w:val="single"/>
          <w:rtl w:val="0"/>
        </w:rPr>
        <w:t xml:space="preserve">Evaluation of sustainable stakeholders’ engagement</w:t>
      </w:r>
    </w:p>
    <w:p w:rsidR="00000000" w:rsidDel="00000000" w:rsidP="00000000" w:rsidRDefault="00000000" w:rsidRPr="00000000" w14:paraId="00000036">
      <w:pPr>
        <w:rPr>
          <w:b w:val="1"/>
          <w:bCs w:val="1"/>
        </w:rPr>
      </w:pPr>
      <w:r w:rsidDel="00000000" w:rsidR="00000000" w:rsidRPr="00000000">
        <w:rPr>
          <w:b w:val="1"/>
          <w:bCs w:val="1"/>
          <w:rtl w:val="0"/>
        </w:rPr>
        <w:t xml:space="preserve">Introduction to sustainable stakeholders:</w:t>
      </w:r>
    </w:p>
    <w:p w:rsidR="00000000" w:rsidDel="00000000" w:rsidP="00000000" w:rsidRDefault="00000000" w:rsidRPr="00000000" w14:paraId="00000037">
      <w:pPr>
        <w:rPr/>
      </w:pPr>
      <w:r w:rsidDel="00000000" w:rsidR="00000000" w:rsidRPr="00000000">
        <w:rPr>
          <w:rtl w:val="0"/>
        </w:rPr>
        <w:t xml:space="preserve">Sustainable stakeholder engagement refers to long-term, continuous involvement that supports trust, collaboration, and shared responsibility across the organisation. For the ConnectPlus project, sustainable engagement ensures that communication remains consistent, expectations are managed effectively, and stakeholders feel valued throughout the digital transformation process. This approach goes beyond short-term interaction by creating lasting relationships that strengthen alignment and reduce resistance. Sustainable engagement also supports organisational learning, enabling stakeholders to adapt to new technologies and contribute meaningfully to project development. Ultimately, long-term engagement forms the foundation for improved performance, smoother implementation, and stronger commitment across all stakeholder groups.</w:t>
      </w:r>
    </w:p>
    <w:p w:rsidR="00000000" w:rsidDel="00000000" w:rsidP="00000000" w:rsidRDefault="00000000" w:rsidRPr="00000000" w14:paraId="00000038">
      <w:pPr>
        <w:rPr>
          <w:b w:val="1"/>
          <w:bCs w:val="1"/>
        </w:rPr>
      </w:pPr>
      <w:r w:rsidDel="00000000" w:rsidR="00000000" w:rsidRPr="00000000">
        <w:rPr>
          <w:b w:val="1"/>
          <w:bCs w:val="1"/>
          <w:rtl w:val="0"/>
        </w:rPr>
        <w:t xml:space="preserve">Operational performance improvements:</w:t>
      </w:r>
    </w:p>
    <w:p w:rsidR="00000000" w:rsidDel="00000000" w:rsidP="00000000" w:rsidRDefault="00000000" w:rsidRPr="00000000" w14:paraId="00000039">
      <w:pPr>
        <w:rPr/>
      </w:pPr>
      <w:r w:rsidDel="00000000" w:rsidR="00000000" w:rsidRPr="00000000">
        <w:rPr>
          <w:rtl w:val="0"/>
        </w:rPr>
        <w:t xml:space="preserve">Sustainable stakeholder engagement directly enhances operational performance by improving coordination, communication, and day-to-day efficiency across the ConnectPlus project. When stakeholder remain consistently involved, operational tasks become clearer, delays are reduced, and cross-departmental collaboration strengthens. Tools such as the RACI matrix help clarify responsibilities – ensuring that teams understand their roles and avoid duplication of effort. Frontline employees benefit from ongoing engagement through continuous training and feedback loops – which improve confidence and service quality. Sustained engagement also supports faster issue resolution, as stakeholders feel more comfortable raising concerns early (Kerzner, 2017). Overall, long-term engagement leads to smoother operations and more reliable project delivery.</w:t>
      </w:r>
    </w:p>
    <w:p w:rsidR="00000000" w:rsidDel="00000000" w:rsidP="00000000" w:rsidRDefault="00000000" w:rsidRPr="00000000" w14:paraId="0000003A">
      <w:pPr>
        <w:rPr>
          <w:b w:val="1"/>
          <w:bCs w:val="1"/>
        </w:rPr>
      </w:pPr>
      <w:r w:rsidDel="00000000" w:rsidR="00000000" w:rsidRPr="00000000">
        <w:rPr>
          <w:b w:val="1"/>
          <w:bCs w:val="1"/>
          <w:rtl w:val="0"/>
        </w:rPr>
        <w:t xml:space="preserve">Strategic performance improvements:</w:t>
      </w:r>
    </w:p>
    <w:p w:rsidR="00000000" w:rsidDel="00000000" w:rsidP="00000000" w:rsidRDefault="00000000" w:rsidRPr="00000000" w14:paraId="0000003B">
      <w:pPr>
        <w:rPr/>
      </w:pPr>
      <w:r w:rsidDel="00000000" w:rsidR="00000000" w:rsidRPr="00000000">
        <w:rPr>
          <w:rtl w:val="0"/>
        </w:rPr>
        <w:t xml:space="preserve">Sustainable stakeholder engagement strengthens strategic performance by improving alignment between departments, enhancing decisions making, and supporting long-term digital transformation goals. When senior leadership, IT teams, marketing, and frontline employees remain consistently engaged – strategic priorities become clearer and more effectively coordinated. This reduces uncertainty and ensures that decisions reflect diverse operational insights. Frameworks such as stakeholder typology and SWANS / OWANS help identify supportive and resistant groups – enabling more targeted strategic planning. Sustained engagement also encourages commitment to innovation, ensuring stakeholders remain invested in the ConnectPlus platform’s future direction (Pinto, 2016). Overall, long-term engagement enhances strategic clarity and organisational resilience. </w:t>
      </w:r>
    </w:p>
    <w:p w:rsidR="00000000" w:rsidDel="00000000" w:rsidP="00000000" w:rsidRDefault="00000000" w:rsidRPr="00000000" w14:paraId="0000003C">
      <w:pPr>
        <w:rPr>
          <w:b w:val="1"/>
          <w:bCs w:val="1"/>
        </w:rPr>
      </w:pPr>
      <w:r w:rsidDel="00000000" w:rsidR="00000000" w:rsidRPr="00000000">
        <w:rPr>
          <w:b w:val="1"/>
          <w:bCs w:val="1"/>
          <w:rtl w:val="0"/>
        </w:rPr>
        <w:t xml:space="preserve">Customer experience and market performance:</w:t>
      </w:r>
    </w:p>
    <w:p w:rsidR="00000000" w:rsidDel="00000000" w:rsidP="00000000" w:rsidRDefault="00000000" w:rsidRPr="00000000" w14:paraId="0000003D">
      <w:pPr>
        <w:rPr/>
      </w:pPr>
      <w:r w:rsidDel="00000000" w:rsidR="00000000" w:rsidRPr="00000000">
        <w:rPr>
          <w:rtl w:val="0"/>
        </w:rPr>
        <w:t xml:space="preserve">Sustainable stakeholder engagement has a direct impact on customer experience and overall market performance. When marketing teams, store managers, and frontline employees remain consistently involved – customer-facing processes become more coherent, responsive and aligned with customer needs. Continuous engagement ensures that feedback loops are active, enabling rapid improvements to the ConnectPlus platform and enhancing customer satisfaction. Clear communication plans also support consistent messaging, strengthening brand trust and loyalty. As stakeholders collaborate more effectively – customer adoption increases, contributing to stronger market positioning and competitive advantage (Rowe &amp; Frewer, 2000). Ultimately, sustained engagement drives better customer outcomes and improved business performance. </w:t>
      </w:r>
    </w:p>
    <w:p w:rsidR="00000000" w:rsidDel="00000000" w:rsidP="00000000" w:rsidRDefault="00000000" w:rsidRPr="00000000" w14:paraId="0000003E">
      <w:pPr>
        <w:rPr>
          <w:b w:val="1"/>
          <w:bCs w:val="1"/>
        </w:rPr>
      </w:pPr>
      <w:r w:rsidDel="00000000" w:rsidR="00000000" w:rsidRPr="00000000">
        <w:rPr>
          <w:b w:val="1"/>
          <w:bCs w:val="1"/>
          <w:rtl w:val="0"/>
        </w:rPr>
        <w:t xml:space="preserve">Innovation and digital transformation impact:</w:t>
      </w:r>
    </w:p>
    <w:p w:rsidR="00000000" w:rsidDel="00000000" w:rsidP="00000000" w:rsidRDefault="00000000" w:rsidRPr="00000000" w14:paraId="0000003F">
      <w:pPr>
        <w:rPr/>
      </w:pPr>
      <w:r w:rsidDel="00000000" w:rsidR="00000000" w:rsidRPr="00000000">
        <w:rPr>
          <w:rtl w:val="0"/>
        </w:rPr>
        <w:t xml:space="preserve">Sustainable stakeholder engagement significantly enhances innovation and supports successful digital transformation within the ConnectPlus project. When IT teams, data analysts, marketing, and frontline employees remain consistently involved – they contribute valuable insights that shape system improvements and new digital features. Continuous engagement also reduces resistance to technological change, as stakeholders feel informed, supported, and confident in adopting new tools. Frameworks such as the interest-influence matrix help prioritise key contributors – accelerating innovation and problem-solving. Sustained collaboration ultimately strengthens digital capability – enabling the organisation to adapt quickly and remain competitive in a fast-changing retail environment (Nielsen, 2011).</w:t>
      </w:r>
    </w:p>
    <w:p w:rsidR="00000000" w:rsidDel="00000000" w:rsidP="00000000" w:rsidRDefault="00000000" w:rsidRPr="00000000" w14:paraId="00000040">
      <w:pPr>
        <w:rPr/>
      </w:pPr>
      <w:r w:rsidDel="00000000" w:rsidR="00000000" w:rsidRPr="00000000">
        <w:rPr>
          <w:b w:val="1"/>
          <w:bCs w:val="1"/>
          <w:rtl w:val="0"/>
        </w:rPr>
        <w:t xml:space="preserve">Risk reduction and conflict management:</w:t>
      </w:r>
      <w:r w:rsidDel="00000000" w:rsidR="00000000" w:rsidRPr="00000000">
        <w:rPr>
          <w:rtl w:val="0"/>
        </w:rPr>
        <w:br w:type="textWrapping"/>
        <w:t xml:space="preserve">sustainable stakeholder engagement plays a crucial role in reducing project risks and managing conflict effectively within the ConnectPlus initiative. When stakeholders are consistent involved, potential issues are identified earlier – allowing me to address concerns before they escalate. Continuous communication also reduces misunderstandings, ensuring that expectations remain aligned across departments. Frameworks such as the RACI matrix and the4Cs model support clarity and collaboration – helping stakeholders understand their responsibilities and encouraging constructive dialogue. </w:t>
      </w:r>
    </w:p>
    <w:p w:rsidR="00000000" w:rsidDel="00000000" w:rsidP="00000000" w:rsidRDefault="00000000" w:rsidRPr="00000000" w14:paraId="00000041">
      <w:pPr>
        <w:rPr/>
      </w:pPr>
      <w:r w:rsidDel="00000000" w:rsidR="00000000" w:rsidRPr="00000000">
        <w:rPr>
          <w:rtl w:val="0"/>
        </w:rPr>
        <w:t xml:space="preserve">Sustained engagement also minimises resistance to change, particularly among frontline employees who may feel uncertain about new digital processes. By providing ongoing support, training, and opportunities for feedback, the project manager fosters trust and reduces anxiety. This proactive approach strengthens relationships and creates a more stable project environment. Ultimately, long-term engagement enhances conflict resolution and contributes to smoother project delivery (Edelenbos &amp; Klijn, 2007).</w:t>
      </w:r>
    </w:p>
    <w:p w:rsidR="00000000" w:rsidDel="00000000" w:rsidP="00000000" w:rsidRDefault="00000000" w:rsidRPr="00000000" w14:paraId="00000042">
      <w:pPr>
        <w:rPr>
          <w:b w:val="1"/>
          <w:bCs w:val="1"/>
        </w:rPr>
      </w:pPr>
      <w:r w:rsidDel="00000000" w:rsidR="00000000" w:rsidRPr="00000000">
        <w:rPr>
          <w:b w:val="1"/>
          <w:bCs w:val="1"/>
          <w:rtl w:val="0"/>
        </w:rPr>
        <w:t xml:space="preserve">Long-term organisational benefits:</w:t>
      </w:r>
    </w:p>
    <w:p w:rsidR="00000000" w:rsidDel="00000000" w:rsidP="00000000" w:rsidRDefault="00000000" w:rsidRPr="00000000" w14:paraId="00000043">
      <w:pPr>
        <w:rPr/>
      </w:pPr>
      <w:r w:rsidDel="00000000" w:rsidR="00000000" w:rsidRPr="00000000">
        <w:rPr>
          <w:rtl w:val="0"/>
        </w:rPr>
        <w:t xml:space="preserve">Sustainable stakeholder engagement creates long-term organisational benefits by strengthening trust, collaboration, and cultural alignment across the business. When stakeholders remain consistently involved – they develop a deeper understanding of organisational goals, which supports more unified decision-making and long-term stability. This ongoing engagement also enhances employee morale – as individuals feel valued and included in shaping the ConnectPlus project. Over time, these behaviours contribute to a more resilient organisational culture capable of adapting to technological change and evolving customer expectations. </w:t>
      </w:r>
    </w:p>
    <w:p w:rsidR="00000000" w:rsidDel="00000000" w:rsidP="00000000" w:rsidRDefault="00000000" w:rsidRPr="00000000" w14:paraId="00000044">
      <w:pPr>
        <w:rPr/>
      </w:pPr>
      <w:r w:rsidDel="00000000" w:rsidR="00000000" w:rsidRPr="00000000">
        <w:rPr>
          <w:rtl w:val="0"/>
        </w:rPr>
        <w:t xml:space="preserve">Sustained engagement further improves productivity – as teams communicate more effectively and share knowledge across departments. This leads to better innovation, smoother implementation of new systems, and stronger competitive advantage. Ultimately, long-term engagement supports continuous improvement and positions the organisation for future growth and digital maturity (Bourne, 2016).</w:t>
      </w:r>
    </w:p>
    <w:p w:rsidR="00000000" w:rsidDel="00000000" w:rsidP="00000000" w:rsidRDefault="00000000" w:rsidRPr="00000000" w14:paraId="00000045">
      <w:pPr>
        <w:rPr>
          <w:sz w:val="32"/>
          <w:szCs w:val="32"/>
          <w:u w:val="single"/>
        </w:rPr>
      </w:pPr>
      <w:r w:rsidDel="00000000" w:rsidR="00000000" w:rsidRPr="00000000">
        <w:rPr>
          <w:sz w:val="32"/>
          <w:szCs w:val="32"/>
          <w:u w:val="single"/>
          <w:rtl w:val="0"/>
        </w:rPr>
        <w:t xml:space="preserve">Recommendations and Conclusion</w:t>
      </w:r>
    </w:p>
    <w:p w:rsidR="00000000" w:rsidDel="00000000" w:rsidP="00000000" w:rsidRDefault="00000000" w:rsidRPr="00000000" w14:paraId="00000046">
      <w:pPr>
        <w:rPr/>
      </w:pPr>
      <w:r w:rsidDel="00000000" w:rsidR="00000000" w:rsidRPr="00000000">
        <w:rPr>
          <w:rtl w:val="0"/>
        </w:rPr>
        <w:t xml:space="preserve">To strengthen the long-term success of the ConnectPlus project, several recommendations should be considered to enhance sustainable stakeholder engagement. First, the organisation should adopt a more structured and consistent communication approach across all stakeholder groups. Regular updates, transparent decision-making and accessible communication channels will help maintain trust and reduce uncertainty. Establishing a formal engagement plan will support clarity and ensure all stakeholders remain informed throughout the project lifecycle. </w:t>
      </w:r>
    </w:p>
    <w:p w:rsidR="00000000" w:rsidDel="00000000" w:rsidP="00000000" w:rsidRDefault="00000000" w:rsidRPr="00000000" w14:paraId="00000047">
      <w:pPr>
        <w:rPr/>
      </w:pPr>
      <w:r w:rsidDel="00000000" w:rsidR="00000000" w:rsidRPr="00000000">
        <w:rPr>
          <w:rtl w:val="0"/>
        </w:rPr>
        <w:t xml:space="preserve">Second, the organisation should invest I continuous training and development for frontline employees, store managers, and digital teams. Ongoing support will reduce resistance to change, improve confidence in new technology, and encourage active participation in digital transformation initiatives. Creating feedback loops that allow stakeholders to share their concerns, suggestions, and insights will further strengthen collaboration and help identify issues early. </w:t>
      </w:r>
    </w:p>
    <w:p w:rsidR="00000000" w:rsidDel="00000000" w:rsidP="00000000" w:rsidRDefault="00000000" w:rsidRPr="00000000" w14:paraId="00000048">
      <w:pPr>
        <w:rPr/>
      </w:pPr>
      <w:r w:rsidDel="00000000" w:rsidR="00000000" w:rsidRPr="00000000">
        <w:rPr>
          <w:rtl w:val="0"/>
        </w:rPr>
        <w:t xml:space="preserve">Third, stakeholder mapping tools should be reviewed and updated regularly to ensure engagement strategies remain relevant as stakeholder influence, interest, and attitudes evolve. This will allow the project manager to prioritise key groups effectively and tailor engagement methods to their needs. </w:t>
      </w:r>
    </w:p>
    <w:p w:rsidR="00000000" w:rsidDel="00000000" w:rsidP="00000000" w:rsidRDefault="00000000" w:rsidRPr="00000000" w14:paraId="00000049">
      <w:pPr>
        <w:rPr/>
      </w:pPr>
      <w:r w:rsidDel="00000000" w:rsidR="00000000" w:rsidRPr="00000000">
        <w:rPr>
          <w:rtl w:val="0"/>
        </w:rPr>
        <w:t xml:space="preserve">In conclusion, sustainable stakeholder engagement is essential for achieving strong business performance and ensuring long-term success of the ConnectPlus project. By maintaining consistent communication, encouraging collaborations, and supporting stakeholders through ongoing training – the organisation can reduce conflict, improve operational efficiency, and strengthen strategic alignment. Sustainable engagement also enhances customer experience, supports innovation, and builds organisational resilience. Ultimately, prioritising long-term stakeholder relationships will enable the business to adapt more effectively to digital transformation and maintain a competitive position within the retail market. </w:t>
      </w:r>
    </w:p>
    <w:p w:rsidR="00000000" w:rsidDel="00000000" w:rsidP="00000000" w:rsidRDefault="00000000" w:rsidRPr="00000000" w14:paraId="0000004A">
      <w:pPr>
        <w:rPr>
          <w:sz w:val="32"/>
          <w:szCs w:val="32"/>
          <w:u w:val="single"/>
        </w:rPr>
      </w:pPr>
      <w:r w:rsidDel="00000000" w:rsidR="00000000" w:rsidRPr="00000000">
        <w:rPr>
          <w:sz w:val="32"/>
          <w:szCs w:val="32"/>
          <w:u w:val="single"/>
          <w:rtl w:val="0"/>
        </w:rPr>
        <w:t xml:space="preserve">References list</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Bourne, L., (2016)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Stakeholder Relationship Management: A Maturity for Organisational implementation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Edelenbos, J. &amp; Klijn, E-H. (2007) ‘Trust in complex decision-making networks: A theoretical and empirical exploration’,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Administration &amp; Society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39(1), pp. 25-50.</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Eskerod, P. &amp; Jepsen, A.L. (2013)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Project Stakeholder Management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Gower Publishing.</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Kerzner, H. (2017)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Project Management: A System Approach to Planning, Scheduling, and Controlling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12</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edn. Wiley. </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Kotter, J.P. (1996)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Leading Change.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Harvard Business School Press.</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Macnamara, J. (2016)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Organizational Listening: The Missing Essential in Public Communication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Peter Lang.</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Mitchell, R.K., Agle, B.R. &amp; Wood, D.J. (1997) ‘Toward a theory of stakeholder identification and salience’</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 Academy of Management Review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22(4), pp. 853-886.</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Morris, P.W.G. (2013)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Reconstructing Project Management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Wiley-Blackwell.</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Nielsen, J. (2011)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Usability Engineering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Morgan Kaufman.</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Olander, S. (2007) ‘Stakeholder impact analysis in construction project management’,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Construction Management and Economics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25(3), pp. 277-287.</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Pinto, J.K. (2016) Project Management: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Achieving Competitive Advantage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4</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edn. Pearson.</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Rowe, G. &amp; Frewer, L.J. (2000) ‘Public participation methods: A framework for evaluation’,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Science, Technology, &amp; Human Values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25(1), pp. 3-29.</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Turner. J.R. &amp; Muller, R. (2004) ‘Communication and co-operation on projects between the project owner as principal and the project manager as agent’, </w:t>
      </w: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European Management Journal,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22(3), pp. 327-336.</w:t>
      </w:r>
    </w:p>
    <w:p w:rsidR="00000000" w:rsidDel="00000000" w:rsidP="00000000" w:rsidRDefault="00000000" w:rsidRPr="00000000" w14:paraId="00000058">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