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427B" w:rsidRPr="00A85BFE" w:rsidRDefault="0022427B" w:rsidP="0022427B">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369FC3FC" wp14:editId="2A2E669A">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22427B" w:rsidRPr="00A406E5" w:rsidRDefault="0022427B" w:rsidP="0022427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2427B" w:rsidRPr="00A406E5" w:rsidTr="005768E2">
        <w:tc>
          <w:tcPr>
            <w:tcW w:w="9922" w:type="dxa"/>
            <w:shd w:val="clear" w:color="auto" w:fill="C0C0C0"/>
          </w:tcPr>
          <w:p w:rsidR="0022427B" w:rsidRPr="00A406E5" w:rsidRDefault="0022427B" w:rsidP="005768E2">
            <w:pPr>
              <w:pStyle w:val="Heading4"/>
              <w:rPr>
                <w:rFonts w:ascii="Arial" w:hAnsi="Arial" w:cs="Arial"/>
                <w:b/>
                <w:bCs/>
              </w:rPr>
            </w:pPr>
            <w:r w:rsidRPr="6D4D0207">
              <w:rPr>
                <w:rFonts w:ascii="Arial" w:hAnsi="Arial" w:cs="Arial"/>
                <w:b/>
                <w:bCs/>
              </w:rPr>
              <w:t xml:space="preserve">LEVEL 6 ASSESSMENT SPECIFICATION </w:t>
            </w:r>
          </w:p>
        </w:tc>
      </w:tr>
    </w:tbl>
    <w:p w:rsidR="0022427B" w:rsidRPr="00A406E5" w:rsidRDefault="0022427B" w:rsidP="0022427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2427B" w:rsidRPr="00A406E5" w:rsidTr="005768E2">
        <w:tc>
          <w:tcPr>
            <w:tcW w:w="2093" w:type="dxa"/>
            <w:shd w:val="clear" w:color="auto" w:fill="auto"/>
          </w:tcPr>
          <w:p w:rsidR="0022427B" w:rsidRPr="00A406E5" w:rsidRDefault="0022427B" w:rsidP="005768E2">
            <w:pPr>
              <w:spacing w:before="120" w:after="120"/>
              <w:jc w:val="both"/>
              <w:rPr>
                <w:rFonts w:ascii="Arial" w:hAnsi="Arial" w:cs="Arial"/>
                <w:b/>
                <w:bCs/>
              </w:rPr>
            </w:pPr>
            <w:r w:rsidRPr="6D4D0207">
              <w:rPr>
                <w:rFonts w:ascii="Arial" w:hAnsi="Arial" w:cs="Arial"/>
                <w:b/>
                <w:bCs/>
              </w:rPr>
              <w:t>Student name:</w:t>
            </w:r>
          </w:p>
        </w:tc>
        <w:tc>
          <w:tcPr>
            <w:tcW w:w="3293" w:type="dxa"/>
          </w:tcPr>
          <w:p w:rsidR="0022427B" w:rsidRPr="00A406E5" w:rsidRDefault="0022427B" w:rsidP="005768E2">
            <w:pPr>
              <w:spacing w:before="120" w:after="120"/>
              <w:jc w:val="both"/>
              <w:rPr>
                <w:rFonts w:ascii="Arial" w:hAnsi="Arial" w:cs="Arial"/>
                <w:b/>
              </w:rPr>
            </w:pPr>
            <w:r>
              <w:rPr>
                <w:rFonts w:ascii="Arial" w:hAnsi="Arial" w:cs="Arial"/>
                <w:b/>
              </w:rPr>
              <w:t>Laura Hinder</w:t>
            </w:r>
          </w:p>
        </w:tc>
        <w:tc>
          <w:tcPr>
            <w:tcW w:w="2268" w:type="dxa"/>
            <w:shd w:val="clear" w:color="auto" w:fill="D9D9D9" w:themeFill="background1" w:themeFillShade="D9"/>
          </w:tcPr>
          <w:p w:rsidR="0022427B" w:rsidRPr="00A406E5" w:rsidRDefault="0022427B" w:rsidP="005768E2">
            <w:pPr>
              <w:spacing w:before="120" w:after="120"/>
              <w:jc w:val="both"/>
              <w:rPr>
                <w:rFonts w:ascii="Arial" w:hAnsi="Arial" w:cs="Arial"/>
                <w:b/>
                <w:bCs/>
              </w:rPr>
            </w:pPr>
            <w:r w:rsidRPr="6D4D0207">
              <w:rPr>
                <w:rFonts w:ascii="Arial" w:hAnsi="Arial" w:cs="Arial"/>
                <w:b/>
                <w:bCs/>
              </w:rPr>
              <w:t>Student ID number:</w:t>
            </w:r>
          </w:p>
        </w:tc>
        <w:tc>
          <w:tcPr>
            <w:tcW w:w="2268" w:type="dxa"/>
          </w:tcPr>
          <w:p w:rsidR="0022427B" w:rsidRPr="00A406E5" w:rsidRDefault="0022427B" w:rsidP="005768E2">
            <w:pPr>
              <w:spacing w:before="120" w:after="120"/>
              <w:jc w:val="both"/>
              <w:rPr>
                <w:rFonts w:ascii="Arial" w:hAnsi="Arial" w:cs="Arial"/>
                <w:b/>
              </w:rPr>
            </w:pPr>
            <w:r>
              <w:rPr>
                <w:rFonts w:ascii="Arial" w:hAnsi="Arial" w:cs="Arial"/>
                <w:b/>
              </w:rPr>
              <w:t>1803681</w:t>
            </w:r>
            <w:bookmarkStart w:id="0" w:name="_GoBack"/>
            <w:bookmarkEnd w:id="0"/>
          </w:p>
        </w:tc>
      </w:tr>
      <w:tr w:rsidR="0022427B" w:rsidRPr="00A406E5" w:rsidTr="005768E2">
        <w:tc>
          <w:tcPr>
            <w:tcW w:w="2093" w:type="dxa"/>
            <w:shd w:val="clear" w:color="auto" w:fill="auto"/>
          </w:tcPr>
          <w:p w:rsidR="0022427B" w:rsidRPr="00A406E5" w:rsidRDefault="0022427B" w:rsidP="005768E2">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22427B" w:rsidRPr="00A406E5" w:rsidRDefault="0022427B" w:rsidP="005768E2">
            <w:pPr>
              <w:spacing w:before="120" w:after="120"/>
              <w:jc w:val="both"/>
              <w:rPr>
                <w:rFonts w:ascii="Arial" w:hAnsi="Arial" w:cs="Arial"/>
                <w:b/>
              </w:rPr>
            </w:pPr>
            <w:r>
              <w:rPr>
                <w:rFonts w:ascii="Arial" w:hAnsi="Arial" w:cs="Arial"/>
                <w:b/>
              </w:rPr>
              <w:t>Secondary PGCE</w:t>
            </w:r>
          </w:p>
        </w:tc>
      </w:tr>
      <w:tr w:rsidR="0022427B" w:rsidRPr="00A406E5" w:rsidTr="005768E2">
        <w:tc>
          <w:tcPr>
            <w:tcW w:w="2093" w:type="dxa"/>
            <w:shd w:val="clear" w:color="auto" w:fill="auto"/>
          </w:tcPr>
          <w:p w:rsidR="0022427B" w:rsidRPr="00A406E5" w:rsidRDefault="0022427B" w:rsidP="005768E2">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22427B" w:rsidRPr="00A406E5" w:rsidRDefault="0022427B" w:rsidP="005768E2">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22427B" w:rsidRPr="00A406E5" w:rsidTr="005768E2">
        <w:tc>
          <w:tcPr>
            <w:tcW w:w="2093" w:type="dxa"/>
            <w:shd w:val="clear" w:color="auto" w:fill="auto"/>
          </w:tcPr>
          <w:p w:rsidR="0022427B" w:rsidRPr="00A406E5" w:rsidRDefault="0022427B" w:rsidP="005768E2">
            <w:pPr>
              <w:spacing w:before="120" w:after="120"/>
              <w:jc w:val="both"/>
              <w:rPr>
                <w:rFonts w:ascii="Arial" w:hAnsi="Arial" w:cs="Arial"/>
                <w:b/>
                <w:bCs/>
              </w:rPr>
            </w:pPr>
            <w:r w:rsidRPr="6D4D0207">
              <w:rPr>
                <w:rFonts w:ascii="Arial" w:hAnsi="Arial" w:cs="Arial"/>
                <w:b/>
                <w:bCs/>
              </w:rPr>
              <w:t>Module code:</w:t>
            </w:r>
          </w:p>
        </w:tc>
        <w:tc>
          <w:tcPr>
            <w:tcW w:w="3293" w:type="dxa"/>
          </w:tcPr>
          <w:p w:rsidR="0022427B" w:rsidRPr="00A406E5" w:rsidRDefault="0022427B" w:rsidP="005768E2">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rsidR="0022427B" w:rsidRPr="004D5E9B" w:rsidRDefault="0022427B" w:rsidP="005768E2">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22427B" w:rsidRPr="00A406E5" w:rsidRDefault="0022427B" w:rsidP="005768E2">
            <w:pPr>
              <w:spacing w:before="120" w:after="120"/>
              <w:jc w:val="both"/>
              <w:rPr>
                <w:rFonts w:ascii="Arial" w:hAnsi="Arial" w:cs="Arial"/>
                <w:b/>
              </w:rPr>
            </w:pPr>
            <w:r>
              <w:rPr>
                <w:rFonts w:ascii="Arial" w:hAnsi="Arial" w:cs="Arial"/>
                <w:b/>
              </w:rPr>
              <w:t>50%</w:t>
            </w:r>
          </w:p>
        </w:tc>
      </w:tr>
      <w:tr w:rsidR="0022427B" w:rsidRPr="00A406E5" w:rsidTr="005768E2">
        <w:tc>
          <w:tcPr>
            <w:tcW w:w="2093" w:type="dxa"/>
            <w:shd w:val="clear" w:color="auto" w:fill="auto"/>
          </w:tcPr>
          <w:p w:rsidR="0022427B" w:rsidRPr="00A406E5" w:rsidRDefault="0022427B" w:rsidP="005768E2">
            <w:pPr>
              <w:spacing w:before="120" w:after="120"/>
              <w:jc w:val="both"/>
              <w:rPr>
                <w:rFonts w:ascii="Arial" w:hAnsi="Arial" w:cs="Arial"/>
                <w:b/>
                <w:bCs/>
              </w:rPr>
            </w:pPr>
            <w:r w:rsidRPr="6D4D0207">
              <w:rPr>
                <w:rFonts w:ascii="Arial" w:hAnsi="Arial" w:cs="Arial"/>
                <w:b/>
                <w:bCs/>
              </w:rPr>
              <w:t>Lecturer:</w:t>
            </w:r>
          </w:p>
        </w:tc>
        <w:tc>
          <w:tcPr>
            <w:tcW w:w="3293" w:type="dxa"/>
          </w:tcPr>
          <w:p w:rsidR="0022427B" w:rsidRPr="00A406E5" w:rsidRDefault="0022427B" w:rsidP="005768E2">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rsidR="0022427B" w:rsidRPr="00A406E5" w:rsidRDefault="0022427B" w:rsidP="005768E2">
            <w:pPr>
              <w:spacing w:before="120" w:after="120"/>
              <w:jc w:val="both"/>
              <w:rPr>
                <w:rFonts w:ascii="Arial" w:hAnsi="Arial" w:cs="Arial"/>
                <w:b/>
                <w:bCs/>
              </w:rPr>
            </w:pPr>
            <w:r w:rsidRPr="6D4D0207">
              <w:rPr>
                <w:rFonts w:ascii="Arial" w:hAnsi="Arial" w:cs="Arial"/>
                <w:b/>
                <w:bCs/>
              </w:rPr>
              <w:t>Internal Verifier:</w:t>
            </w:r>
          </w:p>
        </w:tc>
        <w:tc>
          <w:tcPr>
            <w:tcW w:w="2268" w:type="dxa"/>
          </w:tcPr>
          <w:p w:rsidR="0022427B" w:rsidRPr="00A406E5" w:rsidRDefault="0022427B" w:rsidP="005768E2">
            <w:pPr>
              <w:spacing w:before="120" w:after="120"/>
              <w:jc w:val="both"/>
              <w:rPr>
                <w:rFonts w:ascii="Arial" w:hAnsi="Arial" w:cs="Arial"/>
                <w:b/>
              </w:rPr>
            </w:pPr>
          </w:p>
        </w:tc>
      </w:tr>
      <w:tr w:rsidR="0022427B" w:rsidRPr="00A406E5" w:rsidTr="005768E2">
        <w:tc>
          <w:tcPr>
            <w:tcW w:w="2093" w:type="dxa"/>
            <w:shd w:val="clear" w:color="auto" w:fill="auto"/>
          </w:tcPr>
          <w:p w:rsidR="0022427B" w:rsidRPr="00A406E5" w:rsidRDefault="0022427B" w:rsidP="005768E2">
            <w:pPr>
              <w:spacing w:before="120" w:after="120"/>
              <w:jc w:val="both"/>
              <w:rPr>
                <w:rFonts w:ascii="Arial" w:hAnsi="Arial" w:cs="Arial"/>
                <w:b/>
                <w:bCs/>
              </w:rPr>
            </w:pPr>
            <w:r w:rsidRPr="6D4D0207">
              <w:rPr>
                <w:rFonts w:ascii="Arial" w:hAnsi="Arial" w:cs="Arial"/>
                <w:b/>
                <w:bCs/>
              </w:rPr>
              <w:t>Assignment Title:</w:t>
            </w:r>
          </w:p>
        </w:tc>
        <w:tc>
          <w:tcPr>
            <w:tcW w:w="3293" w:type="dxa"/>
          </w:tcPr>
          <w:p w:rsidR="0022427B" w:rsidRPr="00A406E5" w:rsidRDefault="0022427B" w:rsidP="005768E2">
            <w:pPr>
              <w:spacing w:before="120" w:after="120"/>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shd w:val="clear" w:color="auto" w:fill="auto"/>
          </w:tcPr>
          <w:p w:rsidR="0022427B" w:rsidRPr="00A406E5" w:rsidRDefault="0022427B" w:rsidP="005768E2">
            <w:pPr>
              <w:spacing w:before="120" w:after="120"/>
              <w:jc w:val="both"/>
              <w:rPr>
                <w:rFonts w:ascii="Arial" w:hAnsi="Arial" w:cs="Arial"/>
                <w:b/>
                <w:bCs/>
              </w:rPr>
            </w:pPr>
            <w:r w:rsidRPr="6D4D0207">
              <w:rPr>
                <w:rFonts w:ascii="Arial" w:hAnsi="Arial" w:cs="Arial"/>
                <w:b/>
                <w:bCs/>
              </w:rPr>
              <w:t>Word count (or equivalent):</w:t>
            </w:r>
          </w:p>
        </w:tc>
        <w:tc>
          <w:tcPr>
            <w:tcW w:w="2268" w:type="dxa"/>
          </w:tcPr>
          <w:p w:rsidR="0022427B" w:rsidRDefault="0022427B" w:rsidP="0022427B">
            <w:pPr>
              <w:pStyle w:val="ListParagraph"/>
              <w:numPr>
                <w:ilvl w:val="0"/>
                <w:numId w:val="3"/>
              </w:numPr>
              <w:spacing w:before="120" w:after="120" w:line="240" w:lineRule="auto"/>
              <w:jc w:val="both"/>
              <w:rPr>
                <w:rFonts w:ascii="Arial" w:hAnsi="Arial" w:cs="Arial"/>
                <w:b/>
              </w:rPr>
            </w:pPr>
            <w:r>
              <w:rPr>
                <w:rFonts w:ascii="Arial" w:hAnsi="Arial" w:cs="Arial"/>
                <w:b/>
              </w:rPr>
              <w:t>= 1,500</w:t>
            </w:r>
          </w:p>
          <w:p w:rsidR="0022427B" w:rsidRPr="006E02E8" w:rsidRDefault="0022427B" w:rsidP="0022427B">
            <w:pPr>
              <w:pStyle w:val="ListParagraph"/>
              <w:numPr>
                <w:ilvl w:val="0"/>
                <w:numId w:val="3"/>
              </w:numPr>
              <w:spacing w:before="120" w:after="120" w:line="240" w:lineRule="auto"/>
              <w:jc w:val="both"/>
              <w:rPr>
                <w:rFonts w:ascii="Arial" w:hAnsi="Arial" w:cs="Arial"/>
                <w:b/>
              </w:rPr>
            </w:pPr>
            <w:r>
              <w:rPr>
                <w:rFonts w:ascii="Arial" w:hAnsi="Arial" w:cs="Arial"/>
                <w:b/>
              </w:rPr>
              <w:t>= 2,000</w:t>
            </w:r>
          </w:p>
        </w:tc>
      </w:tr>
      <w:tr w:rsidR="0022427B" w:rsidRPr="00A406E5" w:rsidTr="005768E2">
        <w:tc>
          <w:tcPr>
            <w:tcW w:w="2093" w:type="dxa"/>
            <w:shd w:val="clear" w:color="auto" w:fill="auto"/>
          </w:tcPr>
          <w:p w:rsidR="0022427B" w:rsidRPr="00A406E5" w:rsidRDefault="0022427B" w:rsidP="005768E2">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22427B" w:rsidRPr="00A406E5" w:rsidRDefault="0022427B" w:rsidP="005768E2">
            <w:pPr>
              <w:spacing w:before="120" w:after="120"/>
              <w:jc w:val="both"/>
              <w:rPr>
                <w:rFonts w:ascii="Arial" w:hAnsi="Arial" w:cs="Arial"/>
                <w:b/>
              </w:rPr>
            </w:pPr>
            <w:r>
              <w:rPr>
                <w:rFonts w:ascii="Arial" w:hAnsi="Arial" w:cs="Arial"/>
                <w:b/>
              </w:rPr>
              <w:t>26 November 2018</w:t>
            </w:r>
          </w:p>
        </w:tc>
        <w:tc>
          <w:tcPr>
            <w:tcW w:w="2268" w:type="dxa"/>
            <w:shd w:val="clear" w:color="auto" w:fill="auto"/>
          </w:tcPr>
          <w:p w:rsidR="0022427B" w:rsidRPr="00A406E5" w:rsidRDefault="0022427B" w:rsidP="005768E2">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22427B" w:rsidRPr="00A406E5" w:rsidRDefault="0022427B" w:rsidP="005768E2">
            <w:pPr>
              <w:spacing w:before="120" w:after="120"/>
              <w:jc w:val="both"/>
              <w:rPr>
                <w:rFonts w:ascii="Arial" w:hAnsi="Arial" w:cs="Arial"/>
                <w:b/>
              </w:rPr>
            </w:pPr>
            <w:r>
              <w:rPr>
                <w:rFonts w:ascii="Arial" w:hAnsi="Arial" w:cs="Arial"/>
                <w:b/>
              </w:rPr>
              <w:t>17 December 2018</w:t>
            </w:r>
          </w:p>
        </w:tc>
      </w:tr>
      <w:tr w:rsidR="0022427B" w:rsidRPr="00A406E5" w:rsidTr="005768E2">
        <w:tc>
          <w:tcPr>
            <w:tcW w:w="2093" w:type="dxa"/>
            <w:shd w:val="clear" w:color="auto" w:fill="auto"/>
          </w:tcPr>
          <w:p w:rsidR="0022427B" w:rsidRPr="00A406E5" w:rsidRDefault="0022427B" w:rsidP="005768E2">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22427B" w:rsidRPr="00A406E5" w:rsidRDefault="0022427B" w:rsidP="005768E2">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22427B" w:rsidRPr="00A406E5" w:rsidRDefault="0022427B" w:rsidP="005768E2">
            <w:pPr>
              <w:spacing w:before="120" w:after="120"/>
              <w:jc w:val="both"/>
              <w:rPr>
                <w:rFonts w:ascii="Arial" w:hAnsi="Arial" w:cs="Arial"/>
                <w:b/>
                <w:bCs/>
              </w:rPr>
            </w:pPr>
            <w:r w:rsidRPr="6D4D0207">
              <w:rPr>
                <w:rFonts w:ascii="Arial" w:hAnsi="Arial" w:cs="Arial"/>
                <w:b/>
                <w:bCs/>
              </w:rPr>
              <w:t xml:space="preserve">Alternative submission method (if applicable): </w:t>
            </w:r>
          </w:p>
          <w:p w:rsidR="0022427B" w:rsidRPr="00A406E5" w:rsidRDefault="0022427B" w:rsidP="005768E2">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22427B" w:rsidRPr="00A406E5" w:rsidTr="005768E2">
        <w:tc>
          <w:tcPr>
            <w:tcW w:w="2093" w:type="dxa"/>
            <w:shd w:val="clear" w:color="auto" w:fill="auto"/>
          </w:tcPr>
          <w:p w:rsidR="0022427B" w:rsidRPr="00A406E5" w:rsidRDefault="0022427B" w:rsidP="005768E2">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22427B" w:rsidRPr="00A406E5" w:rsidRDefault="0022427B" w:rsidP="005768E2">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22427B" w:rsidRPr="00A406E5" w:rsidRDefault="0022427B" w:rsidP="0022427B">
      <w:pPr>
        <w:rPr>
          <w:rFonts w:ascii="Arial" w:hAnsi="Arial" w:cs="Arial"/>
          <w:sz w:val="32"/>
        </w:rPr>
      </w:pPr>
    </w:p>
    <w:p w:rsidR="0022427B" w:rsidRPr="00A406E5" w:rsidRDefault="0022427B" w:rsidP="0022427B">
      <w:pPr>
        <w:rPr>
          <w:rFonts w:ascii="Arial" w:hAnsi="Arial" w:cs="Arial"/>
          <w:sz w:val="32"/>
        </w:rPr>
      </w:pPr>
    </w:p>
    <w:p w:rsidR="0022427B" w:rsidRPr="00A406E5" w:rsidRDefault="0022427B" w:rsidP="0022427B">
      <w:pPr>
        <w:rPr>
          <w:rFonts w:ascii="Arial" w:hAnsi="Arial" w:cs="Arial"/>
          <w:sz w:val="32"/>
        </w:rPr>
      </w:pPr>
    </w:p>
    <w:p w:rsidR="0022427B" w:rsidRPr="00A406E5" w:rsidRDefault="0022427B" w:rsidP="0022427B">
      <w:pPr>
        <w:rPr>
          <w:rFonts w:ascii="Arial" w:hAnsi="Arial" w:cs="Arial"/>
          <w:sz w:val="32"/>
        </w:rPr>
      </w:pPr>
    </w:p>
    <w:p w:rsidR="00020CB1" w:rsidRPr="00041FEF" w:rsidRDefault="00020CB1" w:rsidP="00776CEF">
      <w:pPr>
        <w:ind w:firstLine="720"/>
        <w:rPr>
          <w:sz w:val="20"/>
        </w:rPr>
      </w:pPr>
    </w:p>
    <w:p w:rsidR="00254FF9" w:rsidRPr="00041FEF" w:rsidRDefault="00254FF9" w:rsidP="00254FF9">
      <w:pPr>
        <w:ind w:firstLine="720"/>
        <w:jc w:val="center"/>
        <w:rPr>
          <w:b/>
          <w:sz w:val="28"/>
        </w:rPr>
      </w:pPr>
      <w:r w:rsidRPr="00041FEF">
        <w:rPr>
          <w:b/>
          <w:sz w:val="28"/>
        </w:rPr>
        <w:t>ECSP6001 Module – Assessment Part B</w:t>
      </w:r>
    </w:p>
    <w:p w:rsidR="00254FF9" w:rsidRPr="00041FEF" w:rsidRDefault="00254FF9" w:rsidP="00254FF9">
      <w:pPr>
        <w:rPr>
          <w:sz w:val="28"/>
        </w:rPr>
      </w:pPr>
    </w:p>
    <w:p w:rsidR="00041FEF" w:rsidRPr="00041FEF" w:rsidRDefault="00254FF9" w:rsidP="00254FF9">
      <w:pPr>
        <w:rPr>
          <w:b/>
          <w:sz w:val="24"/>
        </w:rPr>
      </w:pPr>
      <w:r w:rsidRPr="00041FEF">
        <w:rPr>
          <w:b/>
          <w:sz w:val="24"/>
        </w:rPr>
        <w:t>Part B(</w:t>
      </w:r>
      <w:proofErr w:type="spellStart"/>
      <w:r w:rsidRPr="00041FEF">
        <w:rPr>
          <w:b/>
          <w:sz w:val="24"/>
        </w:rPr>
        <w:t>i</w:t>
      </w:r>
      <w:proofErr w:type="spellEnd"/>
      <w:r w:rsidRPr="00041FEF">
        <w:rPr>
          <w:b/>
          <w:sz w:val="24"/>
        </w:rPr>
        <w:t>)</w:t>
      </w:r>
      <w:r w:rsidR="00041FEF" w:rsidRPr="00041FEF">
        <w:rPr>
          <w:b/>
          <w:sz w:val="24"/>
        </w:rPr>
        <w:t xml:space="preserve"> – Literature Review</w:t>
      </w:r>
    </w:p>
    <w:p w:rsidR="00D31FBE" w:rsidRPr="00254FF9" w:rsidRDefault="00D31FBE" w:rsidP="00776CEF">
      <w:pPr>
        <w:ind w:firstLine="720"/>
        <w:rPr>
          <w:sz w:val="24"/>
        </w:rPr>
      </w:pPr>
      <w:r w:rsidRPr="00254FF9">
        <w:rPr>
          <w:sz w:val="24"/>
        </w:rPr>
        <w:t>This literature review will look into the relevant literature that supported the rationale behind my micro-teach lesson, resources and Scheme of Work. I was given the topic of The Merthyr Rising (1831) which is part of the Popular Protest topic of the current curriculum, usually taught at year 9.</w:t>
      </w:r>
    </w:p>
    <w:p w:rsidR="00450FE5" w:rsidRPr="00254FF9" w:rsidRDefault="005237CB" w:rsidP="00776CEF">
      <w:pPr>
        <w:ind w:firstLine="720"/>
        <w:rPr>
          <w:sz w:val="24"/>
        </w:rPr>
      </w:pPr>
      <w:r w:rsidRPr="00254FF9">
        <w:rPr>
          <w:sz w:val="24"/>
        </w:rPr>
        <w:t xml:space="preserve">My </w:t>
      </w:r>
      <w:r w:rsidR="00BF4121" w:rsidRPr="00254FF9">
        <w:rPr>
          <w:sz w:val="24"/>
        </w:rPr>
        <w:t>micro-teach lesson</w:t>
      </w:r>
      <w:r w:rsidRPr="00254FF9">
        <w:rPr>
          <w:sz w:val="24"/>
        </w:rPr>
        <w:t>, resources</w:t>
      </w:r>
      <w:r w:rsidR="00BF4121" w:rsidRPr="00254FF9">
        <w:rPr>
          <w:sz w:val="24"/>
        </w:rPr>
        <w:t xml:space="preserve"> and Scheme of Work focus mainly on the constructivist and social constructivist learning theory. Pritchard (2009) states that constructivists understand learning to be a process of mental construction, where new information is added to the learners existing skills, knowledge and understanding.</w:t>
      </w:r>
      <w:r w:rsidR="00506EB0" w:rsidRPr="00254FF9">
        <w:rPr>
          <w:sz w:val="24"/>
        </w:rPr>
        <w:t xml:space="preserve"> Constructivism focuses on the role of the learner in the active progression of the accumulation of knowledge and</w:t>
      </w:r>
      <w:r w:rsidR="00AB5F8F" w:rsidRPr="00254FF9">
        <w:rPr>
          <w:sz w:val="24"/>
        </w:rPr>
        <w:t>,</w:t>
      </w:r>
      <w:r w:rsidR="00506EB0" w:rsidRPr="00254FF9">
        <w:rPr>
          <w:sz w:val="24"/>
        </w:rPr>
        <w:t xml:space="preserve"> </w:t>
      </w:r>
      <w:r w:rsidR="00AB5F8F" w:rsidRPr="00254FF9">
        <w:rPr>
          <w:sz w:val="24"/>
        </w:rPr>
        <w:t>with</w:t>
      </w:r>
      <w:r w:rsidR="00506EB0" w:rsidRPr="00254FF9">
        <w:rPr>
          <w:sz w:val="24"/>
        </w:rPr>
        <w:t xml:space="preserve"> the learner thinking and making their own judgements </w:t>
      </w:r>
      <w:r w:rsidR="00502BF2" w:rsidRPr="00254FF9">
        <w:rPr>
          <w:sz w:val="24"/>
        </w:rPr>
        <w:t>from their experiences</w:t>
      </w:r>
      <w:r w:rsidR="006E3A76" w:rsidRPr="00254FF9">
        <w:rPr>
          <w:sz w:val="24"/>
        </w:rPr>
        <w:t xml:space="preserve"> (Bruner, 1996)</w:t>
      </w:r>
      <w:r w:rsidR="00502BF2" w:rsidRPr="00254FF9">
        <w:rPr>
          <w:sz w:val="24"/>
        </w:rPr>
        <w:t>, they</w:t>
      </w:r>
      <w:r w:rsidR="00506EB0" w:rsidRPr="00254FF9">
        <w:rPr>
          <w:sz w:val="24"/>
        </w:rPr>
        <w:t xml:space="preserve"> reconstruct their </w:t>
      </w:r>
      <w:r w:rsidR="001A033A" w:rsidRPr="00254FF9">
        <w:rPr>
          <w:sz w:val="24"/>
        </w:rPr>
        <w:t xml:space="preserve">own </w:t>
      </w:r>
      <w:r w:rsidR="00506EB0" w:rsidRPr="00254FF9">
        <w:rPr>
          <w:sz w:val="24"/>
        </w:rPr>
        <w:t>individual build-up of skills, knowledge and understanding</w:t>
      </w:r>
      <w:r w:rsidR="001A033A" w:rsidRPr="00254FF9">
        <w:rPr>
          <w:sz w:val="24"/>
        </w:rPr>
        <w:t>, with the teacher being the facilitator of this process (Kidd and Czerniawski</w:t>
      </w:r>
      <w:r w:rsidR="00347FE7" w:rsidRPr="00254FF9">
        <w:rPr>
          <w:sz w:val="24"/>
        </w:rPr>
        <w:t>)</w:t>
      </w:r>
      <w:r w:rsidR="001A033A" w:rsidRPr="00254FF9">
        <w:rPr>
          <w:sz w:val="24"/>
        </w:rPr>
        <w:t>. Social constructivism takes this a step further by emphasising the social interaction is important to the individual’s personal learning process, as learning has been monitored to be at its most fruitful when individuals learn from one another (Kidd and Czerniawski, 2010)</w:t>
      </w:r>
      <w:r w:rsidR="00E05E4F" w:rsidRPr="00254FF9">
        <w:rPr>
          <w:sz w:val="24"/>
        </w:rPr>
        <w:t>.</w:t>
      </w:r>
      <w:r w:rsidR="00502BF2" w:rsidRPr="00254FF9">
        <w:rPr>
          <w:sz w:val="24"/>
        </w:rPr>
        <w:t xml:space="preserve"> Vygotsky (1978) reasoned that social interactions and language are vital</w:t>
      </w:r>
      <w:r w:rsidR="00E05E4F" w:rsidRPr="00254FF9">
        <w:rPr>
          <w:sz w:val="24"/>
        </w:rPr>
        <w:t xml:space="preserve"> to the progression of the learners’ cognitive abilities, as language brings with it, new knowledge</w:t>
      </w:r>
      <w:r w:rsidR="00AB5F8F" w:rsidRPr="00254FF9">
        <w:rPr>
          <w:sz w:val="24"/>
        </w:rPr>
        <w:t>; hence,</w:t>
      </w:r>
      <w:r w:rsidR="00502BF2" w:rsidRPr="00254FF9">
        <w:rPr>
          <w:sz w:val="24"/>
        </w:rPr>
        <w:t xml:space="preserve"> </w:t>
      </w:r>
      <w:r w:rsidR="00E05E4F" w:rsidRPr="00254FF9">
        <w:rPr>
          <w:sz w:val="24"/>
        </w:rPr>
        <w:t>social communication is very important.</w:t>
      </w:r>
      <w:r w:rsidR="001A033A" w:rsidRPr="00254FF9">
        <w:rPr>
          <w:sz w:val="24"/>
        </w:rPr>
        <w:t xml:space="preserve"> </w:t>
      </w:r>
      <w:r w:rsidR="00347FE7" w:rsidRPr="00254FF9">
        <w:rPr>
          <w:sz w:val="24"/>
        </w:rPr>
        <w:t>The teaching/learning methods in my micro-teach lesson, resources and Scheme of Work were designed around the theory of constructivism.</w:t>
      </w:r>
      <w:r w:rsidR="00E05E4F" w:rsidRPr="00254FF9">
        <w:rPr>
          <w:sz w:val="24"/>
        </w:rPr>
        <w:t xml:space="preserve"> Throughout the Scheme of Work there are many activities that</w:t>
      </w:r>
      <w:r w:rsidR="00B9193D" w:rsidRPr="00254FF9">
        <w:rPr>
          <w:sz w:val="24"/>
        </w:rPr>
        <w:t xml:space="preserve"> encourage teamwork and paired/group/class discussions. </w:t>
      </w:r>
      <w:r w:rsidR="008C5C19" w:rsidRPr="00254FF9">
        <w:rPr>
          <w:sz w:val="24"/>
        </w:rPr>
        <w:t>In the</w:t>
      </w:r>
      <w:r w:rsidR="00B9193D" w:rsidRPr="00254FF9">
        <w:rPr>
          <w:sz w:val="24"/>
        </w:rPr>
        <w:t xml:space="preserve"> micro-teach lesson the learners were tasked with analysing the sources in pairs, there was an opportunity for class discussion after each task, and the </w:t>
      </w:r>
      <w:r w:rsidR="008C5C19" w:rsidRPr="00254FF9">
        <w:rPr>
          <w:sz w:val="24"/>
        </w:rPr>
        <w:t>Pictionary</w:t>
      </w:r>
      <w:r w:rsidR="00B9193D" w:rsidRPr="00254FF9">
        <w:rPr>
          <w:sz w:val="24"/>
        </w:rPr>
        <w:t xml:space="preserve"> plenary </w:t>
      </w:r>
      <w:r w:rsidR="008C5C19" w:rsidRPr="00254FF9">
        <w:rPr>
          <w:sz w:val="24"/>
        </w:rPr>
        <w:t>required the class work in pairs.</w:t>
      </w:r>
      <w:r w:rsidR="00347FE7" w:rsidRPr="00254FF9">
        <w:rPr>
          <w:sz w:val="24"/>
        </w:rPr>
        <w:t xml:space="preserve"> </w:t>
      </w:r>
      <w:r w:rsidR="008C5C19" w:rsidRPr="00254FF9">
        <w:rPr>
          <w:sz w:val="24"/>
        </w:rPr>
        <w:t>Two lessons in the Scheme of Work focused on groups creating a presentation about the Merthyr Rising which they would present to the class. These collaborative activities and discussions allow the learners to learn from each other, as well as building their teamwork skills.</w:t>
      </w:r>
    </w:p>
    <w:p w:rsidR="00054F5C" w:rsidRPr="00254FF9" w:rsidRDefault="00054F5C" w:rsidP="00776CEF">
      <w:pPr>
        <w:ind w:firstLine="720"/>
        <w:rPr>
          <w:sz w:val="24"/>
        </w:rPr>
      </w:pPr>
      <w:r w:rsidRPr="00254FF9">
        <w:rPr>
          <w:sz w:val="24"/>
        </w:rPr>
        <w:t>Bloom</w:t>
      </w:r>
      <w:r w:rsidR="00686C11" w:rsidRPr="00254FF9">
        <w:rPr>
          <w:sz w:val="24"/>
        </w:rPr>
        <w:t xml:space="preserve">’s (1956) taxonomy </w:t>
      </w:r>
      <w:r w:rsidR="00A7787C" w:rsidRPr="00254FF9">
        <w:rPr>
          <w:sz w:val="24"/>
        </w:rPr>
        <w:t>of skills in the cognitive domain influenced the development of my micro-teach lesson</w:t>
      </w:r>
      <w:r w:rsidR="00696D60" w:rsidRPr="00254FF9">
        <w:rPr>
          <w:sz w:val="24"/>
        </w:rPr>
        <w:t>,</w:t>
      </w:r>
      <w:r w:rsidR="00A7787C" w:rsidRPr="00254FF9">
        <w:rPr>
          <w:sz w:val="24"/>
        </w:rPr>
        <w:t xml:space="preserve"> resources and Scheme of Work. I tried to create activities that would develop all the skills in his model: knowledge, comprehension, application, analysis, evaluation and creation (Anderson</w:t>
      </w:r>
      <w:r w:rsidR="00696D60" w:rsidRPr="00254FF9">
        <w:rPr>
          <w:sz w:val="24"/>
        </w:rPr>
        <w:t xml:space="preserve"> </w:t>
      </w:r>
      <w:r w:rsidR="00A7787C" w:rsidRPr="00254FF9">
        <w:rPr>
          <w:sz w:val="24"/>
        </w:rPr>
        <w:t>and Krath</w:t>
      </w:r>
      <w:r w:rsidR="00696D60" w:rsidRPr="00254FF9">
        <w:rPr>
          <w:sz w:val="24"/>
        </w:rPr>
        <w:t>wohl, 2001). In the micro-teach lesson the learners were tasked with analysing the sources they were given, then categorising and ranking the causes of the Rising</w:t>
      </w:r>
      <w:r w:rsidR="00BA331C" w:rsidRPr="00254FF9">
        <w:rPr>
          <w:sz w:val="24"/>
        </w:rPr>
        <w:t xml:space="preserve">, developing the skills of the taxonomy up to and including evaluation. Other activities that develop these skills are included throughout the Scheme of Work. To develop the learners’ creative skills, I set the task of </w:t>
      </w:r>
      <w:r w:rsidR="00BA331C" w:rsidRPr="00254FF9">
        <w:rPr>
          <w:sz w:val="24"/>
        </w:rPr>
        <w:lastRenderedPageBreak/>
        <w:t>creating a presentation on the Merthyr Rising. There are also many opportunities to use the questioning technique throughout the Scheme of Work. It was my intention to use Bloom’s Taxonomy (1956) to influence the questioning methods used,</w:t>
      </w:r>
      <w:r w:rsidR="00465E6F" w:rsidRPr="00254FF9">
        <w:rPr>
          <w:sz w:val="24"/>
        </w:rPr>
        <w:t xml:space="preserve"> where the questions I would pose to pupils would</w:t>
      </w:r>
      <w:r w:rsidR="00BA331C" w:rsidRPr="00254FF9">
        <w:rPr>
          <w:sz w:val="24"/>
        </w:rPr>
        <w:t xml:space="preserve"> building up to the</w:t>
      </w:r>
      <w:r w:rsidR="00465E6F" w:rsidRPr="00254FF9">
        <w:rPr>
          <w:sz w:val="24"/>
        </w:rPr>
        <w:t xml:space="preserve"> higher order skills as we delved further into the topic.</w:t>
      </w:r>
      <w:r w:rsidR="0007447F" w:rsidRPr="00254FF9">
        <w:rPr>
          <w:sz w:val="24"/>
        </w:rPr>
        <w:t xml:space="preserve"> This could also be used to differentiate questioning techniques for learners of different levels. </w:t>
      </w:r>
    </w:p>
    <w:p w:rsidR="007D6DD2" w:rsidRPr="00254FF9" w:rsidRDefault="00A323A9" w:rsidP="00776CEF">
      <w:pPr>
        <w:ind w:firstLine="720"/>
        <w:rPr>
          <w:sz w:val="24"/>
        </w:rPr>
      </w:pPr>
      <w:r w:rsidRPr="00254FF9">
        <w:rPr>
          <w:sz w:val="24"/>
        </w:rPr>
        <w:t>The topic of The Merthyr Rising</w:t>
      </w:r>
      <w:r w:rsidR="00A51184" w:rsidRPr="00254FF9">
        <w:rPr>
          <w:sz w:val="24"/>
        </w:rPr>
        <w:t xml:space="preserve"> allows for many opportunities to</w:t>
      </w:r>
      <w:r w:rsidRPr="00254FF9">
        <w:rPr>
          <w:sz w:val="24"/>
        </w:rPr>
        <w:t xml:space="preserve"> </w:t>
      </w:r>
      <w:r w:rsidR="00A51184" w:rsidRPr="00254FF9">
        <w:rPr>
          <w:sz w:val="24"/>
        </w:rPr>
        <w:t>integrate</w:t>
      </w:r>
      <w:r w:rsidRPr="00254FF9">
        <w:rPr>
          <w:sz w:val="24"/>
        </w:rPr>
        <w:t xml:space="preserve"> Y </w:t>
      </w:r>
      <w:proofErr w:type="spellStart"/>
      <w:r w:rsidRPr="00254FF9">
        <w:rPr>
          <w:sz w:val="24"/>
        </w:rPr>
        <w:t>Cwricwlwm</w:t>
      </w:r>
      <w:proofErr w:type="spellEnd"/>
      <w:r w:rsidRPr="00254FF9">
        <w:rPr>
          <w:sz w:val="24"/>
        </w:rPr>
        <w:t xml:space="preserve"> </w:t>
      </w:r>
      <w:proofErr w:type="spellStart"/>
      <w:r w:rsidRPr="00254FF9">
        <w:rPr>
          <w:sz w:val="24"/>
        </w:rPr>
        <w:t>Cymreig</w:t>
      </w:r>
      <w:proofErr w:type="spellEnd"/>
      <w:r w:rsidR="00A51184" w:rsidRPr="00254FF9">
        <w:rPr>
          <w:sz w:val="24"/>
        </w:rPr>
        <w:t xml:space="preserve"> aspect of the National Curriculum into the scheme of work. </w:t>
      </w:r>
      <w:r w:rsidR="00EC274F" w:rsidRPr="00254FF9">
        <w:rPr>
          <w:sz w:val="24"/>
        </w:rPr>
        <w:t xml:space="preserve">The </w:t>
      </w:r>
      <w:r w:rsidR="007D6DD2" w:rsidRPr="00254FF9">
        <w:rPr>
          <w:sz w:val="24"/>
        </w:rPr>
        <w:t>curriculum itself states that studying Welsh history helps ‘learners to understand the factors that have shaped Wales and other countries today’ (</w:t>
      </w:r>
      <w:r w:rsidR="00C75587" w:rsidRPr="00254FF9">
        <w:rPr>
          <w:sz w:val="24"/>
        </w:rPr>
        <w:t xml:space="preserve">Welsh Government, 2013, </w:t>
      </w:r>
      <w:r w:rsidR="00011673" w:rsidRPr="00254FF9">
        <w:rPr>
          <w:sz w:val="24"/>
        </w:rPr>
        <w:t>p.</w:t>
      </w:r>
      <w:r w:rsidR="007D6DD2" w:rsidRPr="00254FF9">
        <w:rPr>
          <w:sz w:val="24"/>
        </w:rPr>
        <w:t xml:space="preserve">8). The </w:t>
      </w:r>
      <w:r w:rsidR="00615566" w:rsidRPr="00254FF9">
        <w:rPr>
          <w:sz w:val="24"/>
        </w:rPr>
        <w:t xml:space="preserve">Scheme of Work </w:t>
      </w:r>
      <w:r w:rsidR="007D6DD2" w:rsidRPr="00254FF9">
        <w:rPr>
          <w:sz w:val="24"/>
        </w:rPr>
        <w:t xml:space="preserve">gives the learners the chance to </w:t>
      </w:r>
      <w:r w:rsidR="00C2487A" w:rsidRPr="00254FF9">
        <w:rPr>
          <w:sz w:val="24"/>
        </w:rPr>
        <w:t>investigate how the industrial revolution has affected</w:t>
      </w:r>
      <w:r w:rsidR="007D6DD2" w:rsidRPr="00254FF9">
        <w:rPr>
          <w:sz w:val="24"/>
        </w:rPr>
        <w:t xml:space="preserve"> the political, economic and social characteristics of Merthyr (and by extension, much of Wales) before and after the Rising (specifically the causes and consequences) and</w:t>
      </w:r>
      <w:r w:rsidR="00C2487A" w:rsidRPr="00254FF9">
        <w:rPr>
          <w:sz w:val="24"/>
        </w:rPr>
        <w:t xml:space="preserve"> would be encouraged to consider how this event has moulded modern day Merthyr Tydfil and South Wales. In doing this, learners will be studying the people of Merthyr</w:t>
      </w:r>
      <w:r w:rsidR="00976581" w:rsidRPr="00254FF9">
        <w:rPr>
          <w:sz w:val="24"/>
        </w:rPr>
        <w:t xml:space="preserve">; how the changes of the iron industry affected the people’s lives and led to their uprising, the events of the Rising, the </w:t>
      </w:r>
      <w:r w:rsidR="00615566" w:rsidRPr="00254FF9">
        <w:rPr>
          <w:sz w:val="24"/>
        </w:rPr>
        <w:t>execution</w:t>
      </w:r>
      <w:r w:rsidR="00976581" w:rsidRPr="00254FF9">
        <w:rPr>
          <w:sz w:val="24"/>
        </w:rPr>
        <w:t xml:space="preserve"> of </w:t>
      </w:r>
      <w:proofErr w:type="spellStart"/>
      <w:r w:rsidR="00976581" w:rsidRPr="00254FF9">
        <w:rPr>
          <w:sz w:val="24"/>
        </w:rPr>
        <w:t>Dic</w:t>
      </w:r>
      <w:proofErr w:type="spellEnd"/>
      <w:r w:rsidR="00976581" w:rsidRPr="00254FF9">
        <w:rPr>
          <w:sz w:val="24"/>
        </w:rPr>
        <w:t xml:space="preserve"> </w:t>
      </w:r>
      <w:proofErr w:type="spellStart"/>
      <w:r w:rsidR="00976581" w:rsidRPr="00254FF9">
        <w:rPr>
          <w:sz w:val="24"/>
        </w:rPr>
        <w:t>Penderyn</w:t>
      </w:r>
      <w:proofErr w:type="spellEnd"/>
      <w:r w:rsidR="00976581" w:rsidRPr="00254FF9">
        <w:rPr>
          <w:sz w:val="24"/>
        </w:rPr>
        <w:t>, and</w:t>
      </w:r>
      <w:r w:rsidR="00C2487A" w:rsidRPr="00254FF9">
        <w:rPr>
          <w:sz w:val="24"/>
        </w:rPr>
        <w:t xml:space="preserve"> </w:t>
      </w:r>
      <w:r w:rsidR="00976581" w:rsidRPr="00254FF9">
        <w:rPr>
          <w:sz w:val="24"/>
        </w:rPr>
        <w:t>the desperate need for political reform. This will give the learners insight into the tr</w:t>
      </w:r>
      <w:r w:rsidR="00615566" w:rsidRPr="00254FF9">
        <w:rPr>
          <w:sz w:val="24"/>
        </w:rPr>
        <w:t>i</w:t>
      </w:r>
      <w:r w:rsidR="00976581" w:rsidRPr="00254FF9">
        <w:rPr>
          <w:sz w:val="24"/>
        </w:rPr>
        <w:t>als of working</w:t>
      </w:r>
      <w:r w:rsidR="00615566" w:rsidRPr="00254FF9">
        <w:rPr>
          <w:sz w:val="24"/>
        </w:rPr>
        <w:t>-</w:t>
      </w:r>
      <w:r w:rsidR="00976581" w:rsidRPr="00254FF9">
        <w:rPr>
          <w:sz w:val="24"/>
        </w:rPr>
        <w:t xml:space="preserve">class </w:t>
      </w:r>
      <w:r w:rsidR="00776CEF" w:rsidRPr="00254FF9">
        <w:rPr>
          <w:sz w:val="24"/>
        </w:rPr>
        <w:t>w</w:t>
      </w:r>
      <w:r w:rsidR="00976581" w:rsidRPr="00254FF9">
        <w:rPr>
          <w:sz w:val="24"/>
        </w:rPr>
        <w:t>elsh people during the industrial revolution</w:t>
      </w:r>
      <w:r w:rsidR="00776CEF" w:rsidRPr="00254FF9">
        <w:rPr>
          <w:sz w:val="24"/>
        </w:rPr>
        <w:t xml:space="preserve"> and give</w:t>
      </w:r>
      <w:r w:rsidR="00976581" w:rsidRPr="00254FF9">
        <w:rPr>
          <w:sz w:val="24"/>
        </w:rPr>
        <w:t xml:space="preserve"> them a better understanding of the</w:t>
      </w:r>
      <w:r w:rsidR="00615566" w:rsidRPr="00254FF9">
        <w:rPr>
          <w:sz w:val="24"/>
        </w:rPr>
        <w:t xml:space="preserve"> developments of</w:t>
      </w:r>
      <w:r w:rsidR="00976581" w:rsidRPr="00254FF9">
        <w:rPr>
          <w:sz w:val="24"/>
        </w:rPr>
        <w:t xml:space="preserve"> Welsh </w:t>
      </w:r>
      <w:r w:rsidR="00615566" w:rsidRPr="00254FF9">
        <w:rPr>
          <w:sz w:val="24"/>
        </w:rPr>
        <w:t>economic, social and political characteristics in Wales</w:t>
      </w:r>
      <w:r w:rsidR="00776CEF" w:rsidRPr="00254FF9">
        <w:rPr>
          <w:sz w:val="24"/>
        </w:rPr>
        <w:t>. This</w:t>
      </w:r>
      <w:r w:rsidR="00976581" w:rsidRPr="00254FF9">
        <w:rPr>
          <w:sz w:val="24"/>
        </w:rPr>
        <w:t xml:space="preserve"> </w:t>
      </w:r>
      <w:r w:rsidR="00615566" w:rsidRPr="00254FF9">
        <w:rPr>
          <w:sz w:val="24"/>
        </w:rPr>
        <w:t xml:space="preserve">could affect some learners’ sense of </w:t>
      </w:r>
      <w:r w:rsidR="00976581" w:rsidRPr="00254FF9">
        <w:rPr>
          <w:sz w:val="24"/>
        </w:rPr>
        <w:t>national identity</w:t>
      </w:r>
      <w:r w:rsidR="00776CEF" w:rsidRPr="00254FF9">
        <w:rPr>
          <w:sz w:val="24"/>
        </w:rPr>
        <w:t xml:space="preserve"> and their personal development (ACCAC, 2003). Additionally, this topic allows learners to develop their knowledge of the Welsh language as they will be encouraged to use the welsh cries of the rebels during the Rising, and the welsh final words of </w:t>
      </w:r>
      <w:proofErr w:type="spellStart"/>
      <w:r w:rsidR="00776CEF" w:rsidRPr="00254FF9">
        <w:rPr>
          <w:sz w:val="24"/>
        </w:rPr>
        <w:t>Dic</w:t>
      </w:r>
      <w:proofErr w:type="spellEnd"/>
      <w:r w:rsidR="00776CEF" w:rsidRPr="00254FF9">
        <w:rPr>
          <w:sz w:val="24"/>
        </w:rPr>
        <w:t xml:space="preserve"> </w:t>
      </w:r>
      <w:proofErr w:type="spellStart"/>
      <w:r w:rsidR="00776CEF" w:rsidRPr="00254FF9">
        <w:rPr>
          <w:sz w:val="24"/>
        </w:rPr>
        <w:t>Penderyn</w:t>
      </w:r>
      <w:proofErr w:type="spellEnd"/>
      <w:r w:rsidR="00776CEF" w:rsidRPr="00254FF9">
        <w:rPr>
          <w:sz w:val="24"/>
        </w:rPr>
        <w:t xml:space="preserve"> in their group presentations at the end of the Scheme of Work, as well as the incidental welsh phrases used during the lessons. </w:t>
      </w:r>
    </w:p>
    <w:p w:rsidR="00BC4AFC" w:rsidRPr="00254FF9" w:rsidRDefault="00011673" w:rsidP="00B931DC">
      <w:pPr>
        <w:ind w:firstLine="720"/>
        <w:rPr>
          <w:sz w:val="24"/>
        </w:rPr>
      </w:pPr>
      <w:r w:rsidRPr="00254FF9">
        <w:rPr>
          <w:sz w:val="24"/>
        </w:rPr>
        <w:t>As two of the three cross</w:t>
      </w:r>
      <w:r w:rsidR="00FF78AF" w:rsidRPr="00254FF9">
        <w:rPr>
          <w:sz w:val="24"/>
        </w:rPr>
        <w:t>-</w:t>
      </w:r>
      <w:r w:rsidRPr="00254FF9">
        <w:rPr>
          <w:sz w:val="24"/>
        </w:rPr>
        <w:t>curricular responsibilities, the National Literacy and Numeracy Framework (Welsh Government, 2014) had to be considered when designing my micro-teach lesson, resources and Scheme of Work. I have tried to include the Literacy aspects of speaking, listening, collaboration and discussion, comprehension, response and analysis, structure and organisation, and grammar, punctuation and spelling</w:t>
      </w:r>
      <w:r w:rsidR="00405D0B" w:rsidRPr="00254FF9">
        <w:rPr>
          <w:sz w:val="24"/>
        </w:rPr>
        <w:t xml:space="preserve">, within the strands of Reading, Writing and </w:t>
      </w:r>
      <w:proofErr w:type="spellStart"/>
      <w:r w:rsidR="00405D0B" w:rsidRPr="00254FF9">
        <w:rPr>
          <w:sz w:val="24"/>
        </w:rPr>
        <w:t>Oracy</w:t>
      </w:r>
      <w:proofErr w:type="spellEnd"/>
      <w:r w:rsidR="00FF78AF" w:rsidRPr="00254FF9">
        <w:rPr>
          <w:sz w:val="24"/>
        </w:rPr>
        <w:t xml:space="preserve"> stated within the framework</w:t>
      </w:r>
      <w:r w:rsidRPr="00254FF9">
        <w:rPr>
          <w:sz w:val="24"/>
        </w:rPr>
        <w:t xml:space="preserve">. I have varied the tasks and activities, such as comprehension, source analysis, </w:t>
      </w:r>
      <w:r w:rsidR="00405D0B" w:rsidRPr="00254FF9">
        <w:rPr>
          <w:sz w:val="24"/>
        </w:rPr>
        <w:t>written tasks, collaboration to</w:t>
      </w:r>
      <w:r w:rsidRPr="00254FF9">
        <w:rPr>
          <w:sz w:val="24"/>
        </w:rPr>
        <w:t xml:space="preserve"> creat</w:t>
      </w:r>
      <w:r w:rsidR="00405D0B" w:rsidRPr="00254FF9">
        <w:rPr>
          <w:sz w:val="24"/>
        </w:rPr>
        <w:t>e</w:t>
      </w:r>
      <w:r w:rsidRPr="00254FF9">
        <w:rPr>
          <w:sz w:val="24"/>
        </w:rPr>
        <w:t xml:space="preserve"> and deliver a presentation</w:t>
      </w:r>
      <w:r w:rsidR="00405D0B" w:rsidRPr="00254FF9">
        <w:rPr>
          <w:sz w:val="24"/>
        </w:rPr>
        <w:t>, so that each of these aspects of the framework have a chance to be developed. In the micro-teach lesson, my rationale was that there was not enough time for a numeracy task, apart from some incidental numeracy when informing the learners of certain dates, such as the amount of years between one date or another. I incorporated a numeracy task into the Scheme of work, in the form of a time-line in lesson 1. The time-line would have to be to scale, such as 3cm for each day of the Rising, which would require counting and measuring, as well as developing the second order historical concept of chronology.</w:t>
      </w:r>
    </w:p>
    <w:p w:rsidR="00B931DC" w:rsidRPr="00254FF9" w:rsidRDefault="00FF78AF" w:rsidP="00B931DC">
      <w:pPr>
        <w:ind w:firstLine="720"/>
        <w:rPr>
          <w:sz w:val="24"/>
        </w:rPr>
      </w:pPr>
      <w:r w:rsidRPr="00254FF9">
        <w:rPr>
          <w:sz w:val="24"/>
        </w:rPr>
        <w:t xml:space="preserve">The last of the three cross-curricular responsibilities was also considered, by incorporating aspects of the Digital Competence Framework (Welsh Government, 2016). I </w:t>
      </w:r>
      <w:r w:rsidRPr="00254FF9">
        <w:rPr>
          <w:sz w:val="24"/>
        </w:rPr>
        <w:lastRenderedPageBreak/>
        <w:t>tried to include opportunities to develop the learners’ skills of Interacting and Collaborating, and Producing, that are stated within the framework.</w:t>
      </w:r>
      <w:r w:rsidR="00D053B2" w:rsidRPr="00254FF9">
        <w:rPr>
          <w:sz w:val="24"/>
        </w:rPr>
        <w:t xml:space="preserve"> The tasks and activities I designed in the Scheme of Work provide learners with the opportunity to develop their digital competency in these areas by using laptops/computers to take part in subject-specific quizzes on the Kahoot website, design a newspaper article and a collaborative PowerPoint presentation on the topic.</w:t>
      </w:r>
    </w:p>
    <w:p w:rsidR="00BC4AFC" w:rsidRPr="00254FF9" w:rsidRDefault="00BC4AFC" w:rsidP="00BC4AFC">
      <w:pPr>
        <w:ind w:firstLine="720"/>
        <w:rPr>
          <w:sz w:val="24"/>
        </w:rPr>
      </w:pPr>
      <w:r w:rsidRPr="00254FF9">
        <w:rPr>
          <w:sz w:val="24"/>
        </w:rPr>
        <w:t xml:space="preserve">When differentiating and using scaffolding techniques, the different needs and skills of the learners should be taken into consideration (Kidd and Czerniawski, 2010) as there are many aspects that affect the degree to which the learning of all learners can be maximised (Haydn, Arthur and Hunt, 1997). </w:t>
      </w:r>
      <w:r w:rsidR="00D31FBE" w:rsidRPr="00254FF9">
        <w:rPr>
          <w:sz w:val="24"/>
        </w:rPr>
        <w:t xml:space="preserve">Realising a learners Zone of Proximal Development (the space between the learner’s current level and their potential level, which can be overcome with appropriate teaching) teachers can personalise the scaffolding techniques to support that learner in a way that will increase their chances of reaching their potential level (Vygotsky, 1978). </w:t>
      </w:r>
      <w:r w:rsidRPr="00254FF9">
        <w:rPr>
          <w:sz w:val="24"/>
        </w:rPr>
        <w:t>However, when creating our micro-teach lesson, resources and Scheme of Work, there was no learner information to guide us, so I opted for a few general strategies to enable all learners to successfully complete the micro-teach lesson and Scheme of Work. During the micro-teach lesson, for the task of analysing the sources, I gave the learners two main questions to keep in mind, which were on the board during the task. This scaffolded their thought process and allowed for the lower ability pupils to seek the answers to these two questions within the sources, whereas higher ability learners have the option to analyse the sources for as much information as they could. When I asked the learners what problems the residents of Merthyr were facing at the time, there were images to guide them on the board as a way of scaffolding. In the Scheme of Work, learners of a lower ability level would be given sentence starters or writing frames for their newspaper article, written task and presentation. Worksheets would be differentiated in the form of basic language, large and bold font for the lower ability pupils, coloured paper would be used for those with dyslexia or sight issues. Questioning methods would also be adapted to the need of the learner, such as asking higher order skills questions</w:t>
      </w:r>
      <w:r w:rsidR="006F31B1" w:rsidRPr="00254FF9">
        <w:rPr>
          <w:sz w:val="24"/>
        </w:rPr>
        <w:t xml:space="preserve"> (Blooms, 1956)</w:t>
      </w:r>
      <w:r w:rsidRPr="00254FF9">
        <w:rPr>
          <w:sz w:val="24"/>
        </w:rPr>
        <w:t xml:space="preserve"> to the MAT learners, and by changing the length of time and the nature the support I give to different learners as I circulate the classroom to support them (Kidd and Czerniawski, 2010).</w:t>
      </w:r>
    </w:p>
    <w:p w:rsidR="00D053B2" w:rsidRPr="00254FF9" w:rsidRDefault="001E125E" w:rsidP="00BC4AFC">
      <w:pPr>
        <w:ind w:firstLine="720"/>
        <w:rPr>
          <w:sz w:val="24"/>
        </w:rPr>
      </w:pPr>
      <w:r w:rsidRPr="00254FF9">
        <w:rPr>
          <w:sz w:val="24"/>
        </w:rPr>
        <w:t>‘The aim of assessment is primarily to educate and improve student performance,</w:t>
      </w:r>
      <w:r w:rsidR="0010068C" w:rsidRPr="00254FF9">
        <w:rPr>
          <w:sz w:val="24"/>
        </w:rPr>
        <w:t xml:space="preserve">’ </w:t>
      </w:r>
      <w:r w:rsidRPr="00254FF9">
        <w:rPr>
          <w:sz w:val="24"/>
        </w:rPr>
        <w:t xml:space="preserve">(Wiggins, 1998, p.7). This is the </w:t>
      </w:r>
      <w:r w:rsidR="008C76FC" w:rsidRPr="00254FF9">
        <w:rPr>
          <w:sz w:val="24"/>
        </w:rPr>
        <w:t>goal</w:t>
      </w:r>
      <w:r w:rsidRPr="00254FF9">
        <w:rPr>
          <w:sz w:val="24"/>
        </w:rPr>
        <w:t xml:space="preserve"> behind formative assessment; to</w:t>
      </w:r>
      <w:r w:rsidR="008C76FC" w:rsidRPr="00254FF9">
        <w:rPr>
          <w:sz w:val="24"/>
        </w:rPr>
        <w:t xml:space="preserve"> provide continuous information regarding the learner’s existing knowledge and understanding so that educators can adapt their strategies to maximise the learners development</w:t>
      </w:r>
      <w:r w:rsidRPr="00254FF9">
        <w:rPr>
          <w:sz w:val="24"/>
        </w:rPr>
        <w:t xml:space="preserve"> </w:t>
      </w:r>
      <w:r w:rsidR="0010068C" w:rsidRPr="00254FF9">
        <w:rPr>
          <w:sz w:val="24"/>
        </w:rPr>
        <w:t xml:space="preserve">Dixson and Worrell, 2016, p.154-155). </w:t>
      </w:r>
      <w:r w:rsidR="006F0464" w:rsidRPr="00254FF9">
        <w:rPr>
          <w:sz w:val="24"/>
        </w:rPr>
        <w:t xml:space="preserve">The term Assessment for Learning stems from the research report by Black and </w:t>
      </w:r>
      <w:proofErr w:type="spellStart"/>
      <w:r w:rsidR="006F0464" w:rsidRPr="00254FF9">
        <w:rPr>
          <w:sz w:val="24"/>
        </w:rPr>
        <w:t>Wiliam</w:t>
      </w:r>
      <w:proofErr w:type="spellEnd"/>
      <w:r w:rsidR="006F0464" w:rsidRPr="00254FF9">
        <w:rPr>
          <w:sz w:val="24"/>
        </w:rPr>
        <w:t xml:space="preserve"> (1998) that was intended to raise effectiveness of assessment in increasing the standards of learning</w:t>
      </w:r>
      <w:r w:rsidR="0010068C" w:rsidRPr="00254FF9">
        <w:rPr>
          <w:sz w:val="24"/>
        </w:rPr>
        <w:t>, which can be done using the many types of formative assessment</w:t>
      </w:r>
      <w:r w:rsidR="006F0464" w:rsidRPr="00254FF9">
        <w:rPr>
          <w:sz w:val="24"/>
        </w:rPr>
        <w:t xml:space="preserve">. </w:t>
      </w:r>
      <w:r w:rsidR="0010068C" w:rsidRPr="00254FF9">
        <w:rPr>
          <w:sz w:val="24"/>
        </w:rPr>
        <w:t xml:space="preserve">In </w:t>
      </w:r>
      <w:r w:rsidR="0091787F" w:rsidRPr="00254FF9">
        <w:rPr>
          <w:sz w:val="24"/>
        </w:rPr>
        <w:t xml:space="preserve">my scheme of work I included self-assessment and peer-assessment, as this is seen to improve the pupils’ understanding of their </w:t>
      </w:r>
      <w:r w:rsidR="0010068C" w:rsidRPr="00254FF9">
        <w:rPr>
          <w:sz w:val="24"/>
        </w:rPr>
        <w:t xml:space="preserve">own </w:t>
      </w:r>
      <w:r w:rsidR="0091787F" w:rsidRPr="00254FF9">
        <w:rPr>
          <w:sz w:val="24"/>
        </w:rPr>
        <w:t xml:space="preserve">progress (Black and </w:t>
      </w:r>
      <w:proofErr w:type="spellStart"/>
      <w:r w:rsidR="0091787F" w:rsidRPr="00254FF9">
        <w:rPr>
          <w:sz w:val="24"/>
        </w:rPr>
        <w:t>Wiliam</w:t>
      </w:r>
      <w:proofErr w:type="spellEnd"/>
      <w:r w:rsidR="0091787F" w:rsidRPr="00254FF9">
        <w:rPr>
          <w:sz w:val="24"/>
        </w:rPr>
        <w:t>, 1998).</w:t>
      </w:r>
      <w:r w:rsidR="0036188E" w:rsidRPr="00254FF9">
        <w:rPr>
          <w:sz w:val="24"/>
        </w:rPr>
        <w:t xml:space="preserve"> The feedback I would give on the tasks throughout the scheme would be specific, so that the pupil would know what to do to improve upon their work.</w:t>
      </w:r>
      <w:r w:rsidR="0091787F" w:rsidRPr="00254FF9">
        <w:rPr>
          <w:sz w:val="24"/>
        </w:rPr>
        <w:t xml:space="preserve"> In the micro-teach lesson </w:t>
      </w:r>
      <w:r w:rsidR="0010068C" w:rsidRPr="00254FF9">
        <w:rPr>
          <w:sz w:val="24"/>
        </w:rPr>
        <w:t xml:space="preserve">and throughout the </w:t>
      </w:r>
      <w:r w:rsidR="0036188E" w:rsidRPr="00254FF9">
        <w:rPr>
          <w:sz w:val="24"/>
        </w:rPr>
        <w:t>scheme</w:t>
      </w:r>
      <w:r w:rsidR="0091787F" w:rsidRPr="00254FF9">
        <w:rPr>
          <w:sz w:val="24"/>
        </w:rPr>
        <w:t xml:space="preserve">, I </w:t>
      </w:r>
      <w:r w:rsidR="0036188E" w:rsidRPr="00254FF9">
        <w:rPr>
          <w:sz w:val="24"/>
        </w:rPr>
        <w:t>would use</w:t>
      </w:r>
      <w:r w:rsidR="00712303">
        <w:rPr>
          <w:sz w:val="24"/>
        </w:rPr>
        <w:t xml:space="preserve"> observation and</w:t>
      </w:r>
      <w:r w:rsidR="0091787F" w:rsidRPr="00254FF9">
        <w:rPr>
          <w:sz w:val="24"/>
        </w:rPr>
        <w:t xml:space="preserve"> questioning to </w:t>
      </w:r>
      <w:r w:rsidR="00712303">
        <w:rPr>
          <w:sz w:val="24"/>
        </w:rPr>
        <w:t>assess</w:t>
      </w:r>
      <w:r w:rsidR="0091787F" w:rsidRPr="00254FF9">
        <w:rPr>
          <w:sz w:val="24"/>
        </w:rPr>
        <w:t xml:space="preserve"> the understanding and progress of the learners</w:t>
      </w:r>
      <w:r w:rsidR="0010068C" w:rsidRPr="00254FF9">
        <w:rPr>
          <w:sz w:val="24"/>
        </w:rPr>
        <w:t>, intending to then use the information I gained about the learner’s progress to inform me how best to adjust my teaching strategy for that learner.</w:t>
      </w:r>
    </w:p>
    <w:p w:rsidR="00020CB1" w:rsidRPr="00254FF9" w:rsidRDefault="00020CB1" w:rsidP="00020CB1">
      <w:pPr>
        <w:rPr>
          <w:sz w:val="24"/>
        </w:rPr>
      </w:pPr>
    </w:p>
    <w:p w:rsidR="000F64E9" w:rsidRDefault="00041FEF" w:rsidP="00020CB1">
      <w:pPr>
        <w:rPr>
          <w:b/>
          <w:sz w:val="24"/>
        </w:rPr>
      </w:pPr>
      <w:r w:rsidRPr="00041FEF">
        <w:rPr>
          <w:b/>
          <w:sz w:val="24"/>
        </w:rPr>
        <w:t>Part B(</w:t>
      </w:r>
      <w:proofErr w:type="spellStart"/>
      <w:r w:rsidRPr="00041FEF">
        <w:rPr>
          <w:b/>
          <w:sz w:val="24"/>
        </w:rPr>
        <w:t>i</w:t>
      </w:r>
      <w:proofErr w:type="spellEnd"/>
      <w:r w:rsidRPr="00041FEF">
        <w:rPr>
          <w:b/>
          <w:sz w:val="24"/>
        </w:rPr>
        <w:t>)(</w:t>
      </w:r>
      <w:proofErr w:type="spellStart"/>
      <w:r w:rsidRPr="00041FEF">
        <w:rPr>
          <w:b/>
          <w:sz w:val="24"/>
        </w:rPr>
        <w:t>i</w:t>
      </w:r>
      <w:proofErr w:type="spellEnd"/>
      <w:r w:rsidRPr="00041FEF">
        <w:rPr>
          <w:b/>
          <w:sz w:val="24"/>
        </w:rPr>
        <w:t xml:space="preserve">) </w:t>
      </w:r>
      <w:r>
        <w:rPr>
          <w:b/>
          <w:sz w:val="24"/>
        </w:rPr>
        <w:t>–</w:t>
      </w:r>
      <w:r w:rsidRPr="00041FEF">
        <w:rPr>
          <w:b/>
          <w:sz w:val="24"/>
        </w:rPr>
        <w:t xml:space="preserve"> Reflection</w:t>
      </w:r>
    </w:p>
    <w:p w:rsidR="00041FEF" w:rsidRDefault="00367417" w:rsidP="00020CB1">
      <w:pPr>
        <w:rPr>
          <w:sz w:val="24"/>
        </w:rPr>
      </w:pPr>
      <w:r>
        <w:rPr>
          <w:b/>
          <w:sz w:val="24"/>
        </w:rPr>
        <w:tab/>
      </w:r>
      <w:r>
        <w:rPr>
          <w:sz w:val="24"/>
        </w:rPr>
        <w:t>In this section I will critically evaluate my micro-teach lesson in light of my experience in PTE1. I will discuss</w:t>
      </w:r>
      <w:r w:rsidR="00A47B14">
        <w:rPr>
          <w:sz w:val="24"/>
        </w:rPr>
        <w:t xml:space="preserve"> the changes I would make and how these changes will affect the teaching and learning process, and evaluate the development of my own thinking as a teacher using the QTS standards.</w:t>
      </w:r>
    </w:p>
    <w:p w:rsidR="00A47B14" w:rsidRDefault="00A47B14" w:rsidP="00020CB1">
      <w:pPr>
        <w:rPr>
          <w:sz w:val="24"/>
        </w:rPr>
      </w:pPr>
      <w:r>
        <w:rPr>
          <w:sz w:val="24"/>
        </w:rPr>
        <w:tab/>
        <w:t>Although I think my micro-teach lesson went quite well, there are many things I would change about it</w:t>
      </w:r>
      <w:r w:rsidR="008D2DEA">
        <w:rPr>
          <w:sz w:val="24"/>
        </w:rPr>
        <w:t>, looking back</w:t>
      </w:r>
      <w:r>
        <w:rPr>
          <w:sz w:val="24"/>
        </w:rPr>
        <w:t xml:space="preserve"> </w:t>
      </w:r>
      <w:r w:rsidR="008D2DEA">
        <w:rPr>
          <w:sz w:val="24"/>
        </w:rPr>
        <w:t>from</w:t>
      </w:r>
      <w:r>
        <w:rPr>
          <w:sz w:val="24"/>
        </w:rPr>
        <w:t xml:space="preserve"> this point in my professional teaching experience.</w:t>
      </w:r>
      <w:r w:rsidR="008D2DEA">
        <w:rPr>
          <w:sz w:val="24"/>
        </w:rPr>
        <w:t xml:space="preserve"> </w:t>
      </w:r>
      <w:r>
        <w:rPr>
          <w:sz w:val="24"/>
        </w:rPr>
        <w:t>Initially, one of the main issues I was facing when designing my lesson</w:t>
      </w:r>
      <w:r w:rsidR="008D2DEA">
        <w:rPr>
          <w:sz w:val="24"/>
        </w:rPr>
        <w:t xml:space="preserve"> was choosing which lesson to teach out of my Scheme of Work. I decided to teach the second lesson in the scheme, as I could also include the second order historical concept of ‘causation’, where the learners would analyse sources and use their judgement to prioritise the causes of the Merthyr Rising, developing their subject specific skills, as well as literacy skills, through individual and group work. I realised as I was designing the lesson that I would have to make sure the learners knew the events of the Rising before they could attempt the tasks in the micro-teach lesson. To do this I decided to do an exposition on the events with bullet points on the board. In theory I believed this would work, but in practice it took much longer than I thought and used up much of the 30 minutes allotted time. This led to me having to rush the learners through the tasks for the lesson. In addition, this led to a lot of text on the board, and as I was quite nervous, I used the information on the board to prompt me and ended up reading from the board a few times.</w:t>
      </w:r>
      <w:r w:rsidR="00643F2F">
        <w:rPr>
          <w:sz w:val="24"/>
        </w:rPr>
        <w:t xml:space="preserve"> On placement, I have learned that this teaching style of a long exposition does not keep the attention of KS3 learners for long.</w:t>
      </w:r>
      <w:r w:rsidR="008D2DEA">
        <w:rPr>
          <w:sz w:val="24"/>
        </w:rPr>
        <w:t xml:space="preserve"> In hindsight, I would change this to a much shorter exposition, with just the vital information on the board, or instead let the pupils feedback the events of the Rising (as they actually would have learned this in lesson 1), so that the learners will have enough time to complete the tasks properly. </w:t>
      </w:r>
    </w:p>
    <w:p w:rsidR="00643F2F" w:rsidRDefault="00643F2F" w:rsidP="00020CB1">
      <w:pPr>
        <w:rPr>
          <w:sz w:val="24"/>
        </w:rPr>
      </w:pPr>
      <w:r>
        <w:rPr>
          <w:sz w:val="24"/>
        </w:rPr>
        <w:tab/>
        <w:t>My questioning technique in the micro-teach was not the standard that I intended it to be. When the learners were getting on with the task I asked questions such as ‘Is everyone ok?’, ‘does everyone know what they’re doing?’ when I should have been asking probing questions that would steer the learners thought process and challenge them. From my professional teaching experience I have seen the effect that this line of questioning can have on a KS3 pupil, both those who were struggling and the MAT pupils who could be challenged further, particularly questions posed to encourage the learners to develop the higher order skills in Bloom’s Taxonomy (1956).</w:t>
      </w:r>
    </w:p>
    <w:p w:rsidR="00643F2F" w:rsidRPr="00367417" w:rsidRDefault="00643F2F" w:rsidP="00020CB1">
      <w:pPr>
        <w:rPr>
          <w:sz w:val="24"/>
        </w:rPr>
      </w:pPr>
      <w:r>
        <w:rPr>
          <w:sz w:val="24"/>
        </w:rPr>
        <w:tab/>
      </w:r>
    </w:p>
    <w:p w:rsidR="00041FEF" w:rsidRPr="00254FF9" w:rsidRDefault="00041FEF" w:rsidP="00020CB1">
      <w:pPr>
        <w:rPr>
          <w:sz w:val="24"/>
        </w:rPr>
      </w:pPr>
    </w:p>
    <w:p w:rsidR="00776CEF" w:rsidRDefault="00776CEF" w:rsidP="00776CEF">
      <w:pPr>
        <w:ind w:firstLine="720"/>
        <w:rPr>
          <w:sz w:val="24"/>
        </w:rPr>
      </w:pPr>
    </w:p>
    <w:p w:rsidR="007032A8" w:rsidRDefault="007032A8" w:rsidP="00776CEF">
      <w:pPr>
        <w:ind w:firstLine="720"/>
        <w:rPr>
          <w:sz w:val="24"/>
        </w:rPr>
      </w:pPr>
    </w:p>
    <w:p w:rsidR="007032A8" w:rsidRPr="00254FF9" w:rsidRDefault="007032A8" w:rsidP="00776CEF">
      <w:pPr>
        <w:ind w:firstLine="720"/>
        <w:rPr>
          <w:sz w:val="24"/>
        </w:rPr>
      </w:pPr>
    </w:p>
    <w:p w:rsidR="000B5B72" w:rsidRPr="003D1DC6" w:rsidRDefault="007032A8" w:rsidP="003D1DC6">
      <w:pPr>
        <w:jc w:val="center"/>
        <w:rPr>
          <w:b/>
          <w:sz w:val="28"/>
          <w:szCs w:val="28"/>
        </w:rPr>
      </w:pPr>
      <w:r w:rsidRPr="003D1DC6">
        <w:rPr>
          <w:b/>
          <w:sz w:val="28"/>
          <w:szCs w:val="28"/>
        </w:rPr>
        <w:lastRenderedPageBreak/>
        <w:t>Reference List</w:t>
      </w:r>
    </w:p>
    <w:p w:rsidR="007032A8" w:rsidRPr="00254FF9" w:rsidRDefault="007032A8" w:rsidP="00776CEF">
      <w:pPr>
        <w:ind w:firstLine="720"/>
        <w:rPr>
          <w:sz w:val="24"/>
        </w:rPr>
      </w:pPr>
    </w:p>
    <w:p w:rsidR="000B5B72" w:rsidRPr="00254FF9" w:rsidRDefault="001E125E" w:rsidP="001E125E">
      <w:pPr>
        <w:rPr>
          <w:b/>
          <w:sz w:val="24"/>
        </w:rPr>
      </w:pPr>
      <w:r w:rsidRPr="00254FF9">
        <w:rPr>
          <w:b/>
          <w:sz w:val="24"/>
        </w:rPr>
        <w:t>Books</w:t>
      </w:r>
    </w:p>
    <w:p w:rsidR="000B5B72" w:rsidRPr="00254FF9" w:rsidRDefault="00696D60" w:rsidP="00696D60">
      <w:pPr>
        <w:rPr>
          <w:sz w:val="24"/>
        </w:rPr>
      </w:pPr>
      <w:r w:rsidRPr="00254FF9">
        <w:rPr>
          <w:sz w:val="24"/>
        </w:rPr>
        <w:t xml:space="preserve">Anderson L. W. and Krathwohl, D. (eds) (2001) </w:t>
      </w:r>
      <w:r w:rsidRPr="00254FF9">
        <w:rPr>
          <w:i/>
          <w:sz w:val="24"/>
        </w:rPr>
        <w:t>A Taxonomy for Learning, Teaching and Assessing: A Revision of Bloom’s Taxonomy of Educational Objectives</w:t>
      </w:r>
      <w:r w:rsidRPr="00254FF9">
        <w:rPr>
          <w:sz w:val="24"/>
        </w:rPr>
        <w:t>. New York: Longman.</w:t>
      </w:r>
    </w:p>
    <w:p w:rsidR="006F0464" w:rsidRPr="00254FF9" w:rsidRDefault="006F0464" w:rsidP="00696D60">
      <w:pPr>
        <w:rPr>
          <w:sz w:val="24"/>
        </w:rPr>
      </w:pPr>
      <w:r w:rsidRPr="00254FF9">
        <w:rPr>
          <w:sz w:val="24"/>
        </w:rPr>
        <w:t xml:space="preserve">Black, P. and </w:t>
      </w:r>
      <w:proofErr w:type="spellStart"/>
      <w:r w:rsidRPr="00254FF9">
        <w:rPr>
          <w:sz w:val="24"/>
        </w:rPr>
        <w:t>Wiliam</w:t>
      </w:r>
      <w:proofErr w:type="spellEnd"/>
      <w:r w:rsidRPr="00254FF9">
        <w:rPr>
          <w:sz w:val="24"/>
        </w:rPr>
        <w:t xml:space="preserve">, D. (1998) Inside the Black Box: Raising Standards through Classroom Assessment. London: </w:t>
      </w:r>
      <w:proofErr w:type="spellStart"/>
      <w:r w:rsidRPr="00254FF9">
        <w:rPr>
          <w:sz w:val="24"/>
        </w:rPr>
        <w:t>NferNelson</w:t>
      </w:r>
      <w:proofErr w:type="spellEnd"/>
      <w:r w:rsidRPr="00254FF9">
        <w:rPr>
          <w:sz w:val="24"/>
        </w:rPr>
        <w:t>.</w:t>
      </w:r>
    </w:p>
    <w:p w:rsidR="000B5B72" w:rsidRPr="00254FF9" w:rsidRDefault="00686C11" w:rsidP="00686C11">
      <w:pPr>
        <w:rPr>
          <w:sz w:val="24"/>
        </w:rPr>
      </w:pPr>
      <w:r w:rsidRPr="00254FF9">
        <w:rPr>
          <w:sz w:val="24"/>
        </w:rPr>
        <w:t xml:space="preserve">Bloom, B. (1956) (ed.) </w:t>
      </w:r>
      <w:r w:rsidRPr="00254FF9">
        <w:rPr>
          <w:i/>
          <w:sz w:val="24"/>
        </w:rPr>
        <w:t>Taxonomy of Educational Objectives. Handbook 1: Cognitive Domain</w:t>
      </w:r>
      <w:r w:rsidRPr="00254FF9">
        <w:rPr>
          <w:sz w:val="24"/>
        </w:rPr>
        <w:t>. New York: David McKay.</w:t>
      </w:r>
    </w:p>
    <w:p w:rsidR="000B5B72" w:rsidRPr="00254FF9" w:rsidRDefault="000B5B72" w:rsidP="000B5B72">
      <w:pPr>
        <w:rPr>
          <w:rFonts w:cstheme="minorHAnsi"/>
          <w:sz w:val="24"/>
        </w:rPr>
      </w:pPr>
      <w:r w:rsidRPr="00254FF9">
        <w:rPr>
          <w:sz w:val="24"/>
        </w:rPr>
        <w:t>Bruner, J. S. (</w:t>
      </w:r>
      <w:r w:rsidRPr="00254FF9">
        <w:rPr>
          <w:rFonts w:cstheme="minorHAnsi"/>
          <w:sz w:val="24"/>
        </w:rPr>
        <w:t xml:space="preserve">1996) </w:t>
      </w:r>
      <w:r w:rsidRPr="00254FF9">
        <w:rPr>
          <w:rFonts w:cstheme="minorHAnsi"/>
          <w:i/>
          <w:sz w:val="24"/>
        </w:rPr>
        <w:t>The Culture of Education</w:t>
      </w:r>
      <w:r w:rsidRPr="00254FF9">
        <w:rPr>
          <w:rFonts w:cstheme="minorHAnsi"/>
          <w:sz w:val="24"/>
        </w:rPr>
        <w:t>. Cambridge</w:t>
      </w:r>
      <w:r w:rsidR="000F64E9" w:rsidRPr="00254FF9">
        <w:rPr>
          <w:rFonts w:cstheme="minorHAnsi"/>
          <w:sz w:val="24"/>
        </w:rPr>
        <w:t>, MA: Harvard University Press.</w:t>
      </w:r>
    </w:p>
    <w:p w:rsidR="006E3A76" w:rsidRPr="00254FF9" w:rsidRDefault="006E3A76" w:rsidP="000B5B72">
      <w:pPr>
        <w:rPr>
          <w:rFonts w:cstheme="minorHAnsi"/>
          <w:sz w:val="24"/>
        </w:rPr>
      </w:pPr>
      <w:r w:rsidRPr="00254FF9">
        <w:rPr>
          <w:rStyle w:val="normaltextrun"/>
          <w:rFonts w:cstheme="minorHAnsi"/>
          <w:color w:val="000000"/>
          <w:sz w:val="24"/>
        </w:rPr>
        <w:t xml:space="preserve">Haydn, T., Arthur, J., Hunt, M. (1997) </w:t>
      </w:r>
      <w:r w:rsidRPr="00254FF9">
        <w:rPr>
          <w:rStyle w:val="normaltextrun"/>
          <w:rFonts w:cstheme="minorHAnsi"/>
          <w:i/>
          <w:iCs/>
          <w:color w:val="000000"/>
          <w:sz w:val="24"/>
        </w:rPr>
        <w:t>Learning to Teach History in the Secondary School: A Companion to School Experience</w:t>
      </w:r>
      <w:r w:rsidRPr="00254FF9">
        <w:rPr>
          <w:rStyle w:val="normaltextrun"/>
          <w:rFonts w:cstheme="minorHAnsi"/>
          <w:color w:val="000000"/>
          <w:sz w:val="24"/>
        </w:rPr>
        <w:t>. London: Routledge.</w:t>
      </w:r>
    </w:p>
    <w:p w:rsidR="00740EAC" w:rsidRPr="00254FF9" w:rsidRDefault="00740EAC" w:rsidP="000B5B72">
      <w:pPr>
        <w:rPr>
          <w:sz w:val="24"/>
        </w:rPr>
      </w:pPr>
      <w:r w:rsidRPr="00254FF9">
        <w:rPr>
          <w:sz w:val="24"/>
        </w:rPr>
        <w:t>Kidd, W. and Czerniawski</w:t>
      </w:r>
      <w:r w:rsidR="00BF4121" w:rsidRPr="00254FF9">
        <w:rPr>
          <w:sz w:val="24"/>
        </w:rPr>
        <w:t xml:space="preserve">, G. (2010) </w:t>
      </w:r>
      <w:r w:rsidR="00BF4121" w:rsidRPr="00254FF9">
        <w:rPr>
          <w:i/>
          <w:sz w:val="24"/>
        </w:rPr>
        <w:t>Successful Teaching 14-19: Theory, Practice and Reflection</w:t>
      </w:r>
      <w:r w:rsidR="00BF4121" w:rsidRPr="00254FF9">
        <w:rPr>
          <w:sz w:val="24"/>
        </w:rPr>
        <w:t>. London: SAGE Publications Ltd.</w:t>
      </w:r>
    </w:p>
    <w:p w:rsidR="000B5B72" w:rsidRPr="00254FF9" w:rsidRDefault="00BF4121" w:rsidP="00BF4121">
      <w:pPr>
        <w:rPr>
          <w:sz w:val="24"/>
        </w:rPr>
      </w:pPr>
      <w:r w:rsidRPr="00254FF9">
        <w:rPr>
          <w:sz w:val="24"/>
        </w:rPr>
        <w:t xml:space="preserve">Pritchard (2009) </w:t>
      </w:r>
      <w:r w:rsidRPr="00254FF9">
        <w:rPr>
          <w:i/>
          <w:iCs/>
          <w:sz w:val="24"/>
        </w:rPr>
        <w:t xml:space="preserve">Ways of Learning. </w:t>
      </w:r>
      <w:r w:rsidRPr="00254FF9">
        <w:rPr>
          <w:sz w:val="24"/>
        </w:rPr>
        <w:t>London: Routledge.</w:t>
      </w:r>
    </w:p>
    <w:p w:rsidR="00011673" w:rsidRPr="00254FF9" w:rsidRDefault="00011673" w:rsidP="00011673">
      <w:pPr>
        <w:rPr>
          <w:rFonts w:cstheme="minorHAnsi"/>
          <w:sz w:val="24"/>
        </w:rPr>
      </w:pPr>
      <w:r w:rsidRPr="00254FF9">
        <w:rPr>
          <w:rFonts w:cstheme="minorHAnsi"/>
          <w:sz w:val="24"/>
        </w:rPr>
        <w:t>Qualifications, Curriculum and Assessment Authority for Wales (ACCAC). (2003)</w:t>
      </w:r>
      <w:r w:rsidRPr="00254FF9">
        <w:rPr>
          <w:rStyle w:val="Strong"/>
          <w:rFonts w:cstheme="minorHAnsi"/>
          <w:sz w:val="24"/>
        </w:rPr>
        <w:t> </w:t>
      </w:r>
      <w:hyperlink r:id="rId9" w:tgtFrame="_blank" w:history="1">
        <w:r w:rsidRPr="00254FF9">
          <w:rPr>
            <w:rStyle w:val="Hyperlink"/>
            <w:rFonts w:cstheme="minorHAnsi"/>
            <w:bCs/>
            <w:i/>
            <w:iCs/>
            <w:color w:val="auto"/>
            <w:sz w:val="24"/>
            <w:u w:val="none"/>
          </w:rPr>
          <w:t>Developing the Curriculum Cymreig</w:t>
        </w:r>
      </w:hyperlink>
      <w:r w:rsidRPr="00254FF9">
        <w:rPr>
          <w:rFonts w:cstheme="minorHAnsi"/>
          <w:i/>
          <w:iCs/>
          <w:sz w:val="24"/>
        </w:rPr>
        <w:t>. </w:t>
      </w:r>
      <w:r w:rsidRPr="00254FF9">
        <w:rPr>
          <w:rFonts w:cstheme="minorHAnsi"/>
          <w:sz w:val="24"/>
        </w:rPr>
        <w:t>Cardiff .</w:t>
      </w:r>
    </w:p>
    <w:p w:rsidR="00E05E4F" w:rsidRPr="00254FF9" w:rsidRDefault="00E05E4F" w:rsidP="00BF4121">
      <w:pPr>
        <w:rPr>
          <w:sz w:val="24"/>
        </w:rPr>
      </w:pPr>
      <w:r w:rsidRPr="00254FF9">
        <w:rPr>
          <w:sz w:val="24"/>
        </w:rPr>
        <w:t xml:space="preserve">Vygotsky, L. S. (1978) </w:t>
      </w:r>
      <w:r w:rsidRPr="00254FF9">
        <w:rPr>
          <w:i/>
          <w:sz w:val="24"/>
        </w:rPr>
        <w:t>Mind and Society: The Development of Higher Mental Processes</w:t>
      </w:r>
      <w:r w:rsidRPr="00254FF9">
        <w:rPr>
          <w:sz w:val="24"/>
        </w:rPr>
        <w:t>. Cambridge MA: Harvard University Press.</w:t>
      </w:r>
    </w:p>
    <w:p w:rsidR="001E125E" w:rsidRPr="00254FF9" w:rsidRDefault="001E125E" w:rsidP="00BF4121">
      <w:pPr>
        <w:rPr>
          <w:sz w:val="24"/>
        </w:rPr>
      </w:pPr>
      <w:r w:rsidRPr="00254FF9">
        <w:rPr>
          <w:sz w:val="24"/>
        </w:rPr>
        <w:t xml:space="preserve">Wiggins, G. P. (1998). </w:t>
      </w:r>
      <w:r w:rsidRPr="00254FF9">
        <w:rPr>
          <w:i/>
          <w:sz w:val="24"/>
        </w:rPr>
        <w:t>Educative assessment: Designing assessments to inform and improve student performance</w:t>
      </w:r>
      <w:r w:rsidRPr="00254FF9">
        <w:rPr>
          <w:sz w:val="24"/>
        </w:rPr>
        <w:t>. San Francisco, CA: Jossey-Bass.</w:t>
      </w:r>
    </w:p>
    <w:p w:rsidR="001E125E" w:rsidRPr="00254FF9" w:rsidRDefault="001E125E" w:rsidP="00BF4121">
      <w:pPr>
        <w:rPr>
          <w:rFonts w:cstheme="minorHAnsi"/>
          <w:sz w:val="24"/>
        </w:rPr>
      </w:pPr>
    </w:p>
    <w:p w:rsidR="002734DE" w:rsidRPr="00254FF9" w:rsidRDefault="002734DE" w:rsidP="00BF4121">
      <w:pPr>
        <w:rPr>
          <w:rFonts w:cstheme="minorHAnsi"/>
          <w:b/>
          <w:sz w:val="24"/>
        </w:rPr>
      </w:pPr>
      <w:r w:rsidRPr="00254FF9">
        <w:rPr>
          <w:rFonts w:cstheme="minorHAnsi"/>
          <w:b/>
          <w:sz w:val="24"/>
        </w:rPr>
        <w:t>Journal Articles</w:t>
      </w:r>
    </w:p>
    <w:p w:rsidR="002734DE" w:rsidRPr="00254FF9" w:rsidRDefault="002734DE" w:rsidP="00BF4121">
      <w:pPr>
        <w:rPr>
          <w:rStyle w:val="doilink"/>
          <w:rFonts w:cstheme="minorHAnsi"/>
          <w:sz w:val="24"/>
        </w:rPr>
      </w:pPr>
      <w:r w:rsidRPr="00254FF9">
        <w:rPr>
          <w:rStyle w:val="authors"/>
          <w:rFonts w:cstheme="minorHAnsi"/>
          <w:sz w:val="24"/>
        </w:rPr>
        <w:t>Dixson</w:t>
      </w:r>
      <w:r w:rsidRPr="00254FF9">
        <w:rPr>
          <w:rStyle w:val="authors"/>
          <w:rFonts w:cstheme="minorHAnsi"/>
          <w:sz w:val="24"/>
        </w:rPr>
        <w:t>, D. D.</w:t>
      </w:r>
      <w:r w:rsidRPr="00254FF9">
        <w:rPr>
          <w:rStyle w:val="authors"/>
          <w:rFonts w:cstheme="minorHAnsi"/>
          <w:sz w:val="24"/>
        </w:rPr>
        <w:t xml:space="preserve"> </w:t>
      </w:r>
      <w:r w:rsidRPr="00254FF9">
        <w:rPr>
          <w:rStyle w:val="authors"/>
          <w:rFonts w:cstheme="minorHAnsi"/>
          <w:sz w:val="24"/>
        </w:rPr>
        <w:t>and</w:t>
      </w:r>
      <w:r w:rsidRPr="00254FF9">
        <w:rPr>
          <w:rStyle w:val="authors"/>
          <w:rFonts w:cstheme="minorHAnsi"/>
          <w:sz w:val="24"/>
        </w:rPr>
        <w:t xml:space="preserve"> Worrell</w:t>
      </w:r>
      <w:r w:rsidRPr="00254FF9">
        <w:rPr>
          <w:rStyle w:val="authors"/>
          <w:rFonts w:cstheme="minorHAnsi"/>
          <w:sz w:val="24"/>
        </w:rPr>
        <w:t>, F. C.</w:t>
      </w:r>
      <w:r w:rsidRPr="00254FF9">
        <w:rPr>
          <w:rFonts w:cstheme="minorHAnsi"/>
          <w:sz w:val="24"/>
        </w:rPr>
        <w:t xml:space="preserve"> </w:t>
      </w:r>
      <w:r w:rsidRPr="00254FF9">
        <w:rPr>
          <w:rStyle w:val="date"/>
          <w:rFonts w:cstheme="minorHAnsi"/>
          <w:sz w:val="24"/>
        </w:rPr>
        <w:t>(2016)</w:t>
      </w:r>
      <w:r w:rsidRPr="00254FF9">
        <w:rPr>
          <w:rFonts w:cstheme="minorHAnsi"/>
          <w:sz w:val="24"/>
        </w:rPr>
        <w:t xml:space="preserve"> </w:t>
      </w:r>
      <w:r w:rsidRPr="00254FF9">
        <w:rPr>
          <w:rFonts w:cstheme="minorHAnsi"/>
          <w:sz w:val="24"/>
        </w:rPr>
        <w:t>‘</w:t>
      </w:r>
      <w:r w:rsidRPr="00254FF9">
        <w:rPr>
          <w:rStyle w:val="arttitle"/>
          <w:rFonts w:cstheme="minorHAnsi"/>
          <w:sz w:val="24"/>
        </w:rPr>
        <w:t>Formative and Summative Assessment in the Classroom</w:t>
      </w:r>
      <w:r w:rsidRPr="00254FF9">
        <w:rPr>
          <w:rStyle w:val="arttitle"/>
          <w:rFonts w:cstheme="minorHAnsi"/>
          <w:sz w:val="24"/>
        </w:rPr>
        <w:t>’</w:t>
      </w:r>
      <w:r w:rsidRPr="00254FF9">
        <w:rPr>
          <w:rStyle w:val="arttitle"/>
          <w:rFonts w:cstheme="minorHAnsi"/>
          <w:sz w:val="24"/>
        </w:rPr>
        <w:t>,</w:t>
      </w:r>
      <w:r w:rsidRPr="00254FF9">
        <w:rPr>
          <w:rFonts w:cstheme="minorHAnsi"/>
          <w:sz w:val="24"/>
        </w:rPr>
        <w:t xml:space="preserve"> </w:t>
      </w:r>
      <w:r w:rsidRPr="00254FF9">
        <w:rPr>
          <w:rStyle w:val="serialtitle"/>
          <w:rFonts w:cstheme="minorHAnsi"/>
          <w:i/>
          <w:sz w:val="24"/>
        </w:rPr>
        <w:t>Theory Into Practice</w:t>
      </w:r>
      <w:r w:rsidRPr="00254FF9">
        <w:rPr>
          <w:rStyle w:val="serialtitle"/>
          <w:rFonts w:cstheme="minorHAnsi"/>
          <w:sz w:val="24"/>
        </w:rPr>
        <w:t>,</w:t>
      </w:r>
      <w:r w:rsidRPr="00254FF9">
        <w:rPr>
          <w:rFonts w:cstheme="minorHAnsi"/>
          <w:sz w:val="24"/>
        </w:rPr>
        <w:t xml:space="preserve"> </w:t>
      </w:r>
      <w:r w:rsidRPr="00254FF9">
        <w:rPr>
          <w:rStyle w:val="volumeissue"/>
          <w:rFonts w:cstheme="minorHAnsi"/>
          <w:sz w:val="24"/>
        </w:rPr>
        <w:t>55:2,</w:t>
      </w:r>
      <w:r w:rsidRPr="00254FF9">
        <w:rPr>
          <w:rFonts w:cstheme="minorHAnsi"/>
          <w:sz w:val="24"/>
        </w:rPr>
        <w:t xml:space="preserve"> </w:t>
      </w:r>
      <w:r w:rsidRPr="00254FF9">
        <w:rPr>
          <w:rStyle w:val="pagerange"/>
          <w:rFonts w:cstheme="minorHAnsi"/>
          <w:sz w:val="24"/>
        </w:rPr>
        <w:t>153-159,</w:t>
      </w:r>
      <w:r w:rsidRPr="00254FF9">
        <w:rPr>
          <w:rFonts w:cstheme="minorHAnsi"/>
          <w:sz w:val="24"/>
        </w:rPr>
        <w:t xml:space="preserve"> </w:t>
      </w:r>
      <w:r w:rsidRPr="00254FF9">
        <w:rPr>
          <w:rStyle w:val="doilink"/>
          <w:rFonts w:cstheme="minorHAnsi"/>
          <w:sz w:val="24"/>
        </w:rPr>
        <w:t xml:space="preserve">DOI: </w:t>
      </w:r>
      <w:hyperlink r:id="rId10" w:history="1">
        <w:r w:rsidRPr="00254FF9">
          <w:rPr>
            <w:rStyle w:val="Hyperlink"/>
            <w:rFonts w:cstheme="minorHAnsi"/>
            <w:color w:val="auto"/>
            <w:sz w:val="24"/>
          </w:rPr>
          <w:t>10.1080/00405841.2016.1148989</w:t>
        </w:r>
      </w:hyperlink>
      <w:r w:rsidRPr="00254FF9">
        <w:rPr>
          <w:rStyle w:val="doilink"/>
          <w:rFonts w:cstheme="minorHAnsi"/>
          <w:sz w:val="24"/>
        </w:rPr>
        <w:t xml:space="preserve"> (Accessed: 25/11/2018)</w:t>
      </w:r>
    </w:p>
    <w:p w:rsidR="002734DE" w:rsidRPr="00254FF9" w:rsidRDefault="002734DE" w:rsidP="00BF4121">
      <w:pPr>
        <w:rPr>
          <w:sz w:val="24"/>
        </w:rPr>
      </w:pPr>
    </w:p>
    <w:p w:rsidR="001E125E" w:rsidRPr="00254FF9" w:rsidRDefault="001E125E" w:rsidP="00BF4121">
      <w:pPr>
        <w:rPr>
          <w:b/>
          <w:sz w:val="24"/>
        </w:rPr>
      </w:pPr>
      <w:r w:rsidRPr="00254FF9">
        <w:rPr>
          <w:b/>
          <w:sz w:val="24"/>
        </w:rPr>
        <w:t>Online</w:t>
      </w:r>
    </w:p>
    <w:p w:rsidR="00FF78AF" w:rsidRPr="00254FF9" w:rsidRDefault="00FF78AF" w:rsidP="00BF4121">
      <w:pPr>
        <w:rPr>
          <w:sz w:val="24"/>
        </w:rPr>
      </w:pPr>
      <w:r w:rsidRPr="00254FF9">
        <w:rPr>
          <w:sz w:val="24"/>
        </w:rPr>
        <w:t xml:space="preserve">Welsh Government (2016) ‘Digital Competence Framework’, </w:t>
      </w:r>
      <w:r w:rsidRPr="00254FF9">
        <w:rPr>
          <w:i/>
          <w:sz w:val="24"/>
        </w:rPr>
        <w:t>Learning Wales</w:t>
      </w:r>
      <w:r w:rsidRPr="00254FF9">
        <w:rPr>
          <w:sz w:val="24"/>
        </w:rPr>
        <w:t xml:space="preserve">. Available at: </w:t>
      </w:r>
      <w:hyperlink r:id="rId11" w:history="1">
        <w:r w:rsidRPr="00254FF9">
          <w:rPr>
            <w:rStyle w:val="Hyperlink"/>
            <w:sz w:val="24"/>
          </w:rPr>
          <w:t>http://learning.gov.wales/resources/browse-all/digital-competence-framework/framework?lang=en&amp;year=year_9&amp;selectedYear=col_15&amp;lang=en</w:t>
        </w:r>
      </w:hyperlink>
      <w:r w:rsidRPr="00254FF9">
        <w:rPr>
          <w:sz w:val="24"/>
        </w:rPr>
        <w:t xml:space="preserve"> (Accessed: 25/11/2018)</w:t>
      </w:r>
    </w:p>
    <w:p w:rsidR="000B5B72" w:rsidRPr="00254FF9" w:rsidRDefault="00C75587">
      <w:pPr>
        <w:rPr>
          <w:sz w:val="24"/>
        </w:rPr>
      </w:pPr>
      <w:r w:rsidRPr="00254FF9">
        <w:rPr>
          <w:sz w:val="24"/>
        </w:rPr>
        <w:lastRenderedPageBreak/>
        <w:t xml:space="preserve">Welsh Government (2013) </w:t>
      </w:r>
      <w:r w:rsidR="00E9568B" w:rsidRPr="00254FF9">
        <w:rPr>
          <w:sz w:val="24"/>
        </w:rPr>
        <w:t>‘</w:t>
      </w:r>
      <w:r w:rsidRPr="00254FF9">
        <w:rPr>
          <w:sz w:val="24"/>
        </w:rPr>
        <w:t>History in the national</w:t>
      </w:r>
      <w:r w:rsidR="00776CEF" w:rsidRPr="00254FF9">
        <w:rPr>
          <w:sz w:val="24"/>
        </w:rPr>
        <w:t xml:space="preserve"> curriculum</w:t>
      </w:r>
      <w:r w:rsidRPr="00254FF9">
        <w:rPr>
          <w:sz w:val="24"/>
        </w:rPr>
        <w:t xml:space="preserve"> for Wales</w:t>
      </w:r>
      <w:r w:rsidR="00E9568B" w:rsidRPr="00254FF9">
        <w:rPr>
          <w:sz w:val="24"/>
        </w:rPr>
        <w:t xml:space="preserve">’, </w:t>
      </w:r>
      <w:r w:rsidR="00E9568B" w:rsidRPr="00254FF9">
        <w:rPr>
          <w:i/>
          <w:sz w:val="24"/>
        </w:rPr>
        <w:t>Learning Wales</w:t>
      </w:r>
      <w:r w:rsidRPr="00254FF9">
        <w:rPr>
          <w:sz w:val="24"/>
        </w:rPr>
        <w:t>.</w:t>
      </w:r>
      <w:r w:rsidR="00776CEF" w:rsidRPr="00254FF9">
        <w:rPr>
          <w:sz w:val="24"/>
        </w:rPr>
        <w:t xml:space="preserve"> </w:t>
      </w:r>
      <w:r w:rsidRPr="00254FF9">
        <w:rPr>
          <w:sz w:val="24"/>
        </w:rPr>
        <w:t xml:space="preserve">Available at: </w:t>
      </w:r>
      <w:hyperlink r:id="rId12" w:history="1">
        <w:r w:rsidRPr="00254FF9">
          <w:rPr>
            <w:rStyle w:val="Hyperlink"/>
            <w:sz w:val="24"/>
          </w:rPr>
          <w:t>http://learning.gov.wales/docs/learningwales/publications/130424-history-in-the-national-curriculum-for-wales-en-v2.pdf</w:t>
        </w:r>
      </w:hyperlink>
      <w:r w:rsidRPr="00254FF9">
        <w:rPr>
          <w:sz w:val="24"/>
        </w:rPr>
        <w:t xml:space="preserve"> (Accessed 25/11/2018). </w:t>
      </w:r>
    </w:p>
    <w:p w:rsidR="00E9568B" w:rsidRPr="00254FF9" w:rsidRDefault="00E9568B">
      <w:pPr>
        <w:rPr>
          <w:sz w:val="24"/>
        </w:rPr>
      </w:pPr>
      <w:r w:rsidRPr="00254FF9">
        <w:rPr>
          <w:sz w:val="24"/>
        </w:rPr>
        <w:t xml:space="preserve">Welsh Government (2014) ‘National Literacy and Numeracy Framework’, </w:t>
      </w:r>
      <w:r w:rsidRPr="00254FF9">
        <w:rPr>
          <w:i/>
          <w:sz w:val="24"/>
        </w:rPr>
        <w:t>Learni</w:t>
      </w:r>
      <w:r w:rsidR="000B5B72" w:rsidRPr="00254FF9">
        <w:rPr>
          <w:i/>
          <w:sz w:val="24"/>
        </w:rPr>
        <w:t>ng Wales</w:t>
      </w:r>
      <w:r w:rsidR="000B5B72" w:rsidRPr="00254FF9">
        <w:rPr>
          <w:sz w:val="24"/>
        </w:rPr>
        <w:t xml:space="preserve">. </w:t>
      </w:r>
      <w:r w:rsidRPr="00254FF9">
        <w:rPr>
          <w:sz w:val="24"/>
        </w:rPr>
        <w:t xml:space="preserve">Available at: </w:t>
      </w:r>
      <w:hyperlink r:id="rId13" w:history="1">
        <w:r w:rsidRPr="00254FF9">
          <w:rPr>
            <w:rStyle w:val="Hyperlink"/>
            <w:sz w:val="24"/>
          </w:rPr>
          <w:t>http://learning.gov.wales/resources/browse-all/nlnf/framework?component=literacy&amp;year=6938392_2&amp;selectedYear=col_15&amp;lang=en</w:t>
        </w:r>
      </w:hyperlink>
      <w:r w:rsidRPr="00254FF9">
        <w:rPr>
          <w:sz w:val="24"/>
        </w:rPr>
        <w:t xml:space="preserve"> (Accessed 25/11/2018).</w:t>
      </w:r>
    </w:p>
    <w:p w:rsidR="00011673" w:rsidRPr="00254FF9" w:rsidRDefault="00011673">
      <w:pPr>
        <w:rPr>
          <w:rFonts w:cstheme="minorHAnsi"/>
          <w:sz w:val="24"/>
        </w:rPr>
      </w:pPr>
    </w:p>
    <w:sectPr w:rsidR="00011673" w:rsidRPr="00254FF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035A" w:rsidRDefault="00C1035A" w:rsidP="00A44984">
      <w:pPr>
        <w:spacing w:after="0" w:line="240" w:lineRule="auto"/>
      </w:pPr>
      <w:r>
        <w:separator/>
      </w:r>
    </w:p>
  </w:endnote>
  <w:endnote w:type="continuationSeparator" w:id="0">
    <w:p w:rsidR="00C1035A" w:rsidRDefault="00C1035A" w:rsidP="00A44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8662771"/>
      <w:docPartObj>
        <w:docPartGallery w:val="Page Numbers (Bottom of Page)"/>
        <w:docPartUnique/>
      </w:docPartObj>
    </w:sdtPr>
    <w:sdtEndPr>
      <w:rPr>
        <w:noProof/>
      </w:rPr>
    </w:sdtEndPr>
    <w:sdtContent>
      <w:p w:rsidR="001E125E" w:rsidRDefault="001E12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E125E" w:rsidRDefault="001E12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035A" w:rsidRDefault="00C1035A" w:rsidP="00A44984">
      <w:pPr>
        <w:spacing w:after="0" w:line="240" w:lineRule="auto"/>
      </w:pPr>
      <w:r>
        <w:separator/>
      </w:r>
    </w:p>
  </w:footnote>
  <w:footnote w:type="continuationSeparator" w:id="0">
    <w:p w:rsidR="00C1035A" w:rsidRDefault="00C1035A" w:rsidP="00A449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125E" w:rsidRPr="00254FF9" w:rsidRDefault="001E125E">
    <w:pPr>
      <w:pStyle w:val="Header"/>
      <w:rPr>
        <w:sz w:val="20"/>
        <w:szCs w:val="20"/>
      </w:rPr>
    </w:pPr>
    <w:r w:rsidRPr="00254FF9">
      <w:rPr>
        <w:sz w:val="20"/>
        <w:szCs w:val="20"/>
      </w:rPr>
      <w:ptab w:relativeTo="margin" w:alignment="center" w:leader="none"/>
    </w:r>
    <w:r w:rsidRPr="00254FF9">
      <w:rPr>
        <w:sz w:val="20"/>
        <w:szCs w:val="20"/>
      </w:rPr>
      <w:ptab w:relativeTo="margin" w:alignment="right" w:leader="none"/>
    </w:r>
    <w:r w:rsidRPr="00254FF9">
      <w:rPr>
        <w:sz w:val="20"/>
        <w:szCs w:val="20"/>
      </w:rPr>
      <w:t>Laura Hinder</w:t>
    </w:r>
  </w:p>
  <w:p w:rsidR="001E125E" w:rsidRPr="00254FF9" w:rsidRDefault="001E125E">
    <w:pPr>
      <w:pStyle w:val="Header"/>
      <w:rPr>
        <w:sz w:val="20"/>
        <w:szCs w:val="20"/>
      </w:rPr>
    </w:pPr>
    <w:r w:rsidRPr="00254FF9">
      <w:rPr>
        <w:sz w:val="20"/>
        <w:szCs w:val="20"/>
      </w:rPr>
      <w:tab/>
    </w:r>
    <w:r w:rsidRPr="00254FF9">
      <w:rPr>
        <w:sz w:val="20"/>
        <w:szCs w:val="20"/>
      </w:rPr>
      <w:tab/>
      <w:t>Student Number: 1803681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EC1002"/>
    <w:multiLevelType w:val="hybridMultilevel"/>
    <w:tmpl w:val="C7B283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9125D3F"/>
    <w:multiLevelType w:val="hybridMultilevel"/>
    <w:tmpl w:val="B1F8F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984"/>
    <w:rsid w:val="00011673"/>
    <w:rsid w:val="00020CB1"/>
    <w:rsid w:val="00041FEF"/>
    <w:rsid w:val="00054F5C"/>
    <w:rsid w:val="0007447F"/>
    <w:rsid w:val="000B5B72"/>
    <w:rsid w:val="000F64E9"/>
    <w:rsid w:val="0010068C"/>
    <w:rsid w:val="001A033A"/>
    <w:rsid w:val="001B4600"/>
    <w:rsid w:val="001E125E"/>
    <w:rsid w:val="0021047E"/>
    <w:rsid w:val="0022427B"/>
    <w:rsid w:val="00254FF9"/>
    <w:rsid w:val="002734DE"/>
    <w:rsid w:val="002D5868"/>
    <w:rsid w:val="00347FE7"/>
    <w:rsid w:val="0036188E"/>
    <w:rsid w:val="00367417"/>
    <w:rsid w:val="003D1DC6"/>
    <w:rsid w:val="00405D0B"/>
    <w:rsid w:val="00450FE5"/>
    <w:rsid w:val="00465E6F"/>
    <w:rsid w:val="00502BF2"/>
    <w:rsid w:val="00506EB0"/>
    <w:rsid w:val="005237CB"/>
    <w:rsid w:val="005257A9"/>
    <w:rsid w:val="00615566"/>
    <w:rsid w:val="00643F2F"/>
    <w:rsid w:val="00686C11"/>
    <w:rsid w:val="00696D60"/>
    <w:rsid w:val="006E3A76"/>
    <w:rsid w:val="006F0464"/>
    <w:rsid w:val="006F31B1"/>
    <w:rsid w:val="007032A8"/>
    <w:rsid w:val="00712303"/>
    <w:rsid w:val="00740EAC"/>
    <w:rsid w:val="00776CEF"/>
    <w:rsid w:val="007D6DD2"/>
    <w:rsid w:val="008979A1"/>
    <w:rsid w:val="008C2207"/>
    <w:rsid w:val="008C5C19"/>
    <w:rsid w:val="008C76FC"/>
    <w:rsid w:val="008D2DEA"/>
    <w:rsid w:val="0091787F"/>
    <w:rsid w:val="00976581"/>
    <w:rsid w:val="00977530"/>
    <w:rsid w:val="00A15A33"/>
    <w:rsid w:val="00A323A9"/>
    <w:rsid w:val="00A44984"/>
    <w:rsid w:val="00A47B14"/>
    <w:rsid w:val="00A51184"/>
    <w:rsid w:val="00A7787C"/>
    <w:rsid w:val="00AB5F8F"/>
    <w:rsid w:val="00AD7D54"/>
    <w:rsid w:val="00B507BE"/>
    <w:rsid w:val="00B75466"/>
    <w:rsid w:val="00B9193D"/>
    <w:rsid w:val="00B931DC"/>
    <w:rsid w:val="00BA331C"/>
    <w:rsid w:val="00BC4AFC"/>
    <w:rsid w:val="00BF4121"/>
    <w:rsid w:val="00C1035A"/>
    <w:rsid w:val="00C2487A"/>
    <w:rsid w:val="00C75587"/>
    <w:rsid w:val="00CA3105"/>
    <w:rsid w:val="00D053B2"/>
    <w:rsid w:val="00D31FBE"/>
    <w:rsid w:val="00E05E4F"/>
    <w:rsid w:val="00E9568B"/>
    <w:rsid w:val="00EC274F"/>
    <w:rsid w:val="00F05FF0"/>
    <w:rsid w:val="00F10989"/>
    <w:rsid w:val="00FF7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6A23C"/>
  <w15:chartTrackingRefBased/>
  <w15:docId w15:val="{EC289FBD-5DB7-4F6D-A43F-2F7DEA55E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22427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22427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44984"/>
    <w:pPr>
      <w:tabs>
        <w:tab w:val="center" w:pos="4513"/>
        <w:tab w:val="right" w:pos="9026"/>
      </w:tabs>
      <w:spacing w:after="0" w:line="240" w:lineRule="auto"/>
    </w:pPr>
  </w:style>
  <w:style w:type="character" w:customStyle="1" w:styleId="HeaderChar">
    <w:name w:val="Header Char"/>
    <w:basedOn w:val="DefaultParagraphFont"/>
    <w:link w:val="Header"/>
    <w:rsid w:val="00A44984"/>
  </w:style>
  <w:style w:type="paragraph" w:styleId="Footer">
    <w:name w:val="footer"/>
    <w:basedOn w:val="Normal"/>
    <w:link w:val="FooterChar"/>
    <w:uiPriority w:val="99"/>
    <w:unhideWhenUsed/>
    <w:rsid w:val="00A449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984"/>
  </w:style>
  <w:style w:type="character" w:styleId="Strong">
    <w:name w:val="Strong"/>
    <w:basedOn w:val="DefaultParagraphFont"/>
    <w:uiPriority w:val="22"/>
    <w:qFormat/>
    <w:rsid w:val="00A51184"/>
    <w:rPr>
      <w:b/>
      <w:bCs/>
    </w:rPr>
  </w:style>
  <w:style w:type="character" w:styleId="Hyperlink">
    <w:name w:val="Hyperlink"/>
    <w:basedOn w:val="DefaultParagraphFont"/>
    <w:uiPriority w:val="99"/>
    <w:unhideWhenUsed/>
    <w:rsid w:val="00A51184"/>
    <w:rPr>
      <w:color w:val="0000FF"/>
      <w:u w:val="single"/>
    </w:rPr>
  </w:style>
  <w:style w:type="character" w:styleId="UnresolvedMention">
    <w:name w:val="Unresolved Mention"/>
    <w:basedOn w:val="DefaultParagraphFont"/>
    <w:uiPriority w:val="99"/>
    <w:semiHidden/>
    <w:unhideWhenUsed/>
    <w:rsid w:val="007D6DD2"/>
    <w:rPr>
      <w:color w:val="605E5C"/>
      <w:shd w:val="clear" w:color="auto" w:fill="E1DFDD"/>
    </w:rPr>
  </w:style>
  <w:style w:type="paragraph" w:styleId="ListParagraph">
    <w:name w:val="List Paragraph"/>
    <w:basedOn w:val="Normal"/>
    <w:uiPriority w:val="34"/>
    <w:qFormat/>
    <w:rsid w:val="00020CB1"/>
    <w:pPr>
      <w:ind w:left="720"/>
      <w:contextualSpacing/>
    </w:pPr>
  </w:style>
  <w:style w:type="character" w:customStyle="1" w:styleId="normaltextrun">
    <w:name w:val="normaltextrun"/>
    <w:basedOn w:val="DefaultParagraphFont"/>
    <w:rsid w:val="006E3A76"/>
  </w:style>
  <w:style w:type="character" w:customStyle="1" w:styleId="authors">
    <w:name w:val="authors"/>
    <w:basedOn w:val="DefaultParagraphFont"/>
    <w:rsid w:val="002734DE"/>
  </w:style>
  <w:style w:type="character" w:customStyle="1" w:styleId="date">
    <w:name w:val="date"/>
    <w:basedOn w:val="DefaultParagraphFont"/>
    <w:rsid w:val="002734DE"/>
  </w:style>
  <w:style w:type="character" w:customStyle="1" w:styleId="arttitle">
    <w:name w:val="art_title"/>
    <w:basedOn w:val="DefaultParagraphFont"/>
    <w:rsid w:val="002734DE"/>
  </w:style>
  <w:style w:type="character" w:customStyle="1" w:styleId="serialtitle">
    <w:name w:val="serial_title"/>
    <w:basedOn w:val="DefaultParagraphFont"/>
    <w:rsid w:val="002734DE"/>
  </w:style>
  <w:style w:type="character" w:customStyle="1" w:styleId="volumeissue">
    <w:name w:val="volume_issue"/>
    <w:basedOn w:val="DefaultParagraphFont"/>
    <w:rsid w:val="002734DE"/>
  </w:style>
  <w:style w:type="character" w:customStyle="1" w:styleId="pagerange">
    <w:name w:val="page_range"/>
    <w:basedOn w:val="DefaultParagraphFont"/>
    <w:rsid w:val="002734DE"/>
  </w:style>
  <w:style w:type="character" w:customStyle="1" w:styleId="doilink">
    <w:name w:val="doi_link"/>
    <w:basedOn w:val="DefaultParagraphFont"/>
    <w:rsid w:val="002734DE"/>
  </w:style>
  <w:style w:type="character" w:customStyle="1" w:styleId="Heading2Char">
    <w:name w:val="Heading 2 Char"/>
    <w:basedOn w:val="DefaultParagraphFont"/>
    <w:link w:val="Heading2"/>
    <w:rsid w:val="0022427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22427B"/>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57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learning.gov.wales/resources/browse-all/nlnf/framework?component=literacy&amp;year=6938392_2&amp;selectedYear=col_15&amp;lang=e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learning.gov.wales/docs/learningwales/publications/130424-history-in-the-national-curriculum-for-wales-en-v2.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resources/browse-all/digital-competence-framework/framework?lang=en&amp;year=year_9&amp;selectedYear=col_15&amp;lang=e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080/00405841.2016.1148989" TargetMode="External"/><Relationship Id="rId4" Type="http://schemas.openxmlformats.org/officeDocument/2006/relationships/webSettings" Target="webSettings.xml"/><Relationship Id="rId9" Type="http://schemas.openxmlformats.org/officeDocument/2006/relationships/hyperlink" Target="https://moodle.uwtsd.ac.uk/pluginfile.php/185257/mod_book/chapter/4211/090902curriculumcymreigen%20copy.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1390</TotalTime>
  <Pages>6</Pages>
  <Words>2594</Words>
  <Characters>14792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laura.hinder91@gmail.com</dc:creator>
  <cp:keywords/>
  <dc:description/>
  <cp:lastModifiedBy>laura.hinder91@gmail.com</cp:lastModifiedBy>
  <cp:revision>22</cp:revision>
  <dcterms:created xsi:type="dcterms:W3CDTF">2018-11-24T21:54:00Z</dcterms:created>
  <dcterms:modified xsi:type="dcterms:W3CDTF">2018-11-25T22:36:00Z</dcterms:modified>
</cp:coreProperties>
</file>