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11D26" w14:textId="77777777" w:rsidR="00354D8A" w:rsidRPr="004C1597" w:rsidRDefault="00354D8A" w:rsidP="004C1597">
      <w:pPr>
        <w:spacing w:line="360" w:lineRule="auto"/>
        <w:jc w:val="center"/>
        <w:rPr>
          <w:rFonts w:ascii="Arial" w:hAnsi="Arial" w:cs="Arial"/>
          <w:b/>
          <w:bCs/>
          <w:sz w:val="22"/>
          <w:szCs w:val="22"/>
        </w:rPr>
      </w:pPr>
      <w:r w:rsidRPr="004C1597">
        <w:rPr>
          <w:rFonts w:ascii="Arial" w:hAnsi="Arial" w:cs="Arial"/>
          <w:b/>
          <w:bCs/>
          <w:sz w:val="22"/>
          <w:szCs w:val="22"/>
        </w:rPr>
        <w:t>BMHP5019_BIRM – Introduction to Independent Research Skills</w:t>
      </w:r>
    </w:p>
    <w:p w14:paraId="4ACE4080" w14:textId="77777777" w:rsidR="00354D8A" w:rsidRPr="004C1597" w:rsidRDefault="00354D8A" w:rsidP="004C1597">
      <w:pPr>
        <w:spacing w:line="360" w:lineRule="auto"/>
        <w:jc w:val="center"/>
        <w:rPr>
          <w:rFonts w:ascii="Arial" w:hAnsi="Arial" w:cs="Arial"/>
          <w:b/>
          <w:bCs/>
          <w:sz w:val="22"/>
          <w:szCs w:val="22"/>
        </w:rPr>
      </w:pPr>
      <w:r w:rsidRPr="004C1597">
        <w:rPr>
          <w:rFonts w:ascii="Arial" w:hAnsi="Arial" w:cs="Arial"/>
          <w:b/>
          <w:bCs/>
          <w:sz w:val="22"/>
          <w:szCs w:val="22"/>
        </w:rPr>
        <w:t>Student Name: Elena Trasnea</w:t>
      </w:r>
    </w:p>
    <w:p w14:paraId="33BCEF57" w14:textId="77777777" w:rsidR="00354D8A" w:rsidRDefault="00354D8A" w:rsidP="004C1597">
      <w:pPr>
        <w:spacing w:line="360" w:lineRule="auto"/>
        <w:jc w:val="center"/>
        <w:rPr>
          <w:rFonts w:ascii="Arial" w:hAnsi="Arial" w:cs="Arial"/>
          <w:b/>
          <w:bCs/>
          <w:sz w:val="22"/>
          <w:szCs w:val="22"/>
        </w:rPr>
      </w:pPr>
      <w:r w:rsidRPr="004C1597">
        <w:rPr>
          <w:rFonts w:ascii="Arial" w:hAnsi="Arial" w:cs="Arial"/>
          <w:b/>
          <w:bCs/>
          <w:sz w:val="22"/>
          <w:szCs w:val="22"/>
        </w:rPr>
        <w:t>Student Number:2332284</w:t>
      </w:r>
    </w:p>
    <w:p w14:paraId="37F267DD" w14:textId="6A5819BA" w:rsidR="00167D80" w:rsidRPr="004F1E0F" w:rsidRDefault="004F1E0F" w:rsidP="004C1597">
      <w:pPr>
        <w:spacing w:line="360" w:lineRule="auto"/>
        <w:jc w:val="center"/>
        <w:rPr>
          <w:rFonts w:ascii="Arial" w:hAnsi="Arial" w:cs="Arial"/>
          <w:b/>
          <w:bCs/>
          <w:sz w:val="22"/>
          <w:szCs w:val="22"/>
        </w:rPr>
      </w:pPr>
      <w:r w:rsidRPr="004F1E0F">
        <w:rPr>
          <w:rFonts w:ascii="Arial" w:hAnsi="Arial" w:cs="Arial"/>
          <w:b/>
          <w:bCs/>
          <w:color w:val="1D2125"/>
          <w:sz w:val="22"/>
          <w:szCs w:val="22"/>
          <w:shd w:val="clear" w:color="auto" w:fill="FFFFFF"/>
        </w:rPr>
        <w:t>Rizwan Nadim</w:t>
      </w:r>
    </w:p>
    <w:p w14:paraId="47E9FA06" w14:textId="77777777" w:rsidR="00534B56" w:rsidRDefault="00534B56" w:rsidP="004C1597">
      <w:pPr>
        <w:spacing w:line="360" w:lineRule="auto"/>
        <w:jc w:val="center"/>
        <w:rPr>
          <w:rFonts w:ascii="Arial" w:hAnsi="Arial" w:cs="Arial"/>
          <w:b/>
          <w:bCs/>
          <w:sz w:val="22"/>
          <w:szCs w:val="22"/>
        </w:rPr>
      </w:pPr>
    </w:p>
    <w:p w14:paraId="3149F8B8" w14:textId="77777777" w:rsidR="00534B56" w:rsidRDefault="00534B56" w:rsidP="004C1597">
      <w:pPr>
        <w:spacing w:line="360" w:lineRule="auto"/>
        <w:jc w:val="center"/>
        <w:rPr>
          <w:rFonts w:ascii="Arial" w:hAnsi="Arial" w:cs="Arial"/>
          <w:b/>
          <w:bCs/>
          <w:sz w:val="22"/>
          <w:szCs w:val="22"/>
        </w:rPr>
      </w:pPr>
    </w:p>
    <w:p w14:paraId="4BD12FDF" w14:textId="77777777" w:rsidR="00534B56" w:rsidRDefault="00534B56" w:rsidP="004C1597">
      <w:pPr>
        <w:spacing w:line="360" w:lineRule="auto"/>
        <w:jc w:val="center"/>
        <w:rPr>
          <w:rFonts w:ascii="Arial" w:hAnsi="Arial" w:cs="Arial"/>
          <w:b/>
          <w:bCs/>
          <w:sz w:val="22"/>
          <w:szCs w:val="22"/>
        </w:rPr>
      </w:pPr>
    </w:p>
    <w:p w14:paraId="63387E84" w14:textId="77777777" w:rsidR="00534B56" w:rsidRDefault="00534B56" w:rsidP="004C1597">
      <w:pPr>
        <w:spacing w:line="360" w:lineRule="auto"/>
        <w:jc w:val="center"/>
        <w:rPr>
          <w:rFonts w:ascii="Arial" w:hAnsi="Arial" w:cs="Arial"/>
          <w:b/>
          <w:bCs/>
          <w:sz w:val="22"/>
          <w:szCs w:val="22"/>
        </w:rPr>
      </w:pPr>
    </w:p>
    <w:p w14:paraId="71AAAA99" w14:textId="77777777" w:rsidR="00534B56" w:rsidRDefault="00534B56" w:rsidP="004C1597">
      <w:pPr>
        <w:spacing w:line="360" w:lineRule="auto"/>
        <w:jc w:val="center"/>
        <w:rPr>
          <w:rFonts w:ascii="Arial" w:hAnsi="Arial" w:cs="Arial"/>
          <w:b/>
          <w:bCs/>
          <w:sz w:val="22"/>
          <w:szCs w:val="22"/>
        </w:rPr>
      </w:pPr>
    </w:p>
    <w:p w14:paraId="5ED69B90" w14:textId="77777777" w:rsidR="00534B56" w:rsidRDefault="00534B56" w:rsidP="004C1597">
      <w:pPr>
        <w:spacing w:line="360" w:lineRule="auto"/>
        <w:jc w:val="center"/>
        <w:rPr>
          <w:rFonts w:ascii="Arial" w:hAnsi="Arial" w:cs="Arial"/>
          <w:b/>
          <w:bCs/>
          <w:sz w:val="22"/>
          <w:szCs w:val="22"/>
        </w:rPr>
      </w:pPr>
    </w:p>
    <w:p w14:paraId="34700E68" w14:textId="6F18B238" w:rsidR="00534B56" w:rsidRDefault="00534B56" w:rsidP="00534B56">
      <w:pPr>
        <w:spacing w:line="360" w:lineRule="auto"/>
        <w:jc w:val="center"/>
        <w:rPr>
          <w:rFonts w:ascii="Arial" w:hAnsi="Arial" w:cs="Arial"/>
          <w:b/>
          <w:bCs/>
          <w:sz w:val="22"/>
          <w:szCs w:val="22"/>
        </w:rPr>
      </w:pPr>
    </w:p>
    <w:p w14:paraId="06636981" w14:textId="77777777" w:rsidR="00534B56" w:rsidRDefault="00534B56" w:rsidP="004C1597">
      <w:pPr>
        <w:spacing w:line="360" w:lineRule="auto"/>
        <w:jc w:val="center"/>
        <w:rPr>
          <w:rFonts w:ascii="Arial" w:hAnsi="Arial" w:cs="Arial"/>
          <w:b/>
          <w:bCs/>
          <w:sz w:val="22"/>
          <w:szCs w:val="22"/>
        </w:rPr>
      </w:pPr>
    </w:p>
    <w:p w14:paraId="77E963FB" w14:textId="77777777" w:rsidR="00534B56" w:rsidRDefault="00534B56" w:rsidP="004C1597">
      <w:pPr>
        <w:spacing w:line="360" w:lineRule="auto"/>
        <w:jc w:val="center"/>
        <w:rPr>
          <w:rFonts w:ascii="Arial" w:hAnsi="Arial" w:cs="Arial"/>
          <w:b/>
          <w:bCs/>
          <w:sz w:val="22"/>
          <w:szCs w:val="22"/>
        </w:rPr>
      </w:pPr>
    </w:p>
    <w:p w14:paraId="4DFD8FEC" w14:textId="77777777" w:rsidR="00534B56" w:rsidRDefault="00534B56" w:rsidP="004C1597">
      <w:pPr>
        <w:spacing w:line="360" w:lineRule="auto"/>
        <w:jc w:val="center"/>
        <w:rPr>
          <w:rFonts w:ascii="Arial" w:hAnsi="Arial" w:cs="Arial"/>
          <w:b/>
          <w:bCs/>
          <w:sz w:val="22"/>
          <w:szCs w:val="22"/>
        </w:rPr>
      </w:pPr>
    </w:p>
    <w:p w14:paraId="58236656" w14:textId="77777777" w:rsidR="00270205" w:rsidRDefault="00270205" w:rsidP="004C1597">
      <w:pPr>
        <w:spacing w:line="360" w:lineRule="auto"/>
        <w:rPr>
          <w:rFonts w:ascii="Arial" w:hAnsi="Arial" w:cs="Arial"/>
          <w:b/>
          <w:bCs/>
          <w:sz w:val="22"/>
          <w:szCs w:val="22"/>
        </w:rPr>
      </w:pPr>
    </w:p>
    <w:p w14:paraId="380639FB" w14:textId="77777777" w:rsidR="00270205" w:rsidRDefault="00270205" w:rsidP="004C1597">
      <w:pPr>
        <w:spacing w:line="360" w:lineRule="auto"/>
        <w:rPr>
          <w:rFonts w:ascii="Arial" w:hAnsi="Arial" w:cs="Arial"/>
          <w:b/>
          <w:bCs/>
          <w:sz w:val="22"/>
          <w:szCs w:val="22"/>
        </w:rPr>
      </w:pPr>
    </w:p>
    <w:p w14:paraId="12EE376B" w14:textId="77777777" w:rsidR="00270205" w:rsidRDefault="00270205" w:rsidP="004C1597">
      <w:pPr>
        <w:spacing w:line="360" w:lineRule="auto"/>
        <w:rPr>
          <w:rFonts w:ascii="Arial" w:hAnsi="Arial" w:cs="Arial"/>
          <w:b/>
          <w:bCs/>
          <w:sz w:val="22"/>
          <w:szCs w:val="22"/>
        </w:rPr>
      </w:pPr>
    </w:p>
    <w:p w14:paraId="00219FF6" w14:textId="77777777" w:rsidR="00270205" w:rsidRDefault="00270205" w:rsidP="004C1597">
      <w:pPr>
        <w:spacing w:line="360" w:lineRule="auto"/>
        <w:rPr>
          <w:rFonts w:ascii="Arial" w:hAnsi="Arial" w:cs="Arial"/>
          <w:b/>
          <w:bCs/>
          <w:sz w:val="22"/>
          <w:szCs w:val="22"/>
        </w:rPr>
      </w:pPr>
    </w:p>
    <w:p w14:paraId="64A23F4A" w14:textId="77777777" w:rsidR="00270205" w:rsidRDefault="00270205" w:rsidP="004C1597">
      <w:pPr>
        <w:spacing w:line="360" w:lineRule="auto"/>
        <w:rPr>
          <w:rFonts w:ascii="Arial" w:hAnsi="Arial" w:cs="Arial"/>
          <w:b/>
          <w:bCs/>
          <w:sz w:val="22"/>
          <w:szCs w:val="22"/>
        </w:rPr>
      </w:pPr>
    </w:p>
    <w:p w14:paraId="14B45505" w14:textId="77777777" w:rsidR="00534B56" w:rsidRDefault="00534B56" w:rsidP="00534B56">
      <w:pPr>
        <w:spacing w:line="360" w:lineRule="auto"/>
        <w:jc w:val="center"/>
        <w:rPr>
          <w:rFonts w:ascii="Arial" w:hAnsi="Arial" w:cs="Arial"/>
          <w:b/>
          <w:bCs/>
          <w:sz w:val="22"/>
          <w:szCs w:val="22"/>
        </w:rPr>
      </w:pPr>
    </w:p>
    <w:p w14:paraId="4119283E" w14:textId="77777777" w:rsidR="00534B56" w:rsidRDefault="00534B56" w:rsidP="00534B56">
      <w:pPr>
        <w:spacing w:line="360" w:lineRule="auto"/>
        <w:jc w:val="center"/>
        <w:rPr>
          <w:rFonts w:ascii="Arial" w:hAnsi="Arial" w:cs="Arial"/>
          <w:b/>
          <w:bCs/>
          <w:sz w:val="22"/>
          <w:szCs w:val="22"/>
        </w:rPr>
      </w:pPr>
    </w:p>
    <w:p w14:paraId="401FDBFA" w14:textId="77777777" w:rsidR="00534B56" w:rsidRDefault="00534B56" w:rsidP="00534B56">
      <w:pPr>
        <w:spacing w:line="360" w:lineRule="auto"/>
        <w:jc w:val="center"/>
        <w:rPr>
          <w:rFonts w:ascii="Arial" w:hAnsi="Arial" w:cs="Arial"/>
          <w:b/>
          <w:bCs/>
          <w:sz w:val="22"/>
          <w:szCs w:val="22"/>
        </w:rPr>
      </w:pPr>
    </w:p>
    <w:p w14:paraId="38F9114E" w14:textId="77777777" w:rsidR="00534B56" w:rsidRDefault="00534B56" w:rsidP="00534B56">
      <w:pPr>
        <w:spacing w:line="360" w:lineRule="auto"/>
        <w:jc w:val="center"/>
        <w:rPr>
          <w:rFonts w:ascii="Arial" w:hAnsi="Arial" w:cs="Arial"/>
          <w:b/>
          <w:bCs/>
          <w:sz w:val="22"/>
          <w:szCs w:val="22"/>
        </w:rPr>
      </w:pPr>
    </w:p>
    <w:p w14:paraId="28EBE239" w14:textId="2146ECD9" w:rsidR="00534B56" w:rsidRPr="004C1597" w:rsidRDefault="00534B56" w:rsidP="00534B56">
      <w:pPr>
        <w:spacing w:line="360" w:lineRule="auto"/>
        <w:jc w:val="center"/>
        <w:rPr>
          <w:rFonts w:ascii="Arial" w:hAnsi="Arial" w:cs="Arial"/>
          <w:b/>
          <w:bCs/>
          <w:sz w:val="22"/>
          <w:szCs w:val="22"/>
        </w:rPr>
      </w:pPr>
      <w:r w:rsidRPr="004C1597">
        <w:rPr>
          <w:rFonts w:ascii="Arial" w:hAnsi="Arial" w:cs="Arial"/>
          <w:b/>
          <w:bCs/>
          <w:sz w:val="22"/>
          <w:szCs w:val="22"/>
        </w:rPr>
        <w:lastRenderedPageBreak/>
        <w:t>Burnout among Healthcare Professionals in the United Kingdom and its Impact on Patient Care: A Scoping Review Research Report</w:t>
      </w:r>
    </w:p>
    <w:p w14:paraId="0072FE75" w14:textId="0991A79C" w:rsidR="00065869" w:rsidRPr="004C1597" w:rsidRDefault="00065869" w:rsidP="004C1597">
      <w:pPr>
        <w:spacing w:line="360" w:lineRule="auto"/>
        <w:rPr>
          <w:rFonts w:ascii="Arial" w:hAnsi="Arial" w:cs="Arial"/>
          <w:b/>
          <w:bCs/>
          <w:sz w:val="22"/>
          <w:szCs w:val="22"/>
        </w:rPr>
      </w:pPr>
      <w:r w:rsidRPr="004C1597">
        <w:rPr>
          <w:rFonts w:ascii="Arial" w:hAnsi="Arial" w:cs="Arial"/>
          <w:b/>
          <w:bCs/>
          <w:sz w:val="22"/>
          <w:szCs w:val="22"/>
        </w:rPr>
        <w:t>1. Introduction</w:t>
      </w:r>
    </w:p>
    <w:p w14:paraId="6C415949" w14:textId="40B697F6" w:rsidR="00065869" w:rsidRPr="004C1597" w:rsidRDefault="00065869" w:rsidP="004C1597">
      <w:pPr>
        <w:spacing w:line="360" w:lineRule="auto"/>
        <w:rPr>
          <w:rFonts w:ascii="Arial" w:hAnsi="Arial" w:cs="Arial"/>
          <w:sz w:val="22"/>
          <w:szCs w:val="22"/>
        </w:rPr>
      </w:pPr>
      <w:r w:rsidRPr="004C1597">
        <w:rPr>
          <w:rFonts w:ascii="Arial" w:hAnsi="Arial" w:cs="Arial"/>
          <w:sz w:val="22"/>
          <w:szCs w:val="22"/>
        </w:rPr>
        <w:t xml:space="preserve">Burnout has become an increasingly recognised issue within healthcare systems worldwide, particularly in high-pressure environments such as the United Kingdom’s National Health Service (NHS). Burnout is defined as a psychological syndrome resulting from prolonged exposure to chronic workplace stressors, characterised by emotional exhaustion, depersonalisation, and reduced professional effectiveness (Maslach and Leiter, 2016). These symptoms may negatively affect healthcare professionals’ wellbeing, job satisfaction, and ability to perform their roles </w:t>
      </w:r>
      <w:r w:rsidR="00795439" w:rsidRPr="004C1597">
        <w:rPr>
          <w:rFonts w:ascii="Arial" w:hAnsi="Arial" w:cs="Arial"/>
          <w:sz w:val="22"/>
          <w:szCs w:val="22"/>
        </w:rPr>
        <w:t>effectively. Healthcare</w:t>
      </w:r>
      <w:r w:rsidRPr="004C1597">
        <w:rPr>
          <w:rFonts w:ascii="Arial" w:hAnsi="Arial" w:cs="Arial"/>
          <w:sz w:val="22"/>
          <w:szCs w:val="22"/>
        </w:rPr>
        <w:t xml:space="preserve"> professionals often work in demanding environments involving high workloads, emotional stress, and responsibility for patient safety. When workplace demands exceed an individual’s coping resources, the risk of burnout increases (Montgomery et al., 2019). Burnout is not only an individual health concern but also an organisational issue that may influence healthcare delivery and patient outcomes. Studies have shown that burnout among healthcare professionals is associated with reduced productivity, increased absenteeism, and higher staff turnover, all of which may impact the functioning of healthcare services (Dyrbye et al., 2017).In the UK, burnout has become particularly relevant due to increasing service demand, workforce shortages, and the impact of the COVID-19 pandemic. Healthcare staff have faced additional pressures, including increased workload, redeployment, and exposure to stressful clinical environments (Ferry et al., 2020). These factors have highlighted the importance of understanding burnout within healthcare settings to ensure both staff wellbeing and patient </w:t>
      </w:r>
      <w:r w:rsidR="00795439" w:rsidRPr="004C1597">
        <w:rPr>
          <w:rFonts w:ascii="Arial" w:hAnsi="Arial" w:cs="Arial"/>
          <w:sz w:val="22"/>
          <w:szCs w:val="22"/>
        </w:rPr>
        <w:t>safety. Burnout</w:t>
      </w:r>
      <w:r w:rsidRPr="004C1597">
        <w:rPr>
          <w:rFonts w:ascii="Arial" w:hAnsi="Arial" w:cs="Arial"/>
          <w:sz w:val="22"/>
          <w:szCs w:val="22"/>
        </w:rPr>
        <w:t xml:space="preserve"> may also influence patient care quality. Evidence suggests that healthcare professionals experiencing burnout may be more likely to make clinical errors, experience reduced engagement, and provide lower quality care (Hall et al., 2016). Emotional exhaustion may reduce concentration and decision-making ability, while depersonalisation may negatively affect communication and patient relationships (</w:t>
      </w:r>
      <w:proofErr w:type="spellStart"/>
      <w:r w:rsidRPr="004C1597">
        <w:rPr>
          <w:rFonts w:ascii="Arial" w:hAnsi="Arial" w:cs="Arial"/>
          <w:sz w:val="22"/>
          <w:szCs w:val="22"/>
        </w:rPr>
        <w:t>Panagioti</w:t>
      </w:r>
      <w:proofErr w:type="spellEnd"/>
      <w:r w:rsidRPr="004C1597">
        <w:rPr>
          <w:rFonts w:ascii="Arial" w:hAnsi="Arial" w:cs="Arial"/>
          <w:sz w:val="22"/>
          <w:szCs w:val="22"/>
        </w:rPr>
        <w:t xml:space="preserve"> et al., 2018). Therefore, addressing burnout is essential not only for protecting healthcare workers but also for maintaining safe and effective healthcare </w:t>
      </w:r>
      <w:r w:rsidR="00795439" w:rsidRPr="004C1597">
        <w:rPr>
          <w:rFonts w:ascii="Arial" w:hAnsi="Arial" w:cs="Arial"/>
          <w:sz w:val="22"/>
          <w:szCs w:val="22"/>
        </w:rPr>
        <w:t>services. Understanding</w:t>
      </w:r>
      <w:r w:rsidRPr="004C1597">
        <w:rPr>
          <w:rFonts w:ascii="Arial" w:hAnsi="Arial" w:cs="Arial"/>
          <w:sz w:val="22"/>
          <w:szCs w:val="22"/>
        </w:rPr>
        <w:t xml:space="preserve"> burnout is particularly important in the UK context, where healthcare services rely on maintaining a healthy and sustainable workforce. By examining peer-reviewed research, this scoping review aims to identify key themes related to burnout among healthcare professionals in the UK and explore its impact on patient care.</w:t>
      </w:r>
      <w:r w:rsidR="00F93A31" w:rsidRPr="004C1597">
        <w:rPr>
          <w:rFonts w:ascii="Arial" w:hAnsi="Arial" w:cs="Arial"/>
          <w:sz w:val="22"/>
          <w:szCs w:val="22"/>
        </w:rPr>
        <w:t xml:space="preserve"> Previous research has shown that burnout is highly prevalent among physicians and healthcare professionals internationally, </w:t>
      </w:r>
      <w:r w:rsidR="00F93A31" w:rsidRPr="004C1597">
        <w:rPr>
          <w:rFonts w:ascii="Arial" w:hAnsi="Arial" w:cs="Arial"/>
          <w:sz w:val="22"/>
          <w:szCs w:val="22"/>
        </w:rPr>
        <w:lastRenderedPageBreak/>
        <w:t>highlighting the widespread nature of the issue within healthcare systems (</w:t>
      </w:r>
      <w:proofErr w:type="spellStart"/>
      <w:r w:rsidR="00F93A31" w:rsidRPr="004C1597">
        <w:rPr>
          <w:rFonts w:ascii="Arial" w:hAnsi="Arial" w:cs="Arial"/>
          <w:sz w:val="22"/>
          <w:szCs w:val="22"/>
        </w:rPr>
        <w:t>Rotenstein</w:t>
      </w:r>
      <w:proofErr w:type="spellEnd"/>
      <w:r w:rsidR="00F93A31" w:rsidRPr="004C1597">
        <w:rPr>
          <w:rFonts w:ascii="Arial" w:hAnsi="Arial" w:cs="Arial"/>
          <w:sz w:val="22"/>
          <w:szCs w:val="22"/>
        </w:rPr>
        <w:t xml:space="preserve"> et al., 2018).</w:t>
      </w:r>
    </w:p>
    <w:p w14:paraId="69E442CD" w14:textId="04597F58" w:rsidR="00065869" w:rsidRPr="004C1597" w:rsidRDefault="00065869" w:rsidP="004C1597">
      <w:pPr>
        <w:spacing w:line="360" w:lineRule="auto"/>
        <w:rPr>
          <w:rFonts w:ascii="Arial" w:hAnsi="Arial" w:cs="Arial"/>
          <w:b/>
          <w:bCs/>
          <w:sz w:val="22"/>
          <w:szCs w:val="22"/>
        </w:rPr>
      </w:pPr>
      <w:r w:rsidRPr="004C1597">
        <w:rPr>
          <w:rFonts w:ascii="Arial" w:hAnsi="Arial" w:cs="Arial"/>
          <w:b/>
          <w:bCs/>
          <w:sz w:val="22"/>
          <w:szCs w:val="22"/>
        </w:rPr>
        <w:t>Review Question</w:t>
      </w:r>
    </w:p>
    <w:p w14:paraId="5DFCE303" w14:textId="77777777" w:rsidR="00065869" w:rsidRPr="004C1597" w:rsidRDefault="00065869" w:rsidP="004C1597">
      <w:pPr>
        <w:spacing w:line="360" w:lineRule="auto"/>
        <w:rPr>
          <w:rFonts w:ascii="Arial" w:hAnsi="Arial" w:cs="Arial"/>
          <w:sz w:val="22"/>
          <w:szCs w:val="22"/>
        </w:rPr>
      </w:pPr>
      <w:r w:rsidRPr="004C1597">
        <w:rPr>
          <w:rFonts w:ascii="Arial" w:hAnsi="Arial" w:cs="Arial"/>
          <w:sz w:val="22"/>
          <w:szCs w:val="22"/>
        </w:rPr>
        <w:t>What themes emerge from peer-reviewed research regarding burnout among healthcare professionals in the United Kingdom and its impact on patient care?</w:t>
      </w:r>
    </w:p>
    <w:p w14:paraId="0982C7E0" w14:textId="77777777" w:rsidR="001460EF" w:rsidRPr="004C1597" w:rsidRDefault="00065869" w:rsidP="004C1597">
      <w:pPr>
        <w:spacing w:line="360" w:lineRule="auto"/>
        <w:rPr>
          <w:rFonts w:ascii="Arial" w:hAnsi="Arial" w:cs="Arial"/>
          <w:sz w:val="22"/>
          <w:szCs w:val="22"/>
        </w:rPr>
      </w:pPr>
      <w:r w:rsidRPr="004C1597">
        <w:rPr>
          <w:rFonts w:ascii="Arial" w:hAnsi="Arial" w:cs="Arial"/>
          <w:sz w:val="22"/>
          <w:szCs w:val="22"/>
        </w:rPr>
        <w:t>Aim</w:t>
      </w:r>
    </w:p>
    <w:p w14:paraId="0048F0E9" w14:textId="689DD1B4" w:rsidR="00065869" w:rsidRPr="004C1597" w:rsidRDefault="00065869" w:rsidP="004C1597">
      <w:pPr>
        <w:spacing w:line="360" w:lineRule="auto"/>
        <w:rPr>
          <w:rFonts w:ascii="Arial" w:hAnsi="Arial" w:cs="Arial"/>
          <w:sz w:val="22"/>
          <w:szCs w:val="22"/>
        </w:rPr>
      </w:pPr>
      <w:r w:rsidRPr="004C1597">
        <w:rPr>
          <w:rFonts w:ascii="Arial" w:hAnsi="Arial" w:cs="Arial"/>
          <w:sz w:val="22"/>
          <w:szCs w:val="22"/>
        </w:rPr>
        <w:t>The aim of this scoping review is to explore peer-reviewed evidence on burnout among healthcare professionals in the UK and examine its implications for patient care.</w:t>
      </w:r>
    </w:p>
    <w:p w14:paraId="5A808069" w14:textId="22A5FE76" w:rsidR="00065869" w:rsidRPr="004C1597" w:rsidRDefault="00065869" w:rsidP="004C1597">
      <w:pPr>
        <w:spacing w:line="360" w:lineRule="auto"/>
        <w:rPr>
          <w:rFonts w:ascii="Arial" w:hAnsi="Arial" w:cs="Arial"/>
          <w:sz w:val="22"/>
          <w:szCs w:val="22"/>
        </w:rPr>
      </w:pPr>
      <w:r w:rsidRPr="004C1597">
        <w:rPr>
          <w:rFonts w:ascii="Arial" w:hAnsi="Arial" w:cs="Arial"/>
          <w:sz w:val="22"/>
          <w:szCs w:val="22"/>
        </w:rPr>
        <w:t>Objectives</w:t>
      </w:r>
    </w:p>
    <w:p w14:paraId="0ECB31B6" w14:textId="41A87D3F" w:rsidR="00065869" w:rsidRPr="004C1597" w:rsidRDefault="00065869" w:rsidP="004C1597">
      <w:pPr>
        <w:pStyle w:val="ListParagraph"/>
        <w:numPr>
          <w:ilvl w:val="0"/>
          <w:numId w:val="1"/>
        </w:numPr>
        <w:spacing w:line="360" w:lineRule="auto"/>
        <w:rPr>
          <w:rFonts w:ascii="Arial" w:hAnsi="Arial" w:cs="Arial"/>
          <w:sz w:val="22"/>
          <w:szCs w:val="22"/>
        </w:rPr>
      </w:pPr>
      <w:r w:rsidRPr="004C1597">
        <w:rPr>
          <w:rFonts w:ascii="Arial" w:hAnsi="Arial" w:cs="Arial"/>
          <w:sz w:val="22"/>
          <w:szCs w:val="22"/>
        </w:rPr>
        <w:t>Identify key causes and contributing factors of burnout among healthcare professionals in the UK.</w:t>
      </w:r>
    </w:p>
    <w:p w14:paraId="243EC65F" w14:textId="06FB59F4" w:rsidR="00065869" w:rsidRPr="004C1597" w:rsidRDefault="00065869" w:rsidP="004C1597">
      <w:pPr>
        <w:pStyle w:val="ListParagraph"/>
        <w:numPr>
          <w:ilvl w:val="0"/>
          <w:numId w:val="1"/>
        </w:numPr>
        <w:spacing w:line="360" w:lineRule="auto"/>
        <w:rPr>
          <w:rFonts w:ascii="Arial" w:hAnsi="Arial" w:cs="Arial"/>
          <w:sz w:val="22"/>
          <w:szCs w:val="22"/>
        </w:rPr>
      </w:pPr>
      <w:r w:rsidRPr="004C1597">
        <w:rPr>
          <w:rFonts w:ascii="Arial" w:hAnsi="Arial" w:cs="Arial"/>
          <w:sz w:val="22"/>
          <w:szCs w:val="22"/>
        </w:rPr>
        <w:t>Examine how burnout affects patient care and safety.</w:t>
      </w:r>
    </w:p>
    <w:p w14:paraId="174CE748" w14:textId="2801FCD2" w:rsidR="00065869" w:rsidRPr="004C1597" w:rsidRDefault="00065869" w:rsidP="004C1597">
      <w:pPr>
        <w:pStyle w:val="ListParagraph"/>
        <w:numPr>
          <w:ilvl w:val="0"/>
          <w:numId w:val="1"/>
        </w:numPr>
        <w:spacing w:line="360" w:lineRule="auto"/>
        <w:rPr>
          <w:rFonts w:ascii="Arial" w:hAnsi="Arial" w:cs="Arial"/>
          <w:sz w:val="22"/>
          <w:szCs w:val="22"/>
        </w:rPr>
      </w:pPr>
      <w:r w:rsidRPr="004C1597">
        <w:rPr>
          <w:rFonts w:ascii="Arial" w:hAnsi="Arial" w:cs="Arial"/>
          <w:sz w:val="22"/>
          <w:szCs w:val="22"/>
        </w:rPr>
        <w:t>Identify groups at increased risk of burnout.</w:t>
      </w:r>
    </w:p>
    <w:p w14:paraId="7C51748B" w14:textId="2EB7E54A" w:rsidR="00065869" w:rsidRPr="004C1597" w:rsidRDefault="00065869" w:rsidP="004C1597">
      <w:pPr>
        <w:pStyle w:val="ListParagraph"/>
        <w:numPr>
          <w:ilvl w:val="0"/>
          <w:numId w:val="1"/>
        </w:numPr>
        <w:spacing w:line="360" w:lineRule="auto"/>
        <w:rPr>
          <w:rFonts w:ascii="Arial" w:hAnsi="Arial" w:cs="Arial"/>
          <w:sz w:val="22"/>
          <w:szCs w:val="22"/>
        </w:rPr>
      </w:pPr>
      <w:r w:rsidRPr="004C1597">
        <w:rPr>
          <w:rFonts w:ascii="Arial" w:hAnsi="Arial" w:cs="Arial"/>
          <w:sz w:val="22"/>
          <w:szCs w:val="22"/>
        </w:rPr>
        <w:t>Explore gaps in the literature and provide recommendations for healthcare practice and future research.</w:t>
      </w:r>
    </w:p>
    <w:p w14:paraId="01501685" w14:textId="0406B8E1" w:rsidR="00065869" w:rsidRPr="004C1597" w:rsidRDefault="00065869" w:rsidP="004C1597">
      <w:pPr>
        <w:spacing w:line="360" w:lineRule="auto"/>
        <w:rPr>
          <w:rFonts w:ascii="Arial" w:hAnsi="Arial" w:cs="Arial"/>
          <w:sz w:val="22"/>
          <w:szCs w:val="22"/>
        </w:rPr>
      </w:pPr>
      <w:r w:rsidRPr="004C1597">
        <w:rPr>
          <w:rFonts w:ascii="Arial" w:hAnsi="Arial" w:cs="Arial"/>
          <w:b/>
          <w:bCs/>
          <w:sz w:val="22"/>
          <w:szCs w:val="22"/>
        </w:rPr>
        <w:t>2. Background</w:t>
      </w:r>
    </w:p>
    <w:p w14:paraId="186F82AD" w14:textId="5B1DDB05" w:rsidR="009645EF" w:rsidRPr="004C1597" w:rsidRDefault="00065869" w:rsidP="004C1597">
      <w:pPr>
        <w:spacing w:line="360" w:lineRule="auto"/>
        <w:rPr>
          <w:rFonts w:ascii="Arial" w:hAnsi="Arial" w:cs="Arial"/>
          <w:sz w:val="22"/>
          <w:szCs w:val="22"/>
        </w:rPr>
      </w:pPr>
      <w:r w:rsidRPr="004C1597">
        <w:rPr>
          <w:rFonts w:ascii="Arial" w:hAnsi="Arial" w:cs="Arial"/>
          <w:sz w:val="22"/>
          <w:szCs w:val="22"/>
        </w:rPr>
        <w:t xml:space="preserve">Burnout among healthcare professionals has been widely recognised as a major challenge affecting healthcare systems globally. In 2019, the World Health Organization formally classified burnout as an occupational phenomenon resulting from chronic workplace stress that has not been successfully managed (World Health Organization, 2019). This recognition highlights the importance of addressing burnout as a workplace and organisational issue rather than solely an individual </w:t>
      </w:r>
      <w:r w:rsidR="004714ED" w:rsidRPr="004C1597">
        <w:rPr>
          <w:rFonts w:ascii="Arial" w:hAnsi="Arial" w:cs="Arial"/>
          <w:sz w:val="22"/>
          <w:szCs w:val="22"/>
        </w:rPr>
        <w:t>problem. Within</w:t>
      </w:r>
      <w:r w:rsidRPr="004C1597">
        <w:rPr>
          <w:rFonts w:ascii="Arial" w:hAnsi="Arial" w:cs="Arial"/>
          <w:sz w:val="22"/>
          <w:szCs w:val="22"/>
        </w:rPr>
        <w:t xml:space="preserve"> the UK, the NHS has experienced increasing demand for healthcare services due to population growth, ageing populations, and increased complexity of care needs. Workforce shortages have further increased pressure on existing staff, contributing to increased stress and burnout risk (British Medical Association, 2021). When staffing levels are insufficient, healthcare professionals may be required to work longer hours and manage heavier workloads, increasing emotional and physical </w:t>
      </w:r>
      <w:r w:rsidR="004714ED" w:rsidRPr="004C1597">
        <w:rPr>
          <w:rFonts w:ascii="Arial" w:hAnsi="Arial" w:cs="Arial"/>
          <w:sz w:val="22"/>
          <w:szCs w:val="22"/>
        </w:rPr>
        <w:t>strain. The</w:t>
      </w:r>
      <w:r w:rsidRPr="004C1597">
        <w:rPr>
          <w:rFonts w:ascii="Arial" w:hAnsi="Arial" w:cs="Arial"/>
          <w:sz w:val="22"/>
          <w:szCs w:val="22"/>
        </w:rPr>
        <w:t xml:space="preserve"> COVID-19 pandemic significantly intensified these pressures. Healthcare workers were required to work in unfamiliar environments, adapt to rapidly changing clinical protocols, and manage increased patient mortality. Ferry et al. (2020) found that healthcare professionals working directly with COVID-19 patients and those who had </w:t>
      </w:r>
      <w:r w:rsidRPr="004C1597">
        <w:rPr>
          <w:rFonts w:ascii="Arial" w:hAnsi="Arial" w:cs="Arial"/>
          <w:sz w:val="22"/>
          <w:szCs w:val="22"/>
        </w:rPr>
        <w:lastRenderedPageBreak/>
        <w:t xml:space="preserve">been redeployed were more likely to experience burnout. These findings suggest that workplace disruption and increased clinical demands may contribute to emotional </w:t>
      </w:r>
      <w:r w:rsidR="004714ED" w:rsidRPr="004C1597">
        <w:rPr>
          <w:rFonts w:ascii="Arial" w:hAnsi="Arial" w:cs="Arial"/>
          <w:sz w:val="22"/>
          <w:szCs w:val="22"/>
        </w:rPr>
        <w:t>exhaustion. Research</w:t>
      </w:r>
      <w:r w:rsidRPr="004C1597">
        <w:rPr>
          <w:rFonts w:ascii="Arial" w:hAnsi="Arial" w:cs="Arial"/>
          <w:sz w:val="22"/>
          <w:szCs w:val="22"/>
        </w:rPr>
        <w:t xml:space="preserve"> has also highlighted burnout among NHS staff more broadly. Gemine et al. (2021) found that healthcare workers reported increased levels of burnout during the COVID-19 pandemic, associated with workplace stress and organisational factors. Similarly, Kinman and Teoh (2020) identified workload pressures, lack of support, and organisational stressors as key contributors to poor mental health among UK </w:t>
      </w:r>
      <w:r w:rsidR="004714ED" w:rsidRPr="004C1597">
        <w:rPr>
          <w:rFonts w:ascii="Arial" w:hAnsi="Arial" w:cs="Arial"/>
          <w:sz w:val="22"/>
          <w:szCs w:val="22"/>
        </w:rPr>
        <w:t>doctors. Burnout</w:t>
      </w:r>
      <w:r w:rsidRPr="004C1597">
        <w:rPr>
          <w:rFonts w:ascii="Arial" w:hAnsi="Arial" w:cs="Arial"/>
          <w:sz w:val="22"/>
          <w:szCs w:val="22"/>
        </w:rPr>
        <w:t xml:space="preserve"> has also been linked to staff retention issues in the NHS. Healthcare professionals experiencing burnout may be more likely to leave their jobs or reduce working hours, contributing to workforce shortages (West et al., 2019). This creates a cycle in which staff shortages increase workload for remaining staff, further increasing burnout </w:t>
      </w:r>
      <w:r w:rsidR="004714ED" w:rsidRPr="004C1597">
        <w:rPr>
          <w:rFonts w:ascii="Arial" w:hAnsi="Arial" w:cs="Arial"/>
          <w:sz w:val="22"/>
          <w:szCs w:val="22"/>
        </w:rPr>
        <w:t>risk. Importantly</w:t>
      </w:r>
      <w:r w:rsidRPr="004C1597">
        <w:rPr>
          <w:rFonts w:ascii="Arial" w:hAnsi="Arial" w:cs="Arial"/>
          <w:sz w:val="22"/>
          <w:szCs w:val="22"/>
        </w:rPr>
        <w:t xml:space="preserve">, burnout has implications for patient safety. </w:t>
      </w:r>
      <w:r w:rsidR="00275A22" w:rsidRPr="00275A22">
        <w:rPr>
          <w:rFonts w:ascii="Arial" w:hAnsi="Arial" w:cs="Arial"/>
          <w:sz w:val="22"/>
          <w:szCs w:val="22"/>
        </w:rPr>
        <w:t xml:space="preserve">Evidence from previous research indicates that burnout among healthcare professionals is linked to negative patient outcomes. For example, Hall et al. (2016) reported that staff experiencing burnout were more likely to be involved in patient safety incidents and to provide lower quality care. In addition, </w:t>
      </w:r>
      <w:proofErr w:type="spellStart"/>
      <w:r w:rsidR="00275A22" w:rsidRPr="00275A22">
        <w:rPr>
          <w:rFonts w:ascii="Arial" w:hAnsi="Arial" w:cs="Arial"/>
          <w:sz w:val="22"/>
          <w:szCs w:val="22"/>
        </w:rPr>
        <w:t>Panagioti</w:t>
      </w:r>
      <w:proofErr w:type="spellEnd"/>
      <w:r w:rsidR="00275A22" w:rsidRPr="00275A22">
        <w:rPr>
          <w:rFonts w:ascii="Arial" w:hAnsi="Arial" w:cs="Arial"/>
          <w:sz w:val="22"/>
          <w:szCs w:val="22"/>
        </w:rPr>
        <w:t xml:space="preserve"> et al. (2018) identified a relationship between burnout and a higher likelihood of medical errors, as well as reduced patient satisfaction. These findings emphasise the need to address burnout </w:t>
      </w:r>
      <w:proofErr w:type="gramStart"/>
      <w:r w:rsidR="00275A22" w:rsidRPr="00275A22">
        <w:rPr>
          <w:rFonts w:ascii="Arial" w:hAnsi="Arial" w:cs="Arial"/>
          <w:sz w:val="22"/>
          <w:szCs w:val="22"/>
        </w:rPr>
        <w:t>in order to</w:t>
      </w:r>
      <w:proofErr w:type="gramEnd"/>
      <w:r w:rsidR="00275A22" w:rsidRPr="00275A22">
        <w:rPr>
          <w:rFonts w:ascii="Arial" w:hAnsi="Arial" w:cs="Arial"/>
          <w:sz w:val="22"/>
          <w:szCs w:val="22"/>
        </w:rPr>
        <w:t xml:space="preserve"> maintain high standards of care</w:t>
      </w:r>
      <w:r w:rsidR="004714ED" w:rsidRPr="004C1597">
        <w:rPr>
          <w:rFonts w:ascii="Arial" w:hAnsi="Arial" w:cs="Arial"/>
          <w:sz w:val="22"/>
          <w:szCs w:val="22"/>
        </w:rPr>
        <w:t>. Burnout</w:t>
      </w:r>
      <w:r w:rsidRPr="004C1597">
        <w:rPr>
          <w:rFonts w:ascii="Arial" w:hAnsi="Arial" w:cs="Arial"/>
          <w:sz w:val="22"/>
          <w:szCs w:val="22"/>
        </w:rPr>
        <w:t xml:space="preserve"> may also affect teamwork and communication, which are essential for safe healthcare delivery. Healthcare professionals experiencing emotional exhaustion may find it more difficult to engage with colleagues and patients, potentially affecting collaboration and decision-making (Montgomery et al., 2019</w:t>
      </w:r>
      <w:proofErr w:type="gramStart"/>
      <w:r w:rsidRPr="004C1597">
        <w:rPr>
          <w:rFonts w:ascii="Arial" w:hAnsi="Arial" w:cs="Arial"/>
          <w:sz w:val="22"/>
          <w:szCs w:val="22"/>
        </w:rPr>
        <w:t>).Given</w:t>
      </w:r>
      <w:proofErr w:type="gramEnd"/>
      <w:r w:rsidRPr="004C1597">
        <w:rPr>
          <w:rFonts w:ascii="Arial" w:hAnsi="Arial" w:cs="Arial"/>
          <w:sz w:val="22"/>
          <w:szCs w:val="22"/>
        </w:rPr>
        <w:t xml:space="preserve"> the increasing pressures on healthcare professionals and the potential impact on patient care, understanding burnout within UK healthcare settings is essential. A scoping review allows existing research to be mapped and analysed, helping identify key themes and gaps in knowledge.</w:t>
      </w:r>
    </w:p>
    <w:p w14:paraId="70981836" w14:textId="62ADD5C2" w:rsidR="00F005EC" w:rsidRPr="004C1597" w:rsidRDefault="00F005EC" w:rsidP="004C1597">
      <w:pPr>
        <w:spacing w:line="360" w:lineRule="auto"/>
        <w:rPr>
          <w:rFonts w:ascii="Arial" w:hAnsi="Arial" w:cs="Arial"/>
          <w:sz w:val="22"/>
          <w:szCs w:val="22"/>
        </w:rPr>
      </w:pPr>
      <w:r w:rsidRPr="004C1597">
        <w:rPr>
          <w:rFonts w:ascii="Arial" w:hAnsi="Arial" w:cs="Arial"/>
          <w:sz w:val="22"/>
          <w:szCs w:val="22"/>
        </w:rPr>
        <w:t>In addition to workload and staffing pressures, organisational culture and workplace environment play an important role in influencing burnout among healthcare professionals. Supportive leadership, effective communication, and access to professional support services may help reduce burnout risk. Conversely, workplaces with limited support and high levels of stress may increase emotional exhaustion and job dissatisfaction (West et al., 2019). When healthcare professionals feel unsupported or undervalued, their motivation and engagement may decrease, increasing the likelihood of burnout.</w:t>
      </w:r>
      <w:r w:rsidR="0048286E" w:rsidRPr="004C1597">
        <w:rPr>
          <w:rFonts w:ascii="Arial" w:hAnsi="Arial" w:cs="Arial"/>
          <w:sz w:val="22"/>
          <w:szCs w:val="22"/>
        </w:rPr>
        <w:t xml:space="preserve"> Studies have also demonstrated that healthcare professionals, particularly physicians, may experience higher levels of burnout due to demanding workloads and work-life imbalance (Shanafelt et al., 2012)</w:t>
      </w:r>
    </w:p>
    <w:p w14:paraId="5ABDA35D" w14:textId="3B0C08A5" w:rsidR="00F005EC" w:rsidRPr="004C1597" w:rsidRDefault="00F005EC" w:rsidP="004C1597">
      <w:pPr>
        <w:spacing w:line="360" w:lineRule="auto"/>
        <w:rPr>
          <w:rFonts w:ascii="Arial" w:hAnsi="Arial" w:cs="Arial"/>
          <w:sz w:val="22"/>
          <w:szCs w:val="22"/>
        </w:rPr>
      </w:pPr>
      <w:r w:rsidRPr="004C1597">
        <w:rPr>
          <w:rFonts w:ascii="Arial" w:hAnsi="Arial" w:cs="Arial"/>
          <w:sz w:val="22"/>
          <w:szCs w:val="22"/>
        </w:rPr>
        <w:lastRenderedPageBreak/>
        <w:t xml:space="preserve">Healthcare professionals may also experience moral distress when they are unable to provide the level of </w:t>
      </w:r>
      <w:proofErr w:type="gramStart"/>
      <w:r w:rsidRPr="004C1597">
        <w:rPr>
          <w:rFonts w:ascii="Arial" w:hAnsi="Arial" w:cs="Arial"/>
          <w:sz w:val="22"/>
          <w:szCs w:val="22"/>
        </w:rPr>
        <w:t>care</w:t>
      </w:r>
      <w:proofErr w:type="gramEnd"/>
      <w:r w:rsidRPr="004C1597">
        <w:rPr>
          <w:rFonts w:ascii="Arial" w:hAnsi="Arial" w:cs="Arial"/>
          <w:sz w:val="22"/>
          <w:szCs w:val="22"/>
        </w:rPr>
        <w:t xml:space="preserve"> they believe is necessary due to time constraints or resource limitations. This may contribute to emotional exhaustion and frustration. Workforce shortages and increasing service demand in the NHS may limit the time available for patient care, contributing to increased stress among staff (British Medical Association, 2021). Over time, prolonged exposure to these stressors may negatively affect healthcare professionals’ mental health and wellbeing. Burnout may also affect job satisfaction and career intentions. Healthcare professionals experiencing burnout may feel less motivated and more likely to consider leaving their profession (Dyrbye et al., 2017). This is particularly concerning for healthcare systems facing workforce shortages, as losing experienced staff may increase workload pressure on remaining staff. This may create a cycle in which burnout contributes to workforce shortages, and workforce shortages contribute to burnout. Healthcare professionals working in emotionally demanding roles may be particularly vulnerable to burnout. Providing care to patients experiencing serious illness or distress may increase emotional strain. Emotional exhaustion may reduce healthcare professionals’ ability to cope with stress and maintain wellbeing (Maslach and Leiter, 2016). Providing emotional support to patients is an important part of healthcare, but it may also increase psychological burden on staff.</w:t>
      </w:r>
    </w:p>
    <w:p w14:paraId="6D9325E3" w14:textId="77777777" w:rsidR="005A278A" w:rsidRPr="004C1597" w:rsidRDefault="005A278A" w:rsidP="004C1597">
      <w:pPr>
        <w:spacing w:line="360" w:lineRule="auto"/>
        <w:rPr>
          <w:rFonts w:ascii="Arial" w:hAnsi="Arial" w:cs="Arial"/>
          <w:b/>
          <w:bCs/>
          <w:sz w:val="22"/>
          <w:szCs w:val="22"/>
        </w:rPr>
      </w:pPr>
      <w:r w:rsidRPr="004C1597">
        <w:rPr>
          <w:rFonts w:ascii="Arial" w:hAnsi="Arial" w:cs="Arial"/>
          <w:b/>
          <w:bCs/>
          <w:sz w:val="22"/>
          <w:szCs w:val="22"/>
        </w:rPr>
        <w:t>3. Methods</w:t>
      </w:r>
    </w:p>
    <w:p w14:paraId="38FFD1A6"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Study design</w:t>
      </w:r>
    </w:p>
    <w:p w14:paraId="1D06F993"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This study used a scoping review methodology to identify and analyse peer-reviewed research related to burnout among healthcare professionals in the United Kingdom and its impact on patient care. Scoping reviews are useful for mapping existing research, identifying key themes, and highlighting gaps in the literature (Aveyard, 2014). Unlike systematic reviews, scoping reviews allow a broader exploration of available evidence and are particularly appropriate when examining complex topics such as burnout in healthcare settings.</w:t>
      </w:r>
    </w:p>
    <w:p w14:paraId="700095E3" w14:textId="28F0225C"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Search strategy</w:t>
      </w:r>
    </w:p>
    <w:p w14:paraId="7CF2FDC4"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A structured literature search was conducted using academic databases including PubMed, CINAHL, Sage Journals, and Google Scholar, which provide access to peer-reviewed healthcare research. These databases were selected because they contain relevant literature related to healthcare workforce wellbeing and patient safety.</w:t>
      </w:r>
    </w:p>
    <w:p w14:paraId="0360CFCF"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Keywords were used in different combinations, including:</w:t>
      </w:r>
    </w:p>
    <w:p w14:paraId="08C0B6ED"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lastRenderedPageBreak/>
        <w:t>• burnout</w:t>
      </w:r>
    </w:p>
    <w:p w14:paraId="64366921"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healthcare professionals</w:t>
      </w:r>
    </w:p>
    <w:p w14:paraId="166BF853"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NHS</w:t>
      </w:r>
    </w:p>
    <w:p w14:paraId="472239C1"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United Kingdom</w:t>
      </w:r>
    </w:p>
    <w:p w14:paraId="070E8466"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nurses</w:t>
      </w:r>
    </w:p>
    <w:p w14:paraId="52F9E404"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doctors</w:t>
      </w:r>
    </w:p>
    <w:p w14:paraId="57AD58AD"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patient safety</w:t>
      </w:r>
    </w:p>
    <w:p w14:paraId="302FBBEA"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healthcare staff wellbeing</w:t>
      </w:r>
    </w:p>
    <w:p w14:paraId="303BE71C" w14:textId="6A81F7A0" w:rsidR="005A278A" w:rsidRPr="004C1597" w:rsidRDefault="00BA4B88" w:rsidP="004C1597">
      <w:pPr>
        <w:spacing w:line="360" w:lineRule="auto"/>
        <w:rPr>
          <w:rFonts w:ascii="Arial" w:hAnsi="Arial" w:cs="Arial"/>
          <w:sz w:val="22"/>
          <w:szCs w:val="22"/>
        </w:rPr>
      </w:pPr>
      <w:r w:rsidRPr="00BA4B88">
        <w:rPr>
          <w:rFonts w:ascii="Arial" w:hAnsi="Arial" w:cs="Arial"/>
          <w:sz w:val="22"/>
          <w:szCs w:val="22"/>
        </w:rPr>
        <w:t xml:space="preserve">Search results were refined </w:t>
      </w:r>
      <w:proofErr w:type="gramStart"/>
      <w:r w:rsidRPr="00BA4B88">
        <w:rPr>
          <w:rFonts w:ascii="Arial" w:hAnsi="Arial" w:cs="Arial"/>
          <w:sz w:val="22"/>
          <w:szCs w:val="22"/>
        </w:rPr>
        <w:t>through the use of</w:t>
      </w:r>
      <w:proofErr w:type="gramEnd"/>
      <w:r w:rsidRPr="00BA4B88">
        <w:rPr>
          <w:rFonts w:ascii="Arial" w:hAnsi="Arial" w:cs="Arial"/>
          <w:sz w:val="22"/>
          <w:szCs w:val="22"/>
        </w:rPr>
        <w:t xml:space="preserve"> Boolean operators, including AND </w:t>
      </w:r>
      <w:proofErr w:type="spellStart"/>
      <w:r w:rsidRPr="00BA4B88">
        <w:rPr>
          <w:rFonts w:ascii="Arial" w:hAnsi="Arial" w:cs="Arial"/>
          <w:sz w:val="22"/>
          <w:szCs w:val="22"/>
        </w:rPr>
        <w:t>and</w:t>
      </w:r>
      <w:proofErr w:type="spellEnd"/>
      <w:r w:rsidRPr="00BA4B88">
        <w:rPr>
          <w:rFonts w:ascii="Arial" w:hAnsi="Arial" w:cs="Arial"/>
          <w:sz w:val="22"/>
          <w:szCs w:val="22"/>
        </w:rPr>
        <w:t xml:space="preserve"> OR, </w:t>
      </w:r>
      <w:proofErr w:type="gramStart"/>
      <w:r w:rsidRPr="00BA4B88">
        <w:rPr>
          <w:rFonts w:ascii="Arial" w:hAnsi="Arial" w:cs="Arial"/>
          <w:sz w:val="22"/>
          <w:szCs w:val="22"/>
        </w:rPr>
        <w:t>in order to</w:t>
      </w:r>
      <w:proofErr w:type="gramEnd"/>
      <w:r w:rsidRPr="00BA4B88">
        <w:rPr>
          <w:rFonts w:ascii="Arial" w:hAnsi="Arial" w:cs="Arial"/>
          <w:sz w:val="22"/>
          <w:szCs w:val="22"/>
        </w:rPr>
        <w:t xml:space="preserve"> increase the precision and relevance of the identified studies</w:t>
      </w:r>
      <w:r w:rsidR="005A278A" w:rsidRPr="004C1597">
        <w:rPr>
          <w:rFonts w:ascii="Arial" w:hAnsi="Arial" w:cs="Arial"/>
          <w:sz w:val="22"/>
          <w:szCs w:val="22"/>
        </w:rPr>
        <w:t>. For example, searches included combinations such as:</w:t>
      </w:r>
    </w:p>
    <w:p w14:paraId="65C8ABBB" w14:textId="77777777" w:rsidR="005A278A" w:rsidRPr="004C1597" w:rsidRDefault="005A278A" w:rsidP="004C1597">
      <w:pPr>
        <w:pStyle w:val="ListParagraph"/>
        <w:numPr>
          <w:ilvl w:val="0"/>
          <w:numId w:val="2"/>
        </w:numPr>
        <w:spacing w:line="360" w:lineRule="auto"/>
        <w:rPr>
          <w:rFonts w:ascii="Arial" w:hAnsi="Arial" w:cs="Arial"/>
          <w:sz w:val="22"/>
          <w:szCs w:val="22"/>
        </w:rPr>
      </w:pPr>
      <w:r w:rsidRPr="004C1597">
        <w:rPr>
          <w:rFonts w:ascii="Arial" w:hAnsi="Arial" w:cs="Arial"/>
          <w:sz w:val="22"/>
          <w:szCs w:val="22"/>
        </w:rPr>
        <w:t>“</w:t>
      </w:r>
      <w:proofErr w:type="gramStart"/>
      <w:r w:rsidRPr="004C1597">
        <w:rPr>
          <w:rFonts w:ascii="Arial" w:hAnsi="Arial" w:cs="Arial"/>
          <w:sz w:val="22"/>
          <w:szCs w:val="22"/>
        </w:rPr>
        <w:t>burnout</w:t>
      </w:r>
      <w:proofErr w:type="gramEnd"/>
      <w:r w:rsidRPr="004C1597">
        <w:rPr>
          <w:rFonts w:ascii="Arial" w:hAnsi="Arial" w:cs="Arial"/>
          <w:sz w:val="22"/>
          <w:szCs w:val="22"/>
        </w:rPr>
        <w:t xml:space="preserve"> AND NHS”</w:t>
      </w:r>
    </w:p>
    <w:p w14:paraId="5E711267" w14:textId="77777777" w:rsidR="005A278A" w:rsidRPr="004C1597" w:rsidRDefault="005A278A" w:rsidP="004C1597">
      <w:pPr>
        <w:pStyle w:val="ListParagraph"/>
        <w:numPr>
          <w:ilvl w:val="0"/>
          <w:numId w:val="2"/>
        </w:numPr>
        <w:spacing w:line="360" w:lineRule="auto"/>
        <w:rPr>
          <w:rFonts w:ascii="Arial" w:hAnsi="Arial" w:cs="Arial"/>
          <w:sz w:val="22"/>
          <w:szCs w:val="22"/>
        </w:rPr>
      </w:pPr>
      <w:r w:rsidRPr="004C1597">
        <w:rPr>
          <w:rFonts w:ascii="Arial" w:hAnsi="Arial" w:cs="Arial"/>
          <w:sz w:val="22"/>
          <w:szCs w:val="22"/>
        </w:rPr>
        <w:t>“</w:t>
      </w:r>
      <w:proofErr w:type="gramStart"/>
      <w:r w:rsidRPr="004C1597">
        <w:rPr>
          <w:rFonts w:ascii="Arial" w:hAnsi="Arial" w:cs="Arial"/>
          <w:sz w:val="22"/>
          <w:szCs w:val="22"/>
        </w:rPr>
        <w:t>burnout</w:t>
      </w:r>
      <w:proofErr w:type="gramEnd"/>
      <w:r w:rsidRPr="004C1597">
        <w:rPr>
          <w:rFonts w:ascii="Arial" w:hAnsi="Arial" w:cs="Arial"/>
          <w:sz w:val="22"/>
          <w:szCs w:val="22"/>
        </w:rPr>
        <w:t xml:space="preserve"> AND healthcare professionals AND UK”</w:t>
      </w:r>
    </w:p>
    <w:p w14:paraId="32DBE1B8" w14:textId="77777777" w:rsidR="005A278A" w:rsidRPr="004C1597" w:rsidRDefault="005A278A" w:rsidP="004C1597">
      <w:pPr>
        <w:pStyle w:val="ListParagraph"/>
        <w:numPr>
          <w:ilvl w:val="0"/>
          <w:numId w:val="2"/>
        </w:numPr>
        <w:spacing w:line="360" w:lineRule="auto"/>
        <w:rPr>
          <w:rFonts w:ascii="Arial" w:hAnsi="Arial" w:cs="Arial"/>
          <w:sz w:val="22"/>
          <w:szCs w:val="22"/>
        </w:rPr>
      </w:pPr>
      <w:r w:rsidRPr="004C1597">
        <w:rPr>
          <w:rFonts w:ascii="Arial" w:hAnsi="Arial" w:cs="Arial"/>
          <w:sz w:val="22"/>
          <w:szCs w:val="22"/>
        </w:rPr>
        <w:t>“</w:t>
      </w:r>
      <w:proofErr w:type="gramStart"/>
      <w:r w:rsidRPr="004C1597">
        <w:rPr>
          <w:rFonts w:ascii="Arial" w:hAnsi="Arial" w:cs="Arial"/>
          <w:sz w:val="22"/>
          <w:szCs w:val="22"/>
        </w:rPr>
        <w:t>burnout</w:t>
      </w:r>
      <w:proofErr w:type="gramEnd"/>
      <w:r w:rsidRPr="004C1597">
        <w:rPr>
          <w:rFonts w:ascii="Arial" w:hAnsi="Arial" w:cs="Arial"/>
          <w:sz w:val="22"/>
          <w:szCs w:val="22"/>
        </w:rPr>
        <w:t xml:space="preserve"> AND patient safety”</w:t>
      </w:r>
    </w:p>
    <w:p w14:paraId="4FF7720C" w14:textId="38781E01"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Using multiple search terms increased the likelihood of identifying relevant studies (Aveyard, 2014).</w:t>
      </w:r>
    </w:p>
    <w:p w14:paraId="3C83727B" w14:textId="77777777" w:rsidR="001460EF" w:rsidRPr="004C1597" w:rsidRDefault="005A278A" w:rsidP="004C1597">
      <w:pPr>
        <w:spacing w:line="360" w:lineRule="auto"/>
        <w:rPr>
          <w:rFonts w:ascii="Arial" w:hAnsi="Arial" w:cs="Arial"/>
          <w:b/>
          <w:bCs/>
          <w:sz w:val="22"/>
          <w:szCs w:val="22"/>
        </w:rPr>
      </w:pPr>
      <w:r w:rsidRPr="004C1597">
        <w:rPr>
          <w:rFonts w:ascii="Arial" w:hAnsi="Arial" w:cs="Arial"/>
          <w:b/>
          <w:bCs/>
          <w:sz w:val="22"/>
          <w:szCs w:val="22"/>
        </w:rPr>
        <w:t>Inclusion and exclusion criteria</w:t>
      </w:r>
    </w:p>
    <w:p w14:paraId="32858FEA" w14:textId="6AF7B90F"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Studies were selected based on predefined criteria.</w:t>
      </w:r>
    </w:p>
    <w:p w14:paraId="0D3AB118"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Inclusion criteria:</w:t>
      </w:r>
    </w:p>
    <w:p w14:paraId="25797D44"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Peer-reviewed academic journal articles</w:t>
      </w:r>
    </w:p>
    <w:p w14:paraId="40C751AD"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Studies relevant to healthcare professionals</w:t>
      </w:r>
    </w:p>
    <w:p w14:paraId="399527A0"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Studies examining burnout, stress, or wellbeing</w:t>
      </w:r>
    </w:p>
    <w:p w14:paraId="2A1DED6F"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Studies relevant to UK healthcare practice or applicable to healthcare settings</w:t>
      </w:r>
    </w:p>
    <w:p w14:paraId="592A79AA"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English language</w:t>
      </w:r>
    </w:p>
    <w:p w14:paraId="4DC7DEFA"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Exclusion criteria:</w:t>
      </w:r>
    </w:p>
    <w:p w14:paraId="37C73B91"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lastRenderedPageBreak/>
        <w:t>• Opinion articles or editorials</w:t>
      </w:r>
    </w:p>
    <w:p w14:paraId="7144FA39"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Conference abstracts without full research data</w:t>
      </w:r>
    </w:p>
    <w:p w14:paraId="7E4040A8"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Non-healthcare professions</w:t>
      </w:r>
    </w:p>
    <w:p w14:paraId="01FD793A"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Non-academic sources</w:t>
      </w:r>
    </w:p>
    <w:p w14:paraId="03AE4D2E" w14:textId="24EDFEE0" w:rsidR="005A278A" w:rsidRPr="004C1597" w:rsidRDefault="005A278A" w:rsidP="004C1597">
      <w:pPr>
        <w:spacing w:line="360" w:lineRule="auto"/>
        <w:rPr>
          <w:rFonts w:ascii="Arial" w:hAnsi="Arial" w:cs="Arial"/>
          <w:b/>
          <w:bCs/>
          <w:sz w:val="22"/>
          <w:szCs w:val="22"/>
        </w:rPr>
      </w:pPr>
      <w:r w:rsidRPr="004C1597">
        <w:rPr>
          <w:rFonts w:ascii="Arial" w:hAnsi="Arial" w:cs="Arial"/>
          <w:b/>
          <w:bCs/>
          <w:sz w:val="22"/>
          <w:szCs w:val="22"/>
        </w:rPr>
        <w:t>Study selection</w:t>
      </w:r>
    </w:p>
    <w:p w14:paraId="609AE2EB" w14:textId="523554B4" w:rsidR="005A278A" w:rsidRPr="004C1597" w:rsidRDefault="00A006F3" w:rsidP="004C1597">
      <w:pPr>
        <w:spacing w:line="360" w:lineRule="auto"/>
        <w:rPr>
          <w:rFonts w:ascii="Arial" w:hAnsi="Arial" w:cs="Arial"/>
          <w:sz w:val="22"/>
          <w:szCs w:val="22"/>
        </w:rPr>
      </w:pPr>
      <w:r w:rsidRPr="00A006F3">
        <w:rPr>
          <w:rFonts w:ascii="Arial" w:hAnsi="Arial" w:cs="Arial"/>
          <w:sz w:val="22"/>
          <w:szCs w:val="22"/>
        </w:rPr>
        <w:t>The initial screening process involved examining the titles and abstracts of retrieved studies to assess their relevance. Articles that met the inclusion criteria were then reviewed in full to determine their suitability for inclusion in the analysis</w:t>
      </w:r>
      <w:r w:rsidR="005A278A" w:rsidRPr="004C1597">
        <w:rPr>
          <w:rFonts w:ascii="Arial" w:hAnsi="Arial" w:cs="Arial"/>
          <w:sz w:val="22"/>
          <w:szCs w:val="22"/>
        </w:rPr>
        <w:t>.</w:t>
      </w:r>
    </w:p>
    <w:p w14:paraId="473746F9" w14:textId="1B687514" w:rsidR="005A278A" w:rsidRPr="004C1597" w:rsidRDefault="005A278A" w:rsidP="004C1597">
      <w:pPr>
        <w:spacing w:line="360" w:lineRule="auto"/>
        <w:rPr>
          <w:rFonts w:ascii="Arial" w:hAnsi="Arial" w:cs="Arial"/>
          <w:b/>
          <w:bCs/>
          <w:sz w:val="22"/>
          <w:szCs w:val="22"/>
        </w:rPr>
      </w:pPr>
      <w:r w:rsidRPr="004C1597">
        <w:rPr>
          <w:rFonts w:ascii="Arial" w:hAnsi="Arial" w:cs="Arial"/>
          <w:b/>
          <w:bCs/>
          <w:sz w:val="22"/>
          <w:szCs w:val="22"/>
        </w:rPr>
        <w:t>Data extraction</w:t>
      </w:r>
    </w:p>
    <w:p w14:paraId="40ACE7BC" w14:textId="77777777" w:rsidR="00671D05" w:rsidRDefault="00671D05" w:rsidP="004C1597">
      <w:pPr>
        <w:spacing w:line="360" w:lineRule="auto"/>
        <w:rPr>
          <w:rFonts w:ascii="Arial" w:hAnsi="Arial" w:cs="Arial"/>
          <w:sz w:val="22"/>
          <w:szCs w:val="22"/>
        </w:rPr>
      </w:pPr>
      <w:r w:rsidRPr="00671D05">
        <w:rPr>
          <w:rFonts w:ascii="Arial" w:hAnsi="Arial" w:cs="Arial"/>
          <w:sz w:val="22"/>
          <w:szCs w:val="22"/>
        </w:rPr>
        <w:t>Key data were systematically collected from each selected study, including details such as the authorship, year of publication, study design, and participant characteristics.</w:t>
      </w:r>
    </w:p>
    <w:p w14:paraId="55AABD71" w14:textId="17DE27E3" w:rsidR="005A278A" w:rsidRPr="004C1597" w:rsidRDefault="005A278A" w:rsidP="004C1597">
      <w:pPr>
        <w:spacing w:line="360" w:lineRule="auto"/>
        <w:rPr>
          <w:rFonts w:ascii="Arial" w:hAnsi="Arial" w:cs="Arial"/>
          <w:b/>
          <w:bCs/>
          <w:sz w:val="22"/>
          <w:szCs w:val="22"/>
        </w:rPr>
      </w:pPr>
      <w:r w:rsidRPr="004C1597">
        <w:rPr>
          <w:rFonts w:ascii="Arial" w:hAnsi="Arial" w:cs="Arial"/>
          <w:b/>
          <w:bCs/>
          <w:sz w:val="22"/>
          <w:szCs w:val="22"/>
        </w:rPr>
        <w:t>Data analysis</w:t>
      </w:r>
    </w:p>
    <w:p w14:paraId="33BB2FD7"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A thematic analysis approach was used to analyse the selected studies. This involved identifying recurring patterns and grouping similar findings into themes (Aveyard, 2014). The process included:</w:t>
      </w:r>
    </w:p>
    <w:p w14:paraId="07743B1F"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reading studies multiple times</w:t>
      </w:r>
    </w:p>
    <w:p w14:paraId="110CCCC3"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identifying key findings</w:t>
      </w:r>
    </w:p>
    <w:p w14:paraId="331806AB"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grouping similar concepts</w:t>
      </w:r>
    </w:p>
    <w:p w14:paraId="3BC49FF2"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 developing themes</w:t>
      </w:r>
    </w:p>
    <w:p w14:paraId="7A58C8B8"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This method helped identify common factors contributing to burnout and its impact on patient care.</w:t>
      </w:r>
    </w:p>
    <w:p w14:paraId="68431BCB" w14:textId="224B9BBE" w:rsidR="005A278A" w:rsidRPr="004C1597" w:rsidRDefault="005A278A" w:rsidP="004C1597">
      <w:pPr>
        <w:spacing w:line="360" w:lineRule="auto"/>
        <w:rPr>
          <w:rFonts w:ascii="Arial" w:hAnsi="Arial" w:cs="Arial"/>
          <w:b/>
          <w:bCs/>
          <w:sz w:val="22"/>
          <w:szCs w:val="22"/>
        </w:rPr>
      </w:pPr>
      <w:r w:rsidRPr="004C1597">
        <w:rPr>
          <w:rFonts w:ascii="Arial" w:hAnsi="Arial" w:cs="Arial"/>
          <w:b/>
          <w:bCs/>
          <w:sz w:val="22"/>
          <w:szCs w:val="22"/>
        </w:rPr>
        <w:t>Ethical considerations</w:t>
      </w:r>
    </w:p>
    <w:p w14:paraId="75872FD4" w14:textId="77777777" w:rsidR="005A278A" w:rsidRPr="004C1597" w:rsidRDefault="005A278A" w:rsidP="004C1597">
      <w:pPr>
        <w:spacing w:line="360" w:lineRule="auto"/>
        <w:rPr>
          <w:rFonts w:ascii="Arial" w:hAnsi="Arial" w:cs="Arial"/>
          <w:sz w:val="22"/>
          <w:szCs w:val="22"/>
        </w:rPr>
      </w:pPr>
      <w:r w:rsidRPr="004C1597">
        <w:rPr>
          <w:rFonts w:ascii="Arial" w:hAnsi="Arial" w:cs="Arial"/>
          <w:sz w:val="22"/>
          <w:szCs w:val="22"/>
        </w:rPr>
        <w:t>Ethical approval was not required because this study involved secondary research using publicly available data. However, academic integrity was maintained by accurately citing all sources and avoiding plagiarism. All studies were used respectfully and interpreted objectively.</w:t>
      </w:r>
    </w:p>
    <w:p w14:paraId="0B1AEC60" w14:textId="5D6DF90E" w:rsidR="005A278A" w:rsidRPr="004C1597" w:rsidRDefault="005A278A" w:rsidP="004C1597">
      <w:pPr>
        <w:spacing w:line="360" w:lineRule="auto"/>
        <w:rPr>
          <w:rFonts w:ascii="Arial" w:hAnsi="Arial" w:cs="Arial"/>
          <w:b/>
          <w:bCs/>
          <w:sz w:val="22"/>
          <w:szCs w:val="22"/>
        </w:rPr>
      </w:pPr>
      <w:r w:rsidRPr="004C1597">
        <w:rPr>
          <w:rFonts w:ascii="Arial" w:hAnsi="Arial" w:cs="Arial"/>
          <w:sz w:val="22"/>
          <w:szCs w:val="22"/>
        </w:rPr>
        <w:t xml:space="preserve">4. </w:t>
      </w:r>
      <w:r w:rsidRPr="004C1597">
        <w:rPr>
          <w:rFonts w:ascii="Arial" w:hAnsi="Arial" w:cs="Arial"/>
          <w:b/>
          <w:bCs/>
          <w:sz w:val="22"/>
          <w:szCs w:val="22"/>
        </w:rPr>
        <w:t>Results</w:t>
      </w:r>
    </w:p>
    <w:p w14:paraId="2EE4FBE6" w14:textId="77777777" w:rsidR="00282EBA" w:rsidRPr="004C1597" w:rsidRDefault="005A278A" w:rsidP="004C1597">
      <w:pPr>
        <w:spacing w:line="360" w:lineRule="auto"/>
        <w:rPr>
          <w:rFonts w:ascii="Arial" w:hAnsi="Arial" w:cs="Arial"/>
          <w:sz w:val="22"/>
          <w:szCs w:val="22"/>
        </w:rPr>
      </w:pPr>
      <w:r w:rsidRPr="004C1597">
        <w:rPr>
          <w:rFonts w:ascii="Arial" w:hAnsi="Arial" w:cs="Arial"/>
          <w:sz w:val="22"/>
          <w:szCs w:val="22"/>
        </w:rPr>
        <w:lastRenderedPageBreak/>
        <w:t>Overview of included studies</w:t>
      </w:r>
    </w:p>
    <w:p w14:paraId="08C56F7E" w14:textId="3F40AACB" w:rsidR="00065869" w:rsidRPr="004C1597" w:rsidRDefault="005A278A" w:rsidP="004C1597">
      <w:pPr>
        <w:spacing w:line="360" w:lineRule="auto"/>
        <w:rPr>
          <w:rFonts w:ascii="Arial" w:hAnsi="Arial" w:cs="Arial"/>
          <w:sz w:val="22"/>
          <w:szCs w:val="22"/>
        </w:rPr>
      </w:pPr>
      <w:r w:rsidRPr="004C1597">
        <w:rPr>
          <w:rFonts w:ascii="Arial" w:hAnsi="Arial" w:cs="Arial"/>
          <w:sz w:val="22"/>
          <w:szCs w:val="22"/>
        </w:rPr>
        <w:t>Five peer-reviewed studies were included in this scoping review. These studies examined burnout among healthcare professionals and its relationship with workplace factors and patient care. The studies included systematic reviews and cross-sectional research conducted in healthcare settings.</w:t>
      </w:r>
    </w:p>
    <w:p w14:paraId="6122537D" w14:textId="77777777" w:rsidR="005912F1" w:rsidRPr="004C1597" w:rsidRDefault="005912F1" w:rsidP="004C1597">
      <w:pPr>
        <w:spacing w:line="360" w:lineRule="auto"/>
        <w:rPr>
          <w:rFonts w:ascii="Arial" w:hAnsi="Arial" w:cs="Arial"/>
          <w:sz w:val="22"/>
          <w:szCs w:val="22"/>
        </w:rPr>
      </w:pPr>
      <w:r w:rsidRPr="004C1597">
        <w:rPr>
          <w:rFonts w:ascii="Arial" w:hAnsi="Arial" w:cs="Arial"/>
          <w:sz w:val="22"/>
          <w:szCs w:val="22"/>
        </w:rPr>
        <w:t>In addition to workload and staffing shortages, organisational factors such as lack of control over work and insufficient resources may increase burnout risk. Healthcare professionals who have limited influence over their work environment may experience increased stress and reduced job satisfaction (Maslach and Leiter, 2016). Organisational changes, such as restructuring or redeployment, may increase uncertainty and reduce staff confidence. Gemine et al. (2021) reported that workplace changes during the COVID-19 pandemic were associated with increased burnout among NHS staff. This suggests that organisational stability and effective communication are important for reducing stress.</w:t>
      </w:r>
    </w:p>
    <w:p w14:paraId="5104CC74" w14:textId="32A1DE7A" w:rsidR="005912F1" w:rsidRPr="004C1597" w:rsidRDefault="005912F1" w:rsidP="004C1597">
      <w:pPr>
        <w:spacing w:line="360" w:lineRule="auto"/>
        <w:rPr>
          <w:rFonts w:ascii="Arial" w:hAnsi="Arial" w:cs="Arial"/>
          <w:sz w:val="22"/>
          <w:szCs w:val="22"/>
        </w:rPr>
      </w:pPr>
      <w:r w:rsidRPr="004C1597">
        <w:rPr>
          <w:rFonts w:ascii="Arial" w:hAnsi="Arial" w:cs="Arial"/>
          <w:sz w:val="22"/>
          <w:szCs w:val="22"/>
        </w:rPr>
        <w:t>Healthcare professionals may also experience physical fatigue due to long working hours and shift work. Fatigue may reduce concentration and increase risk of errors. Workforce shortages may increase the need for overtime and extended shifts, increasing physical and emotional strain (British Medical Association, 2021). Addressing staffing levels may therefore be an important strategy for reducing burnout.</w:t>
      </w:r>
    </w:p>
    <w:tbl>
      <w:tblPr>
        <w:tblStyle w:val="TableGrid"/>
        <w:tblpPr w:leftFromText="180" w:rightFromText="180" w:horzAnchor="margin" w:tblpXSpec="center" w:tblpY="-990"/>
        <w:tblW w:w="11624" w:type="dxa"/>
        <w:tblLook w:val="04A0" w:firstRow="1" w:lastRow="0" w:firstColumn="1" w:lastColumn="0" w:noHBand="0" w:noVBand="1"/>
      </w:tblPr>
      <w:tblGrid>
        <w:gridCol w:w="2127"/>
        <w:gridCol w:w="2127"/>
        <w:gridCol w:w="1636"/>
        <w:gridCol w:w="1597"/>
        <w:gridCol w:w="1653"/>
        <w:gridCol w:w="2484"/>
      </w:tblGrid>
      <w:tr w:rsidR="00BF16B3" w:rsidRPr="004714ED" w14:paraId="3D44A3A6" w14:textId="1FAA7B86" w:rsidTr="00F02881">
        <w:tc>
          <w:tcPr>
            <w:tcW w:w="2127" w:type="dxa"/>
          </w:tcPr>
          <w:p w14:paraId="64B63F94" w14:textId="1180DC5D" w:rsidR="00BF16B3" w:rsidRPr="00657996" w:rsidRDefault="00BF16B3" w:rsidP="00657996">
            <w:pPr>
              <w:spacing w:line="360" w:lineRule="auto"/>
              <w:rPr>
                <w:rFonts w:ascii="Arial" w:hAnsi="Arial" w:cs="Arial"/>
                <w:b/>
                <w:bCs/>
                <w:sz w:val="22"/>
                <w:szCs w:val="22"/>
              </w:rPr>
            </w:pPr>
            <w:r w:rsidRPr="00657996">
              <w:rPr>
                <w:rFonts w:ascii="Arial" w:hAnsi="Arial" w:cs="Arial"/>
                <w:b/>
                <w:bCs/>
                <w:sz w:val="22"/>
                <w:szCs w:val="22"/>
              </w:rPr>
              <w:lastRenderedPageBreak/>
              <w:t>Author</w:t>
            </w:r>
          </w:p>
        </w:tc>
        <w:tc>
          <w:tcPr>
            <w:tcW w:w="2127" w:type="dxa"/>
          </w:tcPr>
          <w:p w14:paraId="3EB20AF9" w14:textId="76077603" w:rsidR="00BF16B3" w:rsidRPr="00657996" w:rsidRDefault="00BF16B3" w:rsidP="00657996">
            <w:pPr>
              <w:spacing w:line="360" w:lineRule="auto"/>
              <w:rPr>
                <w:rFonts w:ascii="Arial" w:hAnsi="Arial" w:cs="Arial"/>
                <w:b/>
                <w:bCs/>
                <w:sz w:val="22"/>
                <w:szCs w:val="22"/>
              </w:rPr>
            </w:pPr>
            <w:r w:rsidRPr="00657996">
              <w:rPr>
                <w:rFonts w:ascii="Arial" w:hAnsi="Arial" w:cs="Arial"/>
                <w:b/>
                <w:bCs/>
                <w:sz w:val="22"/>
                <w:szCs w:val="22"/>
              </w:rPr>
              <w:t>Year</w:t>
            </w:r>
          </w:p>
        </w:tc>
        <w:tc>
          <w:tcPr>
            <w:tcW w:w="1636" w:type="dxa"/>
          </w:tcPr>
          <w:p w14:paraId="4F5BD61C" w14:textId="15A37919" w:rsidR="00BF16B3" w:rsidRPr="00657996" w:rsidRDefault="00BF16B3" w:rsidP="00657996">
            <w:pPr>
              <w:spacing w:line="360" w:lineRule="auto"/>
              <w:rPr>
                <w:rFonts w:ascii="Arial" w:hAnsi="Arial" w:cs="Arial"/>
                <w:b/>
                <w:bCs/>
                <w:sz w:val="22"/>
                <w:szCs w:val="22"/>
              </w:rPr>
            </w:pPr>
            <w:r w:rsidRPr="00657996">
              <w:rPr>
                <w:rFonts w:ascii="Arial" w:hAnsi="Arial" w:cs="Arial"/>
                <w:b/>
                <w:bCs/>
                <w:sz w:val="22"/>
                <w:szCs w:val="22"/>
              </w:rPr>
              <w:t>Country</w:t>
            </w:r>
          </w:p>
        </w:tc>
        <w:tc>
          <w:tcPr>
            <w:tcW w:w="1597" w:type="dxa"/>
          </w:tcPr>
          <w:p w14:paraId="1131E058" w14:textId="5617D340" w:rsidR="00BF16B3" w:rsidRPr="00657996" w:rsidRDefault="00BF16B3" w:rsidP="00657996">
            <w:pPr>
              <w:spacing w:line="360" w:lineRule="auto"/>
              <w:rPr>
                <w:rFonts w:ascii="Arial" w:hAnsi="Arial" w:cs="Arial"/>
                <w:b/>
                <w:bCs/>
                <w:sz w:val="22"/>
                <w:szCs w:val="22"/>
              </w:rPr>
            </w:pPr>
            <w:r w:rsidRPr="00657996">
              <w:rPr>
                <w:rFonts w:ascii="Arial" w:hAnsi="Arial" w:cs="Arial"/>
                <w:b/>
                <w:bCs/>
                <w:sz w:val="22"/>
                <w:szCs w:val="22"/>
              </w:rPr>
              <w:t>Study design</w:t>
            </w:r>
          </w:p>
        </w:tc>
        <w:tc>
          <w:tcPr>
            <w:tcW w:w="1653" w:type="dxa"/>
          </w:tcPr>
          <w:p w14:paraId="41784039" w14:textId="7CA1391A" w:rsidR="00BF16B3" w:rsidRPr="00657996" w:rsidRDefault="00BF16B3" w:rsidP="00657996">
            <w:pPr>
              <w:spacing w:line="360" w:lineRule="auto"/>
              <w:rPr>
                <w:rFonts w:ascii="Arial" w:hAnsi="Arial" w:cs="Arial"/>
                <w:b/>
                <w:bCs/>
                <w:sz w:val="22"/>
                <w:szCs w:val="22"/>
              </w:rPr>
            </w:pPr>
            <w:r w:rsidRPr="00657996">
              <w:rPr>
                <w:rFonts w:ascii="Arial" w:hAnsi="Arial" w:cs="Arial"/>
                <w:b/>
                <w:bCs/>
                <w:sz w:val="22"/>
                <w:szCs w:val="22"/>
              </w:rPr>
              <w:t>Participants</w:t>
            </w:r>
          </w:p>
        </w:tc>
        <w:tc>
          <w:tcPr>
            <w:tcW w:w="2484" w:type="dxa"/>
          </w:tcPr>
          <w:p w14:paraId="6A5189E3" w14:textId="7AE9C744" w:rsidR="00BF16B3" w:rsidRPr="00657996" w:rsidRDefault="00384545" w:rsidP="00657996">
            <w:pPr>
              <w:spacing w:line="360" w:lineRule="auto"/>
              <w:rPr>
                <w:rFonts w:ascii="Arial" w:hAnsi="Arial" w:cs="Arial"/>
                <w:b/>
                <w:bCs/>
                <w:sz w:val="22"/>
                <w:szCs w:val="22"/>
              </w:rPr>
            </w:pPr>
            <w:r w:rsidRPr="00657996">
              <w:rPr>
                <w:rFonts w:ascii="Arial" w:hAnsi="Arial" w:cs="Arial"/>
                <w:b/>
                <w:bCs/>
                <w:sz w:val="22"/>
                <w:szCs w:val="22"/>
              </w:rPr>
              <w:t>Key Findings</w:t>
            </w:r>
          </w:p>
        </w:tc>
      </w:tr>
      <w:tr w:rsidR="00BF16B3" w:rsidRPr="004714ED" w14:paraId="52E4BB22" w14:textId="5D5A2212" w:rsidTr="00F02881">
        <w:trPr>
          <w:trHeight w:val="856"/>
        </w:trPr>
        <w:tc>
          <w:tcPr>
            <w:tcW w:w="2127" w:type="dxa"/>
          </w:tcPr>
          <w:p w14:paraId="32267CBC" w14:textId="16FA7535" w:rsidR="00BF16B3" w:rsidRPr="00657996" w:rsidRDefault="004B47B5" w:rsidP="00657996">
            <w:pPr>
              <w:spacing w:line="360" w:lineRule="auto"/>
              <w:rPr>
                <w:rFonts w:ascii="Arial" w:hAnsi="Arial" w:cs="Arial"/>
                <w:sz w:val="22"/>
                <w:szCs w:val="22"/>
              </w:rPr>
            </w:pPr>
            <w:r w:rsidRPr="00657996">
              <w:rPr>
                <w:rFonts w:ascii="Arial" w:hAnsi="Arial" w:cs="Arial"/>
                <w:sz w:val="22"/>
                <w:szCs w:val="22"/>
              </w:rPr>
              <w:t>Hall et al.</w:t>
            </w:r>
          </w:p>
        </w:tc>
        <w:tc>
          <w:tcPr>
            <w:tcW w:w="2127" w:type="dxa"/>
          </w:tcPr>
          <w:p w14:paraId="098BF957" w14:textId="18754B71" w:rsidR="00BF16B3" w:rsidRPr="00657996" w:rsidRDefault="0038674E" w:rsidP="00657996">
            <w:pPr>
              <w:spacing w:line="360" w:lineRule="auto"/>
              <w:rPr>
                <w:rFonts w:ascii="Arial" w:hAnsi="Arial" w:cs="Arial"/>
                <w:sz w:val="22"/>
                <w:szCs w:val="22"/>
              </w:rPr>
            </w:pPr>
            <w:r w:rsidRPr="00657996">
              <w:rPr>
                <w:rFonts w:ascii="Arial" w:hAnsi="Arial" w:cs="Arial"/>
                <w:sz w:val="22"/>
                <w:szCs w:val="22"/>
              </w:rPr>
              <w:t>2015</w:t>
            </w:r>
          </w:p>
        </w:tc>
        <w:tc>
          <w:tcPr>
            <w:tcW w:w="1636" w:type="dxa"/>
          </w:tcPr>
          <w:p w14:paraId="59E92531" w14:textId="3EC89320" w:rsidR="00BF16B3" w:rsidRPr="00657996" w:rsidRDefault="0038674E" w:rsidP="00657996">
            <w:pPr>
              <w:spacing w:line="360" w:lineRule="auto"/>
              <w:rPr>
                <w:rFonts w:ascii="Arial" w:hAnsi="Arial" w:cs="Arial"/>
                <w:sz w:val="22"/>
                <w:szCs w:val="22"/>
              </w:rPr>
            </w:pPr>
            <w:r w:rsidRPr="00657996">
              <w:rPr>
                <w:rFonts w:ascii="Arial" w:hAnsi="Arial" w:cs="Arial"/>
                <w:sz w:val="22"/>
                <w:szCs w:val="22"/>
              </w:rPr>
              <w:t>Multiple countries including UK relevance</w:t>
            </w:r>
          </w:p>
        </w:tc>
        <w:tc>
          <w:tcPr>
            <w:tcW w:w="1597" w:type="dxa"/>
          </w:tcPr>
          <w:p w14:paraId="6044B78B" w14:textId="44B3F6F4" w:rsidR="00BF16B3" w:rsidRPr="00657996" w:rsidRDefault="000B2D77" w:rsidP="00657996">
            <w:pPr>
              <w:spacing w:line="360" w:lineRule="auto"/>
              <w:rPr>
                <w:rFonts w:ascii="Arial" w:hAnsi="Arial" w:cs="Arial"/>
                <w:sz w:val="22"/>
                <w:szCs w:val="22"/>
              </w:rPr>
            </w:pPr>
            <w:r w:rsidRPr="00657996">
              <w:rPr>
                <w:rFonts w:ascii="Arial" w:hAnsi="Arial" w:cs="Arial"/>
                <w:sz w:val="22"/>
                <w:szCs w:val="22"/>
              </w:rPr>
              <w:t>Systematic review</w:t>
            </w:r>
          </w:p>
        </w:tc>
        <w:tc>
          <w:tcPr>
            <w:tcW w:w="1653" w:type="dxa"/>
          </w:tcPr>
          <w:p w14:paraId="47423B2B" w14:textId="28BEB62D" w:rsidR="00BF16B3" w:rsidRPr="00657996" w:rsidRDefault="000B2D77" w:rsidP="00657996">
            <w:pPr>
              <w:spacing w:line="360" w:lineRule="auto"/>
              <w:rPr>
                <w:rFonts w:ascii="Arial" w:hAnsi="Arial" w:cs="Arial"/>
                <w:sz w:val="22"/>
                <w:szCs w:val="22"/>
              </w:rPr>
            </w:pPr>
            <w:r w:rsidRPr="00657996">
              <w:rPr>
                <w:rFonts w:ascii="Arial" w:hAnsi="Arial" w:cs="Arial"/>
                <w:sz w:val="22"/>
                <w:szCs w:val="22"/>
              </w:rPr>
              <w:t>Healthcare professionals</w:t>
            </w:r>
          </w:p>
        </w:tc>
        <w:tc>
          <w:tcPr>
            <w:tcW w:w="2484" w:type="dxa"/>
          </w:tcPr>
          <w:p w14:paraId="65DA009A" w14:textId="4EC3DFFB" w:rsidR="00BF16B3" w:rsidRPr="00657996" w:rsidRDefault="00E63F68" w:rsidP="00657996">
            <w:pPr>
              <w:spacing w:line="360" w:lineRule="auto"/>
              <w:rPr>
                <w:rFonts w:ascii="Arial" w:hAnsi="Arial" w:cs="Arial"/>
                <w:sz w:val="22"/>
                <w:szCs w:val="22"/>
              </w:rPr>
            </w:pPr>
            <w:r w:rsidRPr="00657996">
              <w:rPr>
                <w:rFonts w:ascii="Arial" w:hAnsi="Arial" w:cs="Arial"/>
                <w:sz w:val="22"/>
                <w:szCs w:val="22"/>
              </w:rPr>
              <w:t>Burnout associated with patient safety incidents and reduced quality of care</w:t>
            </w:r>
          </w:p>
        </w:tc>
      </w:tr>
      <w:tr w:rsidR="00BF16B3" w:rsidRPr="004714ED" w14:paraId="5586D3F5" w14:textId="7FB32A89" w:rsidTr="00F02881">
        <w:tc>
          <w:tcPr>
            <w:tcW w:w="2127" w:type="dxa"/>
          </w:tcPr>
          <w:p w14:paraId="5F25FA9B" w14:textId="2DEA8005" w:rsidR="00BF16B3" w:rsidRPr="00657996" w:rsidRDefault="00CC1245" w:rsidP="00657996">
            <w:pPr>
              <w:spacing w:line="360" w:lineRule="auto"/>
              <w:rPr>
                <w:rFonts w:ascii="Arial" w:hAnsi="Arial" w:cs="Arial"/>
                <w:sz w:val="22"/>
                <w:szCs w:val="22"/>
              </w:rPr>
            </w:pPr>
            <w:r w:rsidRPr="00657996">
              <w:rPr>
                <w:rFonts w:ascii="Arial" w:hAnsi="Arial" w:cs="Arial"/>
                <w:sz w:val="22"/>
                <w:szCs w:val="22"/>
              </w:rPr>
              <w:t>Gemine et al.</w:t>
            </w:r>
          </w:p>
        </w:tc>
        <w:tc>
          <w:tcPr>
            <w:tcW w:w="2127" w:type="dxa"/>
          </w:tcPr>
          <w:p w14:paraId="4F0BF775" w14:textId="43870591" w:rsidR="00BF16B3" w:rsidRPr="00657996" w:rsidRDefault="00406EA8" w:rsidP="00657996">
            <w:pPr>
              <w:spacing w:line="360" w:lineRule="auto"/>
              <w:rPr>
                <w:rFonts w:ascii="Arial" w:hAnsi="Arial" w:cs="Arial"/>
                <w:sz w:val="22"/>
                <w:szCs w:val="22"/>
              </w:rPr>
            </w:pPr>
            <w:r w:rsidRPr="00657996">
              <w:rPr>
                <w:rFonts w:ascii="Arial" w:hAnsi="Arial" w:cs="Arial"/>
                <w:sz w:val="22"/>
                <w:szCs w:val="22"/>
              </w:rPr>
              <w:t>2021</w:t>
            </w:r>
          </w:p>
        </w:tc>
        <w:tc>
          <w:tcPr>
            <w:tcW w:w="1636" w:type="dxa"/>
          </w:tcPr>
          <w:p w14:paraId="1921139B" w14:textId="18270C91" w:rsidR="00BF16B3" w:rsidRPr="00657996" w:rsidRDefault="00406EA8" w:rsidP="00657996">
            <w:pPr>
              <w:spacing w:line="360" w:lineRule="auto"/>
              <w:rPr>
                <w:rFonts w:ascii="Arial" w:hAnsi="Arial" w:cs="Arial"/>
                <w:sz w:val="22"/>
                <w:szCs w:val="22"/>
              </w:rPr>
            </w:pPr>
            <w:r w:rsidRPr="00657996">
              <w:rPr>
                <w:rFonts w:ascii="Arial" w:hAnsi="Arial" w:cs="Arial"/>
                <w:sz w:val="22"/>
                <w:szCs w:val="22"/>
              </w:rPr>
              <w:t>UK</w:t>
            </w:r>
          </w:p>
        </w:tc>
        <w:tc>
          <w:tcPr>
            <w:tcW w:w="1597" w:type="dxa"/>
          </w:tcPr>
          <w:p w14:paraId="24F9DB74" w14:textId="24E45C64" w:rsidR="00BF16B3" w:rsidRPr="00657996" w:rsidRDefault="00E4565F" w:rsidP="00657996">
            <w:pPr>
              <w:spacing w:line="360" w:lineRule="auto"/>
              <w:rPr>
                <w:rFonts w:ascii="Arial" w:hAnsi="Arial" w:cs="Arial"/>
                <w:sz w:val="22"/>
                <w:szCs w:val="22"/>
              </w:rPr>
            </w:pPr>
            <w:r w:rsidRPr="00657996">
              <w:rPr>
                <w:rFonts w:ascii="Arial" w:hAnsi="Arial" w:cs="Arial"/>
                <w:sz w:val="22"/>
                <w:szCs w:val="22"/>
              </w:rPr>
              <w:t>Cross-sectional study</w:t>
            </w:r>
          </w:p>
        </w:tc>
        <w:tc>
          <w:tcPr>
            <w:tcW w:w="1653" w:type="dxa"/>
          </w:tcPr>
          <w:p w14:paraId="2064C92F" w14:textId="30B622D4" w:rsidR="00BF16B3" w:rsidRPr="00657996" w:rsidRDefault="00E4565F" w:rsidP="00657996">
            <w:pPr>
              <w:spacing w:line="360" w:lineRule="auto"/>
              <w:rPr>
                <w:rFonts w:ascii="Arial" w:hAnsi="Arial" w:cs="Arial"/>
                <w:sz w:val="22"/>
                <w:szCs w:val="22"/>
              </w:rPr>
            </w:pPr>
            <w:r w:rsidRPr="00657996">
              <w:rPr>
                <w:rFonts w:ascii="Arial" w:hAnsi="Arial" w:cs="Arial"/>
                <w:sz w:val="22"/>
                <w:szCs w:val="22"/>
              </w:rPr>
              <w:t>NHS staff</w:t>
            </w:r>
          </w:p>
        </w:tc>
        <w:tc>
          <w:tcPr>
            <w:tcW w:w="2484" w:type="dxa"/>
          </w:tcPr>
          <w:p w14:paraId="1773BDE9" w14:textId="1DCC2AE1" w:rsidR="00BF16B3" w:rsidRPr="00657996" w:rsidRDefault="003E3736" w:rsidP="00657996">
            <w:pPr>
              <w:spacing w:line="360" w:lineRule="auto"/>
              <w:rPr>
                <w:rFonts w:ascii="Arial" w:hAnsi="Arial" w:cs="Arial"/>
                <w:sz w:val="22"/>
                <w:szCs w:val="22"/>
              </w:rPr>
            </w:pPr>
            <w:r w:rsidRPr="00657996">
              <w:rPr>
                <w:rFonts w:ascii="Arial" w:hAnsi="Arial" w:cs="Arial"/>
                <w:sz w:val="22"/>
                <w:szCs w:val="22"/>
              </w:rPr>
              <w:t>Workplace stress and organisational factors increased burnout</w:t>
            </w:r>
          </w:p>
        </w:tc>
      </w:tr>
      <w:tr w:rsidR="00BF16B3" w:rsidRPr="004714ED" w14:paraId="0F994E86" w14:textId="2F04189A" w:rsidTr="00F02881">
        <w:tc>
          <w:tcPr>
            <w:tcW w:w="2127" w:type="dxa"/>
          </w:tcPr>
          <w:p w14:paraId="7491F26C" w14:textId="509CCA83" w:rsidR="00BF16B3" w:rsidRPr="00657996" w:rsidRDefault="00181790" w:rsidP="00657996">
            <w:pPr>
              <w:spacing w:line="360" w:lineRule="auto"/>
              <w:rPr>
                <w:rFonts w:ascii="Arial" w:hAnsi="Arial" w:cs="Arial"/>
                <w:sz w:val="22"/>
                <w:szCs w:val="22"/>
              </w:rPr>
            </w:pPr>
            <w:r w:rsidRPr="00657996">
              <w:rPr>
                <w:rFonts w:ascii="Arial" w:hAnsi="Arial" w:cs="Arial"/>
                <w:sz w:val="22"/>
                <w:szCs w:val="22"/>
              </w:rPr>
              <w:t>Ferry et al.</w:t>
            </w:r>
          </w:p>
        </w:tc>
        <w:tc>
          <w:tcPr>
            <w:tcW w:w="2127" w:type="dxa"/>
          </w:tcPr>
          <w:p w14:paraId="1E0E0057" w14:textId="597A741F" w:rsidR="00BF16B3" w:rsidRPr="00657996" w:rsidRDefault="000621B4" w:rsidP="00657996">
            <w:pPr>
              <w:spacing w:line="360" w:lineRule="auto"/>
              <w:rPr>
                <w:rFonts w:ascii="Arial" w:hAnsi="Arial" w:cs="Arial"/>
                <w:sz w:val="22"/>
                <w:szCs w:val="22"/>
              </w:rPr>
            </w:pPr>
            <w:r w:rsidRPr="00657996">
              <w:rPr>
                <w:rFonts w:ascii="Arial" w:hAnsi="Arial" w:cs="Arial"/>
                <w:sz w:val="22"/>
                <w:szCs w:val="22"/>
              </w:rPr>
              <w:t>2020</w:t>
            </w:r>
          </w:p>
        </w:tc>
        <w:tc>
          <w:tcPr>
            <w:tcW w:w="1636" w:type="dxa"/>
          </w:tcPr>
          <w:p w14:paraId="1A2FBAB0" w14:textId="42B22FB5" w:rsidR="00BF16B3" w:rsidRPr="00657996" w:rsidRDefault="000621B4" w:rsidP="00657996">
            <w:pPr>
              <w:spacing w:line="360" w:lineRule="auto"/>
              <w:rPr>
                <w:rFonts w:ascii="Arial" w:hAnsi="Arial" w:cs="Arial"/>
                <w:sz w:val="22"/>
                <w:szCs w:val="22"/>
              </w:rPr>
            </w:pPr>
            <w:r w:rsidRPr="00657996">
              <w:rPr>
                <w:rFonts w:ascii="Arial" w:hAnsi="Arial" w:cs="Arial"/>
                <w:sz w:val="22"/>
                <w:szCs w:val="22"/>
              </w:rPr>
              <w:t>UK</w:t>
            </w:r>
          </w:p>
        </w:tc>
        <w:tc>
          <w:tcPr>
            <w:tcW w:w="1597" w:type="dxa"/>
          </w:tcPr>
          <w:p w14:paraId="3419A471" w14:textId="26B31074" w:rsidR="00BF16B3" w:rsidRPr="00657996" w:rsidRDefault="00191643" w:rsidP="00657996">
            <w:pPr>
              <w:spacing w:line="360" w:lineRule="auto"/>
              <w:rPr>
                <w:rFonts w:ascii="Arial" w:hAnsi="Arial" w:cs="Arial"/>
                <w:sz w:val="22"/>
                <w:szCs w:val="22"/>
              </w:rPr>
            </w:pPr>
            <w:r w:rsidRPr="00657996">
              <w:rPr>
                <w:rFonts w:ascii="Arial" w:hAnsi="Arial" w:cs="Arial"/>
                <w:sz w:val="22"/>
                <w:szCs w:val="22"/>
              </w:rPr>
              <w:t>Cross-sectional study</w:t>
            </w:r>
          </w:p>
        </w:tc>
        <w:tc>
          <w:tcPr>
            <w:tcW w:w="1653" w:type="dxa"/>
          </w:tcPr>
          <w:p w14:paraId="56C646DC" w14:textId="399E115A" w:rsidR="00BF16B3" w:rsidRPr="00657996" w:rsidRDefault="00EA0686" w:rsidP="00657996">
            <w:pPr>
              <w:spacing w:line="360" w:lineRule="auto"/>
              <w:rPr>
                <w:rFonts w:ascii="Arial" w:hAnsi="Arial" w:cs="Arial"/>
                <w:sz w:val="22"/>
                <w:szCs w:val="22"/>
              </w:rPr>
            </w:pPr>
            <w:r w:rsidRPr="00657996">
              <w:rPr>
                <w:rFonts w:ascii="Arial" w:hAnsi="Arial" w:cs="Arial"/>
                <w:sz w:val="22"/>
                <w:szCs w:val="22"/>
              </w:rPr>
              <w:t>Healthcare workers</w:t>
            </w:r>
          </w:p>
        </w:tc>
        <w:tc>
          <w:tcPr>
            <w:tcW w:w="2484" w:type="dxa"/>
          </w:tcPr>
          <w:p w14:paraId="4B30900E" w14:textId="6071D685" w:rsidR="00BF16B3" w:rsidRPr="00657996" w:rsidRDefault="00EA0686" w:rsidP="00657996">
            <w:pPr>
              <w:spacing w:line="360" w:lineRule="auto"/>
              <w:rPr>
                <w:rFonts w:ascii="Arial" w:hAnsi="Arial" w:cs="Arial"/>
                <w:sz w:val="22"/>
                <w:szCs w:val="22"/>
              </w:rPr>
            </w:pPr>
            <w:r w:rsidRPr="00657996">
              <w:rPr>
                <w:rFonts w:ascii="Arial" w:hAnsi="Arial" w:cs="Arial"/>
                <w:sz w:val="22"/>
                <w:szCs w:val="22"/>
              </w:rPr>
              <w:t>COVID-19 exposure and redeployment increased burnout risk</w:t>
            </w:r>
          </w:p>
        </w:tc>
      </w:tr>
      <w:tr w:rsidR="00BF16B3" w:rsidRPr="004714ED" w14:paraId="7C669E64" w14:textId="42DCA10D" w:rsidTr="00F02881">
        <w:tc>
          <w:tcPr>
            <w:tcW w:w="2127" w:type="dxa"/>
          </w:tcPr>
          <w:p w14:paraId="473DA258" w14:textId="7D7326E1" w:rsidR="00BF16B3" w:rsidRPr="00657996" w:rsidRDefault="00A85728" w:rsidP="00657996">
            <w:pPr>
              <w:spacing w:line="360" w:lineRule="auto"/>
              <w:rPr>
                <w:rFonts w:ascii="Arial" w:hAnsi="Arial" w:cs="Arial"/>
                <w:sz w:val="22"/>
                <w:szCs w:val="22"/>
              </w:rPr>
            </w:pPr>
            <w:r w:rsidRPr="00657996">
              <w:rPr>
                <w:rFonts w:ascii="Arial" w:hAnsi="Arial" w:cs="Arial"/>
                <w:sz w:val="22"/>
                <w:szCs w:val="22"/>
              </w:rPr>
              <w:t>Imo</w:t>
            </w:r>
          </w:p>
        </w:tc>
        <w:tc>
          <w:tcPr>
            <w:tcW w:w="2127" w:type="dxa"/>
          </w:tcPr>
          <w:p w14:paraId="2289D520" w14:textId="6CD5C2E0" w:rsidR="00BF16B3" w:rsidRPr="00657996" w:rsidRDefault="00440E1B" w:rsidP="00657996">
            <w:pPr>
              <w:spacing w:line="360" w:lineRule="auto"/>
              <w:rPr>
                <w:rFonts w:ascii="Arial" w:hAnsi="Arial" w:cs="Arial"/>
                <w:sz w:val="22"/>
                <w:szCs w:val="22"/>
              </w:rPr>
            </w:pPr>
            <w:r w:rsidRPr="00657996">
              <w:rPr>
                <w:rFonts w:ascii="Arial" w:hAnsi="Arial" w:cs="Arial"/>
                <w:sz w:val="22"/>
                <w:szCs w:val="22"/>
              </w:rPr>
              <w:t>2017</w:t>
            </w:r>
          </w:p>
        </w:tc>
        <w:tc>
          <w:tcPr>
            <w:tcW w:w="1636" w:type="dxa"/>
          </w:tcPr>
          <w:p w14:paraId="1CC1F2AF" w14:textId="64305AB4" w:rsidR="00BF16B3" w:rsidRPr="00657996" w:rsidRDefault="00440E1B" w:rsidP="00657996">
            <w:pPr>
              <w:spacing w:line="360" w:lineRule="auto"/>
              <w:rPr>
                <w:rFonts w:ascii="Arial" w:hAnsi="Arial" w:cs="Arial"/>
                <w:sz w:val="22"/>
                <w:szCs w:val="22"/>
              </w:rPr>
            </w:pPr>
            <w:r w:rsidRPr="00657996">
              <w:rPr>
                <w:rFonts w:ascii="Arial" w:hAnsi="Arial" w:cs="Arial"/>
                <w:sz w:val="22"/>
                <w:szCs w:val="22"/>
              </w:rPr>
              <w:t>UK</w:t>
            </w:r>
          </w:p>
        </w:tc>
        <w:tc>
          <w:tcPr>
            <w:tcW w:w="1597" w:type="dxa"/>
          </w:tcPr>
          <w:p w14:paraId="5787F70B" w14:textId="5FBE3DD0" w:rsidR="00BF16B3" w:rsidRPr="00657996" w:rsidRDefault="00EC3B8B" w:rsidP="00657996">
            <w:pPr>
              <w:spacing w:line="360" w:lineRule="auto"/>
              <w:jc w:val="center"/>
              <w:rPr>
                <w:rFonts w:ascii="Arial" w:hAnsi="Arial" w:cs="Arial"/>
                <w:sz w:val="22"/>
                <w:szCs w:val="22"/>
              </w:rPr>
            </w:pPr>
            <w:r w:rsidRPr="00657996">
              <w:rPr>
                <w:rFonts w:ascii="Arial" w:hAnsi="Arial" w:cs="Arial"/>
                <w:sz w:val="22"/>
                <w:szCs w:val="22"/>
              </w:rPr>
              <w:t>Systematic review</w:t>
            </w:r>
          </w:p>
        </w:tc>
        <w:tc>
          <w:tcPr>
            <w:tcW w:w="1653" w:type="dxa"/>
          </w:tcPr>
          <w:p w14:paraId="161D482D" w14:textId="3BEBCEE9" w:rsidR="00BF16B3" w:rsidRPr="00657996" w:rsidRDefault="00EC3B8B" w:rsidP="00657996">
            <w:pPr>
              <w:spacing w:line="360" w:lineRule="auto"/>
              <w:rPr>
                <w:rFonts w:ascii="Arial" w:hAnsi="Arial" w:cs="Arial"/>
                <w:sz w:val="22"/>
                <w:szCs w:val="22"/>
              </w:rPr>
            </w:pPr>
            <w:r w:rsidRPr="00657996">
              <w:rPr>
                <w:rFonts w:ascii="Arial" w:hAnsi="Arial" w:cs="Arial"/>
                <w:sz w:val="22"/>
                <w:szCs w:val="22"/>
              </w:rPr>
              <w:t>Doctors</w:t>
            </w:r>
          </w:p>
        </w:tc>
        <w:tc>
          <w:tcPr>
            <w:tcW w:w="2484" w:type="dxa"/>
          </w:tcPr>
          <w:p w14:paraId="251B4AC3" w14:textId="7308CA9C" w:rsidR="00BF16B3" w:rsidRPr="00657996" w:rsidRDefault="00641061" w:rsidP="00657996">
            <w:pPr>
              <w:spacing w:line="360" w:lineRule="auto"/>
              <w:rPr>
                <w:rFonts w:ascii="Arial" w:hAnsi="Arial" w:cs="Arial"/>
                <w:sz w:val="22"/>
                <w:szCs w:val="22"/>
              </w:rPr>
            </w:pPr>
            <w:r w:rsidRPr="00657996">
              <w:rPr>
                <w:rFonts w:ascii="Arial" w:hAnsi="Arial" w:cs="Arial"/>
                <w:sz w:val="22"/>
                <w:szCs w:val="22"/>
              </w:rPr>
              <w:t>Workload and job stress associated with burnout</w:t>
            </w:r>
          </w:p>
        </w:tc>
      </w:tr>
      <w:tr w:rsidR="00BF16B3" w:rsidRPr="004714ED" w14:paraId="364B32DD" w14:textId="77A32EA7" w:rsidTr="00F02881">
        <w:tc>
          <w:tcPr>
            <w:tcW w:w="2127" w:type="dxa"/>
          </w:tcPr>
          <w:p w14:paraId="27417F21" w14:textId="76412410" w:rsidR="00BF16B3" w:rsidRPr="00657996" w:rsidRDefault="00641061" w:rsidP="00657996">
            <w:pPr>
              <w:spacing w:line="360" w:lineRule="auto"/>
              <w:rPr>
                <w:rFonts w:ascii="Arial" w:hAnsi="Arial" w:cs="Arial"/>
                <w:sz w:val="22"/>
                <w:szCs w:val="22"/>
              </w:rPr>
            </w:pPr>
            <w:r w:rsidRPr="00657996">
              <w:rPr>
                <w:rFonts w:ascii="Arial" w:hAnsi="Arial" w:cs="Arial"/>
                <w:sz w:val="22"/>
                <w:szCs w:val="22"/>
              </w:rPr>
              <w:t>Maslach and Leiter</w:t>
            </w:r>
          </w:p>
        </w:tc>
        <w:tc>
          <w:tcPr>
            <w:tcW w:w="2127" w:type="dxa"/>
          </w:tcPr>
          <w:p w14:paraId="16B6CCF6" w14:textId="1A631371" w:rsidR="00BF16B3" w:rsidRPr="00657996" w:rsidRDefault="00413C01" w:rsidP="00657996">
            <w:pPr>
              <w:spacing w:line="360" w:lineRule="auto"/>
              <w:rPr>
                <w:rFonts w:ascii="Arial" w:hAnsi="Arial" w:cs="Arial"/>
                <w:sz w:val="22"/>
                <w:szCs w:val="22"/>
              </w:rPr>
            </w:pPr>
            <w:r w:rsidRPr="00657996">
              <w:rPr>
                <w:rFonts w:ascii="Arial" w:hAnsi="Arial" w:cs="Arial"/>
                <w:sz w:val="22"/>
                <w:szCs w:val="22"/>
              </w:rPr>
              <w:t>2016</w:t>
            </w:r>
          </w:p>
        </w:tc>
        <w:tc>
          <w:tcPr>
            <w:tcW w:w="1636" w:type="dxa"/>
          </w:tcPr>
          <w:p w14:paraId="7DE1C724" w14:textId="1BB5DC44" w:rsidR="00BF16B3" w:rsidRPr="00657996" w:rsidRDefault="00413C01" w:rsidP="00657996">
            <w:pPr>
              <w:spacing w:line="360" w:lineRule="auto"/>
              <w:rPr>
                <w:rFonts w:ascii="Arial" w:hAnsi="Arial" w:cs="Arial"/>
                <w:sz w:val="22"/>
                <w:szCs w:val="22"/>
              </w:rPr>
            </w:pPr>
            <w:r w:rsidRPr="00657996">
              <w:rPr>
                <w:rFonts w:ascii="Arial" w:hAnsi="Arial" w:cs="Arial"/>
                <w:sz w:val="22"/>
                <w:szCs w:val="22"/>
              </w:rPr>
              <w:t>International</w:t>
            </w:r>
          </w:p>
        </w:tc>
        <w:tc>
          <w:tcPr>
            <w:tcW w:w="1597" w:type="dxa"/>
          </w:tcPr>
          <w:p w14:paraId="59A19EBF" w14:textId="1BA68104" w:rsidR="00BF16B3" w:rsidRPr="00657996" w:rsidRDefault="00992012" w:rsidP="00657996">
            <w:pPr>
              <w:spacing w:line="360" w:lineRule="auto"/>
              <w:rPr>
                <w:rFonts w:ascii="Arial" w:hAnsi="Arial" w:cs="Arial"/>
                <w:sz w:val="22"/>
                <w:szCs w:val="22"/>
              </w:rPr>
            </w:pPr>
            <w:r w:rsidRPr="00657996">
              <w:rPr>
                <w:rFonts w:ascii="Arial" w:hAnsi="Arial" w:cs="Arial"/>
                <w:sz w:val="22"/>
                <w:szCs w:val="22"/>
              </w:rPr>
              <w:t>Review</w:t>
            </w:r>
          </w:p>
        </w:tc>
        <w:tc>
          <w:tcPr>
            <w:tcW w:w="1653" w:type="dxa"/>
          </w:tcPr>
          <w:p w14:paraId="2853EA2B" w14:textId="4A29B28B" w:rsidR="00BF16B3" w:rsidRPr="00657996" w:rsidRDefault="00992012" w:rsidP="00657996">
            <w:pPr>
              <w:spacing w:line="360" w:lineRule="auto"/>
              <w:rPr>
                <w:rFonts w:ascii="Arial" w:hAnsi="Arial" w:cs="Arial"/>
                <w:sz w:val="22"/>
                <w:szCs w:val="22"/>
              </w:rPr>
            </w:pPr>
            <w:r w:rsidRPr="00657996">
              <w:rPr>
                <w:rFonts w:ascii="Arial" w:hAnsi="Arial" w:cs="Arial"/>
                <w:sz w:val="22"/>
                <w:szCs w:val="22"/>
              </w:rPr>
              <w:t>Healthcare workers</w:t>
            </w:r>
          </w:p>
        </w:tc>
        <w:tc>
          <w:tcPr>
            <w:tcW w:w="2484" w:type="dxa"/>
          </w:tcPr>
          <w:p w14:paraId="4A41C32A" w14:textId="12D9B511" w:rsidR="00BF16B3" w:rsidRPr="00657996" w:rsidRDefault="00F02881" w:rsidP="00657996">
            <w:pPr>
              <w:spacing w:line="360" w:lineRule="auto"/>
              <w:rPr>
                <w:rFonts w:ascii="Arial" w:hAnsi="Arial" w:cs="Arial"/>
                <w:sz w:val="22"/>
                <w:szCs w:val="22"/>
              </w:rPr>
            </w:pPr>
            <w:r w:rsidRPr="00657996">
              <w:rPr>
                <w:rFonts w:ascii="Arial" w:hAnsi="Arial" w:cs="Arial"/>
                <w:sz w:val="22"/>
                <w:szCs w:val="22"/>
              </w:rPr>
              <w:t>Defined burnout and explained causes and consequences</w:t>
            </w:r>
          </w:p>
        </w:tc>
      </w:tr>
    </w:tbl>
    <w:p w14:paraId="0F23360E" w14:textId="77777777" w:rsidR="004C1597" w:rsidRDefault="004C1597" w:rsidP="00620CA1">
      <w:pPr>
        <w:spacing w:line="360" w:lineRule="auto"/>
        <w:rPr>
          <w:rFonts w:ascii="Arial" w:hAnsi="Arial" w:cs="Arial"/>
          <w:b/>
          <w:bCs/>
          <w:sz w:val="22"/>
          <w:szCs w:val="22"/>
        </w:rPr>
      </w:pPr>
    </w:p>
    <w:p w14:paraId="07A98A04" w14:textId="03A5EA89" w:rsidR="00992130" w:rsidRPr="004C1597" w:rsidRDefault="00992130" w:rsidP="004C1597">
      <w:pPr>
        <w:spacing w:line="360" w:lineRule="auto"/>
        <w:rPr>
          <w:rFonts w:ascii="Arial" w:hAnsi="Arial" w:cs="Arial"/>
          <w:b/>
          <w:bCs/>
          <w:sz w:val="22"/>
          <w:szCs w:val="22"/>
        </w:rPr>
      </w:pPr>
      <w:r w:rsidRPr="004C1597">
        <w:rPr>
          <w:rFonts w:ascii="Arial" w:hAnsi="Arial" w:cs="Arial"/>
          <w:b/>
          <w:bCs/>
          <w:sz w:val="22"/>
          <w:szCs w:val="22"/>
        </w:rPr>
        <w:t>Description of included studies</w:t>
      </w:r>
    </w:p>
    <w:p w14:paraId="3A3A364C" w14:textId="4AED79FF" w:rsidR="00992130" w:rsidRPr="004C1597" w:rsidRDefault="00992130" w:rsidP="004C1597">
      <w:pPr>
        <w:spacing w:line="360" w:lineRule="auto"/>
        <w:rPr>
          <w:rFonts w:ascii="Arial" w:hAnsi="Arial" w:cs="Arial"/>
          <w:sz w:val="22"/>
          <w:szCs w:val="22"/>
        </w:rPr>
      </w:pPr>
      <w:r w:rsidRPr="004C1597">
        <w:rPr>
          <w:rFonts w:ascii="Arial" w:hAnsi="Arial" w:cs="Arial"/>
          <w:sz w:val="22"/>
          <w:szCs w:val="22"/>
        </w:rPr>
        <w:t>Hall et al. (2016) conducted a systematic review examining the relationship between burnout and patient safety. The authors found that burnout was associated with increased medical errors and reduced quality of care. This study highlights the importance of staff wellbeing for maintaining patient safety.</w:t>
      </w:r>
      <w:r w:rsidR="000323DF" w:rsidRPr="004C1597">
        <w:rPr>
          <w:rFonts w:ascii="Arial" w:hAnsi="Arial" w:cs="Arial"/>
          <w:sz w:val="22"/>
          <w:szCs w:val="22"/>
        </w:rPr>
        <w:t xml:space="preserve"> </w:t>
      </w:r>
      <w:r w:rsidRPr="004C1597">
        <w:rPr>
          <w:rFonts w:ascii="Arial" w:hAnsi="Arial" w:cs="Arial"/>
          <w:sz w:val="22"/>
          <w:szCs w:val="22"/>
        </w:rPr>
        <w:t>Gemine et al. (2021) examined burnout among NHS staff during the COVID-19 pandemic. The study found that workplace stress and organisational changes contributed to increased burnout levels. These findings suggest that healthcare system pressures can significantly affect staff wellbeing.</w:t>
      </w:r>
      <w:r w:rsidR="000323DF" w:rsidRPr="004C1597">
        <w:rPr>
          <w:rFonts w:ascii="Arial" w:hAnsi="Arial" w:cs="Arial"/>
          <w:sz w:val="22"/>
          <w:szCs w:val="22"/>
        </w:rPr>
        <w:t xml:space="preserve"> </w:t>
      </w:r>
      <w:r w:rsidRPr="004C1597">
        <w:rPr>
          <w:rFonts w:ascii="Arial" w:hAnsi="Arial" w:cs="Arial"/>
          <w:sz w:val="22"/>
          <w:szCs w:val="22"/>
        </w:rPr>
        <w:t xml:space="preserve">Ferry et al. (2020) investigated burnout among healthcare workers during the pandemic and identified factors such as redeployment and working with COVID-19 patients as significant predictors of burnout. This demonstrates how healthcare crises can increase psychological strain on </w:t>
      </w:r>
      <w:r w:rsidR="000323DF" w:rsidRPr="004C1597">
        <w:rPr>
          <w:rFonts w:ascii="Arial" w:hAnsi="Arial" w:cs="Arial"/>
          <w:sz w:val="22"/>
          <w:szCs w:val="22"/>
        </w:rPr>
        <w:t>staff. Imo</w:t>
      </w:r>
      <w:r w:rsidRPr="004C1597">
        <w:rPr>
          <w:rFonts w:ascii="Arial" w:hAnsi="Arial" w:cs="Arial"/>
          <w:sz w:val="22"/>
          <w:szCs w:val="22"/>
        </w:rPr>
        <w:t xml:space="preserve"> (2017) conducted a systematic review examining burnout among UK doctors. The study found that heavy workload and job stress were major contributors to </w:t>
      </w:r>
      <w:r w:rsidR="000323DF" w:rsidRPr="004C1597">
        <w:rPr>
          <w:rFonts w:ascii="Arial" w:hAnsi="Arial" w:cs="Arial"/>
          <w:sz w:val="22"/>
          <w:szCs w:val="22"/>
        </w:rPr>
        <w:t>burnout. Maslach</w:t>
      </w:r>
      <w:r w:rsidRPr="004C1597">
        <w:rPr>
          <w:rFonts w:ascii="Arial" w:hAnsi="Arial" w:cs="Arial"/>
          <w:sz w:val="22"/>
          <w:szCs w:val="22"/>
        </w:rPr>
        <w:t xml:space="preserve"> and Leiter (2016) provided a theoretical framework explaining burnout as a response to chronic workplace stress. Their work is widely used in burnout research and helps explain how workplace stress leads to emotional exhaustion.</w:t>
      </w:r>
    </w:p>
    <w:p w14:paraId="1D5A2687" w14:textId="3BF39DD0" w:rsidR="00992130" w:rsidRPr="004C1597" w:rsidRDefault="00992130" w:rsidP="004C1597">
      <w:pPr>
        <w:spacing w:line="360" w:lineRule="auto"/>
        <w:rPr>
          <w:rFonts w:ascii="Arial" w:hAnsi="Arial" w:cs="Arial"/>
          <w:b/>
          <w:bCs/>
          <w:sz w:val="22"/>
          <w:szCs w:val="22"/>
        </w:rPr>
      </w:pPr>
      <w:r w:rsidRPr="004C1597">
        <w:rPr>
          <w:rFonts w:ascii="Arial" w:hAnsi="Arial" w:cs="Arial"/>
          <w:b/>
          <w:bCs/>
          <w:sz w:val="22"/>
          <w:szCs w:val="22"/>
        </w:rPr>
        <w:lastRenderedPageBreak/>
        <w:t>Thematic Analysis</w:t>
      </w:r>
    </w:p>
    <w:p w14:paraId="4D272D27" w14:textId="77777777" w:rsidR="00992130" w:rsidRPr="004C1597" w:rsidRDefault="00992130" w:rsidP="004C1597">
      <w:pPr>
        <w:spacing w:line="360" w:lineRule="auto"/>
        <w:rPr>
          <w:rFonts w:ascii="Arial" w:hAnsi="Arial" w:cs="Arial"/>
          <w:sz w:val="22"/>
          <w:szCs w:val="22"/>
        </w:rPr>
      </w:pPr>
      <w:r w:rsidRPr="004C1597">
        <w:rPr>
          <w:rFonts w:ascii="Arial" w:hAnsi="Arial" w:cs="Arial"/>
          <w:sz w:val="22"/>
          <w:szCs w:val="22"/>
        </w:rPr>
        <w:t>Three key themes were identified.</w:t>
      </w:r>
    </w:p>
    <w:p w14:paraId="5C80ADD8" w14:textId="6D47CE74" w:rsidR="00992130" w:rsidRPr="004C1597" w:rsidRDefault="00992130" w:rsidP="004C1597">
      <w:pPr>
        <w:spacing w:line="360" w:lineRule="auto"/>
        <w:rPr>
          <w:rFonts w:ascii="Arial" w:hAnsi="Arial" w:cs="Arial"/>
          <w:sz w:val="22"/>
          <w:szCs w:val="22"/>
        </w:rPr>
      </w:pPr>
      <w:r w:rsidRPr="004C1597">
        <w:rPr>
          <w:rFonts w:ascii="Arial" w:hAnsi="Arial" w:cs="Arial"/>
          <w:sz w:val="22"/>
          <w:szCs w:val="22"/>
        </w:rPr>
        <w:t>Theme 1: Workplace factors contributing to burnout</w:t>
      </w:r>
    </w:p>
    <w:p w14:paraId="4640391D" w14:textId="79D7A691" w:rsidR="00992130" w:rsidRPr="004C1597" w:rsidRDefault="00992130" w:rsidP="004C1597">
      <w:pPr>
        <w:spacing w:line="360" w:lineRule="auto"/>
        <w:rPr>
          <w:rFonts w:ascii="Arial" w:hAnsi="Arial" w:cs="Arial"/>
          <w:sz w:val="22"/>
          <w:szCs w:val="22"/>
        </w:rPr>
      </w:pPr>
      <w:r w:rsidRPr="004C1597">
        <w:rPr>
          <w:rFonts w:ascii="Arial" w:hAnsi="Arial" w:cs="Arial"/>
          <w:sz w:val="22"/>
          <w:szCs w:val="22"/>
        </w:rPr>
        <w:t xml:space="preserve">One of the most consistent findings across studies was the role of workplace stress in contributing to burnout. Heavy workload, staff shortages, and long working hours were identified as key factors (Imo, 2017). These conditions can lead to emotional exhaustion and reduced job </w:t>
      </w:r>
      <w:r w:rsidR="00D73B55" w:rsidRPr="004C1597">
        <w:rPr>
          <w:rFonts w:ascii="Arial" w:hAnsi="Arial" w:cs="Arial"/>
          <w:sz w:val="22"/>
          <w:szCs w:val="22"/>
        </w:rPr>
        <w:t>satisfaction. Healthcare</w:t>
      </w:r>
      <w:r w:rsidRPr="004C1597">
        <w:rPr>
          <w:rFonts w:ascii="Arial" w:hAnsi="Arial" w:cs="Arial"/>
          <w:sz w:val="22"/>
          <w:szCs w:val="22"/>
        </w:rPr>
        <w:t xml:space="preserve"> professionals often work in high-pressure environments where they must make critical decisions. When staff are overworked, their ability to cope with stress may decrease (Maslach and Leiter, 2016).</w:t>
      </w:r>
      <w:r w:rsidR="00D73B55" w:rsidRPr="004C1597">
        <w:rPr>
          <w:rFonts w:ascii="Arial" w:hAnsi="Arial" w:cs="Arial"/>
          <w:sz w:val="22"/>
          <w:szCs w:val="22"/>
        </w:rPr>
        <w:t xml:space="preserve"> </w:t>
      </w:r>
      <w:r w:rsidRPr="004C1597">
        <w:rPr>
          <w:rFonts w:ascii="Arial" w:hAnsi="Arial" w:cs="Arial"/>
          <w:sz w:val="22"/>
          <w:szCs w:val="22"/>
        </w:rPr>
        <w:t>Workplace changes during the COVID-19 pandemic also contributed to burnout. Gemine et al. (2021) found that organisational changes increased stress levels among NHS staff. Similarly, Ferry et al. (2020) reported that redeployment and exposure to COVID-19 patients increased burnout risk.</w:t>
      </w:r>
      <w:r w:rsidR="00D73B55" w:rsidRPr="004C1597">
        <w:rPr>
          <w:rFonts w:ascii="Arial" w:hAnsi="Arial" w:cs="Arial"/>
          <w:sz w:val="22"/>
          <w:szCs w:val="22"/>
        </w:rPr>
        <w:t xml:space="preserve"> </w:t>
      </w:r>
      <w:r w:rsidRPr="004C1597">
        <w:rPr>
          <w:rFonts w:ascii="Arial" w:hAnsi="Arial" w:cs="Arial"/>
          <w:sz w:val="22"/>
          <w:szCs w:val="22"/>
        </w:rPr>
        <w:t>Staff shortages may further increase workload. Workforce shortages in the NHS have been identified as a major contributor to staff stress and burnout (British Medical Association, 2021).</w:t>
      </w:r>
    </w:p>
    <w:p w14:paraId="253C6833" w14:textId="4A175AE8" w:rsidR="00992130" w:rsidRPr="004C1597" w:rsidRDefault="00992130" w:rsidP="004C1597">
      <w:pPr>
        <w:spacing w:line="360" w:lineRule="auto"/>
        <w:rPr>
          <w:rFonts w:ascii="Arial" w:hAnsi="Arial" w:cs="Arial"/>
          <w:b/>
          <w:bCs/>
          <w:sz w:val="22"/>
          <w:szCs w:val="22"/>
        </w:rPr>
      </w:pPr>
      <w:r w:rsidRPr="004C1597">
        <w:rPr>
          <w:rFonts w:ascii="Arial" w:hAnsi="Arial" w:cs="Arial"/>
          <w:b/>
          <w:bCs/>
          <w:sz w:val="22"/>
          <w:szCs w:val="22"/>
        </w:rPr>
        <w:t>Theme 2: Psychological impact on healthcare professionals</w:t>
      </w:r>
    </w:p>
    <w:p w14:paraId="6F73C22C" w14:textId="03C200B6" w:rsidR="00992130" w:rsidRPr="004C1597" w:rsidRDefault="00992130" w:rsidP="004C1597">
      <w:pPr>
        <w:spacing w:line="360" w:lineRule="auto"/>
        <w:rPr>
          <w:rFonts w:ascii="Arial" w:hAnsi="Arial" w:cs="Arial"/>
          <w:sz w:val="22"/>
          <w:szCs w:val="22"/>
        </w:rPr>
      </w:pPr>
      <w:r w:rsidRPr="004C1597">
        <w:rPr>
          <w:rFonts w:ascii="Arial" w:hAnsi="Arial" w:cs="Arial"/>
          <w:sz w:val="22"/>
          <w:szCs w:val="22"/>
        </w:rPr>
        <w:t>Burnout affects healthcare professionals’ mental health and wellbeing. Emotional exhaustion can lead to fatigue, reduced motivation, and decreased job satisfaction (Maslach and Leiter, 2016</w:t>
      </w:r>
      <w:proofErr w:type="gramStart"/>
      <w:r w:rsidRPr="004C1597">
        <w:rPr>
          <w:rFonts w:ascii="Arial" w:hAnsi="Arial" w:cs="Arial"/>
          <w:sz w:val="22"/>
          <w:szCs w:val="22"/>
        </w:rPr>
        <w:t>).Healthcare</w:t>
      </w:r>
      <w:proofErr w:type="gramEnd"/>
      <w:r w:rsidRPr="004C1597">
        <w:rPr>
          <w:rFonts w:ascii="Arial" w:hAnsi="Arial" w:cs="Arial"/>
          <w:sz w:val="22"/>
          <w:szCs w:val="22"/>
        </w:rPr>
        <w:t xml:space="preserve"> professionals experiencing burnout may also develop anxiety, depression, or emotional detachment (Montgomery et al., 2019). Emotional detachment can reduce empathy and negatively affect relationships with </w:t>
      </w:r>
      <w:r w:rsidR="00D73B55" w:rsidRPr="004C1597">
        <w:rPr>
          <w:rFonts w:ascii="Arial" w:hAnsi="Arial" w:cs="Arial"/>
          <w:sz w:val="22"/>
          <w:szCs w:val="22"/>
        </w:rPr>
        <w:t>patients. Ferry</w:t>
      </w:r>
      <w:r w:rsidRPr="004C1597">
        <w:rPr>
          <w:rFonts w:ascii="Arial" w:hAnsi="Arial" w:cs="Arial"/>
          <w:sz w:val="22"/>
          <w:szCs w:val="22"/>
        </w:rPr>
        <w:t xml:space="preserve"> et al. (2020) found that healthcare workers with previous mental health conditions were more likely to experience burnout. This suggests that individual vulnerability may influence burnout risk.</w:t>
      </w:r>
    </w:p>
    <w:p w14:paraId="39846635" w14:textId="3247CD93" w:rsidR="00992130" w:rsidRPr="004C1597" w:rsidRDefault="00992130" w:rsidP="004C1597">
      <w:pPr>
        <w:spacing w:line="360" w:lineRule="auto"/>
        <w:rPr>
          <w:rFonts w:ascii="Arial" w:hAnsi="Arial" w:cs="Arial"/>
          <w:b/>
          <w:bCs/>
          <w:sz w:val="22"/>
          <w:szCs w:val="22"/>
        </w:rPr>
      </w:pPr>
      <w:r w:rsidRPr="004C1597">
        <w:rPr>
          <w:rFonts w:ascii="Arial" w:hAnsi="Arial" w:cs="Arial"/>
          <w:b/>
          <w:bCs/>
          <w:sz w:val="22"/>
          <w:szCs w:val="22"/>
        </w:rPr>
        <w:t>Theme 3: Impact of burnout on patient care</w:t>
      </w:r>
    </w:p>
    <w:p w14:paraId="54734D93" w14:textId="71DAADB2" w:rsidR="00992130" w:rsidRPr="004C1597" w:rsidRDefault="00154CF2" w:rsidP="004C1597">
      <w:pPr>
        <w:spacing w:line="360" w:lineRule="auto"/>
        <w:rPr>
          <w:rFonts w:ascii="Arial" w:hAnsi="Arial" w:cs="Arial"/>
          <w:sz w:val="22"/>
          <w:szCs w:val="22"/>
        </w:rPr>
      </w:pPr>
      <w:r w:rsidRPr="00154CF2">
        <w:rPr>
          <w:rFonts w:ascii="Arial" w:hAnsi="Arial" w:cs="Arial"/>
          <w:sz w:val="22"/>
          <w:szCs w:val="22"/>
        </w:rPr>
        <w:t>Burnout has significant consequences for both patient safety and the overall quality of healthcare delivery</w:t>
      </w:r>
      <w:r w:rsidR="00992130" w:rsidRPr="004C1597">
        <w:rPr>
          <w:rFonts w:ascii="Arial" w:hAnsi="Arial" w:cs="Arial"/>
          <w:sz w:val="22"/>
          <w:szCs w:val="22"/>
        </w:rPr>
        <w:t xml:space="preserve">. </w:t>
      </w:r>
      <w:r w:rsidR="009273B7" w:rsidRPr="009273B7">
        <w:rPr>
          <w:rFonts w:ascii="Arial" w:hAnsi="Arial" w:cs="Arial"/>
          <w:sz w:val="22"/>
          <w:szCs w:val="22"/>
        </w:rPr>
        <w:t xml:space="preserve">Hall et al. (2016) identified a clear association between burnout and an increased likelihood of patient safety incidents, including clinical </w:t>
      </w:r>
      <w:proofErr w:type="gramStart"/>
      <w:r w:rsidR="009273B7" w:rsidRPr="009273B7">
        <w:rPr>
          <w:rFonts w:ascii="Arial" w:hAnsi="Arial" w:cs="Arial"/>
          <w:sz w:val="22"/>
          <w:szCs w:val="22"/>
        </w:rPr>
        <w:t>errors.</w:t>
      </w:r>
      <w:r w:rsidR="00992130" w:rsidRPr="004C1597">
        <w:rPr>
          <w:rFonts w:ascii="Arial" w:hAnsi="Arial" w:cs="Arial"/>
          <w:sz w:val="22"/>
          <w:szCs w:val="22"/>
        </w:rPr>
        <w:t>.</w:t>
      </w:r>
      <w:proofErr w:type="gramEnd"/>
      <w:r w:rsidR="00992130" w:rsidRPr="004C1597">
        <w:rPr>
          <w:rFonts w:ascii="Arial" w:hAnsi="Arial" w:cs="Arial"/>
          <w:sz w:val="22"/>
          <w:szCs w:val="22"/>
        </w:rPr>
        <w:t xml:space="preserve"> This suggests that burnout may reduce concentration and decision-making </w:t>
      </w:r>
      <w:proofErr w:type="spellStart"/>
      <w:proofErr w:type="gramStart"/>
      <w:r w:rsidR="00992130" w:rsidRPr="004C1597">
        <w:rPr>
          <w:rFonts w:ascii="Arial" w:hAnsi="Arial" w:cs="Arial"/>
          <w:sz w:val="22"/>
          <w:szCs w:val="22"/>
        </w:rPr>
        <w:t>ability.Burnout</w:t>
      </w:r>
      <w:proofErr w:type="spellEnd"/>
      <w:proofErr w:type="gramEnd"/>
      <w:r w:rsidR="00992130" w:rsidRPr="004C1597">
        <w:rPr>
          <w:rFonts w:ascii="Arial" w:hAnsi="Arial" w:cs="Arial"/>
          <w:sz w:val="22"/>
          <w:szCs w:val="22"/>
        </w:rPr>
        <w:t xml:space="preserve"> may also affect communication with patients. Healthcare professionals experiencing emotional exhaustion may have reduced emotional capacity to engage effectively with patients (</w:t>
      </w:r>
      <w:proofErr w:type="spellStart"/>
      <w:r w:rsidR="00992130" w:rsidRPr="004C1597">
        <w:rPr>
          <w:rFonts w:ascii="Arial" w:hAnsi="Arial" w:cs="Arial"/>
          <w:sz w:val="22"/>
          <w:szCs w:val="22"/>
        </w:rPr>
        <w:t>Panagioti</w:t>
      </w:r>
      <w:proofErr w:type="spellEnd"/>
      <w:r w:rsidR="00992130" w:rsidRPr="004C1597">
        <w:rPr>
          <w:rFonts w:ascii="Arial" w:hAnsi="Arial" w:cs="Arial"/>
          <w:sz w:val="22"/>
          <w:szCs w:val="22"/>
        </w:rPr>
        <w:t xml:space="preserve"> et al., 2018).</w:t>
      </w:r>
      <w:r w:rsidR="00D73B55" w:rsidRPr="004C1597">
        <w:rPr>
          <w:rFonts w:ascii="Arial" w:hAnsi="Arial" w:cs="Arial"/>
          <w:sz w:val="22"/>
          <w:szCs w:val="22"/>
        </w:rPr>
        <w:t xml:space="preserve"> </w:t>
      </w:r>
      <w:r w:rsidR="00992130" w:rsidRPr="004C1597">
        <w:rPr>
          <w:rFonts w:ascii="Arial" w:hAnsi="Arial" w:cs="Arial"/>
          <w:sz w:val="22"/>
          <w:szCs w:val="22"/>
        </w:rPr>
        <w:t>Reduced staff wellbeing may also affect teamwork. Effective teamwork is essential for patient safety, and burnout may negatively affect collaboration (West et al., 2019).</w:t>
      </w:r>
    </w:p>
    <w:p w14:paraId="564D55BE" w14:textId="77777777" w:rsidR="001A5A78" w:rsidRPr="004C1597" w:rsidRDefault="001A5A78" w:rsidP="004C1597">
      <w:pPr>
        <w:spacing w:line="360" w:lineRule="auto"/>
        <w:rPr>
          <w:rFonts w:ascii="Arial" w:hAnsi="Arial" w:cs="Arial"/>
          <w:b/>
          <w:bCs/>
          <w:sz w:val="22"/>
          <w:szCs w:val="22"/>
        </w:rPr>
      </w:pPr>
      <w:r w:rsidRPr="004C1597">
        <w:rPr>
          <w:rFonts w:ascii="Arial" w:hAnsi="Arial" w:cs="Arial"/>
          <w:b/>
          <w:bCs/>
          <w:sz w:val="22"/>
          <w:szCs w:val="22"/>
        </w:rPr>
        <w:lastRenderedPageBreak/>
        <w:t>5. Discussion</w:t>
      </w:r>
    </w:p>
    <w:p w14:paraId="508C49C8" w14:textId="688D4B95" w:rsidR="00A50C84" w:rsidRPr="004C1597" w:rsidRDefault="001A5A78" w:rsidP="004C1597">
      <w:pPr>
        <w:spacing w:line="360" w:lineRule="auto"/>
        <w:rPr>
          <w:rFonts w:ascii="Arial" w:hAnsi="Arial" w:cs="Arial"/>
          <w:sz w:val="22"/>
          <w:szCs w:val="22"/>
        </w:rPr>
      </w:pPr>
      <w:r w:rsidRPr="004C1597">
        <w:rPr>
          <w:rFonts w:ascii="Arial" w:hAnsi="Arial" w:cs="Arial"/>
          <w:sz w:val="22"/>
          <w:szCs w:val="22"/>
        </w:rPr>
        <w:t xml:space="preserve">This scoping review examined peer-reviewed research on burnout among healthcare professionals and its impact on patient care, with </w:t>
      </w:r>
      <w:proofErr w:type="gramStart"/>
      <w:r w:rsidRPr="004C1597">
        <w:rPr>
          <w:rFonts w:ascii="Arial" w:hAnsi="Arial" w:cs="Arial"/>
          <w:sz w:val="22"/>
          <w:szCs w:val="22"/>
        </w:rPr>
        <w:t>particular relevance</w:t>
      </w:r>
      <w:proofErr w:type="gramEnd"/>
      <w:r w:rsidRPr="004C1597">
        <w:rPr>
          <w:rFonts w:ascii="Arial" w:hAnsi="Arial" w:cs="Arial"/>
          <w:sz w:val="22"/>
          <w:szCs w:val="22"/>
        </w:rPr>
        <w:t xml:space="preserve"> to UK healthcare settings. The findings indicate that burnout is influenced by a combination of organisational, occupational, and individual factors.</w:t>
      </w:r>
      <w:r w:rsidR="00082A2B" w:rsidRPr="004C1597">
        <w:rPr>
          <w:rFonts w:ascii="Arial" w:hAnsi="Arial" w:cs="Arial"/>
          <w:sz w:val="22"/>
          <w:szCs w:val="22"/>
        </w:rPr>
        <w:t xml:space="preserve"> Burnout has been widely recognised as a global challenge affecting healthcare systems and requiring organisational strategies to support healthcare professionals and improve workplace wellbeing (West, Dyrbye and Shanafelt, 2018).</w:t>
      </w:r>
    </w:p>
    <w:p w14:paraId="1EB5F45A" w14:textId="190698E8" w:rsidR="00A50C84" w:rsidRPr="004C1597" w:rsidRDefault="00A50C84" w:rsidP="004C1597">
      <w:pPr>
        <w:spacing w:line="360" w:lineRule="auto"/>
        <w:rPr>
          <w:rFonts w:ascii="Arial" w:hAnsi="Arial" w:cs="Arial"/>
          <w:sz w:val="22"/>
          <w:szCs w:val="22"/>
        </w:rPr>
      </w:pPr>
      <w:r w:rsidRPr="004C1597">
        <w:rPr>
          <w:rFonts w:ascii="Arial" w:hAnsi="Arial" w:cs="Arial"/>
          <w:sz w:val="22"/>
          <w:szCs w:val="22"/>
        </w:rPr>
        <w:t>The findings of this review highlight the importance of recognising burnout as both an individual and organisational issue. While individual coping strategies such as stress management may help reduce burnout, organisational changes are also necessary. Improving staffing levels, providing mental health support, and promoting supportive leadership may help reduce burnout risk (National Health Service England, 2020). Organisational interventions may be more effective than focusing solely on individual resilience.</w:t>
      </w:r>
      <w:r w:rsidR="00CE04A9" w:rsidRPr="004C1597">
        <w:rPr>
          <w:rFonts w:ascii="Arial" w:hAnsi="Arial" w:cs="Arial"/>
          <w:sz w:val="22"/>
          <w:szCs w:val="22"/>
        </w:rPr>
        <w:t xml:space="preserve"> </w:t>
      </w:r>
      <w:r w:rsidRPr="004C1597">
        <w:rPr>
          <w:rFonts w:ascii="Arial" w:hAnsi="Arial" w:cs="Arial"/>
          <w:sz w:val="22"/>
          <w:szCs w:val="22"/>
        </w:rPr>
        <w:t>Burnout may also affect professional performance. Emotional exhaustion may reduce attention and increase fatigue, potentially affecting clinical decision-making (</w:t>
      </w:r>
      <w:proofErr w:type="spellStart"/>
      <w:r w:rsidRPr="004C1597">
        <w:rPr>
          <w:rFonts w:ascii="Arial" w:hAnsi="Arial" w:cs="Arial"/>
          <w:sz w:val="22"/>
          <w:szCs w:val="22"/>
        </w:rPr>
        <w:t>Panagioti</w:t>
      </w:r>
      <w:proofErr w:type="spellEnd"/>
      <w:r w:rsidRPr="004C1597">
        <w:rPr>
          <w:rFonts w:ascii="Arial" w:hAnsi="Arial" w:cs="Arial"/>
          <w:sz w:val="22"/>
          <w:szCs w:val="22"/>
        </w:rPr>
        <w:t xml:space="preserve"> et al., 2018). Healthcare professionals experiencing burnout may also experience reduced motivation and engagement, which may affect productivity (Dyrbye et al., 2017). Supporting healthcare professionals’ wellbeing may therefore improve both staff wellbeing and healthcare quality.</w:t>
      </w:r>
    </w:p>
    <w:p w14:paraId="6EDAAF66" w14:textId="2F64FEB6" w:rsidR="001A5A78" w:rsidRPr="004C1597" w:rsidRDefault="001A5A78" w:rsidP="004C1597">
      <w:pPr>
        <w:spacing w:line="360" w:lineRule="auto"/>
        <w:rPr>
          <w:rFonts w:ascii="Arial" w:hAnsi="Arial" w:cs="Arial"/>
          <w:sz w:val="22"/>
          <w:szCs w:val="22"/>
        </w:rPr>
      </w:pPr>
      <w:r w:rsidRPr="004C1597">
        <w:rPr>
          <w:rFonts w:ascii="Arial" w:hAnsi="Arial" w:cs="Arial"/>
          <w:sz w:val="22"/>
          <w:szCs w:val="22"/>
        </w:rPr>
        <w:t xml:space="preserve"> These findings are consistent with previous research showing that burnout is a complex issue requiring organisational-level solutions rather than focusing solely on individual coping strategies (Maslach and Leiter, 2016).</w:t>
      </w:r>
      <w:r w:rsidR="00D73B55" w:rsidRPr="004C1597">
        <w:rPr>
          <w:rFonts w:ascii="Arial" w:hAnsi="Arial" w:cs="Arial"/>
          <w:sz w:val="22"/>
          <w:szCs w:val="22"/>
        </w:rPr>
        <w:t xml:space="preserve"> </w:t>
      </w:r>
      <w:r w:rsidRPr="004C1597">
        <w:rPr>
          <w:rFonts w:ascii="Arial" w:hAnsi="Arial" w:cs="Arial"/>
          <w:sz w:val="22"/>
          <w:szCs w:val="22"/>
        </w:rPr>
        <w:t>Workplace conditions were identified as one of the most important contributors to burnout. Studies included in this review highlighted heavy workload, staffing shortages, and workplace stress as key risk factors (Imo, 2017; Gemine et al., 2021). These findings reflect wider concerns regarding NHS workforce pressures. When staffing levels are insufficient, healthcare professionals must manage more patients and work longer hours, increasing fatigue and stress levels (British Medical Association, 2021). Over time, prolonged exposure to these conditions may lead to emotional exhaustion, which is a central component of burnout (Maslach and Leiter, 2016).</w:t>
      </w:r>
      <w:r w:rsidR="00D73B55" w:rsidRPr="004C1597">
        <w:rPr>
          <w:rFonts w:ascii="Arial" w:hAnsi="Arial" w:cs="Arial"/>
          <w:sz w:val="22"/>
          <w:szCs w:val="22"/>
        </w:rPr>
        <w:t xml:space="preserve"> </w:t>
      </w:r>
      <w:r w:rsidRPr="004C1597">
        <w:rPr>
          <w:rFonts w:ascii="Arial" w:hAnsi="Arial" w:cs="Arial"/>
          <w:sz w:val="22"/>
          <w:szCs w:val="22"/>
        </w:rPr>
        <w:t xml:space="preserve">The COVID-19 pandemic further increased workplace stress. Healthcare professionals faced increased workloads, redeployment, and exposure to high-risk environments (Ferry et al., 2020). These rapid changes created uncertainty and increased psychological stress. Similar findings have been reported in international studies, which found that healthcare workers experienced increased burnout during the pandemic due to increased workload and emotional stress (Lasalvia et al., 2021). These findings highlight the </w:t>
      </w:r>
      <w:r w:rsidRPr="004C1597">
        <w:rPr>
          <w:rFonts w:ascii="Arial" w:hAnsi="Arial" w:cs="Arial"/>
          <w:sz w:val="22"/>
          <w:szCs w:val="22"/>
        </w:rPr>
        <w:lastRenderedPageBreak/>
        <w:t>importance of organisational preparedness and staff support during healthcare crises.</w:t>
      </w:r>
      <w:r w:rsidR="00D73B55" w:rsidRPr="004C1597">
        <w:rPr>
          <w:rFonts w:ascii="Arial" w:hAnsi="Arial" w:cs="Arial"/>
          <w:sz w:val="22"/>
          <w:szCs w:val="22"/>
        </w:rPr>
        <w:t xml:space="preserve"> </w:t>
      </w:r>
      <w:r w:rsidRPr="004C1597">
        <w:rPr>
          <w:rFonts w:ascii="Arial" w:hAnsi="Arial" w:cs="Arial"/>
          <w:sz w:val="22"/>
          <w:szCs w:val="22"/>
        </w:rPr>
        <w:t>Burnout was also found to have significant implications for patient care. Hall et al. (2016) reported that burnout was associated with increased patient safety incidents. When healthcare professionals experience emotional exhaustion, their ability to concentrate and make decisions may be reduced. This increases the risk of clinical errors (</w:t>
      </w:r>
      <w:proofErr w:type="spellStart"/>
      <w:r w:rsidRPr="004C1597">
        <w:rPr>
          <w:rFonts w:ascii="Arial" w:hAnsi="Arial" w:cs="Arial"/>
          <w:sz w:val="22"/>
          <w:szCs w:val="22"/>
        </w:rPr>
        <w:t>Panagioti</w:t>
      </w:r>
      <w:proofErr w:type="spellEnd"/>
      <w:r w:rsidRPr="004C1597">
        <w:rPr>
          <w:rFonts w:ascii="Arial" w:hAnsi="Arial" w:cs="Arial"/>
          <w:sz w:val="22"/>
          <w:szCs w:val="22"/>
        </w:rPr>
        <w:t xml:space="preserve"> et al., 2018). Patient safety depends on healthcare professionals’ ability to maintain attention, communicate effectively, and work collaboratively. Burnout may reduce these abilities, potentially affecting healthcare outcomes.</w:t>
      </w:r>
      <w:r w:rsidR="00D73B55" w:rsidRPr="004C1597">
        <w:rPr>
          <w:rFonts w:ascii="Arial" w:hAnsi="Arial" w:cs="Arial"/>
          <w:sz w:val="22"/>
          <w:szCs w:val="22"/>
        </w:rPr>
        <w:t xml:space="preserve"> </w:t>
      </w:r>
      <w:r w:rsidRPr="004C1597">
        <w:rPr>
          <w:rFonts w:ascii="Arial" w:hAnsi="Arial" w:cs="Arial"/>
          <w:sz w:val="22"/>
          <w:szCs w:val="22"/>
        </w:rPr>
        <w:t>Burnout may also affect communication between healthcare professionals and patients. Emotional exhaustion and depersonalisation may reduce empathy, affecting the quality of patient interactions (Montgomery et al., 2019). Effective communication is essential for accurate diagnosis and treatment, and reduced communication quality may negatively affect patient outcomes.</w:t>
      </w:r>
    </w:p>
    <w:p w14:paraId="08FAA078" w14:textId="66F5A31F" w:rsidR="0085450B" w:rsidRPr="004C1597" w:rsidRDefault="001A5A78" w:rsidP="004C1597">
      <w:pPr>
        <w:spacing w:line="360" w:lineRule="auto"/>
        <w:rPr>
          <w:rFonts w:ascii="Arial" w:hAnsi="Arial" w:cs="Arial"/>
          <w:sz w:val="22"/>
          <w:szCs w:val="22"/>
        </w:rPr>
      </w:pPr>
      <w:r w:rsidRPr="004C1597">
        <w:rPr>
          <w:rFonts w:ascii="Arial" w:hAnsi="Arial" w:cs="Arial"/>
          <w:sz w:val="22"/>
          <w:szCs w:val="22"/>
        </w:rPr>
        <w:t>Another important issue is staff retention. Healthcare professionals experiencing burnout may be more likely to leave their jobs or reduce their working hours (West et al., 2019). This contributes to workforce shortages, which further increase workload for remaining staff. This creates a cycle in which burnout contributes to staffing shortages, and staffing shortages contribute to burnout.</w:t>
      </w:r>
      <w:r w:rsidR="00093211" w:rsidRPr="004C1597">
        <w:rPr>
          <w:rFonts w:ascii="Arial" w:hAnsi="Arial" w:cs="Arial"/>
          <w:sz w:val="22"/>
          <w:szCs w:val="22"/>
        </w:rPr>
        <w:t xml:space="preserve"> </w:t>
      </w:r>
      <w:r w:rsidR="0085450B" w:rsidRPr="004C1597">
        <w:rPr>
          <w:rFonts w:ascii="Arial" w:hAnsi="Arial" w:cs="Arial"/>
          <w:sz w:val="22"/>
          <w:szCs w:val="22"/>
        </w:rPr>
        <w:t xml:space="preserve">Burnout prevention requires a proactive approach. Early identification of burnout symptoms may help healthcare organisations provide support before burnout becomes severe. Providing access to mental health services and encouraging open discussion of wellbeing may reduce stigma and encourage staff to seek support (West et al., 2019). Improving working conditions may also help reduce burnout </w:t>
      </w:r>
      <w:r w:rsidR="00093211" w:rsidRPr="004C1597">
        <w:rPr>
          <w:rFonts w:ascii="Arial" w:hAnsi="Arial" w:cs="Arial"/>
          <w:sz w:val="22"/>
          <w:szCs w:val="22"/>
        </w:rPr>
        <w:t>risk. Healthcare</w:t>
      </w:r>
      <w:r w:rsidR="0085450B" w:rsidRPr="004C1597">
        <w:rPr>
          <w:rFonts w:ascii="Arial" w:hAnsi="Arial" w:cs="Arial"/>
          <w:sz w:val="22"/>
          <w:szCs w:val="22"/>
        </w:rPr>
        <w:t xml:space="preserve"> systems that prioritise staff wellbeing may be better able to provide safe and effective patient care. Supporting healthcare professionals may help improve job satisfaction, reduce staff turnover, and improve patient outcomes (Hall et al., 2016). Addressing burnout is therefore essential for maintaining a sustainable healthcare workforce.</w:t>
      </w:r>
    </w:p>
    <w:p w14:paraId="5654BCD2" w14:textId="48DC87DC" w:rsidR="001A5A78" w:rsidRPr="004C1597" w:rsidRDefault="001A5A78" w:rsidP="004C1597">
      <w:pPr>
        <w:spacing w:line="360" w:lineRule="auto"/>
        <w:rPr>
          <w:rFonts w:ascii="Arial" w:hAnsi="Arial" w:cs="Arial"/>
          <w:sz w:val="22"/>
          <w:szCs w:val="22"/>
        </w:rPr>
      </w:pPr>
      <w:r w:rsidRPr="004C1597">
        <w:rPr>
          <w:rFonts w:ascii="Arial" w:hAnsi="Arial" w:cs="Arial"/>
          <w:sz w:val="22"/>
          <w:szCs w:val="22"/>
        </w:rPr>
        <w:t xml:space="preserve">This review has several strengths. It used a systematic search strategy and included peer-reviewed research studies. Using thematic analysis helped identify common patterns across studies (Aveyard, 2014). However, there are also limitations. Only five studies were included in detailed analysis, and some studies were conducted outside the UK. In addition, many studies used self-reported burnout measures, which may introduce </w:t>
      </w:r>
      <w:r w:rsidR="0085450B" w:rsidRPr="004C1597">
        <w:rPr>
          <w:rFonts w:ascii="Arial" w:hAnsi="Arial" w:cs="Arial"/>
          <w:sz w:val="22"/>
          <w:szCs w:val="22"/>
        </w:rPr>
        <w:t>bias. Despite</w:t>
      </w:r>
      <w:r w:rsidRPr="004C1597">
        <w:rPr>
          <w:rFonts w:ascii="Arial" w:hAnsi="Arial" w:cs="Arial"/>
          <w:sz w:val="22"/>
          <w:szCs w:val="22"/>
        </w:rPr>
        <w:t xml:space="preserve"> these limitations, the findings provide important insights into burnout among healthcare professionals and its implications for patient care. Addressing burnout requires organisational interventions such as improving staffing levels, providing mental health support, and promoting supportive leadership </w:t>
      </w:r>
      <w:r w:rsidRPr="004C1597">
        <w:rPr>
          <w:rFonts w:ascii="Arial" w:hAnsi="Arial" w:cs="Arial"/>
          <w:sz w:val="22"/>
          <w:szCs w:val="22"/>
        </w:rPr>
        <w:lastRenderedPageBreak/>
        <w:t>(National Health Service, 2020).</w:t>
      </w:r>
      <w:r w:rsidR="004C5599" w:rsidRPr="004C1597">
        <w:rPr>
          <w:rFonts w:ascii="Arial" w:hAnsi="Arial" w:cs="Arial"/>
          <w:sz w:val="22"/>
          <w:szCs w:val="22"/>
        </w:rPr>
        <w:t xml:space="preserve"> The importance of supporting healthcare workforce wellbeing has also been emphasised globally, as maintaining a healthy workforce is essential for delivering safe and effective patient care (World Health Organization, 2020).</w:t>
      </w:r>
    </w:p>
    <w:p w14:paraId="5F979502" w14:textId="4A570786" w:rsidR="001A5A78" w:rsidRPr="004C1597" w:rsidRDefault="001A5A78" w:rsidP="004C1597">
      <w:pPr>
        <w:spacing w:line="360" w:lineRule="auto"/>
        <w:rPr>
          <w:rFonts w:ascii="Arial" w:hAnsi="Arial" w:cs="Arial"/>
          <w:b/>
          <w:bCs/>
          <w:sz w:val="22"/>
          <w:szCs w:val="22"/>
        </w:rPr>
      </w:pPr>
      <w:r w:rsidRPr="004C1597">
        <w:rPr>
          <w:rFonts w:ascii="Arial" w:hAnsi="Arial" w:cs="Arial"/>
          <w:b/>
          <w:bCs/>
          <w:sz w:val="22"/>
          <w:szCs w:val="22"/>
        </w:rPr>
        <w:t>6. Conclusion</w:t>
      </w:r>
    </w:p>
    <w:p w14:paraId="7E689C89" w14:textId="7B18013E" w:rsidR="001A5A78" w:rsidRPr="004C1597" w:rsidRDefault="001A5A78" w:rsidP="004C1597">
      <w:pPr>
        <w:spacing w:line="360" w:lineRule="auto"/>
        <w:rPr>
          <w:rFonts w:ascii="Arial" w:hAnsi="Arial" w:cs="Arial"/>
          <w:sz w:val="22"/>
          <w:szCs w:val="22"/>
        </w:rPr>
      </w:pPr>
      <w:r w:rsidRPr="004C1597">
        <w:rPr>
          <w:rFonts w:ascii="Arial" w:hAnsi="Arial" w:cs="Arial"/>
          <w:sz w:val="22"/>
          <w:szCs w:val="22"/>
        </w:rPr>
        <w:t>Burnout is a significant issue affecting healthcare professionals and healthcare systems in the United Kingdom. This scoping review identified key themes related to workplace stress, psychological impact, and patient care consequences. Heavy workload, staffing shortages, and organisational pressures were identified as major contributors to burnout (Gemine et al., 2021; Imo, 2017). The COVID-19 pandemic further increased burnout risk due to increased workplace stress (Ferry et al., 2020).</w:t>
      </w:r>
      <w:r w:rsidR="00D73B55" w:rsidRPr="004C1597">
        <w:rPr>
          <w:rFonts w:ascii="Arial" w:hAnsi="Arial" w:cs="Arial"/>
          <w:sz w:val="22"/>
          <w:szCs w:val="22"/>
        </w:rPr>
        <w:t xml:space="preserve"> </w:t>
      </w:r>
      <w:r w:rsidRPr="004C1597">
        <w:rPr>
          <w:rFonts w:ascii="Arial" w:hAnsi="Arial" w:cs="Arial"/>
          <w:sz w:val="22"/>
          <w:szCs w:val="22"/>
        </w:rPr>
        <w:t xml:space="preserve">Burnout was also found to affect patient care. Healthcare professionals experiencing burnout may have reduced concentration, increased risk of medical errors, and reduced communication with patients (Hall et al., 2016; </w:t>
      </w:r>
      <w:proofErr w:type="spellStart"/>
      <w:r w:rsidRPr="004C1597">
        <w:rPr>
          <w:rFonts w:ascii="Arial" w:hAnsi="Arial" w:cs="Arial"/>
          <w:sz w:val="22"/>
          <w:szCs w:val="22"/>
        </w:rPr>
        <w:t>Panagioti</w:t>
      </w:r>
      <w:proofErr w:type="spellEnd"/>
      <w:r w:rsidRPr="004C1597">
        <w:rPr>
          <w:rFonts w:ascii="Arial" w:hAnsi="Arial" w:cs="Arial"/>
          <w:sz w:val="22"/>
          <w:szCs w:val="22"/>
        </w:rPr>
        <w:t xml:space="preserve"> et al., 2018). This highlights the importance of addressing burnout to protect both healthcare professionals and patients.</w:t>
      </w:r>
      <w:r w:rsidR="001E3273" w:rsidRPr="004C1597">
        <w:rPr>
          <w:rFonts w:ascii="Arial" w:hAnsi="Arial" w:cs="Arial"/>
          <w:sz w:val="22"/>
          <w:szCs w:val="22"/>
        </w:rPr>
        <w:t xml:space="preserve"> </w:t>
      </w:r>
      <w:r w:rsidRPr="004C1597">
        <w:rPr>
          <w:rFonts w:ascii="Arial" w:hAnsi="Arial" w:cs="Arial"/>
          <w:sz w:val="22"/>
          <w:szCs w:val="22"/>
        </w:rPr>
        <w:t>Burnout also contributes to workforce shortages, as healthcare professionals experiencing burnout may leave their jobs (West et al., 2019). This creates further pressure on healthcare systems.</w:t>
      </w:r>
      <w:r w:rsidR="001E3273" w:rsidRPr="004C1597">
        <w:rPr>
          <w:rFonts w:ascii="Arial" w:hAnsi="Arial" w:cs="Arial"/>
          <w:sz w:val="22"/>
          <w:szCs w:val="22"/>
        </w:rPr>
        <w:t xml:space="preserve"> </w:t>
      </w:r>
      <w:r w:rsidRPr="004C1597">
        <w:rPr>
          <w:rFonts w:ascii="Arial" w:hAnsi="Arial" w:cs="Arial"/>
          <w:sz w:val="22"/>
          <w:szCs w:val="22"/>
        </w:rPr>
        <w:t>Addressing burnout is essential for maintaining safe and effective healthcare services. Healthcare organisations must recognise burnout as an organisational issue and implement strategies to support staff wellbeing.</w:t>
      </w:r>
    </w:p>
    <w:p w14:paraId="663768E2" w14:textId="293BA95D" w:rsidR="001A5A78" w:rsidRPr="004C1597" w:rsidRDefault="001A5A78" w:rsidP="004C1597">
      <w:pPr>
        <w:spacing w:line="360" w:lineRule="auto"/>
        <w:rPr>
          <w:rFonts w:ascii="Arial" w:hAnsi="Arial" w:cs="Arial"/>
          <w:b/>
          <w:bCs/>
          <w:sz w:val="22"/>
          <w:szCs w:val="22"/>
        </w:rPr>
      </w:pPr>
      <w:r w:rsidRPr="004C1597">
        <w:rPr>
          <w:rFonts w:ascii="Arial" w:hAnsi="Arial" w:cs="Arial"/>
          <w:b/>
          <w:bCs/>
          <w:sz w:val="22"/>
          <w:szCs w:val="22"/>
        </w:rPr>
        <w:t>7. Recommendations</w:t>
      </w:r>
    </w:p>
    <w:p w14:paraId="2E4B1351" w14:textId="77777777" w:rsidR="001A5A78" w:rsidRPr="004C1597" w:rsidRDefault="001A5A78" w:rsidP="004C1597">
      <w:pPr>
        <w:spacing w:line="360" w:lineRule="auto"/>
        <w:rPr>
          <w:rFonts w:ascii="Arial" w:hAnsi="Arial" w:cs="Arial"/>
          <w:sz w:val="22"/>
          <w:szCs w:val="22"/>
        </w:rPr>
      </w:pPr>
      <w:r w:rsidRPr="004C1597">
        <w:rPr>
          <w:rFonts w:ascii="Arial" w:hAnsi="Arial" w:cs="Arial"/>
          <w:sz w:val="22"/>
          <w:szCs w:val="22"/>
        </w:rPr>
        <w:t>Based on the findings of this review, several recommendations can be made.</w:t>
      </w:r>
    </w:p>
    <w:p w14:paraId="17C3C3A4" w14:textId="77777777" w:rsidR="001A5A78" w:rsidRPr="004C1597" w:rsidRDefault="001A5A78" w:rsidP="004C1597">
      <w:pPr>
        <w:spacing w:line="360" w:lineRule="auto"/>
        <w:rPr>
          <w:rFonts w:ascii="Arial" w:hAnsi="Arial" w:cs="Arial"/>
          <w:sz w:val="22"/>
          <w:szCs w:val="22"/>
        </w:rPr>
      </w:pPr>
      <w:r w:rsidRPr="004C1597">
        <w:rPr>
          <w:rFonts w:ascii="Arial" w:hAnsi="Arial" w:cs="Arial"/>
          <w:sz w:val="22"/>
          <w:szCs w:val="22"/>
        </w:rPr>
        <w:t>Healthcare organisations should improve staffing levels to reduce workload pressure. Adequate staffing allows healthcare professionals to perform their duties safely and reduces stress (British Medical Association, 2021).</w:t>
      </w:r>
    </w:p>
    <w:p w14:paraId="302D29F6" w14:textId="77777777" w:rsidR="001A5A78" w:rsidRPr="004C1597" w:rsidRDefault="001A5A78" w:rsidP="004C1597">
      <w:pPr>
        <w:spacing w:line="360" w:lineRule="auto"/>
        <w:rPr>
          <w:rFonts w:ascii="Arial" w:hAnsi="Arial" w:cs="Arial"/>
          <w:sz w:val="22"/>
          <w:szCs w:val="22"/>
        </w:rPr>
      </w:pPr>
      <w:r w:rsidRPr="004C1597">
        <w:rPr>
          <w:rFonts w:ascii="Arial" w:hAnsi="Arial" w:cs="Arial"/>
          <w:sz w:val="22"/>
          <w:szCs w:val="22"/>
        </w:rPr>
        <w:t>Healthcare organisations should provide mental health support services for staff. Access to psychological support may help reduce burnout risk (National Health Service, 2020).</w:t>
      </w:r>
    </w:p>
    <w:p w14:paraId="773BE251" w14:textId="605BF7BA" w:rsidR="00992130" w:rsidRPr="004C1597" w:rsidRDefault="001A5A78" w:rsidP="004C1597">
      <w:pPr>
        <w:spacing w:line="360" w:lineRule="auto"/>
        <w:rPr>
          <w:rFonts w:ascii="Arial" w:hAnsi="Arial" w:cs="Arial"/>
          <w:sz w:val="22"/>
          <w:szCs w:val="22"/>
        </w:rPr>
      </w:pPr>
      <w:r w:rsidRPr="004C1597">
        <w:rPr>
          <w:rFonts w:ascii="Arial" w:hAnsi="Arial" w:cs="Arial"/>
          <w:sz w:val="22"/>
          <w:szCs w:val="22"/>
        </w:rPr>
        <w:t>Leadership also plays an important role. Supportive leadership and positive workplace culture may reduce burnout and improve staff wellbeing (West et al., 2019</w:t>
      </w:r>
      <w:proofErr w:type="gramStart"/>
      <w:r w:rsidRPr="004C1597">
        <w:rPr>
          <w:rFonts w:ascii="Arial" w:hAnsi="Arial" w:cs="Arial"/>
          <w:sz w:val="22"/>
          <w:szCs w:val="22"/>
        </w:rPr>
        <w:t>).Future</w:t>
      </w:r>
      <w:proofErr w:type="gramEnd"/>
      <w:r w:rsidRPr="004C1597">
        <w:rPr>
          <w:rFonts w:ascii="Arial" w:hAnsi="Arial" w:cs="Arial"/>
          <w:sz w:val="22"/>
          <w:szCs w:val="22"/>
        </w:rPr>
        <w:t xml:space="preserve"> research should focus on UK-specific studies examining burnout and patient outcomes. Longitudinal research is needed to understand long-term </w:t>
      </w:r>
      <w:r w:rsidR="001E3273" w:rsidRPr="004C1597">
        <w:rPr>
          <w:rFonts w:ascii="Arial" w:hAnsi="Arial" w:cs="Arial"/>
          <w:sz w:val="22"/>
          <w:szCs w:val="22"/>
        </w:rPr>
        <w:t>effects. Healthcare</w:t>
      </w:r>
      <w:r w:rsidRPr="004C1597">
        <w:rPr>
          <w:rFonts w:ascii="Arial" w:hAnsi="Arial" w:cs="Arial"/>
          <w:sz w:val="22"/>
          <w:szCs w:val="22"/>
        </w:rPr>
        <w:t xml:space="preserve"> policy makers should prioritise workforce wellbeing to ensure safe patient care.</w:t>
      </w:r>
    </w:p>
    <w:p w14:paraId="6335C6B3" w14:textId="42624007" w:rsidR="00620CA1" w:rsidRPr="004C1597" w:rsidRDefault="00620CA1" w:rsidP="004C1597">
      <w:pPr>
        <w:spacing w:line="360" w:lineRule="auto"/>
        <w:rPr>
          <w:rFonts w:ascii="Arial" w:hAnsi="Arial" w:cs="Arial"/>
          <w:b/>
          <w:bCs/>
          <w:sz w:val="22"/>
          <w:szCs w:val="22"/>
        </w:rPr>
      </w:pPr>
      <w:r w:rsidRPr="004C1597">
        <w:rPr>
          <w:rFonts w:ascii="Arial" w:hAnsi="Arial" w:cs="Arial"/>
          <w:b/>
          <w:bCs/>
          <w:sz w:val="22"/>
          <w:szCs w:val="22"/>
        </w:rPr>
        <w:t>References</w:t>
      </w:r>
    </w:p>
    <w:p w14:paraId="7FC094F0" w14:textId="316773FF" w:rsidR="00A7715D" w:rsidRPr="004C1597" w:rsidRDefault="00650C2A" w:rsidP="004C1597">
      <w:pPr>
        <w:spacing w:line="360" w:lineRule="auto"/>
        <w:rPr>
          <w:rFonts w:ascii="Arial" w:hAnsi="Arial" w:cs="Arial"/>
          <w:sz w:val="22"/>
          <w:szCs w:val="22"/>
        </w:rPr>
      </w:pPr>
      <w:r w:rsidRPr="004C1597">
        <w:rPr>
          <w:rFonts w:ascii="Arial" w:hAnsi="Arial" w:cs="Arial"/>
          <w:sz w:val="22"/>
          <w:szCs w:val="22"/>
        </w:rPr>
        <w:lastRenderedPageBreak/>
        <w:t>Aveyard, H. (2014).</w:t>
      </w:r>
      <w:r w:rsidR="00A7715D" w:rsidRPr="004C1597">
        <w:rPr>
          <w:rFonts w:ascii="Arial" w:hAnsi="Arial" w:cs="Arial"/>
          <w:sz w:val="22"/>
          <w:szCs w:val="22"/>
        </w:rPr>
        <w:t xml:space="preserve"> </w:t>
      </w:r>
      <w:r w:rsidRPr="004C1597">
        <w:rPr>
          <w:rFonts w:ascii="Arial" w:hAnsi="Arial" w:cs="Arial"/>
          <w:sz w:val="22"/>
          <w:szCs w:val="22"/>
        </w:rPr>
        <w:t>Doing a literature review in health and social care: A practical guide. 3rd ed. Maidenhead: Open University Press.</w:t>
      </w:r>
      <w:r w:rsidR="00A7715D" w:rsidRPr="004C1597">
        <w:rPr>
          <w:rFonts w:ascii="Arial" w:hAnsi="Arial" w:cs="Arial"/>
          <w:sz w:val="22"/>
          <w:szCs w:val="22"/>
        </w:rPr>
        <w:t xml:space="preserve"> </w:t>
      </w:r>
      <w:r w:rsidRPr="004C1597">
        <w:rPr>
          <w:rFonts w:ascii="Arial" w:hAnsi="Arial" w:cs="Arial"/>
          <w:sz w:val="22"/>
          <w:szCs w:val="22"/>
        </w:rPr>
        <w:t xml:space="preserve">Available at: </w:t>
      </w:r>
      <w:hyperlink r:id="rId5" w:history="1">
        <w:r w:rsidR="0002372E" w:rsidRPr="004C1597">
          <w:rPr>
            <w:rStyle w:val="Hyperlink"/>
            <w:rFonts w:ascii="Arial" w:hAnsi="Arial" w:cs="Arial"/>
            <w:sz w:val="22"/>
            <w:szCs w:val="22"/>
          </w:rPr>
          <w:t>Doing a Literature Review in Health and Social Care: A Practical Guide 5e</w:t>
        </w:r>
      </w:hyperlink>
      <w:r w:rsidR="00A7715D" w:rsidRPr="004C1597">
        <w:rPr>
          <w:rFonts w:ascii="Arial" w:hAnsi="Arial" w:cs="Arial"/>
          <w:sz w:val="22"/>
          <w:szCs w:val="22"/>
        </w:rPr>
        <w:t xml:space="preserve"> </w:t>
      </w:r>
      <w:r w:rsidRPr="004C1597">
        <w:rPr>
          <w:rFonts w:ascii="Arial" w:hAnsi="Arial" w:cs="Arial"/>
          <w:sz w:val="22"/>
          <w:szCs w:val="22"/>
        </w:rPr>
        <w:t xml:space="preserve">(Accessed: </w:t>
      </w:r>
      <w:r w:rsidR="00702F91" w:rsidRPr="004C1597">
        <w:rPr>
          <w:rFonts w:ascii="Arial" w:hAnsi="Arial" w:cs="Arial"/>
          <w:sz w:val="22"/>
          <w:szCs w:val="22"/>
        </w:rPr>
        <w:t>07 March 2026</w:t>
      </w:r>
      <w:r w:rsidRPr="004C1597">
        <w:rPr>
          <w:rFonts w:ascii="Arial" w:hAnsi="Arial" w:cs="Arial"/>
          <w:sz w:val="22"/>
          <w:szCs w:val="22"/>
        </w:rPr>
        <w:t>).</w:t>
      </w:r>
    </w:p>
    <w:p w14:paraId="1EE6FFFF" w14:textId="3E1326B4"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British Medical Association (2021).</w:t>
      </w:r>
      <w:r w:rsidR="002424B7" w:rsidRPr="004C1597">
        <w:rPr>
          <w:rFonts w:ascii="Arial" w:hAnsi="Arial" w:cs="Arial"/>
          <w:sz w:val="22"/>
          <w:szCs w:val="22"/>
        </w:rPr>
        <w:t xml:space="preserve"> </w:t>
      </w:r>
      <w:r w:rsidRPr="004C1597">
        <w:rPr>
          <w:rFonts w:ascii="Arial" w:hAnsi="Arial" w:cs="Arial"/>
          <w:sz w:val="22"/>
          <w:szCs w:val="22"/>
        </w:rPr>
        <w:t>NHS workforce pressures and staff burnout.</w:t>
      </w:r>
      <w:r w:rsidR="002424B7" w:rsidRPr="004C1597">
        <w:rPr>
          <w:rFonts w:ascii="Arial" w:hAnsi="Arial" w:cs="Arial"/>
          <w:sz w:val="22"/>
          <w:szCs w:val="22"/>
        </w:rPr>
        <w:t xml:space="preserve"> </w:t>
      </w:r>
      <w:r w:rsidRPr="004C1597">
        <w:rPr>
          <w:rFonts w:ascii="Arial" w:hAnsi="Arial" w:cs="Arial"/>
          <w:sz w:val="22"/>
          <w:szCs w:val="22"/>
        </w:rPr>
        <w:t xml:space="preserve">Available at: </w:t>
      </w:r>
      <w:hyperlink r:id="rId6" w:history="1">
        <w:r w:rsidR="002424B7" w:rsidRPr="004C1597">
          <w:rPr>
            <w:rStyle w:val="Hyperlink"/>
            <w:rFonts w:ascii="Arial" w:hAnsi="Arial" w:cs="Arial"/>
            <w:sz w:val="22"/>
            <w:szCs w:val="22"/>
          </w:rPr>
          <w:t>https://www.bma.org.uk/advice-and-support/nhs-delivery-and-workforce/workforce/workforce-report</w:t>
        </w:r>
      </w:hyperlink>
      <w:r w:rsidR="002424B7" w:rsidRPr="004C1597">
        <w:rPr>
          <w:rFonts w:ascii="Arial" w:hAnsi="Arial" w:cs="Arial"/>
          <w:sz w:val="22"/>
          <w:szCs w:val="22"/>
        </w:rPr>
        <w:t xml:space="preserve"> </w:t>
      </w:r>
      <w:r w:rsidRPr="004C1597">
        <w:rPr>
          <w:rFonts w:ascii="Arial" w:hAnsi="Arial" w:cs="Arial"/>
          <w:sz w:val="22"/>
          <w:szCs w:val="22"/>
        </w:rPr>
        <w:t>(Accessed:</w:t>
      </w:r>
      <w:r w:rsidR="003F7BB8" w:rsidRPr="004C1597">
        <w:rPr>
          <w:rFonts w:ascii="Arial" w:hAnsi="Arial" w:cs="Arial"/>
          <w:sz w:val="22"/>
          <w:szCs w:val="22"/>
        </w:rPr>
        <w:t>07 March</w:t>
      </w:r>
      <w:r w:rsidRPr="004C1597">
        <w:rPr>
          <w:rFonts w:ascii="Arial" w:hAnsi="Arial" w:cs="Arial"/>
          <w:sz w:val="22"/>
          <w:szCs w:val="22"/>
        </w:rPr>
        <w:t>).</w:t>
      </w:r>
    </w:p>
    <w:p w14:paraId="13D24409" w14:textId="2A76E026"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Deakin, M. (2022).</w:t>
      </w:r>
      <w:r w:rsidR="008210E6" w:rsidRPr="004C1597">
        <w:rPr>
          <w:rFonts w:ascii="Arial" w:hAnsi="Arial" w:cs="Arial"/>
          <w:sz w:val="22"/>
          <w:szCs w:val="22"/>
        </w:rPr>
        <w:t xml:space="preserve"> </w:t>
      </w:r>
      <w:r w:rsidRPr="004C1597">
        <w:rPr>
          <w:rFonts w:ascii="Arial" w:hAnsi="Arial" w:cs="Arial"/>
          <w:sz w:val="22"/>
          <w:szCs w:val="22"/>
        </w:rPr>
        <w:t>NHS workforce shortages and the impact on staff. BMJ, 377, o945.</w:t>
      </w:r>
      <w:r w:rsidR="008210E6" w:rsidRPr="004C1597">
        <w:rPr>
          <w:rFonts w:ascii="Arial" w:hAnsi="Arial" w:cs="Arial"/>
          <w:sz w:val="22"/>
          <w:szCs w:val="22"/>
        </w:rPr>
        <w:t xml:space="preserve"> </w:t>
      </w:r>
      <w:r w:rsidRPr="004C1597">
        <w:rPr>
          <w:rFonts w:ascii="Arial" w:hAnsi="Arial" w:cs="Arial"/>
          <w:sz w:val="22"/>
          <w:szCs w:val="22"/>
        </w:rPr>
        <w:t xml:space="preserve">Available at: </w:t>
      </w:r>
      <w:hyperlink r:id="rId7" w:history="1">
        <w:r w:rsidR="008210E6" w:rsidRPr="004C1597">
          <w:rPr>
            <w:rStyle w:val="Hyperlink"/>
            <w:rFonts w:ascii="Arial" w:hAnsi="Arial" w:cs="Arial"/>
            <w:sz w:val="22"/>
            <w:szCs w:val="22"/>
          </w:rPr>
          <w:t>https://www.bmj.com/content/377/bmj.o945</w:t>
        </w:r>
      </w:hyperlink>
      <w:r w:rsidR="008210E6" w:rsidRPr="004C1597">
        <w:rPr>
          <w:rFonts w:ascii="Arial" w:hAnsi="Arial" w:cs="Arial"/>
          <w:sz w:val="22"/>
          <w:szCs w:val="22"/>
        </w:rPr>
        <w:t xml:space="preserve"> </w:t>
      </w:r>
      <w:r w:rsidRPr="004C1597">
        <w:rPr>
          <w:rFonts w:ascii="Arial" w:hAnsi="Arial" w:cs="Arial"/>
          <w:sz w:val="22"/>
          <w:szCs w:val="22"/>
        </w:rPr>
        <w:t xml:space="preserve">(Accessed: </w:t>
      </w:r>
      <w:r w:rsidR="00671AA6" w:rsidRPr="004C1597">
        <w:rPr>
          <w:rFonts w:ascii="Arial" w:hAnsi="Arial" w:cs="Arial"/>
          <w:sz w:val="22"/>
          <w:szCs w:val="22"/>
        </w:rPr>
        <w:t>22 February 2026</w:t>
      </w:r>
      <w:r w:rsidRPr="004C1597">
        <w:rPr>
          <w:rFonts w:ascii="Arial" w:hAnsi="Arial" w:cs="Arial"/>
          <w:sz w:val="22"/>
          <w:szCs w:val="22"/>
        </w:rPr>
        <w:t>).</w:t>
      </w:r>
    </w:p>
    <w:p w14:paraId="7E6CC9E4" w14:textId="305EE223"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Dyrbye, L.N., West, C.P., Satele, D. et al. (2017).</w:t>
      </w:r>
      <w:r w:rsidR="005458F5" w:rsidRPr="004C1597">
        <w:rPr>
          <w:rFonts w:ascii="Arial" w:hAnsi="Arial" w:cs="Arial"/>
          <w:sz w:val="22"/>
          <w:szCs w:val="22"/>
        </w:rPr>
        <w:t xml:space="preserve"> </w:t>
      </w:r>
      <w:r w:rsidRPr="004C1597">
        <w:rPr>
          <w:rFonts w:ascii="Arial" w:hAnsi="Arial" w:cs="Arial"/>
          <w:sz w:val="22"/>
          <w:szCs w:val="22"/>
        </w:rPr>
        <w:t>Burnout among healthcare professionals: a systematic review. Academic Medicine.</w:t>
      </w:r>
      <w:r w:rsidR="005458F5" w:rsidRPr="004C1597">
        <w:rPr>
          <w:rFonts w:ascii="Arial" w:hAnsi="Arial" w:cs="Arial"/>
          <w:sz w:val="22"/>
          <w:szCs w:val="22"/>
        </w:rPr>
        <w:t xml:space="preserve"> </w:t>
      </w:r>
      <w:r w:rsidRPr="004C1597">
        <w:rPr>
          <w:rFonts w:ascii="Arial" w:hAnsi="Arial" w:cs="Arial"/>
          <w:sz w:val="22"/>
          <w:szCs w:val="22"/>
        </w:rPr>
        <w:t xml:space="preserve">Available at: </w:t>
      </w:r>
      <w:hyperlink r:id="rId8" w:history="1">
        <w:r w:rsidR="005458F5" w:rsidRPr="004C1597">
          <w:rPr>
            <w:rStyle w:val="Hyperlink"/>
            <w:rFonts w:ascii="Arial" w:hAnsi="Arial" w:cs="Arial"/>
            <w:sz w:val="22"/>
            <w:szCs w:val="22"/>
          </w:rPr>
          <w:t>https://pubmed.ncbi.nlm.nih.gov/28198767/</w:t>
        </w:r>
      </w:hyperlink>
      <w:r w:rsidR="005458F5" w:rsidRPr="004C1597">
        <w:rPr>
          <w:rFonts w:ascii="Arial" w:hAnsi="Arial" w:cs="Arial"/>
          <w:sz w:val="22"/>
          <w:szCs w:val="22"/>
        </w:rPr>
        <w:t xml:space="preserve"> </w:t>
      </w:r>
      <w:r w:rsidRPr="004C1597">
        <w:rPr>
          <w:rFonts w:ascii="Arial" w:hAnsi="Arial" w:cs="Arial"/>
          <w:sz w:val="22"/>
          <w:szCs w:val="22"/>
        </w:rPr>
        <w:t xml:space="preserve">(Accessed: </w:t>
      </w:r>
      <w:r w:rsidR="005458F5" w:rsidRPr="004C1597">
        <w:rPr>
          <w:rFonts w:ascii="Arial" w:hAnsi="Arial" w:cs="Arial"/>
          <w:sz w:val="22"/>
          <w:szCs w:val="22"/>
        </w:rPr>
        <w:t>22 February 2026</w:t>
      </w:r>
      <w:r w:rsidRPr="004C1597">
        <w:rPr>
          <w:rFonts w:ascii="Arial" w:hAnsi="Arial" w:cs="Arial"/>
          <w:sz w:val="22"/>
          <w:szCs w:val="22"/>
        </w:rPr>
        <w:t>).</w:t>
      </w:r>
    </w:p>
    <w:p w14:paraId="7C236986" w14:textId="666C3835"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Ferry, A.V., Wereski, R., Strachan, F.E. et al. (2020).</w:t>
      </w:r>
      <w:r w:rsidR="0080143D" w:rsidRPr="004C1597">
        <w:rPr>
          <w:rFonts w:ascii="Arial" w:hAnsi="Arial" w:cs="Arial"/>
          <w:sz w:val="22"/>
          <w:szCs w:val="22"/>
        </w:rPr>
        <w:t xml:space="preserve"> </w:t>
      </w:r>
      <w:r w:rsidRPr="004C1597">
        <w:rPr>
          <w:rFonts w:ascii="Arial" w:hAnsi="Arial" w:cs="Arial"/>
          <w:sz w:val="22"/>
          <w:szCs w:val="22"/>
        </w:rPr>
        <w:t>Predictors of burnout among UK healthcare workers during COVID-19. BMJ Open.</w:t>
      </w:r>
      <w:r w:rsidR="0080143D" w:rsidRPr="004C1597">
        <w:rPr>
          <w:rFonts w:ascii="Arial" w:hAnsi="Arial" w:cs="Arial"/>
          <w:sz w:val="22"/>
          <w:szCs w:val="22"/>
        </w:rPr>
        <w:t xml:space="preserve"> </w:t>
      </w:r>
      <w:r w:rsidRPr="004C1597">
        <w:rPr>
          <w:rFonts w:ascii="Arial" w:hAnsi="Arial" w:cs="Arial"/>
          <w:sz w:val="22"/>
          <w:szCs w:val="22"/>
        </w:rPr>
        <w:t xml:space="preserve">Available at: </w:t>
      </w:r>
      <w:hyperlink r:id="rId9" w:history="1">
        <w:r w:rsidR="0080143D" w:rsidRPr="004C1597">
          <w:rPr>
            <w:rStyle w:val="Hyperlink"/>
            <w:rFonts w:ascii="Arial" w:hAnsi="Arial" w:cs="Arial"/>
            <w:sz w:val="22"/>
            <w:szCs w:val="22"/>
          </w:rPr>
          <w:t>https://pmc.ncbi.nlm.nih.gov/articles/PMC8083639/</w:t>
        </w:r>
      </w:hyperlink>
      <w:r w:rsidR="00671AA6" w:rsidRPr="004C1597">
        <w:rPr>
          <w:rFonts w:ascii="Arial" w:hAnsi="Arial" w:cs="Arial"/>
          <w:sz w:val="22"/>
          <w:szCs w:val="22"/>
        </w:rPr>
        <w:t xml:space="preserve"> </w:t>
      </w:r>
      <w:r w:rsidRPr="004C1597">
        <w:rPr>
          <w:rFonts w:ascii="Arial" w:hAnsi="Arial" w:cs="Arial"/>
          <w:sz w:val="22"/>
          <w:szCs w:val="22"/>
        </w:rPr>
        <w:t>(Accessed:</w:t>
      </w:r>
      <w:r w:rsidR="0080143D" w:rsidRPr="004C1597">
        <w:rPr>
          <w:rFonts w:ascii="Arial" w:hAnsi="Arial" w:cs="Arial"/>
          <w:sz w:val="22"/>
          <w:szCs w:val="22"/>
        </w:rPr>
        <w:t>23 February 2026</w:t>
      </w:r>
      <w:r w:rsidRPr="004C1597">
        <w:rPr>
          <w:rFonts w:ascii="Arial" w:hAnsi="Arial" w:cs="Arial"/>
          <w:sz w:val="22"/>
          <w:szCs w:val="22"/>
        </w:rPr>
        <w:t>).</w:t>
      </w:r>
    </w:p>
    <w:p w14:paraId="16CA6F5D" w14:textId="0119C9D9"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Gemine, R., Davies, G.R., Tarrant, S. et al. (2021).</w:t>
      </w:r>
      <w:r w:rsidR="00B80374" w:rsidRPr="004C1597">
        <w:rPr>
          <w:rFonts w:ascii="Arial" w:hAnsi="Arial" w:cs="Arial"/>
          <w:sz w:val="22"/>
          <w:szCs w:val="22"/>
        </w:rPr>
        <w:t xml:space="preserve"> </w:t>
      </w:r>
      <w:r w:rsidRPr="004C1597">
        <w:rPr>
          <w:rFonts w:ascii="Arial" w:hAnsi="Arial" w:cs="Arial"/>
          <w:sz w:val="22"/>
          <w:szCs w:val="22"/>
        </w:rPr>
        <w:t>Factors associated with burnout in NHS staff during COVID-19. BMJ Open, 11(1).</w:t>
      </w:r>
      <w:r w:rsidR="00B80374" w:rsidRPr="004C1597">
        <w:rPr>
          <w:rFonts w:ascii="Arial" w:hAnsi="Arial" w:cs="Arial"/>
          <w:sz w:val="22"/>
          <w:szCs w:val="22"/>
        </w:rPr>
        <w:t xml:space="preserve"> </w:t>
      </w:r>
      <w:r w:rsidRPr="004C1597">
        <w:rPr>
          <w:rFonts w:ascii="Arial" w:hAnsi="Arial" w:cs="Arial"/>
          <w:sz w:val="22"/>
          <w:szCs w:val="22"/>
        </w:rPr>
        <w:t>Available at:</w:t>
      </w:r>
      <w:r w:rsidR="0080143D" w:rsidRPr="004C1597">
        <w:rPr>
          <w:rFonts w:ascii="Arial" w:hAnsi="Arial" w:cs="Arial"/>
          <w:sz w:val="22"/>
          <w:szCs w:val="22"/>
        </w:rPr>
        <w:t xml:space="preserve"> </w:t>
      </w:r>
      <w:hyperlink r:id="rId10" w:history="1">
        <w:r w:rsidR="0080143D" w:rsidRPr="004C1597">
          <w:rPr>
            <w:rStyle w:val="Hyperlink"/>
            <w:rFonts w:ascii="Arial" w:hAnsi="Arial" w:cs="Arial"/>
            <w:sz w:val="22"/>
            <w:szCs w:val="22"/>
          </w:rPr>
          <w:t>https://pmc.ncbi.nlm.nih.gov/articles/PMC7844932/</w:t>
        </w:r>
      </w:hyperlink>
      <w:r w:rsidR="00B80374" w:rsidRPr="004C1597">
        <w:rPr>
          <w:rFonts w:ascii="Arial" w:hAnsi="Arial" w:cs="Arial"/>
          <w:sz w:val="22"/>
          <w:szCs w:val="22"/>
        </w:rPr>
        <w:t xml:space="preserve"> </w:t>
      </w:r>
      <w:r w:rsidRPr="004C1597">
        <w:rPr>
          <w:rFonts w:ascii="Arial" w:hAnsi="Arial" w:cs="Arial"/>
          <w:sz w:val="22"/>
          <w:szCs w:val="22"/>
        </w:rPr>
        <w:t>(Accessed:</w:t>
      </w:r>
      <w:r w:rsidR="0080143D" w:rsidRPr="004C1597">
        <w:rPr>
          <w:rFonts w:ascii="Arial" w:hAnsi="Arial" w:cs="Arial"/>
          <w:sz w:val="22"/>
          <w:szCs w:val="22"/>
        </w:rPr>
        <w:t>23 February 2026</w:t>
      </w:r>
      <w:r w:rsidRPr="004C1597">
        <w:rPr>
          <w:rFonts w:ascii="Arial" w:hAnsi="Arial" w:cs="Arial"/>
          <w:sz w:val="22"/>
          <w:szCs w:val="22"/>
        </w:rPr>
        <w:t>).</w:t>
      </w:r>
    </w:p>
    <w:p w14:paraId="4BEC7184" w14:textId="4E2BF42D"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 xml:space="preserve">Hall, L.H., Johnson, J., Watt, I., </w:t>
      </w:r>
      <w:proofErr w:type="spellStart"/>
      <w:r w:rsidRPr="004C1597">
        <w:rPr>
          <w:rFonts w:ascii="Arial" w:hAnsi="Arial" w:cs="Arial"/>
          <w:sz w:val="22"/>
          <w:szCs w:val="22"/>
        </w:rPr>
        <w:t>Tsipa</w:t>
      </w:r>
      <w:proofErr w:type="spellEnd"/>
      <w:r w:rsidRPr="004C1597">
        <w:rPr>
          <w:rFonts w:ascii="Arial" w:hAnsi="Arial" w:cs="Arial"/>
          <w:sz w:val="22"/>
          <w:szCs w:val="22"/>
        </w:rPr>
        <w:t>, A. and O’Connor, D.B. (2016).</w:t>
      </w:r>
      <w:r w:rsidR="00001848" w:rsidRPr="004C1597">
        <w:rPr>
          <w:rFonts w:ascii="Arial" w:hAnsi="Arial" w:cs="Arial"/>
          <w:sz w:val="22"/>
          <w:szCs w:val="22"/>
        </w:rPr>
        <w:t xml:space="preserve"> </w:t>
      </w:r>
      <w:r w:rsidRPr="004C1597">
        <w:rPr>
          <w:rFonts w:ascii="Arial" w:hAnsi="Arial" w:cs="Arial"/>
          <w:sz w:val="22"/>
          <w:szCs w:val="22"/>
        </w:rPr>
        <w:t>Healthcare staff wellbeing, burnout, and patient safety: a systematic review. PLOS ONE, 11(7).</w:t>
      </w:r>
      <w:r w:rsidR="00001848" w:rsidRPr="004C1597">
        <w:rPr>
          <w:rFonts w:ascii="Arial" w:hAnsi="Arial" w:cs="Arial"/>
          <w:sz w:val="22"/>
          <w:szCs w:val="22"/>
        </w:rPr>
        <w:t xml:space="preserve"> </w:t>
      </w:r>
      <w:r w:rsidRPr="004C1597">
        <w:rPr>
          <w:rFonts w:ascii="Arial" w:hAnsi="Arial" w:cs="Arial"/>
          <w:sz w:val="22"/>
          <w:szCs w:val="22"/>
        </w:rPr>
        <w:t>Available at:</w:t>
      </w:r>
      <w:r w:rsidR="0080143D" w:rsidRPr="004C1597">
        <w:rPr>
          <w:rFonts w:ascii="Arial" w:hAnsi="Arial" w:cs="Arial"/>
          <w:sz w:val="22"/>
          <w:szCs w:val="22"/>
        </w:rPr>
        <w:t xml:space="preserve"> </w:t>
      </w:r>
      <w:hyperlink r:id="rId11" w:history="1">
        <w:r w:rsidR="0080143D" w:rsidRPr="004C1597">
          <w:rPr>
            <w:rStyle w:val="Hyperlink"/>
            <w:rFonts w:ascii="Arial" w:hAnsi="Arial" w:cs="Arial"/>
            <w:sz w:val="22"/>
            <w:szCs w:val="22"/>
          </w:rPr>
          <w:t>https://journals.plos.org/plosone/article?id=10.1371/journal.pone.0159015</w:t>
        </w:r>
      </w:hyperlink>
      <w:r w:rsidR="00001848" w:rsidRPr="004C1597">
        <w:rPr>
          <w:rFonts w:ascii="Arial" w:hAnsi="Arial" w:cs="Arial"/>
          <w:sz w:val="22"/>
          <w:szCs w:val="22"/>
        </w:rPr>
        <w:t xml:space="preserve"> </w:t>
      </w:r>
      <w:r w:rsidRPr="004C1597">
        <w:rPr>
          <w:rFonts w:ascii="Arial" w:hAnsi="Arial" w:cs="Arial"/>
          <w:sz w:val="22"/>
          <w:szCs w:val="22"/>
        </w:rPr>
        <w:t>(Accessed:</w:t>
      </w:r>
      <w:r w:rsidR="00B80374" w:rsidRPr="004C1597">
        <w:rPr>
          <w:rFonts w:ascii="Arial" w:hAnsi="Arial" w:cs="Arial"/>
          <w:sz w:val="22"/>
          <w:szCs w:val="22"/>
        </w:rPr>
        <w:t>04 March 2026</w:t>
      </w:r>
      <w:r w:rsidRPr="004C1597">
        <w:rPr>
          <w:rFonts w:ascii="Arial" w:hAnsi="Arial" w:cs="Arial"/>
          <w:sz w:val="22"/>
          <w:szCs w:val="22"/>
        </w:rPr>
        <w:t>).</w:t>
      </w:r>
    </w:p>
    <w:p w14:paraId="6D9DF5CB" w14:textId="0003444D"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Imo, U.O. (2017).</w:t>
      </w:r>
      <w:r w:rsidR="00CC7F22" w:rsidRPr="004C1597">
        <w:rPr>
          <w:rFonts w:ascii="Arial" w:hAnsi="Arial" w:cs="Arial"/>
          <w:sz w:val="22"/>
          <w:szCs w:val="22"/>
        </w:rPr>
        <w:t xml:space="preserve"> </w:t>
      </w:r>
      <w:r w:rsidRPr="004C1597">
        <w:rPr>
          <w:rFonts w:ascii="Arial" w:hAnsi="Arial" w:cs="Arial"/>
          <w:sz w:val="22"/>
          <w:szCs w:val="22"/>
        </w:rPr>
        <w:t xml:space="preserve">Burnout and psychiatric morbidity among doctors in the UK: a systematic review. </w:t>
      </w:r>
      <w:proofErr w:type="spellStart"/>
      <w:r w:rsidRPr="004C1597">
        <w:rPr>
          <w:rFonts w:ascii="Arial" w:hAnsi="Arial" w:cs="Arial"/>
          <w:sz w:val="22"/>
          <w:szCs w:val="22"/>
        </w:rPr>
        <w:t>BJPsych</w:t>
      </w:r>
      <w:proofErr w:type="spellEnd"/>
      <w:r w:rsidRPr="004C1597">
        <w:rPr>
          <w:rFonts w:ascii="Arial" w:hAnsi="Arial" w:cs="Arial"/>
          <w:sz w:val="22"/>
          <w:szCs w:val="22"/>
        </w:rPr>
        <w:t xml:space="preserve"> Bulletin, 41(4), pp.197–204.</w:t>
      </w:r>
      <w:r w:rsidR="00CC7F22" w:rsidRPr="004C1597">
        <w:rPr>
          <w:rFonts w:ascii="Arial" w:hAnsi="Arial" w:cs="Arial"/>
          <w:sz w:val="22"/>
          <w:szCs w:val="22"/>
        </w:rPr>
        <w:t xml:space="preserve"> </w:t>
      </w:r>
      <w:r w:rsidRPr="004C1597">
        <w:rPr>
          <w:rFonts w:ascii="Arial" w:hAnsi="Arial" w:cs="Arial"/>
          <w:sz w:val="22"/>
          <w:szCs w:val="22"/>
        </w:rPr>
        <w:t>Available at:</w:t>
      </w:r>
      <w:r w:rsidR="00CC7F22" w:rsidRPr="004C1597">
        <w:rPr>
          <w:rFonts w:ascii="Arial" w:hAnsi="Arial" w:cs="Arial"/>
          <w:sz w:val="22"/>
          <w:szCs w:val="22"/>
        </w:rPr>
        <w:t xml:space="preserve"> </w:t>
      </w:r>
      <w:hyperlink r:id="rId12" w:history="1">
        <w:r w:rsidR="00CC7F22" w:rsidRPr="004C1597">
          <w:rPr>
            <w:rStyle w:val="Hyperlink"/>
            <w:rFonts w:ascii="Arial" w:hAnsi="Arial" w:cs="Arial"/>
            <w:sz w:val="22"/>
            <w:szCs w:val="22"/>
          </w:rPr>
          <w:t>https://pmc.ncbi.nlm.nih.gov/articles/PMC5537573/</w:t>
        </w:r>
      </w:hyperlink>
      <w:r w:rsidR="00CC7F22" w:rsidRPr="004C1597">
        <w:rPr>
          <w:rFonts w:ascii="Arial" w:hAnsi="Arial" w:cs="Arial"/>
          <w:sz w:val="22"/>
          <w:szCs w:val="22"/>
        </w:rPr>
        <w:t xml:space="preserve"> </w:t>
      </w:r>
      <w:r w:rsidRPr="004C1597">
        <w:rPr>
          <w:rFonts w:ascii="Arial" w:hAnsi="Arial" w:cs="Arial"/>
          <w:sz w:val="22"/>
          <w:szCs w:val="22"/>
        </w:rPr>
        <w:t xml:space="preserve">(Accessed: </w:t>
      </w:r>
      <w:r w:rsidR="00001848" w:rsidRPr="004C1597">
        <w:rPr>
          <w:rFonts w:ascii="Arial" w:hAnsi="Arial" w:cs="Arial"/>
          <w:sz w:val="22"/>
          <w:szCs w:val="22"/>
        </w:rPr>
        <w:t xml:space="preserve">04 March </w:t>
      </w:r>
      <w:proofErr w:type="gramStart"/>
      <w:r w:rsidR="00001848" w:rsidRPr="004C1597">
        <w:rPr>
          <w:rFonts w:ascii="Arial" w:hAnsi="Arial" w:cs="Arial"/>
          <w:sz w:val="22"/>
          <w:szCs w:val="22"/>
        </w:rPr>
        <w:t xml:space="preserve">2026 </w:t>
      </w:r>
      <w:r w:rsidRPr="004C1597">
        <w:rPr>
          <w:rFonts w:ascii="Arial" w:hAnsi="Arial" w:cs="Arial"/>
          <w:sz w:val="22"/>
          <w:szCs w:val="22"/>
        </w:rPr>
        <w:t>)</w:t>
      </w:r>
      <w:proofErr w:type="gramEnd"/>
      <w:r w:rsidRPr="004C1597">
        <w:rPr>
          <w:rFonts w:ascii="Arial" w:hAnsi="Arial" w:cs="Arial"/>
          <w:sz w:val="22"/>
          <w:szCs w:val="22"/>
        </w:rPr>
        <w:t>.</w:t>
      </w:r>
    </w:p>
    <w:p w14:paraId="57DCCC2D" w14:textId="77777777" w:rsidR="00B80374" w:rsidRPr="004C1597" w:rsidRDefault="00650C2A" w:rsidP="004C1597">
      <w:pPr>
        <w:spacing w:line="360" w:lineRule="auto"/>
        <w:rPr>
          <w:rFonts w:ascii="Arial" w:hAnsi="Arial" w:cs="Arial"/>
          <w:sz w:val="22"/>
          <w:szCs w:val="22"/>
        </w:rPr>
      </w:pPr>
      <w:r w:rsidRPr="004C1597">
        <w:rPr>
          <w:rFonts w:ascii="Arial" w:hAnsi="Arial" w:cs="Arial"/>
          <w:sz w:val="22"/>
          <w:szCs w:val="22"/>
        </w:rPr>
        <w:t>Kinman, G. and Teoh, K. (2020).</w:t>
      </w:r>
      <w:r w:rsidR="007E249A" w:rsidRPr="004C1597">
        <w:rPr>
          <w:rFonts w:ascii="Arial" w:hAnsi="Arial" w:cs="Arial"/>
          <w:sz w:val="22"/>
          <w:szCs w:val="22"/>
        </w:rPr>
        <w:t xml:space="preserve"> </w:t>
      </w:r>
      <w:r w:rsidRPr="004C1597">
        <w:rPr>
          <w:rFonts w:ascii="Arial" w:hAnsi="Arial" w:cs="Arial"/>
          <w:sz w:val="22"/>
          <w:szCs w:val="22"/>
        </w:rPr>
        <w:t>What could make a difference to the mental health of UK doctors? BMJ Open.</w:t>
      </w:r>
      <w:r w:rsidR="007E249A" w:rsidRPr="004C1597">
        <w:rPr>
          <w:rFonts w:ascii="Arial" w:hAnsi="Arial" w:cs="Arial"/>
          <w:sz w:val="22"/>
          <w:szCs w:val="22"/>
        </w:rPr>
        <w:t xml:space="preserve"> </w:t>
      </w:r>
      <w:r w:rsidRPr="004C1597">
        <w:rPr>
          <w:rFonts w:ascii="Arial" w:hAnsi="Arial" w:cs="Arial"/>
          <w:sz w:val="22"/>
          <w:szCs w:val="22"/>
        </w:rPr>
        <w:t xml:space="preserve">Available at: </w:t>
      </w:r>
      <w:hyperlink r:id="rId13" w:history="1">
        <w:r w:rsidR="007E249A" w:rsidRPr="004C1597">
          <w:rPr>
            <w:rStyle w:val="Hyperlink"/>
            <w:rFonts w:ascii="Arial" w:hAnsi="Arial" w:cs="Arial"/>
            <w:sz w:val="22"/>
            <w:szCs w:val="22"/>
          </w:rPr>
          <w:t>https://pmc.ncbi.nlm.nih.gov/articles/PMC7559167/</w:t>
        </w:r>
      </w:hyperlink>
      <w:r w:rsidR="007E249A" w:rsidRPr="004C1597">
        <w:rPr>
          <w:rFonts w:ascii="Arial" w:hAnsi="Arial" w:cs="Arial"/>
          <w:sz w:val="22"/>
          <w:szCs w:val="22"/>
        </w:rPr>
        <w:t xml:space="preserve"> </w:t>
      </w:r>
      <w:r w:rsidRPr="004C1597">
        <w:rPr>
          <w:rFonts w:ascii="Arial" w:hAnsi="Arial" w:cs="Arial"/>
          <w:sz w:val="22"/>
          <w:szCs w:val="22"/>
        </w:rPr>
        <w:t>(Accessed:</w:t>
      </w:r>
      <w:r w:rsidR="007E249A" w:rsidRPr="004C1597">
        <w:rPr>
          <w:rFonts w:ascii="Arial" w:hAnsi="Arial" w:cs="Arial"/>
          <w:sz w:val="22"/>
          <w:szCs w:val="22"/>
        </w:rPr>
        <w:t>06 March 2026</w:t>
      </w:r>
      <w:r w:rsidRPr="004C1597">
        <w:rPr>
          <w:rFonts w:ascii="Arial" w:hAnsi="Arial" w:cs="Arial"/>
          <w:sz w:val="22"/>
          <w:szCs w:val="22"/>
        </w:rPr>
        <w:t>).</w:t>
      </w:r>
    </w:p>
    <w:p w14:paraId="531F3889" w14:textId="0B0B9EEE" w:rsidR="00316D6E" w:rsidRPr="004C1597" w:rsidRDefault="00650C2A" w:rsidP="004C1597">
      <w:pPr>
        <w:spacing w:line="360" w:lineRule="auto"/>
        <w:rPr>
          <w:rFonts w:ascii="Arial" w:hAnsi="Arial" w:cs="Arial"/>
          <w:sz w:val="22"/>
          <w:szCs w:val="22"/>
        </w:rPr>
      </w:pPr>
      <w:r w:rsidRPr="004C1597">
        <w:rPr>
          <w:rFonts w:ascii="Arial" w:hAnsi="Arial" w:cs="Arial"/>
          <w:sz w:val="22"/>
          <w:szCs w:val="22"/>
        </w:rPr>
        <w:t xml:space="preserve">Lasalvia, A., </w:t>
      </w:r>
      <w:proofErr w:type="spellStart"/>
      <w:r w:rsidRPr="004C1597">
        <w:rPr>
          <w:rFonts w:ascii="Arial" w:hAnsi="Arial" w:cs="Arial"/>
          <w:sz w:val="22"/>
          <w:szCs w:val="22"/>
        </w:rPr>
        <w:t>Amaddeo</w:t>
      </w:r>
      <w:proofErr w:type="spellEnd"/>
      <w:r w:rsidRPr="004C1597">
        <w:rPr>
          <w:rFonts w:ascii="Arial" w:hAnsi="Arial" w:cs="Arial"/>
          <w:sz w:val="22"/>
          <w:szCs w:val="22"/>
        </w:rPr>
        <w:t xml:space="preserve">, F., </w:t>
      </w:r>
      <w:proofErr w:type="spellStart"/>
      <w:r w:rsidRPr="004C1597">
        <w:rPr>
          <w:rFonts w:ascii="Arial" w:hAnsi="Arial" w:cs="Arial"/>
          <w:sz w:val="22"/>
          <w:szCs w:val="22"/>
        </w:rPr>
        <w:t>Porru</w:t>
      </w:r>
      <w:proofErr w:type="spellEnd"/>
      <w:r w:rsidRPr="004C1597">
        <w:rPr>
          <w:rFonts w:ascii="Arial" w:hAnsi="Arial" w:cs="Arial"/>
          <w:sz w:val="22"/>
          <w:szCs w:val="22"/>
        </w:rPr>
        <w:t>, S. et al. (2021).</w:t>
      </w:r>
      <w:r w:rsidR="003A5541" w:rsidRPr="004C1597">
        <w:rPr>
          <w:rFonts w:ascii="Arial" w:hAnsi="Arial" w:cs="Arial"/>
          <w:sz w:val="22"/>
          <w:szCs w:val="22"/>
        </w:rPr>
        <w:t xml:space="preserve"> </w:t>
      </w:r>
      <w:r w:rsidRPr="004C1597">
        <w:rPr>
          <w:rFonts w:ascii="Arial" w:hAnsi="Arial" w:cs="Arial"/>
          <w:sz w:val="22"/>
          <w:szCs w:val="22"/>
        </w:rPr>
        <w:t>Levels of burnout among healthcare workers during COVID-19. BMJ Open, 11.</w:t>
      </w:r>
      <w:r w:rsidR="003A5541" w:rsidRPr="004C1597">
        <w:rPr>
          <w:rFonts w:ascii="Arial" w:hAnsi="Arial" w:cs="Arial"/>
          <w:sz w:val="22"/>
          <w:szCs w:val="22"/>
        </w:rPr>
        <w:t xml:space="preserve"> </w:t>
      </w:r>
      <w:r w:rsidRPr="004C1597">
        <w:rPr>
          <w:rFonts w:ascii="Arial" w:hAnsi="Arial" w:cs="Arial"/>
          <w:sz w:val="22"/>
          <w:szCs w:val="22"/>
        </w:rPr>
        <w:t xml:space="preserve">Available at: </w:t>
      </w:r>
      <w:hyperlink r:id="rId14" w:history="1">
        <w:r w:rsidR="00AA5D1C" w:rsidRPr="004C1597">
          <w:rPr>
            <w:rStyle w:val="Hyperlink"/>
            <w:rFonts w:ascii="Arial" w:hAnsi="Arial" w:cs="Arial"/>
            <w:sz w:val="22"/>
            <w:szCs w:val="22"/>
          </w:rPr>
          <w:t>https://bmjopen.bmj.com/content/11/1/e045127</w:t>
        </w:r>
      </w:hyperlink>
      <w:r w:rsidR="00AA5D1C" w:rsidRPr="004C1597">
        <w:rPr>
          <w:rFonts w:ascii="Arial" w:hAnsi="Arial" w:cs="Arial"/>
          <w:sz w:val="22"/>
          <w:szCs w:val="22"/>
        </w:rPr>
        <w:t xml:space="preserve"> </w:t>
      </w:r>
      <w:r w:rsidRPr="004C1597">
        <w:rPr>
          <w:rFonts w:ascii="Arial" w:hAnsi="Arial" w:cs="Arial"/>
          <w:sz w:val="22"/>
          <w:szCs w:val="22"/>
        </w:rPr>
        <w:t xml:space="preserve">(Accessed: </w:t>
      </w:r>
      <w:r w:rsidR="003A5541" w:rsidRPr="004C1597">
        <w:rPr>
          <w:rFonts w:ascii="Arial" w:hAnsi="Arial" w:cs="Arial"/>
          <w:sz w:val="22"/>
          <w:szCs w:val="22"/>
        </w:rPr>
        <w:t>03 March 2026</w:t>
      </w:r>
      <w:r w:rsidRPr="004C1597">
        <w:rPr>
          <w:rFonts w:ascii="Arial" w:hAnsi="Arial" w:cs="Arial"/>
          <w:sz w:val="22"/>
          <w:szCs w:val="22"/>
        </w:rPr>
        <w:t>).</w:t>
      </w:r>
    </w:p>
    <w:p w14:paraId="34D5BF64" w14:textId="058AA48F"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lastRenderedPageBreak/>
        <w:t>Maslach, C. and Leiter, M.P. (2016).</w:t>
      </w:r>
      <w:r w:rsidR="002B40B7" w:rsidRPr="004C1597">
        <w:rPr>
          <w:rFonts w:ascii="Arial" w:hAnsi="Arial" w:cs="Arial"/>
          <w:sz w:val="22"/>
          <w:szCs w:val="22"/>
        </w:rPr>
        <w:t xml:space="preserve"> </w:t>
      </w:r>
      <w:r w:rsidRPr="004C1597">
        <w:rPr>
          <w:rFonts w:ascii="Arial" w:hAnsi="Arial" w:cs="Arial"/>
          <w:sz w:val="22"/>
          <w:szCs w:val="22"/>
        </w:rPr>
        <w:t>Understanding the burnout experience: recent research and its implications. World Psychiatry, 15(2), pp.103–111.</w:t>
      </w:r>
      <w:r w:rsidR="002B40B7" w:rsidRPr="004C1597">
        <w:rPr>
          <w:rFonts w:ascii="Arial" w:hAnsi="Arial" w:cs="Arial"/>
          <w:sz w:val="22"/>
          <w:szCs w:val="22"/>
        </w:rPr>
        <w:t xml:space="preserve"> </w:t>
      </w:r>
      <w:r w:rsidRPr="004C1597">
        <w:rPr>
          <w:rFonts w:ascii="Arial" w:hAnsi="Arial" w:cs="Arial"/>
          <w:sz w:val="22"/>
          <w:szCs w:val="22"/>
        </w:rPr>
        <w:t xml:space="preserve">Available at: </w:t>
      </w:r>
      <w:hyperlink r:id="rId15" w:history="1">
        <w:r w:rsidR="002B40B7" w:rsidRPr="004C1597">
          <w:rPr>
            <w:rStyle w:val="Hyperlink"/>
            <w:rFonts w:ascii="Arial" w:hAnsi="Arial" w:cs="Arial"/>
            <w:sz w:val="22"/>
            <w:szCs w:val="22"/>
          </w:rPr>
          <w:t>https://pmc.ncbi.nlm.nih.gov/articles/PMC4911781/</w:t>
        </w:r>
      </w:hyperlink>
      <w:r w:rsidR="002B40B7" w:rsidRPr="004C1597">
        <w:rPr>
          <w:rFonts w:ascii="Arial" w:hAnsi="Arial" w:cs="Arial"/>
          <w:sz w:val="22"/>
          <w:szCs w:val="22"/>
        </w:rPr>
        <w:t xml:space="preserve"> </w:t>
      </w:r>
      <w:r w:rsidR="00316D6E" w:rsidRPr="004C1597">
        <w:rPr>
          <w:rFonts w:ascii="Arial" w:hAnsi="Arial" w:cs="Arial"/>
          <w:sz w:val="22"/>
          <w:szCs w:val="22"/>
        </w:rPr>
        <w:t xml:space="preserve">. </w:t>
      </w:r>
      <w:r w:rsidRPr="004C1597">
        <w:rPr>
          <w:rFonts w:ascii="Arial" w:hAnsi="Arial" w:cs="Arial"/>
          <w:sz w:val="22"/>
          <w:szCs w:val="22"/>
        </w:rPr>
        <w:t xml:space="preserve">(Accessed: </w:t>
      </w:r>
      <w:r w:rsidR="00652ACB" w:rsidRPr="004C1597">
        <w:rPr>
          <w:rFonts w:ascii="Arial" w:hAnsi="Arial" w:cs="Arial"/>
          <w:sz w:val="22"/>
          <w:szCs w:val="22"/>
        </w:rPr>
        <w:t>03 March 2026</w:t>
      </w:r>
      <w:r w:rsidRPr="004C1597">
        <w:rPr>
          <w:rFonts w:ascii="Arial" w:hAnsi="Arial" w:cs="Arial"/>
          <w:sz w:val="22"/>
          <w:szCs w:val="22"/>
        </w:rPr>
        <w:t>).</w:t>
      </w:r>
    </w:p>
    <w:p w14:paraId="02C90FDE" w14:textId="2933A67D"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Montgomery, A., Panagopoulou, E., Esmail, A. et al. (2019</w:t>
      </w:r>
      <w:proofErr w:type="gramStart"/>
      <w:r w:rsidRPr="004C1597">
        <w:rPr>
          <w:rFonts w:ascii="Arial" w:hAnsi="Arial" w:cs="Arial"/>
          <w:sz w:val="22"/>
          <w:szCs w:val="22"/>
        </w:rPr>
        <w:t>).Burnout</w:t>
      </w:r>
      <w:proofErr w:type="gramEnd"/>
      <w:r w:rsidRPr="004C1597">
        <w:rPr>
          <w:rFonts w:ascii="Arial" w:hAnsi="Arial" w:cs="Arial"/>
          <w:sz w:val="22"/>
          <w:szCs w:val="22"/>
        </w:rPr>
        <w:t xml:space="preserve"> in healthcare: global perspective. Frontiers in Psychology.</w:t>
      </w:r>
      <w:r w:rsidR="00921FB6" w:rsidRPr="004C1597">
        <w:rPr>
          <w:rFonts w:ascii="Arial" w:hAnsi="Arial" w:cs="Arial"/>
          <w:sz w:val="22"/>
          <w:szCs w:val="22"/>
        </w:rPr>
        <w:t xml:space="preserve"> </w:t>
      </w:r>
      <w:r w:rsidRPr="004C1597">
        <w:rPr>
          <w:rFonts w:ascii="Arial" w:hAnsi="Arial" w:cs="Arial"/>
          <w:sz w:val="22"/>
          <w:szCs w:val="22"/>
        </w:rPr>
        <w:t>Available at:</w:t>
      </w:r>
      <w:r w:rsidR="00652ACB" w:rsidRPr="004C1597">
        <w:rPr>
          <w:rFonts w:ascii="Arial" w:hAnsi="Arial" w:cs="Arial"/>
          <w:sz w:val="22"/>
          <w:szCs w:val="22"/>
        </w:rPr>
        <w:t xml:space="preserve"> </w:t>
      </w:r>
      <w:hyperlink r:id="rId16" w:history="1">
        <w:r w:rsidR="00652ACB" w:rsidRPr="004C1597">
          <w:rPr>
            <w:rStyle w:val="Hyperlink"/>
            <w:rFonts w:ascii="Arial" w:hAnsi="Arial" w:cs="Arial"/>
            <w:sz w:val="22"/>
            <w:szCs w:val="22"/>
          </w:rPr>
          <w:t>https://pmc.ncbi.nlm.nih.gov/articles/PMC6369648/</w:t>
        </w:r>
      </w:hyperlink>
      <w:r w:rsidR="00921FB6" w:rsidRPr="004C1597">
        <w:rPr>
          <w:rFonts w:ascii="Arial" w:hAnsi="Arial" w:cs="Arial"/>
          <w:sz w:val="22"/>
          <w:szCs w:val="22"/>
        </w:rPr>
        <w:t xml:space="preserve"> .</w:t>
      </w:r>
      <w:r w:rsidRPr="004C1597">
        <w:rPr>
          <w:rFonts w:ascii="Arial" w:hAnsi="Arial" w:cs="Arial"/>
          <w:sz w:val="22"/>
          <w:szCs w:val="22"/>
        </w:rPr>
        <w:t>(Accessed:</w:t>
      </w:r>
      <w:r w:rsidR="00921FB6" w:rsidRPr="004C1597">
        <w:rPr>
          <w:rFonts w:ascii="Arial" w:hAnsi="Arial" w:cs="Arial"/>
          <w:sz w:val="22"/>
          <w:szCs w:val="22"/>
        </w:rPr>
        <w:t>03 March 2026</w:t>
      </w:r>
      <w:r w:rsidRPr="004C1597">
        <w:rPr>
          <w:rFonts w:ascii="Arial" w:hAnsi="Arial" w:cs="Arial"/>
          <w:sz w:val="22"/>
          <w:szCs w:val="22"/>
        </w:rPr>
        <w:t>).</w:t>
      </w:r>
    </w:p>
    <w:p w14:paraId="751C6616" w14:textId="74DEBAD7" w:rsidR="00A471CC" w:rsidRPr="004C1597" w:rsidRDefault="00650C2A" w:rsidP="004C1597">
      <w:pPr>
        <w:spacing w:line="360" w:lineRule="auto"/>
        <w:rPr>
          <w:rFonts w:ascii="Arial" w:hAnsi="Arial" w:cs="Arial"/>
          <w:sz w:val="22"/>
          <w:szCs w:val="22"/>
        </w:rPr>
      </w:pPr>
      <w:r w:rsidRPr="004C1597">
        <w:rPr>
          <w:rFonts w:ascii="Arial" w:hAnsi="Arial" w:cs="Arial"/>
          <w:sz w:val="22"/>
          <w:szCs w:val="22"/>
        </w:rPr>
        <w:t>National Health Service England (2020).</w:t>
      </w:r>
      <w:r w:rsidR="000673FE" w:rsidRPr="004C1597">
        <w:rPr>
          <w:rFonts w:ascii="Arial" w:hAnsi="Arial" w:cs="Arial"/>
          <w:sz w:val="22"/>
          <w:szCs w:val="22"/>
        </w:rPr>
        <w:t xml:space="preserve"> </w:t>
      </w:r>
      <w:r w:rsidRPr="004C1597">
        <w:rPr>
          <w:rFonts w:ascii="Arial" w:hAnsi="Arial" w:cs="Arial"/>
          <w:sz w:val="22"/>
          <w:szCs w:val="22"/>
        </w:rPr>
        <w:t>The NHS People Plan: supporting NHS staff.</w:t>
      </w:r>
      <w:r w:rsidR="000673FE" w:rsidRPr="004C1597">
        <w:rPr>
          <w:rFonts w:ascii="Arial" w:hAnsi="Arial" w:cs="Arial"/>
          <w:sz w:val="22"/>
          <w:szCs w:val="22"/>
        </w:rPr>
        <w:t xml:space="preserve"> </w:t>
      </w:r>
      <w:r w:rsidRPr="004C1597">
        <w:rPr>
          <w:rFonts w:ascii="Arial" w:hAnsi="Arial" w:cs="Arial"/>
          <w:sz w:val="22"/>
          <w:szCs w:val="22"/>
        </w:rPr>
        <w:t xml:space="preserve">Available at: </w:t>
      </w:r>
      <w:hyperlink r:id="rId17" w:history="1">
        <w:r w:rsidR="00A471CC" w:rsidRPr="004C1597">
          <w:rPr>
            <w:rStyle w:val="Hyperlink"/>
            <w:rFonts w:ascii="Arial" w:hAnsi="Arial" w:cs="Arial"/>
            <w:sz w:val="22"/>
            <w:szCs w:val="22"/>
          </w:rPr>
          <w:t>https://www.england.nhs.uk/ournhspeople/</w:t>
        </w:r>
      </w:hyperlink>
      <w:r w:rsidR="00A471CC" w:rsidRPr="004C1597">
        <w:rPr>
          <w:rFonts w:ascii="Arial" w:hAnsi="Arial" w:cs="Arial"/>
          <w:sz w:val="22"/>
          <w:szCs w:val="22"/>
        </w:rPr>
        <w:t xml:space="preserve"> </w:t>
      </w:r>
      <w:r w:rsidRPr="004C1597">
        <w:rPr>
          <w:rFonts w:ascii="Arial" w:hAnsi="Arial" w:cs="Arial"/>
          <w:sz w:val="22"/>
          <w:szCs w:val="22"/>
        </w:rPr>
        <w:t xml:space="preserve">(Accessed: </w:t>
      </w:r>
      <w:r w:rsidR="00A471CC" w:rsidRPr="004C1597">
        <w:rPr>
          <w:rFonts w:ascii="Arial" w:hAnsi="Arial" w:cs="Arial"/>
          <w:sz w:val="22"/>
          <w:szCs w:val="22"/>
        </w:rPr>
        <w:t>03 March 2026</w:t>
      </w:r>
      <w:r w:rsidRPr="004C1597">
        <w:rPr>
          <w:rFonts w:ascii="Arial" w:hAnsi="Arial" w:cs="Arial"/>
          <w:sz w:val="22"/>
          <w:szCs w:val="22"/>
        </w:rPr>
        <w:t>).</w:t>
      </w:r>
    </w:p>
    <w:p w14:paraId="27B88318" w14:textId="582A982A" w:rsidR="00650C2A" w:rsidRPr="004C1597" w:rsidRDefault="00650C2A" w:rsidP="004C1597">
      <w:pPr>
        <w:spacing w:line="360" w:lineRule="auto"/>
        <w:rPr>
          <w:rFonts w:ascii="Arial" w:hAnsi="Arial" w:cs="Arial"/>
          <w:sz w:val="22"/>
          <w:szCs w:val="22"/>
        </w:rPr>
      </w:pPr>
      <w:proofErr w:type="spellStart"/>
      <w:r w:rsidRPr="004C1597">
        <w:rPr>
          <w:rFonts w:ascii="Arial" w:hAnsi="Arial" w:cs="Arial"/>
          <w:sz w:val="22"/>
          <w:szCs w:val="22"/>
        </w:rPr>
        <w:t>Panagioti</w:t>
      </w:r>
      <w:proofErr w:type="spellEnd"/>
      <w:r w:rsidRPr="004C1597">
        <w:rPr>
          <w:rFonts w:ascii="Arial" w:hAnsi="Arial" w:cs="Arial"/>
          <w:sz w:val="22"/>
          <w:szCs w:val="22"/>
        </w:rPr>
        <w:t>, M., Geraghty, K., Johnson, J. et al. (2018).</w:t>
      </w:r>
      <w:r w:rsidR="00A471CC" w:rsidRPr="004C1597">
        <w:rPr>
          <w:rFonts w:ascii="Arial" w:hAnsi="Arial" w:cs="Arial"/>
          <w:sz w:val="22"/>
          <w:szCs w:val="22"/>
        </w:rPr>
        <w:t xml:space="preserve"> </w:t>
      </w:r>
      <w:r w:rsidRPr="004C1597">
        <w:rPr>
          <w:rFonts w:ascii="Arial" w:hAnsi="Arial" w:cs="Arial"/>
          <w:sz w:val="22"/>
          <w:szCs w:val="22"/>
        </w:rPr>
        <w:t>Association between physician burnout and patient safety. JAMA Internal Medicine.</w:t>
      </w:r>
      <w:r w:rsidR="00A471CC" w:rsidRPr="004C1597">
        <w:rPr>
          <w:rFonts w:ascii="Arial" w:hAnsi="Arial" w:cs="Arial"/>
          <w:sz w:val="22"/>
          <w:szCs w:val="22"/>
        </w:rPr>
        <w:t xml:space="preserve"> </w:t>
      </w:r>
      <w:r w:rsidRPr="004C1597">
        <w:rPr>
          <w:rFonts w:ascii="Arial" w:hAnsi="Arial" w:cs="Arial"/>
          <w:sz w:val="22"/>
          <w:szCs w:val="22"/>
        </w:rPr>
        <w:t>Available at: https:</w:t>
      </w:r>
      <w:r w:rsidR="00A471CC" w:rsidRPr="004C1597">
        <w:rPr>
          <w:rFonts w:ascii="Arial" w:hAnsi="Arial" w:cs="Arial"/>
          <w:sz w:val="22"/>
          <w:szCs w:val="22"/>
        </w:rPr>
        <w:t xml:space="preserve"> </w:t>
      </w:r>
      <w:hyperlink r:id="rId18" w:history="1">
        <w:r w:rsidR="00A471CC" w:rsidRPr="004C1597">
          <w:rPr>
            <w:rStyle w:val="Hyperlink"/>
            <w:rFonts w:ascii="Arial" w:hAnsi="Arial" w:cs="Arial"/>
            <w:sz w:val="22"/>
            <w:szCs w:val="22"/>
          </w:rPr>
          <w:t>JAMA Internal Medicine – Improving Health and Health Care</w:t>
        </w:r>
      </w:hyperlink>
      <w:r w:rsidR="00A471CC" w:rsidRPr="004C1597">
        <w:rPr>
          <w:rFonts w:ascii="Arial" w:hAnsi="Arial" w:cs="Arial"/>
          <w:sz w:val="22"/>
          <w:szCs w:val="22"/>
        </w:rPr>
        <w:t xml:space="preserve">. </w:t>
      </w:r>
      <w:r w:rsidRPr="004C1597">
        <w:rPr>
          <w:rFonts w:ascii="Arial" w:hAnsi="Arial" w:cs="Arial"/>
          <w:sz w:val="22"/>
          <w:szCs w:val="22"/>
        </w:rPr>
        <w:t xml:space="preserve">(Accessed: </w:t>
      </w:r>
      <w:r w:rsidR="00591885" w:rsidRPr="004C1597">
        <w:rPr>
          <w:rFonts w:ascii="Arial" w:hAnsi="Arial" w:cs="Arial"/>
          <w:sz w:val="22"/>
          <w:szCs w:val="22"/>
        </w:rPr>
        <w:t>01 March 2026</w:t>
      </w:r>
      <w:r w:rsidRPr="004C1597">
        <w:rPr>
          <w:rFonts w:ascii="Arial" w:hAnsi="Arial" w:cs="Arial"/>
          <w:sz w:val="22"/>
          <w:szCs w:val="22"/>
        </w:rPr>
        <w:t>).</w:t>
      </w:r>
    </w:p>
    <w:p w14:paraId="6B3A969C" w14:textId="1E98B0B1" w:rsidR="00DF0092" w:rsidRPr="004C1597" w:rsidRDefault="00DF0092" w:rsidP="004C1597">
      <w:pPr>
        <w:spacing w:line="360" w:lineRule="auto"/>
        <w:rPr>
          <w:rFonts w:ascii="Arial" w:hAnsi="Arial" w:cs="Arial"/>
          <w:sz w:val="22"/>
          <w:szCs w:val="22"/>
        </w:rPr>
      </w:pPr>
      <w:proofErr w:type="spellStart"/>
      <w:r w:rsidRPr="004C1597">
        <w:rPr>
          <w:rFonts w:ascii="Arial" w:hAnsi="Arial" w:cs="Arial"/>
          <w:sz w:val="22"/>
          <w:szCs w:val="22"/>
        </w:rPr>
        <w:t>Rotenstein</w:t>
      </w:r>
      <w:proofErr w:type="spellEnd"/>
      <w:r w:rsidRPr="004C1597">
        <w:rPr>
          <w:rFonts w:ascii="Arial" w:hAnsi="Arial" w:cs="Arial"/>
          <w:sz w:val="22"/>
          <w:szCs w:val="22"/>
        </w:rPr>
        <w:t>, L.S., Torre, M., Ramos, M.A. et al. (2018).</w:t>
      </w:r>
      <w:r w:rsidR="0039180C" w:rsidRPr="004C1597">
        <w:rPr>
          <w:rFonts w:ascii="Arial" w:hAnsi="Arial" w:cs="Arial"/>
          <w:sz w:val="22"/>
          <w:szCs w:val="22"/>
        </w:rPr>
        <w:t xml:space="preserve"> </w:t>
      </w:r>
      <w:r w:rsidRPr="004C1597">
        <w:rPr>
          <w:rFonts w:ascii="Arial" w:hAnsi="Arial" w:cs="Arial"/>
          <w:sz w:val="22"/>
          <w:szCs w:val="22"/>
        </w:rPr>
        <w:t>Prevalence of burnout among physicians: a systematic review. JAMA, 320(11), pp.1131–1150.</w:t>
      </w:r>
      <w:r w:rsidR="0039180C" w:rsidRPr="004C1597">
        <w:rPr>
          <w:rFonts w:ascii="Arial" w:hAnsi="Arial" w:cs="Arial"/>
          <w:sz w:val="22"/>
          <w:szCs w:val="22"/>
        </w:rPr>
        <w:t xml:space="preserve"> </w:t>
      </w:r>
      <w:r w:rsidRPr="004C1597">
        <w:rPr>
          <w:rFonts w:ascii="Arial" w:hAnsi="Arial" w:cs="Arial"/>
          <w:sz w:val="22"/>
          <w:szCs w:val="22"/>
        </w:rPr>
        <w:t xml:space="preserve">Available at: </w:t>
      </w:r>
      <w:hyperlink r:id="rId19" w:history="1">
        <w:r w:rsidRPr="004C1597">
          <w:rPr>
            <w:rStyle w:val="Hyperlink"/>
            <w:rFonts w:ascii="Arial" w:hAnsi="Arial" w:cs="Arial"/>
            <w:sz w:val="22"/>
            <w:szCs w:val="22"/>
          </w:rPr>
          <w:t>https://jamanetwork.com/journals/jama/fullarticle/2693464</w:t>
        </w:r>
      </w:hyperlink>
      <w:r w:rsidRPr="004C1597">
        <w:rPr>
          <w:rFonts w:ascii="Arial" w:hAnsi="Arial" w:cs="Arial"/>
          <w:sz w:val="22"/>
          <w:szCs w:val="22"/>
        </w:rPr>
        <w:t xml:space="preserve"> (Accessed: 23 February 2026).</w:t>
      </w:r>
    </w:p>
    <w:p w14:paraId="15CE98E6" w14:textId="4EF96FA3" w:rsidR="000A09A8" w:rsidRPr="004C1597" w:rsidRDefault="000A09A8" w:rsidP="004C1597">
      <w:pPr>
        <w:spacing w:line="360" w:lineRule="auto"/>
        <w:rPr>
          <w:rFonts w:ascii="Arial" w:hAnsi="Arial" w:cs="Arial"/>
          <w:sz w:val="22"/>
          <w:szCs w:val="22"/>
        </w:rPr>
      </w:pPr>
      <w:r w:rsidRPr="004C1597">
        <w:rPr>
          <w:rFonts w:ascii="Arial" w:hAnsi="Arial" w:cs="Arial"/>
          <w:sz w:val="22"/>
          <w:szCs w:val="22"/>
        </w:rPr>
        <w:t xml:space="preserve">Shanafelt, T.D., Boone, S., Tan, L. et al. (2012). Burnout and satisfaction with work-life balance among US physicians relative to the general population. Archives of Internal Medicine, 172(18), pp.1377–1385. Available at: </w:t>
      </w:r>
      <w:hyperlink r:id="rId20" w:history="1">
        <w:r w:rsidRPr="004C1597">
          <w:rPr>
            <w:rStyle w:val="Hyperlink"/>
            <w:rFonts w:ascii="Arial" w:hAnsi="Arial" w:cs="Arial"/>
            <w:sz w:val="22"/>
            <w:szCs w:val="22"/>
          </w:rPr>
          <w:t>https://pubmed.ncbi.nlm.nih.gov/22911330/</w:t>
        </w:r>
      </w:hyperlink>
      <w:r w:rsidRPr="004C1597">
        <w:rPr>
          <w:rFonts w:ascii="Arial" w:hAnsi="Arial" w:cs="Arial"/>
          <w:sz w:val="22"/>
          <w:szCs w:val="22"/>
        </w:rPr>
        <w:t xml:space="preserve"> (Accessed: 22 February 2026).</w:t>
      </w:r>
    </w:p>
    <w:p w14:paraId="5B1A044F" w14:textId="0C534BF6" w:rsidR="0039180C" w:rsidRPr="004C1597" w:rsidRDefault="0039180C" w:rsidP="004C1597">
      <w:pPr>
        <w:spacing w:line="360" w:lineRule="auto"/>
        <w:rPr>
          <w:rFonts w:ascii="Arial" w:hAnsi="Arial" w:cs="Arial"/>
          <w:sz w:val="22"/>
          <w:szCs w:val="22"/>
        </w:rPr>
      </w:pPr>
      <w:r w:rsidRPr="004C1597">
        <w:rPr>
          <w:rFonts w:ascii="Arial" w:hAnsi="Arial" w:cs="Arial"/>
          <w:sz w:val="22"/>
          <w:szCs w:val="22"/>
        </w:rPr>
        <w:t xml:space="preserve">West, C.P., Dyrbye, L.N. and Shanafelt, T.D. (2018). Physician burnout: contributors, consequences and solutions. Journal of Internal Medicine, 283(6), pp.516–529. Available at: </w:t>
      </w:r>
      <w:hyperlink r:id="rId21" w:history="1">
        <w:r w:rsidRPr="004C1597">
          <w:rPr>
            <w:rStyle w:val="Hyperlink"/>
            <w:rFonts w:ascii="Arial" w:hAnsi="Arial" w:cs="Arial"/>
            <w:sz w:val="22"/>
            <w:szCs w:val="22"/>
          </w:rPr>
          <w:t>https://pubmed.ncbi.nlm.nih.gov/29505159/</w:t>
        </w:r>
      </w:hyperlink>
      <w:r w:rsidRPr="004C1597">
        <w:rPr>
          <w:rFonts w:ascii="Arial" w:hAnsi="Arial" w:cs="Arial"/>
          <w:sz w:val="22"/>
          <w:szCs w:val="22"/>
        </w:rPr>
        <w:t xml:space="preserve"> (Accessed: 23 February 2026).</w:t>
      </w:r>
    </w:p>
    <w:p w14:paraId="45A48999" w14:textId="562FB0B3" w:rsidR="00650C2A" w:rsidRPr="004C1597" w:rsidRDefault="00650C2A" w:rsidP="004C1597">
      <w:pPr>
        <w:spacing w:line="360" w:lineRule="auto"/>
        <w:rPr>
          <w:rFonts w:ascii="Arial" w:hAnsi="Arial" w:cs="Arial"/>
          <w:sz w:val="22"/>
          <w:szCs w:val="22"/>
        </w:rPr>
      </w:pPr>
      <w:r w:rsidRPr="004C1597">
        <w:rPr>
          <w:rFonts w:ascii="Arial" w:hAnsi="Arial" w:cs="Arial"/>
          <w:sz w:val="22"/>
          <w:szCs w:val="22"/>
        </w:rPr>
        <w:t>West, M., Coia, D. and NHS Staff and Learners’ Mental Wellbeing Commission (2019</w:t>
      </w:r>
      <w:r w:rsidR="008E7BCA" w:rsidRPr="004C1597">
        <w:rPr>
          <w:rFonts w:ascii="Arial" w:hAnsi="Arial" w:cs="Arial"/>
          <w:sz w:val="22"/>
          <w:szCs w:val="22"/>
        </w:rPr>
        <w:t>). Caring</w:t>
      </w:r>
      <w:r w:rsidRPr="004C1597">
        <w:rPr>
          <w:rFonts w:ascii="Arial" w:hAnsi="Arial" w:cs="Arial"/>
          <w:sz w:val="22"/>
          <w:szCs w:val="22"/>
        </w:rPr>
        <w:t xml:space="preserve"> for doctors, caring for patients. General Medical Council.</w:t>
      </w:r>
      <w:r w:rsidR="008E7BCA" w:rsidRPr="004C1597">
        <w:rPr>
          <w:rFonts w:ascii="Arial" w:hAnsi="Arial" w:cs="Arial"/>
          <w:sz w:val="22"/>
          <w:szCs w:val="22"/>
        </w:rPr>
        <w:t xml:space="preserve"> </w:t>
      </w:r>
      <w:r w:rsidRPr="004C1597">
        <w:rPr>
          <w:rFonts w:ascii="Arial" w:hAnsi="Arial" w:cs="Arial"/>
          <w:sz w:val="22"/>
          <w:szCs w:val="22"/>
        </w:rPr>
        <w:t xml:space="preserve">Available at: </w:t>
      </w:r>
      <w:hyperlink r:id="rId22" w:history="1">
        <w:r w:rsidR="00472F26" w:rsidRPr="004C1597">
          <w:rPr>
            <w:rStyle w:val="Hyperlink"/>
            <w:rFonts w:ascii="Arial" w:hAnsi="Arial" w:cs="Arial"/>
            <w:sz w:val="22"/>
            <w:szCs w:val="22"/>
          </w:rPr>
          <w:t>caring-for-doctors-caring-for-patients_pdf-80706341.pdf</w:t>
        </w:r>
      </w:hyperlink>
      <w:r w:rsidR="00591885" w:rsidRPr="004C1597">
        <w:rPr>
          <w:rFonts w:ascii="Arial" w:hAnsi="Arial" w:cs="Arial"/>
          <w:sz w:val="22"/>
          <w:szCs w:val="22"/>
        </w:rPr>
        <w:t>.</w:t>
      </w:r>
      <w:r w:rsidR="00472F26" w:rsidRPr="004C1597">
        <w:rPr>
          <w:rFonts w:ascii="Arial" w:hAnsi="Arial" w:cs="Arial"/>
          <w:sz w:val="22"/>
          <w:szCs w:val="22"/>
        </w:rPr>
        <w:t xml:space="preserve"> </w:t>
      </w:r>
      <w:r w:rsidRPr="004C1597">
        <w:rPr>
          <w:rFonts w:ascii="Arial" w:hAnsi="Arial" w:cs="Arial"/>
          <w:sz w:val="22"/>
          <w:szCs w:val="22"/>
        </w:rPr>
        <w:t xml:space="preserve">(Accessed: </w:t>
      </w:r>
      <w:r w:rsidR="003148D8" w:rsidRPr="004C1597">
        <w:rPr>
          <w:rFonts w:ascii="Arial" w:hAnsi="Arial" w:cs="Arial"/>
          <w:sz w:val="22"/>
          <w:szCs w:val="22"/>
        </w:rPr>
        <w:t>01 March 2026)</w:t>
      </w:r>
      <w:r w:rsidR="00591885" w:rsidRPr="004C1597">
        <w:rPr>
          <w:rFonts w:ascii="Arial" w:hAnsi="Arial" w:cs="Arial"/>
          <w:sz w:val="22"/>
          <w:szCs w:val="22"/>
        </w:rPr>
        <w:t>.</w:t>
      </w:r>
    </w:p>
    <w:p w14:paraId="76720051" w14:textId="77777777" w:rsidR="00483117" w:rsidRPr="004C1597" w:rsidRDefault="00650C2A" w:rsidP="004C1597">
      <w:pPr>
        <w:spacing w:line="360" w:lineRule="auto"/>
        <w:rPr>
          <w:rFonts w:ascii="Arial" w:hAnsi="Arial" w:cs="Arial"/>
          <w:sz w:val="22"/>
          <w:szCs w:val="22"/>
        </w:rPr>
      </w:pPr>
      <w:r w:rsidRPr="004C1597">
        <w:rPr>
          <w:rFonts w:ascii="Arial" w:hAnsi="Arial" w:cs="Arial"/>
          <w:sz w:val="22"/>
          <w:szCs w:val="22"/>
        </w:rPr>
        <w:t>World Health Organization (2019</w:t>
      </w:r>
      <w:proofErr w:type="gramStart"/>
      <w:r w:rsidRPr="004C1597">
        <w:rPr>
          <w:rFonts w:ascii="Arial" w:hAnsi="Arial" w:cs="Arial"/>
          <w:sz w:val="22"/>
          <w:szCs w:val="22"/>
        </w:rPr>
        <w:t>).Burnout</w:t>
      </w:r>
      <w:proofErr w:type="gramEnd"/>
      <w:r w:rsidRPr="004C1597">
        <w:rPr>
          <w:rFonts w:ascii="Arial" w:hAnsi="Arial" w:cs="Arial"/>
          <w:sz w:val="22"/>
          <w:szCs w:val="22"/>
        </w:rPr>
        <w:t xml:space="preserve"> classified as occupational </w:t>
      </w:r>
      <w:r w:rsidR="00591885" w:rsidRPr="004C1597">
        <w:rPr>
          <w:rFonts w:ascii="Arial" w:hAnsi="Arial" w:cs="Arial"/>
          <w:sz w:val="22"/>
          <w:szCs w:val="22"/>
        </w:rPr>
        <w:t>phenomenon. Available</w:t>
      </w:r>
      <w:r w:rsidRPr="004C1597">
        <w:rPr>
          <w:rFonts w:ascii="Arial" w:hAnsi="Arial" w:cs="Arial"/>
          <w:sz w:val="22"/>
          <w:szCs w:val="22"/>
        </w:rPr>
        <w:t xml:space="preserve"> at: </w:t>
      </w:r>
      <w:hyperlink r:id="rId23" w:history="1">
        <w:r w:rsidR="003148D8" w:rsidRPr="004C1597">
          <w:rPr>
            <w:rStyle w:val="Hyperlink"/>
            <w:rFonts w:ascii="Arial" w:hAnsi="Arial" w:cs="Arial"/>
            <w:sz w:val="22"/>
            <w:szCs w:val="22"/>
          </w:rPr>
          <w:t>Burn-out an "occupational phenomenon": International Classification of Diseases</w:t>
        </w:r>
      </w:hyperlink>
      <w:r w:rsidR="00591885" w:rsidRPr="004C1597">
        <w:rPr>
          <w:rFonts w:ascii="Arial" w:hAnsi="Arial" w:cs="Arial"/>
          <w:sz w:val="22"/>
          <w:szCs w:val="22"/>
        </w:rPr>
        <w:t xml:space="preserve">. </w:t>
      </w:r>
      <w:r w:rsidRPr="004C1597">
        <w:rPr>
          <w:rFonts w:ascii="Arial" w:hAnsi="Arial" w:cs="Arial"/>
          <w:sz w:val="22"/>
          <w:szCs w:val="22"/>
        </w:rPr>
        <w:t>(Accessed:01 March 2026)</w:t>
      </w:r>
      <w:r w:rsidR="00591885" w:rsidRPr="004C1597">
        <w:rPr>
          <w:rFonts w:ascii="Arial" w:hAnsi="Arial" w:cs="Arial"/>
          <w:sz w:val="22"/>
          <w:szCs w:val="22"/>
        </w:rPr>
        <w:t>.</w:t>
      </w:r>
    </w:p>
    <w:p w14:paraId="144598F8" w14:textId="59E984EF" w:rsidR="00F21A05" w:rsidRPr="00650C2A" w:rsidRDefault="00F21A05" w:rsidP="004C1597">
      <w:pPr>
        <w:spacing w:line="360" w:lineRule="auto"/>
        <w:rPr>
          <w:rFonts w:ascii="Arial" w:hAnsi="Arial" w:cs="Arial"/>
          <w:sz w:val="22"/>
          <w:szCs w:val="22"/>
        </w:rPr>
      </w:pPr>
      <w:r w:rsidRPr="004C1597">
        <w:rPr>
          <w:rFonts w:ascii="Arial" w:hAnsi="Arial" w:cs="Arial"/>
          <w:sz w:val="22"/>
          <w:szCs w:val="22"/>
        </w:rPr>
        <w:t>World Health Organization (2020</w:t>
      </w:r>
      <w:proofErr w:type="gramStart"/>
      <w:r w:rsidRPr="004C1597">
        <w:rPr>
          <w:rFonts w:ascii="Arial" w:hAnsi="Arial" w:cs="Arial"/>
          <w:sz w:val="22"/>
          <w:szCs w:val="22"/>
        </w:rPr>
        <w:t>).State</w:t>
      </w:r>
      <w:proofErr w:type="gramEnd"/>
      <w:r w:rsidRPr="004C1597">
        <w:rPr>
          <w:rFonts w:ascii="Arial" w:hAnsi="Arial" w:cs="Arial"/>
          <w:sz w:val="22"/>
          <w:szCs w:val="22"/>
        </w:rPr>
        <w:t xml:space="preserve"> of the world’s nursing report: investing in education, jobs and leadership. Available at: </w:t>
      </w:r>
      <w:hyperlink r:id="rId24" w:history="1">
        <w:r w:rsidRPr="004C1597">
          <w:rPr>
            <w:rStyle w:val="Hyperlink"/>
            <w:rFonts w:ascii="Arial" w:hAnsi="Arial" w:cs="Arial"/>
            <w:sz w:val="22"/>
            <w:szCs w:val="22"/>
          </w:rPr>
          <w:t>https://www.who.int/publications/i/item/9789240003279</w:t>
        </w:r>
      </w:hyperlink>
      <w:r w:rsidRPr="004C1597">
        <w:rPr>
          <w:rFonts w:ascii="Arial" w:hAnsi="Arial" w:cs="Arial"/>
          <w:sz w:val="22"/>
          <w:szCs w:val="22"/>
        </w:rPr>
        <w:t xml:space="preserve"> (Accessed: </w:t>
      </w:r>
      <w:r w:rsidR="00483117" w:rsidRPr="004C1597">
        <w:rPr>
          <w:rFonts w:ascii="Arial" w:hAnsi="Arial" w:cs="Arial"/>
          <w:sz w:val="22"/>
          <w:szCs w:val="22"/>
        </w:rPr>
        <w:t>05 March 2026</w:t>
      </w:r>
      <w:r w:rsidRPr="00F21A05">
        <w:rPr>
          <w:rFonts w:ascii="Arial" w:hAnsi="Arial" w:cs="Arial"/>
          <w:sz w:val="22"/>
          <w:szCs w:val="22"/>
        </w:rPr>
        <w:t>).</w:t>
      </w:r>
    </w:p>
    <w:sectPr w:rsidR="00F21A05" w:rsidRPr="00650C2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90DB5"/>
    <w:multiLevelType w:val="hybridMultilevel"/>
    <w:tmpl w:val="00144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A54315"/>
    <w:multiLevelType w:val="hybridMultilevel"/>
    <w:tmpl w:val="68B2F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4707750">
    <w:abstractNumId w:val="1"/>
  </w:num>
  <w:num w:numId="2" w16cid:durableId="811866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5EF"/>
    <w:rsid w:val="00001848"/>
    <w:rsid w:val="0002372E"/>
    <w:rsid w:val="000323DF"/>
    <w:rsid w:val="000621B4"/>
    <w:rsid w:val="00065869"/>
    <w:rsid w:val="000673FE"/>
    <w:rsid w:val="00071D43"/>
    <w:rsid w:val="00082A2B"/>
    <w:rsid w:val="00093211"/>
    <w:rsid w:val="000A09A8"/>
    <w:rsid w:val="000B2D77"/>
    <w:rsid w:val="000D35B0"/>
    <w:rsid w:val="001460EF"/>
    <w:rsid w:val="00154CF2"/>
    <w:rsid w:val="00167D80"/>
    <w:rsid w:val="00181790"/>
    <w:rsid w:val="001830CB"/>
    <w:rsid w:val="00191643"/>
    <w:rsid w:val="001A5A78"/>
    <w:rsid w:val="001E3273"/>
    <w:rsid w:val="001E3807"/>
    <w:rsid w:val="002424B7"/>
    <w:rsid w:val="00270205"/>
    <w:rsid w:val="00275A22"/>
    <w:rsid w:val="00282EBA"/>
    <w:rsid w:val="002B40B7"/>
    <w:rsid w:val="003148D8"/>
    <w:rsid w:val="00316D6E"/>
    <w:rsid w:val="00341A12"/>
    <w:rsid w:val="00354D8A"/>
    <w:rsid w:val="00384545"/>
    <w:rsid w:val="0038674E"/>
    <w:rsid w:val="0039180C"/>
    <w:rsid w:val="003A5541"/>
    <w:rsid w:val="003C3E97"/>
    <w:rsid w:val="003E3736"/>
    <w:rsid w:val="003F7BB8"/>
    <w:rsid w:val="00406EA8"/>
    <w:rsid w:val="00413C01"/>
    <w:rsid w:val="00440E1B"/>
    <w:rsid w:val="00451F08"/>
    <w:rsid w:val="004714ED"/>
    <w:rsid w:val="00472F26"/>
    <w:rsid w:val="0048286E"/>
    <w:rsid w:val="00483117"/>
    <w:rsid w:val="004B47B5"/>
    <w:rsid w:val="004C1597"/>
    <w:rsid w:val="004C5599"/>
    <w:rsid w:val="004F1E0F"/>
    <w:rsid w:val="00532F4E"/>
    <w:rsid w:val="00534B56"/>
    <w:rsid w:val="005458F5"/>
    <w:rsid w:val="005912F1"/>
    <w:rsid w:val="00591885"/>
    <w:rsid w:val="005A278A"/>
    <w:rsid w:val="00620CA1"/>
    <w:rsid w:val="00641061"/>
    <w:rsid w:val="00650C2A"/>
    <w:rsid w:val="00652ACB"/>
    <w:rsid w:val="00657996"/>
    <w:rsid w:val="00671AA6"/>
    <w:rsid w:val="00671D05"/>
    <w:rsid w:val="006F233B"/>
    <w:rsid w:val="00702F91"/>
    <w:rsid w:val="00795439"/>
    <w:rsid w:val="007E249A"/>
    <w:rsid w:val="0080143D"/>
    <w:rsid w:val="008210E6"/>
    <w:rsid w:val="0085450B"/>
    <w:rsid w:val="00893468"/>
    <w:rsid w:val="008E7BCA"/>
    <w:rsid w:val="008F0AD2"/>
    <w:rsid w:val="00921FB6"/>
    <w:rsid w:val="009273B7"/>
    <w:rsid w:val="0094760B"/>
    <w:rsid w:val="00953D83"/>
    <w:rsid w:val="009645EF"/>
    <w:rsid w:val="00992012"/>
    <w:rsid w:val="00992130"/>
    <w:rsid w:val="00A006F3"/>
    <w:rsid w:val="00A471CC"/>
    <w:rsid w:val="00A50C84"/>
    <w:rsid w:val="00A7715D"/>
    <w:rsid w:val="00A85728"/>
    <w:rsid w:val="00AA50F4"/>
    <w:rsid w:val="00AA5D1C"/>
    <w:rsid w:val="00AC5B4B"/>
    <w:rsid w:val="00B80374"/>
    <w:rsid w:val="00BA4B88"/>
    <w:rsid w:val="00BA6386"/>
    <w:rsid w:val="00BF16B3"/>
    <w:rsid w:val="00CB7D01"/>
    <w:rsid w:val="00CC1245"/>
    <w:rsid w:val="00CC3652"/>
    <w:rsid w:val="00CC7F22"/>
    <w:rsid w:val="00CE04A9"/>
    <w:rsid w:val="00D73B55"/>
    <w:rsid w:val="00DF0092"/>
    <w:rsid w:val="00E4565F"/>
    <w:rsid w:val="00E4736F"/>
    <w:rsid w:val="00E63F68"/>
    <w:rsid w:val="00E75B6C"/>
    <w:rsid w:val="00EA0686"/>
    <w:rsid w:val="00EC3B8B"/>
    <w:rsid w:val="00F005EC"/>
    <w:rsid w:val="00F02881"/>
    <w:rsid w:val="00F21A05"/>
    <w:rsid w:val="00F43822"/>
    <w:rsid w:val="00F93A31"/>
    <w:rsid w:val="00FB3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192BE"/>
  <w15:chartTrackingRefBased/>
  <w15:docId w15:val="{E288C968-FA9A-4E24-93A7-E8146E010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64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5EF"/>
    <w:rPr>
      <w:rFonts w:eastAsiaTheme="majorEastAsia" w:cstheme="majorBidi"/>
      <w:color w:val="272727" w:themeColor="text1" w:themeTint="D8"/>
    </w:rPr>
  </w:style>
  <w:style w:type="paragraph" w:styleId="Title">
    <w:name w:val="Title"/>
    <w:basedOn w:val="Normal"/>
    <w:next w:val="Normal"/>
    <w:link w:val="TitleChar"/>
    <w:uiPriority w:val="10"/>
    <w:qFormat/>
    <w:rsid w:val="00964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5EF"/>
    <w:pPr>
      <w:spacing w:before="160"/>
      <w:jc w:val="center"/>
    </w:pPr>
    <w:rPr>
      <w:i/>
      <w:iCs/>
      <w:color w:val="404040" w:themeColor="text1" w:themeTint="BF"/>
    </w:rPr>
  </w:style>
  <w:style w:type="character" w:customStyle="1" w:styleId="QuoteChar">
    <w:name w:val="Quote Char"/>
    <w:basedOn w:val="DefaultParagraphFont"/>
    <w:link w:val="Quote"/>
    <w:uiPriority w:val="29"/>
    <w:rsid w:val="009645EF"/>
    <w:rPr>
      <w:i/>
      <w:iCs/>
      <w:color w:val="404040" w:themeColor="text1" w:themeTint="BF"/>
    </w:rPr>
  </w:style>
  <w:style w:type="paragraph" w:styleId="ListParagraph">
    <w:name w:val="List Paragraph"/>
    <w:basedOn w:val="Normal"/>
    <w:uiPriority w:val="34"/>
    <w:qFormat/>
    <w:rsid w:val="009645EF"/>
    <w:pPr>
      <w:ind w:left="720"/>
      <w:contextualSpacing/>
    </w:pPr>
  </w:style>
  <w:style w:type="character" w:styleId="IntenseEmphasis">
    <w:name w:val="Intense Emphasis"/>
    <w:basedOn w:val="DefaultParagraphFont"/>
    <w:uiPriority w:val="21"/>
    <w:qFormat/>
    <w:rsid w:val="009645EF"/>
    <w:rPr>
      <w:i/>
      <w:iCs/>
      <w:color w:val="0F4761" w:themeColor="accent1" w:themeShade="BF"/>
    </w:rPr>
  </w:style>
  <w:style w:type="paragraph" w:styleId="IntenseQuote">
    <w:name w:val="Intense Quote"/>
    <w:basedOn w:val="Normal"/>
    <w:next w:val="Normal"/>
    <w:link w:val="IntenseQuoteChar"/>
    <w:uiPriority w:val="30"/>
    <w:qFormat/>
    <w:rsid w:val="00964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5EF"/>
    <w:rPr>
      <w:i/>
      <w:iCs/>
      <w:color w:val="0F4761" w:themeColor="accent1" w:themeShade="BF"/>
    </w:rPr>
  </w:style>
  <w:style w:type="character" w:styleId="IntenseReference">
    <w:name w:val="Intense Reference"/>
    <w:basedOn w:val="DefaultParagraphFont"/>
    <w:uiPriority w:val="32"/>
    <w:qFormat/>
    <w:rsid w:val="009645EF"/>
    <w:rPr>
      <w:b/>
      <w:bCs/>
      <w:smallCaps/>
      <w:color w:val="0F4761" w:themeColor="accent1" w:themeShade="BF"/>
      <w:spacing w:val="5"/>
    </w:rPr>
  </w:style>
  <w:style w:type="table" w:styleId="TableGrid">
    <w:name w:val="Table Grid"/>
    <w:basedOn w:val="TableNormal"/>
    <w:uiPriority w:val="39"/>
    <w:rsid w:val="005A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48D8"/>
    <w:rPr>
      <w:color w:val="0000FF"/>
      <w:u w:val="single"/>
    </w:rPr>
  </w:style>
  <w:style w:type="character" w:styleId="UnresolvedMention">
    <w:name w:val="Unresolved Mention"/>
    <w:basedOn w:val="DefaultParagraphFont"/>
    <w:uiPriority w:val="99"/>
    <w:semiHidden/>
    <w:unhideWhenUsed/>
    <w:rsid w:val="00A471CC"/>
    <w:rPr>
      <w:color w:val="605E5C"/>
      <w:shd w:val="clear" w:color="auto" w:fill="E1DFDD"/>
    </w:rPr>
  </w:style>
  <w:style w:type="character" w:styleId="FollowedHyperlink">
    <w:name w:val="FollowedHyperlink"/>
    <w:basedOn w:val="DefaultParagraphFont"/>
    <w:uiPriority w:val="99"/>
    <w:semiHidden/>
    <w:unhideWhenUsed/>
    <w:rsid w:val="00A471C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8198767/" TargetMode="External"/><Relationship Id="rId13" Type="http://schemas.openxmlformats.org/officeDocument/2006/relationships/hyperlink" Target="https://pmc.ncbi.nlm.nih.gov/articles/PMC7559167/" TargetMode="External"/><Relationship Id="rId18" Type="http://schemas.openxmlformats.org/officeDocument/2006/relationships/hyperlink" Target="https://jamanetwork.com/journals/jamainternalmedicin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ubmed.ncbi.nlm.nih.gov/29505159/" TargetMode="External"/><Relationship Id="rId7" Type="http://schemas.openxmlformats.org/officeDocument/2006/relationships/hyperlink" Target="https://www.bmj.com/content/377/bmj.o945" TargetMode="External"/><Relationship Id="rId12" Type="http://schemas.openxmlformats.org/officeDocument/2006/relationships/hyperlink" Target="https://pmc.ncbi.nlm.nih.gov/articles/PMC5537573/" TargetMode="External"/><Relationship Id="rId17" Type="http://schemas.openxmlformats.org/officeDocument/2006/relationships/hyperlink" Target="https://www.england.nhs.uk/ournhspeop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mc.ncbi.nlm.nih.gov/articles/PMC6369648/" TargetMode="External"/><Relationship Id="rId20" Type="http://schemas.openxmlformats.org/officeDocument/2006/relationships/hyperlink" Target="https://pubmed.ncbi.nlm.nih.gov/22911330/" TargetMode="External"/><Relationship Id="rId1" Type="http://schemas.openxmlformats.org/officeDocument/2006/relationships/numbering" Target="numbering.xml"/><Relationship Id="rId6" Type="http://schemas.openxmlformats.org/officeDocument/2006/relationships/hyperlink" Target="https://www.bma.org.uk/advice-and-support/nhs-delivery-and-workforce/workforce/workforce-report" TargetMode="External"/><Relationship Id="rId11" Type="http://schemas.openxmlformats.org/officeDocument/2006/relationships/hyperlink" Target="https://journals.plos.org/plosone/article?id=10.1371/journal.pone.0159015" TargetMode="External"/><Relationship Id="rId24" Type="http://schemas.openxmlformats.org/officeDocument/2006/relationships/hyperlink" Target="https://www.who.int/publications/i/item/9789240003279" TargetMode="External"/><Relationship Id="rId5" Type="http://schemas.openxmlformats.org/officeDocument/2006/relationships/hyperlink" Target="https://www.mheducation.co.uk/doing-a-literature-review-in-health-and-social-care-a-practical-guide-5e-9780335251940-emea-group" TargetMode="External"/><Relationship Id="rId15" Type="http://schemas.openxmlformats.org/officeDocument/2006/relationships/hyperlink" Target="https://pmc.ncbi.nlm.nih.gov/articles/PMC4911781/" TargetMode="External"/><Relationship Id="rId23" Type="http://schemas.openxmlformats.org/officeDocument/2006/relationships/hyperlink" Target="https://www.who.int/news/item/28-05-2019-burn-out-an-occupational-phenomenon-international-classification-of-diseases" TargetMode="External"/><Relationship Id="rId10" Type="http://schemas.openxmlformats.org/officeDocument/2006/relationships/hyperlink" Target="https://pmc.ncbi.nlm.nih.gov/articles/PMC7844932/" TargetMode="External"/><Relationship Id="rId19" Type="http://schemas.openxmlformats.org/officeDocument/2006/relationships/hyperlink" Target="https://jamanetwork.com/journals/jama/fullarticle/2693464" TargetMode="External"/><Relationship Id="rId4" Type="http://schemas.openxmlformats.org/officeDocument/2006/relationships/webSettings" Target="webSettings.xml"/><Relationship Id="rId9" Type="http://schemas.openxmlformats.org/officeDocument/2006/relationships/hyperlink" Target="https://pmc.ncbi.nlm.nih.gov/articles/PMC8083639/" TargetMode="External"/><Relationship Id="rId14" Type="http://schemas.openxmlformats.org/officeDocument/2006/relationships/hyperlink" Target="https://bmjopen.bmj.com/content/11/1/e045127" TargetMode="External"/><Relationship Id="rId22" Type="http://schemas.openxmlformats.org/officeDocument/2006/relationships/hyperlink" Target="https://www.gmc-uk.org/cdn/documents/caring-for-doctors-caring-for-patients_pdf-8070634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125</TotalTime>
  <Pages>15</Pages>
  <Words>4928</Words>
  <Characters>28092</Characters>
  <Application>Microsoft Office Word</Application>
  <DocSecurity>0</DocSecurity>
  <Lines>234</Lines>
  <Paragraphs>65</Paragraphs>
  <ScaleCrop>false</ScaleCrop>
  <Company/>
  <LinksUpToDate>false</LinksUpToDate>
  <CharactersWithSpaces>32955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Trasnea</dc:creator>
  <cp:keywords/>
  <dc:description/>
  <cp:lastModifiedBy>Elena Trasnea</cp:lastModifiedBy>
  <cp:revision>113</cp:revision>
  <dcterms:created xsi:type="dcterms:W3CDTF">2026-02-28T16:18:00Z</dcterms:created>
  <dcterms:modified xsi:type="dcterms:W3CDTF">2026-03-19T17:49:00Z</dcterms:modified>
</cp:coreProperties>
</file>