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p>
    <w:p>
      <w:pPr>
        <w:pStyle w:val="Title"/>
      </w:pPr>
    </w:p>
    <w:p>
      <w:pPr>
        <w:pStyle w:val="Title"/>
      </w:pPr>
    </w:p>
    <w:p>
      <w:pPr>
        <w:pStyle w:val="Title"/>
      </w:pPr>
    </w:p>
    <w:p>
      <w:pPr>
        <w:pStyle w:val="Title"/>
      </w:pPr>
    </w:p>
    <w:p>
      <w:pPr>
        <w:pStyle w:val="Title"/>
      </w:pPr>
    </w:p>
    <w:p>
      <w:pPr>
        <w:pStyle w:val="Title"/>
      </w:pPr>
    </w:p>
    <w:p>
      <w:pPr>
        <w:pStyle w:val="Title"/>
        <w:rPr>
          <w:rFonts w:ascii="Arial" w:hAnsi="Arial"/>
          <w:i w:val="1"/>
          <w:iCs w:val="1"/>
          <w:sz w:val="40"/>
          <w:szCs w:val="40"/>
          <w:u w:val="none"/>
        </w:rPr>
      </w:pPr>
    </w:p>
    <w:p>
      <w:pPr>
        <w:pStyle w:val="Title"/>
        <w:rPr>
          <w:rFonts w:ascii="Arial" w:hAnsi="Arial"/>
          <w:i w:val="1"/>
          <w:iCs w:val="1"/>
          <w:sz w:val="40"/>
          <w:szCs w:val="40"/>
          <w:u w:val="none"/>
        </w:rPr>
      </w:pPr>
    </w:p>
    <w:p>
      <w:pPr>
        <w:pStyle w:val="Title"/>
        <w:rPr>
          <w:rFonts w:ascii="Arial" w:hAnsi="Arial"/>
          <w:i w:val="1"/>
          <w:iCs w:val="1"/>
          <w:sz w:val="40"/>
          <w:szCs w:val="40"/>
          <w:u w:val="none"/>
        </w:rPr>
      </w:pPr>
    </w:p>
    <w:p>
      <w:pPr>
        <w:pStyle w:val="Title"/>
        <w:rPr>
          <w:rFonts w:ascii="Arial" w:cs="Arial" w:hAnsi="Arial" w:eastAsia="Arial"/>
          <w:i w:val="1"/>
          <w:iCs w:val="1"/>
          <w:sz w:val="40"/>
          <w:szCs w:val="40"/>
          <w:u w:val="none"/>
        </w:rPr>
      </w:pPr>
      <w:r>
        <w:rPr>
          <w:rFonts w:ascii="Arial" w:hAnsi="Arial"/>
          <w:i w:val="1"/>
          <w:iCs w:val="1"/>
          <w:sz w:val="40"/>
          <w:szCs w:val="40"/>
          <w:u w:val="none"/>
          <w:rtl w:val="0"/>
          <w:lang w:val="en-US"/>
        </w:rPr>
        <w:t>Coaching &amp; Mentoring Skills for the Workplace (Reflective Statement)</w:t>
      </w:r>
      <w:r>
        <w:drawing xmlns:a="http://schemas.openxmlformats.org/drawingml/2006/main">
          <wp:anchor distT="152400" distB="152400" distL="152400" distR="152400" simplePos="0" relativeHeight="251659264" behindDoc="0" locked="0" layoutInCell="1" allowOverlap="1">
            <wp:simplePos x="0" y="0"/>
            <wp:positionH relativeFrom="page">
              <wp:posOffset>0</wp:posOffset>
            </wp:positionH>
            <wp:positionV relativeFrom="page">
              <wp:posOffset>304800</wp:posOffset>
            </wp:positionV>
            <wp:extent cx="4042103" cy="2245613"/>
            <wp:effectExtent l="0" t="0" r="0" b="0"/>
            <wp:wrapSquare wrapText="bothSides" distL="152400" distR="152400" distT="152400" distB="152400"/>
            <wp:docPr id="1073741825" name="officeArt object" descr="university-of-wales-trinity-saint-david-logo-vector.png"/>
            <wp:cNvGraphicFramePr/>
            <a:graphic xmlns:a="http://schemas.openxmlformats.org/drawingml/2006/main">
              <a:graphicData uri="http://schemas.openxmlformats.org/drawingml/2006/picture">
                <pic:pic xmlns:pic="http://schemas.openxmlformats.org/drawingml/2006/picture">
                  <pic:nvPicPr>
                    <pic:cNvPr id="1073741825" name="university-of-wales-trinity-saint-david-logo-vector.png" descr="university-of-wales-trinity-saint-david-logo-vector.png"/>
                    <pic:cNvPicPr>
                      <a:picLocks noChangeAspect="1"/>
                    </pic:cNvPicPr>
                  </pic:nvPicPr>
                  <pic:blipFill>
                    <a:blip r:embed="rId4">
                      <a:extLst/>
                    </a:blip>
                    <a:srcRect l="0" t="0" r="0" b="0"/>
                    <a:stretch>
                      <a:fillRect/>
                    </a:stretch>
                  </pic:blipFill>
                  <pic:spPr>
                    <a:xfrm>
                      <a:off x="0" y="0"/>
                      <a:ext cx="4042103" cy="2245613"/>
                    </a:xfrm>
                    <a:prstGeom prst="rect">
                      <a:avLst/>
                    </a:prstGeom>
                    <a:ln w="12700" cap="flat">
                      <a:noFill/>
                      <a:miter lim="400000"/>
                    </a:ln>
                    <a:effectLst>
                      <a:outerShdw sx="100000" sy="100000" kx="0" ky="0" algn="b" rotWithShape="0" blurRad="558800" dist="139700" dir="0">
                        <a:srgbClr val="000000">
                          <a:alpha val="86380"/>
                        </a:srgbClr>
                      </a:outerShdw>
                      <a:reflection blurRad="0" stA="50000" stPos="0" endA="0" endPos="40000" dist="0" dir="5400000" fadeDir="5400000" sx="100000" sy="-100000" kx="0" ky="0" algn="bl" rotWithShape="0"/>
                    </a:effectLst>
                  </pic:spPr>
                </pic:pic>
              </a:graphicData>
            </a:graphic>
          </wp:anchor>
        </w:drawing>
      </w:r>
    </w:p>
    <w:p>
      <w:pPr>
        <w:pStyle w:val="Body"/>
        <w:rPr>
          <w:b w:val="1"/>
          <w:bCs w:val="1"/>
          <w:i w:val="1"/>
          <w:iCs w:val="1"/>
          <w:sz w:val="40"/>
          <w:szCs w:val="40"/>
        </w:rPr>
      </w:pPr>
      <w:r>
        <w:rPr>
          <w:rtl w:val="0"/>
          <w:lang w:val="en-US"/>
        </w:rPr>
        <w:t xml:space="preserve">                                                            </w:t>
      </w:r>
      <w:r>
        <w:rPr>
          <w:sz w:val="40"/>
          <w:szCs w:val="40"/>
          <w:rtl w:val="0"/>
          <w:lang w:val="en-US"/>
        </w:rPr>
        <w:t xml:space="preserve">    </w:t>
      </w:r>
      <w:r>
        <w:rPr>
          <w:b w:val="1"/>
          <w:bCs w:val="1"/>
          <w:i w:val="1"/>
          <w:iCs w:val="1"/>
          <w:sz w:val="34"/>
          <w:szCs w:val="34"/>
          <w:rtl w:val="0"/>
          <w:lang w:val="en-US"/>
        </w:rPr>
        <w:t>BA(HONS)</w:t>
      </w:r>
    </w:p>
    <w:p>
      <w:pPr>
        <w:pStyle w:val="Title"/>
        <w:rPr>
          <w:u w:val="none"/>
          <w:lang w:val="en-US"/>
        </w:rPr>
      </w:pPr>
    </w:p>
    <w:p>
      <w:pPr>
        <w:pStyle w:val="Title"/>
      </w:pPr>
    </w:p>
    <w:tbl>
      <w:tblPr>
        <w:tblW w:w="9340" w:type="dxa"/>
        <w:jc w:val="center"/>
        <w:tblInd w:w="108" w:type="dxa"/>
        <w:tblBorders>
          <w:top w:val="single" w:color="000000" w:sz="8" w:space="0" w:shadow="0" w:frame="0"/>
          <w:left w:val="single" w:color="000000" w:sz="8" w:space="0" w:shadow="0" w:frame="0"/>
          <w:bottom w:val="single" w:color="000000" w:sz="8" w:space="0" w:shadow="0" w:frame="0"/>
          <w:right w:val="single" w:color="000000" w:sz="8" w:space="0" w:shadow="0" w:frame="0"/>
          <w:insideH w:val="single" w:color="000000" w:sz="8" w:space="0" w:shadow="0" w:frame="0"/>
          <w:insideV w:val="single" w:color="000000" w:sz="8" w:space="0" w:shadow="0" w:frame="0"/>
        </w:tblBorders>
        <w:shd w:val="clear" w:color="auto" w:fill="000000"/>
        <w:tblLayout w:type="fixed"/>
      </w:tblPr>
      <w:tblGrid>
        <w:gridCol w:w="4670"/>
        <w:gridCol w:w="4670"/>
      </w:tblGrid>
      <w:tr>
        <w:tblPrEx>
          <w:shd w:val="clear" w:color="auto" w:fill="000000"/>
        </w:tblPrEx>
        <w:trPr>
          <w:trHeight w:val="5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pStyle w:val="Title"/>
            </w:pPr>
            <w:r>
              <w:rPr>
                <w:rFonts w:ascii="Arial" w:hAnsi="Arial"/>
                <w:u w:val="none"/>
                <w:rtl w:val="0"/>
              </w:rPr>
              <w:t>Module Code</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pStyle w:val="Title"/>
            </w:pPr>
            <w:r>
              <w:rPr>
                <w:rFonts w:ascii="Arial" w:hAnsi="Arial"/>
                <w:u w:val="none"/>
                <w:rtl w:val="0"/>
              </w:rPr>
              <w:t>BMSW6105</w:t>
            </w:r>
          </w:p>
        </w:tc>
      </w:tr>
      <w:tr>
        <w:tblPrEx>
          <w:shd w:val="clear" w:color="auto" w:fill="000000"/>
        </w:tblPrEx>
        <w:trPr>
          <w:trHeight w:val="5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pStyle w:val="Title"/>
            </w:pPr>
            <w:r>
              <w:rPr>
                <w:rFonts w:ascii="Arial" w:hAnsi="Arial"/>
                <w:u w:val="none"/>
                <w:rtl w:val="0"/>
              </w:rPr>
              <w:t>Student Name</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center"/>
              <w:outlineLvl w:val="0"/>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rtl w:val="0"/>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lang w:val="it-IT"/>
                <w14:textOutline w14:w="12700" w14:cap="flat">
                  <w14:noFill/>
                  <w14:miter w14:lim="400000"/>
                </w14:textOutline>
                <w14:textFill>
                  <w14:solidFill>
                    <w14:srgbClr w14:val="000000"/>
                  </w14:solidFill>
                </w14:textFill>
              </w:rPr>
              <w:t xml:space="preserve">  Almpiona Ntemai</w:t>
            </w:r>
          </w:p>
        </w:tc>
      </w:tr>
      <w:tr>
        <w:tblPrEx>
          <w:shd w:val="clear" w:color="auto" w:fill="000000"/>
        </w:tblPrEx>
        <w:trPr>
          <w:trHeight w:val="5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pStyle w:val="Title"/>
            </w:pPr>
            <w:r>
              <w:rPr>
                <w:rFonts w:ascii="Arial" w:hAnsi="Arial"/>
                <w:u w:val="none"/>
                <w:rtl w:val="0"/>
                <w:lang w:val="en-US"/>
              </w:rPr>
              <w:t>Student ID</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center"/>
              <w:outlineLvl w:val="0"/>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w="12700" w14:cap="flat">
                  <w14:noFill/>
                  <w14:miter w14:lim="400000"/>
                </w14:textOutline>
                <w14:textFill>
                  <w14:solidFill>
                    <w14:srgbClr w14:val="000000"/>
                  </w14:solidFill>
                </w14:textFill>
              </w:rPr>
              <w:t>1920427</w:t>
            </w:r>
          </w:p>
        </w:tc>
      </w:tr>
      <w:tr>
        <w:tblPrEx>
          <w:shd w:val="clear" w:color="auto" w:fill="000000"/>
        </w:tblPrEx>
        <w:trPr>
          <w:trHeight w:val="560" w:hRule="atLeast"/>
        </w:trPr>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center"/>
              <w:outlineLvl w:val="0"/>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w="12700" w14:cap="flat">
                  <w14:noFill/>
                  <w14:miter w14:lim="400000"/>
                </w14:textOutline>
                <w14:textFill>
                  <w14:solidFill>
                    <w14:srgbClr w14:val="000000"/>
                  </w14:solidFill>
                </w14:textFill>
              </w:rPr>
              <w:t>Lecturer Name</w:t>
            </w:r>
          </w:p>
        </w:tc>
        <w:tc>
          <w:tcPr>
            <w:tcW w:type="dxa" w:w="46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efe"/>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center"/>
              <w:outlineLvl w:val="0"/>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rtl w:val="0"/>
                <w14:textOutline w14:w="12700" w14:cap="flat">
                  <w14:noFill/>
                  <w14:miter w14:lim="400000"/>
                </w14:textOutline>
                <w14:textFill>
                  <w14:solidFill>
                    <w14:srgbClr w14:val="000000"/>
                  </w14:solidFill>
                </w14:textFill>
              </w:rPr>
              <w:t>Rexon Nting</w:t>
            </w:r>
          </w:p>
        </w:tc>
      </w:tr>
    </w:tbl>
    <w:p>
      <w:pPr>
        <w:pStyle w:val="Title"/>
      </w:pPr>
    </w:p>
    <w:p>
      <w:pPr>
        <w:pStyle w:val="Title"/>
        <w:rPr>
          <w:i w:val="1"/>
          <w:iCs w:val="1"/>
          <w:sz w:val="40"/>
          <w:szCs w:val="40"/>
          <w:u w:val="none"/>
          <w:lang w:val="en-US"/>
        </w:rPr>
      </w:pPr>
    </w:p>
    <w:p>
      <w:pPr>
        <w:pStyle w:val="Title"/>
      </w:pPr>
      <w:r>
        <w:rPr>
          <w:rFonts w:ascii="Arial Unicode MS" w:cs="Arial Unicode MS" w:hAnsi="Arial Unicode MS" w:eastAsia="Arial Unicode MS"/>
          <w:b w:val="0"/>
          <w:bCs w:val="0"/>
          <w:i w:val="0"/>
          <w:iCs w:val="0"/>
          <w:u w:val="none"/>
          <w:lang w:val="en-US"/>
        </w:rPr>
        <w:br w:type="page"/>
      </w:r>
    </w:p>
    <w:p>
      <w:pPr>
        <w:pStyle w:val="Title"/>
        <w:rPr>
          <w:rFonts w:ascii="Arial" w:cs="Arial" w:hAnsi="Arial" w:eastAsia="Arial"/>
          <w:sz w:val="28"/>
          <w:szCs w:val="28"/>
        </w:rPr>
      </w:pPr>
      <w:bookmarkStart w:name="_headingh.2et92p0" w:id="0"/>
      <w:bookmarkEnd w:id="0"/>
      <w:r>
        <w:rPr>
          <w:rFonts w:ascii="Arial" w:hAnsi="Arial"/>
          <w:sz w:val="28"/>
          <w:szCs w:val="28"/>
          <w:rtl w:val="0"/>
          <w:lang w:val="en-US"/>
        </w:rPr>
        <w:t>T</w:t>
      </w:r>
      <w:r>
        <w:rPr>
          <w:rFonts w:ascii="Arial" w:hAnsi="Arial"/>
          <w:sz w:val="28"/>
          <w:szCs w:val="28"/>
          <w:rtl w:val="0"/>
          <w:lang w:val="en-US"/>
        </w:rPr>
        <w:t>able of Contents</w:t>
      </w:r>
    </w:p>
    <w:p>
      <w:pPr>
        <w:pStyle w:val="Body"/>
        <w:widowControl w:val="0"/>
        <w:tabs>
          <w:tab w:val="right" w:pos="9340" w:leader="dot"/>
        </w:tabs>
      </w:pPr>
      <w:r>
        <w:rPr>
          <w:sz w:val="22"/>
          <w:szCs w:val="22"/>
        </w:rPr>
        <w:fldChar w:fldCharType="begin" w:fldLock="0"/>
      </w:r>
      <w:r>
        <w:rPr>
          <w:sz w:val="22"/>
          <w:szCs w:val="22"/>
        </w:rPr>
        <w:instrText xml:space="preserve"> TOC \o 1-2 </w:instrText>
      </w:r>
      <w:r>
        <w:rPr>
          <w:sz w:val="22"/>
          <w:szCs w:val="22"/>
        </w:rPr>
        <w:fldChar w:fldCharType="separate" w:fldLock="0"/>
      </w:r>
    </w:p>
    <w:p>
      <w:pPr>
        <w:pStyle w:val="TOC 1"/>
        <w:rPr>
          <w:rFonts w:ascii="Arial" w:cs="Arial" w:hAnsi="Arial" w:eastAsia="Arial"/>
        </w:rPr>
      </w:pPr>
      <w:r>
        <w:rPr>
          <w:rFonts w:ascii="Arial" w:hAnsi="Arial"/>
          <w:rtl w:val="0"/>
          <w:lang w:val="en-US"/>
        </w:rPr>
        <w:t>Introduction</w:t>
        <w:tab/>
      </w:r>
      <w:r>
        <w:rPr>
          <w:rFonts w:ascii="Arial" w:cs="Arial" w:hAnsi="Arial" w:eastAsia="Arial"/>
        </w:rPr>
        <w:fldChar w:fldCharType="begin" w:fldLock="0"/>
      </w:r>
      <w:r>
        <w:rPr>
          <w:rFonts w:ascii="Arial" w:cs="Arial" w:hAnsi="Arial" w:eastAsia="Arial"/>
        </w:rPr>
        <w:instrText xml:space="preserve"> PAGEREF _Toc \h </w:instrText>
      </w:r>
      <w:r>
        <w:rPr>
          <w:rFonts w:ascii="Arial" w:cs="Arial" w:hAnsi="Arial" w:eastAsia="Arial"/>
        </w:rPr>
        <w:fldChar w:fldCharType="separate" w:fldLock="0"/>
      </w:r>
      <w:r>
        <w:rPr>
          <w:rFonts w:ascii="Arial" w:hAnsi="Arial"/>
          <w:rtl w:val="0"/>
          <w:lang w:val="en-US"/>
        </w:rPr>
        <w:t>3</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Reflection (Gibbs Reflective Model)</w:t>
        <w:tab/>
      </w:r>
      <w:r>
        <w:rPr>
          <w:rFonts w:ascii="Arial" w:cs="Arial" w:hAnsi="Arial" w:eastAsia="Arial"/>
        </w:rPr>
        <w:fldChar w:fldCharType="begin" w:fldLock="0"/>
      </w:r>
      <w:r>
        <w:rPr>
          <w:rFonts w:ascii="Arial" w:cs="Arial" w:hAnsi="Arial" w:eastAsia="Arial"/>
        </w:rPr>
        <w:instrText xml:space="preserve"> PAGEREF _Toc1 \h </w:instrText>
      </w:r>
      <w:r>
        <w:rPr>
          <w:rFonts w:ascii="Arial" w:cs="Arial" w:hAnsi="Arial" w:eastAsia="Arial"/>
        </w:rPr>
        <w:fldChar w:fldCharType="separate" w:fldLock="0"/>
      </w:r>
      <w:r>
        <w:rPr>
          <w:rFonts w:ascii="Arial" w:hAnsi="Arial"/>
          <w:rtl w:val="0"/>
          <w:lang w:val="en-US"/>
        </w:rPr>
        <w:t>3</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Description</w:t>
        <w:tab/>
      </w:r>
      <w:r>
        <w:rPr>
          <w:rFonts w:ascii="Arial" w:cs="Arial" w:hAnsi="Arial" w:eastAsia="Arial"/>
        </w:rPr>
        <w:fldChar w:fldCharType="begin" w:fldLock="0"/>
      </w:r>
      <w:r>
        <w:rPr>
          <w:rFonts w:ascii="Arial" w:cs="Arial" w:hAnsi="Arial" w:eastAsia="Arial"/>
        </w:rPr>
        <w:instrText xml:space="preserve"> PAGEREF _Toc2 \h </w:instrText>
      </w:r>
      <w:r>
        <w:rPr>
          <w:rFonts w:ascii="Arial" w:cs="Arial" w:hAnsi="Arial" w:eastAsia="Arial"/>
        </w:rPr>
        <w:fldChar w:fldCharType="separate" w:fldLock="0"/>
      </w:r>
      <w:r>
        <w:rPr>
          <w:rFonts w:ascii="Arial" w:hAnsi="Arial"/>
          <w:rtl w:val="0"/>
          <w:lang w:val="en-US"/>
        </w:rPr>
        <w:t>3</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Feelings</w:t>
        <w:tab/>
      </w:r>
      <w:r>
        <w:rPr>
          <w:rFonts w:ascii="Arial" w:cs="Arial" w:hAnsi="Arial" w:eastAsia="Arial"/>
        </w:rPr>
        <w:fldChar w:fldCharType="begin" w:fldLock="0"/>
      </w:r>
      <w:r>
        <w:rPr>
          <w:rFonts w:ascii="Arial" w:cs="Arial" w:hAnsi="Arial" w:eastAsia="Arial"/>
        </w:rPr>
        <w:instrText xml:space="preserve"> PAGEREF _Toc3 \h </w:instrText>
      </w:r>
      <w:r>
        <w:rPr>
          <w:rFonts w:ascii="Arial" w:cs="Arial" w:hAnsi="Arial" w:eastAsia="Arial"/>
        </w:rPr>
        <w:fldChar w:fldCharType="separate" w:fldLock="0"/>
      </w:r>
      <w:r>
        <w:rPr>
          <w:rFonts w:ascii="Arial" w:hAnsi="Arial"/>
          <w:rtl w:val="0"/>
          <w:lang w:val="en-US"/>
        </w:rPr>
        <w:t>4</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Evaluation</w:t>
        <w:tab/>
      </w:r>
      <w:r>
        <w:rPr>
          <w:rFonts w:ascii="Arial" w:cs="Arial" w:hAnsi="Arial" w:eastAsia="Arial"/>
        </w:rPr>
        <w:fldChar w:fldCharType="begin" w:fldLock="0"/>
      </w:r>
      <w:r>
        <w:rPr>
          <w:rFonts w:ascii="Arial" w:cs="Arial" w:hAnsi="Arial" w:eastAsia="Arial"/>
        </w:rPr>
        <w:instrText xml:space="preserve"> PAGEREF _Toc4 \h </w:instrText>
      </w:r>
      <w:r>
        <w:rPr>
          <w:rFonts w:ascii="Arial" w:cs="Arial" w:hAnsi="Arial" w:eastAsia="Arial"/>
        </w:rPr>
        <w:fldChar w:fldCharType="separate" w:fldLock="0"/>
      </w:r>
      <w:r>
        <w:rPr>
          <w:rFonts w:ascii="Arial" w:hAnsi="Arial"/>
          <w:rtl w:val="0"/>
          <w:lang w:val="en-US"/>
        </w:rPr>
        <w:t>5</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Analysis</w:t>
        <w:tab/>
      </w:r>
      <w:r>
        <w:rPr>
          <w:rFonts w:ascii="Arial" w:cs="Arial" w:hAnsi="Arial" w:eastAsia="Arial"/>
        </w:rPr>
        <w:fldChar w:fldCharType="begin" w:fldLock="0"/>
      </w:r>
      <w:r>
        <w:rPr>
          <w:rFonts w:ascii="Arial" w:cs="Arial" w:hAnsi="Arial" w:eastAsia="Arial"/>
        </w:rPr>
        <w:instrText xml:space="preserve"> PAGEREF _Toc5 \h </w:instrText>
      </w:r>
      <w:r>
        <w:rPr>
          <w:rFonts w:ascii="Arial" w:cs="Arial" w:hAnsi="Arial" w:eastAsia="Arial"/>
        </w:rPr>
        <w:fldChar w:fldCharType="separate" w:fldLock="0"/>
      </w:r>
      <w:r>
        <w:rPr>
          <w:rFonts w:ascii="Arial" w:hAnsi="Arial"/>
          <w:rtl w:val="0"/>
          <w:lang w:val="en-US"/>
        </w:rPr>
        <w:t>5</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Conclusion</w:t>
        <w:tab/>
      </w:r>
      <w:r>
        <w:rPr>
          <w:rFonts w:ascii="Arial" w:cs="Arial" w:hAnsi="Arial" w:eastAsia="Arial"/>
        </w:rPr>
        <w:fldChar w:fldCharType="begin" w:fldLock="0"/>
      </w:r>
      <w:r>
        <w:rPr>
          <w:rFonts w:ascii="Arial" w:cs="Arial" w:hAnsi="Arial" w:eastAsia="Arial"/>
        </w:rPr>
        <w:instrText xml:space="preserve"> PAGEREF _Toc6 \h </w:instrText>
      </w:r>
      <w:r>
        <w:rPr>
          <w:rFonts w:ascii="Arial" w:cs="Arial" w:hAnsi="Arial" w:eastAsia="Arial"/>
        </w:rPr>
        <w:fldChar w:fldCharType="separate" w:fldLock="0"/>
      </w:r>
      <w:r>
        <w:rPr>
          <w:rFonts w:ascii="Arial" w:hAnsi="Arial"/>
          <w:rtl w:val="0"/>
          <w:lang w:val="en-US"/>
        </w:rPr>
        <w:t>6</w:t>
      </w:r>
      <w:r>
        <w:rPr>
          <w:rFonts w:ascii="Arial" w:cs="Arial" w:hAnsi="Arial" w:eastAsia="Arial"/>
        </w:rPr>
        <w:fldChar w:fldCharType="end" w:fldLock="0"/>
      </w:r>
    </w:p>
    <w:p>
      <w:pPr>
        <w:pStyle w:val="TOC 2"/>
        <w:rPr>
          <w:rFonts w:ascii="Arial" w:cs="Arial" w:hAnsi="Arial" w:eastAsia="Arial"/>
        </w:rPr>
      </w:pPr>
      <w:r>
        <w:rPr>
          <w:rFonts w:ascii="Arial" w:hAnsi="Arial"/>
          <w:rtl w:val="0"/>
          <w:lang w:val="en-US"/>
        </w:rPr>
        <w:t>Action Plan</w:t>
        <w:tab/>
      </w:r>
      <w:r>
        <w:rPr>
          <w:rFonts w:ascii="Arial" w:cs="Arial" w:hAnsi="Arial" w:eastAsia="Arial"/>
        </w:rPr>
        <w:fldChar w:fldCharType="begin" w:fldLock="0"/>
      </w:r>
      <w:r>
        <w:rPr>
          <w:rFonts w:ascii="Arial" w:cs="Arial" w:hAnsi="Arial" w:eastAsia="Arial"/>
        </w:rPr>
        <w:instrText xml:space="preserve"> PAGEREF _Toc7 \h </w:instrText>
      </w:r>
      <w:r>
        <w:rPr>
          <w:rFonts w:ascii="Arial" w:cs="Arial" w:hAnsi="Arial" w:eastAsia="Arial"/>
        </w:rPr>
        <w:fldChar w:fldCharType="separate" w:fldLock="0"/>
      </w:r>
      <w:r>
        <w:rPr>
          <w:rFonts w:ascii="Arial" w:hAnsi="Arial"/>
          <w:rtl w:val="0"/>
          <w:lang w:val="en-US"/>
        </w:rPr>
        <w:t>7</w:t>
      </w:r>
      <w:r>
        <w:rPr>
          <w:rFonts w:ascii="Arial" w:cs="Arial" w:hAnsi="Arial" w:eastAsia="Arial"/>
        </w:rPr>
        <w:fldChar w:fldCharType="end" w:fldLock="0"/>
      </w:r>
    </w:p>
    <w:p>
      <w:pPr>
        <w:pStyle w:val="TOC 1"/>
        <w:rPr>
          <w:rFonts w:ascii="Arial" w:cs="Arial" w:hAnsi="Arial" w:eastAsia="Arial"/>
        </w:rPr>
      </w:pPr>
      <w:r>
        <w:rPr>
          <w:rFonts w:ascii="Arial" w:hAnsi="Arial"/>
          <w:rtl w:val="0"/>
          <w:lang w:val="en-US"/>
        </w:rPr>
        <w:t>Conclusion</w:t>
        <w:tab/>
      </w:r>
      <w:r>
        <w:rPr>
          <w:rFonts w:ascii="Arial" w:cs="Arial" w:hAnsi="Arial" w:eastAsia="Arial"/>
        </w:rPr>
        <w:fldChar w:fldCharType="begin" w:fldLock="0"/>
      </w:r>
      <w:r>
        <w:rPr>
          <w:rFonts w:ascii="Arial" w:cs="Arial" w:hAnsi="Arial" w:eastAsia="Arial"/>
        </w:rPr>
        <w:instrText xml:space="preserve"> PAGEREF _Toc8 \h </w:instrText>
      </w:r>
      <w:r>
        <w:rPr>
          <w:rFonts w:ascii="Arial" w:cs="Arial" w:hAnsi="Arial" w:eastAsia="Arial"/>
        </w:rPr>
        <w:fldChar w:fldCharType="separate" w:fldLock="0"/>
      </w:r>
      <w:r>
        <w:rPr>
          <w:rFonts w:ascii="Arial" w:hAnsi="Arial"/>
          <w:rtl w:val="0"/>
          <w:lang w:val="en-US"/>
        </w:rPr>
        <w:t>8</w:t>
      </w:r>
      <w:r>
        <w:rPr>
          <w:rFonts w:ascii="Arial" w:cs="Arial" w:hAnsi="Arial" w:eastAsia="Arial"/>
        </w:rPr>
        <w:fldChar w:fldCharType="end" w:fldLock="0"/>
      </w:r>
    </w:p>
    <w:p>
      <w:pPr>
        <w:pStyle w:val="TOC 1"/>
      </w:pPr>
      <w:r>
        <w:rPr>
          <w:rFonts w:ascii="Arial" w:hAnsi="Arial"/>
          <w:rtl w:val="0"/>
          <w:lang w:val="en-US"/>
        </w:rPr>
        <w:t>References</w:t>
        <w:tab/>
      </w:r>
      <w:r>
        <w:rPr>
          <w:rFonts w:ascii="Arial" w:cs="Arial" w:hAnsi="Arial" w:eastAsia="Arial"/>
        </w:rPr>
        <w:fldChar w:fldCharType="begin" w:fldLock="0"/>
      </w:r>
      <w:r>
        <w:rPr>
          <w:rFonts w:ascii="Arial" w:cs="Arial" w:hAnsi="Arial" w:eastAsia="Arial"/>
        </w:rPr>
        <w:instrText xml:space="preserve"> PAGEREF _Toc9 \h </w:instrText>
      </w:r>
      <w:r>
        <w:rPr>
          <w:rFonts w:ascii="Arial" w:cs="Arial" w:hAnsi="Arial" w:eastAsia="Arial"/>
        </w:rPr>
        <w:fldChar w:fldCharType="separate" w:fldLock="0"/>
      </w:r>
      <w:r>
        <w:rPr>
          <w:rFonts w:ascii="Arial" w:hAnsi="Arial"/>
          <w:rtl w:val="0"/>
          <w:lang w:val="en-US"/>
        </w:rPr>
        <w:t>9</w:t>
      </w:r>
      <w:r>
        <w:rPr>
          <w:rFonts w:ascii="Arial" w:cs="Arial" w:hAnsi="Arial" w:eastAsia="Arial"/>
        </w:rPr>
        <w:fldChar w:fldCharType="end" w:fldLock="0"/>
      </w:r>
    </w:p>
    <w:p>
      <w:pPr>
        <w:widowControl w:val="0"/>
        <w:tabs>
          <w:tab w:val="right" w:pos="9340" w:leader="dot"/>
        </w:tabs>
        <w:rPr>
          <w:sz w:val="22"/>
          <w:szCs w:val="22"/>
        </w:rPr>
      </w:pPr>
      <w:r>
        <w:rPr>
          <w:sz w:val="22"/>
          <w:szCs w:val="22"/>
        </w:rPr>
        <w:fldChar w:fldCharType="end" w:fldLock="0"/>
      </w:r>
    </w:p>
    <w:p>
      <w:pPr>
        <w:pStyle w:val="Title"/>
        <w:jc w:val="left"/>
      </w:pPr>
      <w:bookmarkStart w:name="_headingh.3dy6vkm" w:id="1"/>
      <w:bookmarkEnd w:id="1"/>
      <w:r>
        <w:rPr>
          <w:rFonts w:ascii="Arial Unicode MS" w:cs="Arial Unicode MS" w:hAnsi="Arial Unicode MS" w:eastAsia="Arial Unicode MS"/>
          <w:b w:val="0"/>
          <w:bCs w:val="0"/>
          <w:i w:val="0"/>
          <w:iCs w:val="0"/>
        </w:rPr>
        <w:br w:type="page"/>
      </w:r>
    </w:p>
    <w:p>
      <w:pPr>
        <w:pStyle w:val="Heading"/>
        <w:rPr>
          <w:rFonts w:ascii="Arial" w:cs="Arial" w:hAnsi="Arial" w:eastAsia="Arial"/>
        </w:rPr>
      </w:pPr>
      <w:bookmarkStart w:name="_Toc" w:id="2"/>
      <w:bookmarkStart w:name="_headingh.1t3h5sf" w:id="3"/>
      <w:bookmarkEnd w:id="3"/>
      <w:r>
        <w:rPr>
          <w:rFonts w:ascii="Arial" w:hAnsi="Arial"/>
          <w:rtl w:val="0"/>
        </w:rPr>
        <w:t>I</w:t>
      </w:r>
      <w:r>
        <w:rPr>
          <w:rFonts w:ascii="Arial" w:hAnsi="Arial"/>
          <w:rtl w:val="0"/>
          <w:lang w:val="fr-FR"/>
        </w:rPr>
        <w:t xml:space="preserve">ntroduction </w:t>
      </w:r>
      <w:bookmarkEnd w:id="2"/>
    </w:p>
    <w:p>
      <w:pPr>
        <w:pStyle w:val="Body"/>
        <w:rPr>
          <w:rFonts w:ascii="Arial" w:cs="Arial" w:hAnsi="Arial" w:eastAsia="Arial"/>
          <w:sz w:val="22"/>
          <w:szCs w:val="22"/>
        </w:rPr>
      </w:pPr>
      <w:r>
        <w:rPr>
          <w:rFonts w:ascii="Arial" w:hAnsi="Arial"/>
          <w:sz w:val="22"/>
          <w:szCs w:val="22"/>
          <w:rtl w:val="0"/>
          <w:lang w:val="en-US"/>
        </w:rPr>
        <w:t>The following report will be prepared as a reflective portfolio. This will be executed and done with the model called Gibbs reflection. The report will engage all the crucial elements of the model with an aim to analyse different principles, values and skills related to coaching and mentoring. This will also provide an account of how I have carried out and performed during my coaching session.</w:t>
      </w:r>
    </w:p>
    <w:p>
      <w:pPr>
        <w:pStyle w:val="Heading"/>
        <w:rPr>
          <w:rFonts w:ascii="Arial" w:cs="Arial" w:hAnsi="Arial" w:eastAsia="Arial"/>
          <w:b w:val="0"/>
          <w:bCs w:val="0"/>
          <w:sz w:val="22"/>
          <w:szCs w:val="22"/>
        </w:rPr>
      </w:pPr>
      <w:bookmarkStart w:name="_Toc1" w:id="4"/>
      <w:bookmarkStart w:name="_headingh.4d34og8" w:id="5"/>
      <w:bookmarkEnd w:id="5"/>
      <w:r>
        <w:rPr>
          <w:rFonts w:ascii="Arial" w:hAnsi="Arial"/>
          <w:b w:val="0"/>
          <w:bCs w:val="0"/>
          <w:sz w:val="22"/>
          <w:szCs w:val="22"/>
          <w:rtl w:val="0"/>
        </w:rPr>
        <w:t>R</w:t>
      </w:r>
      <w:r>
        <w:rPr>
          <w:rFonts w:ascii="Arial" w:hAnsi="Arial"/>
          <w:b w:val="0"/>
          <w:bCs w:val="0"/>
          <w:sz w:val="22"/>
          <w:szCs w:val="22"/>
          <w:rtl w:val="0"/>
          <w:lang w:val="en-US"/>
        </w:rPr>
        <w:t>eflection (Gibbs Reflective Model)</w:t>
      </w:r>
      <w:bookmarkEnd w:id="4"/>
    </w:p>
    <w:p>
      <w:pPr>
        <w:pStyle w:val="Body"/>
        <w:rPr>
          <w:rFonts w:ascii="Arial" w:cs="Arial" w:hAnsi="Arial" w:eastAsia="Arial"/>
          <w:sz w:val="22"/>
          <w:szCs w:val="22"/>
        </w:rPr>
      </w:pPr>
      <w:r>
        <w:rPr>
          <w:rFonts w:ascii="Arial" w:hAnsi="Arial"/>
          <w:sz w:val="22"/>
          <w:szCs w:val="22"/>
          <w:rtl w:val="0"/>
          <w:lang w:val="en-US"/>
        </w:rPr>
        <w:t xml:space="preserve">There are various reflective models that can be used and incorporated to evaluate the last experiences. One of the models that I can use to examine and evaluate my own recent experience is the Gibbs Reflective Model. The Gibbs Reflective model has described and portrayed six effective stages that allow a systematic review of past experience. These elements presented by the model include description, feelings, evaluation and analysis, as well as conclusion and action plan (Adeani et al., 2020). I believe this model would allow me to understand the learning that I have gained within my coaching session as well as examination of my personal skills and prowess. </w:t>
      </w:r>
    </w:p>
    <w:p>
      <w:pPr>
        <w:pStyle w:val="Heading 2"/>
        <w:rPr>
          <w:rFonts w:ascii="Arial" w:cs="Arial" w:hAnsi="Arial" w:eastAsia="Arial"/>
        </w:rPr>
      </w:pPr>
      <w:bookmarkStart w:name="_Toc2" w:id="6"/>
      <w:bookmarkStart w:name="_headingh.2s8eyo1" w:id="7"/>
      <w:bookmarkEnd w:id="7"/>
      <w:r>
        <w:rPr>
          <w:rFonts w:ascii="Arial" w:hAnsi="Arial"/>
          <w:rtl w:val="0"/>
        </w:rPr>
        <w:t>D</w:t>
      </w:r>
      <w:r>
        <w:rPr>
          <w:rFonts w:ascii="Arial" w:hAnsi="Arial"/>
          <w:rtl w:val="0"/>
          <w:lang w:val="fr-FR"/>
        </w:rPr>
        <w:t xml:space="preserve">escription </w:t>
      </w:r>
      <w:bookmarkEnd w:id="6"/>
    </w:p>
    <w:p>
      <w:pPr>
        <w:pStyle w:val="Body"/>
        <w:rPr>
          <w:rFonts w:ascii="Arial" w:cs="Arial" w:hAnsi="Arial" w:eastAsia="Arial"/>
          <w:sz w:val="22"/>
          <w:szCs w:val="22"/>
        </w:rPr>
      </w:pPr>
      <w:r>
        <w:rPr>
          <w:rFonts w:ascii="Arial" w:hAnsi="Arial"/>
          <w:sz w:val="22"/>
          <w:szCs w:val="22"/>
          <w:rtl w:val="0"/>
          <w:lang w:val="en-US"/>
        </w:rPr>
        <w:t xml:space="preserve">Recently, I have engaged in a coaching session as a part of my learning process. The experience has been wonderful and a great opportunity for me to enhance my mentoring and coaching skills in the context of the workplace. Engaging in the session, I was a part of role-play activities where I was </w:t>
      </w:r>
      <w:r>
        <w:rPr>
          <w:rFonts w:ascii="Arial" w:hAnsi="Arial"/>
          <w:sz w:val="22"/>
          <w:szCs w:val="22"/>
          <w:u w:color="ff0000"/>
          <w:rtl w:val="0"/>
          <w:lang w:val="it-IT"/>
        </w:rPr>
        <w:t xml:space="preserve">Philippa </w:t>
      </w:r>
      <w:r>
        <w:rPr>
          <w:rFonts w:ascii="Arial" w:hAnsi="Arial"/>
          <w:sz w:val="22"/>
          <w:szCs w:val="22"/>
          <w:rtl w:val="0"/>
          <w:lang w:val="en-US"/>
        </w:rPr>
        <w:t xml:space="preserve">offering coaching and mentoring services and duties to Maria who was a microbiologist and an ambitious person. In the session, I was also provided with an opportunity to manage and deal with the issues and challenges faced by </w:t>
      </w:r>
      <w:r>
        <w:rPr>
          <w:rFonts w:ascii="Arial" w:hAnsi="Arial"/>
          <w:sz w:val="22"/>
          <w:szCs w:val="22"/>
          <w:u w:color="ff0000"/>
          <w:rtl w:val="0"/>
        </w:rPr>
        <w:t>Maria</w:t>
      </w:r>
      <w:r>
        <w:rPr>
          <w:rFonts w:ascii="Arial" w:hAnsi="Arial"/>
          <w:outline w:val="0"/>
          <w:color w:val="ff0000"/>
          <w:sz w:val="22"/>
          <w:szCs w:val="22"/>
          <w:u w:color="ff0000"/>
          <w:rtl w:val="0"/>
          <w14:textFill>
            <w14:solidFill>
              <w14:srgbClr w14:val="FF0000"/>
            </w14:solidFill>
          </w14:textFill>
        </w:rPr>
        <w:t>,</w:t>
      </w:r>
      <w:r>
        <w:rPr>
          <w:rFonts w:ascii="Arial" w:hAnsi="Arial"/>
          <w:sz w:val="22"/>
          <w:szCs w:val="22"/>
          <w:rtl w:val="0"/>
          <w:lang w:val="en-US"/>
        </w:rPr>
        <w:t xml:space="preserve"> regarding which I have incorporated a coaching model. Firstly, before initiating any forms of major actions for their career growth, I intended to ask different close-ended questions such as about her feelings, aims and goals and provided her phrases and situations such as What if. Based on this, I was able to understand that aim and ambition as well as her major weakness can be mitigated and managed through effective mentoring and coaching. </w:t>
      </w:r>
    </w:p>
    <w:p>
      <w:pPr>
        <w:pStyle w:val="Body"/>
        <w:rPr>
          <w:rFonts w:ascii="Arial" w:cs="Arial" w:hAnsi="Arial" w:eastAsia="Arial"/>
          <w:sz w:val="22"/>
          <w:szCs w:val="22"/>
        </w:rPr>
      </w:pPr>
      <w:r>
        <w:rPr>
          <w:rFonts w:ascii="Arial" w:hAnsi="Arial"/>
          <w:sz w:val="22"/>
          <w:szCs w:val="22"/>
          <w:rtl w:val="0"/>
          <w:lang w:val="en-US"/>
        </w:rPr>
        <w:t xml:space="preserve">During the session, I used a Grow model that involves four major aspects of an element. The key elements offered by the GROW coaching model include Goals, Current Reality, Options or obstacles and lastly will (Grant, 2022). </w:t>
      </w:r>
      <w:r>
        <w:rPr>
          <w:rFonts w:ascii="Arial" w:hAnsi="Arial"/>
          <w:sz w:val="22"/>
          <w:szCs w:val="22"/>
          <w:rtl w:val="0"/>
          <w:lang w:val="en-US"/>
        </w:rPr>
        <w:t xml:space="preserve">  </w:t>
      </w:r>
    </w:p>
    <w:p>
      <w:pPr>
        <w:pStyle w:val="Body"/>
        <w:rPr>
          <w:rFonts w:ascii="Arial" w:cs="Arial" w:hAnsi="Arial" w:eastAsia="Arial"/>
          <w:sz w:val="22"/>
          <w:szCs w:val="22"/>
        </w:rPr>
      </w:pPr>
      <w:r>
        <w:rPr>
          <w:rFonts w:ascii="Arial" w:hAnsi="Arial"/>
          <w:sz w:val="22"/>
          <w:szCs w:val="22"/>
          <w:rtl w:val="0"/>
          <w:lang w:val="en-US"/>
        </w:rPr>
        <w:t>Using the model,</w:t>
      </w:r>
      <w:r>
        <w:rPr>
          <w:rFonts w:ascii="Arial" w:hAnsi="Arial"/>
          <w:sz w:val="22"/>
          <w:szCs w:val="22"/>
          <w:rtl w:val="0"/>
          <w:lang w:val="en-US"/>
        </w:rPr>
        <w:t xml:space="preserve"> </w:t>
      </w:r>
      <w:r>
        <w:rPr>
          <w:rFonts w:ascii="Arial" w:hAnsi="Arial"/>
          <w:sz w:val="22"/>
          <w:szCs w:val="22"/>
          <w:rtl w:val="0"/>
          <w:lang w:val="en-US"/>
        </w:rPr>
        <w:t xml:space="preserve">I was able to underline goals and aims for Maria in terms of skills and knowledge development. Skills offer an individual with fundamentals to showcase and represent their effectiveness (Govt.nz, 2020). </w:t>
      </w:r>
    </w:p>
    <w:p>
      <w:pPr>
        <w:pStyle w:val="Body"/>
        <w:rPr>
          <w:rFonts w:ascii="Arial" w:cs="Arial" w:hAnsi="Arial" w:eastAsia="Arial"/>
          <w:sz w:val="22"/>
          <w:szCs w:val="22"/>
        </w:rPr>
      </w:pPr>
      <w:r>
        <w:rPr>
          <w:rFonts w:ascii="Arial" w:hAnsi="Arial"/>
          <w:sz w:val="22"/>
          <w:szCs w:val="22"/>
          <w:u w:color="ff0000"/>
          <w:rtl w:val="0"/>
          <w:lang w:val="en-US"/>
        </w:rPr>
        <w:t xml:space="preserve">Using the open-ended questions, I was able to retain different unexpected information and answers from Maria. For instance, her aspiration is to become a manager in a retail outlet. Understanding her responses of Maria in the interview, I have analysed these responses to learn and identify the major reason that is leading her to face challenges related to mental issues. Using the Model named GROW and implementing the aspect of setting objectives, I could understand that Maria was not happy at the company due to her being limited towards her goals and career aspirations. </w:t>
      </w:r>
    </w:p>
    <w:p>
      <w:pPr>
        <w:pStyle w:val="Body"/>
        <w:rPr>
          <w:rFonts w:ascii="Arial" w:cs="Arial" w:hAnsi="Arial" w:eastAsia="Arial"/>
          <w:sz w:val="22"/>
          <w:szCs w:val="22"/>
        </w:rPr>
      </w:pPr>
      <w:r>
        <w:rPr>
          <w:rFonts w:ascii="Arial" w:hAnsi="Arial"/>
          <w:sz w:val="22"/>
          <w:szCs w:val="22"/>
          <w:rtl w:val="0"/>
          <w:lang w:val="en-US"/>
        </w:rPr>
        <w:t xml:space="preserve">Additionally, with the GROW Model, I also helped her in forming and identifying various potential actions and options that she can use and pursue while developing better career growth in terms of job search. Lastly, on the basis of will, I helped her to be more encouraged by providing her with examples of various leaders and individuals who have gone through various difficulties. </w:t>
      </w:r>
    </w:p>
    <w:p>
      <w:pPr>
        <w:pStyle w:val="Heading 2"/>
        <w:rPr>
          <w:rFonts w:ascii="Arial" w:cs="Arial" w:hAnsi="Arial" w:eastAsia="Arial"/>
        </w:rPr>
      </w:pPr>
      <w:bookmarkStart w:name="_Toc3" w:id="8"/>
      <w:bookmarkStart w:name="_headingh.17dp8vu" w:id="9"/>
      <w:bookmarkEnd w:id="9"/>
      <w:r>
        <w:rPr>
          <w:rFonts w:ascii="Arial" w:hAnsi="Arial"/>
          <w:rtl w:val="0"/>
        </w:rPr>
        <w:t>F</w:t>
      </w:r>
      <w:r>
        <w:rPr>
          <w:rFonts w:ascii="Arial" w:hAnsi="Arial"/>
          <w:rtl w:val="0"/>
          <w:lang w:val="en-US"/>
        </w:rPr>
        <w:t>eelings</w:t>
      </w:r>
      <w:bookmarkEnd w:id="8"/>
    </w:p>
    <w:p>
      <w:pPr>
        <w:pStyle w:val="Body"/>
        <w:rPr>
          <w:rFonts w:ascii="Arial" w:cs="Arial" w:hAnsi="Arial" w:eastAsia="Arial"/>
          <w:outline w:val="0"/>
          <w:color w:val="ff0000"/>
          <w:sz w:val="22"/>
          <w:szCs w:val="22"/>
          <w:u w:color="ff0000"/>
          <w14:textFill>
            <w14:solidFill>
              <w14:srgbClr w14:val="FF0000"/>
            </w14:solidFill>
          </w14:textFill>
        </w:rPr>
      </w:pPr>
      <w:r>
        <w:rPr>
          <w:rFonts w:ascii="Arial" w:hAnsi="Arial"/>
          <w:sz w:val="22"/>
          <w:szCs w:val="22"/>
          <w:rtl w:val="0"/>
          <w:lang w:val="en-US"/>
        </w:rPr>
        <w:t xml:space="preserve">Having the opportunity to aid and help Maria in her respective career development process, I was really happy and feeling great. In return, this would further help me in improving my qualities as a coach and mentor to manage a workplace. I was also happy as the coaching session would help me retain a deeper and comprehensive understanding of the concepts and elements related to coaching and mentoring. Coaching is a process where a leader or coach provides guidance to their subordinates and clients (Martens and Vealey, 2023). On the other hand, mentoring involves sharing skills, experience and knowledge with others to help them magnify their own abilities (Mullen and Klimaitis, 2021). </w:t>
      </w:r>
      <w:r>
        <w:rPr>
          <w:rFonts w:ascii="Arial" w:hAnsi="Arial"/>
          <w:sz w:val="22"/>
          <w:szCs w:val="22"/>
          <w:u w:color="ff0000"/>
          <w:rtl w:val="0"/>
          <w:lang w:val="en-US"/>
        </w:rPr>
        <w:t>I was really motivated during the coaching session as through this I was able to analyse the responses of Maria to support her with her problem. The GROW model enabled me to implement new plans and actions for Maria in getting her new job and dealing with anxiety. On the basis of the indulgence of GROW, the identified strength of Maria includes patience and organisational skills. Additionally, I have also taken this experience as an opportunity to explore my own skills</w:t>
      </w:r>
      <w:r>
        <w:rPr>
          <w:rFonts w:ascii="Arial" w:hAnsi="Arial"/>
          <w:outline w:val="0"/>
          <w:color w:val="ff0000"/>
          <w:sz w:val="22"/>
          <w:szCs w:val="22"/>
          <w:u w:color="ff0000"/>
          <w:rtl w:val="0"/>
          <w14:textFill>
            <w14:solidFill>
              <w14:srgbClr w14:val="FF0000"/>
            </w14:solidFill>
          </w14:textFill>
        </w:rPr>
        <w:t xml:space="preserve"> </w:t>
      </w:r>
      <w:r>
        <w:rPr>
          <w:rFonts w:ascii="Arial" w:hAnsi="Arial"/>
          <w:sz w:val="22"/>
          <w:szCs w:val="22"/>
          <w:u w:color="ff0000"/>
          <w:rtl w:val="0"/>
          <w:lang w:val="en-US"/>
        </w:rPr>
        <w:t xml:space="preserve">and strengths which are in the form of communication, and goal setting. </w:t>
      </w:r>
    </w:p>
    <w:p>
      <w:pPr>
        <w:pStyle w:val="Body"/>
        <w:rPr>
          <w:rFonts w:ascii="Arial" w:cs="Arial" w:hAnsi="Arial" w:eastAsia="Arial"/>
          <w:sz w:val="22"/>
          <w:szCs w:val="22"/>
        </w:rPr>
      </w:pPr>
      <w:r>
        <w:rPr>
          <w:rFonts w:ascii="Arial" w:hAnsi="Arial"/>
          <w:sz w:val="22"/>
          <w:szCs w:val="22"/>
          <w:u w:color="ff0000"/>
          <w:rtl w:val="0"/>
          <w:lang w:val="en-US"/>
        </w:rPr>
        <w:t>Similarly, she was also aware of the key areas where she needed to focus on to achieve her career goals.</w:t>
      </w:r>
    </w:p>
    <w:p>
      <w:pPr>
        <w:pStyle w:val="Body"/>
        <w:rPr>
          <w:rFonts w:ascii="Arial" w:cs="Arial" w:hAnsi="Arial" w:eastAsia="Arial"/>
          <w:sz w:val="22"/>
          <w:szCs w:val="22"/>
          <w:u w:color="ff0000"/>
        </w:rPr>
      </w:pPr>
      <w:r>
        <w:rPr>
          <w:rFonts w:ascii="Arial" w:hAnsi="Arial"/>
          <w:sz w:val="22"/>
          <w:szCs w:val="22"/>
          <w:rtl w:val="0"/>
          <w:lang w:val="en-US"/>
        </w:rPr>
        <w:t xml:space="preserve">Communication skills are crucial for coaches and mentors, as they help them gently promote their knowledge and build relationships with others (Sword, 2022). Similarly, goal-setting abilities define the ability of mentors to guide their subordinates toward their progress and development. However, I was also sad and nervous about learning of my shortcomings and weaknesses hampering my abilities as an effective mentor and coach within a workplace. During the coaching session, I was exposed to numerous difficulties and challenges due to the weaknesses related to questioning, enthusiasm and problem-solving. With this, I was also worried about the performance and the results of the coaching session. Questioning helps coaches and mentors to ask and learn about the point of view as well as problems faced by others (Stemequals.ac.uk, 2024). </w:t>
      </w:r>
      <w:r>
        <w:rPr>
          <w:rFonts w:ascii="Arial" w:hAnsi="Arial"/>
          <w:sz w:val="22"/>
          <w:szCs w:val="22"/>
          <w:u w:color="ff0000"/>
          <w:rtl w:val="0"/>
          <w:lang w:val="en-US"/>
        </w:rPr>
        <w:t xml:space="preserve">Using the GROW model and open ended questions, I was able to learn the weaknesses of Maria that can further hamper her career development. This includes collaboration, teamwork and communication. </w:t>
      </w:r>
    </w:p>
    <w:p>
      <w:pPr>
        <w:pStyle w:val="Heading 2"/>
        <w:rPr>
          <w:rFonts w:ascii="Arial" w:cs="Arial" w:hAnsi="Arial" w:eastAsia="Arial"/>
        </w:rPr>
      </w:pPr>
      <w:bookmarkStart w:name="_Toc4" w:id="10"/>
      <w:bookmarkStart w:name="_headingh.3rdcrjn" w:id="11"/>
      <w:bookmarkEnd w:id="11"/>
      <w:r>
        <w:rPr>
          <w:rFonts w:ascii="Arial" w:hAnsi="Arial"/>
          <w:rtl w:val="0"/>
        </w:rPr>
        <w:t>E</w:t>
      </w:r>
      <w:r>
        <w:rPr>
          <w:rFonts w:ascii="Arial" w:hAnsi="Arial"/>
          <w:rtl w:val="0"/>
          <w:lang w:val="en-US"/>
        </w:rPr>
        <w:t>valuation</w:t>
      </w:r>
      <w:bookmarkEnd w:id="10"/>
    </w:p>
    <w:p>
      <w:pPr>
        <w:pStyle w:val="Body"/>
        <w:rPr>
          <w:rFonts w:ascii="Arial" w:cs="Arial" w:hAnsi="Arial" w:eastAsia="Arial"/>
          <w:sz w:val="22"/>
          <w:szCs w:val="22"/>
          <w:u w:color="ff0000"/>
        </w:rPr>
      </w:pPr>
      <w:r>
        <w:rPr>
          <w:rFonts w:ascii="Arial" w:hAnsi="Arial"/>
          <w:sz w:val="22"/>
          <w:szCs w:val="22"/>
          <w:rtl w:val="0"/>
          <w:lang w:val="en-US"/>
        </w:rPr>
        <w:t xml:space="preserve">The good thing that happened in the Coaching session was that I was able to support and provide exceptional and outstanding aid for Maria and others in the session. I was able to mentor and coach her with the aspects and elements that can help her thrive in her career. Helping clients and employees is the major principle and role of mentoring and coaching (Bachkirova et al., 2021). I believe this was one of the good things that happened during the session through which I helped Maria with the GROW model of Coaching. Similarly, another good thing about the experience is that it has allowed me a great opportunity to channelise my own prowess and potential as a mentor or coach. For instance, abilities related to active listening help in reducing misunderstanding through which an effective way of communication can be established (Patel et al., 2022). With this, at the current time, I have been able to maintain my confidence and motivation to become an efficient and successful coach or mentor. </w:t>
      </w:r>
      <w:r>
        <w:rPr>
          <w:rFonts w:ascii="Arial" w:hAnsi="Arial"/>
          <w:sz w:val="22"/>
          <w:szCs w:val="22"/>
          <w:u w:color="ff0000"/>
          <w:rtl w:val="0"/>
          <w:lang w:val="en-US"/>
        </w:rPr>
        <w:t xml:space="preserve">Additionally, the GROW model also provided me with an account of key areas of infirmity and strength of Maria which can be used to frame and outline plans for her. </w:t>
      </w:r>
    </w:p>
    <w:p>
      <w:pPr>
        <w:pStyle w:val="Body"/>
        <w:rPr>
          <w:rFonts w:ascii="Arial" w:cs="Arial" w:hAnsi="Arial" w:eastAsia="Arial"/>
          <w:sz w:val="22"/>
          <w:szCs w:val="22"/>
        </w:rPr>
      </w:pPr>
      <w:r>
        <w:rPr>
          <w:rFonts w:ascii="Arial" w:hAnsi="Arial"/>
          <w:sz w:val="22"/>
          <w:szCs w:val="22"/>
          <w:rtl w:val="0"/>
          <w:lang w:val="en-US"/>
        </w:rPr>
        <w:t xml:space="preserve">Similarly, I was also able to develop my key understanding of the behaviour, values, principles, norms and beliefs of coaches and mentors. A coach or mentor should maintain positive behaviour with the employees and workers in order to improve their learning (Aventis Learning Group, 2020). </w:t>
      </w:r>
    </w:p>
    <w:p>
      <w:pPr>
        <w:pStyle w:val="Body"/>
        <w:rPr>
          <w:rFonts w:ascii="Arial" w:cs="Arial" w:hAnsi="Arial" w:eastAsia="Arial"/>
          <w:sz w:val="22"/>
          <w:szCs w:val="22"/>
          <w:u w:color="ff0000"/>
        </w:rPr>
      </w:pPr>
      <w:r>
        <w:rPr>
          <w:rFonts w:ascii="Arial" w:hAnsi="Arial"/>
          <w:sz w:val="22"/>
          <w:szCs w:val="22"/>
          <w:rtl w:val="0"/>
          <w:lang w:val="en-US"/>
        </w:rPr>
        <w:t xml:space="preserve">However, the coaching session and related experience also have some of the bad aspects. One of the bad things that I observed during the period was my inability to develop effective questions and present them to Maria. Most significantly, questioning is one of the core aspects of coaching and mentoring that can help in unlocking the insight of clients' and employees' perspectives (Indeed Career Guide, 2024). Similarly, I also think that learning of my infringement was a bad thing about the experience that has discouraged and di-motivated me towards the roles and responsibilities of coaching and mentoring. </w:t>
      </w:r>
      <w:r>
        <w:rPr>
          <w:rFonts w:ascii="Arial" w:hAnsi="Arial"/>
          <w:sz w:val="22"/>
          <w:szCs w:val="22"/>
          <w:u w:color="ff0000"/>
          <w:rtl w:val="0"/>
          <w:lang w:val="en-US"/>
        </w:rPr>
        <w:t>The GROW model has been effective for me to understand and develop objectives for Maria to reduce her antagonism towards her teammates. In response to this, Maria also believes that she would be highly helped by the practice of meditation and communication.</w:t>
      </w:r>
    </w:p>
    <w:p>
      <w:pPr>
        <w:pStyle w:val="Heading 2"/>
        <w:rPr>
          <w:rFonts w:ascii="Arial" w:cs="Arial" w:hAnsi="Arial" w:eastAsia="Arial"/>
        </w:rPr>
      </w:pPr>
      <w:bookmarkStart w:name="_Toc5" w:id="12"/>
      <w:bookmarkStart w:name="_headingh.26in1rg" w:id="13"/>
      <w:bookmarkEnd w:id="13"/>
      <w:r>
        <w:rPr>
          <w:rFonts w:ascii="Arial" w:hAnsi="Arial"/>
          <w:rtl w:val="0"/>
        </w:rPr>
        <w:t>A</w:t>
      </w:r>
      <w:r>
        <w:rPr>
          <w:rFonts w:ascii="Arial" w:hAnsi="Arial"/>
          <w:rtl w:val="0"/>
          <w:lang w:val="en-US"/>
        </w:rPr>
        <w:t>nalysis</w:t>
      </w:r>
      <w:bookmarkEnd w:id="12"/>
    </w:p>
    <w:p>
      <w:pPr>
        <w:pStyle w:val="Body"/>
        <w:rPr>
          <w:rFonts w:ascii="Arial" w:cs="Arial" w:hAnsi="Arial" w:eastAsia="Arial"/>
          <w:sz w:val="22"/>
          <w:szCs w:val="22"/>
        </w:rPr>
      </w:pPr>
      <w:r>
        <w:rPr>
          <w:rFonts w:ascii="Arial" w:hAnsi="Arial"/>
          <w:sz w:val="22"/>
          <w:szCs w:val="22"/>
          <w:rtl w:val="0"/>
          <w:lang w:val="en-US"/>
        </w:rPr>
        <w:t xml:space="preserve">I believe things went well in the coaching session due to the engagement of effective models such as GROW. GROW model helps mentors and leaders create well-rounded visions, plans and exceptional commitment (Watts and Corrie, 2022). This has also offered me to aid and contribute widely to Maria and others in reducing the complexities in their career. For instance, as she was facing challenges related to anger, I planned and crafted an action plan that incorporated meditation and many more. However, I believe there are various aspects and things that could have been more productive in the experience. This indicates and includes elements of questioning which I have found difficult and harder for me. Similarly, analysing my experience, things and the result of the experience could have gone better for me if I had been able to improve my enthusiasm and problem-solving. Problem-solving helps coaches and mentors identify solutions and build effective strategies for other development. </w:t>
      </w:r>
    </w:p>
    <w:p>
      <w:pPr>
        <w:pStyle w:val="Body"/>
        <w:rPr>
          <w:rFonts w:ascii="Arial" w:cs="Arial" w:hAnsi="Arial" w:eastAsia="Arial"/>
          <w:sz w:val="22"/>
          <w:szCs w:val="22"/>
        </w:rPr>
      </w:pPr>
      <w:r>
        <w:rPr>
          <w:rFonts w:ascii="Arial" w:hAnsi="Arial"/>
          <w:sz w:val="22"/>
          <w:szCs w:val="22"/>
          <w:rtl w:val="0"/>
          <w:lang w:val="en-US"/>
        </w:rPr>
        <w:t>Mentoring and coaching allow an effective enhancement of employees' morale and performance by establishing a positive environment, boosting their confidence and enriching their skill growth (Toh et al., 2022).</w:t>
      </w:r>
    </w:p>
    <w:p>
      <w:pPr>
        <w:pStyle w:val="Body"/>
        <w:rPr>
          <w:rFonts w:ascii="Arial" w:cs="Arial" w:hAnsi="Arial" w:eastAsia="Arial"/>
          <w:sz w:val="22"/>
          <w:szCs w:val="22"/>
          <w:u w:color="ff0000"/>
        </w:rPr>
      </w:pPr>
      <w:r>
        <w:rPr>
          <w:rFonts w:ascii="Arial" w:hAnsi="Arial"/>
          <w:sz w:val="22"/>
          <w:szCs w:val="22"/>
          <w:rtl w:val="0"/>
          <w:lang w:val="en-US"/>
        </w:rPr>
        <w:t xml:space="preserve">On the basis of the experience, it can be stated that mentoring and coaching can allow and ensure improvement in morals and performance within the context. For instance, in my role as a Coach of Maria, I was able to help and guide her in searching for jobs and roles that helped her be highly encouraged to find new jobs. Similarly, the questioning process that I used during the session also helped her open up about her worries and feelings which indicates an improvement in her morale. Similarly, with the GROW model I was able to outline different sets of actions that can be taken by Maria. Therefore, mentoring and coaching can help the development of performance and morale. Mentoring and coaching help employees get encouraged and valued (Watts and Corrie, 2022). Most significantly, this helps to manage the skills and talents within the workplace to improve their performance and morale. I believe that the aid and assistance which I have provided to Maria using the steps and elements of the Grow model would help her to improve agnosticism within team dynamics and help her maintain her stability in her career. Gradually, this can further contribute to her acquiring a new set of numerous skills and abilities regarding the job and duties that she will choose in her career. </w:t>
      </w:r>
      <w:r>
        <w:rPr>
          <w:rFonts w:ascii="Arial" w:hAnsi="Arial"/>
          <w:sz w:val="22"/>
          <w:szCs w:val="22"/>
          <w:u w:color="ff0000"/>
          <w:rtl w:val="0"/>
          <w:lang w:val="en-US"/>
        </w:rPr>
        <w:t xml:space="preserve">Using the components of Realty of the GROW model, it can be understood that Maria needs to develop and focus on her anger issues to first ensure her success and growth in her future jobs. Similarly, in order to achieve the future job, at the current stage, Maria is also required to enhance her own skills and prowess related to teamwork and empathy. </w:t>
      </w:r>
    </w:p>
    <w:p>
      <w:pPr>
        <w:pStyle w:val="Heading 2"/>
        <w:rPr>
          <w:rFonts w:ascii="Arial" w:cs="Arial" w:hAnsi="Arial" w:eastAsia="Arial"/>
        </w:rPr>
      </w:pPr>
      <w:bookmarkStart w:name="_Toc6" w:id="14"/>
      <w:bookmarkStart w:name="_headingh.lnxbz9" w:id="15"/>
      <w:bookmarkEnd w:id="15"/>
      <w:r>
        <w:rPr>
          <w:rFonts w:ascii="Arial" w:hAnsi="Arial"/>
          <w:rtl w:val="0"/>
        </w:rPr>
        <w:t>C</w:t>
      </w:r>
      <w:r>
        <w:rPr>
          <w:rFonts w:ascii="Arial" w:hAnsi="Arial"/>
          <w:rtl w:val="0"/>
          <w:lang w:val="it-IT"/>
        </w:rPr>
        <w:t>onclusion</w:t>
      </w:r>
      <w:bookmarkEnd w:id="14"/>
    </w:p>
    <w:p>
      <w:pPr>
        <w:pStyle w:val="Body"/>
        <w:rPr>
          <w:rFonts w:ascii="Arial" w:cs="Arial" w:hAnsi="Arial" w:eastAsia="Arial"/>
          <w:sz w:val="22"/>
          <w:szCs w:val="22"/>
        </w:rPr>
      </w:pPr>
      <w:r>
        <w:rPr>
          <w:rFonts w:ascii="Arial" w:hAnsi="Arial"/>
          <w:sz w:val="22"/>
          <w:szCs w:val="22"/>
          <w:rtl w:val="0"/>
          <w:lang w:val="en-US"/>
        </w:rPr>
        <w:t xml:space="preserve">The experience related to my engagement with a coaching session has been wonderful for me. This has helped me understand the roles and duties as well as the principles of coaching and mentoring. The roles of coaching and mentoring are to maintain and aid the subordinates in getting and retaining different knowledge and skills (PushFar, 2021). On the basis of my experience, I can conclude that the roles that I have played as a coach or mentor for Maria, Robert and Philippa can be beneficial and productive for them. For instance, I have been able to help Maria in searching for new jobs. Certainly, with the experience I was also able to analyse my behaviour and attitude as well as value as a coach and mentor. </w:t>
      </w:r>
    </w:p>
    <w:p>
      <w:pPr>
        <w:pStyle w:val="Body"/>
        <w:rPr>
          <w:rFonts w:ascii="Arial" w:cs="Arial" w:hAnsi="Arial" w:eastAsia="Arial"/>
          <w:sz w:val="22"/>
          <w:szCs w:val="22"/>
          <w:u w:color="ff0000"/>
        </w:rPr>
      </w:pPr>
      <w:r>
        <w:rPr>
          <w:rFonts w:ascii="Arial" w:hAnsi="Arial"/>
          <w:sz w:val="22"/>
          <w:szCs w:val="22"/>
          <w:rtl w:val="0"/>
          <w:lang w:val="en-US"/>
        </w:rPr>
        <w:t xml:space="preserve">Attitude and positive values are found to be crucial for a coach as they help and allow them to develop devoted and highly valuable working and leading dynamics. </w:t>
      </w:r>
      <w:r>
        <w:rPr>
          <w:rFonts w:ascii="Arial" w:hAnsi="Arial"/>
          <w:sz w:val="22"/>
          <w:szCs w:val="22"/>
          <w:u w:color="ff0000"/>
          <w:rtl w:val="0"/>
          <w:lang w:val="en-US"/>
        </w:rPr>
        <w:t xml:space="preserve">Understanding the benefit of the GROW model, it can be concluded that this model can also help me in improving and planning the steps for further magnification as a coach or mentor in the workplace. The model can help me outline the possible and alternative strategies to reduce the ineffectiveness of my coaching and mentoring-based skills. Similarly, I have also applied the same model for Maria to support her in the accomplishment of a new job and career in the respective field. Using the model and stage of will, I will offer and provide different alternatives and actions for Maria and suggest her implement such on the basis of her comfort. </w:t>
      </w:r>
    </w:p>
    <w:p>
      <w:pPr>
        <w:pStyle w:val="Body"/>
        <w:rPr>
          <w:rFonts w:ascii="Arial" w:cs="Arial" w:hAnsi="Arial" w:eastAsia="Arial"/>
          <w:sz w:val="22"/>
          <w:szCs w:val="22"/>
        </w:rPr>
      </w:pPr>
      <w:r>
        <w:rPr>
          <w:rFonts w:ascii="Arial" w:hAnsi="Arial"/>
          <w:sz w:val="22"/>
          <w:szCs w:val="22"/>
          <w:rtl w:val="0"/>
          <w:lang w:val="en-US"/>
        </w:rPr>
        <w:t xml:space="preserve">Similarly, I further believe that with the experience, I have been able to improve and practically understand the roles and critical responsibilities of a coach and mentor which will widely support me in the future to maintain my own stability and efficiency as a coach and mentor helping employees within the workplace in their career development. Maintaining and aiding the learning process of employees are found to be the major roles of a mentor and coach (SCORE, 2021). In addition to this, the experience has provided me with a crucial view of the difficulties and hardships that are faced by workers within the workers. This has enhanced my experience and ability to understand the major requirements of the workers as well as approaches to communicate, support and contribute to their growth. Additionally, facing various hardships and difficulties within the experience, I can understand that I must focus and prioritise improving certain skills and principles or abilities in order to become more helpful and effective as a coach. Hardship allows an individual to learn and become more adaptable and flexible (Pasmore et al., 2020). Thus, it has informed me of the key areas where I have to take serious action for the betterment of the future. These key areas involve questioning, enthusiasm and lastly problem-solving as it has outlined and created difficulties for me during the use of the GROW model for Maria. Problem-solving is a necessary skill for coaches and mentors as it allows them to make effective and beneficial plans for their clients. </w:t>
      </w:r>
    </w:p>
    <w:p>
      <w:pPr>
        <w:pStyle w:val="Heading 2"/>
        <w:rPr>
          <w:rFonts w:ascii="Arial" w:cs="Arial" w:hAnsi="Arial" w:eastAsia="Arial"/>
        </w:rPr>
      </w:pPr>
      <w:bookmarkStart w:name="_Toc7" w:id="16"/>
      <w:bookmarkStart w:name="_headingh.35nkun2" w:id="17"/>
      <w:bookmarkEnd w:id="17"/>
      <w:r>
        <w:rPr>
          <w:rFonts w:ascii="Arial" w:hAnsi="Arial"/>
          <w:rtl w:val="0"/>
        </w:rPr>
        <w:t>A</w:t>
      </w:r>
      <w:r>
        <w:rPr>
          <w:rFonts w:ascii="Arial" w:hAnsi="Arial"/>
          <w:rtl w:val="0"/>
          <w:lang w:val="en-US"/>
        </w:rPr>
        <w:t>ction Plan</w:t>
      </w:r>
      <w:bookmarkEnd w:id="16"/>
    </w:p>
    <w:p>
      <w:pPr>
        <w:pStyle w:val="Body"/>
        <w:rPr>
          <w:rFonts w:ascii="Arial" w:cs="Arial" w:hAnsi="Arial" w:eastAsia="Arial"/>
          <w:sz w:val="22"/>
          <w:szCs w:val="22"/>
        </w:rPr>
      </w:pPr>
      <w:r>
        <w:rPr>
          <w:rFonts w:ascii="Arial" w:hAnsi="Arial"/>
          <w:sz w:val="22"/>
          <w:szCs w:val="22"/>
          <w:u w:color="ff0000"/>
          <w:rtl w:val="0"/>
          <w:lang w:val="en-US"/>
        </w:rPr>
        <w:t>The development plan for the future growth in skills and personal abilities of my client Maria and myself also can be done and formulated with the help of the GROW Model.</w:t>
      </w:r>
      <w:r>
        <w:rPr>
          <w:rFonts w:ascii="Arial" w:hAnsi="Arial"/>
          <w:outline w:val="0"/>
          <w:color w:val="ff0000"/>
          <w:sz w:val="22"/>
          <w:szCs w:val="22"/>
          <w:u w:color="ff0000"/>
          <w:rtl w:val="0"/>
          <w14:textFill>
            <w14:solidFill>
              <w14:srgbClr w14:val="FF0000"/>
            </w14:solidFill>
          </w14:textFill>
        </w:rPr>
        <w:t xml:space="preserve"> </w:t>
      </w:r>
      <w:r>
        <w:rPr>
          <w:rFonts w:ascii="Arial" w:hAnsi="Arial"/>
          <w:sz w:val="22"/>
          <w:szCs w:val="22"/>
          <w:rtl w:val="0"/>
          <w:lang w:val="en-US"/>
        </w:rPr>
        <w:t xml:space="preserve">There are various actions that I will have to take considering skills related to coaching and mentoring such as questioning, enthusiasm and problem-solving. This has also been my infirmities that can impact me in the future. As for improvement in enthusiasm, I can effectively use my communication skills to build positive interactions with others. Enthusiasm can be improved with the establishment of a positive outlook. Similarly, questioning skills can be improved and magnified by being more specific (Indeed Career Guide, 2022). In regard to this, I will also plan out self-development programmes and routines regarding which I can use practices such as asking questions to others very often, preparing answers to the questions to ensure and understand the question and many more. One of the major approaches related to the improvement in problem-solving skills includes the determination and detection of the root causes of the problems (Networking Academy, 2018). I will also focus on using the SMART Action Plan to improve my abilities in terms of coaching and mentoring. The SMART Action plan involves elements such as specific, measurable, attainable, relevance and time (Team, 2023). </w:t>
      </w:r>
    </w:p>
    <w:p>
      <w:pPr>
        <w:pStyle w:val="Body"/>
        <w:rPr>
          <w:rFonts w:ascii="Arial" w:cs="Arial" w:hAnsi="Arial" w:eastAsia="Arial"/>
          <w:sz w:val="22"/>
          <w:szCs w:val="22"/>
          <w:u w:color="ff0000"/>
        </w:rPr>
      </w:pPr>
      <w:r>
        <w:rPr>
          <w:rFonts w:ascii="Arial" w:hAnsi="Arial"/>
          <w:sz w:val="22"/>
          <w:szCs w:val="22"/>
          <w:u w:color="ff0000"/>
          <w:rtl w:val="0"/>
          <w:lang w:val="en-US"/>
        </w:rPr>
        <w:t xml:space="preserve">On the basis of GROW, I have also engaged in developing various sets of actions and plans for my client Maria. Regarding her development, I have provided her with various sets of alternatives. One of these includes implementing and practicing meditation practices on a regular basis. In terms of teamwork skills, she will be helped by approaches and activities of team-based games and activities. This will help her learn to enjoy working as a team. She was also provided a steps for implementing and building empathy skills to form and build an emotional connection with the team members. </w:t>
      </w:r>
    </w:p>
    <w:p>
      <w:pPr>
        <w:pStyle w:val="Heading"/>
        <w:rPr>
          <w:rFonts w:ascii="Arial" w:cs="Arial" w:hAnsi="Arial" w:eastAsia="Arial"/>
          <w:b w:val="0"/>
          <w:bCs w:val="0"/>
          <w:sz w:val="22"/>
          <w:szCs w:val="22"/>
          <w:u w:color="ff0000"/>
        </w:rPr>
      </w:pPr>
    </w:p>
    <w:p>
      <w:pPr>
        <w:pStyle w:val="Heading"/>
        <w:rPr>
          <w:rFonts w:ascii="Arial" w:cs="Arial" w:hAnsi="Arial" w:eastAsia="Arial"/>
          <w:b w:val="0"/>
          <w:bCs w:val="0"/>
          <w:sz w:val="22"/>
          <w:szCs w:val="22"/>
          <w:u w:color="ff0000"/>
        </w:rPr>
      </w:pPr>
    </w:p>
    <w:p>
      <w:pPr>
        <w:pStyle w:val="Heading"/>
        <w:rPr>
          <w:rFonts w:ascii="Arial" w:cs="Arial" w:hAnsi="Arial" w:eastAsia="Arial"/>
          <w:b w:val="0"/>
          <w:bCs w:val="0"/>
          <w:sz w:val="22"/>
          <w:szCs w:val="22"/>
          <w:u w:color="ff0000"/>
        </w:rPr>
      </w:pPr>
    </w:p>
    <w:p>
      <w:pPr>
        <w:pStyle w:val="Heading"/>
        <w:rPr>
          <w:rFonts w:ascii="Arial" w:cs="Arial" w:hAnsi="Arial" w:eastAsia="Arial"/>
          <w:u w:color="ff0000"/>
        </w:rPr>
      </w:pPr>
    </w:p>
    <w:p>
      <w:pPr>
        <w:pStyle w:val="Heading"/>
        <w:rPr>
          <w:rFonts w:ascii="Arial" w:cs="Arial" w:hAnsi="Arial" w:eastAsia="Arial"/>
        </w:rPr>
      </w:pPr>
      <w:bookmarkStart w:name="_Toc8" w:id="18"/>
      <w:bookmarkStart w:name="_headingh.1ksv4uv" w:id="19"/>
      <w:bookmarkEnd w:id="19"/>
      <w:r>
        <w:rPr>
          <w:rFonts w:ascii="Arial" w:hAnsi="Arial"/>
          <w:rtl w:val="0"/>
        </w:rPr>
        <w:t>C</w:t>
      </w:r>
      <w:r>
        <w:rPr>
          <w:rFonts w:ascii="Arial" w:hAnsi="Arial"/>
          <w:rtl w:val="0"/>
          <w:lang w:val="it-IT"/>
        </w:rPr>
        <w:t>onclusion</w:t>
      </w:r>
      <w:bookmarkEnd w:id="18"/>
    </w:p>
    <w:p>
      <w:pPr>
        <w:pStyle w:val="Body"/>
      </w:pPr>
      <w:r>
        <w:rPr>
          <w:rFonts w:ascii="Arial" w:hAnsi="Arial"/>
          <w:sz w:val="22"/>
          <w:szCs w:val="22"/>
          <w:rtl w:val="0"/>
          <w:lang w:val="en-US"/>
        </w:rPr>
        <w:t xml:space="preserve">On the basis of the above report, I have to address various weaknesses in terms of skills related to mentoring and coaching such as questioning, problem-solving and lastly enthusiasm. This can be a negative element for me in ensuring the performance and learning as well as the morale of employees in the future. Lastly, the experience has enabled me to understand and reflect upon the principles and crucial elements of mentoring and coaching that will help me become productive. </w:t>
      </w:r>
      <w:r>
        <w:rPr>
          <w:rFonts w:ascii="Arial Unicode MS" w:cs="Arial Unicode MS" w:hAnsi="Arial Unicode MS" w:eastAsia="Arial Unicode MS"/>
          <w:b w:val="0"/>
          <w:bCs w:val="0"/>
          <w:i w:val="0"/>
          <w:iCs w:val="0"/>
          <w:sz w:val="22"/>
          <w:szCs w:val="22"/>
        </w:rPr>
        <w:br w:type="page"/>
      </w:r>
    </w:p>
    <w:p>
      <w:pPr>
        <w:pStyle w:val="Heading"/>
        <w:rPr>
          <w:rFonts w:ascii="Arial" w:cs="Arial" w:hAnsi="Arial" w:eastAsia="Arial"/>
        </w:rPr>
      </w:pPr>
      <w:bookmarkStart w:name="_Toc9" w:id="20"/>
      <w:bookmarkStart w:name="_headingh.44sinio" w:id="21"/>
      <w:bookmarkEnd w:id="21"/>
      <w:r>
        <w:rPr>
          <w:rFonts w:ascii="Arial" w:hAnsi="Arial"/>
          <w:rtl w:val="0"/>
        </w:rPr>
        <w:t>R</w:t>
      </w:r>
      <w:r>
        <w:rPr>
          <w:rFonts w:ascii="Arial" w:hAnsi="Arial"/>
          <w:rtl w:val="0"/>
          <w:lang w:val="fr-FR"/>
        </w:rPr>
        <w:t>eferences</w:t>
      </w:r>
      <w:bookmarkEnd w:id="20"/>
    </w:p>
    <w:p>
      <w:pPr>
        <w:pStyle w:val="Body"/>
        <w:rPr>
          <w:rFonts w:ascii="Arial" w:cs="Arial" w:hAnsi="Arial" w:eastAsia="Arial"/>
          <w:sz w:val="22"/>
          <w:szCs w:val="22"/>
        </w:rPr>
      </w:pPr>
      <w:r>
        <w:rPr>
          <w:rFonts w:ascii="Arial" w:hAnsi="Arial"/>
          <w:sz w:val="22"/>
          <w:szCs w:val="22"/>
          <w:rtl w:val="0"/>
          <w:lang w:val="en-US"/>
        </w:rPr>
        <w:t>Adeani, I.S., Febriani, R.B. and Syafryadin, S., (2020). Using GIBBS</w:t>
      </w:r>
      <w:r>
        <w:rPr>
          <w:rFonts w:ascii="Arial" w:hAnsi="Arial" w:hint="default"/>
          <w:sz w:val="22"/>
          <w:szCs w:val="22"/>
          <w:rtl w:val="1"/>
        </w:rPr>
        <w:t>’</w:t>
      </w:r>
      <w:r>
        <w:rPr>
          <w:rFonts w:ascii="Arial" w:hAnsi="Arial"/>
          <w:sz w:val="22"/>
          <w:szCs w:val="22"/>
          <w:rtl w:val="0"/>
          <w:lang w:val="en-US"/>
        </w:rPr>
        <w:t>reflective cycle in making reflections of literary analysis. Indonesian EFL Journal, 6(2), pp.139-148.</w:t>
      </w:r>
    </w:p>
    <w:p>
      <w:pPr>
        <w:pStyle w:val="Body"/>
        <w:rPr>
          <w:rFonts w:ascii="Arial" w:cs="Arial" w:hAnsi="Arial" w:eastAsia="Arial"/>
          <w:sz w:val="22"/>
          <w:szCs w:val="22"/>
        </w:rPr>
      </w:pPr>
      <w:r>
        <w:rPr>
          <w:rFonts w:ascii="Arial" w:hAnsi="Arial" w:hint="default"/>
          <w:sz w:val="22"/>
          <w:szCs w:val="22"/>
          <w:rtl w:val="1"/>
        </w:rPr>
        <w:t>‌</w:t>
      </w:r>
      <w:r>
        <w:rPr>
          <w:rFonts w:ascii="Arial" w:hAnsi="Arial"/>
          <w:sz w:val="22"/>
          <w:szCs w:val="22"/>
          <w:rtl w:val="0"/>
          <w:lang w:val="en-US"/>
        </w:rPr>
        <w:t>Aventis Learning Group., (2020). The Power of a Positive Coaching and Mentoring Mindset - Aventis. [online] Available at: https://aventislearning.com/positive-psychology-coaching-and-mentoring-mindset/ [Accessed 4 Jul. 2024].</w:t>
      </w:r>
    </w:p>
    <w:p>
      <w:pPr>
        <w:pStyle w:val="Body"/>
        <w:rPr>
          <w:rFonts w:ascii="Arial" w:cs="Arial" w:hAnsi="Arial" w:eastAsia="Arial"/>
          <w:sz w:val="22"/>
          <w:szCs w:val="22"/>
        </w:rPr>
      </w:pPr>
      <w:r>
        <w:rPr>
          <w:rFonts w:ascii="Arial" w:hAnsi="Arial"/>
          <w:sz w:val="22"/>
          <w:szCs w:val="22"/>
          <w:rtl w:val="0"/>
          <w:lang w:val="en-US"/>
        </w:rPr>
        <w:t>Bachkirova, T., Jackson, P. and Clutterbuck, D., (2021). Coaching and Mentoring Supervision: Theory and Practice, 2e. McGraw-Hill Education (UK).</w:t>
      </w:r>
    </w:p>
    <w:p>
      <w:pPr>
        <w:pStyle w:val="Body"/>
        <w:rPr>
          <w:rFonts w:ascii="Arial" w:cs="Arial" w:hAnsi="Arial" w:eastAsia="Arial"/>
          <w:sz w:val="22"/>
          <w:szCs w:val="22"/>
        </w:rPr>
      </w:pPr>
      <w:r>
        <w:rPr>
          <w:rFonts w:ascii="Arial" w:hAnsi="Arial"/>
          <w:sz w:val="22"/>
          <w:szCs w:val="22"/>
          <w:rtl w:val="0"/>
          <w:lang w:val="en-US"/>
        </w:rPr>
        <w:t>Govt.nz., (2020). What are skills? [online] Available at: https://www.careers.govt.nz/plan-your-career/start-to-plan-or-change-your-career/what-are-skills/ [Accessed 4 Jul. 2024].</w:t>
      </w:r>
    </w:p>
    <w:p>
      <w:pPr>
        <w:pStyle w:val="Body"/>
        <w:rPr>
          <w:rFonts w:ascii="Arial" w:cs="Arial" w:hAnsi="Arial" w:eastAsia="Arial"/>
          <w:sz w:val="22"/>
          <w:szCs w:val="22"/>
        </w:rPr>
      </w:pPr>
      <w:r>
        <w:rPr>
          <w:rFonts w:ascii="Arial" w:hAnsi="Arial"/>
          <w:sz w:val="22"/>
          <w:szCs w:val="22"/>
          <w:rtl w:val="0"/>
          <w:lang w:val="en-US"/>
        </w:rPr>
        <w:t>Grant, A.M., (2022). Is it time to REGROW the GROW model? Issues related to teaching coaching session structures. Coaching Practiced, pp.29-40.</w:t>
      </w:r>
    </w:p>
    <w:p>
      <w:pPr>
        <w:pStyle w:val="Body"/>
        <w:rPr>
          <w:rFonts w:ascii="Arial" w:cs="Arial" w:hAnsi="Arial" w:eastAsia="Arial"/>
          <w:sz w:val="22"/>
          <w:szCs w:val="22"/>
        </w:rPr>
      </w:pPr>
      <w:r>
        <w:rPr>
          <w:rFonts w:ascii="Arial" w:hAnsi="Arial"/>
          <w:sz w:val="22"/>
          <w:szCs w:val="22"/>
          <w:rtl w:val="0"/>
          <w:lang w:val="en-US"/>
        </w:rPr>
        <w:t>Indeed Career Guide., (2022). How To Develop Effective Questioning Skills in 6 Steps. [online] Available at: https://www.indeed.com/career-advice/career-development/questioning-skills [Accessed 4 Jul. 2024].</w:t>
      </w:r>
    </w:p>
    <w:p>
      <w:pPr>
        <w:pStyle w:val="Body"/>
        <w:rPr>
          <w:rFonts w:ascii="Arial" w:cs="Arial" w:hAnsi="Arial" w:eastAsia="Arial"/>
          <w:sz w:val="22"/>
          <w:szCs w:val="22"/>
        </w:rPr>
      </w:pPr>
      <w:r>
        <w:rPr>
          <w:rFonts w:ascii="Arial" w:hAnsi="Arial" w:hint="default"/>
          <w:sz w:val="22"/>
          <w:szCs w:val="22"/>
          <w:rtl w:val="1"/>
        </w:rPr>
        <w:t>‌</w:t>
      </w:r>
      <w:r>
        <w:rPr>
          <w:rFonts w:ascii="Arial" w:hAnsi="Arial"/>
          <w:sz w:val="22"/>
          <w:szCs w:val="22"/>
          <w:rtl w:val="0"/>
          <w:lang w:val="en-US"/>
        </w:rPr>
        <w:t>Indeed Career Guide., (2024). 41 Coaching Questions for Managers To Ask. [online] Available at: https://www.indeed.com/career-advice/career-development/coaching-questions-for-leaders [Accessed 4 Jul. 2024].</w:t>
      </w:r>
    </w:p>
    <w:p>
      <w:pPr>
        <w:pStyle w:val="Body"/>
        <w:rPr>
          <w:rFonts w:ascii="Arial" w:cs="Arial" w:hAnsi="Arial" w:eastAsia="Arial"/>
          <w:sz w:val="22"/>
          <w:szCs w:val="22"/>
        </w:rPr>
      </w:pPr>
      <w:r>
        <w:rPr>
          <w:rFonts w:ascii="Arial" w:hAnsi="Arial"/>
          <w:sz w:val="22"/>
          <w:szCs w:val="22"/>
          <w:rtl w:val="0"/>
          <w:lang w:val="en-US"/>
        </w:rPr>
        <w:t>Martens, R. and Vealey, R.S., (2023). Successful coaching. Human kinetics.</w:t>
      </w:r>
    </w:p>
    <w:p>
      <w:pPr>
        <w:pStyle w:val="Body"/>
        <w:rPr>
          <w:rFonts w:ascii="Arial" w:cs="Arial" w:hAnsi="Arial" w:eastAsia="Arial"/>
          <w:sz w:val="22"/>
          <w:szCs w:val="22"/>
        </w:rPr>
      </w:pPr>
      <w:r>
        <w:rPr>
          <w:rFonts w:ascii="Arial" w:hAnsi="Arial"/>
          <w:sz w:val="22"/>
          <w:szCs w:val="22"/>
          <w:rtl w:val="0"/>
          <w:lang w:val="en-US"/>
        </w:rPr>
        <w:t>Mullen, C.A. and Klimaitis, C.C., (2021). Defining mentoring: a literature review of issues, types, and applications. Annals of the New York Academy of Sciences, 1483(1), pp.19-35.</w:t>
      </w:r>
    </w:p>
    <w:p>
      <w:pPr>
        <w:pStyle w:val="Body"/>
        <w:rPr>
          <w:rFonts w:ascii="Arial" w:cs="Arial" w:hAnsi="Arial" w:eastAsia="Arial"/>
          <w:sz w:val="22"/>
          <w:szCs w:val="22"/>
        </w:rPr>
      </w:pPr>
      <w:r>
        <w:rPr>
          <w:rFonts w:ascii="Arial" w:hAnsi="Arial"/>
          <w:sz w:val="22"/>
          <w:szCs w:val="22"/>
          <w:rtl w:val="0"/>
          <w:lang w:val="en-US"/>
        </w:rPr>
        <w:t>Networking Academy., (2018). Six Steps to Becoming a Better Problem Solver | Networking Academy. [online] Available at: https://www.netacad.com/careers/career-advice/essential-skills/six-steps-becoming-better-problem-solver [Accessed 4 Jul. 2024].</w:t>
      </w:r>
    </w:p>
    <w:p>
      <w:pPr>
        <w:pStyle w:val="Body"/>
        <w:rPr>
          <w:rFonts w:ascii="Arial" w:cs="Arial" w:hAnsi="Arial" w:eastAsia="Arial"/>
          <w:sz w:val="22"/>
          <w:szCs w:val="22"/>
        </w:rPr>
      </w:pPr>
      <w:r>
        <w:rPr>
          <w:rFonts w:ascii="Arial" w:hAnsi="Arial"/>
          <w:sz w:val="22"/>
          <w:szCs w:val="22"/>
          <w:rtl w:val="0"/>
          <w:lang w:val="en-US"/>
        </w:rPr>
        <w:t>Pasmore, B., McCauley, C., Cahill, A., Smith, M., Ainsworth, C. and Palus, C., (2020). 4 Unexpected Lessons Learned From Hardships &amp; Adversity. [online] CCL. Available at: https://www.ccl.org/articles/leading-effectively-articles/4-lessons-learned-from-hardship-adversity/#:~:text=Surviving%20hardship%20and%20willing%20yourself,out%20what%20to%20do%20next. [Accessed 4 Jul. 2024].</w:t>
      </w:r>
    </w:p>
    <w:p>
      <w:pPr>
        <w:pStyle w:val="Body"/>
        <w:rPr>
          <w:rFonts w:ascii="Arial" w:cs="Arial" w:hAnsi="Arial" w:eastAsia="Arial"/>
          <w:sz w:val="22"/>
          <w:szCs w:val="22"/>
        </w:rPr>
      </w:pPr>
      <w:r>
        <w:rPr>
          <w:rFonts w:ascii="Arial" w:hAnsi="Arial"/>
          <w:sz w:val="22"/>
          <w:szCs w:val="22"/>
          <w:rtl w:val="0"/>
          <w:lang w:val="en-US"/>
        </w:rPr>
        <w:t>Patel, K., Gupta, Y. and Patel, A., (2022). Key Communication Skills for Mentors. Journal of the American College of Radiology, [online] 19(7), pp.903</w:t>
      </w:r>
      <w:r>
        <w:rPr>
          <w:rFonts w:ascii="Arial" w:hAnsi="Arial" w:hint="default"/>
          <w:sz w:val="22"/>
          <w:szCs w:val="22"/>
          <w:rtl w:val="0"/>
        </w:rPr>
        <w:t>–</w:t>
      </w:r>
      <w:r>
        <w:rPr>
          <w:rFonts w:ascii="Arial" w:hAnsi="Arial"/>
          <w:sz w:val="22"/>
          <w:szCs w:val="22"/>
          <w:rtl w:val="0"/>
        </w:rPr>
        <w:t>904. doi:https://doi.org/10.1016/j.jacr.2022.03.001.</w:t>
      </w:r>
    </w:p>
    <w:p>
      <w:pPr>
        <w:pStyle w:val="Body"/>
        <w:rPr>
          <w:rFonts w:ascii="Arial" w:cs="Arial" w:hAnsi="Arial" w:eastAsia="Arial"/>
          <w:sz w:val="22"/>
          <w:szCs w:val="22"/>
        </w:rPr>
      </w:pPr>
      <w:r>
        <w:rPr>
          <w:rFonts w:ascii="Arial" w:hAnsi="Arial"/>
          <w:sz w:val="22"/>
          <w:szCs w:val="22"/>
          <w:rtl w:val="0"/>
          <w:lang w:val="en-US"/>
        </w:rPr>
        <w:t>PushFar., (2021). Mentoring vs Coaching: The Key Differences and Benefits. [online] Available at: https://www.pushfar.com/article/mentoring-vs-coaching-the-key-differences-and-benefits/ [Accessed 4 Jul. 2024].</w:t>
      </w:r>
    </w:p>
    <w:p>
      <w:pPr>
        <w:pStyle w:val="Body"/>
        <w:rPr>
          <w:rFonts w:ascii="Arial" w:cs="Arial" w:hAnsi="Arial" w:eastAsia="Arial"/>
          <w:sz w:val="22"/>
          <w:szCs w:val="22"/>
        </w:rPr>
      </w:pPr>
      <w:r>
        <w:rPr>
          <w:rFonts w:ascii="Arial" w:hAnsi="Arial"/>
          <w:sz w:val="22"/>
          <w:szCs w:val="22"/>
          <w:rtl w:val="0"/>
          <w:lang w:val="en-US"/>
        </w:rPr>
        <w:t>SCORE., (2021). Manager, Coach or Mentor? Different Roles for Different Goals. [online] Available at: https://www.score.org/headline/manager-coach-or-mentor-different-roles-different-goals [Accessed 4 Jul. 2024].</w:t>
      </w:r>
    </w:p>
    <w:p>
      <w:pPr>
        <w:pStyle w:val="Body"/>
        <w:rPr>
          <w:rFonts w:ascii="Arial" w:cs="Arial" w:hAnsi="Arial" w:eastAsia="Arial"/>
          <w:sz w:val="22"/>
          <w:szCs w:val="22"/>
        </w:rPr>
      </w:pPr>
      <w:r>
        <w:rPr>
          <w:rFonts w:ascii="Arial" w:hAnsi="Arial"/>
          <w:sz w:val="22"/>
          <w:szCs w:val="22"/>
          <w:rtl w:val="0"/>
          <w:lang w:val="en-US"/>
        </w:rPr>
        <w:t>Stemequals.ac.uk., (2024). Asking insightful questions, a core mentoring</w:t>
      </w:r>
      <w:r>
        <w:rPr>
          <w:rFonts w:ascii="Arial" w:hAnsi="Arial" w:hint="default"/>
          <w:sz w:val="22"/>
          <w:szCs w:val="22"/>
          <w:rtl w:val="0"/>
          <w:lang w:val="fr-FR"/>
        </w:rPr>
        <w:t> </w:t>
      </w:r>
      <w:r>
        <w:rPr>
          <w:rFonts w:ascii="Arial" w:hAnsi="Arial"/>
          <w:sz w:val="22"/>
          <w:szCs w:val="22"/>
          <w:rtl w:val="0"/>
          <w:lang w:val="en-US"/>
        </w:rPr>
        <w:t>practice. [online] Available at: https://www.stemequals.ac.uk/Initiatives/Mentoring/Asking-insightful-questions-a-core-mentoringpractice [Accessed 4 Jul. 2024].</w:t>
      </w:r>
    </w:p>
    <w:p>
      <w:pPr>
        <w:pStyle w:val="Body"/>
        <w:rPr>
          <w:rFonts w:ascii="Arial" w:cs="Arial" w:hAnsi="Arial" w:eastAsia="Arial"/>
          <w:sz w:val="22"/>
          <w:szCs w:val="22"/>
        </w:rPr>
      </w:pPr>
      <w:r>
        <w:rPr>
          <w:rFonts w:ascii="Arial" w:hAnsi="Arial"/>
          <w:sz w:val="22"/>
          <w:szCs w:val="22"/>
          <w:rtl w:val="0"/>
          <w:lang w:val="en-US"/>
        </w:rPr>
        <w:t>Sword, R., (2022). How to Develop Coaching and Mentoring Skills. [online] The Hub | High Speed Training. Available at: https://www.highspeedtraining.co.uk/hub/coaching-and-mentoring-skills/ [Accessed 4 Jul. 2024].</w:t>
      </w:r>
    </w:p>
    <w:p>
      <w:pPr>
        <w:pStyle w:val="Body"/>
        <w:rPr>
          <w:rFonts w:ascii="Arial" w:cs="Arial" w:hAnsi="Arial" w:eastAsia="Arial"/>
          <w:sz w:val="22"/>
          <w:szCs w:val="22"/>
        </w:rPr>
      </w:pPr>
      <w:r>
        <w:rPr>
          <w:rFonts w:ascii="Arial" w:hAnsi="Arial"/>
          <w:sz w:val="22"/>
          <w:szCs w:val="22"/>
          <w:rtl w:val="0"/>
          <w:lang w:val="en-US"/>
        </w:rPr>
        <w:t>Toh, R.Q.E., Koh, K.K., Lua, J.K., Wong, R.S.M., Quah, E.L.Y., Panda, A., Ho, C.Y., Lim, N.A., Ong, Y.T., Chua, K.Z.Y. and Ng, V.W.W., (2022). The role of mentoring, supervision, coaching, teaching and instruction on professional identity formation: a systematic scoping review. BMC medical education, 22(1), p.531.</w:t>
      </w:r>
    </w:p>
    <w:p>
      <w:pPr>
        <w:pStyle w:val="Body"/>
      </w:pPr>
      <w:r>
        <w:rPr>
          <w:rFonts w:ascii="Arial" w:hAnsi="Arial" w:hint="default"/>
          <w:sz w:val="22"/>
          <w:szCs w:val="22"/>
          <w:rtl w:val="1"/>
        </w:rPr>
        <w:t>‌</w:t>
      </w:r>
      <w:r>
        <w:rPr>
          <w:rFonts w:ascii="Arial" w:hAnsi="Arial"/>
          <w:sz w:val="22"/>
          <w:szCs w:val="22"/>
          <w:rtl w:val="0"/>
          <w:lang w:val="en-US"/>
        </w:rPr>
        <w:t xml:space="preserve">Watts, M. and Corrie, S., (2022). Growing the </w:t>
      </w:r>
      <w:r>
        <w:rPr>
          <w:rFonts w:ascii="Arial" w:hAnsi="Arial" w:hint="default"/>
          <w:sz w:val="22"/>
          <w:szCs w:val="22"/>
          <w:rtl w:val="1"/>
        </w:rPr>
        <w:t>‘</w:t>
      </w:r>
      <w:r>
        <w:rPr>
          <w:rFonts w:ascii="Arial" w:hAnsi="Arial"/>
          <w:sz w:val="22"/>
          <w:szCs w:val="22"/>
          <w:rtl w:val="0"/>
        </w:rPr>
        <w:t>I</w:t>
      </w:r>
      <w:r>
        <w:rPr>
          <w:rFonts w:ascii="Arial" w:hAnsi="Arial" w:hint="default"/>
          <w:sz w:val="22"/>
          <w:szCs w:val="22"/>
          <w:rtl w:val="1"/>
        </w:rPr>
        <w:t>’</w:t>
      </w:r>
      <w:r>
        <w:rPr>
          <w:rFonts w:ascii="Arial" w:hAnsi="Arial"/>
          <w:sz w:val="22"/>
          <w:szCs w:val="22"/>
          <w:rtl w:val="0"/>
          <w:lang w:val="en-US"/>
        </w:rPr>
        <w:t xml:space="preserve">and the </w:t>
      </w:r>
      <w:r>
        <w:rPr>
          <w:rFonts w:ascii="Arial" w:hAnsi="Arial" w:hint="default"/>
          <w:sz w:val="22"/>
          <w:szCs w:val="22"/>
          <w:rtl w:val="1"/>
        </w:rPr>
        <w:t>‘</w:t>
      </w:r>
      <w:r>
        <w:rPr>
          <w:rFonts w:ascii="Arial" w:hAnsi="Arial"/>
          <w:sz w:val="22"/>
          <w:szCs w:val="22"/>
          <w:rtl w:val="0"/>
          <w:lang w:val="de-DE"/>
        </w:rPr>
        <w:t>We</w:t>
      </w:r>
      <w:r>
        <w:rPr>
          <w:rFonts w:ascii="Arial" w:hAnsi="Arial" w:hint="default"/>
          <w:sz w:val="22"/>
          <w:szCs w:val="22"/>
          <w:rtl w:val="1"/>
        </w:rPr>
        <w:t>’</w:t>
      </w:r>
      <w:r>
        <w:rPr>
          <w:rFonts w:ascii="Arial" w:hAnsi="Arial"/>
          <w:sz w:val="22"/>
          <w:szCs w:val="22"/>
          <w:rtl w:val="0"/>
          <w:lang w:val="en-US"/>
        </w:rPr>
        <w:t>in transformational leadership: The LEAD, LEARN &amp; GROW Model. Coaching Practiced, pp.139-157.</w:t>
      </w:r>
    </w:p>
    <w:sectPr>
      <w:headerReference w:type="default" r:id="rId5"/>
      <w:footerReference w:type="default" r:id="rId6"/>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340"/>
      </w:tabs>
      <w:spacing w:line="240" w:lineRule="auto"/>
      <w:jc w:val="right"/>
    </w:pPr>
    <w:r>
      <w:rPr>
        <w:outline w:val="0"/>
        <w:color w:val="000000"/>
        <w:u w:color="000000"/>
        <w:rtl w:val="0"/>
        <w14:textFill>
          <w14:solidFill>
            <w14:srgbClr w14:val="000000"/>
          </w14:solidFill>
        </w14:textFill>
      </w:rPr>
      <w:fldChar w:fldCharType="begin" w:fldLock="0"/>
    </w:r>
    <w:r>
      <w:rPr>
        <w:outline w:val="0"/>
        <w:color w:val="000000"/>
        <w:u w:color="000000"/>
        <w:rtl w:val="0"/>
        <w14:textFill>
          <w14:solidFill>
            <w14:srgbClr w14:val="000000"/>
          </w14:solidFill>
        </w14:textFill>
      </w:rPr>
      <w:instrText xml:space="preserve"> PAGE </w:instrText>
    </w:r>
    <w:r>
      <w:rPr>
        <w:outline w:val="0"/>
        <w:color w:val="000000"/>
        <w:u w:color="000000"/>
        <w:rtl w:val="0"/>
        <w14:textFill>
          <w14:solidFill>
            <w14:srgbClr w14:val="000000"/>
          </w14:solidFill>
        </w14:textFill>
      </w:rPr>
      <w:fldChar w:fldCharType="separate" w:fldLock="0"/>
    </w:r>
    <w:r>
      <w:rPr>
        <w:outline w:val="0"/>
        <w:color w:val="000000"/>
        <w:u w:color="000000"/>
        <w:rtl w:val="0"/>
        <w14:textFill>
          <w14:solidFill>
            <w14:srgbClr w14:val="000000"/>
          </w14:solidFill>
        </w14:textFill>
      </w:rPr>
    </w:r>
    <w:r>
      <w:rPr>
        <w:outline w:val="0"/>
        <w:color w:val="000000"/>
        <w:u w:color="000000"/>
        <w:rtl w:val="0"/>
        <w14:textFill>
          <w14:solidFill>
            <w14:srgbClr w14:val="000000"/>
          </w14:solidFill>
        </w14:textFill>
      </w:rPr>
      <w:fldChar w:fldCharType="end" w:fldLock="0"/>
    </w:r>
    <w:r>
      <w:rPr>
        <w:outline w:val="0"/>
        <w:color w:val="000000"/>
        <w:u w:color="000000"/>
        <w14:textFill>
          <w14:solidFill>
            <w14:srgbClr w14:val="000000"/>
          </w14:solidFill>
        </w14:textFill>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1"/>
      <w:pageBreakBefore w:val="0"/>
      <w:widowControl w:val="1"/>
      <w:shd w:val="clear" w:color="auto" w:fill="auto"/>
      <w:suppressAutoHyphens w:val="0"/>
      <w:bidi w:val="0"/>
      <w:spacing w:before="0" w:after="0" w:line="36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single" w:color="000000"/>
      <w:shd w:val="nil" w:color="auto" w:fill="auto"/>
      <w:vertAlign w:val="baseline"/>
      <w:lang w:val="en-US"/>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suppressAutoHyphens w:val="0"/>
      <w:bidi w:val="0"/>
      <w:spacing w:before="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1">
    <w:name w:val="TOC 1"/>
    <w:basedOn w:val="TOC 1 parent"/>
    <w:next w:val="TOC 1 parent"/>
    <w:rPr>
      <w:rFonts w:ascii="Arial" w:cs="Arial" w:hAnsi="Arial" w:eastAsia="Arial"/>
    </w:rPr>
  </w:style>
  <w:style w:type="paragraph" w:styleId="Heading">
    <w:name w:val="Heading"/>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parent">
    <w:name w:val="TOC 2 parent"/>
    <w:next w:val="TOC 2 parent"/>
    <w:pPr>
      <w:keepNext w:val="0"/>
      <w:keepLines w:val="0"/>
      <w:pageBreakBefore w:val="0"/>
      <w:widowControl w:val="1"/>
      <w:shd w:val="clear" w:color="auto" w:fill="auto"/>
      <w:suppressAutoHyphens w:val="0"/>
      <w:bidi w:val="0"/>
      <w:spacing w:before="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OC 2">
    <w:name w:val="TOC 2"/>
    <w:basedOn w:val="TOC 2 parent"/>
    <w:next w:val="TOC 2 parent"/>
    <w:pPr>
      <w:jc w:val="left"/>
    </w:pPr>
    <w:rPr>
      <w:rFonts w:ascii="Arial" w:cs="Arial" w:hAnsi="Arial" w:eastAsia="Arial"/>
    </w:rPr>
  </w:style>
  <w:style w:type="paragraph" w:styleId="Heading 2">
    <w:name w:val="Heading 2"/>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