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63871" w14:textId="7D3B1AC9" w:rsidR="00B71866" w:rsidRPr="00360828" w:rsidRDefault="00DA3A24">
      <w:pPr>
        <w:rPr>
          <w:sz w:val="28"/>
          <w:szCs w:val="28"/>
          <w:u w:val="single"/>
        </w:rPr>
      </w:pPr>
      <w:r w:rsidRPr="00360828">
        <w:rPr>
          <w:sz w:val="28"/>
          <w:szCs w:val="28"/>
          <w:u w:val="single"/>
        </w:rPr>
        <w:t xml:space="preserve">A short review of </w:t>
      </w:r>
      <w:r w:rsidR="00360828" w:rsidRPr="00360828">
        <w:rPr>
          <w:i/>
          <w:iCs/>
          <w:sz w:val="24"/>
          <w:szCs w:val="24"/>
          <w:u w:val="single"/>
        </w:rPr>
        <w:t>VICTUAL, RITUAL OR BOTH? FOOD OFFERINGS FROM THE FUNERARY ASSEMBLAGE OF ISITEMKHEB</w:t>
      </w:r>
      <w:r w:rsidR="00360828" w:rsidRPr="00360828">
        <w:rPr>
          <w:sz w:val="28"/>
          <w:szCs w:val="28"/>
          <w:u w:val="single"/>
        </w:rPr>
        <w:t xml:space="preserve"> by </w:t>
      </w:r>
      <w:proofErr w:type="spellStart"/>
      <w:r w:rsidR="00360828" w:rsidRPr="00360828">
        <w:rPr>
          <w:sz w:val="28"/>
          <w:szCs w:val="28"/>
          <w:u w:val="single"/>
        </w:rPr>
        <w:t>Salima</w:t>
      </w:r>
      <w:proofErr w:type="spellEnd"/>
      <w:r w:rsidR="00360828" w:rsidRPr="00360828">
        <w:rPr>
          <w:sz w:val="28"/>
          <w:szCs w:val="28"/>
          <w:u w:val="single"/>
        </w:rPr>
        <w:t xml:space="preserve"> Ikram </w:t>
      </w:r>
    </w:p>
    <w:p w14:paraId="74EB3B71" w14:textId="44A8B7FB" w:rsidR="00D27346" w:rsidRDefault="00B71866">
      <w:pPr>
        <w:rPr>
          <w:sz w:val="24"/>
          <w:szCs w:val="24"/>
        </w:rPr>
      </w:pPr>
      <w:r>
        <w:rPr>
          <w:sz w:val="24"/>
          <w:szCs w:val="24"/>
        </w:rPr>
        <w:t xml:space="preserve">This article start with a very specific case study from the funerary assemblage of </w:t>
      </w:r>
      <w:proofErr w:type="spellStart"/>
      <w:r>
        <w:rPr>
          <w:sz w:val="24"/>
          <w:szCs w:val="24"/>
        </w:rPr>
        <w:t>Isitemkheb</w:t>
      </w:r>
      <w:proofErr w:type="spellEnd"/>
      <w:r>
        <w:rPr>
          <w:sz w:val="24"/>
          <w:szCs w:val="24"/>
        </w:rPr>
        <w:t>, dated to the 21</w:t>
      </w:r>
      <w:r w:rsidRPr="00B71866">
        <w:rPr>
          <w:sz w:val="24"/>
          <w:szCs w:val="24"/>
          <w:vertAlign w:val="superscript"/>
        </w:rPr>
        <w:t>st</w:t>
      </w:r>
      <w:r>
        <w:rPr>
          <w:sz w:val="24"/>
          <w:szCs w:val="24"/>
        </w:rPr>
        <w:t xml:space="preserve"> dynasty.  It begins with a brief description of victual mummies and the variety of meats (mammals, birds and fish) that would be wrapped, in virtually the same way as the human mummies. Ikram draws upon an interesting comparison to 18</w:t>
      </w:r>
      <w:r w:rsidRPr="00B71866">
        <w:rPr>
          <w:sz w:val="24"/>
          <w:szCs w:val="24"/>
          <w:vertAlign w:val="superscript"/>
        </w:rPr>
        <w:t>th</w:t>
      </w:r>
      <w:r>
        <w:rPr>
          <w:sz w:val="24"/>
          <w:szCs w:val="24"/>
        </w:rPr>
        <w:t xml:space="preserve"> dynasty funerary practices in which </w:t>
      </w:r>
      <w:r w:rsidR="0046287F">
        <w:rPr>
          <w:sz w:val="24"/>
          <w:szCs w:val="24"/>
        </w:rPr>
        <w:t>these offerings for the deceased were individually placed in wooden coffinets, rather in the 21</w:t>
      </w:r>
      <w:r w:rsidR="0046287F" w:rsidRPr="0046287F">
        <w:rPr>
          <w:sz w:val="24"/>
          <w:szCs w:val="24"/>
          <w:vertAlign w:val="superscript"/>
        </w:rPr>
        <w:t>st</w:t>
      </w:r>
      <w:r w:rsidR="0046287F">
        <w:rPr>
          <w:sz w:val="24"/>
          <w:szCs w:val="24"/>
        </w:rPr>
        <w:t xml:space="preserve"> dynasty they were placed in baskets made of reed or papyrus. These offerings are presented by the author as an extremely useful tool for understanding the ancient Egyptian consumption of meat as well as the specific processes behind it such as jointing, processing and preserving the meat. For instance, there are distinctly separate processes depending on the type of meat. Meat from a calf was jointed and skinned before it was preserved, whereas the mummies of the avian variety were plucked first with the wing-tips and feet removed just as you would do for eating</w:t>
      </w:r>
      <w:r w:rsidR="00D27346">
        <w:rPr>
          <w:sz w:val="24"/>
          <w:szCs w:val="24"/>
        </w:rPr>
        <w:t>. As these were provisions for the deceased afterlife it makes sense to prepare the food as if they living. Bringing me to the next point of the article, how traces of resin and oil were found on</w:t>
      </w:r>
      <w:r w:rsidR="009B0D0A">
        <w:rPr>
          <w:sz w:val="24"/>
          <w:szCs w:val="24"/>
        </w:rPr>
        <w:t>ly on</w:t>
      </w:r>
      <w:r w:rsidR="00D27346">
        <w:rPr>
          <w:sz w:val="24"/>
          <w:szCs w:val="24"/>
        </w:rPr>
        <w:t xml:space="preserve"> one </w:t>
      </w:r>
      <w:r w:rsidR="009B0D0A">
        <w:rPr>
          <w:sz w:val="24"/>
          <w:szCs w:val="24"/>
        </w:rPr>
        <w:t>chunk of meat</w:t>
      </w:r>
      <w:r w:rsidR="00D27346">
        <w:rPr>
          <w:sz w:val="24"/>
          <w:szCs w:val="24"/>
        </w:rPr>
        <w:t xml:space="preserve">, perhaps </w:t>
      </w:r>
      <w:r w:rsidR="009B0D0A">
        <w:rPr>
          <w:sz w:val="24"/>
          <w:szCs w:val="24"/>
        </w:rPr>
        <w:t xml:space="preserve">these substances were avoided as to </w:t>
      </w:r>
      <w:r w:rsidR="00D27346">
        <w:rPr>
          <w:sz w:val="24"/>
          <w:szCs w:val="24"/>
        </w:rPr>
        <w:t xml:space="preserve">not </w:t>
      </w:r>
      <w:r w:rsidR="009B0D0A">
        <w:rPr>
          <w:sz w:val="24"/>
          <w:szCs w:val="24"/>
        </w:rPr>
        <w:t>‘</w:t>
      </w:r>
      <w:r w:rsidR="00D27346">
        <w:rPr>
          <w:sz w:val="24"/>
          <w:szCs w:val="24"/>
        </w:rPr>
        <w:t>taint</w:t>
      </w:r>
      <w:r w:rsidR="009B0D0A">
        <w:rPr>
          <w:sz w:val="24"/>
          <w:szCs w:val="24"/>
        </w:rPr>
        <w:t>’</w:t>
      </w:r>
      <w:r w:rsidR="00D27346">
        <w:rPr>
          <w:sz w:val="24"/>
          <w:szCs w:val="24"/>
        </w:rPr>
        <w:t xml:space="preserve"> the</w:t>
      </w:r>
      <w:r w:rsidR="009B0D0A">
        <w:rPr>
          <w:sz w:val="24"/>
          <w:szCs w:val="24"/>
        </w:rPr>
        <w:t xml:space="preserve"> majority of</w:t>
      </w:r>
      <w:r w:rsidR="00D27346">
        <w:rPr>
          <w:sz w:val="24"/>
          <w:szCs w:val="24"/>
        </w:rPr>
        <w:t xml:space="preserve"> food they were preparing. </w:t>
      </w:r>
    </w:p>
    <w:p w14:paraId="775B5931" w14:textId="302C8C55" w:rsidR="00B71866" w:rsidRDefault="00D27346">
      <w:pPr>
        <w:rPr>
          <w:sz w:val="24"/>
          <w:szCs w:val="24"/>
        </w:rPr>
      </w:pPr>
      <w:r>
        <w:rPr>
          <w:sz w:val="24"/>
          <w:szCs w:val="24"/>
        </w:rPr>
        <w:t>The article then goes on to list what was found</w:t>
      </w:r>
      <w:r w:rsidR="009B0D0A">
        <w:rPr>
          <w:sz w:val="24"/>
          <w:szCs w:val="24"/>
        </w:rPr>
        <w:t xml:space="preserve">: </w:t>
      </w:r>
      <w:r w:rsidR="00BD7DB1">
        <w:rPr>
          <w:sz w:val="24"/>
          <w:szCs w:val="24"/>
        </w:rPr>
        <w:t xml:space="preserve">a calf, a goose, two pigeons and two ducks </w:t>
      </w:r>
      <w:r>
        <w:rPr>
          <w:sz w:val="24"/>
          <w:szCs w:val="24"/>
        </w:rPr>
        <w:t>and the immediate similarities to pick up on was the use of coarse linen wrappings</w:t>
      </w:r>
      <w:r w:rsidR="00BD7DB1">
        <w:rPr>
          <w:sz w:val="24"/>
          <w:szCs w:val="24"/>
        </w:rPr>
        <w:t xml:space="preserve"> throughout.</w:t>
      </w:r>
      <w:r w:rsidR="009B0D0A">
        <w:rPr>
          <w:sz w:val="24"/>
          <w:szCs w:val="24"/>
        </w:rPr>
        <w:t xml:space="preserve"> </w:t>
      </w:r>
      <w:r w:rsidR="00BD7DB1">
        <w:rPr>
          <w:sz w:val="24"/>
          <w:szCs w:val="24"/>
        </w:rPr>
        <w:t>Interestingly a spiral style of wrapping</w:t>
      </w:r>
      <w:r>
        <w:rPr>
          <w:sz w:val="24"/>
          <w:szCs w:val="24"/>
        </w:rPr>
        <w:t xml:space="preserve"> on the vertebrae and other pieces of the calf. </w:t>
      </w:r>
      <w:r w:rsidR="00BD7DB1">
        <w:rPr>
          <w:sz w:val="24"/>
          <w:szCs w:val="24"/>
        </w:rPr>
        <w:t>Meanwhile the poultry was ‘stuffed’ with sandy soil to help with preservation and seemingly had more parts purposefully missing (</w:t>
      </w:r>
      <w:proofErr w:type="spellStart"/>
      <w:r w:rsidR="00BD7DB1">
        <w:rPr>
          <w:sz w:val="24"/>
          <w:szCs w:val="24"/>
        </w:rPr>
        <w:t>ie</w:t>
      </w:r>
      <w:proofErr w:type="spellEnd"/>
      <w:r w:rsidR="00BD7DB1">
        <w:rPr>
          <w:sz w:val="24"/>
          <w:szCs w:val="24"/>
        </w:rPr>
        <w:t xml:space="preserve">. organs), in comparison to the calf which </w:t>
      </w:r>
      <w:r w:rsidR="009B0D0A">
        <w:rPr>
          <w:sz w:val="24"/>
          <w:szCs w:val="24"/>
        </w:rPr>
        <w:t>almost entirely</w:t>
      </w:r>
      <w:r w:rsidR="00BD7DB1">
        <w:rPr>
          <w:sz w:val="24"/>
          <w:szCs w:val="24"/>
        </w:rPr>
        <w:t xml:space="preserve"> seemed to be mummified. </w:t>
      </w:r>
    </w:p>
    <w:p w14:paraId="3CA0AC75" w14:textId="4E9E8B68" w:rsidR="00BD7DB1" w:rsidRDefault="00997493">
      <w:pPr>
        <w:rPr>
          <w:sz w:val="24"/>
          <w:szCs w:val="24"/>
        </w:rPr>
      </w:pPr>
      <w:r>
        <w:rPr>
          <w:sz w:val="24"/>
          <w:szCs w:val="24"/>
        </w:rPr>
        <w:t>The calf is definitely hi-lighted as the most unique part of the offerings. As so much of it was included as well as the fact the calf was extremely young between 6-8 months, whereas it</w:t>
      </w:r>
      <w:r w:rsidR="009B0D0A">
        <w:rPr>
          <w:sz w:val="24"/>
          <w:szCs w:val="24"/>
        </w:rPr>
        <w:t>’</w:t>
      </w:r>
      <w:r>
        <w:rPr>
          <w:sz w:val="24"/>
          <w:szCs w:val="24"/>
        </w:rPr>
        <w:t>s 18</w:t>
      </w:r>
      <w:r w:rsidRPr="00997493">
        <w:rPr>
          <w:sz w:val="24"/>
          <w:szCs w:val="24"/>
          <w:vertAlign w:val="superscript"/>
        </w:rPr>
        <w:t>th</w:t>
      </w:r>
      <w:r>
        <w:rPr>
          <w:sz w:val="24"/>
          <w:szCs w:val="24"/>
        </w:rPr>
        <w:t xml:space="preserve"> dynasty counterparts were older 14-28 months. The most striking feature about this to me was the inclusion of the tail, a</w:t>
      </w:r>
      <w:r w:rsidR="009B0D0A">
        <w:rPr>
          <w:sz w:val="24"/>
          <w:szCs w:val="24"/>
        </w:rPr>
        <w:t>s a</w:t>
      </w:r>
      <w:r>
        <w:rPr>
          <w:sz w:val="24"/>
          <w:szCs w:val="24"/>
        </w:rPr>
        <w:t xml:space="preserve"> feature of  kings regalia was a bulls tail. Leading to the discussion of royal imagery and associations and whether or not these provisions where for </w:t>
      </w:r>
      <w:proofErr w:type="spellStart"/>
      <w:r>
        <w:rPr>
          <w:sz w:val="24"/>
          <w:szCs w:val="24"/>
        </w:rPr>
        <w:t>Isitemkheb</w:t>
      </w:r>
      <w:proofErr w:type="spellEnd"/>
      <w:r>
        <w:rPr>
          <w:sz w:val="24"/>
          <w:szCs w:val="24"/>
        </w:rPr>
        <w:t xml:space="preserve"> like originally thought or for her husband </w:t>
      </w:r>
      <w:proofErr w:type="spellStart"/>
      <w:r w:rsidRPr="009B0D0A">
        <w:rPr>
          <w:sz w:val="24"/>
          <w:szCs w:val="24"/>
        </w:rPr>
        <w:t>Pinudjem</w:t>
      </w:r>
      <w:proofErr w:type="spellEnd"/>
      <w:r w:rsidRPr="009B0D0A">
        <w:rPr>
          <w:sz w:val="24"/>
          <w:szCs w:val="24"/>
        </w:rPr>
        <w:t xml:space="preserve"> II</w:t>
      </w:r>
      <w:r w:rsidR="009B0D0A">
        <w:rPr>
          <w:sz w:val="24"/>
          <w:szCs w:val="24"/>
        </w:rPr>
        <w:t>. “</w:t>
      </w:r>
      <w:r w:rsidR="009B0D0A" w:rsidRPr="009B0D0A">
        <w:rPr>
          <w:sz w:val="24"/>
          <w:szCs w:val="24"/>
        </w:rPr>
        <w:t>Due to the way in which the grave goods were deposited it is di</w:t>
      </w:r>
      <w:r w:rsidR="009B0D0A">
        <w:rPr>
          <w:sz w:val="24"/>
          <w:szCs w:val="24"/>
        </w:rPr>
        <w:t>ffi</w:t>
      </w:r>
      <w:r w:rsidR="009B0D0A" w:rsidRPr="009B0D0A">
        <w:rPr>
          <w:sz w:val="24"/>
          <w:szCs w:val="24"/>
        </w:rPr>
        <w:t>cult to con</w:t>
      </w:r>
      <w:r w:rsidR="009B0D0A">
        <w:rPr>
          <w:sz w:val="24"/>
          <w:szCs w:val="24"/>
        </w:rPr>
        <w:t>fi</w:t>
      </w:r>
      <w:r w:rsidR="009B0D0A" w:rsidRPr="009B0D0A">
        <w:rPr>
          <w:sz w:val="24"/>
          <w:szCs w:val="24"/>
        </w:rPr>
        <w:t xml:space="preserve">dently assign </w:t>
      </w:r>
      <w:r w:rsidR="009B0D0A" w:rsidRPr="009B0D0A">
        <w:rPr>
          <w:sz w:val="24"/>
          <w:szCs w:val="24"/>
        </w:rPr>
        <w:t>unlabelled</w:t>
      </w:r>
      <w:r w:rsidR="009B0D0A" w:rsidRPr="009B0D0A">
        <w:rPr>
          <w:sz w:val="24"/>
          <w:szCs w:val="24"/>
        </w:rPr>
        <w:t xml:space="preserve"> objects to their owners.</w:t>
      </w:r>
      <w:r w:rsidR="009B0D0A">
        <w:rPr>
          <w:sz w:val="24"/>
          <w:szCs w:val="24"/>
        </w:rPr>
        <w:t>”</w:t>
      </w:r>
    </w:p>
    <w:p w14:paraId="06429717" w14:textId="6DC5AA75" w:rsidR="00BD7DB1" w:rsidRPr="00B71866" w:rsidRDefault="00BD7DB1">
      <w:pPr>
        <w:rPr>
          <w:sz w:val="24"/>
          <w:szCs w:val="24"/>
        </w:rPr>
      </w:pPr>
      <w:r>
        <w:rPr>
          <w:sz w:val="24"/>
          <w:szCs w:val="24"/>
        </w:rPr>
        <w:t>Overall I really enjoyed this article as it was easy to follow and very clear in it’s writing style, and therefore quite accessible to those who aren’t  familiar with ancient Egyptian funerary practices. The article had a simple structure to it and the usage of specific case studies and comparisons made</w:t>
      </w:r>
      <w:r w:rsidR="00997493">
        <w:rPr>
          <w:sz w:val="24"/>
          <w:szCs w:val="24"/>
        </w:rPr>
        <w:t xml:space="preserve"> it quicker to understand what the author was focusing on and why it could potentially be unique. </w:t>
      </w:r>
    </w:p>
    <w:sectPr w:rsidR="00BD7DB1" w:rsidRPr="00B71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866"/>
    <w:rsid w:val="00360828"/>
    <w:rsid w:val="0046287F"/>
    <w:rsid w:val="00997493"/>
    <w:rsid w:val="009B0D0A"/>
    <w:rsid w:val="00B71866"/>
    <w:rsid w:val="00BD7DB1"/>
    <w:rsid w:val="00D27346"/>
    <w:rsid w:val="00DA3A24"/>
    <w:rsid w:val="00FE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101F3"/>
  <w15:chartTrackingRefBased/>
  <w15:docId w15:val="{EF362E5F-68FA-4104-9EFD-95C3C25FC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454</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Amy Ferguson</cp:lastModifiedBy>
  <cp:revision>2</cp:revision>
  <dcterms:created xsi:type="dcterms:W3CDTF">2021-01-22T09:10:00Z</dcterms:created>
  <dcterms:modified xsi:type="dcterms:W3CDTF">2021-01-22T09:10:00Z</dcterms:modified>
</cp:coreProperties>
</file>