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C0987" w14:textId="77777777" w:rsidR="008B19BE" w:rsidRDefault="008B19BE">
      <w:pPr>
        <w:spacing w:after="800"/>
      </w:pPr>
    </w:p>
    <w:p w14:paraId="33466E90" w14:textId="77777777" w:rsidR="008B19BE" w:rsidRDefault="00000000" w:rsidP="001C721D">
      <w:pPr>
        <w:spacing w:after="120"/>
        <w:jc w:val="center"/>
      </w:pPr>
      <w:r>
        <w:rPr>
          <w:b/>
          <w:bCs/>
          <w:color w:val="000000"/>
          <w:sz w:val="30"/>
          <w:szCs w:val="30"/>
        </w:rPr>
        <w:t>UNIVERSITY OF WALES TRINITY SAINT DAVID</w:t>
      </w:r>
    </w:p>
    <w:p w14:paraId="76986EDE" w14:textId="16E5FCFB" w:rsidR="008B19BE" w:rsidRPr="001C721D" w:rsidRDefault="00000000" w:rsidP="001C721D">
      <w:pPr>
        <w:spacing w:after="480" w:line="480" w:lineRule="auto"/>
        <w:jc w:val="center"/>
        <w:rPr>
          <w:b/>
          <w:bCs/>
        </w:rPr>
      </w:pPr>
      <w:r w:rsidRPr="001C721D">
        <w:rPr>
          <w:b/>
          <w:bCs/>
          <w:color w:val="000000"/>
        </w:rPr>
        <w:t>MSc Cybersecurity and Digital Forensics</w:t>
      </w:r>
    </w:p>
    <w:p w14:paraId="50E22040" w14:textId="77777777" w:rsidR="008B19BE" w:rsidRDefault="00000000" w:rsidP="001C721D">
      <w:pPr>
        <w:spacing w:after="120"/>
        <w:jc w:val="center"/>
      </w:pPr>
      <w:proofErr w:type="spellStart"/>
      <w:r>
        <w:rPr>
          <w:b/>
          <w:bCs/>
          <w:color w:val="000000"/>
          <w:sz w:val="40"/>
          <w:szCs w:val="40"/>
        </w:rPr>
        <w:t>FinSure</w:t>
      </w:r>
      <w:proofErr w:type="spellEnd"/>
      <w:r>
        <w:rPr>
          <w:b/>
          <w:bCs/>
          <w:color w:val="000000"/>
          <w:sz w:val="40"/>
          <w:szCs w:val="40"/>
        </w:rPr>
        <w:t xml:space="preserve"> Bank (FSB)</w:t>
      </w:r>
    </w:p>
    <w:p w14:paraId="0DFC1CC8" w14:textId="77777777" w:rsidR="008B19BE" w:rsidRDefault="00000000" w:rsidP="001C721D">
      <w:pPr>
        <w:spacing w:after="240"/>
        <w:jc w:val="center"/>
      </w:pPr>
      <w:r>
        <w:rPr>
          <w:b/>
          <w:bCs/>
          <w:color w:val="000000"/>
          <w:sz w:val="28"/>
          <w:szCs w:val="28"/>
        </w:rPr>
        <w:t>Integrated Security Governance Report</w:t>
      </w:r>
    </w:p>
    <w:p w14:paraId="35E968AF" w14:textId="60F787B5" w:rsidR="008B19BE" w:rsidRPr="001C721D" w:rsidRDefault="00000000" w:rsidP="001C721D">
      <w:pPr>
        <w:spacing w:after="480" w:line="480" w:lineRule="auto"/>
        <w:jc w:val="center"/>
        <w:rPr>
          <w:b/>
          <w:bCs/>
        </w:rPr>
      </w:pPr>
      <w:r w:rsidRPr="001C721D">
        <w:rPr>
          <w:b/>
          <w:bCs/>
          <w:i/>
          <w:iCs/>
          <w:color w:val="000000"/>
          <w:sz w:val="22"/>
          <w:szCs w:val="22"/>
        </w:rPr>
        <w:t>ACCA7028 — Data Security, Governance and Compliance</w:t>
      </w:r>
    </w:p>
    <w:tbl>
      <w:tblPr>
        <w:tblW w:w="5809" w:type="dxa"/>
        <w:tblInd w:w="1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36"/>
        <w:gridCol w:w="3873"/>
      </w:tblGrid>
      <w:tr w:rsidR="008B19BE" w14:paraId="0CEB7B97" w14:textId="77777777" w:rsidTr="00EE6883">
        <w:trPr>
          <w:trHeight w:val="203"/>
        </w:trPr>
        <w:tc>
          <w:tcPr>
            <w:tcW w:w="1936"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5661C10A" w14:textId="77777777" w:rsidR="008B19BE" w:rsidRDefault="00000000" w:rsidP="00EE6883">
            <w:pPr>
              <w:spacing w:line="276" w:lineRule="auto"/>
              <w:jc w:val="center"/>
            </w:pPr>
            <w:r>
              <w:rPr>
                <w:b/>
                <w:bCs/>
                <w:color w:val="000000"/>
                <w:sz w:val="22"/>
                <w:szCs w:val="22"/>
              </w:rPr>
              <w:t>Student Name:</w:t>
            </w:r>
          </w:p>
        </w:tc>
        <w:tc>
          <w:tcPr>
            <w:tcW w:w="3873"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7F3770B3" w14:textId="77777777" w:rsidR="008B19BE" w:rsidRDefault="00000000" w:rsidP="00EE6883">
            <w:pPr>
              <w:spacing w:line="276" w:lineRule="auto"/>
              <w:jc w:val="center"/>
            </w:pPr>
            <w:r>
              <w:rPr>
                <w:color w:val="000000"/>
                <w:sz w:val="22"/>
                <w:szCs w:val="22"/>
              </w:rPr>
              <w:t>Rajul Gupta</w:t>
            </w:r>
          </w:p>
        </w:tc>
      </w:tr>
      <w:tr w:rsidR="008B19BE" w14:paraId="20CC58F7" w14:textId="77777777" w:rsidTr="00EE6883">
        <w:trPr>
          <w:trHeight w:val="216"/>
        </w:trPr>
        <w:tc>
          <w:tcPr>
            <w:tcW w:w="1936"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40F10D5F" w14:textId="77777777" w:rsidR="008B19BE" w:rsidRDefault="00000000" w:rsidP="00EE6883">
            <w:pPr>
              <w:spacing w:line="276" w:lineRule="auto"/>
              <w:jc w:val="center"/>
            </w:pPr>
            <w:r>
              <w:rPr>
                <w:b/>
                <w:bCs/>
                <w:color w:val="000000"/>
                <w:sz w:val="22"/>
                <w:szCs w:val="22"/>
              </w:rPr>
              <w:t>Student ID:</w:t>
            </w:r>
          </w:p>
        </w:tc>
        <w:tc>
          <w:tcPr>
            <w:tcW w:w="3873"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7A9AD438" w14:textId="77777777" w:rsidR="008B19BE" w:rsidRDefault="00000000" w:rsidP="00EE6883">
            <w:pPr>
              <w:spacing w:line="276" w:lineRule="auto"/>
              <w:jc w:val="center"/>
            </w:pPr>
            <w:r>
              <w:rPr>
                <w:color w:val="000000"/>
                <w:sz w:val="22"/>
                <w:szCs w:val="22"/>
              </w:rPr>
              <w:t>2523934</w:t>
            </w:r>
          </w:p>
        </w:tc>
      </w:tr>
      <w:tr w:rsidR="008B19BE" w14:paraId="2781E60D" w14:textId="77777777" w:rsidTr="00EE6883">
        <w:trPr>
          <w:trHeight w:val="203"/>
        </w:trPr>
        <w:tc>
          <w:tcPr>
            <w:tcW w:w="1936"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5A7DAF81" w14:textId="77777777" w:rsidR="008B19BE" w:rsidRDefault="00000000" w:rsidP="00EE6883">
            <w:pPr>
              <w:spacing w:line="276" w:lineRule="auto"/>
              <w:jc w:val="center"/>
            </w:pPr>
            <w:r>
              <w:rPr>
                <w:b/>
                <w:bCs/>
                <w:color w:val="000000"/>
                <w:sz w:val="22"/>
                <w:szCs w:val="22"/>
              </w:rPr>
              <w:t>Module Code:</w:t>
            </w:r>
          </w:p>
        </w:tc>
        <w:tc>
          <w:tcPr>
            <w:tcW w:w="3873"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22C2D569" w14:textId="77777777" w:rsidR="008B19BE" w:rsidRDefault="00000000" w:rsidP="00EE6883">
            <w:pPr>
              <w:spacing w:line="276" w:lineRule="auto"/>
              <w:jc w:val="center"/>
            </w:pPr>
            <w:r>
              <w:rPr>
                <w:color w:val="000000"/>
                <w:sz w:val="22"/>
                <w:szCs w:val="22"/>
              </w:rPr>
              <w:t>ACCA7028</w:t>
            </w:r>
          </w:p>
        </w:tc>
      </w:tr>
      <w:tr w:rsidR="008B19BE" w14:paraId="1D0120B3" w14:textId="77777777" w:rsidTr="00EE6883">
        <w:trPr>
          <w:trHeight w:val="203"/>
        </w:trPr>
        <w:tc>
          <w:tcPr>
            <w:tcW w:w="1936"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3D635072" w14:textId="77777777" w:rsidR="008B19BE" w:rsidRDefault="00000000" w:rsidP="00EE6883">
            <w:pPr>
              <w:spacing w:line="276" w:lineRule="auto"/>
              <w:jc w:val="center"/>
            </w:pPr>
            <w:r>
              <w:rPr>
                <w:b/>
                <w:bCs/>
                <w:color w:val="000000"/>
                <w:sz w:val="22"/>
                <w:szCs w:val="22"/>
              </w:rPr>
              <w:t>Lecturer:</w:t>
            </w:r>
          </w:p>
        </w:tc>
        <w:tc>
          <w:tcPr>
            <w:tcW w:w="3873"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26120972" w14:textId="77777777" w:rsidR="008B19BE" w:rsidRDefault="00000000" w:rsidP="00EE6883">
            <w:pPr>
              <w:spacing w:line="276" w:lineRule="auto"/>
              <w:jc w:val="center"/>
            </w:pPr>
            <w:r>
              <w:rPr>
                <w:color w:val="000000"/>
                <w:sz w:val="22"/>
                <w:szCs w:val="22"/>
              </w:rPr>
              <w:t>Dr Ayman Al Hajjar</w:t>
            </w:r>
          </w:p>
        </w:tc>
      </w:tr>
      <w:tr w:rsidR="008B19BE" w14:paraId="18CB43F3" w14:textId="77777777" w:rsidTr="00EE6883">
        <w:trPr>
          <w:trHeight w:val="216"/>
        </w:trPr>
        <w:tc>
          <w:tcPr>
            <w:tcW w:w="1936" w:type="dxa"/>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4F50350A" w14:textId="77777777" w:rsidR="008B19BE" w:rsidRDefault="00000000" w:rsidP="00EE6883">
            <w:pPr>
              <w:spacing w:line="276" w:lineRule="auto"/>
              <w:jc w:val="center"/>
            </w:pPr>
            <w:r>
              <w:rPr>
                <w:b/>
                <w:bCs/>
                <w:color w:val="000000"/>
                <w:sz w:val="22"/>
                <w:szCs w:val="22"/>
              </w:rPr>
              <w:t>Submission Date:</w:t>
            </w:r>
          </w:p>
        </w:tc>
        <w:tc>
          <w:tcPr>
            <w:tcW w:w="3873" w:type="dxa"/>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p w14:paraId="530F9B72" w14:textId="77777777" w:rsidR="008B19BE" w:rsidRDefault="00000000" w:rsidP="00EE6883">
            <w:pPr>
              <w:spacing w:line="276" w:lineRule="auto"/>
              <w:jc w:val="center"/>
            </w:pPr>
            <w:r>
              <w:rPr>
                <w:color w:val="000000"/>
                <w:sz w:val="22"/>
                <w:szCs w:val="22"/>
              </w:rPr>
              <w:t>29 April 2026</w:t>
            </w:r>
          </w:p>
        </w:tc>
      </w:tr>
    </w:tbl>
    <w:p w14:paraId="129FFF2B" w14:textId="75143135" w:rsidR="00054C32" w:rsidRDefault="00054C32"/>
    <w:p w14:paraId="748C95DD" w14:textId="77777777" w:rsidR="00EE6883" w:rsidRDefault="00EE6883"/>
    <w:p w14:paraId="4954DFFD" w14:textId="77777777" w:rsidR="00EE6883" w:rsidRDefault="00EE6883"/>
    <w:p w14:paraId="476B2401" w14:textId="77777777" w:rsidR="00054C32" w:rsidRDefault="00054C32"/>
    <w:p w14:paraId="676C6A72" w14:textId="77777777" w:rsidR="00054C32" w:rsidRDefault="00054C32"/>
    <w:p w14:paraId="43B1A66E" w14:textId="77777777" w:rsidR="00054C32" w:rsidRDefault="00054C32"/>
    <w:p w14:paraId="3D53A120" w14:textId="77777777" w:rsidR="00EE6883" w:rsidRDefault="00EE6883"/>
    <w:p w14:paraId="423EBF47" w14:textId="77777777" w:rsidR="001C721D" w:rsidRDefault="001C721D"/>
    <w:p w14:paraId="446330F7" w14:textId="77777777" w:rsidR="001C721D" w:rsidRDefault="001C721D"/>
    <w:p w14:paraId="210DD850" w14:textId="77777777" w:rsidR="001C721D" w:rsidRDefault="001C721D"/>
    <w:p w14:paraId="2ACE14CC" w14:textId="77777777" w:rsidR="001C721D" w:rsidRDefault="001C721D"/>
    <w:p w14:paraId="18E0A9A6" w14:textId="77777777" w:rsidR="001C721D" w:rsidRDefault="001C721D"/>
    <w:p w14:paraId="0B285BAA" w14:textId="77777777" w:rsidR="001C721D" w:rsidRDefault="001C721D"/>
    <w:p w14:paraId="013788BB" w14:textId="77777777" w:rsidR="001C721D" w:rsidRDefault="001C721D"/>
    <w:p w14:paraId="70260D67" w14:textId="77777777" w:rsidR="001C721D" w:rsidRDefault="001C721D"/>
    <w:p w14:paraId="7697CDDD" w14:textId="77777777" w:rsidR="001C721D" w:rsidRDefault="001C721D"/>
    <w:p w14:paraId="75D15448" w14:textId="77777777" w:rsidR="00054C32" w:rsidRDefault="00054C32"/>
    <w:p w14:paraId="327338AC" w14:textId="77777777" w:rsidR="00054C32" w:rsidRDefault="00054C32"/>
    <w:p w14:paraId="6FBE54BC" w14:textId="77777777" w:rsidR="001C721D" w:rsidRDefault="001C721D"/>
    <w:p w14:paraId="02758BCD" w14:textId="77777777" w:rsidR="001C721D" w:rsidRDefault="001C721D"/>
    <w:p w14:paraId="546C58DA" w14:textId="77777777" w:rsidR="001C721D" w:rsidRDefault="001C721D"/>
    <w:p w14:paraId="29FCD857" w14:textId="77777777" w:rsidR="001C721D" w:rsidRDefault="001C721D"/>
    <w:p w14:paraId="14240DE3" w14:textId="77777777" w:rsidR="001C721D" w:rsidRDefault="001C721D"/>
    <w:p w14:paraId="38883EC2" w14:textId="77777777" w:rsidR="001C721D" w:rsidRDefault="001C721D"/>
    <w:p w14:paraId="2540C166" w14:textId="77777777" w:rsidR="00054C32" w:rsidRDefault="00054C32"/>
    <w:p w14:paraId="1CAE38CF" w14:textId="77777777" w:rsidR="008B19BE" w:rsidRDefault="00000000" w:rsidP="00054C32">
      <w:pPr>
        <w:spacing w:after="160"/>
        <w:jc w:val="center"/>
      </w:pPr>
      <w:r>
        <w:rPr>
          <w:b/>
          <w:bCs/>
          <w:color w:val="000000"/>
          <w:sz w:val="26"/>
          <w:szCs w:val="26"/>
        </w:rPr>
        <w:lastRenderedPageBreak/>
        <w:t>Abstract</w:t>
      </w:r>
    </w:p>
    <w:p w14:paraId="62C63025" w14:textId="77777777" w:rsidR="008B19BE" w:rsidRDefault="00000000" w:rsidP="00054C32">
      <w:pPr>
        <w:spacing w:after="240"/>
        <w:jc w:val="both"/>
      </w:pPr>
      <w:proofErr w:type="spellStart"/>
      <w:r>
        <w:rPr>
          <w:color w:val="000000"/>
        </w:rPr>
        <w:t>FinSure</w:t>
      </w:r>
      <w:proofErr w:type="spellEnd"/>
      <w:r>
        <w:rPr>
          <w:color w:val="000000"/>
        </w:rPr>
        <w:t xml:space="preserve"> Bank’s unchecked technological expansion, with over 90% of its infrastructure hosted offsite and no formal BYOD regulation, has eliminated its traditional security perimeter. This paper critically evaluates ISO/IEC 27001:2022 and ITIL 4, determines that they are individually inadequate, and proposes an FSB Integrated Security Governance Model incorporating Zero Trust Architecture (NIST SP 800-207) driven by AI-based risk assessment. It further argues that GDPR, DORA, and the UK Cyber Security and Resilience Bill must be treated as essential defensive infrastructure rather than an administrative burden.</w:t>
      </w:r>
    </w:p>
    <w:p w14:paraId="6831D833" w14:textId="77777777" w:rsidR="008B19BE" w:rsidRDefault="00000000" w:rsidP="00054C32">
      <w:pPr>
        <w:spacing w:after="240"/>
        <w:jc w:val="both"/>
      </w:pPr>
      <w:r>
        <w:rPr>
          <w:b/>
          <w:bCs/>
          <w:i/>
          <w:iCs/>
          <w:color w:val="000000"/>
        </w:rPr>
        <w:t xml:space="preserve">Keywords — </w:t>
      </w:r>
      <w:r>
        <w:rPr>
          <w:i/>
          <w:iCs/>
          <w:color w:val="000000"/>
        </w:rPr>
        <w:t>ISO/IEC 27001:2022; ITIL 4; Zero Trust Architecture; GDPR; DORA; BYOD; Financial Security Governance</w:t>
      </w:r>
    </w:p>
    <w:p w14:paraId="5B4017C8" w14:textId="77777777" w:rsidR="008B19BE" w:rsidRDefault="008B19BE">
      <w:pPr>
        <w:pBdr>
          <w:bottom w:val="single" w:sz="2" w:space="1" w:color="000000"/>
        </w:pBdr>
      </w:pPr>
    </w:p>
    <w:p w14:paraId="78BEDDE9" w14:textId="77777777" w:rsidR="008B19BE" w:rsidRDefault="00000000">
      <w:pPr>
        <w:pBdr>
          <w:bottom w:val="single" w:sz="2" w:space="1" w:color="AAAAAA"/>
        </w:pBdr>
        <w:spacing w:before="480" w:after="160" w:line="480" w:lineRule="auto"/>
      </w:pPr>
      <w:r>
        <w:rPr>
          <w:b/>
          <w:bCs/>
          <w:color w:val="000000"/>
          <w:sz w:val="28"/>
          <w:szCs w:val="28"/>
        </w:rPr>
        <w:t>1. Introduction</w:t>
      </w:r>
    </w:p>
    <w:p w14:paraId="32A37A2A" w14:textId="1DB69CFB" w:rsidR="008B19BE" w:rsidRDefault="00000000" w:rsidP="00054C32">
      <w:pPr>
        <w:spacing w:after="240"/>
        <w:jc w:val="both"/>
      </w:pPr>
      <w:r>
        <w:rPr>
          <w:color w:val="000000"/>
        </w:rPr>
        <w:t xml:space="preserve">Data security, governance, and compliance are the three pillars of institutional viability. Data security maintains the confidentiality, integrity, and availability of information assets; governance </w:t>
      </w:r>
      <w:proofErr w:type="spellStart"/>
      <w:r>
        <w:rPr>
          <w:color w:val="000000"/>
        </w:rPr>
        <w:t>operationalises</w:t>
      </w:r>
      <w:proofErr w:type="spellEnd"/>
      <w:r>
        <w:rPr>
          <w:color w:val="000000"/>
        </w:rPr>
        <w:t xml:space="preserve"> security intent into coordinated institutional activity; and compliance ensures that multi-jurisdictional regulatory requirements are met. Together, they provide the infrastructure for institutional resilience against limitless, adaptive, and increasingly automated adversaries.</w:t>
      </w:r>
      <w:r w:rsidR="00054C32">
        <w:t xml:space="preserve"> </w:t>
      </w:r>
      <w:proofErr w:type="spellStart"/>
      <w:r>
        <w:rPr>
          <w:color w:val="000000"/>
        </w:rPr>
        <w:t>FinSure</w:t>
      </w:r>
      <w:proofErr w:type="spellEnd"/>
      <w:r>
        <w:rPr>
          <w:color w:val="000000"/>
        </w:rPr>
        <w:t xml:space="preserve"> Bank’s technology-led growth has </w:t>
      </w:r>
      <w:r w:rsidR="00054C32">
        <w:rPr>
          <w:color w:val="000000"/>
        </w:rPr>
        <w:t>outpaced its risk management capabilities</w:t>
      </w:r>
      <w:r>
        <w:rPr>
          <w:color w:val="000000"/>
        </w:rPr>
        <w:t xml:space="preserve">. An informal BYOD policy has eliminated the perimeter on which traditional security architecture depends. The absence of a formal risk strategy and compliance audits </w:t>
      </w:r>
      <w:proofErr w:type="gramStart"/>
      <w:r>
        <w:rPr>
          <w:color w:val="000000"/>
        </w:rPr>
        <w:t>creates</w:t>
      </w:r>
      <w:proofErr w:type="gramEnd"/>
      <w:r>
        <w:rPr>
          <w:color w:val="000000"/>
        </w:rPr>
        <w:t xml:space="preserve"> significant insider risk, unchecked data leakage, and potential regulatory insolvency.</w:t>
      </w:r>
    </w:p>
    <w:p w14:paraId="4492620B" w14:textId="77777777" w:rsidR="008B19BE" w:rsidRDefault="00000000" w:rsidP="00054C32">
      <w:pPr>
        <w:spacing w:after="240"/>
        <w:jc w:val="both"/>
      </w:pPr>
      <w:r>
        <w:rPr>
          <w:color w:val="000000"/>
        </w:rPr>
        <w:t xml:space="preserve">This report develops an integrated security governance model for FSB. The objectives are to: (1) critically </w:t>
      </w:r>
      <w:proofErr w:type="spellStart"/>
      <w:r>
        <w:rPr>
          <w:color w:val="000000"/>
        </w:rPr>
        <w:t>analyse</w:t>
      </w:r>
      <w:proofErr w:type="spellEnd"/>
      <w:r>
        <w:rPr>
          <w:color w:val="000000"/>
        </w:rPr>
        <w:t xml:space="preserve"> ISO/IEC 27001:2022 and ITIL 4 within FSB’s operational scope; (2) compose an integrated framework addressing BYOD, risk governance, and third-party accountability; and (3) argue why regulatory evolution is a necessity rather than an imposition.</w:t>
      </w:r>
    </w:p>
    <w:p w14:paraId="3EC81018" w14:textId="77777777" w:rsidR="008B19BE" w:rsidRDefault="008B19BE">
      <w:pPr>
        <w:spacing w:after="12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8B19BE" w14:paraId="45E8E24B" w14:textId="77777777">
        <w:tc>
          <w:tcPr>
            <w:tcW w:w="9638" w:type="dxa"/>
            <w:tcBorders>
              <w:top w:val="single" w:sz="4" w:space="0" w:color="000000"/>
              <w:left w:val="single" w:sz="4" w:space="0" w:color="000000"/>
              <w:bottom w:val="single" w:sz="4" w:space="0" w:color="000000"/>
              <w:right w:val="single" w:sz="4" w:space="0" w:color="000000"/>
            </w:tcBorders>
            <w:shd w:val="clear" w:color="auto" w:fill="F4F4F4"/>
            <w:tcMar>
              <w:top w:w="160" w:type="dxa"/>
              <w:left w:w="280" w:type="dxa"/>
              <w:bottom w:w="160" w:type="dxa"/>
              <w:right w:w="280" w:type="dxa"/>
            </w:tcMar>
          </w:tcPr>
          <w:p w14:paraId="1C1E493B" w14:textId="77777777" w:rsidR="008B19BE" w:rsidRDefault="00000000">
            <w:pPr>
              <w:spacing w:after="120" w:line="276" w:lineRule="auto"/>
            </w:pPr>
            <w:r>
              <w:rPr>
                <w:b/>
                <w:bCs/>
                <w:color w:val="000000"/>
                <w:sz w:val="22"/>
                <w:szCs w:val="22"/>
                <w:u w:val="single"/>
              </w:rPr>
              <w:t>Assumptions</w:t>
            </w:r>
          </w:p>
          <w:p w14:paraId="50EC0E1C" w14:textId="5821CE77" w:rsidR="008B19BE" w:rsidRDefault="00000000">
            <w:pPr>
              <w:spacing w:after="60" w:line="276" w:lineRule="auto"/>
              <w:jc w:val="both"/>
            </w:pPr>
            <w:r>
              <w:rPr>
                <w:color w:val="000000"/>
                <w:sz w:val="22"/>
                <w:szCs w:val="22"/>
              </w:rPr>
              <w:t>A.1 FSB operates a multi-cloud environment with significant technical debt.</w:t>
            </w:r>
          </w:p>
          <w:p w14:paraId="0AE6326C" w14:textId="23FA981A" w:rsidR="008B19BE" w:rsidRDefault="00000000">
            <w:pPr>
              <w:spacing w:after="60" w:line="276" w:lineRule="auto"/>
              <w:jc w:val="both"/>
            </w:pPr>
            <w:r>
              <w:rPr>
                <w:color w:val="000000"/>
                <w:sz w:val="22"/>
                <w:szCs w:val="22"/>
              </w:rPr>
              <w:t>A.2 Executive willingness and funding exist for remediation.</w:t>
            </w:r>
          </w:p>
          <w:p w14:paraId="3C292271" w14:textId="5FA9F45C" w:rsidR="008B19BE" w:rsidRDefault="00000000">
            <w:pPr>
              <w:spacing w:after="60" w:line="276" w:lineRule="auto"/>
              <w:jc w:val="both"/>
            </w:pPr>
            <w:r>
              <w:rPr>
                <w:color w:val="000000"/>
                <w:sz w:val="22"/>
                <w:szCs w:val="22"/>
              </w:rPr>
              <w:t>A.3 FSB serves EU and UK customers; GDPR, DORA, and the UK Cyber Security and Resilience Bill therefore apply simultaneously.</w:t>
            </w:r>
          </w:p>
          <w:p w14:paraId="111B0E4A" w14:textId="1610623D" w:rsidR="008B19BE" w:rsidRDefault="00000000">
            <w:pPr>
              <w:spacing w:after="60" w:line="276" w:lineRule="auto"/>
              <w:jc w:val="both"/>
            </w:pPr>
            <w:r>
              <w:rPr>
                <w:color w:val="000000"/>
                <w:sz w:val="22"/>
                <w:szCs w:val="22"/>
              </w:rPr>
              <w:t>A.4 No unified governance currently exists, making this an additive intervention.</w:t>
            </w:r>
          </w:p>
          <w:p w14:paraId="55FFDA10" w14:textId="0D957875" w:rsidR="008B19BE" w:rsidRDefault="00000000">
            <w:pPr>
              <w:spacing w:after="60" w:line="276" w:lineRule="auto"/>
              <w:jc w:val="both"/>
            </w:pPr>
            <w:r>
              <w:rPr>
                <w:color w:val="000000"/>
                <w:sz w:val="22"/>
                <w:szCs w:val="22"/>
              </w:rPr>
              <w:t>A.5 FSB employs a mixed workforce of employees, contractors, and third-party partners with varying levels of technical capability.</w:t>
            </w:r>
          </w:p>
          <w:p w14:paraId="535D85F5" w14:textId="3A3AE01E" w:rsidR="008B19BE" w:rsidRDefault="00000000">
            <w:pPr>
              <w:spacing w:after="60" w:line="276" w:lineRule="auto"/>
              <w:jc w:val="both"/>
            </w:pPr>
            <w:r>
              <w:rPr>
                <w:color w:val="000000"/>
                <w:sz w:val="22"/>
                <w:szCs w:val="22"/>
              </w:rPr>
              <w:t>A.6 The proposed model is to be implemented within a 12-month remediation timeline.</w:t>
            </w:r>
          </w:p>
        </w:tc>
      </w:tr>
    </w:tbl>
    <w:p w14:paraId="7638D2CF" w14:textId="77777777" w:rsidR="008B19BE" w:rsidRDefault="00000000">
      <w:pPr>
        <w:pBdr>
          <w:bottom w:val="single" w:sz="2" w:space="1" w:color="AAAAAA"/>
        </w:pBdr>
        <w:spacing w:before="480" w:after="160" w:line="480" w:lineRule="auto"/>
      </w:pPr>
      <w:r>
        <w:rPr>
          <w:b/>
          <w:bCs/>
          <w:color w:val="000000"/>
          <w:sz w:val="28"/>
          <w:szCs w:val="28"/>
        </w:rPr>
        <w:lastRenderedPageBreak/>
        <w:t>2. Critical Evaluation of Security Frameworks</w:t>
      </w:r>
    </w:p>
    <w:p w14:paraId="7CFC4608" w14:textId="77777777" w:rsidR="008B19BE" w:rsidRDefault="00000000" w:rsidP="00054C32">
      <w:pPr>
        <w:spacing w:before="320" w:after="120"/>
      </w:pPr>
      <w:r>
        <w:rPr>
          <w:b/>
          <w:bCs/>
          <w:color w:val="000000"/>
          <w:u w:val="single"/>
        </w:rPr>
        <w:t>2.1 ISO/IEC 27001:2022</w:t>
      </w:r>
    </w:p>
    <w:p w14:paraId="7517A467" w14:textId="77777777" w:rsidR="008B19BE" w:rsidRDefault="00000000" w:rsidP="00054C32">
      <w:pPr>
        <w:spacing w:after="240"/>
        <w:jc w:val="both"/>
      </w:pPr>
      <w:r>
        <w:rPr>
          <w:color w:val="000000"/>
        </w:rPr>
        <w:t xml:space="preserve">ISO/IEC 27001:2022 mandates a structured approach to implementing and managing an Information Security Management System (ISMS) [1]. Its auditable, risk-based approach requires </w:t>
      </w:r>
      <w:proofErr w:type="spellStart"/>
      <w:r>
        <w:rPr>
          <w:color w:val="000000"/>
        </w:rPr>
        <w:t>organisations</w:t>
      </w:r>
      <w:proofErr w:type="spellEnd"/>
      <w:r>
        <w:rPr>
          <w:color w:val="000000"/>
        </w:rPr>
        <w:t xml:space="preserve"> to </w:t>
      </w:r>
      <w:proofErr w:type="spellStart"/>
      <w:r>
        <w:rPr>
          <w:color w:val="000000"/>
        </w:rPr>
        <w:t>categorise</w:t>
      </w:r>
      <w:proofErr w:type="spellEnd"/>
      <w:r>
        <w:rPr>
          <w:color w:val="000000"/>
        </w:rPr>
        <w:t xml:space="preserve"> information assets, conduct risk assessments, and maintain evidence of control effectiveness. Controls 5.23 (Cloud Services) and 5.7 (Threat Intelligence) are the two most pertinent 2022 additions for FSB, providing a baseline against cloud-specific threats.</w:t>
      </w:r>
    </w:p>
    <w:p w14:paraId="270AFB3B" w14:textId="77777777" w:rsidR="008B19BE" w:rsidRDefault="00000000" w:rsidP="00054C32">
      <w:pPr>
        <w:spacing w:after="240"/>
        <w:jc w:val="both"/>
      </w:pPr>
      <w:r>
        <w:rPr>
          <w:color w:val="000000"/>
        </w:rPr>
        <w:t xml:space="preserve">ISO 27001’s core weakness is its technology-neutral nature — prescribing </w:t>
      </w:r>
      <w:r>
        <w:rPr>
          <w:i/>
          <w:iCs/>
          <w:color w:val="000000"/>
        </w:rPr>
        <w:t>what</w:t>
      </w:r>
      <w:r>
        <w:rPr>
          <w:color w:val="000000"/>
        </w:rPr>
        <w:t xml:space="preserve"> must be protected, not </w:t>
      </w:r>
      <w:r>
        <w:rPr>
          <w:i/>
          <w:iCs/>
          <w:color w:val="000000"/>
        </w:rPr>
        <w:t>how</w:t>
      </w:r>
      <w:r>
        <w:rPr>
          <w:color w:val="000000"/>
        </w:rPr>
        <w:t xml:space="preserve"> controls should be engineered. </w:t>
      </w:r>
      <w:proofErr w:type="spellStart"/>
      <w:r>
        <w:rPr>
          <w:color w:val="000000"/>
        </w:rPr>
        <w:t>Disterer</w:t>
      </w:r>
      <w:proofErr w:type="spellEnd"/>
      <w:r>
        <w:rPr>
          <w:color w:val="000000"/>
        </w:rPr>
        <w:t xml:space="preserve"> (2013) identifies this as ‘symbolic adoption’: certification used as proof of compliance rather than genuine security improvement [7]. FSB risks creating a ‘paper shield’ that satisfies auditors whilst failing against real attackers.</w:t>
      </w:r>
    </w:p>
    <w:p w14:paraId="6B54CAFE" w14:textId="77777777" w:rsidR="008B19BE" w:rsidRDefault="00000000" w:rsidP="00054C32">
      <w:pPr>
        <w:spacing w:before="320" w:after="120"/>
      </w:pPr>
      <w:r>
        <w:rPr>
          <w:b/>
          <w:bCs/>
          <w:color w:val="000000"/>
          <w:u w:val="single"/>
        </w:rPr>
        <w:t>2.2 ITIL 4</w:t>
      </w:r>
    </w:p>
    <w:p w14:paraId="2EFC53D5" w14:textId="77777777" w:rsidR="008B19BE" w:rsidRDefault="00000000" w:rsidP="00054C32">
      <w:pPr>
        <w:spacing w:after="240"/>
        <w:jc w:val="both"/>
      </w:pPr>
      <w:r>
        <w:rPr>
          <w:color w:val="000000"/>
        </w:rPr>
        <w:t xml:space="preserve">ITIL 4 reframes IT service management within the Service Value System, </w:t>
      </w:r>
      <w:proofErr w:type="spellStart"/>
      <w:r>
        <w:rPr>
          <w:color w:val="000000"/>
        </w:rPr>
        <w:t>standardising</w:t>
      </w:r>
      <w:proofErr w:type="spellEnd"/>
      <w:r>
        <w:rPr>
          <w:color w:val="000000"/>
        </w:rPr>
        <w:t xml:space="preserve"> the operational workflows through which security policies are enacted: incident response, change enablement, and supplier coordination [2]. Embedding Information Security Management as a formal ITIL practice — measured through Practice Success Factors — converts ISO 27001’s abstract controls into repeatable, measurable daily operations.</w:t>
      </w:r>
    </w:p>
    <w:p w14:paraId="2128D90A" w14:textId="77777777" w:rsidR="008B19BE" w:rsidRDefault="00000000" w:rsidP="00054C32">
      <w:pPr>
        <w:spacing w:after="240"/>
        <w:jc w:val="both"/>
      </w:pPr>
      <w:r>
        <w:rPr>
          <w:color w:val="000000"/>
        </w:rPr>
        <w:t>However, ITIL 4 is not a security architecture. It treats information security as one practice among thirty-four, with insufficient depth in cryptographic design, identity federation, and advanced threat detection — the precise disciplines FSB requires. Operational efficiency without security architecture produces well-managed but fundamentally insecure configurations [8].</w:t>
      </w:r>
    </w:p>
    <w:p w14:paraId="371B1320" w14:textId="77777777" w:rsidR="008B19BE" w:rsidRDefault="00000000" w:rsidP="00054C32">
      <w:pPr>
        <w:spacing w:before="320" w:after="120"/>
      </w:pPr>
      <w:r>
        <w:rPr>
          <w:b/>
          <w:bCs/>
          <w:color w:val="000000"/>
          <w:u w:val="single"/>
        </w:rPr>
        <w:t>2.3 Integration and NIST CSF 2.0</w:t>
      </w:r>
    </w:p>
    <w:p w14:paraId="57B6C12E" w14:textId="191DF088" w:rsidR="00054C32" w:rsidRPr="00054C32" w:rsidRDefault="00000000" w:rsidP="00054C32">
      <w:pPr>
        <w:spacing w:after="240"/>
        <w:jc w:val="both"/>
        <w:rPr>
          <w:color w:val="000000"/>
        </w:rPr>
      </w:pPr>
      <w:r>
        <w:rPr>
          <w:color w:val="000000"/>
        </w:rPr>
        <w:t xml:space="preserve">ISO 27001’s structural lack of operational detail is addressed by the operational granularity of ITIL 4. According to </w:t>
      </w:r>
      <w:proofErr w:type="spellStart"/>
      <w:r>
        <w:rPr>
          <w:color w:val="000000"/>
        </w:rPr>
        <w:t>Kekgathetse</w:t>
      </w:r>
      <w:proofErr w:type="spellEnd"/>
      <w:r>
        <w:rPr>
          <w:color w:val="000000"/>
        </w:rPr>
        <w:t xml:space="preserve"> et al. (2024), the adoption of multiple frameworks eliminates the blind spots created by the weaknesses of any single framework [8]. A gap nevertheless remains: linking strategy directly to enterprise risk governance at </w:t>
      </w:r>
      <w:r w:rsidR="00054C32">
        <w:rPr>
          <w:color w:val="000000"/>
        </w:rPr>
        <w:t xml:space="preserve">the </w:t>
      </w:r>
      <w:r>
        <w:rPr>
          <w:color w:val="000000"/>
        </w:rPr>
        <w:t>board level. NIST CSF 2.0 (2024) adds a Govern function that directly connects enterprise risk to board-level governance, providing the strategic linkage that both ISO and ITIL lack [16]. Integrated rationale is presented in Table I; a critical comparison is provided in Table II.</w:t>
      </w:r>
    </w:p>
    <w:p w14:paraId="7A5D64C8" w14:textId="77777777" w:rsidR="008B19BE" w:rsidRDefault="00000000">
      <w:pPr>
        <w:spacing w:before="320" w:after="80" w:line="276" w:lineRule="auto"/>
        <w:jc w:val="center"/>
      </w:pPr>
      <w:r>
        <w:rPr>
          <w:b/>
          <w:bCs/>
          <w:color w:val="000000"/>
          <w:sz w:val="22"/>
          <w:szCs w:val="22"/>
        </w:rPr>
        <w:t>TABLE I — FSB Integrated Security Framework Model</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2900"/>
        <w:gridCol w:w="4538"/>
      </w:tblGrid>
      <w:tr w:rsidR="008B19BE" w14:paraId="25CD3386" w14:textId="77777777">
        <w:trPr>
          <w:tblHeader/>
        </w:trPr>
        <w:tc>
          <w:tcPr>
            <w:tcW w:w="22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6BF051F4" w14:textId="77777777" w:rsidR="008B19BE" w:rsidRDefault="00000000">
            <w:pPr>
              <w:spacing w:line="276" w:lineRule="auto"/>
              <w:jc w:val="center"/>
            </w:pPr>
            <w:r>
              <w:rPr>
                <w:b/>
                <w:bCs/>
                <w:color w:val="000000"/>
                <w:sz w:val="20"/>
                <w:szCs w:val="20"/>
              </w:rPr>
              <w:t>Layer</w:t>
            </w:r>
          </w:p>
        </w:tc>
        <w:tc>
          <w:tcPr>
            <w:tcW w:w="29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7D84DCDF" w14:textId="77777777" w:rsidR="008B19BE" w:rsidRDefault="00000000">
            <w:pPr>
              <w:spacing w:line="276" w:lineRule="auto"/>
              <w:jc w:val="center"/>
            </w:pPr>
            <w:r>
              <w:rPr>
                <w:b/>
                <w:bCs/>
                <w:color w:val="000000"/>
                <w:sz w:val="20"/>
                <w:szCs w:val="20"/>
              </w:rPr>
              <w:t>Framework Component</w:t>
            </w:r>
          </w:p>
        </w:tc>
        <w:tc>
          <w:tcPr>
            <w:tcW w:w="4538"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6D1A521E" w14:textId="77777777" w:rsidR="008B19BE" w:rsidRDefault="00000000">
            <w:pPr>
              <w:spacing w:line="276" w:lineRule="auto"/>
              <w:jc w:val="center"/>
            </w:pPr>
            <w:r>
              <w:rPr>
                <w:b/>
                <w:bCs/>
                <w:color w:val="000000"/>
                <w:sz w:val="20"/>
                <w:szCs w:val="20"/>
              </w:rPr>
              <w:t>Function for FSB</w:t>
            </w:r>
          </w:p>
        </w:tc>
      </w:tr>
      <w:tr w:rsidR="008B19BE" w14:paraId="43F078DB" w14:textId="77777777">
        <w:tc>
          <w:tcPr>
            <w:tcW w:w="22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4C3E6170" w14:textId="77777777" w:rsidR="008B19BE" w:rsidRDefault="00000000">
            <w:pPr>
              <w:spacing w:line="276" w:lineRule="auto"/>
            </w:pPr>
            <w:r>
              <w:rPr>
                <w:color w:val="000000"/>
                <w:sz w:val="20"/>
                <w:szCs w:val="20"/>
              </w:rPr>
              <w:t>Strategic Governance</w:t>
            </w:r>
          </w:p>
        </w:tc>
        <w:tc>
          <w:tcPr>
            <w:tcW w:w="29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102CE3A7" w14:textId="77777777" w:rsidR="008B19BE" w:rsidRDefault="00000000">
            <w:pPr>
              <w:spacing w:line="276" w:lineRule="auto"/>
            </w:pPr>
            <w:r>
              <w:rPr>
                <w:color w:val="000000"/>
                <w:sz w:val="20"/>
                <w:szCs w:val="20"/>
              </w:rPr>
              <w:t>ISO/IEC 27001:2022 ISMS</w:t>
            </w:r>
          </w:p>
        </w:tc>
        <w:tc>
          <w:tcPr>
            <w:tcW w:w="45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2526289B" w14:textId="77777777" w:rsidR="008B19BE" w:rsidRDefault="00000000">
            <w:pPr>
              <w:spacing w:line="276" w:lineRule="auto"/>
            </w:pPr>
            <w:r>
              <w:rPr>
                <w:color w:val="000000"/>
                <w:sz w:val="20"/>
                <w:szCs w:val="20"/>
              </w:rPr>
              <w:t>Risk appetite, control catalogue, audit evidence, regulatory alignment</w:t>
            </w:r>
          </w:p>
        </w:tc>
      </w:tr>
      <w:tr w:rsidR="008B19BE" w14:paraId="5C7094AA" w14:textId="77777777">
        <w:tc>
          <w:tcPr>
            <w:tcW w:w="22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7B594C63" w14:textId="77777777" w:rsidR="008B19BE" w:rsidRDefault="00000000">
            <w:pPr>
              <w:spacing w:line="276" w:lineRule="auto"/>
            </w:pPr>
            <w:r>
              <w:rPr>
                <w:color w:val="000000"/>
                <w:sz w:val="20"/>
                <w:szCs w:val="20"/>
              </w:rPr>
              <w:t>Operational Execution</w:t>
            </w:r>
          </w:p>
        </w:tc>
        <w:tc>
          <w:tcPr>
            <w:tcW w:w="29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2BD46236" w14:textId="77777777" w:rsidR="008B19BE" w:rsidRDefault="00000000">
            <w:pPr>
              <w:spacing w:line="276" w:lineRule="auto"/>
            </w:pPr>
            <w:r>
              <w:rPr>
                <w:color w:val="000000"/>
                <w:sz w:val="20"/>
                <w:szCs w:val="20"/>
              </w:rPr>
              <w:t>ITIL 4 Service Value System</w:t>
            </w:r>
          </w:p>
        </w:tc>
        <w:tc>
          <w:tcPr>
            <w:tcW w:w="45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0DC868FE" w14:textId="77777777" w:rsidR="008B19BE" w:rsidRDefault="00000000">
            <w:pPr>
              <w:spacing w:line="276" w:lineRule="auto"/>
            </w:pPr>
            <w:r>
              <w:rPr>
                <w:color w:val="000000"/>
                <w:sz w:val="20"/>
                <w:szCs w:val="20"/>
              </w:rPr>
              <w:t>Incident management, change enablement, supplier operations, PSFs</w:t>
            </w:r>
          </w:p>
        </w:tc>
      </w:tr>
      <w:tr w:rsidR="008B19BE" w14:paraId="4D34C35C" w14:textId="77777777">
        <w:tc>
          <w:tcPr>
            <w:tcW w:w="22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6042708" w14:textId="77777777" w:rsidR="008B19BE" w:rsidRDefault="00000000">
            <w:pPr>
              <w:spacing w:line="276" w:lineRule="auto"/>
            </w:pPr>
            <w:r>
              <w:rPr>
                <w:color w:val="000000"/>
                <w:sz w:val="20"/>
                <w:szCs w:val="20"/>
              </w:rPr>
              <w:lastRenderedPageBreak/>
              <w:t>Technical Enforcement</w:t>
            </w:r>
          </w:p>
        </w:tc>
        <w:tc>
          <w:tcPr>
            <w:tcW w:w="29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485A3F9D" w14:textId="77777777" w:rsidR="008B19BE" w:rsidRDefault="00000000">
            <w:pPr>
              <w:spacing w:line="276" w:lineRule="auto"/>
            </w:pPr>
            <w:r>
              <w:rPr>
                <w:color w:val="000000"/>
                <w:sz w:val="20"/>
                <w:szCs w:val="20"/>
              </w:rPr>
              <w:t>NIST SP 800-207 Zero Trust + AI Monitoring</w:t>
            </w:r>
          </w:p>
        </w:tc>
        <w:tc>
          <w:tcPr>
            <w:tcW w:w="45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49473E7B" w14:textId="77777777" w:rsidR="008B19BE" w:rsidRDefault="00000000">
            <w:pPr>
              <w:spacing w:line="276" w:lineRule="auto"/>
            </w:pPr>
            <w:r>
              <w:rPr>
                <w:color w:val="000000"/>
                <w:sz w:val="20"/>
                <w:szCs w:val="20"/>
              </w:rPr>
              <w:t xml:space="preserve">Identity verification, least-privilege access, continuous </w:t>
            </w:r>
            <w:proofErr w:type="spellStart"/>
            <w:r>
              <w:rPr>
                <w:color w:val="000000"/>
                <w:sz w:val="20"/>
                <w:szCs w:val="20"/>
              </w:rPr>
              <w:t>behavioural</w:t>
            </w:r>
            <w:proofErr w:type="spellEnd"/>
            <w:r>
              <w:rPr>
                <w:color w:val="000000"/>
                <w:sz w:val="20"/>
                <w:szCs w:val="20"/>
              </w:rPr>
              <w:t xml:space="preserve"> analytics</w:t>
            </w:r>
          </w:p>
        </w:tc>
      </w:tr>
    </w:tbl>
    <w:p w14:paraId="7C376F9E" w14:textId="77777777" w:rsidR="008B19BE" w:rsidRDefault="00000000">
      <w:pPr>
        <w:spacing w:before="80" w:after="240" w:line="276" w:lineRule="auto"/>
        <w:jc w:val="center"/>
      </w:pPr>
      <w:r>
        <w:rPr>
          <w:i/>
          <w:iCs/>
          <w:color w:val="000000"/>
          <w:sz w:val="20"/>
          <w:szCs w:val="20"/>
        </w:rPr>
        <w:t>Table I: FSB integrated security framework derived from ISO/IEC 27001:2022 [1], ITIL 4 [2], and NIST SP 800-207 [3].</w:t>
      </w:r>
    </w:p>
    <w:p w14:paraId="75C2005F" w14:textId="77777777" w:rsidR="008B19BE" w:rsidRDefault="00000000">
      <w:pPr>
        <w:spacing w:before="320" w:after="80" w:line="276" w:lineRule="auto"/>
        <w:jc w:val="center"/>
      </w:pPr>
      <w:r>
        <w:rPr>
          <w:b/>
          <w:bCs/>
          <w:color w:val="000000"/>
          <w:sz w:val="22"/>
          <w:szCs w:val="22"/>
        </w:rPr>
        <w:t>TABLE II — Critical Framework Comparison for FSB</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1700"/>
        <w:gridCol w:w="3200"/>
        <w:gridCol w:w="3038"/>
      </w:tblGrid>
      <w:tr w:rsidR="008B19BE" w14:paraId="072D2310" w14:textId="77777777">
        <w:trPr>
          <w:tblHeader/>
        </w:trPr>
        <w:tc>
          <w:tcPr>
            <w:tcW w:w="17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2E954602" w14:textId="77777777" w:rsidR="008B19BE" w:rsidRDefault="00000000">
            <w:pPr>
              <w:spacing w:line="276" w:lineRule="auto"/>
              <w:jc w:val="center"/>
            </w:pPr>
            <w:r>
              <w:rPr>
                <w:b/>
                <w:bCs/>
                <w:color w:val="000000"/>
                <w:sz w:val="20"/>
                <w:szCs w:val="20"/>
              </w:rPr>
              <w:t>Framework</w:t>
            </w:r>
          </w:p>
        </w:tc>
        <w:tc>
          <w:tcPr>
            <w:tcW w:w="17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2FAB7A31" w14:textId="77777777" w:rsidR="008B19BE" w:rsidRDefault="00000000">
            <w:pPr>
              <w:spacing w:line="276" w:lineRule="auto"/>
              <w:jc w:val="center"/>
            </w:pPr>
            <w:r>
              <w:rPr>
                <w:b/>
                <w:bCs/>
                <w:color w:val="000000"/>
                <w:sz w:val="20"/>
                <w:szCs w:val="20"/>
              </w:rPr>
              <w:t>Primary Role</w:t>
            </w:r>
          </w:p>
        </w:tc>
        <w:tc>
          <w:tcPr>
            <w:tcW w:w="32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607B7DDE" w14:textId="77777777" w:rsidR="008B19BE" w:rsidRDefault="00000000">
            <w:pPr>
              <w:spacing w:line="276" w:lineRule="auto"/>
              <w:jc w:val="center"/>
            </w:pPr>
            <w:r>
              <w:rPr>
                <w:b/>
                <w:bCs/>
                <w:color w:val="000000"/>
                <w:sz w:val="20"/>
                <w:szCs w:val="20"/>
              </w:rPr>
              <w:t>Key Strength for FSB</w:t>
            </w:r>
          </w:p>
        </w:tc>
        <w:tc>
          <w:tcPr>
            <w:tcW w:w="3038"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7C98A634" w14:textId="77777777" w:rsidR="008B19BE" w:rsidRDefault="00000000">
            <w:pPr>
              <w:spacing w:line="276" w:lineRule="auto"/>
              <w:jc w:val="center"/>
            </w:pPr>
            <w:r>
              <w:rPr>
                <w:b/>
                <w:bCs/>
                <w:color w:val="000000"/>
                <w:sz w:val="20"/>
                <w:szCs w:val="20"/>
              </w:rPr>
              <w:t>Core Limitation</w:t>
            </w:r>
          </w:p>
        </w:tc>
      </w:tr>
      <w:tr w:rsidR="008B19BE" w14:paraId="63FA92C7" w14:textId="77777777">
        <w:tc>
          <w:tcPr>
            <w:tcW w:w="17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9A6CE30" w14:textId="77777777" w:rsidR="008B19BE" w:rsidRDefault="00000000">
            <w:pPr>
              <w:spacing w:line="276" w:lineRule="auto"/>
            </w:pPr>
            <w:r>
              <w:rPr>
                <w:color w:val="000000"/>
                <w:sz w:val="20"/>
                <w:szCs w:val="20"/>
              </w:rPr>
              <w:t>ISO/IEC 27001:2022</w:t>
            </w:r>
          </w:p>
        </w:tc>
        <w:tc>
          <w:tcPr>
            <w:tcW w:w="17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3F40FC2D" w14:textId="77777777" w:rsidR="008B19BE" w:rsidRDefault="00000000">
            <w:pPr>
              <w:spacing w:line="276" w:lineRule="auto"/>
            </w:pPr>
            <w:r>
              <w:rPr>
                <w:color w:val="000000"/>
                <w:sz w:val="20"/>
                <w:szCs w:val="20"/>
              </w:rPr>
              <w:t>Governance &amp; ISMS</w:t>
            </w:r>
          </w:p>
        </w:tc>
        <w:tc>
          <w:tcPr>
            <w:tcW w:w="32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3B17240A" w14:textId="77777777" w:rsidR="008B19BE" w:rsidRDefault="00000000">
            <w:pPr>
              <w:spacing w:line="276" w:lineRule="auto"/>
            </w:pPr>
            <w:r>
              <w:rPr>
                <w:color w:val="000000"/>
                <w:sz w:val="20"/>
                <w:szCs w:val="20"/>
              </w:rPr>
              <w:t>Auditable risk-based controls; cloud-specific 2022 additions</w:t>
            </w:r>
          </w:p>
        </w:tc>
        <w:tc>
          <w:tcPr>
            <w:tcW w:w="30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01CE575F" w14:textId="77777777" w:rsidR="008B19BE" w:rsidRDefault="00000000">
            <w:pPr>
              <w:spacing w:line="276" w:lineRule="auto"/>
            </w:pPr>
            <w:r>
              <w:rPr>
                <w:color w:val="000000"/>
                <w:sz w:val="20"/>
                <w:szCs w:val="20"/>
              </w:rPr>
              <w:t>Technology-neutral; prescribes what, not how</w:t>
            </w:r>
          </w:p>
        </w:tc>
      </w:tr>
      <w:tr w:rsidR="008B19BE" w14:paraId="7D65C9BE" w14:textId="77777777">
        <w:tc>
          <w:tcPr>
            <w:tcW w:w="17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1EDDD023" w14:textId="77777777" w:rsidR="008B19BE" w:rsidRDefault="00000000">
            <w:pPr>
              <w:spacing w:line="276" w:lineRule="auto"/>
            </w:pPr>
            <w:r>
              <w:rPr>
                <w:color w:val="000000"/>
                <w:sz w:val="20"/>
                <w:szCs w:val="20"/>
              </w:rPr>
              <w:t>ITIL 4</w:t>
            </w:r>
          </w:p>
        </w:tc>
        <w:tc>
          <w:tcPr>
            <w:tcW w:w="17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3E869227" w14:textId="77777777" w:rsidR="008B19BE" w:rsidRDefault="00000000">
            <w:pPr>
              <w:spacing w:line="276" w:lineRule="auto"/>
            </w:pPr>
            <w:r>
              <w:rPr>
                <w:color w:val="000000"/>
                <w:sz w:val="20"/>
                <w:szCs w:val="20"/>
              </w:rPr>
              <w:t xml:space="preserve">Operational Service </w:t>
            </w:r>
            <w:proofErr w:type="spellStart"/>
            <w:r>
              <w:rPr>
                <w:color w:val="000000"/>
                <w:sz w:val="20"/>
                <w:szCs w:val="20"/>
              </w:rPr>
              <w:t>Mgmt</w:t>
            </w:r>
            <w:proofErr w:type="spellEnd"/>
          </w:p>
        </w:tc>
        <w:tc>
          <w:tcPr>
            <w:tcW w:w="32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4BA1A7ED" w14:textId="77777777" w:rsidR="008B19BE" w:rsidRDefault="00000000">
            <w:pPr>
              <w:spacing w:line="276" w:lineRule="auto"/>
            </w:pPr>
            <w:r>
              <w:rPr>
                <w:color w:val="000000"/>
                <w:sz w:val="20"/>
                <w:szCs w:val="20"/>
              </w:rPr>
              <w:t>Embeds security into repeatable daily IT operations</w:t>
            </w:r>
          </w:p>
        </w:tc>
        <w:tc>
          <w:tcPr>
            <w:tcW w:w="30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13B40D10" w14:textId="77777777" w:rsidR="008B19BE" w:rsidRDefault="00000000">
            <w:pPr>
              <w:spacing w:line="276" w:lineRule="auto"/>
            </w:pPr>
            <w:r>
              <w:rPr>
                <w:color w:val="000000"/>
                <w:sz w:val="20"/>
                <w:szCs w:val="20"/>
              </w:rPr>
              <w:t>Not a security architecture; lacks cryptographic depth</w:t>
            </w:r>
          </w:p>
        </w:tc>
      </w:tr>
      <w:tr w:rsidR="008B19BE" w14:paraId="35D0302E" w14:textId="77777777">
        <w:tc>
          <w:tcPr>
            <w:tcW w:w="17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44F9814C" w14:textId="77777777" w:rsidR="008B19BE" w:rsidRDefault="00000000">
            <w:pPr>
              <w:spacing w:line="276" w:lineRule="auto"/>
            </w:pPr>
            <w:r>
              <w:rPr>
                <w:color w:val="000000"/>
                <w:sz w:val="20"/>
                <w:szCs w:val="20"/>
              </w:rPr>
              <w:t>NIST SP 800-207 (ZTA)</w:t>
            </w:r>
          </w:p>
        </w:tc>
        <w:tc>
          <w:tcPr>
            <w:tcW w:w="17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32E22371" w14:textId="77777777" w:rsidR="008B19BE" w:rsidRDefault="00000000">
            <w:pPr>
              <w:spacing w:line="276" w:lineRule="auto"/>
            </w:pPr>
            <w:r>
              <w:rPr>
                <w:color w:val="000000"/>
                <w:sz w:val="20"/>
                <w:szCs w:val="20"/>
              </w:rPr>
              <w:t>Technical Enforcement</w:t>
            </w:r>
          </w:p>
        </w:tc>
        <w:tc>
          <w:tcPr>
            <w:tcW w:w="32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28766FEF" w14:textId="77777777" w:rsidR="008B19BE" w:rsidRDefault="00000000">
            <w:pPr>
              <w:spacing w:line="276" w:lineRule="auto"/>
            </w:pPr>
            <w:r>
              <w:rPr>
                <w:color w:val="000000"/>
                <w:sz w:val="20"/>
                <w:szCs w:val="20"/>
              </w:rPr>
              <w:t>Continuous verification; ideal for BYOD and cloud-native FSB</w:t>
            </w:r>
          </w:p>
        </w:tc>
        <w:tc>
          <w:tcPr>
            <w:tcW w:w="30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2B0DB0B" w14:textId="77777777" w:rsidR="008B19BE" w:rsidRDefault="00000000">
            <w:pPr>
              <w:spacing w:line="276" w:lineRule="auto"/>
            </w:pPr>
            <w:r>
              <w:rPr>
                <w:color w:val="000000"/>
                <w:sz w:val="20"/>
                <w:szCs w:val="20"/>
              </w:rPr>
              <w:t>Implementation complexity across legacy APIs</w:t>
            </w:r>
          </w:p>
        </w:tc>
      </w:tr>
      <w:tr w:rsidR="008B19BE" w14:paraId="3F15267D" w14:textId="77777777">
        <w:tc>
          <w:tcPr>
            <w:tcW w:w="17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0ED51FDE" w14:textId="77777777" w:rsidR="008B19BE" w:rsidRDefault="00000000">
            <w:pPr>
              <w:spacing w:line="276" w:lineRule="auto"/>
            </w:pPr>
            <w:r>
              <w:rPr>
                <w:color w:val="000000"/>
                <w:sz w:val="20"/>
                <w:szCs w:val="20"/>
              </w:rPr>
              <w:t>NIST SP 800-30</w:t>
            </w:r>
          </w:p>
        </w:tc>
        <w:tc>
          <w:tcPr>
            <w:tcW w:w="17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2134423F" w14:textId="77777777" w:rsidR="008B19BE" w:rsidRDefault="00000000">
            <w:pPr>
              <w:spacing w:line="276" w:lineRule="auto"/>
            </w:pPr>
            <w:r>
              <w:rPr>
                <w:color w:val="000000"/>
                <w:sz w:val="20"/>
                <w:szCs w:val="20"/>
              </w:rPr>
              <w:t>Risk Assessment</w:t>
            </w:r>
          </w:p>
        </w:tc>
        <w:tc>
          <w:tcPr>
            <w:tcW w:w="32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6CDE2002" w14:textId="77777777" w:rsidR="008B19BE" w:rsidRDefault="00000000">
            <w:pPr>
              <w:spacing w:line="276" w:lineRule="auto"/>
            </w:pPr>
            <w:r>
              <w:rPr>
                <w:color w:val="000000"/>
                <w:sz w:val="20"/>
                <w:szCs w:val="20"/>
              </w:rPr>
              <w:t>Structured continuous risk lifecycle for real-time posture</w:t>
            </w:r>
          </w:p>
        </w:tc>
        <w:tc>
          <w:tcPr>
            <w:tcW w:w="30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207EE49D" w14:textId="77777777" w:rsidR="008B19BE" w:rsidRDefault="00000000">
            <w:pPr>
              <w:spacing w:line="276" w:lineRule="auto"/>
            </w:pPr>
            <w:r>
              <w:rPr>
                <w:color w:val="000000"/>
                <w:sz w:val="20"/>
                <w:szCs w:val="20"/>
              </w:rPr>
              <w:t>Guidance only; no certifiable compliance outcome</w:t>
            </w:r>
          </w:p>
        </w:tc>
      </w:tr>
    </w:tbl>
    <w:p w14:paraId="29725FE1" w14:textId="77777777" w:rsidR="008B19BE" w:rsidRDefault="00000000">
      <w:pPr>
        <w:spacing w:before="80" w:after="240" w:line="276" w:lineRule="auto"/>
        <w:jc w:val="center"/>
      </w:pPr>
      <w:r>
        <w:rPr>
          <w:i/>
          <w:iCs/>
          <w:color w:val="000000"/>
          <w:sz w:val="20"/>
          <w:szCs w:val="20"/>
        </w:rPr>
        <w:t xml:space="preserve">Table II: Comparative evaluation of frameworks adopted for FSB. Source: </w:t>
      </w:r>
      <w:proofErr w:type="spellStart"/>
      <w:r>
        <w:rPr>
          <w:i/>
          <w:iCs/>
          <w:color w:val="000000"/>
          <w:sz w:val="20"/>
          <w:szCs w:val="20"/>
        </w:rPr>
        <w:t>synthesised</w:t>
      </w:r>
      <w:proofErr w:type="spellEnd"/>
      <w:r>
        <w:rPr>
          <w:i/>
          <w:iCs/>
          <w:color w:val="000000"/>
          <w:sz w:val="20"/>
          <w:szCs w:val="20"/>
        </w:rPr>
        <w:t xml:space="preserve"> from [1][2][3][16].</w:t>
      </w:r>
    </w:p>
    <w:p w14:paraId="23D505BE" w14:textId="7A2F75AF" w:rsidR="008B19BE" w:rsidRDefault="001C721D">
      <w:pPr>
        <w:spacing w:after="120"/>
      </w:pPr>
      <w:r>
        <w:rPr>
          <w:noProof/>
        </w:rPr>
        <w:drawing>
          <wp:inline distT="0" distB="0" distL="0" distR="0" wp14:anchorId="09C2BA68" wp14:editId="326666FB">
            <wp:extent cx="6521914" cy="3668486"/>
            <wp:effectExtent l="0" t="0" r="0" b="8255"/>
            <wp:docPr id="14297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7249" name="Picture 14297249"/>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56259" cy="3687805"/>
                    </a:xfrm>
                    <a:prstGeom prst="rect">
                      <a:avLst/>
                    </a:prstGeom>
                  </pic:spPr>
                </pic:pic>
              </a:graphicData>
            </a:graphic>
          </wp:inline>
        </w:drawing>
      </w:r>
    </w:p>
    <w:p w14:paraId="38AB1477" w14:textId="77777777" w:rsidR="008B19BE" w:rsidRDefault="00000000">
      <w:pPr>
        <w:spacing w:before="80" w:after="240" w:line="276" w:lineRule="auto"/>
        <w:jc w:val="center"/>
      </w:pPr>
      <w:r>
        <w:rPr>
          <w:i/>
          <w:iCs/>
          <w:color w:val="000000"/>
          <w:sz w:val="20"/>
          <w:szCs w:val="20"/>
        </w:rPr>
        <w:t>Fig. 1: Three-layer integrated security governance architecture derived from ISO/IEC 27001:2022 [1], ITIL 4 [2], and NIST SP 800-207 [3].</w:t>
      </w:r>
    </w:p>
    <w:p w14:paraId="3EAFF523" w14:textId="77777777" w:rsidR="001C721D" w:rsidRDefault="001C721D">
      <w:pPr>
        <w:pBdr>
          <w:bottom w:val="single" w:sz="2" w:space="1" w:color="AAAAAA"/>
        </w:pBdr>
        <w:spacing w:before="480" w:after="160" w:line="480" w:lineRule="auto"/>
        <w:rPr>
          <w:b/>
          <w:bCs/>
          <w:color w:val="000000"/>
          <w:sz w:val="28"/>
          <w:szCs w:val="28"/>
        </w:rPr>
      </w:pPr>
    </w:p>
    <w:p w14:paraId="163CF28C" w14:textId="1D897DE8" w:rsidR="008B19BE" w:rsidRDefault="00000000">
      <w:pPr>
        <w:pBdr>
          <w:bottom w:val="single" w:sz="2" w:space="1" w:color="AAAAAA"/>
        </w:pBdr>
        <w:spacing w:before="480" w:after="160" w:line="480" w:lineRule="auto"/>
      </w:pPr>
      <w:r>
        <w:rPr>
          <w:b/>
          <w:bCs/>
          <w:color w:val="000000"/>
          <w:sz w:val="28"/>
          <w:szCs w:val="28"/>
        </w:rPr>
        <w:lastRenderedPageBreak/>
        <w:t>3. Custom Security Governance Model for FSB</w:t>
      </w:r>
    </w:p>
    <w:p w14:paraId="3B31AC1E" w14:textId="77777777" w:rsidR="008B19BE" w:rsidRDefault="00000000" w:rsidP="00054C32">
      <w:pPr>
        <w:spacing w:after="240"/>
        <w:jc w:val="both"/>
        <w:rPr>
          <w:color w:val="000000"/>
        </w:rPr>
      </w:pPr>
      <w:r>
        <w:rPr>
          <w:color w:val="000000"/>
        </w:rPr>
        <w:t>The FSB Integrated Security Governance Model comprises eight interlinked pillars grounded in regulatory compliance and academic research, collectively progressing FSB towards measurable cyber resilience.</w:t>
      </w:r>
    </w:p>
    <w:p w14:paraId="0D90437C" w14:textId="72799CD3" w:rsidR="001C721D" w:rsidRDefault="001C721D" w:rsidP="00054C32">
      <w:pPr>
        <w:spacing w:after="240"/>
        <w:jc w:val="both"/>
      </w:pPr>
      <w:r>
        <w:rPr>
          <w:noProof/>
        </w:rPr>
        <w:drawing>
          <wp:inline distT="0" distB="0" distL="0" distR="0" wp14:anchorId="3E822E02" wp14:editId="6797492A">
            <wp:extent cx="5960680" cy="3352800"/>
            <wp:effectExtent l="0" t="0" r="2540" b="0"/>
            <wp:docPr id="20451257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25765" name="Picture 204512576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61493" cy="3353257"/>
                    </a:xfrm>
                    <a:prstGeom prst="rect">
                      <a:avLst/>
                    </a:prstGeom>
                  </pic:spPr>
                </pic:pic>
              </a:graphicData>
            </a:graphic>
          </wp:inline>
        </w:drawing>
      </w:r>
    </w:p>
    <w:p w14:paraId="7BA4CAC5" w14:textId="77777777" w:rsidR="008B19BE" w:rsidRDefault="008B19BE">
      <w:pPr>
        <w:spacing w:after="80"/>
      </w:pPr>
    </w:p>
    <w:p w14:paraId="0E576DB0" w14:textId="77777777" w:rsidR="008B19BE" w:rsidRDefault="00000000">
      <w:pPr>
        <w:spacing w:before="80" w:after="240" w:line="276" w:lineRule="auto"/>
        <w:jc w:val="center"/>
      </w:pPr>
      <w:r>
        <w:rPr>
          <w:i/>
          <w:iCs/>
          <w:color w:val="000000"/>
          <w:sz w:val="20"/>
          <w:szCs w:val="20"/>
        </w:rPr>
        <w:t>Fig. 2: The eight-pillar FSB Integrated Security Governance Model.</w:t>
      </w:r>
    </w:p>
    <w:p w14:paraId="3BC8998D" w14:textId="77777777" w:rsidR="00A41E6E" w:rsidRDefault="00A41E6E" w:rsidP="00054C32">
      <w:pPr>
        <w:spacing w:before="320" w:after="120"/>
        <w:rPr>
          <w:b/>
          <w:bCs/>
          <w:color w:val="000000"/>
          <w:u w:val="single"/>
        </w:rPr>
      </w:pPr>
    </w:p>
    <w:p w14:paraId="4B17AB84" w14:textId="245A6B06" w:rsidR="008B19BE" w:rsidRDefault="00000000" w:rsidP="00054C32">
      <w:pPr>
        <w:spacing w:before="320" w:after="120"/>
      </w:pPr>
      <w:r>
        <w:rPr>
          <w:b/>
          <w:bCs/>
          <w:color w:val="000000"/>
          <w:u w:val="single"/>
        </w:rPr>
        <w:t>3.1 Continuous Risk Management</w:t>
      </w:r>
    </w:p>
    <w:p w14:paraId="661BB1BB" w14:textId="77777777" w:rsidR="008B19BE" w:rsidRDefault="00000000" w:rsidP="00054C32">
      <w:pPr>
        <w:spacing w:after="240"/>
        <w:jc w:val="both"/>
      </w:pPr>
      <w:r>
        <w:rPr>
          <w:color w:val="000000"/>
        </w:rPr>
        <w:t xml:space="preserve">Annual risk assessments are actively harmful to FSB — they create a register that is out of date from the moment of generation. FSB needs to shift to the continuous risk lifecycle described in NIST SP 800-30 Rev. 1 [10], supplemented by machine learning </w:t>
      </w:r>
      <w:proofErr w:type="spellStart"/>
      <w:r>
        <w:rPr>
          <w:color w:val="000000"/>
        </w:rPr>
        <w:t>behaviour</w:t>
      </w:r>
      <w:proofErr w:type="spellEnd"/>
      <w:r>
        <w:rPr>
          <w:color w:val="000000"/>
        </w:rPr>
        <w:t xml:space="preserve"> analysis for real-time risk posture monitoring. Asmar and </w:t>
      </w:r>
      <w:proofErr w:type="spellStart"/>
      <w:r>
        <w:rPr>
          <w:color w:val="000000"/>
        </w:rPr>
        <w:t>Tuqan</w:t>
      </w:r>
      <w:proofErr w:type="spellEnd"/>
      <w:r>
        <w:rPr>
          <w:color w:val="000000"/>
        </w:rPr>
        <w:t xml:space="preserve"> (2024) demonstrate how Recurrent Neural Networks can detect insider attacks and DDoS attacks before compromise occurs [11]. Figure 3 presents the risk matrix for FSB, ranking the six highest identified risks by impact and likelihood to underpin the control selection illustrated in Table V.</w:t>
      </w:r>
    </w:p>
    <w:p w14:paraId="1EE26F30" w14:textId="77777777" w:rsidR="00A41E6E" w:rsidRDefault="00A41E6E">
      <w:pPr>
        <w:spacing w:before="320" w:after="80" w:line="276" w:lineRule="auto"/>
        <w:jc w:val="center"/>
        <w:rPr>
          <w:b/>
          <w:bCs/>
          <w:color w:val="000000"/>
        </w:rPr>
      </w:pPr>
    </w:p>
    <w:p w14:paraId="2BF38DD1" w14:textId="77777777" w:rsidR="001C721D" w:rsidRDefault="001C721D">
      <w:pPr>
        <w:spacing w:before="320" w:after="80" w:line="276" w:lineRule="auto"/>
        <w:jc w:val="center"/>
        <w:rPr>
          <w:b/>
          <w:bCs/>
          <w:color w:val="000000"/>
        </w:rPr>
      </w:pPr>
    </w:p>
    <w:p w14:paraId="07DA1F34" w14:textId="77777777" w:rsidR="001C721D" w:rsidRDefault="001C721D">
      <w:pPr>
        <w:spacing w:before="320" w:after="80" w:line="276" w:lineRule="auto"/>
        <w:jc w:val="center"/>
        <w:rPr>
          <w:b/>
          <w:bCs/>
          <w:color w:val="000000"/>
        </w:rPr>
      </w:pPr>
    </w:p>
    <w:p w14:paraId="26C66697" w14:textId="77777777" w:rsidR="00A41E6E" w:rsidRDefault="00A41E6E">
      <w:pPr>
        <w:spacing w:before="320" w:after="80" w:line="276" w:lineRule="auto"/>
        <w:jc w:val="center"/>
        <w:rPr>
          <w:b/>
          <w:bCs/>
          <w:color w:val="000000"/>
        </w:rPr>
      </w:pPr>
    </w:p>
    <w:p w14:paraId="3820A73D" w14:textId="6FD057D5" w:rsidR="008B19BE" w:rsidRDefault="00000000">
      <w:pPr>
        <w:spacing w:before="320" w:after="80" w:line="276" w:lineRule="auto"/>
        <w:jc w:val="center"/>
      </w:pPr>
      <w:r>
        <w:rPr>
          <w:b/>
          <w:bCs/>
          <w:color w:val="000000"/>
          <w:sz w:val="22"/>
          <w:szCs w:val="22"/>
        </w:rPr>
        <w:lastRenderedPageBreak/>
        <w:t>FIGURE 3 — FSB Risk Matrix: Likelihood vs. Impact (R1–R6)</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500"/>
        <w:gridCol w:w="1500"/>
        <w:gridCol w:w="2300"/>
        <w:gridCol w:w="2338"/>
      </w:tblGrid>
      <w:tr w:rsidR="008B19BE" w14:paraId="79135FB2" w14:textId="77777777">
        <w:trPr>
          <w:tblHeader/>
        </w:trPr>
        <w:tc>
          <w:tcPr>
            <w:tcW w:w="20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57BC9ECF" w14:textId="77777777" w:rsidR="008B19BE" w:rsidRDefault="00000000">
            <w:pPr>
              <w:spacing w:line="276" w:lineRule="auto"/>
              <w:jc w:val="center"/>
            </w:pPr>
            <w:r>
              <w:rPr>
                <w:b/>
                <w:bCs/>
                <w:color w:val="000000"/>
                <w:sz w:val="20"/>
                <w:szCs w:val="20"/>
              </w:rPr>
              <w:t>Likelihood / Impact</w:t>
            </w:r>
          </w:p>
        </w:tc>
        <w:tc>
          <w:tcPr>
            <w:tcW w:w="15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7A254842" w14:textId="77777777" w:rsidR="008B19BE" w:rsidRDefault="00000000">
            <w:pPr>
              <w:spacing w:line="276" w:lineRule="auto"/>
              <w:jc w:val="center"/>
            </w:pPr>
            <w:r>
              <w:rPr>
                <w:b/>
                <w:bCs/>
                <w:color w:val="000000"/>
                <w:sz w:val="20"/>
                <w:szCs w:val="20"/>
              </w:rPr>
              <w:t>Low</w:t>
            </w:r>
          </w:p>
        </w:tc>
        <w:tc>
          <w:tcPr>
            <w:tcW w:w="15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0351FCBF" w14:textId="77777777" w:rsidR="008B19BE" w:rsidRDefault="00000000">
            <w:pPr>
              <w:spacing w:line="276" w:lineRule="auto"/>
              <w:jc w:val="center"/>
            </w:pPr>
            <w:r>
              <w:rPr>
                <w:b/>
                <w:bCs/>
                <w:color w:val="000000"/>
                <w:sz w:val="20"/>
                <w:szCs w:val="20"/>
              </w:rPr>
              <w:t>Medium</w:t>
            </w:r>
          </w:p>
        </w:tc>
        <w:tc>
          <w:tcPr>
            <w:tcW w:w="23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7B59ED18" w14:textId="77777777" w:rsidR="008B19BE" w:rsidRDefault="00000000">
            <w:pPr>
              <w:spacing w:line="276" w:lineRule="auto"/>
              <w:jc w:val="center"/>
            </w:pPr>
            <w:r>
              <w:rPr>
                <w:b/>
                <w:bCs/>
                <w:color w:val="000000"/>
                <w:sz w:val="20"/>
                <w:szCs w:val="20"/>
              </w:rPr>
              <w:t>High</w:t>
            </w:r>
          </w:p>
        </w:tc>
        <w:tc>
          <w:tcPr>
            <w:tcW w:w="2338"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43E9BD63" w14:textId="77777777" w:rsidR="008B19BE" w:rsidRDefault="00000000">
            <w:pPr>
              <w:spacing w:line="276" w:lineRule="auto"/>
              <w:jc w:val="center"/>
            </w:pPr>
            <w:r>
              <w:rPr>
                <w:b/>
                <w:bCs/>
                <w:color w:val="000000"/>
                <w:sz w:val="20"/>
                <w:szCs w:val="20"/>
              </w:rPr>
              <w:t>Critical</w:t>
            </w:r>
          </w:p>
        </w:tc>
      </w:tr>
      <w:tr w:rsidR="008B19BE" w14:paraId="4DE72183" w14:textId="77777777" w:rsidTr="00D67B99">
        <w:tc>
          <w:tcPr>
            <w:tcW w:w="20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774B1C9B" w14:textId="77777777" w:rsidR="008B19BE" w:rsidRDefault="00000000">
            <w:pPr>
              <w:spacing w:line="276" w:lineRule="auto"/>
            </w:pPr>
            <w:r>
              <w:rPr>
                <w:color w:val="000000"/>
                <w:sz w:val="20"/>
                <w:szCs w:val="20"/>
              </w:rPr>
              <w:t>Certain</w:t>
            </w:r>
          </w:p>
        </w:tc>
        <w:tc>
          <w:tcPr>
            <w:tcW w:w="1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17956AB6" w14:textId="77777777" w:rsidR="008B19BE" w:rsidRDefault="008B19BE">
            <w:pPr>
              <w:spacing w:line="276" w:lineRule="auto"/>
            </w:pPr>
          </w:p>
        </w:tc>
        <w:tc>
          <w:tcPr>
            <w:tcW w:w="1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5A2B7A18" w14:textId="77777777" w:rsidR="008B19BE" w:rsidRDefault="008B19BE">
            <w:pPr>
              <w:spacing w:line="276" w:lineRule="auto"/>
            </w:pPr>
          </w:p>
        </w:tc>
        <w:tc>
          <w:tcPr>
            <w:tcW w:w="23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50F7CA7A" w14:textId="77777777" w:rsidR="008B19BE" w:rsidRDefault="008B19BE">
            <w:pPr>
              <w:spacing w:line="276" w:lineRule="auto"/>
            </w:pPr>
          </w:p>
        </w:tc>
        <w:tc>
          <w:tcPr>
            <w:tcW w:w="2338" w:type="dxa"/>
            <w:tcBorders>
              <w:top w:val="single" w:sz="1" w:space="0" w:color="888888"/>
              <w:left w:val="single" w:sz="1" w:space="0" w:color="888888"/>
              <w:bottom w:val="single" w:sz="1" w:space="0" w:color="888888"/>
              <w:right w:val="single" w:sz="1" w:space="0" w:color="888888"/>
            </w:tcBorders>
            <w:shd w:val="clear" w:color="auto" w:fill="EE0000"/>
            <w:tcMar>
              <w:top w:w="80" w:type="dxa"/>
              <w:left w:w="150" w:type="dxa"/>
              <w:bottom w:w="80" w:type="dxa"/>
              <w:right w:w="150" w:type="dxa"/>
            </w:tcMar>
          </w:tcPr>
          <w:p w14:paraId="4D1F8967" w14:textId="77777777" w:rsidR="008B19BE" w:rsidRPr="00D67B99" w:rsidRDefault="00000000">
            <w:pPr>
              <w:spacing w:line="276" w:lineRule="auto"/>
              <w:rPr>
                <w:color w:val="EE0000"/>
              </w:rPr>
            </w:pPr>
            <w:r>
              <w:rPr>
                <w:color w:val="000000"/>
                <w:sz w:val="20"/>
                <w:szCs w:val="20"/>
              </w:rPr>
              <w:t>GDPR non-compliance (R6)</w:t>
            </w:r>
          </w:p>
        </w:tc>
      </w:tr>
      <w:tr w:rsidR="008B19BE" w14:paraId="1317F477" w14:textId="77777777" w:rsidTr="00D67B99">
        <w:tc>
          <w:tcPr>
            <w:tcW w:w="20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36FD8A6A" w14:textId="77777777" w:rsidR="008B19BE" w:rsidRDefault="00000000">
            <w:pPr>
              <w:spacing w:line="276" w:lineRule="auto"/>
            </w:pPr>
            <w:r>
              <w:rPr>
                <w:color w:val="000000"/>
                <w:sz w:val="20"/>
                <w:szCs w:val="20"/>
              </w:rPr>
              <w:t>High</w:t>
            </w:r>
          </w:p>
        </w:tc>
        <w:tc>
          <w:tcPr>
            <w:tcW w:w="1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37B3C698" w14:textId="77777777" w:rsidR="008B19BE" w:rsidRDefault="008B19BE">
            <w:pPr>
              <w:spacing w:line="276" w:lineRule="auto"/>
            </w:pPr>
          </w:p>
        </w:tc>
        <w:tc>
          <w:tcPr>
            <w:tcW w:w="1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06D69701" w14:textId="77777777" w:rsidR="008B19BE" w:rsidRDefault="008B19BE">
            <w:pPr>
              <w:spacing w:line="276" w:lineRule="auto"/>
            </w:pPr>
          </w:p>
        </w:tc>
        <w:tc>
          <w:tcPr>
            <w:tcW w:w="2300" w:type="dxa"/>
            <w:tcBorders>
              <w:top w:val="single" w:sz="1" w:space="0" w:color="888888"/>
              <w:left w:val="single" w:sz="1" w:space="0" w:color="888888"/>
              <w:bottom w:val="single" w:sz="1" w:space="0" w:color="888888"/>
              <w:right w:val="single" w:sz="1" w:space="0" w:color="888888"/>
            </w:tcBorders>
            <w:shd w:val="clear" w:color="auto" w:fill="ED7D31" w:themeFill="accent2"/>
            <w:tcMar>
              <w:top w:w="80" w:type="dxa"/>
              <w:left w:w="150" w:type="dxa"/>
              <w:bottom w:w="80" w:type="dxa"/>
              <w:right w:w="150" w:type="dxa"/>
            </w:tcMar>
          </w:tcPr>
          <w:p w14:paraId="716BB669" w14:textId="77777777" w:rsidR="008B19BE" w:rsidRDefault="00000000">
            <w:pPr>
              <w:spacing w:line="276" w:lineRule="auto"/>
            </w:pPr>
            <w:r>
              <w:rPr>
                <w:color w:val="000000"/>
                <w:sz w:val="20"/>
                <w:szCs w:val="20"/>
              </w:rPr>
              <w:t>BYOD compromise (R1)</w:t>
            </w:r>
          </w:p>
        </w:tc>
        <w:tc>
          <w:tcPr>
            <w:tcW w:w="2338" w:type="dxa"/>
            <w:tcBorders>
              <w:top w:val="single" w:sz="1" w:space="0" w:color="888888"/>
              <w:left w:val="single" w:sz="1" w:space="0" w:color="888888"/>
              <w:bottom w:val="single" w:sz="1" w:space="0" w:color="888888"/>
              <w:right w:val="single" w:sz="1" w:space="0" w:color="888888"/>
            </w:tcBorders>
            <w:shd w:val="clear" w:color="auto" w:fill="EE0000"/>
            <w:tcMar>
              <w:top w:w="80" w:type="dxa"/>
              <w:left w:w="150" w:type="dxa"/>
              <w:bottom w:w="80" w:type="dxa"/>
              <w:right w:w="150" w:type="dxa"/>
            </w:tcMar>
          </w:tcPr>
          <w:p w14:paraId="4C41CB10" w14:textId="77777777" w:rsidR="008B19BE" w:rsidRDefault="00000000">
            <w:pPr>
              <w:spacing w:line="276" w:lineRule="auto"/>
            </w:pPr>
            <w:r>
              <w:rPr>
                <w:color w:val="000000"/>
                <w:sz w:val="20"/>
                <w:szCs w:val="20"/>
              </w:rPr>
              <w:t>Cloud breach (R2)</w:t>
            </w:r>
          </w:p>
        </w:tc>
      </w:tr>
      <w:tr w:rsidR="008B19BE" w14:paraId="05D2616C" w14:textId="77777777" w:rsidTr="00D67B99">
        <w:tc>
          <w:tcPr>
            <w:tcW w:w="20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190A2FEE" w14:textId="77777777" w:rsidR="008B19BE" w:rsidRDefault="00000000">
            <w:pPr>
              <w:spacing w:line="276" w:lineRule="auto"/>
            </w:pPr>
            <w:r>
              <w:rPr>
                <w:color w:val="000000"/>
                <w:sz w:val="20"/>
                <w:szCs w:val="20"/>
              </w:rPr>
              <w:t>Medium</w:t>
            </w:r>
          </w:p>
        </w:tc>
        <w:tc>
          <w:tcPr>
            <w:tcW w:w="1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36DD87DE" w14:textId="77777777" w:rsidR="008B19BE" w:rsidRDefault="008B19BE">
            <w:pPr>
              <w:spacing w:line="276" w:lineRule="auto"/>
            </w:pPr>
          </w:p>
        </w:tc>
        <w:tc>
          <w:tcPr>
            <w:tcW w:w="1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BB21149" w14:textId="77777777" w:rsidR="008B19BE" w:rsidRDefault="008B19BE">
            <w:pPr>
              <w:spacing w:line="276" w:lineRule="auto"/>
            </w:pPr>
          </w:p>
        </w:tc>
        <w:tc>
          <w:tcPr>
            <w:tcW w:w="2300" w:type="dxa"/>
            <w:tcBorders>
              <w:top w:val="single" w:sz="1" w:space="0" w:color="888888"/>
              <w:left w:val="single" w:sz="1" w:space="0" w:color="888888"/>
              <w:bottom w:val="single" w:sz="1" w:space="0" w:color="888888"/>
              <w:right w:val="single" w:sz="1" w:space="0" w:color="888888"/>
            </w:tcBorders>
            <w:shd w:val="clear" w:color="auto" w:fill="ED7D31" w:themeFill="accent2"/>
            <w:tcMar>
              <w:top w:w="80" w:type="dxa"/>
              <w:left w:w="150" w:type="dxa"/>
              <w:bottom w:w="80" w:type="dxa"/>
              <w:right w:w="150" w:type="dxa"/>
            </w:tcMar>
          </w:tcPr>
          <w:p w14:paraId="294DFBDB" w14:textId="77777777" w:rsidR="008B19BE" w:rsidRDefault="00000000">
            <w:pPr>
              <w:spacing w:line="276" w:lineRule="auto"/>
            </w:pPr>
            <w:r>
              <w:rPr>
                <w:color w:val="000000"/>
                <w:sz w:val="20"/>
                <w:szCs w:val="20"/>
              </w:rPr>
              <w:t>API abuse (R5)</w:t>
            </w:r>
          </w:p>
        </w:tc>
        <w:tc>
          <w:tcPr>
            <w:tcW w:w="2338" w:type="dxa"/>
            <w:tcBorders>
              <w:top w:val="single" w:sz="1" w:space="0" w:color="888888"/>
              <w:left w:val="single" w:sz="1" w:space="0" w:color="888888"/>
              <w:bottom w:val="single" w:sz="1" w:space="0" w:color="888888"/>
              <w:right w:val="single" w:sz="1" w:space="0" w:color="888888"/>
            </w:tcBorders>
            <w:shd w:val="clear" w:color="auto" w:fill="ED7D31" w:themeFill="accent2"/>
            <w:tcMar>
              <w:top w:w="80" w:type="dxa"/>
              <w:left w:w="150" w:type="dxa"/>
              <w:bottom w:w="80" w:type="dxa"/>
              <w:right w:w="150" w:type="dxa"/>
            </w:tcMar>
          </w:tcPr>
          <w:p w14:paraId="2FC3CE69" w14:textId="77777777" w:rsidR="008B19BE" w:rsidRPr="00D67B99" w:rsidRDefault="00000000">
            <w:pPr>
              <w:spacing w:line="276" w:lineRule="auto"/>
              <w:rPr>
                <w:color w:val="EE0000"/>
              </w:rPr>
            </w:pPr>
            <w:r>
              <w:rPr>
                <w:color w:val="000000"/>
                <w:sz w:val="20"/>
                <w:szCs w:val="20"/>
              </w:rPr>
              <w:t>Insider threat (R3)</w:t>
            </w:r>
          </w:p>
        </w:tc>
      </w:tr>
      <w:tr w:rsidR="008B19BE" w14:paraId="580CF660" w14:textId="77777777" w:rsidTr="00D67B99">
        <w:tc>
          <w:tcPr>
            <w:tcW w:w="20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72F02673" w14:textId="77777777" w:rsidR="008B19BE" w:rsidRDefault="00000000">
            <w:pPr>
              <w:spacing w:line="276" w:lineRule="auto"/>
            </w:pPr>
            <w:r>
              <w:rPr>
                <w:color w:val="000000"/>
                <w:sz w:val="20"/>
                <w:szCs w:val="20"/>
              </w:rPr>
              <w:t>Low</w:t>
            </w:r>
          </w:p>
        </w:tc>
        <w:tc>
          <w:tcPr>
            <w:tcW w:w="1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02000F27" w14:textId="77777777" w:rsidR="008B19BE" w:rsidRDefault="008B19BE">
            <w:pPr>
              <w:spacing w:line="276" w:lineRule="auto"/>
            </w:pPr>
          </w:p>
        </w:tc>
        <w:tc>
          <w:tcPr>
            <w:tcW w:w="1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57520AEE" w14:textId="77777777" w:rsidR="008B19BE" w:rsidRDefault="008B19BE">
            <w:pPr>
              <w:spacing w:line="276" w:lineRule="auto"/>
            </w:pPr>
          </w:p>
        </w:tc>
        <w:tc>
          <w:tcPr>
            <w:tcW w:w="23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017A3C69" w14:textId="77777777" w:rsidR="008B19BE" w:rsidRDefault="008B19BE">
            <w:pPr>
              <w:spacing w:line="276" w:lineRule="auto"/>
            </w:pPr>
          </w:p>
        </w:tc>
        <w:tc>
          <w:tcPr>
            <w:tcW w:w="2338" w:type="dxa"/>
            <w:tcBorders>
              <w:top w:val="single" w:sz="1" w:space="0" w:color="888888"/>
              <w:left w:val="single" w:sz="1" w:space="0" w:color="888888"/>
              <w:bottom w:val="single" w:sz="1" w:space="0" w:color="888888"/>
              <w:right w:val="single" w:sz="1" w:space="0" w:color="888888"/>
            </w:tcBorders>
            <w:shd w:val="clear" w:color="auto" w:fill="EE0000"/>
            <w:tcMar>
              <w:top w:w="80" w:type="dxa"/>
              <w:left w:w="150" w:type="dxa"/>
              <w:bottom w:w="80" w:type="dxa"/>
              <w:right w:w="150" w:type="dxa"/>
            </w:tcMar>
          </w:tcPr>
          <w:p w14:paraId="496C3A7F" w14:textId="77777777" w:rsidR="008B19BE" w:rsidRDefault="00000000">
            <w:pPr>
              <w:spacing w:line="276" w:lineRule="auto"/>
            </w:pPr>
            <w:r>
              <w:rPr>
                <w:color w:val="000000"/>
                <w:sz w:val="20"/>
                <w:szCs w:val="20"/>
              </w:rPr>
              <w:t>Ransomware (R4)</w:t>
            </w:r>
          </w:p>
        </w:tc>
      </w:tr>
    </w:tbl>
    <w:p w14:paraId="045496D2" w14:textId="489A9D2F" w:rsidR="008B19BE" w:rsidRDefault="00000000">
      <w:pPr>
        <w:spacing w:before="80" w:after="240" w:line="276" w:lineRule="auto"/>
        <w:jc w:val="center"/>
      </w:pPr>
      <w:r>
        <w:rPr>
          <w:i/>
          <w:iCs/>
          <w:color w:val="000000"/>
          <w:sz w:val="20"/>
          <w:szCs w:val="20"/>
        </w:rPr>
        <w:t xml:space="preserve">Figure 3: FSB risk matrix. </w:t>
      </w:r>
      <w:r w:rsidR="00EE6883">
        <w:rPr>
          <w:i/>
          <w:iCs/>
          <w:color w:val="000000"/>
          <w:sz w:val="20"/>
          <w:szCs w:val="20"/>
        </w:rPr>
        <w:t>Red</w:t>
      </w:r>
      <w:r>
        <w:rPr>
          <w:i/>
          <w:iCs/>
          <w:color w:val="000000"/>
          <w:sz w:val="20"/>
          <w:szCs w:val="20"/>
        </w:rPr>
        <w:t xml:space="preserve"> = critical; </w:t>
      </w:r>
      <w:r w:rsidR="00EE6883">
        <w:rPr>
          <w:i/>
          <w:iCs/>
          <w:color w:val="000000"/>
          <w:sz w:val="20"/>
          <w:szCs w:val="20"/>
        </w:rPr>
        <w:t xml:space="preserve">Amber </w:t>
      </w:r>
      <w:r>
        <w:rPr>
          <w:i/>
          <w:iCs/>
          <w:color w:val="000000"/>
          <w:sz w:val="20"/>
          <w:szCs w:val="20"/>
        </w:rPr>
        <w:t>= high. Risks R1–R6 correspond to Table V. Source: adapted from NIST SP 800-30 [10] and ISO 27001 [1].</w:t>
      </w:r>
    </w:p>
    <w:p w14:paraId="3C2AB6E1" w14:textId="77777777" w:rsidR="008B19BE" w:rsidRDefault="00000000" w:rsidP="00054C32">
      <w:pPr>
        <w:spacing w:before="320" w:after="120"/>
      </w:pPr>
      <w:r>
        <w:rPr>
          <w:b/>
          <w:bCs/>
          <w:color w:val="000000"/>
          <w:u w:val="single"/>
        </w:rPr>
        <w:t>3.2 Zero Trust Security Architecture</w:t>
      </w:r>
    </w:p>
    <w:p w14:paraId="4DB69F3E" w14:textId="2E42A47C" w:rsidR="008B19BE" w:rsidRDefault="00000000" w:rsidP="00054C32">
      <w:pPr>
        <w:spacing w:after="240"/>
        <w:jc w:val="both"/>
      </w:pPr>
      <w:r>
        <w:rPr>
          <w:color w:val="000000"/>
        </w:rPr>
        <w:t xml:space="preserve">The traditional perimeter model fails for an </w:t>
      </w:r>
      <w:proofErr w:type="spellStart"/>
      <w:r>
        <w:rPr>
          <w:color w:val="000000"/>
        </w:rPr>
        <w:t>organisation</w:t>
      </w:r>
      <w:proofErr w:type="spellEnd"/>
      <w:r>
        <w:rPr>
          <w:color w:val="000000"/>
        </w:rPr>
        <w:t xml:space="preserve"> where 90% of infrastructure is cloud-hosted</w:t>
      </w:r>
      <w:r w:rsidR="00054C32">
        <w:rPr>
          <w:color w:val="000000"/>
        </w:rPr>
        <w:t>,</w:t>
      </w:r>
      <w:r>
        <w:rPr>
          <w:color w:val="000000"/>
        </w:rPr>
        <w:t xml:space="preserve"> and access originates from unmanaged devices. FSB must implement Zero Trust Architecture in accordance with NIST SP 800-207: ‘never trust, always verify’ across the entire access lifecycle [3]. All requests are evaluated by a Policy Decision Point (PDP) and enforced by Policy Enforcement Points (PEPs). Joshi (2025) confirms that ZTA maturity directly reduces breach severity for cloud-native </w:t>
      </w:r>
      <w:proofErr w:type="spellStart"/>
      <w:r>
        <w:rPr>
          <w:color w:val="000000"/>
        </w:rPr>
        <w:t>organisations</w:t>
      </w:r>
      <w:proofErr w:type="spellEnd"/>
      <w:r>
        <w:rPr>
          <w:color w:val="000000"/>
        </w:rPr>
        <w:t xml:space="preserve"> [12]. Daah et al. (2023) propose a ZTA framework specifically adapted to financial institutions, with micro-segmentation as a core control [14].</w:t>
      </w:r>
    </w:p>
    <w:p w14:paraId="355A7FEA" w14:textId="77777777" w:rsidR="008B19BE" w:rsidRDefault="00000000">
      <w:pPr>
        <w:spacing w:before="320" w:after="80" w:line="276" w:lineRule="auto"/>
        <w:jc w:val="center"/>
      </w:pPr>
      <w:r>
        <w:rPr>
          <w:b/>
          <w:bCs/>
          <w:color w:val="000000"/>
          <w:sz w:val="22"/>
          <w:szCs w:val="22"/>
        </w:rPr>
        <w:t>TABLE III — FSB Zero Trust Architecture: Access Verification Flow</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67"/>
        <w:gridCol w:w="1776"/>
        <w:gridCol w:w="4146"/>
        <w:gridCol w:w="2949"/>
      </w:tblGrid>
      <w:tr w:rsidR="008B19BE" w14:paraId="0FEFAA77" w14:textId="77777777">
        <w:trPr>
          <w:tblHeader/>
        </w:trPr>
        <w:tc>
          <w:tcPr>
            <w:tcW w:w="5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6BE9FD5C" w14:textId="77777777" w:rsidR="008B19BE" w:rsidRDefault="00000000">
            <w:pPr>
              <w:spacing w:line="276" w:lineRule="auto"/>
              <w:jc w:val="center"/>
            </w:pPr>
            <w:r>
              <w:rPr>
                <w:b/>
                <w:bCs/>
                <w:color w:val="000000"/>
                <w:sz w:val="20"/>
                <w:szCs w:val="20"/>
              </w:rPr>
              <w:t>Stage</w:t>
            </w:r>
          </w:p>
        </w:tc>
        <w:tc>
          <w:tcPr>
            <w:tcW w:w="18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0AA9ABF6" w14:textId="77777777" w:rsidR="008B19BE" w:rsidRDefault="00000000">
            <w:pPr>
              <w:spacing w:line="276" w:lineRule="auto"/>
              <w:jc w:val="center"/>
            </w:pPr>
            <w:r>
              <w:rPr>
                <w:b/>
                <w:bCs/>
                <w:color w:val="000000"/>
                <w:sz w:val="20"/>
                <w:szCs w:val="20"/>
              </w:rPr>
              <w:t>Component</w:t>
            </w:r>
          </w:p>
        </w:tc>
        <w:tc>
          <w:tcPr>
            <w:tcW w:w="43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2A36A175" w14:textId="77777777" w:rsidR="008B19BE" w:rsidRDefault="00000000">
            <w:pPr>
              <w:spacing w:line="276" w:lineRule="auto"/>
              <w:jc w:val="center"/>
            </w:pPr>
            <w:r>
              <w:rPr>
                <w:b/>
                <w:bCs/>
                <w:color w:val="000000"/>
                <w:sz w:val="20"/>
                <w:szCs w:val="20"/>
              </w:rPr>
              <w:t>Action</w:t>
            </w:r>
          </w:p>
        </w:tc>
        <w:tc>
          <w:tcPr>
            <w:tcW w:w="3038"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0CDCDBF9" w14:textId="77777777" w:rsidR="008B19BE" w:rsidRDefault="00000000">
            <w:pPr>
              <w:spacing w:line="276" w:lineRule="auto"/>
              <w:jc w:val="center"/>
            </w:pPr>
            <w:r>
              <w:rPr>
                <w:b/>
                <w:bCs/>
                <w:color w:val="000000"/>
                <w:sz w:val="20"/>
                <w:szCs w:val="20"/>
              </w:rPr>
              <w:t>Outcome</w:t>
            </w:r>
          </w:p>
        </w:tc>
      </w:tr>
      <w:tr w:rsidR="008B19BE" w14:paraId="5734FAC7" w14:textId="77777777">
        <w:tc>
          <w:tcPr>
            <w:tcW w:w="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786B43E2" w14:textId="77777777" w:rsidR="008B19BE" w:rsidRDefault="00000000">
            <w:pPr>
              <w:spacing w:line="276" w:lineRule="auto"/>
            </w:pPr>
            <w:r>
              <w:rPr>
                <w:color w:val="000000"/>
                <w:sz w:val="20"/>
                <w:szCs w:val="20"/>
              </w:rPr>
              <w:t>1</w:t>
            </w:r>
          </w:p>
        </w:tc>
        <w:tc>
          <w:tcPr>
            <w:tcW w:w="18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46183F32" w14:textId="77777777" w:rsidR="008B19BE" w:rsidRDefault="00000000">
            <w:pPr>
              <w:spacing w:line="276" w:lineRule="auto"/>
            </w:pPr>
            <w:r>
              <w:rPr>
                <w:color w:val="000000"/>
                <w:sz w:val="20"/>
                <w:szCs w:val="20"/>
              </w:rPr>
              <w:t>Identity Provider</w:t>
            </w:r>
          </w:p>
        </w:tc>
        <w:tc>
          <w:tcPr>
            <w:tcW w:w="43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2B3D3203" w14:textId="77777777" w:rsidR="008B19BE" w:rsidRDefault="00000000">
            <w:pPr>
              <w:spacing w:line="276" w:lineRule="auto"/>
            </w:pPr>
            <w:r>
              <w:rPr>
                <w:color w:val="000000"/>
                <w:sz w:val="20"/>
                <w:szCs w:val="20"/>
              </w:rPr>
              <w:t>MFA / FIDO2 credential validation; SSO session scoping</w:t>
            </w:r>
          </w:p>
        </w:tc>
        <w:tc>
          <w:tcPr>
            <w:tcW w:w="30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5B4768D" w14:textId="77777777" w:rsidR="008B19BE" w:rsidRDefault="00000000">
            <w:pPr>
              <w:spacing w:line="276" w:lineRule="auto"/>
            </w:pPr>
            <w:r>
              <w:rPr>
                <w:color w:val="000000"/>
                <w:sz w:val="20"/>
                <w:szCs w:val="20"/>
              </w:rPr>
              <w:t>Identity verified</w:t>
            </w:r>
          </w:p>
        </w:tc>
      </w:tr>
      <w:tr w:rsidR="008B19BE" w14:paraId="45580475" w14:textId="77777777">
        <w:tc>
          <w:tcPr>
            <w:tcW w:w="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2685924A" w14:textId="77777777" w:rsidR="008B19BE" w:rsidRDefault="00000000">
            <w:pPr>
              <w:spacing w:line="276" w:lineRule="auto"/>
            </w:pPr>
            <w:r>
              <w:rPr>
                <w:color w:val="000000"/>
                <w:sz w:val="20"/>
                <w:szCs w:val="20"/>
              </w:rPr>
              <w:t>2</w:t>
            </w:r>
          </w:p>
        </w:tc>
        <w:tc>
          <w:tcPr>
            <w:tcW w:w="18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6D49ED3B" w14:textId="77777777" w:rsidR="008B19BE" w:rsidRDefault="00000000">
            <w:pPr>
              <w:spacing w:line="276" w:lineRule="auto"/>
            </w:pPr>
            <w:r>
              <w:rPr>
                <w:color w:val="000000"/>
                <w:sz w:val="20"/>
                <w:szCs w:val="20"/>
              </w:rPr>
              <w:t>Device Health Check</w:t>
            </w:r>
          </w:p>
        </w:tc>
        <w:tc>
          <w:tcPr>
            <w:tcW w:w="43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481EF428" w14:textId="77777777" w:rsidR="008B19BE" w:rsidRDefault="00000000">
            <w:pPr>
              <w:spacing w:line="276" w:lineRule="auto"/>
            </w:pPr>
            <w:r>
              <w:rPr>
                <w:color w:val="000000"/>
                <w:sz w:val="20"/>
                <w:szCs w:val="20"/>
              </w:rPr>
              <w:t>MDM compliance posture, OS patch level, jailbreak detection</w:t>
            </w:r>
          </w:p>
        </w:tc>
        <w:tc>
          <w:tcPr>
            <w:tcW w:w="30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668988F5" w14:textId="77777777" w:rsidR="008B19BE" w:rsidRDefault="00000000">
            <w:pPr>
              <w:spacing w:line="276" w:lineRule="auto"/>
            </w:pPr>
            <w:r>
              <w:rPr>
                <w:color w:val="000000"/>
                <w:sz w:val="20"/>
                <w:szCs w:val="20"/>
              </w:rPr>
              <w:t>Device trusted or quarantined</w:t>
            </w:r>
          </w:p>
        </w:tc>
      </w:tr>
      <w:tr w:rsidR="008B19BE" w14:paraId="7B467778" w14:textId="77777777">
        <w:tc>
          <w:tcPr>
            <w:tcW w:w="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5CAFD418" w14:textId="77777777" w:rsidR="008B19BE" w:rsidRDefault="00000000">
            <w:pPr>
              <w:spacing w:line="276" w:lineRule="auto"/>
            </w:pPr>
            <w:r>
              <w:rPr>
                <w:color w:val="000000"/>
                <w:sz w:val="20"/>
                <w:szCs w:val="20"/>
              </w:rPr>
              <w:t>3</w:t>
            </w:r>
          </w:p>
        </w:tc>
        <w:tc>
          <w:tcPr>
            <w:tcW w:w="18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0688385" w14:textId="77777777" w:rsidR="008B19BE" w:rsidRDefault="00000000">
            <w:pPr>
              <w:spacing w:line="276" w:lineRule="auto"/>
            </w:pPr>
            <w:r>
              <w:rPr>
                <w:color w:val="000000"/>
                <w:sz w:val="20"/>
                <w:szCs w:val="20"/>
              </w:rPr>
              <w:t>Policy Decision Point</w:t>
            </w:r>
          </w:p>
        </w:tc>
        <w:tc>
          <w:tcPr>
            <w:tcW w:w="43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248A6740" w14:textId="77777777" w:rsidR="008B19BE" w:rsidRDefault="00000000">
            <w:pPr>
              <w:spacing w:line="276" w:lineRule="auto"/>
            </w:pPr>
            <w:r>
              <w:rPr>
                <w:color w:val="000000"/>
                <w:sz w:val="20"/>
                <w:szCs w:val="20"/>
              </w:rPr>
              <w:t>Contextual risk score; role-based access matrix; sensitivity classification</w:t>
            </w:r>
          </w:p>
        </w:tc>
        <w:tc>
          <w:tcPr>
            <w:tcW w:w="30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CA7C53C" w14:textId="77777777" w:rsidR="008B19BE" w:rsidRDefault="00000000">
            <w:pPr>
              <w:spacing w:line="276" w:lineRule="auto"/>
            </w:pPr>
            <w:r>
              <w:rPr>
                <w:color w:val="000000"/>
                <w:sz w:val="20"/>
                <w:szCs w:val="20"/>
              </w:rPr>
              <w:t>Access policy selected</w:t>
            </w:r>
          </w:p>
        </w:tc>
      </w:tr>
      <w:tr w:rsidR="008B19BE" w14:paraId="3D316EF4" w14:textId="77777777">
        <w:tc>
          <w:tcPr>
            <w:tcW w:w="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59622D5B" w14:textId="77777777" w:rsidR="008B19BE" w:rsidRDefault="00000000">
            <w:pPr>
              <w:spacing w:line="276" w:lineRule="auto"/>
            </w:pPr>
            <w:r>
              <w:rPr>
                <w:color w:val="000000"/>
                <w:sz w:val="20"/>
                <w:szCs w:val="20"/>
              </w:rPr>
              <w:t>4</w:t>
            </w:r>
          </w:p>
        </w:tc>
        <w:tc>
          <w:tcPr>
            <w:tcW w:w="18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2672D227" w14:textId="77777777" w:rsidR="008B19BE" w:rsidRDefault="00000000">
            <w:pPr>
              <w:spacing w:line="276" w:lineRule="auto"/>
            </w:pPr>
            <w:r>
              <w:rPr>
                <w:color w:val="000000"/>
                <w:sz w:val="20"/>
                <w:szCs w:val="20"/>
              </w:rPr>
              <w:t>Policy Enforcement Point</w:t>
            </w:r>
          </w:p>
        </w:tc>
        <w:tc>
          <w:tcPr>
            <w:tcW w:w="43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1DF4F0B2" w14:textId="77777777" w:rsidR="008B19BE" w:rsidRDefault="00000000">
            <w:pPr>
              <w:spacing w:line="276" w:lineRule="auto"/>
            </w:pPr>
            <w:r>
              <w:rPr>
                <w:color w:val="000000"/>
                <w:sz w:val="20"/>
                <w:szCs w:val="20"/>
              </w:rPr>
              <w:t>Least-privilege, time-limited, micro-segmented access grant or denial</w:t>
            </w:r>
          </w:p>
        </w:tc>
        <w:tc>
          <w:tcPr>
            <w:tcW w:w="30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58C29DED" w14:textId="77777777" w:rsidR="008B19BE" w:rsidRDefault="00000000">
            <w:pPr>
              <w:spacing w:line="276" w:lineRule="auto"/>
            </w:pPr>
            <w:r>
              <w:rPr>
                <w:color w:val="000000"/>
                <w:sz w:val="20"/>
                <w:szCs w:val="20"/>
              </w:rPr>
              <w:t>Resource access controlled</w:t>
            </w:r>
          </w:p>
        </w:tc>
      </w:tr>
      <w:tr w:rsidR="008B19BE" w14:paraId="7591580D" w14:textId="77777777">
        <w:tc>
          <w:tcPr>
            <w:tcW w:w="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2C7A6906" w14:textId="77777777" w:rsidR="008B19BE" w:rsidRDefault="00000000">
            <w:pPr>
              <w:spacing w:line="276" w:lineRule="auto"/>
            </w:pPr>
            <w:r>
              <w:rPr>
                <w:color w:val="000000"/>
                <w:sz w:val="20"/>
                <w:szCs w:val="20"/>
              </w:rPr>
              <w:t>5</w:t>
            </w:r>
          </w:p>
        </w:tc>
        <w:tc>
          <w:tcPr>
            <w:tcW w:w="18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F1BD19C" w14:textId="77777777" w:rsidR="008B19BE" w:rsidRDefault="00000000">
            <w:pPr>
              <w:spacing w:line="276" w:lineRule="auto"/>
            </w:pPr>
            <w:r>
              <w:rPr>
                <w:color w:val="000000"/>
                <w:sz w:val="20"/>
                <w:szCs w:val="20"/>
              </w:rPr>
              <w:t>Continuous Monitoring</w:t>
            </w:r>
          </w:p>
        </w:tc>
        <w:tc>
          <w:tcPr>
            <w:tcW w:w="43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194543FD" w14:textId="77777777" w:rsidR="008B19BE" w:rsidRDefault="00000000">
            <w:pPr>
              <w:spacing w:line="276" w:lineRule="auto"/>
            </w:pPr>
            <w:r>
              <w:rPr>
                <w:color w:val="000000"/>
                <w:sz w:val="20"/>
                <w:szCs w:val="20"/>
              </w:rPr>
              <w:t xml:space="preserve">AI </w:t>
            </w:r>
            <w:proofErr w:type="spellStart"/>
            <w:r>
              <w:rPr>
                <w:color w:val="000000"/>
                <w:sz w:val="20"/>
                <w:szCs w:val="20"/>
              </w:rPr>
              <w:t>behavioural</w:t>
            </w:r>
            <w:proofErr w:type="spellEnd"/>
            <w:r>
              <w:rPr>
                <w:color w:val="000000"/>
                <w:sz w:val="20"/>
                <w:szCs w:val="20"/>
              </w:rPr>
              <w:t xml:space="preserve"> analytics; session anomaly detection; auto revocation trigger</w:t>
            </w:r>
          </w:p>
        </w:tc>
        <w:tc>
          <w:tcPr>
            <w:tcW w:w="30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114DED32" w14:textId="77777777" w:rsidR="008B19BE" w:rsidRDefault="00000000">
            <w:pPr>
              <w:spacing w:line="276" w:lineRule="auto"/>
            </w:pPr>
            <w:r>
              <w:rPr>
                <w:color w:val="000000"/>
                <w:sz w:val="20"/>
                <w:szCs w:val="20"/>
              </w:rPr>
              <w:t>Ongoing trust recalculation</w:t>
            </w:r>
          </w:p>
        </w:tc>
      </w:tr>
    </w:tbl>
    <w:p w14:paraId="63EBD019" w14:textId="77777777" w:rsidR="008B19BE" w:rsidRDefault="00000000">
      <w:pPr>
        <w:spacing w:before="80" w:after="240" w:line="276" w:lineRule="auto"/>
        <w:jc w:val="center"/>
      </w:pPr>
      <w:r>
        <w:rPr>
          <w:i/>
          <w:iCs/>
          <w:color w:val="000000"/>
          <w:sz w:val="20"/>
          <w:szCs w:val="20"/>
        </w:rPr>
        <w:t>Table III: Zero Trust access verification flow. Adapted from NIST SP 800-207 [3] and Hussain et al. (2024) [13].</w:t>
      </w:r>
    </w:p>
    <w:p w14:paraId="03DCA908" w14:textId="077C986F" w:rsidR="00EE6883" w:rsidRDefault="00A41E6E" w:rsidP="00EE6883">
      <w:pPr>
        <w:spacing w:before="60" w:after="80" w:line="360" w:lineRule="auto"/>
        <w:jc w:val="center"/>
        <w:rPr>
          <w:i/>
          <w:iCs/>
          <w:color w:val="000000"/>
        </w:rPr>
      </w:pPr>
      <w:r>
        <w:rPr>
          <w:i/>
          <w:iCs/>
          <w:noProof/>
          <w:color w:val="000000"/>
        </w:rPr>
        <w:lastRenderedPageBreak/>
        <w:drawing>
          <wp:inline distT="0" distB="0" distL="0" distR="0" wp14:anchorId="51F08868" wp14:editId="19B77DEF">
            <wp:extent cx="5731510" cy="3223895"/>
            <wp:effectExtent l="0" t="0" r="2540" b="0"/>
            <wp:docPr id="11391121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12143" name="Picture 11391121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56DE450" w14:textId="1F386720" w:rsidR="00EE6883" w:rsidRPr="00EE6883" w:rsidRDefault="00EE6883" w:rsidP="00EE6883">
      <w:pPr>
        <w:spacing w:before="60" w:after="80" w:line="360" w:lineRule="auto"/>
        <w:jc w:val="center"/>
      </w:pPr>
      <w:r>
        <w:rPr>
          <w:i/>
          <w:iCs/>
          <w:color w:val="000000"/>
          <w:sz w:val="20"/>
          <w:szCs w:val="20"/>
        </w:rPr>
        <w:t>Fig. 4 — Zero Trust Access Verification Flow. Adapted from NIST SP 800-207 [3] and Hussain et al. (2024) [13]</w:t>
      </w:r>
    </w:p>
    <w:p w14:paraId="689B4624" w14:textId="2E058938" w:rsidR="008B19BE" w:rsidRDefault="00000000" w:rsidP="00054C32">
      <w:pPr>
        <w:spacing w:before="320" w:after="120"/>
      </w:pPr>
      <w:r>
        <w:rPr>
          <w:b/>
          <w:bCs/>
          <w:color w:val="000000"/>
          <w:u w:val="single"/>
        </w:rPr>
        <w:t>3.3 Cryptographic Controls and API Security</w:t>
      </w:r>
    </w:p>
    <w:p w14:paraId="27DEC4F9" w14:textId="77777777" w:rsidR="008B19BE" w:rsidRDefault="00000000" w:rsidP="00054C32">
      <w:pPr>
        <w:spacing w:after="240"/>
        <w:jc w:val="both"/>
      </w:pPr>
      <w:r>
        <w:rPr>
          <w:color w:val="000000"/>
        </w:rPr>
        <w:t xml:space="preserve">Multi-factor authentication must be phishing-resistant and universally mandated across FSB. All data at rest and in transit must </w:t>
      </w:r>
      <w:proofErr w:type="spellStart"/>
      <w:r>
        <w:rPr>
          <w:color w:val="000000"/>
        </w:rPr>
        <w:t>utilise</w:t>
      </w:r>
      <w:proofErr w:type="spellEnd"/>
      <w:r>
        <w:rPr>
          <w:color w:val="000000"/>
        </w:rPr>
        <w:t xml:space="preserve"> AES-256 encryption. Service-to-service communications must use capability-based API gateways to control and secure all internal communications. FIDO2/</w:t>
      </w:r>
      <w:proofErr w:type="spellStart"/>
      <w:r>
        <w:rPr>
          <w:color w:val="000000"/>
        </w:rPr>
        <w:t>WebAuthn</w:t>
      </w:r>
      <w:proofErr w:type="spellEnd"/>
      <w:r>
        <w:rPr>
          <w:color w:val="000000"/>
        </w:rPr>
        <w:t>, combined with Cloud Hardware Security Modules (HSMs) to which only FSB holds access keys, represents the mandatory minimum complement to AES-256; without these controls, Zero Trust enforcement would be impractical [15].</w:t>
      </w:r>
    </w:p>
    <w:p w14:paraId="28373B88" w14:textId="701F7D88" w:rsidR="008B19BE" w:rsidRDefault="00000000" w:rsidP="00054C32">
      <w:pPr>
        <w:spacing w:after="240"/>
        <w:jc w:val="both"/>
      </w:pPr>
      <w:r>
        <w:rPr>
          <w:color w:val="000000"/>
        </w:rPr>
        <w:t>All FSB APIs and microservices must enforce TLS 1.3, with immediate deprecation of TLS 1.2. Automatic certificate lifecycle management is required to eliminate vulnerabilities arising from expired certificates. All API keys and secrets must be stored within Cloud HSMs and must never be placed within code repositories or environment variables. Keys must be rotated at intervals not exceeding 90 days, with immediate rotation on any personnel change or any indication of key compromise, in accordance with NIST SP 800-57 [17]. For FSB, a single exposed key or certificate is not a minor operational issue — it constitutes notification of a GDPR Article 33 violation and a potential DORA financial penalty. The controls listed above therefore</w:t>
      </w:r>
      <w:r w:rsidR="00054C32">
        <w:rPr>
          <w:color w:val="000000"/>
        </w:rPr>
        <w:t>,</w:t>
      </w:r>
      <w:r>
        <w:rPr>
          <w:color w:val="000000"/>
        </w:rPr>
        <w:t xml:space="preserve"> represent the minimum viable security baseline, not merely best-practice recommendations.</w:t>
      </w:r>
    </w:p>
    <w:p w14:paraId="69F39749" w14:textId="77777777" w:rsidR="008B19BE" w:rsidRDefault="00000000" w:rsidP="00054C32">
      <w:pPr>
        <w:spacing w:before="320" w:after="120"/>
      </w:pPr>
      <w:r>
        <w:rPr>
          <w:b/>
          <w:bCs/>
          <w:color w:val="000000"/>
          <w:u w:val="single"/>
        </w:rPr>
        <w:t>3.4 Security Governance Structure</w:t>
      </w:r>
    </w:p>
    <w:p w14:paraId="40FFC547" w14:textId="77777777" w:rsidR="008B19BE" w:rsidRDefault="00000000" w:rsidP="00054C32">
      <w:pPr>
        <w:spacing w:after="240"/>
        <w:jc w:val="both"/>
      </w:pPr>
      <w:r>
        <w:rPr>
          <w:color w:val="000000"/>
        </w:rPr>
        <w:t xml:space="preserve">An Information Security Steering Committee (ISSC) should be </w:t>
      </w:r>
      <w:proofErr w:type="spellStart"/>
      <w:r>
        <w:rPr>
          <w:color w:val="000000"/>
        </w:rPr>
        <w:t>formalised</w:t>
      </w:r>
      <w:proofErr w:type="spellEnd"/>
      <w:r>
        <w:rPr>
          <w:color w:val="000000"/>
        </w:rPr>
        <w:t xml:space="preserve">, chaired by the Chief Executive Officer with the Chief Information Security Officer (CISO) and the Data Protection Officer (DPO — mandated by GDPR Article 37 [4]) as standing members. The CISO should report directly to the Board, not to the Chief Technology Officer, thereby framing security as a financial risk discipline rather than an IT operational matter. The ISSC should convene quarterly, with agenda items including: review of the risk register; control </w:t>
      </w:r>
      <w:r>
        <w:rPr>
          <w:color w:val="000000"/>
        </w:rPr>
        <w:lastRenderedPageBreak/>
        <w:t xml:space="preserve">performance metrics; and post-incident reviews. Key Performance Indicators (KPIs) should be embedded within executive performance evaluations to ensure that Board-level accountability flows through all levels of the </w:t>
      </w:r>
      <w:proofErr w:type="spellStart"/>
      <w:r>
        <w:rPr>
          <w:color w:val="000000"/>
        </w:rPr>
        <w:t>organisation</w:t>
      </w:r>
      <w:proofErr w:type="spellEnd"/>
      <w:r>
        <w:rPr>
          <w:color w:val="000000"/>
        </w:rPr>
        <w:t>.</w:t>
      </w:r>
    </w:p>
    <w:p w14:paraId="48728388" w14:textId="77777777" w:rsidR="008B19BE" w:rsidRDefault="00000000" w:rsidP="00054C32">
      <w:pPr>
        <w:spacing w:before="320" w:after="120"/>
      </w:pPr>
      <w:r>
        <w:rPr>
          <w:b/>
          <w:bCs/>
          <w:color w:val="000000"/>
          <w:u w:val="single"/>
        </w:rPr>
        <w:t>3.5 Third-Party Risk Management and Service Level Agreements</w:t>
      </w:r>
    </w:p>
    <w:p w14:paraId="195FFD89" w14:textId="0DFAC6AF" w:rsidR="00054C32" w:rsidRPr="00EE6883" w:rsidRDefault="00000000" w:rsidP="00054C32">
      <w:pPr>
        <w:spacing w:after="240"/>
        <w:jc w:val="both"/>
        <w:rPr>
          <w:color w:val="000000"/>
        </w:rPr>
      </w:pPr>
      <w:r>
        <w:rPr>
          <w:color w:val="000000"/>
        </w:rPr>
        <w:t xml:space="preserve">Given that over 90% of FSB’s infrastructure is outsourced, third-party risk management represents the </w:t>
      </w:r>
      <w:proofErr w:type="spellStart"/>
      <w:r>
        <w:rPr>
          <w:color w:val="000000"/>
        </w:rPr>
        <w:t>organisation’s</w:t>
      </w:r>
      <w:proofErr w:type="spellEnd"/>
      <w:r>
        <w:rPr>
          <w:color w:val="000000"/>
        </w:rPr>
        <w:t xml:space="preserve"> highest operational priority. FSB cannot delegate ICT third-party risk management in accordance with Articles 28–30 of DORA [5]. Service Level Agreement (SLA) obligations for third parties must include confirmation of data ownership, the right to audit, the provision of SOC 2 Type II reports, and disclosure of any subcontracted parties, as specified in Table IV. The operational failure of a cloud provider constitutes a regulatory failure for FSB. Any vendor unwilling to sign an SLA that meets Table IV parameters is incompatible with FSB’s compliance requirements and must not be engaged.</w:t>
      </w:r>
    </w:p>
    <w:p w14:paraId="0DB8B601" w14:textId="77777777" w:rsidR="008B19BE" w:rsidRDefault="00000000">
      <w:pPr>
        <w:spacing w:before="320" w:after="80" w:line="276" w:lineRule="auto"/>
        <w:jc w:val="center"/>
      </w:pPr>
      <w:r>
        <w:rPr>
          <w:b/>
          <w:bCs/>
          <w:color w:val="000000"/>
          <w:sz w:val="22"/>
          <w:szCs w:val="22"/>
        </w:rPr>
        <w:t>TABLE IV — FSB Mandatory SLA Requirements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1400"/>
        <w:gridCol w:w="4738"/>
      </w:tblGrid>
      <w:tr w:rsidR="008B19BE" w14:paraId="3136305E" w14:textId="77777777">
        <w:trPr>
          <w:tblHeader/>
        </w:trPr>
        <w:tc>
          <w:tcPr>
            <w:tcW w:w="35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022AF166" w14:textId="77777777" w:rsidR="008B19BE" w:rsidRDefault="00000000">
            <w:pPr>
              <w:spacing w:line="276" w:lineRule="auto"/>
              <w:jc w:val="center"/>
            </w:pPr>
            <w:r>
              <w:rPr>
                <w:b/>
                <w:bCs/>
                <w:color w:val="000000"/>
                <w:sz w:val="20"/>
                <w:szCs w:val="20"/>
              </w:rPr>
              <w:t>SLA Parameter</w:t>
            </w:r>
          </w:p>
        </w:tc>
        <w:tc>
          <w:tcPr>
            <w:tcW w:w="14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447B8FE6" w14:textId="77777777" w:rsidR="008B19BE" w:rsidRDefault="00000000">
            <w:pPr>
              <w:spacing w:line="276" w:lineRule="auto"/>
              <w:jc w:val="center"/>
            </w:pPr>
            <w:r>
              <w:rPr>
                <w:b/>
                <w:bCs/>
                <w:color w:val="000000"/>
                <w:sz w:val="20"/>
                <w:szCs w:val="20"/>
              </w:rPr>
              <w:t>Target</w:t>
            </w:r>
          </w:p>
        </w:tc>
        <w:tc>
          <w:tcPr>
            <w:tcW w:w="4738"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534C4D16" w14:textId="77777777" w:rsidR="008B19BE" w:rsidRDefault="00000000">
            <w:pPr>
              <w:spacing w:line="276" w:lineRule="auto"/>
              <w:jc w:val="center"/>
            </w:pPr>
            <w:r>
              <w:rPr>
                <w:b/>
                <w:bCs/>
                <w:color w:val="000000"/>
                <w:sz w:val="20"/>
                <w:szCs w:val="20"/>
              </w:rPr>
              <w:t>Regulatory Basis</w:t>
            </w:r>
          </w:p>
        </w:tc>
      </w:tr>
      <w:tr w:rsidR="008B19BE" w14:paraId="601009F0" w14:textId="77777777">
        <w:tc>
          <w:tcPr>
            <w:tcW w:w="3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06EA44CB" w14:textId="77777777" w:rsidR="008B19BE" w:rsidRDefault="00000000">
            <w:pPr>
              <w:spacing w:line="276" w:lineRule="auto"/>
            </w:pPr>
            <w:r>
              <w:rPr>
                <w:color w:val="000000"/>
                <w:sz w:val="20"/>
                <w:szCs w:val="20"/>
              </w:rPr>
              <w:t>Core banking system uptime</w:t>
            </w:r>
          </w:p>
        </w:tc>
        <w:tc>
          <w:tcPr>
            <w:tcW w:w="14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45DCD87" w14:textId="77777777" w:rsidR="008B19BE" w:rsidRDefault="00000000">
            <w:pPr>
              <w:spacing w:line="276" w:lineRule="auto"/>
            </w:pPr>
            <w:r>
              <w:rPr>
                <w:color w:val="000000"/>
                <w:sz w:val="20"/>
                <w:szCs w:val="20"/>
              </w:rPr>
              <w:t>99.95% minimum</w:t>
            </w:r>
          </w:p>
        </w:tc>
        <w:tc>
          <w:tcPr>
            <w:tcW w:w="47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7DA28D34" w14:textId="77777777" w:rsidR="008B19BE" w:rsidRDefault="00000000">
            <w:pPr>
              <w:spacing w:line="276" w:lineRule="auto"/>
            </w:pPr>
            <w:r>
              <w:rPr>
                <w:color w:val="000000"/>
                <w:sz w:val="20"/>
                <w:szCs w:val="20"/>
              </w:rPr>
              <w:t>DORA operational resilience mandate</w:t>
            </w:r>
          </w:p>
        </w:tc>
      </w:tr>
      <w:tr w:rsidR="008B19BE" w14:paraId="565B3D46" w14:textId="77777777">
        <w:tc>
          <w:tcPr>
            <w:tcW w:w="3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625A1460" w14:textId="77777777" w:rsidR="008B19BE" w:rsidRDefault="00000000">
            <w:pPr>
              <w:spacing w:line="276" w:lineRule="auto"/>
            </w:pPr>
            <w:r>
              <w:rPr>
                <w:color w:val="000000"/>
                <w:sz w:val="20"/>
                <w:szCs w:val="20"/>
              </w:rPr>
              <w:t>Recovery Time Objective (RTO)</w:t>
            </w:r>
          </w:p>
        </w:tc>
        <w:tc>
          <w:tcPr>
            <w:tcW w:w="14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34CC9F10" w14:textId="77777777" w:rsidR="008B19BE" w:rsidRDefault="00000000">
            <w:pPr>
              <w:spacing w:line="276" w:lineRule="auto"/>
            </w:pPr>
            <w:r>
              <w:rPr>
                <w:color w:val="000000"/>
                <w:sz w:val="20"/>
                <w:szCs w:val="20"/>
              </w:rPr>
              <w:t>≤ 4 hours</w:t>
            </w:r>
          </w:p>
        </w:tc>
        <w:tc>
          <w:tcPr>
            <w:tcW w:w="47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28FEE9C7" w14:textId="77777777" w:rsidR="008B19BE" w:rsidRDefault="00000000">
            <w:pPr>
              <w:spacing w:line="276" w:lineRule="auto"/>
            </w:pPr>
            <w:r>
              <w:rPr>
                <w:color w:val="000000"/>
                <w:sz w:val="20"/>
                <w:szCs w:val="20"/>
              </w:rPr>
              <w:t>DORA Art. 12; business continuity requirement</w:t>
            </w:r>
          </w:p>
        </w:tc>
      </w:tr>
      <w:tr w:rsidR="008B19BE" w14:paraId="674748AB" w14:textId="77777777">
        <w:tc>
          <w:tcPr>
            <w:tcW w:w="3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054A994C" w14:textId="77777777" w:rsidR="008B19BE" w:rsidRDefault="00000000">
            <w:pPr>
              <w:spacing w:line="276" w:lineRule="auto"/>
            </w:pPr>
            <w:r>
              <w:rPr>
                <w:color w:val="000000"/>
                <w:sz w:val="20"/>
                <w:szCs w:val="20"/>
              </w:rPr>
              <w:t>Recovery Point Objective (RPO)</w:t>
            </w:r>
          </w:p>
        </w:tc>
        <w:tc>
          <w:tcPr>
            <w:tcW w:w="14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19E7BD8C" w14:textId="77777777" w:rsidR="008B19BE" w:rsidRDefault="00000000">
            <w:pPr>
              <w:spacing w:line="276" w:lineRule="auto"/>
            </w:pPr>
            <w:r>
              <w:rPr>
                <w:color w:val="000000"/>
                <w:sz w:val="20"/>
                <w:szCs w:val="20"/>
              </w:rPr>
              <w:t>≤ 1 hour</w:t>
            </w:r>
          </w:p>
        </w:tc>
        <w:tc>
          <w:tcPr>
            <w:tcW w:w="47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A5F5B87" w14:textId="77777777" w:rsidR="008B19BE" w:rsidRDefault="00000000">
            <w:pPr>
              <w:spacing w:line="276" w:lineRule="auto"/>
            </w:pPr>
            <w:r>
              <w:rPr>
                <w:color w:val="000000"/>
                <w:sz w:val="20"/>
                <w:szCs w:val="20"/>
              </w:rPr>
              <w:t>GDPR data integrity; DORA Art. 12</w:t>
            </w:r>
          </w:p>
        </w:tc>
      </w:tr>
      <w:tr w:rsidR="008B19BE" w14:paraId="64959A61" w14:textId="77777777">
        <w:tc>
          <w:tcPr>
            <w:tcW w:w="3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34BBC747" w14:textId="77777777" w:rsidR="008B19BE" w:rsidRDefault="00000000">
            <w:pPr>
              <w:spacing w:line="276" w:lineRule="auto"/>
            </w:pPr>
            <w:r>
              <w:rPr>
                <w:color w:val="000000"/>
                <w:sz w:val="20"/>
                <w:szCs w:val="20"/>
              </w:rPr>
              <w:t>ICT incident notification to FSB</w:t>
            </w:r>
          </w:p>
        </w:tc>
        <w:tc>
          <w:tcPr>
            <w:tcW w:w="14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22D8ABA3" w14:textId="77777777" w:rsidR="008B19BE" w:rsidRDefault="00000000">
            <w:pPr>
              <w:spacing w:line="276" w:lineRule="auto"/>
            </w:pPr>
            <w:r>
              <w:rPr>
                <w:color w:val="000000"/>
                <w:sz w:val="20"/>
                <w:szCs w:val="20"/>
              </w:rPr>
              <w:t>≤ 24 hours</w:t>
            </w:r>
          </w:p>
        </w:tc>
        <w:tc>
          <w:tcPr>
            <w:tcW w:w="47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6D3D5292" w14:textId="77777777" w:rsidR="008B19BE" w:rsidRDefault="00000000">
            <w:pPr>
              <w:spacing w:line="276" w:lineRule="auto"/>
            </w:pPr>
            <w:r>
              <w:rPr>
                <w:color w:val="000000"/>
                <w:sz w:val="20"/>
                <w:szCs w:val="20"/>
              </w:rPr>
              <w:t>DORA Article 19</w:t>
            </w:r>
          </w:p>
        </w:tc>
      </w:tr>
      <w:tr w:rsidR="008B19BE" w14:paraId="006664B3" w14:textId="77777777">
        <w:tc>
          <w:tcPr>
            <w:tcW w:w="3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5A507871" w14:textId="77777777" w:rsidR="008B19BE" w:rsidRDefault="00000000">
            <w:pPr>
              <w:spacing w:line="276" w:lineRule="auto"/>
            </w:pPr>
            <w:r>
              <w:rPr>
                <w:color w:val="000000"/>
                <w:sz w:val="20"/>
                <w:szCs w:val="20"/>
              </w:rPr>
              <w:t>GDPR supervisory authority notification</w:t>
            </w:r>
          </w:p>
        </w:tc>
        <w:tc>
          <w:tcPr>
            <w:tcW w:w="14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5C2974E5" w14:textId="77777777" w:rsidR="008B19BE" w:rsidRDefault="00000000">
            <w:pPr>
              <w:spacing w:line="276" w:lineRule="auto"/>
            </w:pPr>
            <w:r>
              <w:rPr>
                <w:color w:val="000000"/>
                <w:sz w:val="20"/>
                <w:szCs w:val="20"/>
              </w:rPr>
              <w:t>≤ 72 hours</w:t>
            </w:r>
          </w:p>
        </w:tc>
        <w:tc>
          <w:tcPr>
            <w:tcW w:w="47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3D7659F8" w14:textId="77777777" w:rsidR="008B19BE" w:rsidRDefault="00000000">
            <w:pPr>
              <w:spacing w:line="276" w:lineRule="auto"/>
            </w:pPr>
            <w:r>
              <w:rPr>
                <w:color w:val="000000"/>
                <w:sz w:val="20"/>
                <w:szCs w:val="20"/>
              </w:rPr>
              <w:t>GDPR Article 33</w:t>
            </w:r>
          </w:p>
        </w:tc>
      </w:tr>
      <w:tr w:rsidR="008B19BE" w14:paraId="31D70EEC" w14:textId="77777777">
        <w:tc>
          <w:tcPr>
            <w:tcW w:w="3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7331E630" w14:textId="77777777" w:rsidR="008B19BE" w:rsidRDefault="00000000">
            <w:pPr>
              <w:spacing w:line="276" w:lineRule="auto"/>
            </w:pPr>
            <w:r>
              <w:rPr>
                <w:color w:val="000000"/>
                <w:sz w:val="20"/>
                <w:szCs w:val="20"/>
              </w:rPr>
              <w:t>Third-party security audit cycle</w:t>
            </w:r>
          </w:p>
        </w:tc>
        <w:tc>
          <w:tcPr>
            <w:tcW w:w="14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5C58C45C" w14:textId="77777777" w:rsidR="008B19BE" w:rsidRDefault="00000000">
            <w:pPr>
              <w:spacing w:line="276" w:lineRule="auto"/>
            </w:pPr>
            <w:r>
              <w:rPr>
                <w:color w:val="000000"/>
                <w:sz w:val="20"/>
                <w:szCs w:val="20"/>
              </w:rPr>
              <w:t>Annual minimum</w:t>
            </w:r>
          </w:p>
        </w:tc>
        <w:tc>
          <w:tcPr>
            <w:tcW w:w="47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5471EE7D" w14:textId="77777777" w:rsidR="008B19BE" w:rsidRDefault="00000000">
            <w:pPr>
              <w:spacing w:line="276" w:lineRule="auto"/>
            </w:pPr>
            <w:r>
              <w:rPr>
                <w:color w:val="000000"/>
                <w:sz w:val="20"/>
                <w:szCs w:val="20"/>
              </w:rPr>
              <w:t>DORA Art. 28–30; right-to-audit clause</w:t>
            </w:r>
          </w:p>
        </w:tc>
      </w:tr>
      <w:tr w:rsidR="008B19BE" w14:paraId="2334771B" w14:textId="77777777">
        <w:tc>
          <w:tcPr>
            <w:tcW w:w="3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22644196" w14:textId="77777777" w:rsidR="008B19BE" w:rsidRDefault="00000000">
            <w:pPr>
              <w:spacing w:line="276" w:lineRule="auto"/>
            </w:pPr>
            <w:r>
              <w:rPr>
                <w:color w:val="000000"/>
                <w:sz w:val="20"/>
                <w:szCs w:val="20"/>
              </w:rPr>
              <w:t>Data portability on contract termination</w:t>
            </w:r>
          </w:p>
        </w:tc>
        <w:tc>
          <w:tcPr>
            <w:tcW w:w="14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7B34E6C3" w14:textId="77777777" w:rsidR="008B19BE" w:rsidRDefault="00000000">
            <w:pPr>
              <w:spacing w:line="276" w:lineRule="auto"/>
            </w:pPr>
            <w:r>
              <w:rPr>
                <w:color w:val="000000"/>
                <w:sz w:val="20"/>
                <w:szCs w:val="20"/>
              </w:rPr>
              <w:t>≤ 72 hours</w:t>
            </w:r>
          </w:p>
        </w:tc>
        <w:tc>
          <w:tcPr>
            <w:tcW w:w="47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3785CDC9" w14:textId="77777777" w:rsidR="008B19BE" w:rsidRDefault="00000000">
            <w:pPr>
              <w:spacing w:line="276" w:lineRule="auto"/>
            </w:pPr>
            <w:r>
              <w:rPr>
                <w:color w:val="000000"/>
                <w:sz w:val="20"/>
                <w:szCs w:val="20"/>
              </w:rPr>
              <w:t>GDPR data portability; contractual obligation</w:t>
            </w:r>
          </w:p>
        </w:tc>
      </w:tr>
    </w:tbl>
    <w:p w14:paraId="2ECA0D8B" w14:textId="77777777" w:rsidR="008B19BE" w:rsidRDefault="00000000">
      <w:pPr>
        <w:spacing w:before="80" w:after="240" w:line="276" w:lineRule="auto"/>
        <w:jc w:val="center"/>
      </w:pPr>
      <w:r>
        <w:rPr>
          <w:i/>
          <w:iCs/>
          <w:color w:val="000000"/>
          <w:sz w:val="20"/>
          <w:szCs w:val="20"/>
        </w:rPr>
        <w:t>Table IV: Minimum SLA obligations for all FSB cloud and ICT third-party providers. Source: [4][5].</w:t>
      </w:r>
    </w:p>
    <w:p w14:paraId="187652F5" w14:textId="77777777" w:rsidR="008B19BE" w:rsidRDefault="00000000" w:rsidP="00054C32">
      <w:pPr>
        <w:spacing w:before="320" w:after="120"/>
      </w:pPr>
      <w:r>
        <w:rPr>
          <w:b/>
          <w:bCs/>
          <w:color w:val="000000"/>
          <w:u w:val="single"/>
        </w:rPr>
        <w:t>3.6 BYOD and Mobile Device Management</w:t>
      </w:r>
    </w:p>
    <w:p w14:paraId="0E594318" w14:textId="77777777" w:rsidR="008B19BE" w:rsidRDefault="00000000" w:rsidP="00054C32">
      <w:pPr>
        <w:spacing w:after="240"/>
        <w:jc w:val="both"/>
      </w:pPr>
      <w:r>
        <w:rPr>
          <w:color w:val="000000"/>
        </w:rPr>
        <w:t xml:space="preserve">Unmanaged BYOD devices represent the largest attack surface on FSB’s systems. All personal devices used to access FSB resources must be enrolled in a Mobile Device Management (MDM) solution with cryptographic </w:t>
      </w:r>
      <w:proofErr w:type="spellStart"/>
      <w:r>
        <w:rPr>
          <w:color w:val="000000"/>
        </w:rPr>
        <w:t>containerisation</w:t>
      </w:r>
      <w:proofErr w:type="spellEnd"/>
      <w:r>
        <w:rPr>
          <w:color w:val="000000"/>
        </w:rPr>
        <w:t>, whereby sensitive corporate data is held within an encrypted vault and network access is denied to non-compliant or jailbroken devices. Conditional access, identified by Ratchford et al. (2022) as the dominant BYOD mitigation strategy, must be implemented [9]. Employees should be clearly informed that only corporate data is subject to monitoring, supported by a robust Acceptable Use Policy.</w:t>
      </w:r>
    </w:p>
    <w:p w14:paraId="04053922" w14:textId="77777777" w:rsidR="008B19BE" w:rsidRDefault="00000000" w:rsidP="00054C32">
      <w:pPr>
        <w:spacing w:before="320" w:after="120"/>
      </w:pPr>
      <w:r>
        <w:rPr>
          <w:b/>
          <w:bCs/>
          <w:color w:val="000000"/>
          <w:u w:val="single"/>
        </w:rPr>
        <w:t>3.7 Regulatory Compliance and Ethics</w:t>
      </w:r>
    </w:p>
    <w:p w14:paraId="1CA9B113" w14:textId="77777777" w:rsidR="008B19BE" w:rsidRPr="00054C32" w:rsidRDefault="00000000" w:rsidP="00054C32">
      <w:pPr>
        <w:spacing w:before="240" w:after="80"/>
      </w:pPr>
      <w:r w:rsidRPr="00054C32">
        <w:rPr>
          <w:b/>
          <w:bCs/>
          <w:color w:val="000000"/>
        </w:rPr>
        <w:t>3.7.1 General Data Protection Regulation (GDPR)</w:t>
      </w:r>
    </w:p>
    <w:p w14:paraId="34FAD5A2" w14:textId="77777777" w:rsidR="008B19BE" w:rsidRDefault="00000000" w:rsidP="00054C32">
      <w:pPr>
        <w:spacing w:after="240"/>
        <w:jc w:val="both"/>
      </w:pPr>
      <w:r>
        <w:rPr>
          <w:color w:val="000000"/>
        </w:rPr>
        <w:t xml:space="preserve">GDPR mandates data </w:t>
      </w:r>
      <w:proofErr w:type="spellStart"/>
      <w:r>
        <w:rPr>
          <w:color w:val="000000"/>
        </w:rPr>
        <w:t>minimisation</w:t>
      </w:r>
      <w:proofErr w:type="spellEnd"/>
      <w:r>
        <w:rPr>
          <w:color w:val="000000"/>
        </w:rPr>
        <w:t xml:space="preserve">, privacy by design, Data Protection Impact Assessments (DPIAs), and the appointment of a DPO for </w:t>
      </w:r>
      <w:proofErr w:type="spellStart"/>
      <w:r>
        <w:rPr>
          <w:color w:val="000000"/>
        </w:rPr>
        <w:t>organisations</w:t>
      </w:r>
      <w:proofErr w:type="spellEnd"/>
      <w:r>
        <w:rPr>
          <w:color w:val="000000"/>
        </w:rPr>
        <w:t xml:space="preserve"> processing personal data at scale [4]. Non-compliance carries penalties of up to 4% of global annual turnover. FSB must implement </w:t>
      </w:r>
      <w:r>
        <w:rPr>
          <w:color w:val="000000"/>
        </w:rPr>
        <w:lastRenderedPageBreak/>
        <w:t>privacy by design across all product development and ensure all data processing activities are documented, lawful, and proportionate.</w:t>
      </w:r>
    </w:p>
    <w:p w14:paraId="15E27661" w14:textId="77777777" w:rsidR="008B19BE" w:rsidRPr="00054C32" w:rsidRDefault="00000000" w:rsidP="00054C32">
      <w:pPr>
        <w:spacing w:before="240" w:after="80"/>
      </w:pPr>
      <w:r w:rsidRPr="00054C32">
        <w:rPr>
          <w:b/>
          <w:bCs/>
          <w:color w:val="000000"/>
        </w:rPr>
        <w:t>3.7.2 Digital Operational Resilience Act (DORA)</w:t>
      </w:r>
    </w:p>
    <w:p w14:paraId="2BE42881" w14:textId="77777777" w:rsidR="008B19BE" w:rsidRDefault="00000000" w:rsidP="00054C32">
      <w:pPr>
        <w:spacing w:after="240"/>
        <w:jc w:val="both"/>
      </w:pPr>
      <w:r>
        <w:rPr>
          <w:color w:val="000000"/>
        </w:rPr>
        <w:t>DORA, effective January 2025, imposes direct, non-delegable ICT risk management obligations on financial institutions and their critical third-party providers [5]. It mandates Threat-Led Penetration Testing (TLPT), ICT incident notification within 24 hours, and maintenance of ICT third-party risk registers. DORA explicitly prevents FSB from treating cloud provider failures as solely a vendor responsibility; such failures are treated as the institution’s own regulatory risk.</w:t>
      </w:r>
    </w:p>
    <w:p w14:paraId="6AF2985B" w14:textId="77777777" w:rsidR="008B19BE" w:rsidRPr="00054C32" w:rsidRDefault="00000000" w:rsidP="00054C32">
      <w:pPr>
        <w:spacing w:before="240" w:after="80"/>
      </w:pPr>
      <w:r w:rsidRPr="00054C32">
        <w:rPr>
          <w:b/>
          <w:bCs/>
          <w:color w:val="000000"/>
        </w:rPr>
        <w:t>3.7.3 UK Cyber Security and Resilience Bill</w:t>
      </w:r>
    </w:p>
    <w:p w14:paraId="77CBBD70" w14:textId="77777777" w:rsidR="008B19BE" w:rsidRDefault="00000000" w:rsidP="00054C32">
      <w:pPr>
        <w:spacing w:after="240"/>
        <w:jc w:val="both"/>
      </w:pPr>
      <w:r>
        <w:rPr>
          <w:color w:val="000000"/>
        </w:rPr>
        <w:t>The UK Cyber Security and Resilience Bill (2024–26) extends compliance obligations to critical suppliers and mandates the reporting of significant cyber incidents to the relevant supervisory authority [6]. FSB must ensure that its supply chain is assessed against these obligations and that its incident notification procedures are aligned with the Bill’s requirements.</w:t>
      </w:r>
    </w:p>
    <w:p w14:paraId="5E2F5E8F" w14:textId="77777777" w:rsidR="008B19BE" w:rsidRPr="00054C32" w:rsidRDefault="00000000" w:rsidP="00054C32">
      <w:pPr>
        <w:spacing w:before="240" w:after="80"/>
      </w:pPr>
      <w:r w:rsidRPr="00054C32">
        <w:rPr>
          <w:b/>
          <w:bCs/>
          <w:color w:val="000000"/>
        </w:rPr>
        <w:t>3.7.4 Ethical Considerations</w:t>
      </w:r>
    </w:p>
    <w:p w14:paraId="5A4B6AF1" w14:textId="77777777" w:rsidR="008B19BE" w:rsidRDefault="00000000" w:rsidP="00054C32">
      <w:pPr>
        <w:spacing w:after="240"/>
        <w:jc w:val="both"/>
      </w:pPr>
      <w:r>
        <w:rPr>
          <w:color w:val="000000"/>
        </w:rPr>
        <w:t xml:space="preserve">MDM deployment and AI-based monitoring must operate on the principle of minimum data footprint, collecting only data that directly relates to enterprise activity. Ethically, effective security awareness training reduces the insider threat by cultivating a culture of responsibility; conversely, coercive, surveillance-heavy enforcement increases the insider threat by undermining employee trust and </w:t>
      </w:r>
      <w:proofErr w:type="spellStart"/>
      <w:r>
        <w:rPr>
          <w:color w:val="000000"/>
        </w:rPr>
        <w:t>organisational</w:t>
      </w:r>
      <w:proofErr w:type="spellEnd"/>
      <w:r>
        <w:rPr>
          <w:color w:val="000000"/>
        </w:rPr>
        <w:t xml:space="preserve"> morale. FSB must balance robust monitoring with proportionate, transparent governance to fulfil both its legal obligations and its duty of care to employees.</w:t>
      </w:r>
    </w:p>
    <w:p w14:paraId="1A5274F9" w14:textId="77777777" w:rsidR="008B19BE" w:rsidRDefault="00000000" w:rsidP="00054C32">
      <w:pPr>
        <w:spacing w:before="320" w:after="120"/>
      </w:pPr>
      <w:r>
        <w:rPr>
          <w:b/>
          <w:bCs/>
          <w:color w:val="000000"/>
          <w:u w:val="single"/>
        </w:rPr>
        <w:t>3.8 Contingency Planning and Implementation Roadmap</w:t>
      </w:r>
    </w:p>
    <w:p w14:paraId="685E2AA1" w14:textId="11E3FDD6" w:rsidR="008B19BE" w:rsidRDefault="00000000" w:rsidP="00054C32">
      <w:pPr>
        <w:spacing w:after="240"/>
        <w:jc w:val="both"/>
        <w:rPr>
          <w:color w:val="000000"/>
        </w:rPr>
      </w:pPr>
      <w:r>
        <w:rPr>
          <w:color w:val="000000"/>
        </w:rPr>
        <w:t>FSB must maintain air-gapped, immutable backups of all critical data, together with a tested Business Continuity Plan (BCP) and Disaster Recovery Plan (DRP)</w:t>
      </w:r>
      <w:r w:rsidR="00EE6883">
        <w:rPr>
          <w:color w:val="000000"/>
        </w:rPr>
        <w:t>,</w:t>
      </w:r>
      <w:r>
        <w:rPr>
          <w:color w:val="000000"/>
        </w:rPr>
        <w:t xml:space="preserve"> achieving a Recovery Time Objective (RTO) of no more than four hours and a Recovery Point Objective (RPO) of no more than one hour for critical banking systems [5]. Compliance testing must move beyond paper-based audit: DORA Threat-Led Penetration Testing must be conducted annually, and incident notification procedures must be validated through live quarterly testing to ensure that GDPR Article 33’s 72-hour supervisory notification [4] and DORA Article 19’s 24-hour ICT incident notification [5] obligations can be reliably met. For FSB, an undocumented or untested plan is equivalent to no plan at all — only live quarterly testing can verify that recovery objectives and notification deadlines are genuinely achievable.</w:t>
      </w:r>
    </w:p>
    <w:p w14:paraId="17FE4D31" w14:textId="77777777" w:rsidR="00EE6883" w:rsidRDefault="00EE6883" w:rsidP="00054C32">
      <w:pPr>
        <w:spacing w:after="240"/>
        <w:jc w:val="both"/>
      </w:pPr>
    </w:p>
    <w:p w14:paraId="7F9648D6" w14:textId="77777777" w:rsidR="008B19BE" w:rsidRDefault="00000000">
      <w:pPr>
        <w:spacing w:before="320" w:after="80" w:line="276" w:lineRule="auto"/>
        <w:jc w:val="center"/>
      </w:pPr>
      <w:r>
        <w:rPr>
          <w:b/>
          <w:bCs/>
          <w:color w:val="000000"/>
          <w:sz w:val="22"/>
          <w:szCs w:val="22"/>
        </w:rPr>
        <w:t>TABLE V — FSB Risk Register: Impact, Control and Framework Mapping</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4"/>
        <w:gridCol w:w="1497"/>
        <w:gridCol w:w="1589"/>
        <w:gridCol w:w="2763"/>
        <w:gridCol w:w="3255"/>
      </w:tblGrid>
      <w:tr w:rsidR="008B19BE" w14:paraId="4B51749D" w14:textId="77777777">
        <w:trPr>
          <w:tblHeader/>
        </w:trPr>
        <w:tc>
          <w:tcPr>
            <w:tcW w:w="4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43753E97" w14:textId="77777777" w:rsidR="008B19BE" w:rsidRDefault="00000000">
            <w:pPr>
              <w:spacing w:line="276" w:lineRule="auto"/>
              <w:jc w:val="center"/>
            </w:pPr>
            <w:r>
              <w:rPr>
                <w:b/>
                <w:bCs/>
                <w:color w:val="000000"/>
                <w:sz w:val="20"/>
                <w:szCs w:val="20"/>
              </w:rPr>
              <w:t>ID</w:t>
            </w:r>
          </w:p>
        </w:tc>
        <w:tc>
          <w:tcPr>
            <w:tcW w:w="15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03EF02A6" w14:textId="77777777" w:rsidR="008B19BE" w:rsidRDefault="00000000">
            <w:pPr>
              <w:spacing w:line="276" w:lineRule="auto"/>
              <w:jc w:val="center"/>
            </w:pPr>
            <w:r>
              <w:rPr>
                <w:b/>
                <w:bCs/>
                <w:color w:val="000000"/>
                <w:sz w:val="20"/>
                <w:szCs w:val="20"/>
              </w:rPr>
              <w:t>Risk</w:t>
            </w:r>
          </w:p>
        </w:tc>
        <w:tc>
          <w:tcPr>
            <w:tcW w:w="16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03453AFA" w14:textId="77777777" w:rsidR="008B19BE" w:rsidRDefault="00000000">
            <w:pPr>
              <w:spacing w:line="276" w:lineRule="auto"/>
              <w:jc w:val="center"/>
            </w:pPr>
            <w:r>
              <w:rPr>
                <w:b/>
                <w:bCs/>
                <w:color w:val="000000"/>
                <w:sz w:val="20"/>
                <w:szCs w:val="20"/>
              </w:rPr>
              <w:t>Impact</w:t>
            </w:r>
          </w:p>
        </w:tc>
        <w:tc>
          <w:tcPr>
            <w:tcW w:w="2800"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11F443CB" w14:textId="77777777" w:rsidR="008B19BE" w:rsidRDefault="00000000">
            <w:pPr>
              <w:spacing w:line="276" w:lineRule="auto"/>
              <w:jc w:val="center"/>
            </w:pPr>
            <w:r>
              <w:rPr>
                <w:b/>
                <w:bCs/>
                <w:color w:val="000000"/>
                <w:sz w:val="20"/>
                <w:szCs w:val="20"/>
              </w:rPr>
              <w:t>Control / Mitigation</w:t>
            </w:r>
          </w:p>
        </w:tc>
        <w:tc>
          <w:tcPr>
            <w:tcW w:w="3338" w:type="dxa"/>
            <w:tcBorders>
              <w:top w:val="single" w:sz="1" w:space="0" w:color="888888"/>
              <w:left w:val="single" w:sz="1" w:space="0" w:color="888888"/>
              <w:bottom w:val="single" w:sz="1" w:space="0" w:color="888888"/>
              <w:right w:val="single" w:sz="1" w:space="0" w:color="888888"/>
            </w:tcBorders>
            <w:shd w:val="clear" w:color="auto" w:fill="D0D0D0"/>
            <w:tcMar>
              <w:top w:w="100" w:type="dxa"/>
              <w:left w:w="150" w:type="dxa"/>
              <w:bottom w:w="100" w:type="dxa"/>
              <w:right w:w="150" w:type="dxa"/>
            </w:tcMar>
            <w:vAlign w:val="center"/>
          </w:tcPr>
          <w:p w14:paraId="62D97459" w14:textId="77777777" w:rsidR="008B19BE" w:rsidRDefault="00000000">
            <w:pPr>
              <w:spacing w:line="276" w:lineRule="auto"/>
              <w:jc w:val="center"/>
            </w:pPr>
            <w:r>
              <w:rPr>
                <w:b/>
                <w:bCs/>
                <w:color w:val="000000"/>
                <w:sz w:val="20"/>
                <w:szCs w:val="20"/>
              </w:rPr>
              <w:t>Framework Mapping</w:t>
            </w:r>
          </w:p>
        </w:tc>
      </w:tr>
      <w:tr w:rsidR="008B19BE" w14:paraId="141D036D" w14:textId="77777777">
        <w:tc>
          <w:tcPr>
            <w:tcW w:w="4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0EF395A9" w14:textId="77777777" w:rsidR="008B19BE" w:rsidRDefault="00000000">
            <w:pPr>
              <w:spacing w:line="276" w:lineRule="auto"/>
            </w:pPr>
            <w:r>
              <w:rPr>
                <w:color w:val="000000"/>
                <w:sz w:val="20"/>
                <w:szCs w:val="20"/>
              </w:rPr>
              <w:t>R1</w:t>
            </w:r>
          </w:p>
        </w:tc>
        <w:tc>
          <w:tcPr>
            <w:tcW w:w="1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31C13A14" w14:textId="77777777" w:rsidR="008B19BE" w:rsidRDefault="00000000">
            <w:pPr>
              <w:spacing w:line="276" w:lineRule="auto"/>
            </w:pPr>
            <w:r>
              <w:rPr>
                <w:color w:val="000000"/>
                <w:sz w:val="20"/>
                <w:szCs w:val="20"/>
              </w:rPr>
              <w:t>Unmanaged BYOD device compromise</w:t>
            </w:r>
          </w:p>
        </w:tc>
        <w:tc>
          <w:tcPr>
            <w:tcW w:w="16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5CDDE842" w14:textId="77777777" w:rsidR="008B19BE" w:rsidRDefault="00000000">
            <w:pPr>
              <w:spacing w:line="276" w:lineRule="auto"/>
            </w:pPr>
            <w:r>
              <w:rPr>
                <w:color w:val="000000"/>
                <w:sz w:val="20"/>
                <w:szCs w:val="20"/>
              </w:rPr>
              <w:t>High: data exfiltration, ransomware lateral movement</w:t>
            </w:r>
          </w:p>
        </w:tc>
        <w:tc>
          <w:tcPr>
            <w:tcW w:w="28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48240165" w14:textId="77777777" w:rsidR="008B19BE" w:rsidRDefault="00000000">
            <w:pPr>
              <w:spacing w:line="276" w:lineRule="auto"/>
            </w:pPr>
            <w:r>
              <w:rPr>
                <w:color w:val="000000"/>
                <w:sz w:val="20"/>
                <w:szCs w:val="20"/>
              </w:rPr>
              <w:t xml:space="preserve">MDM + </w:t>
            </w:r>
            <w:proofErr w:type="spellStart"/>
            <w:r>
              <w:rPr>
                <w:color w:val="000000"/>
                <w:sz w:val="20"/>
                <w:szCs w:val="20"/>
              </w:rPr>
              <w:t>containerisation</w:t>
            </w:r>
            <w:proofErr w:type="spellEnd"/>
            <w:r>
              <w:rPr>
                <w:color w:val="000000"/>
                <w:sz w:val="20"/>
                <w:szCs w:val="20"/>
              </w:rPr>
              <w:t>; conditional access; ZTA device health checks</w:t>
            </w:r>
          </w:p>
        </w:tc>
        <w:tc>
          <w:tcPr>
            <w:tcW w:w="33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28565C3B" w14:textId="77777777" w:rsidR="008B19BE" w:rsidRDefault="00000000">
            <w:pPr>
              <w:spacing w:line="276" w:lineRule="auto"/>
            </w:pPr>
            <w:r>
              <w:rPr>
                <w:color w:val="000000"/>
                <w:sz w:val="20"/>
                <w:szCs w:val="20"/>
              </w:rPr>
              <w:t>ISO 27001 (A.8.1); NIST SP 800-207; ITIL 4</w:t>
            </w:r>
          </w:p>
        </w:tc>
      </w:tr>
      <w:tr w:rsidR="008B19BE" w14:paraId="68E08E88" w14:textId="77777777">
        <w:tc>
          <w:tcPr>
            <w:tcW w:w="4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381924B8" w14:textId="77777777" w:rsidR="008B19BE" w:rsidRDefault="00000000">
            <w:pPr>
              <w:spacing w:line="276" w:lineRule="auto"/>
            </w:pPr>
            <w:r>
              <w:rPr>
                <w:color w:val="000000"/>
                <w:sz w:val="20"/>
                <w:szCs w:val="20"/>
              </w:rPr>
              <w:lastRenderedPageBreak/>
              <w:t>R2</w:t>
            </w:r>
          </w:p>
        </w:tc>
        <w:tc>
          <w:tcPr>
            <w:tcW w:w="1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37A2828F" w14:textId="77777777" w:rsidR="008B19BE" w:rsidRDefault="00000000">
            <w:pPr>
              <w:spacing w:line="276" w:lineRule="auto"/>
            </w:pPr>
            <w:r>
              <w:rPr>
                <w:color w:val="000000"/>
                <w:sz w:val="20"/>
                <w:szCs w:val="20"/>
              </w:rPr>
              <w:t>Cloud provider outage or breach</w:t>
            </w:r>
          </w:p>
        </w:tc>
        <w:tc>
          <w:tcPr>
            <w:tcW w:w="16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70776803" w14:textId="77777777" w:rsidR="008B19BE" w:rsidRDefault="00000000">
            <w:pPr>
              <w:spacing w:line="276" w:lineRule="auto"/>
            </w:pPr>
            <w:r>
              <w:rPr>
                <w:color w:val="000000"/>
                <w:sz w:val="20"/>
                <w:szCs w:val="20"/>
              </w:rPr>
              <w:t>Critical: systemic service loss, regulatory penalties</w:t>
            </w:r>
          </w:p>
        </w:tc>
        <w:tc>
          <w:tcPr>
            <w:tcW w:w="28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2FDE208B" w14:textId="77777777" w:rsidR="008B19BE" w:rsidRDefault="00000000">
            <w:pPr>
              <w:spacing w:line="276" w:lineRule="auto"/>
            </w:pPr>
            <w:r>
              <w:rPr>
                <w:color w:val="000000"/>
                <w:sz w:val="20"/>
                <w:szCs w:val="20"/>
              </w:rPr>
              <w:t>Right-to-audit SLAs; multi-cloud failover; immutable DR backups</w:t>
            </w:r>
          </w:p>
        </w:tc>
        <w:tc>
          <w:tcPr>
            <w:tcW w:w="33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77934C3C" w14:textId="77777777" w:rsidR="008B19BE" w:rsidRDefault="00000000">
            <w:pPr>
              <w:spacing w:line="276" w:lineRule="auto"/>
            </w:pPr>
            <w:r>
              <w:rPr>
                <w:color w:val="000000"/>
                <w:sz w:val="20"/>
                <w:szCs w:val="20"/>
              </w:rPr>
              <w:t>DORA Art. 28–30; ISO 5.23; ITIL 4 Continuity</w:t>
            </w:r>
          </w:p>
        </w:tc>
      </w:tr>
      <w:tr w:rsidR="008B19BE" w14:paraId="588E2A51" w14:textId="77777777">
        <w:tc>
          <w:tcPr>
            <w:tcW w:w="4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09C8F79D" w14:textId="77777777" w:rsidR="008B19BE" w:rsidRDefault="00000000">
            <w:pPr>
              <w:spacing w:line="276" w:lineRule="auto"/>
            </w:pPr>
            <w:r>
              <w:rPr>
                <w:color w:val="000000"/>
                <w:sz w:val="20"/>
                <w:szCs w:val="20"/>
              </w:rPr>
              <w:t>R3</w:t>
            </w:r>
          </w:p>
        </w:tc>
        <w:tc>
          <w:tcPr>
            <w:tcW w:w="1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7DCFED57" w14:textId="77777777" w:rsidR="008B19BE" w:rsidRDefault="00000000">
            <w:pPr>
              <w:spacing w:line="276" w:lineRule="auto"/>
            </w:pPr>
            <w:r>
              <w:rPr>
                <w:color w:val="000000"/>
                <w:sz w:val="20"/>
                <w:szCs w:val="20"/>
              </w:rPr>
              <w:t>Insider threat and credential abuse</w:t>
            </w:r>
          </w:p>
        </w:tc>
        <w:tc>
          <w:tcPr>
            <w:tcW w:w="16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2CD1225C" w14:textId="77777777" w:rsidR="008B19BE" w:rsidRDefault="00000000">
            <w:pPr>
              <w:spacing w:line="276" w:lineRule="auto"/>
            </w:pPr>
            <w:r>
              <w:rPr>
                <w:color w:val="000000"/>
                <w:sz w:val="20"/>
                <w:szCs w:val="20"/>
              </w:rPr>
              <w:t xml:space="preserve">High: </w:t>
            </w:r>
            <w:proofErr w:type="spellStart"/>
            <w:r>
              <w:rPr>
                <w:color w:val="000000"/>
                <w:sz w:val="20"/>
                <w:szCs w:val="20"/>
              </w:rPr>
              <w:t>unauthorised</w:t>
            </w:r>
            <w:proofErr w:type="spellEnd"/>
            <w:r>
              <w:rPr>
                <w:color w:val="000000"/>
                <w:sz w:val="20"/>
                <w:szCs w:val="20"/>
              </w:rPr>
              <w:t xml:space="preserve"> access to financial ledgers and PII</w:t>
            </w:r>
          </w:p>
        </w:tc>
        <w:tc>
          <w:tcPr>
            <w:tcW w:w="28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6E1FF1B8" w14:textId="77777777" w:rsidR="008B19BE" w:rsidRDefault="00000000">
            <w:pPr>
              <w:spacing w:line="276" w:lineRule="auto"/>
            </w:pPr>
            <w:r>
              <w:rPr>
                <w:color w:val="000000"/>
                <w:sz w:val="20"/>
                <w:szCs w:val="20"/>
              </w:rPr>
              <w:t xml:space="preserve">AI </w:t>
            </w:r>
            <w:proofErr w:type="spellStart"/>
            <w:r>
              <w:rPr>
                <w:color w:val="000000"/>
                <w:sz w:val="20"/>
                <w:szCs w:val="20"/>
              </w:rPr>
              <w:t>behavioural</w:t>
            </w:r>
            <w:proofErr w:type="spellEnd"/>
            <w:r>
              <w:rPr>
                <w:color w:val="000000"/>
                <w:sz w:val="20"/>
                <w:szCs w:val="20"/>
              </w:rPr>
              <w:t xml:space="preserve"> analytics; ZTA least-privilege; FIDO2 MFA</w:t>
            </w:r>
          </w:p>
        </w:tc>
        <w:tc>
          <w:tcPr>
            <w:tcW w:w="33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5A8918ED" w14:textId="77777777" w:rsidR="008B19BE" w:rsidRDefault="00000000">
            <w:pPr>
              <w:spacing w:line="276" w:lineRule="auto"/>
            </w:pPr>
            <w:r>
              <w:rPr>
                <w:color w:val="000000"/>
                <w:sz w:val="20"/>
                <w:szCs w:val="20"/>
              </w:rPr>
              <w:t>NIST SP 800-30; GDPR Art. 32; ISO 27001 (A.5.16)</w:t>
            </w:r>
          </w:p>
        </w:tc>
      </w:tr>
      <w:tr w:rsidR="008B19BE" w14:paraId="2F4256B2" w14:textId="77777777">
        <w:tc>
          <w:tcPr>
            <w:tcW w:w="4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60FA46AE" w14:textId="77777777" w:rsidR="008B19BE" w:rsidRDefault="00000000">
            <w:pPr>
              <w:spacing w:line="276" w:lineRule="auto"/>
            </w:pPr>
            <w:r>
              <w:rPr>
                <w:color w:val="000000"/>
                <w:sz w:val="20"/>
                <w:szCs w:val="20"/>
              </w:rPr>
              <w:t>R4</w:t>
            </w:r>
          </w:p>
        </w:tc>
        <w:tc>
          <w:tcPr>
            <w:tcW w:w="1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7C767891" w14:textId="77777777" w:rsidR="008B19BE" w:rsidRDefault="00000000">
            <w:pPr>
              <w:spacing w:line="276" w:lineRule="auto"/>
            </w:pPr>
            <w:r>
              <w:rPr>
                <w:color w:val="000000"/>
                <w:sz w:val="20"/>
                <w:szCs w:val="20"/>
              </w:rPr>
              <w:t>Ransomware encryption of critical data</w:t>
            </w:r>
          </w:p>
        </w:tc>
        <w:tc>
          <w:tcPr>
            <w:tcW w:w="16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67FC6070" w14:textId="77777777" w:rsidR="008B19BE" w:rsidRDefault="00000000">
            <w:pPr>
              <w:spacing w:line="276" w:lineRule="auto"/>
            </w:pPr>
            <w:r>
              <w:rPr>
                <w:color w:val="000000"/>
                <w:sz w:val="20"/>
                <w:szCs w:val="20"/>
              </w:rPr>
              <w:t>Critical: permanent data loss, operational failure</w:t>
            </w:r>
          </w:p>
        </w:tc>
        <w:tc>
          <w:tcPr>
            <w:tcW w:w="28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580C9C00" w14:textId="77777777" w:rsidR="008B19BE" w:rsidRDefault="00000000">
            <w:pPr>
              <w:spacing w:line="276" w:lineRule="auto"/>
            </w:pPr>
            <w:r>
              <w:rPr>
                <w:color w:val="000000"/>
                <w:sz w:val="20"/>
                <w:szCs w:val="20"/>
              </w:rPr>
              <w:t xml:space="preserve">Immutable backups; ZTA </w:t>
            </w:r>
            <w:proofErr w:type="spellStart"/>
            <w:r>
              <w:rPr>
                <w:color w:val="000000"/>
                <w:sz w:val="20"/>
                <w:szCs w:val="20"/>
              </w:rPr>
              <w:t>microsegmentation</w:t>
            </w:r>
            <w:proofErr w:type="spellEnd"/>
            <w:r>
              <w:rPr>
                <w:color w:val="000000"/>
                <w:sz w:val="20"/>
                <w:szCs w:val="20"/>
              </w:rPr>
              <w:t>; TLPT; IR playbook</w:t>
            </w:r>
          </w:p>
        </w:tc>
        <w:tc>
          <w:tcPr>
            <w:tcW w:w="33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76C99ABE" w14:textId="77777777" w:rsidR="008B19BE" w:rsidRDefault="00000000">
            <w:pPr>
              <w:spacing w:line="276" w:lineRule="auto"/>
            </w:pPr>
            <w:r>
              <w:rPr>
                <w:color w:val="000000"/>
                <w:sz w:val="20"/>
                <w:szCs w:val="20"/>
              </w:rPr>
              <w:t>ISO 27001 (A.8.13); UK Cyber Bill; DORA TLPT</w:t>
            </w:r>
          </w:p>
        </w:tc>
      </w:tr>
      <w:tr w:rsidR="008B19BE" w14:paraId="39C1397F" w14:textId="77777777">
        <w:tc>
          <w:tcPr>
            <w:tcW w:w="4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1F04C541" w14:textId="77777777" w:rsidR="008B19BE" w:rsidRDefault="00000000">
            <w:pPr>
              <w:spacing w:line="276" w:lineRule="auto"/>
            </w:pPr>
            <w:r>
              <w:rPr>
                <w:color w:val="000000"/>
                <w:sz w:val="20"/>
                <w:szCs w:val="20"/>
              </w:rPr>
              <w:t>R5</w:t>
            </w:r>
          </w:p>
        </w:tc>
        <w:tc>
          <w:tcPr>
            <w:tcW w:w="15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1510193F" w14:textId="77777777" w:rsidR="008B19BE" w:rsidRDefault="00000000">
            <w:pPr>
              <w:spacing w:line="276" w:lineRule="auto"/>
            </w:pPr>
            <w:r>
              <w:rPr>
                <w:color w:val="000000"/>
                <w:sz w:val="20"/>
                <w:szCs w:val="20"/>
              </w:rPr>
              <w:t>API abuse or broken authentication</w:t>
            </w:r>
          </w:p>
        </w:tc>
        <w:tc>
          <w:tcPr>
            <w:tcW w:w="16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25A53611" w14:textId="77777777" w:rsidR="008B19BE" w:rsidRDefault="00000000">
            <w:pPr>
              <w:spacing w:line="276" w:lineRule="auto"/>
            </w:pPr>
            <w:r>
              <w:rPr>
                <w:color w:val="000000"/>
                <w:sz w:val="20"/>
                <w:szCs w:val="20"/>
              </w:rPr>
              <w:t>High: data leakage, financial fraud</w:t>
            </w:r>
          </w:p>
        </w:tc>
        <w:tc>
          <w:tcPr>
            <w:tcW w:w="2800"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4E17FC26" w14:textId="77777777" w:rsidR="008B19BE" w:rsidRDefault="00000000">
            <w:pPr>
              <w:spacing w:line="276" w:lineRule="auto"/>
            </w:pPr>
            <w:r>
              <w:rPr>
                <w:color w:val="000000"/>
                <w:sz w:val="20"/>
                <w:szCs w:val="20"/>
              </w:rPr>
              <w:t>Capability-based API gateways; AES-256; HSM key management</w:t>
            </w:r>
          </w:p>
        </w:tc>
        <w:tc>
          <w:tcPr>
            <w:tcW w:w="3338" w:type="dxa"/>
            <w:tcBorders>
              <w:top w:val="single" w:sz="1" w:space="0" w:color="888888"/>
              <w:left w:val="single" w:sz="1" w:space="0" w:color="888888"/>
              <w:bottom w:val="single" w:sz="1" w:space="0" w:color="888888"/>
              <w:right w:val="single" w:sz="1" w:space="0" w:color="888888"/>
            </w:tcBorders>
            <w:shd w:val="clear" w:color="auto" w:fill="FFFFFF"/>
            <w:tcMar>
              <w:top w:w="80" w:type="dxa"/>
              <w:left w:w="150" w:type="dxa"/>
              <w:bottom w:w="80" w:type="dxa"/>
              <w:right w:w="150" w:type="dxa"/>
            </w:tcMar>
          </w:tcPr>
          <w:p w14:paraId="09310CB5" w14:textId="77777777" w:rsidR="008B19BE" w:rsidRDefault="00000000">
            <w:pPr>
              <w:spacing w:line="276" w:lineRule="auto"/>
            </w:pPr>
            <w:r>
              <w:rPr>
                <w:color w:val="000000"/>
                <w:sz w:val="20"/>
                <w:szCs w:val="20"/>
              </w:rPr>
              <w:t xml:space="preserve">ISO 27001 (A.8.10); GDPR Art. 32; ITIL Change </w:t>
            </w:r>
            <w:proofErr w:type="spellStart"/>
            <w:r>
              <w:rPr>
                <w:color w:val="000000"/>
                <w:sz w:val="20"/>
                <w:szCs w:val="20"/>
              </w:rPr>
              <w:t>Mgmt</w:t>
            </w:r>
            <w:proofErr w:type="spellEnd"/>
          </w:p>
        </w:tc>
      </w:tr>
      <w:tr w:rsidR="008B19BE" w14:paraId="31D26A2B" w14:textId="77777777">
        <w:tc>
          <w:tcPr>
            <w:tcW w:w="4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44C78A63" w14:textId="77777777" w:rsidR="008B19BE" w:rsidRDefault="00000000">
            <w:pPr>
              <w:spacing w:line="276" w:lineRule="auto"/>
            </w:pPr>
            <w:r>
              <w:rPr>
                <w:color w:val="000000"/>
                <w:sz w:val="20"/>
                <w:szCs w:val="20"/>
              </w:rPr>
              <w:t>R6</w:t>
            </w:r>
          </w:p>
        </w:tc>
        <w:tc>
          <w:tcPr>
            <w:tcW w:w="15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3614DC38" w14:textId="77777777" w:rsidR="008B19BE" w:rsidRDefault="00000000">
            <w:pPr>
              <w:spacing w:line="276" w:lineRule="auto"/>
            </w:pPr>
            <w:r>
              <w:rPr>
                <w:color w:val="000000"/>
                <w:sz w:val="20"/>
                <w:szCs w:val="20"/>
              </w:rPr>
              <w:t>Regulatory non-compliance</w:t>
            </w:r>
          </w:p>
        </w:tc>
        <w:tc>
          <w:tcPr>
            <w:tcW w:w="16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59512B88" w14:textId="77777777" w:rsidR="008B19BE" w:rsidRDefault="00000000">
            <w:pPr>
              <w:spacing w:line="276" w:lineRule="auto"/>
            </w:pPr>
            <w:r>
              <w:rPr>
                <w:color w:val="000000"/>
                <w:sz w:val="20"/>
                <w:szCs w:val="20"/>
              </w:rPr>
              <w:t>Critical: fines up to 4% global annual turnover</w:t>
            </w:r>
          </w:p>
        </w:tc>
        <w:tc>
          <w:tcPr>
            <w:tcW w:w="2800"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19FFDC6C" w14:textId="77777777" w:rsidR="008B19BE" w:rsidRDefault="00000000">
            <w:pPr>
              <w:spacing w:line="276" w:lineRule="auto"/>
            </w:pPr>
            <w:r>
              <w:rPr>
                <w:color w:val="000000"/>
                <w:sz w:val="20"/>
                <w:szCs w:val="20"/>
              </w:rPr>
              <w:t>Privacy-by-design; DPIAs; GRC platform; unified compliance strategy</w:t>
            </w:r>
          </w:p>
        </w:tc>
        <w:tc>
          <w:tcPr>
            <w:tcW w:w="3338" w:type="dxa"/>
            <w:tcBorders>
              <w:top w:val="single" w:sz="1" w:space="0" w:color="888888"/>
              <w:left w:val="single" w:sz="1" w:space="0" w:color="888888"/>
              <w:bottom w:val="single" w:sz="1" w:space="0" w:color="888888"/>
              <w:right w:val="single" w:sz="1" w:space="0" w:color="888888"/>
            </w:tcBorders>
            <w:shd w:val="clear" w:color="auto" w:fill="EFEFEF"/>
            <w:tcMar>
              <w:top w:w="80" w:type="dxa"/>
              <w:left w:w="150" w:type="dxa"/>
              <w:bottom w:w="80" w:type="dxa"/>
              <w:right w:w="150" w:type="dxa"/>
            </w:tcMar>
          </w:tcPr>
          <w:p w14:paraId="07B7D0D0" w14:textId="77777777" w:rsidR="008B19BE" w:rsidRDefault="00000000">
            <w:pPr>
              <w:spacing w:line="276" w:lineRule="auto"/>
            </w:pPr>
            <w:r>
              <w:rPr>
                <w:color w:val="000000"/>
                <w:sz w:val="20"/>
                <w:szCs w:val="20"/>
              </w:rPr>
              <w:t>GDPR; DORA; UK Cyber Security and Resilience Bill</w:t>
            </w:r>
          </w:p>
        </w:tc>
      </w:tr>
    </w:tbl>
    <w:p w14:paraId="703FCCB5" w14:textId="77777777" w:rsidR="008B19BE" w:rsidRDefault="00000000">
      <w:pPr>
        <w:spacing w:before="80" w:after="240" w:line="276" w:lineRule="auto"/>
        <w:jc w:val="center"/>
      </w:pPr>
      <w:r>
        <w:rPr>
          <w:i/>
          <w:iCs/>
          <w:color w:val="000000"/>
          <w:sz w:val="20"/>
          <w:szCs w:val="20"/>
        </w:rPr>
        <w:t>Table V: FSB risk register. Source: adapted from NIST SP 800-30 [10], ISO/IEC 27001:2022 [1], GDPR [4], and DORA [5].</w:t>
      </w:r>
    </w:p>
    <w:p w14:paraId="5A9D3AD5" w14:textId="77777777" w:rsidR="008B19BE" w:rsidRDefault="008B19BE">
      <w:pPr>
        <w:spacing w:after="120"/>
      </w:pPr>
    </w:p>
    <w:p w14:paraId="43D433BD" w14:textId="0E97FEE6" w:rsidR="00054C32" w:rsidRDefault="00054C32">
      <w:pPr>
        <w:spacing w:before="80" w:after="240" w:line="276" w:lineRule="auto"/>
        <w:jc w:val="center"/>
        <w:rPr>
          <w:i/>
          <w:iCs/>
          <w:color w:val="000000"/>
          <w:sz w:val="20"/>
          <w:szCs w:val="20"/>
        </w:rPr>
      </w:pPr>
      <w:r>
        <w:rPr>
          <w:i/>
          <w:iCs/>
          <w:noProof/>
          <w:color w:val="000000"/>
          <w:sz w:val="20"/>
          <w:szCs w:val="20"/>
        </w:rPr>
        <w:drawing>
          <wp:inline distT="0" distB="0" distL="0" distR="0" wp14:anchorId="781A7560" wp14:editId="702248F5">
            <wp:extent cx="5561590" cy="3128318"/>
            <wp:effectExtent l="0" t="0" r="1270" b="0"/>
            <wp:docPr id="11526558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55866" name="Picture 115265586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1984" cy="3139789"/>
                    </a:xfrm>
                    <a:prstGeom prst="rect">
                      <a:avLst/>
                    </a:prstGeom>
                  </pic:spPr>
                </pic:pic>
              </a:graphicData>
            </a:graphic>
          </wp:inline>
        </w:drawing>
      </w:r>
    </w:p>
    <w:p w14:paraId="6B85362E" w14:textId="77E2689C" w:rsidR="008B19BE" w:rsidRDefault="00000000">
      <w:pPr>
        <w:spacing w:before="80" w:after="240" w:line="276" w:lineRule="auto"/>
        <w:jc w:val="center"/>
      </w:pPr>
      <w:r>
        <w:rPr>
          <w:i/>
          <w:iCs/>
          <w:color w:val="000000"/>
          <w:sz w:val="20"/>
          <w:szCs w:val="20"/>
        </w:rPr>
        <w:t>Fig. 5: FSB risk heatmap showing severity classification for risks R1–R6.</w:t>
      </w:r>
    </w:p>
    <w:p w14:paraId="707C7739" w14:textId="77777777" w:rsidR="008B19BE" w:rsidRDefault="00000000">
      <w:pPr>
        <w:pBdr>
          <w:bottom w:val="single" w:sz="2" w:space="1" w:color="AAAAAA"/>
        </w:pBdr>
        <w:spacing w:before="480" w:after="160" w:line="480" w:lineRule="auto"/>
      </w:pPr>
      <w:r>
        <w:rPr>
          <w:b/>
          <w:bCs/>
          <w:color w:val="000000"/>
          <w:sz w:val="28"/>
          <w:szCs w:val="28"/>
        </w:rPr>
        <w:lastRenderedPageBreak/>
        <w:t>4. Critical Discussion: The Necessity of Evolving Regulation</w:t>
      </w:r>
    </w:p>
    <w:p w14:paraId="71F6B0ED" w14:textId="77777777" w:rsidR="008B19BE" w:rsidRDefault="00000000" w:rsidP="00054C32">
      <w:pPr>
        <w:spacing w:after="240"/>
        <w:jc w:val="both"/>
      </w:pPr>
      <w:r>
        <w:rPr>
          <w:color w:val="000000"/>
        </w:rPr>
        <w:t xml:space="preserve">Static regulatory frameworks cannot protect institutions against a threat environment evolving at machine speed. Generative AI-enabled malware and automated zero-day exploitation can be </w:t>
      </w:r>
      <w:proofErr w:type="spellStart"/>
      <w:r>
        <w:rPr>
          <w:color w:val="000000"/>
        </w:rPr>
        <w:t>weaponised</w:t>
      </w:r>
      <w:proofErr w:type="spellEnd"/>
      <w:r>
        <w:rPr>
          <w:color w:val="000000"/>
        </w:rPr>
        <w:t xml:space="preserve"> within days of a new technology’s release — a pace that no fixed standard can match.</w:t>
      </w:r>
    </w:p>
    <w:p w14:paraId="1FEE719B" w14:textId="77777777" w:rsidR="008B19BE" w:rsidRDefault="00000000" w:rsidP="00054C32">
      <w:pPr>
        <w:spacing w:before="320" w:after="120"/>
      </w:pPr>
      <w:r>
        <w:rPr>
          <w:b/>
          <w:bCs/>
          <w:color w:val="000000"/>
          <w:u w:val="single"/>
        </w:rPr>
        <w:t>4.1 Why Static Standards Fail</w:t>
      </w:r>
    </w:p>
    <w:p w14:paraId="19890461" w14:textId="77777777" w:rsidR="008B19BE" w:rsidRDefault="00000000" w:rsidP="00EE6883">
      <w:pPr>
        <w:spacing w:after="240"/>
        <w:jc w:val="both"/>
      </w:pPr>
      <w:r>
        <w:rPr>
          <w:color w:val="000000"/>
        </w:rPr>
        <w:t xml:space="preserve">The 2013 iteration of ISO/IEC 27001 contained no controls for cloud security, threat intelligence, or data leakage prevention. </w:t>
      </w:r>
      <w:proofErr w:type="spellStart"/>
      <w:r>
        <w:rPr>
          <w:color w:val="000000"/>
        </w:rPr>
        <w:t>Organisations</w:t>
      </w:r>
      <w:proofErr w:type="spellEnd"/>
      <w:r>
        <w:rPr>
          <w:color w:val="000000"/>
        </w:rPr>
        <w:t xml:space="preserve"> certified under it operated for nearly a decade without controls addressing their most critical threats [1]. </w:t>
      </w:r>
      <w:proofErr w:type="spellStart"/>
      <w:r>
        <w:rPr>
          <w:color w:val="000000"/>
        </w:rPr>
        <w:t>Disterer</w:t>
      </w:r>
      <w:proofErr w:type="spellEnd"/>
      <w:r>
        <w:rPr>
          <w:color w:val="000000"/>
        </w:rPr>
        <w:t xml:space="preserve"> (2013) terms this ‘symbolic adoption’ — an institutional self-deception that satisfies auditors whilst exposing </w:t>
      </w:r>
      <w:proofErr w:type="spellStart"/>
      <w:r>
        <w:rPr>
          <w:color w:val="000000"/>
        </w:rPr>
        <w:t>organisations</w:t>
      </w:r>
      <w:proofErr w:type="spellEnd"/>
      <w:r>
        <w:rPr>
          <w:color w:val="000000"/>
        </w:rPr>
        <w:t xml:space="preserve"> to real attackers [7]. Static standards do not merely fail to protect; they actively certify complacency.</w:t>
      </w:r>
    </w:p>
    <w:p w14:paraId="3879B223" w14:textId="77777777" w:rsidR="008B19BE" w:rsidRDefault="00000000" w:rsidP="00054C32">
      <w:pPr>
        <w:spacing w:before="320" w:after="120"/>
      </w:pPr>
      <w:r>
        <w:rPr>
          <w:b/>
          <w:bCs/>
          <w:color w:val="000000"/>
          <w:u w:val="single"/>
        </w:rPr>
        <w:t>4.2 DORA, AI Threats, and Supply Chain Risk</w:t>
      </w:r>
    </w:p>
    <w:p w14:paraId="2FB3CBB2" w14:textId="77777777" w:rsidR="008B19BE" w:rsidRDefault="00000000" w:rsidP="00EE6883">
      <w:pPr>
        <w:spacing w:after="240"/>
        <w:jc w:val="both"/>
      </w:pPr>
      <w:r>
        <w:rPr>
          <w:color w:val="000000"/>
        </w:rPr>
        <w:t>DORA’s implementation in January 2025 reflects an observed systemic reality: cloud concentration means that a single successful attack could simultaneously disable dozens of financial institutions [5]. DORA’s non-delegable ICT risk accountability, TLPT mandate, and third-party risk registers fill the governance vacuum that neither GDPR nor ISO 27001 was conceived to address. Beyond cloud risk, AI-enabled deepfake authentication attacks now necessitate hardware-based MFA as a regulatory minimum, and AI-generated phishing via large language models demands continuous, human-centric security awareness training embedded within institutional culture [16]. Supply chain liability is shifting equally: regulators increasingly treat third-party ICT failures as the institution’s direct regulatory risk rather than a delegable vendor obligation.</w:t>
      </w:r>
    </w:p>
    <w:p w14:paraId="1F9A437B" w14:textId="77777777" w:rsidR="008B19BE" w:rsidRDefault="00000000" w:rsidP="00054C32">
      <w:pPr>
        <w:spacing w:before="320" w:after="120"/>
      </w:pPr>
      <w:r>
        <w:rPr>
          <w:b/>
          <w:bCs/>
          <w:color w:val="000000"/>
          <w:u w:val="single"/>
        </w:rPr>
        <w:t>4.3 Limitations: Compliance Fatigue and Regulatory Lag</w:t>
      </w:r>
    </w:p>
    <w:p w14:paraId="7C1B9B06" w14:textId="77777777" w:rsidR="008B19BE" w:rsidRDefault="00000000" w:rsidP="00054C32">
      <w:pPr>
        <w:spacing w:after="240"/>
        <w:jc w:val="both"/>
        <w:rPr>
          <w:color w:val="000000"/>
        </w:rPr>
      </w:pPr>
      <w:r>
        <w:rPr>
          <w:color w:val="000000"/>
        </w:rPr>
        <w:t>Concurrent obligations under GDPR, DORA, NIS2, PSD2, and the UK Cyber Security and Resilience Bill impose a disproportionate burden on smaller digital banks without dedicated compliance functions [9]. Furthermore, even current standards lag behind emerging threats: neither GDPR nor DORA mandates post-quantum cryptographic standards, despite quantum computing presenting a credible near-term threat to RSA and ECC encryption across the entire financial sector [15]. These limitations reinforce rather than undermine the case for regulatory evolution — FSB must treat existing regulations as a floor, not a ceiling, adopting NIST post-quantum cryptography standards proactively ahead of any formal regulatory requirement.</w:t>
      </w:r>
    </w:p>
    <w:p w14:paraId="3300EACB" w14:textId="77777777" w:rsidR="00054C32" w:rsidRDefault="00054C32" w:rsidP="00054C32">
      <w:pPr>
        <w:spacing w:after="240"/>
        <w:jc w:val="both"/>
        <w:rPr>
          <w:color w:val="000000"/>
        </w:rPr>
      </w:pPr>
    </w:p>
    <w:p w14:paraId="32BBAC60" w14:textId="77777777" w:rsidR="00054C32" w:rsidRDefault="00054C32" w:rsidP="00054C32">
      <w:pPr>
        <w:spacing w:after="240"/>
        <w:jc w:val="both"/>
        <w:rPr>
          <w:color w:val="000000"/>
        </w:rPr>
      </w:pPr>
    </w:p>
    <w:p w14:paraId="34067047" w14:textId="77777777" w:rsidR="00054C32" w:rsidRDefault="00054C32" w:rsidP="00054C32">
      <w:pPr>
        <w:spacing w:after="240"/>
        <w:jc w:val="both"/>
        <w:rPr>
          <w:color w:val="000000"/>
        </w:rPr>
      </w:pPr>
    </w:p>
    <w:p w14:paraId="156BDA0C" w14:textId="77777777" w:rsidR="00054C32" w:rsidRDefault="00054C32" w:rsidP="00054C32">
      <w:pPr>
        <w:spacing w:after="240"/>
        <w:jc w:val="both"/>
      </w:pPr>
    </w:p>
    <w:p w14:paraId="4A17311C" w14:textId="77777777" w:rsidR="008B19BE" w:rsidRDefault="00000000">
      <w:pPr>
        <w:pBdr>
          <w:bottom w:val="single" w:sz="2" w:space="1" w:color="AAAAAA"/>
        </w:pBdr>
        <w:spacing w:before="480" w:after="160" w:line="480" w:lineRule="auto"/>
      </w:pPr>
      <w:r>
        <w:rPr>
          <w:b/>
          <w:bCs/>
          <w:color w:val="000000"/>
          <w:sz w:val="28"/>
          <w:szCs w:val="28"/>
        </w:rPr>
        <w:t>5. Conclusion</w:t>
      </w:r>
    </w:p>
    <w:p w14:paraId="76C3E9CB" w14:textId="77777777" w:rsidR="008B19BE" w:rsidRDefault="00000000" w:rsidP="00054C32">
      <w:pPr>
        <w:spacing w:after="240"/>
        <w:jc w:val="both"/>
      </w:pPr>
      <w:r>
        <w:rPr>
          <w:color w:val="000000"/>
        </w:rPr>
        <w:lastRenderedPageBreak/>
        <w:t xml:space="preserve">FSB’s digital transformation has produced a governance gap that represents an existential institutional risk. Neither ISO/IEC 27001:2022 nor ITIL 4 — individually or integrated — can secure a </w:t>
      </w:r>
      <w:proofErr w:type="spellStart"/>
      <w:r>
        <w:rPr>
          <w:color w:val="000000"/>
        </w:rPr>
        <w:t>decentralised</w:t>
      </w:r>
      <w:proofErr w:type="spellEnd"/>
      <w:r>
        <w:rPr>
          <w:color w:val="000000"/>
        </w:rPr>
        <w:t xml:space="preserve">, BYOD-dependent financial institution against the combined pressure of GDPR, DORA, and the UK Cyber Security and Resilience Bill [1][2][4][5][6]. The proposed FSB Integrated Security Governance Model addresses this through three layers: ISO 27001 controls providing the governance framework; ITIL 4 value streams </w:t>
      </w:r>
      <w:proofErr w:type="spellStart"/>
      <w:r>
        <w:rPr>
          <w:color w:val="000000"/>
        </w:rPr>
        <w:t>operationalising</w:t>
      </w:r>
      <w:proofErr w:type="spellEnd"/>
      <w:r>
        <w:rPr>
          <w:color w:val="000000"/>
        </w:rPr>
        <w:t xml:space="preserve"> those controls in daily practice; and Zero Trust Architecture — via AI-driven monitoring, FIDO2 MFA, AES-256 encryption, MDM </w:t>
      </w:r>
      <w:proofErr w:type="spellStart"/>
      <w:r>
        <w:rPr>
          <w:color w:val="000000"/>
        </w:rPr>
        <w:t>containerisation</w:t>
      </w:r>
      <w:proofErr w:type="spellEnd"/>
      <w:r>
        <w:rPr>
          <w:color w:val="000000"/>
        </w:rPr>
        <w:t xml:space="preserve">, and immutable backups — transforming policy into adaptive </w:t>
      </w:r>
      <w:proofErr w:type="spellStart"/>
      <w:r>
        <w:rPr>
          <w:color w:val="000000"/>
        </w:rPr>
        <w:t>defence</w:t>
      </w:r>
      <w:proofErr w:type="spellEnd"/>
      <w:r>
        <w:rPr>
          <w:color w:val="000000"/>
        </w:rPr>
        <w:t xml:space="preserve"> [1][2][3][11][13].</w:t>
      </w:r>
    </w:p>
    <w:p w14:paraId="54ECFCCB" w14:textId="77777777" w:rsidR="008B19BE" w:rsidRDefault="00000000" w:rsidP="00054C32">
      <w:pPr>
        <w:spacing w:after="240"/>
        <w:jc w:val="both"/>
        <w:rPr>
          <w:color w:val="000000"/>
        </w:rPr>
      </w:pPr>
      <w:r>
        <w:rPr>
          <w:color w:val="000000"/>
        </w:rPr>
        <w:t>Regulatory compliance is an outcome of sound governance, not a standalone objective. GDPR, DORA, and the UK Cyber Security and Resilience Bill are mandatory enablers essential to closing FSB’s governance gap [4][5][6]. Limitations exist: ZTA implementation carries high cost and architectural complexity, and AI monitoring systems require ongoing human oversight to manage false positives and model drift. FSB must choose between building resilience now and awaiting an inevitable breach.</w:t>
      </w:r>
    </w:p>
    <w:p w14:paraId="25820D9B" w14:textId="77777777" w:rsidR="00D67B99" w:rsidRDefault="00D67B99" w:rsidP="00054C32">
      <w:pPr>
        <w:spacing w:after="240"/>
        <w:jc w:val="both"/>
        <w:rPr>
          <w:color w:val="000000"/>
        </w:rPr>
      </w:pPr>
    </w:p>
    <w:p w14:paraId="7706F415" w14:textId="77777777" w:rsidR="00D67B99" w:rsidRDefault="00D67B99" w:rsidP="00054C32">
      <w:pPr>
        <w:spacing w:after="240"/>
        <w:jc w:val="both"/>
        <w:rPr>
          <w:color w:val="000000"/>
        </w:rPr>
      </w:pPr>
    </w:p>
    <w:p w14:paraId="792A3639" w14:textId="77777777" w:rsidR="00D67B99" w:rsidRDefault="00D67B99" w:rsidP="00054C32">
      <w:pPr>
        <w:spacing w:after="240"/>
        <w:jc w:val="both"/>
        <w:rPr>
          <w:color w:val="000000"/>
        </w:rPr>
      </w:pPr>
    </w:p>
    <w:p w14:paraId="3C27D175" w14:textId="77777777" w:rsidR="00D67B99" w:rsidRDefault="00D67B99" w:rsidP="00054C32">
      <w:pPr>
        <w:spacing w:after="240"/>
        <w:jc w:val="both"/>
        <w:rPr>
          <w:color w:val="000000"/>
        </w:rPr>
      </w:pPr>
    </w:p>
    <w:p w14:paraId="04B8F1BE" w14:textId="77777777" w:rsidR="00D67B99" w:rsidRDefault="00D67B99" w:rsidP="00054C32">
      <w:pPr>
        <w:spacing w:after="240"/>
        <w:jc w:val="both"/>
        <w:rPr>
          <w:color w:val="000000"/>
        </w:rPr>
      </w:pPr>
    </w:p>
    <w:p w14:paraId="24A80AB3" w14:textId="77777777" w:rsidR="00D67B99" w:rsidRDefault="00D67B99" w:rsidP="00054C32">
      <w:pPr>
        <w:spacing w:after="240"/>
        <w:jc w:val="both"/>
        <w:rPr>
          <w:color w:val="000000"/>
        </w:rPr>
      </w:pPr>
    </w:p>
    <w:p w14:paraId="25583B87" w14:textId="77777777" w:rsidR="00D67B99" w:rsidRDefault="00D67B99" w:rsidP="00054C32">
      <w:pPr>
        <w:spacing w:after="240"/>
        <w:jc w:val="both"/>
        <w:rPr>
          <w:color w:val="000000"/>
        </w:rPr>
      </w:pPr>
    </w:p>
    <w:p w14:paraId="5562DBED" w14:textId="77777777" w:rsidR="00D67B99" w:rsidRDefault="00D67B99" w:rsidP="00054C32">
      <w:pPr>
        <w:spacing w:after="240"/>
        <w:jc w:val="both"/>
        <w:rPr>
          <w:color w:val="000000"/>
        </w:rPr>
      </w:pPr>
    </w:p>
    <w:p w14:paraId="15A99BAE" w14:textId="77777777" w:rsidR="00D67B99" w:rsidRDefault="00D67B99" w:rsidP="00054C32">
      <w:pPr>
        <w:spacing w:after="240"/>
        <w:jc w:val="both"/>
        <w:rPr>
          <w:color w:val="000000"/>
        </w:rPr>
      </w:pPr>
    </w:p>
    <w:p w14:paraId="1A4E9AB0" w14:textId="77777777" w:rsidR="00D67B99" w:rsidRDefault="00D67B99" w:rsidP="00054C32">
      <w:pPr>
        <w:spacing w:after="240"/>
        <w:jc w:val="both"/>
        <w:rPr>
          <w:color w:val="000000"/>
        </w:rPr>
      </w:pPr>
    </w:p>
    <w:p w14:paraId="5B331D8C" w14:textId="77777777" w:rsidR="00D67B99" w:rsidRDefault="00D67B99" w:rsidP="00054C32">
      <w:pPr>
        <w:spacing w:after="240"/>
        <w:jc w:val="both"/>
        <w:rPr>
          <w:color w:val="000000"/>
        </w:rPr>
      </w:pPr>
    </w:p>
    <w:p w14:paraId="7A31A2A1" w14:textId="77777777" w:rsidR="00D67B99" w:rsidRDefault="00D67B99" w:rsidP="00054C32">
      <w:pPr>
        <w:spacing w:after="240"/>
        <w:jc w:val="both"/>
        <w:rPr>
          <w:color w:val="000000"/>
        </w:rPr>
      </w:pPr>
    </w:p>
    <w:p w14:paraId="6F353BC4" w14:textId="77777777" w:rsidR="00D67B99" w:rsidRDefault="00D67B99" w:rsidP="00054C32">
      <w:pPr>
        <w:spacing w:after="240"/>
        <w:jc w:val="both"/>
        <w:rPr>
          <w:color w:val="000000"/>
        </w:rPr>
      </w:pPr>
    </w:p>
    <w:p w14:paraId="62AB037E" w14:textId="77777777" w:rsidR="00D67B99" w:rsidRDefault="00D67B99" w:rsidP="00054C32">
      <w:pPr>
        <w:spacing w:after="240"/>
        <w:jc w:val="both"/>
        <w:rPr>
          <w:color w:val="000000"/>
        </w:rPr>
      </w:pPr>
    </w:p>
    <w:p w14:paraId="26A98C01" w14:textId="77777777" w:rsidR="00D67B99" w:rsidRDefault="00D67B99" w:rsidP="00054C32">
      <w:pPr>
        <w:spacing w:after="240"/>
        <w:jc w:val="both"/>
        <w:rPr>
          <w:color w:val="000000"/>
        </w:rPr>
      </w:pPr>
    </w:p>
    <w:p w14:paraId="55B08670" w14:textId="77777777" w:rsidR="00D67B99" w:rsidRDefault="00D67B99" w:rsidP="00054C32">
      <w:pPr>
        <w:spacing w:after="240"/>
        <w:jc w:val="both"/>
      </w:pPr>
    </w:p>
    <w:p w14:paraId="22AACEE4" w14:textId="77777777" w:rsidR="008B19BE" w:rsidRDefault="00000000">
      <w:pPr>
        <w:pBdr>
          <w:bottom w:val="single" w:sz="2" w:space="1" w:color="AAAAAA"/>
        </w:pBdr>
        <w:spacing w:before="480" w:after="160" w:line="480" w:lineRule="auto"/>
      </w:pPr>
      <w:r>
        <w:rPr>
          <w:b/>
          <w:bCs/>
          <w:color w:val="000000"/>
          <w:sz w:val="28"/>
          <w:szCs w:val="28"/>
        </w:rPr>
        <w:t>References</w:t>
      </w:r>
    </w:p>
    <w:p w14:paraId="0DCFBDD3" w14:textId="7B4A0B36" w:rsidR="008B19BE" w:rsidRDefault="00000000">
      <w:pPr>
        <w:spacing w:after="80" w:line="276" w:lineRule="auto"/>
        <w:ind w:left="720" w:hanging="720"/>
        <w:jc w:val="both"/>
      </w:pPr>
      <w:r>
        <w:rPr>
          <w:color w:val="000000"/>
          <w:sz w:val="22"/>
          <w:szCs w:val="22"/>
        </w:rPr>
        <w:lastRenderedPageBreak/>
        <w:t xml:space="preserve">[1] International </w:t>
      </w:r>
      <w:proofErr w:type="spellStart"/>
      <w:r>
        <w:rPr>
          <w:color w:val="000000"/>
          <w:sz w:val="22"/>
          <w:szCs w:val="22"/>
        </w:rPr>
        <w:t>Organisation</w:t>
      </w:r>
      <w:proofErr w:type="spellEnd"/>
      <w:r>
        <w:rPr>
          <w:color w:val="000000"/>
          <w:sz w:val="22"/>
          <w:szCs w:val="22"/>
        </w:rPr>
        <w:t xml:space="preserve"> for </w:t>
      </w:r>
      <w:proofErr w:type="spellStart"/>
      <w:r>
        <w:rPr>
          <w:color w:val="000000"/>
          <w:sz w:val="22"/>
          <w:szCs w:val="22"/>
        </w:rPr>
        <w:t>Standardisation</w:t>
      </w:r>
      <w:proofErr w:type="spellEnd"/>
      <w:r>
        <w:rPr>
          <w:color w:val="000000"/>
          <w:sz w:val="22"/>
          <w:szCs w:val="22"/>
        </w:rPr>
        <w:t xml:space="preserve"> (ISO), ISO/IEC 27001:2022 Information Security, Cybersecurity and Privacy Protection. Geneva: ISO, 2022.</w:t>
      </w:r>
    </w:p>
    <w:p w14:paraId="75B1F595" w14:textId="46A32187" w:rsidR="008B19BE" w:rsidRDefault="00000000">
      <w:pPr>
        <w:spacing w:after="80" w:line="276" w:lineRule="auto"/>
        <w:ind w:left="720" w:hanging="720"/>
        <w:jc w:val="both"/>
      </w:pPr>
      <w:r>
        <w:rPr>
          <w:color w:val="000000"/>
          <w:sz w:val="22"/>
          <w:szCs w:val="22"/>
        </w:rPr>
        <w:t>[2] Axelos, ITIL Foundation: ITIL 4 Edition. London: TSO, 2019.</w:t>
      </w:r>
    </w:p>
    <w:p w14:paraId="47273C3B" w14:textId="5BE3E191" w:rsidR="008B19BE" w:rsidRDefault="00000000">
      <w:pPr>
        <w:spacing w:after="80" w:line="276" w:lineRule="auto"/>
        <w:ind w:left="720" w:hanging="720"/>
        <w:jc w:val="both"/>
      </w:pPr>
      <w:r>
        <w:rPr>
          <w:color w:val="000000"/>
          <w:sz w:val="22"/>
          <w:szCs w:val="22"/>
        </w:rPr>
        <w:t>[</w:t>
      </w:r>
      <w:r w:rsidR="00EE6883">
        <w:rPr>
          <w:color w:val="000000"/>
          <w:sz w:val="22"/>
          <w:szCs w:val="22"/>
        </w:rPr>
        <w:t>3] National</w:t>
      </w:r>
      <w:r>
        <w:rPr>
          <w:color w:val="000000"/>
          <w:sz w:val="22"/>
          <w:szCs w:val="22"/>
        </w:rPr>
        <w:t xml:space="preserve"> Institute of Standards and Technology (NIST), Zero Trust Architecture, Special Publication 800-207. Gaithersburg, MD: NIST, 2020.</w:t>
      </w:r>
    </w:p>
    <w:p w14:paraId="473E7AE0" w14:textId="0B70FFCD" w:rsidR="008B19BE" w:rsidRDefault="00000000">
      <w:pPr>
        <w:spacing w:after="80" w:line="276" w:lineRule="auto"/>
        <w:ind w:left="720" w:hanging="720"/>
        <w:jc w:val="both"/>
      </w:pPr>
      <w:r>
        <w:rPr>
          <w:color w:val="000000"/>
          <w:sz w:val="22"/>
          <w:szCs w:val="22"/>
        </w:rPr>
        <w:t>[4] European Union, General Data Protection Regulation, Regulation (EU) 2016/679. Official Journal of the European Union, 2016.</w:t>
      </w:r>
    </w:p>
    <w:p w14:paraId="42FCBC3D" w14:textId="704E6B23" w:rsidR="008B19BE" w:rsidRDefault="00000000">
      <w:pPr>
        <w:spacing w:after="80" w:line="276" w:lineRule="auto"/>
        <w:ind w:left="720" w:hanging="720"/>
        <w:jc w:val="both"/>
      </w:pPr>
      <w:r>
        <w:rPr>
          <w:color w:val="000000"/>
          <w:sz w:val="22"/>
          <w:szCs w:val="22"/>
        </w:rPr>
        <w:t>[5] European Parliament and Council, Regulation (EU) 2022/2554 on Digital Operational Resilience for the Financial Sector (DORA). Official Journal of the European Union, 2022.</w:t>
      </w:r>
    </w:p>
    <w:p w14:paraId="74CE5A55" w14:textId="553D883C" w:rsidR="008B19BE" w:rsidRDefault="00000000">
      <w:pPr>
        <w:spacing w:after="80" w:line="276" w:lineRule="auto"/>
        <w:ind w:left="720" w:hanging="720"/>
        <w:jc w:val="both"/>
      </w:pPr>
      <w:r>
        <w:rPr>
          <w:color w:val="000000"/>
          <w:sz w:val="22"/>
          <w:szCs w:val="22"/>
        </w:rPr>
        <w:t>[6] UK Parliament, Cyber Security and Resilience (Network and Information Systems) Bill 2024–26. London: House of Commons Library, 2025.</w:t>
      </w:r>
    </w:p>
    <w:p w14:paraId="2B6C577B" w14:textId="0A03F793" w:rsidR="008B19BE" w:rsidRDefault="00000000">
      <w:pPr>
        <w:spacing w:after="80" w:line="276" w:lineRule="auto"/>
        <w:ind w:left="720" w:hanging="720"/>
        <w:jc w:val="both"/>
      </w:pPr>
      <w:r>
        <w:rPr>
          <w:color w:val="000000"/>
          <w:sz w:val="22"/>
          <w:szCs w:val="22"/>
        </w:rPr>
        <w:t xml:space="preserve">[7] G. </w:t>
      </w:r>
      <w:proofErr w:type="spellStart"/>
      <w:r>
        <w:rPr>
          <w:color w:val="000000"/>
          <w:sz w:val="22"/>
          <w:szCs w:val="22"/>
        </w:rPr>
        <w:t>Disterer</w:t>
      </w:r>
      <w:proofErr w:type="spellEnd"/>
      <w:r>
        <w:rPr>
          <w:color w:val="000000"/>
          <w:sz w:val="22"/>
          <w:szCs w:val="22"/>
        </w:rPr>
        <w:t>, “ISO/IEC 27000, 27001 and 27002 for Information Security Management,” Journal of Information Security, vol. 4, no. 2, pp. 92–100, 2013.</w:t>
      </w:r>
    </w:p>
    <w:p w14:paraId="7664D309" w14:textId="69840D6D" w:rsidR="008B19BE" w:rsidRDefault="00000000">
      <w:pPr>
        <w:spacing w:after="80" w:line="276" w:lineRule="auto"/>
        <w:ind w:left="720" w:hanging="720"/>
        <w:jc w:val="both"/>
      </w:pPr>
      <w:r>
        <w:rPr>
          <w:color w:val="000000"/>
          <w:sz w:val="22"/>
          <w:szCs w:val="22"/>
        </w:rPr>
        <w:t>[8</w:t>
      </w:r>
      <w:r w:rsidR="00EE6883">
        <w:rPr>
          <w:color w:val="000000"/>
          <w:sz w:val="22"/>
          <w:szCs w:val="22"/>
        </w:rPr>
        <w:t xml:space="preserve"> </w:t>
      </w:r>
      <w:r>
        <w:rPr>
          <w:color w:val="000000"/>
          <w:sz w:val="22"/>
          <w:szCs w:val="22"/>
        </w:rPr>
        <w:t xml:space="preserve">M. B. </w:t>
      </w:r>
      <w:proofErr w:type="spellStart"/>
      <w:r>
        <w:rPr>
          <w:color w:val="000000"/>
          <w:sz w:val="22"/>
          <w:szCs w:val="22"/>
        </w:rPr>
        <w:t>Kekgathetse</w:t>
      </w:r>
      <w:proofErr w:type="spellEnd"/>
      <w:r>
        <w:rPr>
          <w:color w:val="000000"/>
          <w:sz w:val="22"/>
          <w:szCs w:val="22"/>
        </w:rPr>
        <w:t xml:space="preserve">, B. Lucas, and M. </w:t>
      </w:r>
      <w:proofErr w:type="spellStart"/>
      <w:r>
        <w:rPr>
          <w:color w:val="000000"/>
          <w:sz w:val="22"/>
          <w:szCs w:val="22"/>
        </w:rPr>
        <w:t>Sebapalo</w:t>
      </w:r>
      <w:proofErr w:type="spellEnd"/>
      <w:r>
        <w:rPr>
          <w:color w:val="000000"/>
          <w:sz w:val="22"/>
          <w:szCs w:val="22"/>
        </w:rPr>
        <w:t>, ‘A Systematic Review on Cyber Security Integration in Information Technology Governance,’ IEEE Conference Proceedings, 2024.</w:t>
      </w:r>
    </w:p>
    <w:p w14:paraId="1500F9CE" w14:textId="449C0487" w:rsidR="008B19BE" w:rsidRDefault="00000000">
      <w:pPr>
        <w:spacing w:after="80" w:line="276" w:lineRule="auto"/>
        <w:ind w:left="720" w:hanging="720"/>
        <w:jc w:val="both"/>
      </w:pPr>
      <w:r>
        <w:rPr>
          <w:color w:val="000000"/>
          <w:sz w:val="22"/>
          <w:szCs w:val="22"/>
        </w:rPr>
        <w:t>[9] M. Ratchford, O. El-Gayar, C. Noteboom, and Y. Wang, ‘BYOD security issues: A systematic literature review,’ Information Security Journal: A Global Perspective, vol. 31, no. 3, pp. 253–273, 2022.</w:t>
      </w:r>
    </w:p>
    <w:p w14:paraId="617C1F49" w14:textId="77777777" w:rsidR="008B19BE" w:rsidRDefault="00000000">
      <w:pPr>
        <w:spacing w:after="80" w:line="276" w:lineRule="auto"/>
        <w:ind w:left="720" w:hanging="720"/>
        <w:jc w:val="both"/>
      </w:pPr>
      <w:r>
        <w:rPr>
          <w:color w:val="000000"/>
          <w:sz w:val="22"/>
          <w:szCs w:val="22"/>
        </w:rPr>
        <w:t>[10] National Institute of Standards and Technology (NIST), Guide for Conducting Risk Assessments, Special Publication 800-30 Rev. 1. Gaithersburg, MD: NIST, 2012.</w:t>
      </w:r>
    </w:p>
    <w:p w14:paraId="71C93059" w14:textId="77777777" w:rsidR="008B19BE" w:rsidRDefault="00000000">
      <w:pPr>
        <w:spacing w:after="80" w:line="276" w:lineRule="auto"/>
        <w:ind w:left="720" w:hanging="720"/>
        <w:jc w:val="both"/>
      </w:pPr>
      <w:r>
        <w:rPr>
          <w:color w:val="000000"/>
          <w:sz w:val="22"/>
          <w:szCs w:val="22"/>
        </w:rPr>
        <w:t xml:space="preserve">[11] M. Asmar and A. </w:t>
      </w:r>
      <w:proofErr w:type="spellStart"/>
      <w:r>
        <w:rPr>
          <w:color w:val="000000"/>
          <w:sz w:val="22"/>
          <w:szCs w:val="22"/>
        </w:rPr>
        <w:t>Tuqan</w:t>
      </w:r>
      <w:proofErr w:type="spellEnd"/>
      <w:r>
        <w:rPr>
          <w:color w:val="000000"/>
          <w:sz w:val="22"/>
          <w:szCs w:val="22"/>
        </w:rPr>
        <w:t xml:space="preserve">, ‘Integrating machine learning for sustaining cybersecurity in digital banks,’ </w:t>
      </w:r>
      <w:proofErr w:type="spellStart"/>
      <w:r>
        <w:rPr>
          <w:color w:val="000000"/>
          <w:sz w:val="22"/>
          <w:szCs w:val="22"/>
        </w:rPr>
        <w:t>Heliyon</w:t>
      </w:r>
      <w:proofErr w:type="spellEnd"/>
      <w:r>
        <w:rPr>
          <w:color w:val="000000"/>
          <w:sz w:val="22"/>
          <w:szCs w:val="22"/>
        </w:rPr>
        <w:t>, vol. 10, no. 17, p. e37571, 2024.</w:t>
      </w:r>
    </w:p>
    <w:p w14:paraId="4E50B7B3" w14:textId="77777777" w:rsidR="008B19BE" w:rsidRDefault="00000000">
      <w:pPr>
        <w:spacing w:after="80" w:line="276" w:lineRule="auto"/>
        <w:ind w:left="720" w:hanging="720"/>
        <w:jc w:val="both"/>
      </w:pPr>
      <w:r>
        <w:rPr>
          <w:color w:val="000000"/>
          <w:sz w:val="22"/>
          <w:szCs w:val="22"/>
        </w:rPr>
        <w:t>[12] H. Joshi, ‘Emerging technologies driving zero trust maturity across industries,’ IEEE Open Journal of the Computer Society, vol. 6, pp. 25–36, 2025.</w:t>
      </w:r>
    </w:p>
    <w:p w14:paraId="09A42120" w14:textId="77777777" w:rsidR="008B19BE" w:rsidRDefault="00000000">
      <w:pPr>
        <w:spacing w:after="80" w:line="276" w:lineRule="auto"/>
        <w:ind w:left="720" w:hanging="720"/>
        <w:jc w:val="both"/>
      </w:pPr>
      <w:r>
        <w:rPr>
          <w:color w:val="000000"/>
          <w:sz w:val="22"/>
          <w:szCs w:val="22"/>
        </w:rPr>
        <w:t>[13] M. Hussain, S. Pal, Z. Jadidi, E. Foo, and S. Kanhere, ‘Federated Zero Trust Architecture using Artificial Intelligence,’ IEEE Wireless Communications, vol. 31, no. 2, pp. 30–35, 2024.</w:t>
      </w:r>
    </w:p>
    <w:p w14:paraId="78978CF5" w14:textId="77777777" w:rsidR="008B19BE" w:rsidRDefault="00000000">
      <w:pPr>
        <w:spacing w:after="80" w:line="276" w:lineRule="auto"/>
        <w:ind w:left="720" w:hanging="720"/>
        <w:jc w:val="both"/>
      </w:pPr>
      <w:r>
        <w:rPr>
          <w:color w:val="000000"/>
          <w:sz w:val="22"/>
          <w:szCs w:val="22"/>
        </w:rPr>
        <w:t>[14] T. Daah, A. Qureshi, and A. Awan, ‘Zero Trust Model Implementation Considerations in Financial Institutions: A Proposed Framework,’ in Proc. IEEE International Conference on Future Internet of Things and Cloud (</w:t>
      </w:r>
      <w:proofErr w:type="spellStart"/>
      <w:r>
        <w:rPr>
          <w:color w:val="000000"/>
          <w:sz w:val="22"/>
          <w:szCs w:val="22"/>
        </w:rPr>
        <w:t>FiCloud</w:t>
      </w:r>
      <w:proofErr w:type="spellEnd"/>
      <w:r>
        <w:rPr>
          <w:color w:val="000000"/>
          <w:sz w:val="22"/>
          <w:szCs w:val="22"/>
        </w:rPr>
        <w:t xml:space="preserve">), Marrakesh, Morocco, 2023, pp. 71–77, </w:t>
      </w:r>
      <w:proofErr w:type="spellStart"/>
      <w:r>
        <w:rPr>
          <w:color w:val="000000"/>
          <w:sz w:val="22"/>
          <w:szCs w:val="22"/>
        </w:rPr>
        <w:t>doi</w:t>
      </w:r>
      <w:proofErr w:type="spellEnd"/>
      <w:r>
        <w:rPr>
          <w:color w:val="000000"/>
          <w:sz w:val="22"/>
          <w:szCs w:val="22"/>
        </w:rPr>
        <w:t>: 10.1109/FiCloud58648.2023.00019.</w:t>
      </w:r>
    </w:p>
    <w:p w14:paraId="69078604" w14:textId="77777777" w:rsidR="008B19BE" w:rsidRDefault="00000000">
      <w:pPr>
        <w:spacing w:after="80" w:line="276" w:lineRule="auto"/>
        <w:ind w:left="720" w:hanging="720"/>
        <w:jc w:val="both"/>
      </w:pPr>
      <w:r>
        <w:rPr>
          <w:color w:val="000000"/>
          <w:sz w:val="22"/>
          <w:szCs w:val="22"/>
        </w:rPr>
        <w:t xml:space="preserve">[15] N. Bindel, C. Cremers, and M. Zhao, ‘FIDO2, CTAP 2.1, and </w:t>
      </w:r>
      <w:proofErr w:type="spellStart"/>
      <w:r>
        <w:rPr>
          <w:color w:val="000000"/>
          <w:sz w:val="22"/>
          <w:szCs w:val="22"/>
        </w:rPr>
        <w:t>WebAuthn</w:t>
      </w:r>
      <w:proofErr w:type="spellEnd"/>
      <w:r>
        <w:rPr>
          <w:color w:val="000000"/>
          <w:sz w:val="22"/>
          <w:szCs w:val="22"/>
        </w:rPr>
        <w:t xml:space="preserve"> 2: Provable security and post-quantum instantiation,’ in Proc. IEEE Symposium on Security and Privacy (S&amp;P), San Francisco, CA, May 2023, pp. 1471–1490.</w:t>
      </w:r>
    </w:p>
    <w:p w14:paraId="60AD40C3" w14:textId="77777777" w:rsidR="008B19BE" w:rsidRDefault="00000000">
      <w:pPr>
        <w:spacing w:after="80" w:line="276" w:lineRule="auto"/>
        <w:ind w:left="720" w:hanging="720"/>
        <w:jc w:val="both"/>
      </w:pPr>
      <w:r>
        <w:rPr>
          <w:color w:val="000000"/>
          <w:sz w:val="22"/>
          <w:szCs w:val="22"/>
        </w:rPr>
        <w:t>[16] National Institute of Standards and Technology (NIST), The NIST Cybersecurity Framework (CSF) 2.0, NIST CSWP 29. Gaithersburg, MD: NIST, 2024.</w:t>
      </w:r>
    </w:p>
    <w:p w14:paraId="719A5599" w14:textId="77777777" w:rsidR="008B19BE" w:rsidRDefault="00000000">
      <w:pPr>
        <w:spacing w:after="80" w:line="276" w:lineRule="auto"/>
        <w:ind w:left="720" w:hanging="720"/>
        <w:jc w:val="both"/>
      </w:pPr>
      <w:r>
        <w:rPr>
          <w:color w:val="000000"/>
          <w:sz w:val="22"/>
          <w:szCs w:val="22"/>
        </w:rPr>
        <w:t>[17] National Institute of Standards and Technology (NIST), Recommendation for Key Management, Special Publication 800-57 Part 1 Rev. 5. Gaithersburg, MD: NIST, 2020.</w:t>
      </w:r>
    </w:p>
    <w:sectPr w:rsidR="008B19BE">
      <w:headerReference w:type="default" r:id="rId11"/>
      <w:footerReference w:type="default" r:id="rId12"/>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06FE1" w14:textId="77777777" w:rsidR="00721E8B" w:rsidRDefault="00721E8B">
      <w:r>
        <w:separator/>
      </w:r>
    </w:p>
  </w:endnote>
  <w:endnote w:type="continuationSeparator" w:id="0">
    <w:p w14:paraId="2278A0A1" w14:textId="77777777" w:rsidR="00721E8B" w:rsidRDefault="0072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4A064" w14:textId="77777777" w:rsidR="008B19BE" w:rsidRDefault="00000000">
    <w:pPr>
      <w:pBdr>
        <w:top w:val="single" w:sz="4" w:space="1" w:color="000000"/>
      </w:pBdr>
      <w:spacing w:before="80"/>
      <w:jc w:val="center"/>
    </w:pPr>
    <w:r>
      <w:rPr>
        <w:color w:val="000000"/>
        <w:sz w:val="18"/>
        <w:szCs w:val="18"/>
      </w:rPr>
      <w:t xml:space="preserve">Page </w:t>
    </w:r>
    <w:r>
      <w:rPr>
        <w:color w:val="000000"/>
        <w:sz w:val="18"/>
        <w:szCs w:val="18"/>
      </w:rPr>
      <w:fldChar w:fldCharType="begin"/>
    </w:r>
    <w:r>
      <w:rPr>
        <w:color w:val="000000"/>
        <w:sz w:val="18"/>
        <w:szCs w:val="18"/>
      </w:rPr>
      <w:instrText>PAGE</w:instrText>
    </w:r>
    <w:r>
      <w:rPr>
        <w:color w:val="000000"/>
        <w:sz w:val="18"/>
        <w:szCs w:val="18"/>
      </w:rPr>
      <w:fldChar w:fldCharType="separate"/>
    </w:r>
    <w:r w:rsidR="00054C32">
      <w:rPr>
        <w:noProof/>
        <w:color w:val="000000"/>
        <w:sz w:val="18"/>
        <w:szCs w:val="18"/>
      </w:rPr>
      <w:t>1</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NUMPAGES</w:instrText>
    </w:r>
    <w:r>
      <w:rPr>
        <w:color w:val="000000"/>
        <w:sz w:val="18"/>
        <w:szCs w:val="18"/>
      </w:rPr>
      <w:fldChar w:fldCharType="separate"/>
    </w:r>
    <w:r w:rsidR="00054C32">
      <w:rPr>
        <w:noProof/>
        <w:color w:val="000000"/>
        <w:sz w:val="18"/>
        <w:szCs w:val="18"/>
      </w:rPr>
      <w:t>2</w:t>
    </w:r>
    <w:r>
      <w:rPr>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26401" w14:textId="77777777" w:rsidR="00721E8B" w:rsidRDefault="00721E8B">
      <w:r>
        <w:separator/>
      </w:r>
    </w:p>
  </w:footnote>
  <w:footnote w:type="continuationSeparator" w:id="0">
    <w:p w14:paraId="557980F3" w14:textId="77777777" w:rsidR="00721E8B" w:rsidRDefault="00721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01626" w14:textId="58B34BB9" w:rsidR="008B19BE" w:rsidRDefault="00000000">
    <w:pPr>
      <w:pBdr>
        <w:bottom w:val="single" w:sz="4" w:space="1" w:color="000000"/>
      </w:pBdr>
      <w:spacing w:after="80"/>
      <w:jc w:val="right"/>
    </w:pPr>
    <w:r>
      <w:rPr>
        <w:color w:val="000000"/>
        <w:sz w:val="18"/>
        <w:szCs w:val="18"/>
      </w:rPr>
      <w:t>ACCA7028</w:t>
    </w:r>
    <w:r w:rsidR="004B5BDF">
      <w:rPr>
        <w:color w:val="000000"/>
        <w:sz w:val="18"/>
        <w:szCs w:val="18"/>
      </w:rPr>
      <w:t>|</w:t>
    </w:r>
    <w:r>
      <w:rPr>
        <w:color w:val="000000"/>
        <w:sz w:val="18"/>
        <w:szCs w:val="18"/>
      </w:rPr>
      <w:t xml:space="preserve"> Rajul Gupta </w:t>
    </w:r>
    <w:r w:rsidR="004B5BDF">
      <w:rPr>
        <w:color w:val="000000"/>
        <w:sz w:val="18"/>
        <w:szCs w:val="18"/>
      </w:rPr>
      <w:t>|</w:t>
    </w:r>
    <w:r>
      <w:rPr>
        <w:color w:val="000000"/>
        <w:sz w:val="18"/>
        <w:szCs w:val="18"/>
      </w:rPr>
      <w:t>2523934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22C11"/>
    <w:multiLevelType w:val="hybridMultilevel"/>
    <w:tmpl w:val="9FC26966"/>
    <w:lvl w:ilvl="0" w:tplc="E92E2F9C">
      <w:start w:val="1"/>
      <w:numFmt w:val="bullet"/>
      <w:lvlText w:val="●"/>
      <w:lvlJc w:val="left"/>
      <w:pPr>
        <w:ind w:left="720" w:hanging="360"/>
      </w:pPr>
    </w:lvl>
    <w:lvl w:ilvl="1" w:tplc="F10E5A24">
      <w:start w:val="1"/>
      <w:numFmt w:val="bullet"/>
      <w:lvlText w:val="○"/>
      <w:lvlJc w:val="left"/>
      <w:pPr>
        <w:ind w:left="1440" w:hanging="360"/>
      </w:pPr>
    </w:lvl>
    <w:lvl w:ilvl="2" w:tplc="B0C4D224">
      <w:start w:val="1"/>
      <w:numFmt w:val="bullet"/>
      <w:lvlText w:val="■"/>
      <w:lvlJc w:val="left"/>
      <w:pPr>
        <w:ind w:left="2160" w:hanging="360"/>
      </w:pPr>
    </w:lvl>
    <w:lvl w:ilvl="3" w:tplc="619C3592">
      <w:start w:val="1"/>
      <w:numFmt w:val="bullet"/>
      <w:lvlText w:val="●"/>
      <w:lvlJc w:val="left"/>
      <w:pPr>
        <w:ind w:left="2880" w:hanging="360"/>
      </w:pPr>
    </w:lvl>
    <w:lvl w:ilvl="4" w:tplc="6A34AEE0">
      <w:start w:val="1"/>
      <w:numFmt w:val="bullet"/>
      <w:lvlText w:val="○"/>
      <w:lvlJc w:val="left"/>
      <w:pPr>
        <w:ind w:left="3600" w:hanging="360"/>
      </w:pPr>
    </w:lvl>
    <w:lvl w:ilvl="5" w:tplc="7A186EFA">
      <w:start w:val="1"/>
      <w:numFmt w:val="bullet"/>
      <w:lvlText w:val="■"/>
      <w:lvlJc w:val="left"/>
      <w:pPr>
        <w:ind w:left="4320" w:hanging="360"/>
      </w:pPr>
    </w:lvl>
    <w:lvl w:ilvl="6" w:tplc="DCB6CE4C">
      <w:start w:val="1"/>
      <w:numFmt w:val="bullet"/>
      <w:lvlText w:val="●"/>
      <w:lvlJc w:val="left"/>
      <w:pPr>
        <w:ind w:left="5040" w:hanging="360"/>
      </w:pPr>
    </w:lvl>
    <w:lvl w:ilvl="7" w:tplc="C65428B6">
      <w:start w:val="1"/>
      <w:numFmt w:val="bullet"/>
      <w:lvlText w:val="●"/>
      <w:lvlJc w:val="left"/>
      <w:pPr>
        <w:ind w:left="5760" w:hanging="360"/>
      </w:pPr>
    </w:lvl>
    <w:lvl w:ilvl="8" w:tplc="2C94B48C">
      <w:start w:val="1"/>
      <w:numFmt w:val="bullet"/>
      <w:lvlText w:val="●"/>
      <w:lvlJc w:val="left"/>
      <w:pPr>
        <w:ind w:left="6480" w:hanging="360"/>
      </w:pPr>
    </w:lvl>
  </w:abstractNum>
  <w:num w:numId="1" w16cid:durableId="15245772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9BE"/>
    <w:rsid w:val="00054C32"/>
    <w:rsid w:val="001C721D"/>
    <w:rsid w:val="004B5BDF"/>
    <w:rsid w:val="00721E8B"/>
    <w:rsid w:val="008B19BE"/>
    <w:rsid w:val="00A41E6E"/>
    <w:rsid w:val="00AD719E"/>
    <w:rsid w:val="00D57C2B"/>
    <w:rsid w:val="00D67B99"/>
    <w:rsid w:val="00EE6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0AC2D"/>
  <w15:docId w15:val="{EC797901-AAC4-436B-82A9-D19B82515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2" w:space="1" w:color="AAAAAA"/>
      </w:pBdr>
      <w:spacing w:before="480" w:after="160" w:line="480" w:lineRule="auto"/>
      <w:outlineLvl w:val="0"/>
    </w:pPr>
    <w:rPr>
      <w:b/>
      <w:bCs/>
      <w:color w:val="000000"/>
      <w:sz w:val="28"/>
      <w:szCs w:val="28"/>
    </w:rPr>
  </w:style>
  <w:style w:type="paragraph" w:styleId="Heading2">
    <w:name w:val="heading 2"/>
    <w:uiPriority w:val="9"/>
    <w:semiHidden/>
    <w:unhideWhenUsed/>
    <w:qFormat/>
    <w:pPr>
      <w:spacing w:before="320" w:after="120" w:line="480" w:lineRule="auto"/>
      <w:outlineLvl w:val="1"/>
    </w:pPr>
    <w:rPr>
      <w:b/>
      <w:bCs/>
      <w:color w:val="000000"/>
      <w:u w:val="single"/>
    </w:rPr>
  </w:style>
  <w:style w:type="paragraph" w:styleId="Heading3">
    <w:name w:val="heading 3"/>
    <w:uiPriority w:val="9"/>
    <w:semiHidden/>
    <w:unhideWhenUsed/>
    <w:qFormat/>
    <w:pPr>
      <w:spacing w:before="240" w:after="80" w:line="480" w:lineRule="auto"/>
      <w:outlineLvl w:val="2"/>
    </w:pPr>
    <w:rPr>
      <w:b/>
      <w:bCs/>
      <w:i/>
      <w:iCs/>
      <w:color w:val="00000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54C32"/>
    <w:pPr>
      <w:tabs>
        <w:tab w:val="center" w:pos="4680"/>
        <w:tab w:val="right" w:pos="9360"/>
      </w:tabs>
    </w:pPr>
  </w:style>
  <w:style w:type="character" w:customStyle="1" w:styleId="HeaderChar">
    <w:name w:val="Header Char"/>
    <w:basedOn w:val="DefaultParagraphFont"/>
    <w:link w:val="Header"/>
    <w:uiPriority w:val="99"/>
    <w:rsid w:val="00054C32"/>
  </w:style>
  <w:style w:type="paragraph" w:styleId="Footer">
    <w:name w:val="footer"/>
    <w:basedOn w:val="Normal"/>
    <w:link w:val="FooterChar"/>
    <w:uiPriority w:val="99"/>
    <w:unhideWhenUsed/>
    <w:rsid w:val="00054C32"/>
    <w:pPr>
      <w:tabs>
        <w:tab w:val="center" w:pos="4680"/>
        <w:tab w:val="right" w:pos="9360"/>
      </w:tabs>
    </w:pPr>
  </w:style>
  <w:style w:type="character" w:customStyle="1" w:styleId="FooterChar">
    <w:name w:val="Footer Char"/>
    <w:basedOn w:val="DefaultParagraphFont"/>
    <w:link w:val="Footer"/>
    <w:uiPriority w:val="99"/>
    <w:rsid w:val="00054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3527</Words>
  <Characters>21731</Characters>
  <Application>Microsoft Office Word</Application>
  <DocSecurity>0</DocSecurity>
  <Lines>557</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Rajul Gupta (2523934)</cp:lastModifiedBy>
  <cp:revision>3</cp:revision>
  <dcterms:created xsi:type="dcterms:W3CDTF">2026-04-29T00:30:00Z</dcterms:created>
  <dcterms:modified xsi:type="dcterms:W3CDTF">2026-04-29T00:34:00Z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49cb658e-36f4-4706-a09b-534822b726b4</vt:lpwstr>
  </property>
</Properties>
</file>