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b w:val="1"/>
          <w:bCs w:val="1"/>
          <w:sz w:val="28"/>
          <w:szCs w:val="28"/>
        </w:rPr>
      </w:pPr>
      <w:r w:rsidDel="00000000" w:rsidR="00000000" w:rsidRPr="00000000">
        <w:rPr>
          <w:b w:val="1"/>
          <w:bCs w:val="1"/>
          <w:sz w:val="28"/>
          <w:szCs w:val="28"/>
        </w:rPr>
        <w:drawing>
          <wp:inline distB="0" distT="0" distL="0" distR="0">
            <wp:extent cx="1943100" cy="552450"/>
            <wp:effectExtent b="0" l="0" r="0" t="0"/>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1943100" cy="5524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rFonts w:ascii="Arial" w:cs="Arial" w:eastAsia="Arial" w:hAnsi="Arial"/>
          <w:b w:val="1"/>
          <w:bCs w:val="1"/>
        </w:rPr>
      </w:pPr>
      <w:r w:rsidDel="00000000" w:rsidR="00000000" w:rsidRPr="00000000">
        <w:rPr>
          <w:rFonts w:ascii="Arial" w:cs="Arial" w:eastAsia="Arial" w:hAnsi="Arial"/>
          <w:b w:val="1"/>
          <w:bCs w:val="1"/>
          <w:rtl w:val="0"/>
        </w:rPr>
        <w:t xml:space="preserve">Student Assessment Submission and Declaration</w:t>
      </w:r>
    </w:p>
    <w:p w:rsidR="00000000" w:rsidDel="00000000" w:rsidP="00000000" w:rsidRDefault="00000000" w:rsidRPr="00000000" w14:paraId="00000003">
      <w:pPr>
        <w:rPr>
          <w:rFonts w:ascii="Arial" w:cs="Arial" w:eastAsia="Arial" w:hAnsi="Arial"/>
          <w:b w:val="1"/>
          <w:bCs w:val="1"/>
        </w:rPr>
      </w:pPr>
      <w:r w:rsidDel="00000000" w:rsidR="00000000" w:rsidRPr="00000000">
        <w:rPr>
          <w:rFonts w:ascii="Arial" w:cs="Arial" w:eastAsia="Arial" w:hAnsi="Arial"/>
          <w:b w:val="1"/>
          <w:bCs w:val="1"/>
          <w:rtl w:val="0"/>
        </w:rPr>
        <w:t xml:space="preserve">When submitting evidence for assessment, you must sign a declaration confirming that the work is your own.</w:t>
      </w:r>
    </w:p>
    <w:tbl>
      <w:tblPr>
        <w:tblStyle w:val="Table1"/>
        <w:tblW w:w="913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2730"/>
        <w:gridCol w:w="6405"/>
        <w:tblGridChange w:id="0">
          <w:tblGrid>
            <w:gridCol w:w="2730"/>
            <w:gridCol w:w="6405"/>
          </w:tblGrid>
        </w:tblGridChange>
      </w:tblGrid>
      <w:tr>
        <w:trPr>
          <w:cantSplit w:val="0"/>
          <w:trHeight w:val="761" w:hRule="atLeast"/>
          <w:tblHeader w:val="0"/>
        </w:trPr>
        <w:tc>
          <w:tcPr>
            <w:tcBorders>
              <w:top w:color="000000" w:space="0" w:sz="4" w:val="single"/>
              <w:left w:color="000000" w:space="0" w:sz="4" w:val="single"/>
              <w:bottom w:color="000000" w:space="0" w:sz="4" w:val="single"/>
              <w:right w:color="000000" w:space="0" w:sz="4" w:val="single"/>
            </w:tcBorders>
            <w:shd w:fill="a5c9eb" w:val="clear"/>
          </w:tcPr>
          <w:p w:rsidR="00000000" w:rsidDel="00000000" w:rsidP="00000000" w:rsidRDefault="00000000" w:rsidRPr="00000000" w14:paraId="00000004">
            <w:pPr>
              <w:spacing w:after="160" w:line="278.00000000000006" w:lineRule="auto"/>
              <w:rPr>
                <w:rFonts w:ascii="Arial" w:cs="Arial" w:eastAsia="Arial" w:hAnsi="Arial"/>
                <w:b w:val="1"/>
                <w:bCs w:val="1"/>
              </w:rPr>
            </w:pPr>
            <w:r w:rsidDel="00000000" w:rsidR="00000000" w:rsidRPr="00000000">
              <w:rPr>
                <w:rFonts w:ascii="Arial" w:cs="Arial" w:eastAsia="Arial" w:hAnsi="Arial"/>
                <w:b w:val="1"/>
                <w:bCs w:val="1"/>
                <w:rtl w:val="0"/>
              </w:rPr>
              <w:t xml:space="preserve">Student name:</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05">
            <w:pPr>
              <w:spacing w:after="160" w:line="278.00000000000006" w:lineRule="auto"/>
              <w:rPr>
                <w:rFonts w:ascii="Arial" w:cs="Arial" w:eastAsia="Arial" w:hAnsi="Arial"/>
                <w:b w:val="1"/>
                <w:bCs w:val="1"/>
              </w:rPr>
            </w:pPr>
            <w:r w:rsidDel="00000000" w:rsidR="00000000" w:rsidRPr="00000000">
              <w:rPr>
                <w:rFonts w:ascii="Arial" w:cs="Arial" w:eastAsia="Arial" w:hAnsi="Arial"/>
                <w:b w:val="1"/>
                <w:bCs w:val="1"/>
                <w:rtl w:val="0"/>
              </w:rPr>
              <w:t xml:space="preserve">Eric Lerouge ANGWE NZE</w:t>
            </w:r>
          </w:p>
        </w:tc>
      </w:tr>
      <w:tr>
        <w:trPr>
          <w:cantSplit w:val="0"/>
          <w:trHeight w:val="300" w:hRule="atLeast"/>
          <w:tblHeader w:val="0"/>
        </w:trPr>
        <w:tc>
          <w:tcPr>
            <w:tcBorders>
              <w:top w:color="000000" w:space="0" w:sz="4" w:val="single"/>
              <w:left w:color="000000" w:space="0" w:sz="4" w:val="single"/>
              <w:bottom w:color="000000" w:space="0" w:sz="4" w:val="single"/>
              <w:right w:color="000000" w:space="0" w:sz="4" w:val="single"/>
            </w:tcBorders>
            <w:shd w:fill="a5c9eb" w:val="clear"/>
          </w:tcPr>
          <w:p w:rsidR="00000000" w:rsidDel="00000000" w:rsidP="00000000" w:rsidRDefault="00000000" w:rsidRPr="00000000" w14:paraId="00000006">
            <w:pPr>
              <w:spacing w:after="160" w:line="278.00000000000006" w:lineRule="auto"/>
              <w:rPr>
                <w:rFonts w:ascii="Arial" w:cs="Arial" w:eastAsia="Arial" w:hAnsi="Arial"/>
                <w:b w:val="1"/>
                <w:bCs w:val="1"/>
              </w:rPr>
            </w:pPr>
            <w:r w:rsidDel="00000000" w:rsidR="00000000" w:rsidRPr="00000000">
              <w:rPr>
                <w:rFonts w:ascii="Arial" w:cs="Arial" w:eastAsia="Arial" w:hAnsi="Arial"/>
                <w:b w:val="1"/>
                <w:bCs w:val="1"/>
                <w:rtl w:val="0"/>
              </w:rPr>
              <w:t xml:space="preserve">Student ID: </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07">
            <w:pPr>
              <w:spacing w:after="160" w:line="278.00000000000006" w:lineRule="auto"/>
              <w:rPr>
                <w:rFonts w:ascii="Arial" w:cs="Arial" w:eastAsia="Arial" w:hAnsi="Arial"/>
                <w:b w:val="1"/>
                <w:bCs w:val="1"/>
              </w:rPr>
            </w:pPr>
            <w:r w:rsidDel="00000000" w:rsidR="00000000" w:rsidRPr="00000000">
              <w:rPr>
                <w:rFonts w:ascii="Arial" w:cs="Arial" w:eastAsia="Arial" w:hAnsi="Arial"/>
                <w:b w:val="1"/>
                <w:bCs w:val="1"/>
                <w:rtl w:val="0"/>
              </w:rPr>
              <w:t xml:space="preserve">2417255</w:t>
            </w:r>
          </w:p>
        </w:tc>
      </w:tr>
      <w:tr>
        <w:trPr>
          <w:cantSplit w:val="0"/>
          <w:trHeight w:val="300" w:hRule="atLeast"/>
          <w:tblHeader w:val="0"/>
        </w:trPr>
        <w:tc>
          <w:tcPr>
            <w:tcBorders>
              <w:top w:color="000000" w:space="0" w:sz="4" w:val="single"/>
              <w:left w:color="000000" w:space="0" w:sz="4" w:val="single"/>
              <w:bottom w:color="000000" w:space="0" w:sz="4" w:val="single"/>
              <w:right w:color="000000" w:space="0" w:sz="4" w:val="single"/>
            </w:tcBorders>
            <w:shd w:fill="a5c9eb" w:val="clear"/>
          </w:tcPr>
          <w:p w:rsidR="00000000" w:rsidDel="00000000" w:rsidP="00000000" w:rsidRDefault="00000000" w:rsidRPr="00000000" w14:paraId="00000008">
            <w:pPr>
              <w:spacing w:after="160" w:line="278.00000000000006" w:lineRule="auto"/>
              <w:rPr>
                <w:rFonts w:ascii="Arial" w:cs="Arial" w:eastAsia="Arial" w:hAnsi="Arial"/>
                <w:b w:val="1"/>
                <w:bCs w:val="1"/>
              </w:rPr>
            </w:pPr>
            <w:r w:rsidDel="00000000" w:rsidR="00000000" w:rsidRPr="00000000">
              <w:rPr>
                <w:rFonts w:ascii="Arial" w:cs="Arial" w:eastAsia="Arial" w:hAnsi="Arial"/>
                <w:b w:val="1"/>
                <w:bCs w:val="1"/>
                <w:rtl w:val="0"/>
              </w:rPr>
              <w:t xml:space="preserve">Programme:</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09">
            <w:pPr>
              <w:spacing w:after="160" w:line="278.00000000000006" w:lineRule="auto"/>
              <w:rPr>
                <w:rFonts w:ascii="Arial" w:cs="Arial" w:eastAsia="Arial" w:hAnsi="Arial"/>
                <w:b w:val="1"/>
                <w:bCs w:val="1"/>
              </w:rPr>
            </w:pPr>
            <w:r w:rsidDel="00000000" w:rsidR="00000000" w:rsidRPr="00000000">
              <w:rPr>
                <w:rFonts w:ascii="Arial" w:cs="Arial" w:eastAsia="Arial" w:hAnsi="Arial"/>
                <w:b w:val="1"/>
                <w:bCs w:val="1"/>
                <w:rtl w:val="0"/>
              </w:rPr>
              <w:t xml:space="preserve">BSc Health and Social Care</w:t>
            </w:r>
          </w:p>
        </w:tc>
      </w:tr>
      <w:tr>
        <w:trPr>
          <w:cantSplit w:val="0"/>
          <w:trHeight w:val="330" w:hRule="atLeast"/>
          <w:tblHeader w:val="0"/>
        </w:trPr>
        <w:tc>
          <w:tcPr>
            <w:tcBorders>
              <w:top w:color="000000" w:space="0" w:sz="4" w:val="single"/>
              <w:left w:color="000000" w:space="0" w:sz="4" w:val="single"/>
              <w:bottom w:color="000000" w:space="0" w:sz="4" w:val="single"/>
              <w:right w:color="000000" w:space="0" w:sz="4" w:val="single"/>
            </w:tcBorders>
            <w:shd w:fill="a5c9eb" w:val="clear"/>
          </w:tcPr>
          <w:p w:rsidR="00000000" w:rsidDel="00000000" w:rsidP="00000000" w:rsidRDefault="00000000" w:rsidRPr="00000000" w14:paraId="0000000A">
            <w:pPr>
              <w:spacing w:after="160" w:line="278.00000000000006" w:lineRule="auto"/>
              <w:rPr>
                <w:rFonts w:ascii="Arial" w:cs="Arial" w:eastAsia="Arial" w:hAnsi="Arial"/>
                <w:b w:val="1"/>
                <w:bCs w:val="1"/>
              </w:rPr>
            </w:pPr>
            <w:r w:rsidDel="00000000" w:rsidR="00000000" w:rsidRPr="00000000">
              <w:rPr>
                <w:rFonts w:ascii="Arial" w:cs="Arial" w:eastAsia="Arial" w:hAnsi="Arial"/>
                <w:b w:val="1"/>
                <w:bCs w:val="1"/>
                <w:rtl w:val="0"/>
              </w:rPr>
              <w:t xml:space="preserve">Module name and code:</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0B">
            <w:pPr>
              <w:spacing w:after="160" w:line="278.00000000000006" w:lineRule="auto"/>
              <w:rPr>
                <w:rFonts w:ascii="Arial" w:cs="Arial" w:eastAsia="Arial" w:hAnsi="Arial"/>
                <w:b w:val="1"/>
                <w:bCs w:val="1"/>
              </w:rPr>
            </w:pPr>
            <w:r w:rsidDel="00000000" w:rsidR="00000000" w:rsidRPr="00000000">
              <w:rPr>
                <w:rFonts w:ascii="Arial" w:cs="Arial" w:eastAsia="Arial" w:hAnsi="Arial"/>
                <w:b w:val="1"/>
                <w:bCs w:val="1"/>
                <w:rtl w:val="0"/>
              </w:rPr>
              <w:t xml:space="preserve">BMHP5016</w:t>
            </w:r>
          </w:p>
        </w:tc>
      </w:tr>
      <w:tr>
        <w:trPr>
          <w:cantSplit w:val="0"/>
          <w:trHeight w:val="330" w:hRule="atLeast"/>
          <w:tblHeader w:val="0"/>
        </w:trPr>
        <w:tc>
          <w:tcPr>
            <w:tcBorders>
              <w:top w:color="000000" w:space="0" w:sz="4" w:val="single"/>
              <w:left w:color="000000" w:space="0" w:sz="4" w:val="single"/>
              <w:bottom w:color="000000" w:space="0" w:sz="4" w:val="single"/>
              <w:right w:color="000000" w:space="0" w:sz="4" w:val="single"/>
            </w:tcBorders>
            <w:shd w:fill="a5c9eb" w:val="clear"/>
          </w:tcPr>
          <w:p w:rsidR="00000000" w:rsidDel="00000000" w:rsidP="00000000" w:rsidRDefault="00000000" w:rsidRPr="00000000" w14:paraId="0000000C">
            <w:pPr>
              <w:spacing w:after="160" w:line="278.00000000000006" w:lineRule="auto"/>
              <w:rPr>
                <w:rFonts w:ascii="Arial" w:cs="Arial" w:eastAsia="Arial" w:hAnsi="Arial"/>
                <w:b w:val="1"/>
                <w:bCs w:val="1"/>
              </w:rPr>
            </w:pPr>
            <w:r w:rsidDel="00000000" w:rsidR="00000000" w:rsidRPr="00000000">
              <w:rPr>
                <w:rFonts w:ascii="Arial" w:cs="Arial" w:eastAsia="Arial" w:hAnsi="Arial"/>
                <w:b w:val="1"/>
                <w:bCs w:val="1"/>
                <w:rtl w:val="0"/>
              </w:rPr>
              <w:t xml:space="preserve">Lecture's name: </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0D">
            <w:pPr>
              <w:spacing w:after="160" w:line="278.00000000000006" w:lineRule="auto"/>
              <w:rPr>
                <w:rFonts w:ascii="Arial" w:cs="Arial" w:eastAsia="Arial" w:hAnsi="Arial"/>
                <w:b w:val="1"/>
                <w:bCs w:val="1"/>
              </w:rPr>
            </w:pPr>
            <w:r w:rsidDel="00000000" w:rsidR="00000000" w:rsidRPr="00000000">
              <w:rPr>
                <w:rFonts w:ascii="Arial" w:cs="Arial" w:eastAsia="Arial" w:hAnsi="Arial"/>
                <w:b w:val="1"/>
                <w:bCs w:val="1"/>
                <w:rtl w:val="0"/>
              </w:rPr>
              <w:t xml:space="preserve">Mark Kane</w:t>
            </w:r>
          </w:p>
        </w:tc>
      </w:tr>
    </w:tbl>
    <w:p w:rsidR="00000000" w:rsidDel="00000000" w:rsidP="00000000" w:rsidRDefault="00000000" w:rsidRPr="00000000" w14:paraId="0000000E">
      <w:pPr>
        <w:rPr>
          <w:rFonts w:ascii="Arial" w:cs="Arial" w:eastAsia="Arial" w:hAnsi="Arial"/>
          <w:b w:val="1"/>
          <w:bCs w:val="1"/>
        </w:rPr>
      </w:pPr>
      <w:r w:rsidDel="00000000" w:rsidR="00000000" w:rsidRPr="00000000">
        <w:rPr>
          <w:rFonts w:ascii="Arial" w:cs="Arial" w:eastAsia="Arial" w:hAnsi="Arial"/>
          <w:b w:val="1"/>
          <w:bCs w:val="1"/>
          <w:rtl w:val="0"/>
        </w:rPr>
        <w:t xml:space="preserve">Plagiarism</w:t>
      </w:r>
    </w:p>
    <w:p w:rsidR="00000000" w:rsidDel="00000000" w:rsidP="00000000" w:rsidRDefault="00000000" w:rsidRPr="00000000" w14:paraId="0000000F">
      <w:pPr>
        <w:rPr>
          <w:rFonts w:ascii="Arial" w:cs="Arial" w:eastAsia="Arial" w:hAnsi="Arial"/>
        </w:rPr>
      </w:pPr>
      <w:r w:rsidDel="00000000" w:rsidR="00000000" w:rsidRPr="00000000">
        <w:rPr>
          <w:rFonts w:ascii="Arial" w:cs="Arial" w:eastAsia="Arial" w:hAnsi="Arial"/>
          <w:rtl w:val="0"/>
        </w:rPr>
        <w:t xml:space="preserve">Plagiarism is a form of cheating. Plagiarism must be avoided at all costs and students who break the rules, however innocently, may be penalised.  It is your responsibility to ensure that you understand correct referencing practices.  As a university level student, you are expected to use appropriate references throughout and keep carefully detailed notes of all your sources of materials for material you have used in your work, including any material downloaded from the Internet. Please consult the relevant unit lecturer or your course tutor if you need any further advice.</w:t>
      </w:r>
    </w:p>
    <w:tbl>
      <w:tblPr>
        <w:tblStyle w:val="Table2"/>
        <w:tblW w:w="9438.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158"/>
        <w:gridCol w:w="5280"/>
        <w:tblGridChange w:id="0">
          <w:tblGrid>
            <w:gridCol w:w="4158"/>
            <w:gridCol w:w="5280"/>
          </w:tblGrid>
        </w:tblGridChange>
      </w:tblGrid>
      <w:tr>
        <w:trPr>
          <w:cantSplit w:val="0"/>
          <w:trHeight w:val="1412" w:hRule="atLeast"/>
          <w:tblHeader w:val="0"/>
        </w:trPr>
        <w:tc>
          <w:tcPr>
            <w:gridSpan w:val="2"/>
            <w:tcBorders>
              <w:top w:color="000000" w:space="0" w:sz="4" w:val="single"/>
              <w:left w:color="000000" w:space="0" w:sz="4" w:val="single"/>
              <w:bottom w:color="000000" w:space="0" w:sz="4" w:val="single"/>
              <w:right w:color="000000" w:space="0" w:sz="4" w:val="single"/>
            </w:tcBorders>
            <w:shd w:fill="a5c9eb" w:val="clear"/>
          </w:tcPr>
          <w:p w:rsidR="00000000" w:rsidDel="00000000" w:rsidP="00000000" w:rsidRDefault="00000000" w:rsidRPr="00000000" w14:paraId="00000010">
            <w:pPr>
              <w:spacing w:after="160" w:line="278.00000000000006" w:lineRule="auto"/>
              <w:rPr>
                <w:rFonts w:ascii="Arial" w:cs="Arial" w:eastAsia="Arial" w:hAnsi="Arial"/>
                <w:b w:val="1"/>
                <w:bCs w:val="1"/>
              </w:rPr>
            </w:pPr>
            <w:r w:rsidDel="00000000" w:rsidR="00000000" w:rsidRPr="00000000">
              <w:rPr>
                <w:rFonts w:ascii="Arial" w:cs="Arial" w:eastAsia="Arial" w:hAnsi="Arial"/>
                <w:b w:val="1"/>
                <w:bCs w:val="1"/>
                <w:rtl w:val="0"/>
              </w:rPr>
              <w:t xml:space="preserve">Student declaration</w:t>
            </w:r>
          </w:p>
          <w:p w:rsidR="00000000" w:rsidDel="00000000" w:rsidP="00000000" w:rsidRDefault="00000000" w:rsidRPr="00000000" w14:paraId="00000011">
            <w:pPr>
              <w:spacing w:after="160" w:line="278.00000000000006" w:lineRule="auto"/>
              <w:rPr>
                <w:rFonts w:ascii="Arial" w:cs="Arial" w:eastAsia="Arial" w:hAnsi="Arial"/>
                <w:b w:val="1"/>
                <w:bCs w:val="1"/>
              </w:rPr>
            </w:pPr>
            <w:r w:rsidDel="00000000" w:rsidR="00000000" w:rsidRPr="00000000">
              <w:rPr>
                <w:rFonts w:ascii="Arial" w:cs="Arial" w:eastAsia="Arial" w:hAnsi="Arial"/>
                <w:b w:val="1"/>
                <w:bCs w:val="1"/>
                <w:rtl w:val="0"/>
              </w:rPr>
              <w:t xml:space="preserve">I certify that the assignment submission is entirely my own work. I fully understand the consequences of plagiarism. I understand that making a false declaration is a form of malpractice.</w:t>
            </w:r>
          </w:p>
        </w:tc>
      </w:tr>
      <w:tr>
        <w:trPr>
          <w:cantSplit w:val="0"/>
          <w:trHeight w:val="480" w:hRule="atLeast"/>
          <w:tblHeader w:val="0"/>
        </w:trPr>
        <w:tc>
          <w:tcPr>
            <w:tcBorders>
              <w:top w:color="000000" w:space="0" w:sz="4" w:val="single"/>
              <w:left w:color="000000" w:space="0" w:sz="4" w:val="single"/>
              <w:bottom w:color="000000" w:space="0" w:sz="4" w:val="single"/>
              <w:right w:color="000000" w:space="0" w:sz="4" w:val="single"/>
            </w:tcBorders>
            <w:shd w:fill="a5c9eb" w:val="clear"/>
          </w:tcPr>
          <w:p w:rsidR="00000000" w:rsidDel="00000000" w:rsidP="00000000" w:rsidRDefault="00000000" w:rsidRPr="00000000" w14:paraId="00000013">
            <w:pPr>
              <w:spacing w:after="160" w:line="278.00000000000006" w:lineRule="auto"/>
              <w:rPr>
                <w:rFonts w:ascii="Arial" w:cs="Arial" w:eastAsia="Arial" w:hAnsi="Arial"/>
                <w:b w:val="1"/>
                <w:bCs w:val="1"/>
              </w:rPr>
            </w:pPr>
            <w:r w:rsidDel="00000000" w:rsidR="00000000" w:rsidRPr="00000000">
              <w:rPr>
                <w:rFonts w:ascii="Arial" w:cs="Arial" w:eastAsia="Arial" w:hAnsi="Arial"/>
                <w:b w:val="1"/>
                <w:bCs w:val="1"/>
                <w:rtl w:val="0"/>
              </w:rPr>
              <w:t xml:space="preserve">Student signature:</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14">
            <w:pPr>
              <w:spacing w:after="160" w:line="278.00000000000006" w:lineRule="auto"/>
              <w:rPr>
                <w:rFonts w:ascii="Arial" w:cs="Arial" w:eastAsia="Arial" w:hAnsi="Arial"/>
                <w:b w:val="1"/>
                <w:bCs w:val="1"/>
              </w:rPr>
            </w:pPr>
            <w:r w:rsidDel="00000000" w:rsidR="00000000" w:rsidRPr="00000000">
              <w:rPr>
                <w:rFonts w:ascii="Arial" w:cs="Arial" w:eastAsia="Arial" w:hAnsi="Arial"/>
                <w:b w:val="1"/>
                <w:bCs w:val="1"/>
                <w:rtl w:val="0"/>
              </w:rPr>
              <w:t xml:space="preserve">Eric Lerouge ANGWE NZE</w:t>
            </w:r>
          </w:p>
        </w:tc>
      </w:tr>
      <w:tr>
        <w:trPr>
          <w:cantSplit w:val="0"/>
          <w:trHeight w:val="480" w:hRule="atLeast"/>
          <w:tblHeader w:val="0"/>
        </w:trPr>
        <w:tc>
          <w:tcPr>
            <w:tcBorders>
              <w:top w:color="000000" w:space="0" w:sz="4" w:val="single"/>
              <w:left w:color="000000" w:space="0" w:sz="4" w:val="single"/>
              <w:bottom w:color="000000" w:space="0" w:sz="4" w:val="single"/>
              <w:right w:color="000000" w:space="0" w:sz="4" w:val="single"/>
            </w:tcBorders>
            <w:shd w:fill="a5c9eb" w:val="clear"/>
          </w:tcPr>
          <w:p w:rsidR="00000000" w:rsidDel="00000000" w:rsidP="00000000" w:rsidRDefault="00000000" w:rsidRPr="00000000" w14:paraId="00000015">
            <w:pPr>
              <w:spacing w:after="160" w:line="278.00000000000006" w:lineRule="auto"/>
              <w:rPr>
                <w:rFonts w:ascii="Arial" w:cs="Arial" w:eastAsia="Arial" w:hAnsi="Arial"/>
                <w:b w:val="1"/>
                <w:bCs w:val="1"/>
              </w:rPr>
            </w:pPr>
            <w:r w:rsidDel="00000000" w:rsidR="00000000" w:rsidRPr="00000000">
              <w:rPr>
                <w:rFonts w:ascii="Arial" w:cs="Arial" w:eastAsia="Arial" w:hAnsi="Arial"/>
                <w:b w:val="1"/>
                <w:bCs w:val="1"/>
                <w:rtl w:val="0"/>
              </w:rPr>
              <w:t xml:space="preserve">Date : </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16">
            <w:pPr>
              <w:spacing w:after="160" w:line="278.00000000000006" w:lineRule="auto"/>
              <w:rPr>
                <w:rFonts w:ascii="Arial" w:cs="Arial" w:eastAsia="Arial" w:hAnsi="Arial"/>
                <w:b w:val="1"/>
                <w:bCs w:val="1"/>
              </w:rPr>
            </w:pPr>
            <w:r w:rsidDel="00000000" w:rsidR="00000000" w:rsidRPr="00000000">
              <w:rPr>
                <w:rFonts w:ascii="Arial" w:cs="Arial" w:eastAsia="Arial" w:hAnsi="Arial"/>
                <w:b w:val="1"/>
                <w:bCs w:val="1"/>
                <w:rtl w:val="0"/>
              </w:rPr>
              <w:t xml:space="preserve">15/04/2026</w:t>
            </w:r>
          </w:p>
        </w:tc>
      </w:tr>
    </w:tbl>
    <w:p w:rsidR="00000000" w:rsidDel="00000000" w:rsidP="00000000" w:rsidRDefault="00000000" w:rsidRPr="00000000" w14:paraId="00000017">
      <w:pPr>
        <w:rPr>
          <w:b w:val="1"/>
          <w:bCs w:val="1"/>
          <w:sz w:val="28"/>
          <w:szCs w:val="28"/>
          <w:u w:val="single"/>
        </w:rPr>
      </w:pPr>
      <w:r w:rsidDel="00000000" w:rsidR="00000000" w:rsidRPr="00000000">
        <w:rPr>
          <w:rtl w:val="0"/>
        </w:rPr>
      </w:r>
    </w:p>
    <w:p w:rsidR="00000000" w:rsidDel="00000000" w:rsidP="00000000" w:rsidRDefault="00000000" w:rsidRPr="00000000" w14:paraId="00000018">
      <w:pPr>
        <w:rPr>
          <w:b w:val="1"/>
          <w:bCs w:val="1"/>
          <w:sz w:val="28"/>
          <w:szCs w:val="28"/>
          <w:u w:val="single"/>
        </w:rPr>
      </w:pPr>
      <w:r w:rsidDel="00000000" w:rsidR="00000000" w:rsidRPr="00000000">
        <w:rPr>
          <w:rtl w:val="0"/>
        </w:rPr>
      </w:r>
    </w:p>
    <w:p w:rsidR="00000000" w:rsidDel="00000000" w:rsidP="00000000" w:rsidRDefault="00000000" w:rsidRPr="00000000" w14:paraId="00000019">
      <w:pPr>
        <w:rPr>
          <w:b w:val="1"/>
          <w:bCs w:val="1"/>
          <w:sz w:val="28"/>
          <w:szCs w:val="28"/>
          <w:u w:val="single"/>
        </w:rPr>
      </w:pPr>
      <w:r w:rsidDel="00000000" w:rsidR="00000000" w:rsidRPr="00000000">
        <w:rPr>
          <w:rtl w:val="0"/>
        </w:rPr>
      </w:r>
    </w:p>
    <w:p w:rsidR="00000000" w:rsidDel="00000000" w:rsidP="00000000" w:rsidRDefault="00000000" w:rsidRPr="00000000" w14:paraId="0000001A">
      <w:pPr>
        <w:rPr>
          <w:b w:val="1"/>
          <w:bCs w:val="1"/>
          <w:sz w:val="28"/>
          <w:szCs w:val="28"/>
          <w:u w:val="single"/>
        </w:rPr>
      </w:pPr>
      <w:r w:rsidDel="00000000" w:rsidR="00000000" w:rsidRPr="00000000">
        <w:rPr>
          <w:rtl w:val="0"/>
        </w:rPr>
      </w:r>
    </w:p>
    <w:p w:rsidR="00000000" w:rsidDel="00000000" w:rsidP="00000000" w:rsidRDefault="00000000" w:rsidRPr="00000000" w14:paraId="0000001B">
      <w:pPr>
        <w:jc w:val="center"/>
        <w:rPr>
          <w:b w:val="1"/>
          <w:bCs w:val="1"/>
          <w:sz w:val="28"/>
          <w:szCs w:val="28"/>
          <w:u w:val="single"/>
        </w:rPr>
      </w:pPr>
      <w:r w:rsidDel="00000000" w:rsidR="00000000" w:rsidRPr="00000000">
        <w:rPr>
          <w:b w:val="1"/>
          <w:bCs w:val="1"/>
          <w:sz w:val="28"/>
          <w:szCs w:val="28"/>
          <w:u w:val="single"/>
          <w:rtl w:val="0"/>
        </w:rPr>
        <w:t xml:space="preserve">Table of content </w:t>
      </w:r>
    </w:p>
    <w:sdt>
      <w:sdtPr>
        <w:id w:val="-1411747414"/>
        <w:docPartObj>
          <w:docPartGallery w:val="Table of Contents"/>
          <w:docPartUnique w:val="1"/>
        </w:docPartObj>
      </w:sdtPr>
      <w:sdtContent>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60"/>
            </w:tabs>
            <w:spacing w:after="100" w:before="0" w:line="278.00000000000006" w:lineRule="auto"/>
            <w:ind w:left="0" w:right="0" w:firstLine="0"/>
            <w:jc w:val="left"/>
            <w:rPr>
              <w:rFonts w:ascii="Aptos" w:cs="Aptos" w:eastAsia="Aptos" w:hAnsi="Aptos"/>
              <w:b w:val="0"/>
              <w:bCs w:val="0"/>
              <w:i w:val="0"/>
              <w:iCs w:val="0"/>
              <w:smallCaps w:val="0"/>
              <w:strike w:val="0"/>
              <w:color w:val="467886"/>
              <w:sz w:val="24"/>
              <w:szCs w:val="24"/>
              <w:u w:val="singl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heading=h.81b749pfwcid">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Introduction</w:t>
              <w:tab/>
              <w:t xml:space="preserve">2</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60"/>
            </w:tabs>
            <w:spacing w:after="100" w:before="0" w:line="278.00000000000006" w:lineRule="auto"/>
            <w:ind w:left="0" w:right="0" w:firstLine="0"/>
            <w:jc w:val="left"/>
            <w:rPr>
              <w:rFonts w:ascii="Aptos" w:cs="Aptos" w:eastAsia="Aptos" w:hAnsi="Aptos"/>
              <w:b w:val="0"/>
              <w:bCs w:val="0"/>
              <w:i w:val="0"/>
              <w:iCs w:val="0"/>
              <w:smallCaps w:val="0"/>
              <w:strike w:val="0"/>
              <w:color w:val="467886"/>
              <w:sz w:val="24"/>
              <w:szCs w:val="24"/>
              <w:u w:val="single"/>
              <w:shd w:fill="auto" w:val="clear"/>
              <w:vertAlign w:val="baseline"/>
            </w:rPr>
          </w:pPr>
          <w:hyperlink w:anchor="_heading=h.7xl4yjtglfgf">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Task 1: Critical Reflection on Core Principles</w:t>
              <w:tab/>
              <w:t xml:space="preserve">3</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60"/>
            </w:tabs>
            <w:spacing w:after="100" w:before="0" w:line="278.00000000000006" w:lineRule="auto"/>
            <w:ind w:left="0" w:right="0" w:firstLine="0"/>
            <w:jc w:val="left"/>
            <w:rPr>
              <w:rFonts w:ascii="Aptos" w:cs="Aptos" w:eastAsia="Aptos" w:hAnsi="Aptos"/>
              <w:b w:val="0"/>
              <w:bCs w:val="0"/>
              <w:i w:val="0"/>
              <w:iCs w:val="0"/>
              <w:smallCaps w:val="0"/>
              <w:strike w:val="0"/>
              <w:color w:val="467886"/>
              <w:sz w:val="24"/>
              <w:szCs w:val="24"/>
              <w:u w:val="single"/>
              <w:shd w:fill="auto" w:val="clear"/>
              <w:vertAlign w:val="baseline"/>
            </w:rPr>
          </w:pPr>
          <w:hyperlink w:anchor="_heading=h.fuamtkdxdud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Task 2: Application in Practice (Case Example)</w:t>
              <w:tab/>
              <w:t xml:space="preserve">5</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60"/>
            </w:tabs>
            <w:spacing w:after="100" w:before="0" w:line="278.00000000000006" w:lineRule="auto"/>
            <w:ind w:left="0" w:right="0" w:firstLine="0"/>
            <w:jc w:val="left"/>
            <w:rPr>
              <w:rFonts w:ascii="Aptos" w:cs="Aptos" w:eastAsia="Aptos" w:hAnsi="Aptos"/>
              <w:b w:val="0"/>
              <w:bCs w:val="0"/>
              <w:i w:val="0"/>
              <w:iCs w:val="0"/>
              <w:smallCaps w:val="0"/>
              <w:strike w:val="0"/>
              <w:color w:val="467886"/>
              <w:sz w:val="24"/>
              <w:szCs w:val="24"/>
              <w:u w:val="single"/>
              <w:shd w:fill="auto" w:val="clear"/>
              <w:vertAlign w:val="baseline"/>
            </w:rPr>
          </w:pPr>
          <w:hyperlink w:anchor="_heading=h.3ah0y53qwkap">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Task 3: Self-Reflection as a Professional</w:t>
              <w:tab/>
              <w:t xml:space="preserve">6</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60"/>
            </w:tabs>
            <w:spacing w:after="100" w:before="0" w:line="278.00000000000006" w:lineRule="auto"/>
            <w:ind w:left="0" w:right="0" w:firstLine="0"/>
            <w:jc w:val="left"/>
            <w:rPr>
              <w:rFonts w:ascii="Aptos" w:cs="Aptos" w:eastAsia="Aptos" w:hAnsi="Aptos"/>
              <w:b w:val="0"/>
              <w:bCs w:val="0"/>
              <w:i w:val="0"/>
              <w:iCs w:val="0"/>
              <w:smallCaps w:val="0"/>
              <w:strike w:val="0"/>
              <w:color w:val="467886"/>
              <w:sz w:val="24"/>
              <w:szCs w:val="24"/>
              <w:u w:val="single"/>
              <w:shd w:fill="auto" w:val="clear"/>
              <w:vertAlign w:val="baseline"/>
            </w:rPr>
          </w:pPr>
          <w:hyperlink w:anchor="_heading=h.dkfx1cs6dgds">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Reference</w:t>
              <w:tab/>
              <w:t xml:space="preserve">9</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1">
      <w:pPr>
        <w:jc w:val="center"/>
        <w:rPr>
          <w:b w:val="1"/>
          <w:bCs w:val="1"/>
          <w:sz w:val="28"/>
          <w:szCs w:val="28"/>
          <w:u w:val="single"/>
        </w:rPr>
      </w:pPr>
      <w:r w:rsidDel="00000000" w:rsidR="00000000" w:rsidRPr="00000000">
        <w:rPr>
          <w:rtl w:val="0"/>
        </w:rPr>
      </w:r>
    </w:p>
    <w:p w:rsidR="00000000" w:rsidDel="00000000" w:rsidP="00000000" w:rsidRDefault="00000000" w:rsidRPr="00000000" w14:paraId="00000022">
      <w:pPr>
        <w:jc w:val="center"/>
        <w:rPr>
          <w:b w:val="1"/>
          <w:bCs w:val="1"/>
          <w:sz w:val="28"/>
          <w:szCs w:val="28"/>
        </w:rPr>
      </w:pPr>
      <w:r w:rsidDel="00000000" w:rsidR="00000000" w:rsidRPr="00000000">
        <w:rPr>
          <w:rtl w:val="0"/>
        </w:rPr>
      </w:r>
    </w:p>
    <w:p w:rsidR="00000000" w:rsidDel="00000000" w:rsidP="00000000" w:rsidRDefault="00000000" w:rsidRPr="00000000" w14:paraId="00000023">
      <w:pPr>
        <w:jc w:val="center"/>
        <w:rPr>
          <w:b w:val="1"/>
          <w:bCs w:val="1"/>
          <w:sz w:val="28"/>
          <w:szCs w:val="28"/>
        </w:rPr>
      </w:pPr>
      <w:r w:rsidDel="00000000" w:rsidR="00000000" w:rsidRPr="00000000">
        <w:rPr>
          <w:rtl w:val="0"/>
        </w:rPr>
      </w:r>
    </w:p>
    <w:p w:rsidR="00000000" w:rsidDel="00000000" w:rsidP="00000000" w:rsidRDefault="00000000" w:rsidRPr="00000000" w14:paraId="00000024">
      <w:pPr>
        <w:jc w:val="center"/>
        <w:rPr>
          <w:b w:val="1"/>
          <w:bCs w:val="1"/>
          <w:sz w:val="28"/>
          <w:szCs w:val="28"/>
        </w:rPr>
      </w:pPr>
      <w:r w:rsidDel="00000000" w:rsidR="00000000" w:rsidRPr="00000000">
        <w:rPr>
          <w:rtl w:val="0"/>
        </w:rPr>
      </w:r>
    </w:p>
    <w:p w:rsidR="00000000" w:rsidDel="00000000" w:rsidP="00000000" w:rsidRDefault="00000000" w:rsidRPr="00000000" w14:paraId="00000025">
      <w:pPr>
        <w:jc w:val="center"/>
        <w:rPr>
          <w:b w:val="1"/>
          <w:bCs w:val="1"/>
          <w:sz w:val="28"/>
          <w:szCs w:val="28"/>
        </w:rPr>
      </w:pPr>
      <w:r w:rsidDel="00000000" w:rsidR="00000000" w:rsidRPr="00000000">
        <w:rPr>
          <w:rtl w:val="0"/>
        </w:rPr>
      </w:r>
    </w:p>
    <w:p w:rsidR="00000000" w:rsidDel="00000000" w:rsidP="00000000" w:rsidRDefault="00000000" w:rsidRPr="00000000" w14:paraId="00000026">
      <w:pPr>
        <w:jc w:val="center"/>
        <w:rPr>
          <w:b w:val="1"/>
          <w:bCs w:val="1"/>
          <w:sz w:val="28"/>
          <w:szCs w:val="28"/>
        </w:rPr>
      </w:pPr>
      <w:r w:rsidDel="00000000" w:rsidR="00000000" w:rsidRPr="00000000">
        <w:rPr>
          <w:rtl w:val="0"/>
        </w:rPr>
      </w:r>
    </w:p>
    <w:p w:rsidR="00000000" w:rsidDel="00000000" w:rsidP="00000000" w:rsidRDefault="00000000" w:rsidRPr="00000000" w14:paraId="00000027">
      <w:pPr>
        <w:jc w:val="center"/>
        <w:rPr>
          <w:b w:val="1"/>
          <w:bCs w:val="1"/>
          <w:sz w:val="28"/>
          <w:szCs w:val="28"/>
        </w:rPr>
      </w:pPr>
      <w:r w:rsidDel="00000000" w:rsidR="00000000" w:rsidRPr="00000000">
        <w:rPr>
          <w:rtl w:val="0"/>
        </w:rPr>
      </w:r>
    </w:p>
    <w:p w:rsidR="00000000" w:rsidDel="00000000" w:rsidP="00000000" w:rsidRDefault="00000000" w:rsidRPr="00000000" w14:paraId="00000028">
      <w:pPr>
        <w:jc w:val="center"/>
        <w:rPr>
          <w:b w:val="1"/>
          <w:bCs w:val="1"/>
          <w:sz w:val="28"/>
          <w:szCs w:val="28"/>
        </w:rPr>
      </w:pPr>
      <w:r w:rsidDel="00000000" w:rsidR="00000000" w:rsidRPr="00000000">
        <w:rPr>
          <w:rtl w:val="0"/>
        </w:rPr>
      </w:r>
    </w:p>
    <w:p w:rsidR="00000000" w:rsidDel="00000000" w:rsidP="00000000" w:rsidRDefault="00000000" w:rsidRPr="00000000" w14:paraId="00000029">
      <w:pPr>
        <w:jc w:val="center"/>
        <w:rPr>
          <w:b w:val="1"/>
          <w:bCs w:val="1"/>
          <w:sz w:val="28"/>
          <w:szCs w:val="28"/>
        </w:rPr>
      </w:pPr>
      <w:r w:rsidDel="00000000" w:rsidR="00000000" w:rsidRPr="00000000">
        <w:rPr>
          <w:rtl w:val="0"/>
        </w:rPr>
      </w:r>
    </w:p>
    <w:p w:rsidR="00000000" w:rsidDel="00000000" w:rsidP="00000000" w:rsidRDefault="00000000" w:rsidRPr="00000000" w14:paraId="0000002A">
      <w:pPr>
        <w:jc w:val="center"/>
        <w:rPr>
          <w:b w:val="1"/>
          <w:bCs w:val="1"/>
          <w:sz w:val="28"/>
          <w:szCs w:val="28"/>
        </w:rPr>
      </w:pPr>
      <w:r w:rsidDel="00000000" w:rsidR="00000000" w:rsidRPr="00000000">
        <w:rPr>
          <w:rtl w:val="0"/>
        </w:rPr>
      </w:r>
    </w:p>
    <w:p w:rsidR="00000000" w:rsidDel="00000000" w:rsidP="00000000" w:rsidRDefault="00000000" w:rsidRPr="00000000" w14:paraId="0000002B">
      <w:pPr>
        <w:jc w:val="center"/>
        <w:rPr>
          <w:b w:val="1"/>
          <w:bCs w:val="1"/>
          <w:sz w:val="28"/>
          <w:szCs w:val="28"/>
        </w:rPr>
      </w:pPr>
      <w:r w:rsidDel="00000000" w:rsidR="00000000" w:rsidRPr="00000000">
        <w:rPr>
          <w:rtl w:val="0"/>
        </w:rPr>
      </w:r>
    </w:p>
    <w:p w:rsidR="00000000" w:rsidDel="00000000" w:rsidP="00000000" w:rsidRDefault="00000000" w:rsidRPr="00000000" w14:paraId="0000002C">
      <w:pPr>
        <w:jc w:val="center"/>
        <w:rPr>
          <w:b w:val="1"/>
          <w:bCs w:val="1"/>
          <w:sz w:val="28"/>
          <w:szCs w:val="28"/>
        </w:rPr>
      </w:pPr>
      <w:r w:rsidDel="00000000" w:rsidR="00000000" w:rsidRPr="00000000">
        <w:rPr>
          <w:rtl w:val="0"/>
        </w:rPr>
      </w:r>
    </w:p>
    <w:p w:rsidR="00000000" w:rsidDel="00000000" w:rsidP="00000000" w:rsidRDefault="00000000" w:rsidRPr="00000000" w14:paraId="0000002D">
      <w:pPr>
        <w:jc w:val="center"/>
        <w:rPr>
          <w:b w:val="1"/>
          <w:bCs w:val="1"/>
          <w:sz w:val="28"/>
          <w:szCs w:val="28"/>
        </w:rPr>
      </w:pPr>
      <w:r w:rsidDel="00000000" w:rsidR="00000000" w:rsidRPr="00000000">
        <w:rPr>
          <w:rtl w:val="0"/>
        </w:rPr>
      </w:r>
    </w:p>
    <w:p w:rsidR="00000000" w:rsidDel="00000000" w:rsidP="00000000" w:rsidRDefault="00000000" w:rsidRPr="00000000" w14:paraId="0000002E">
      <w:pPr>
        <w:jc w:val="center"/>
        <w:rPr>
          <w:b w:val="1"/>
          <w:bCs w:val="1"/>
          <w:sz w:val="28"/>
          <w:szCs w:val="28"/>
        </w:rPr>
      </w:pPr>
      <w:r w:rsidDel="00000000" w:rsidR="00000000" w:rsidRPr="00000000">
        <w:rPr>
          <w:rtl w:val="0"/>
        </w:rPr>
      </w:r>
    </w:p>
    <w:p w:rsidR="00000000" w:rsidDel="00000000" w:rsidP="00000000" w:rsidRDefault="00000000" w:rsidRPr="00000000" w14:paraId="0000002F">
      <w:pPr>
        <w:jc w:val="center"/>
        <w:rPr>
          <w:b w:val="1"/>
          <w:bCs w:val="1"/>
          <w:sz w:val="28"/>
          <w:szCs w:val="28"/>
        </w:rPr>
      </w:pPr>
      <w:r w:rsidDel="00000000" w:rsidR="00000000" w:rsidRPr="00000000">
        <w:rPr>
          <w:rtl w:val="0"/>
        </w:rPr>
      </w:r>
    </w:p>
    <w:p w:rsidR="00000000" w:rsidDel="00000000" w:rsidP="00000000" w:rsidRDefault="00000000" w:rsidRPr="00000000" w14:paraId="00000030">
      <w:pPr>
        <w:jc w:val="center"/>
        <w:rPr>
          <w:b w:val="1"/>
          <w:bCs w:val="1"/>
          <w:sz w:val="28"/>
          <w:szCs w:val="28"/>
        </w:rPr>
      </w:pPr>
      <w:r w:rsidDel="00000000" w:rsidR="00000000" w:rsidRPr="00000000">
        <w:rPr>
          <w:rtl w:val="0"/>
        </w:rPr>
      </w:r>
    </w:p>
    <w:p w:rsidR="00000000" w:rsidDel="00000000" w:rsidP="00000000" w:rsidRDefault="00000000" w:rsidRPr="00000000" w14:paraId="00000031">
      <w:pPr>
        <w:jc w:val="center"/>
        <w:rPr>
          <w:b w:val="1"/>
          <w:bCs w:val="1"/>
          <w:sz w:val="28"/>
          <w:szCs w:val="28"/>
        </w:rPr>
      </w:pPr>
      <w:r w:rsidDel="00000000" w:rsidR="00000000" w:rsidRPr="00000000">
        <w:rPr>
          <w:rtl w:val="0"/>
        </w:rPr>
      </w:r>
    </w:p>
    <w:p w:rsidR="00000000" w:rsidDel="00000000" w:rsidP="00000000" w:rsidRDefault="00000000" w:rsidRPr="00000000" w14:paraId="00000032">
      <w:pPr>
        <w:jc w:val="center"/>
        <w:rPr>
          <w:b w:val="1"/>
          <w:bCs w:val="1"/>
          <w:sz w:val="28"/>
          <w:szCs w:val="28"/>
        </w:rPr>
      </w:pPr>
      <w:r w:rsidDel="00000000" w:rsidR="00000000" w:rsidRPr="00000000">
        <w:rPr>
          <w:rtl w:val="0"/>
        </w:rPr>
      </w:r>
    </w:p>
    <w:p w:rsidR="00000000" w:rsidDel="00000000" w:rsidP="00000000" w:rsidRDefault="00000000" w:rsidRPr="00000000" w14:paraId="00000033">
      <w:pPr>
        <w:jc w:val="center"/>
        <w:rPr>
          <w:b w:val="1"/>
          <w:bCs w:val="1"/>
          <w:sz w:val="28"/>
          <w:szCs w:val="28"/>
        </w:rPr>
      </w:pPr>
      <w:r w:rsidDel="00000000" w:rsidR="00000000" w:rsidRPr="00000000">
        <w:rPr>
          <w:rtl w:val="0"/>
        </w:rPr>
      </w:r>
    </w:p>
    <w:p w:rsidR="00000000" w:rsidDel="00000000" w:rsidP="00000000" w:rsidRDefault="00000000" w:rsidRPr="00000000" w14:paraId="00000034">
      <w:pPr>
        <w:pStyle w:val="Heading1"/>
        <w:spacing w:line="360" w:lineRule="auto"/>
        <w:jc w:val="both"/>
        <w:rPr>
          <w:rFonts w:ascii="Arial" w:cs="Arial" w:eastAsia="Arial" w:hAnsi="Arial"/>
          <w:b w:val="1"/>
          <w:bCs w:val="1"/>
          <w:sz w:val="22"/>
          <w:szCs w:val="22"/>
        </w:rPr>
      </w:pPr>
      <w:bookmarkStart w:colFirst="0" w:colLast="0" w:name="_heading=h.81b749pfwcid" w:id="0"/>
      <w:bookmarkEnd w:id="0"/>
      <w:r w:rsidDel="00000000" w:rsidR="00000000" w:rsidRPr="00000000">
        <w:rPr>
          <w:rFonts w:ascii="Arial" w:cs="Arial" w:eastAsia="Arial" w:hAnsi="Arial"/>
          <w:b w:val="1"/>
          <w:bCs w:val="1"/>
          <w:sz w:val="22"/>
          <w:szCs w:val="22"/>
          <w:rtl w:val="0"/>
        </w:rPr>
        <w:t xml:space="preserve">Introduction </w:t>
      </w:r>
    </w:p>
    <w:p w:rsidR="00000000" w:rsidDel="00000000" w:rsidP="00000000" w:rsidRDefault="00000000" w:rsidRPr="00000000" w14:paraId="00000035">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United Kingdom has key principles that guide health and social care practice to ensure safe, effective, and high-quality care is provided. These include person-centred care, partnership working, and ethics, which are core in determining professional practice and enhancing service user outcomes. Person-centred care focuses on recognising individuals as unique, valuing their preferences, needs, and rights, and actively involving them in decision-making processes. This approach promotes dignity, respect, and autonomy, aligning with contemporary healthcare policies and frameworks. Partnership working is also essential since it helps in making multidisciplinary teams, service users, families and external organisations work together. Effective partnership working ensures coordinated care delivery, enhances communication, and supports holistic approaches to meeting complex health and social care needs. Ethical practice provides a moral framework that guides professional decision-making. The principles of autonomy, beneficence, non-maleficence, and justice are the key to delivering care in a fair and respectful manner. This assignment will critically reflect on the importance of these principles, examine their application in real-world practice within the UK, and explore how they influence professional development. It will also include a personal reflection on how these principles can be applied in future health and social care roles. </w:t>
      </w:r>
    </w:p>
    <w:p w:rsidR="00000000" w:rsidDel="00000000" w:rsidP="00000000" w:rsidRDefault="00000000" w:rsidRPr="00000000" w14:paraId="00000036">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7">
      <w:pPr>
        <w:pStyle w:val="Heading1"/>
        <w:spacing w:line="360" w:lineRule="auto"/>
        <w:jc w:val="center"/>
        <w:rPr>
          <w:rFonts w:ascii="Arial" w:cs="Arial" w:eastAsia="Arial" w:hAnsi="Arial"/>
          <w:b w:val="1"/>
          <w:bCs w:val="1"/>
          <w:sz w:val="22"/>
          <w:szCs w:val="22"/>
        </w:rPr>
      </w:pPr>
      <w:bookmarkStart w:colFirst="0" w:colLast="0" w:name="_heading=h.7xl4yjtglfgf" w:id="1"/>
      <w:bookmarkEnd w:id="1"/>
      <w:r w:rsidDel="00000000" w:rsidR="00000000" w:rsidRPr="00000000">
        <w:rPr>
          <w:rFonts w:ascii="Arial" w:cs="Arial" w:eastAsia="Arial" w:hAnsi="Arial"/>
          <w:b w:val="1"/>
          <w:bCs w:val="1"/>
          <w:sz w:val="22"/>
          <w:szCs w:val="22"/>
          <w:rtl w:val="0"/>
        </w:rPr>
        <w:t xml:space="preserve">Task 1: Critical Reflection on Core Principles</w:t>
      </w:r>
    </w:p>
    <w:p w:rsidR="00000000" w:rsidDel="00000000" w:rsidP="00000000" w:rsidRDefault="00000000" w:rsidRPr="00000000" w14:paraId="00000038">
      <w:pPr>
        <w:spacing w:line="360" w:lineRule="auto"/>
        <w:jc w:val="both"/>
        <w:rPr>
          <w:rFonts w:ascii="Arial" w:cs="Arial" w:eastAsia="Arial" w:hAnsi="Arial"/>
          <w:b w:val="1"/>
          <w:bCs w:val="1"/>
          <w:i w:val="1"/>
          <w:iCs w:val="1"/>
          <w:sz w:val="22"/>
          <w:szCs w:val="22"/>
        </w:rPr>
      </w:pPr>
      <w:r w:rsidDel="00000000" w:rsidR="00000000" w:rsidRPr="00000000">
        <w:rPr>
          <w:rFonts w:ascii="Arial" w:cs="Arial" w:eastAsia="Arial" w:hAnsi="Arial"/>
          <w:b w:val="1"/>
          <w:bCs w:val="1"/>
          <w:i w:val="1"/>
          <w:iCs w:val="1"/>
          <w:sz w:val="22"/>
          <w:szCs w:val="22"/>
          <w:rtl w:val="0"/>
        </w:rPr>
        <w:t xml:space="preserve">2.1 Person-Centred Care in UK Practice</w:t>
      </w:r>
    </w:p>
    <w:p w:rsidR="00000000" w:rsidDel="00000000" w:rsidP="00000000" w:rsidRDefault="00000000" w:rsidRPr="00000000" w14:paraId="00000039">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Person-centred care refers to an approach that places the individual at the centre of care planning and delivery, ensuring that their values, preferences, and needs are respected (NHS England, 2021). This aligns with Maslow’s Hierarchy of Needs, which underlines the idea that people should obtain their physiological and psychological needs fulfilled before they can attain a higher level of wellbeing (Maslow, 1943). This would in practice imply the identification of physical health needs, as well as emotional, social and psychological care. Person-centred care has the following advantages: better patient satisfaction, better health outcomes, and more patient autonomy (Ekman et al., 2011). As an illustration, patients may be involved in decision-making, which can increase the adherence to treatment plans. Nonetheless, there are shortcomings in this method as well. The NHS may limit the capacity of professionals to implement personalised care due to time constraints and many patients. This points to a weakness in the interpretation of theory into practice. The Care Act 2014 enhances person-centred care through the promotion of wellbeing, individual choice and control of care decisions (Department of Health, 2014). But the implementation of it might not be fully implemented due to resource constraints implying that there is a policy-reality gap.</w:t>
      </w:r>
    </w:p>
    <w:p w:rsidR="00000000" w:rsidDel="00000000" w:rsidP="00000000" w:rsidRDefault="00000000" w:rsidRPr="00000000" w14:paraId="0000003A">
      <w:pPr>
        <w:spacing w:line="360" w:lineRule="auto"/>
        <w:jc w:val="both"/>
        <w:rPr>
          <w:rFonts w:ascii="Arial" w:cs="Arial" w:eastAsia="Arial" w:hAnsi="Arial"/>
          <w:b w:val="1"/>
          <w:bCs w:val="1"/>
          <w:i w:val="1"/>
          <w:iCs w:val="1"/>
          <w:sz w:val="22"/>
          <w:szCs w:val="22"/>
        </w:rPr>
      </w:pPr>
      <w:r w:rsidDel="00000000" w:rsidR="00000000" w:rsidRPr="00000000">
        <w:rPr>
          <w:rFonts w:ascii="Arial" w:cs="Arial" w:eastAsia="Arial" w:hAnsi="Arial"/>
          <w:b w:val="1"/>
          <w:bCs w:val="1"/>
          <w:i w:val="1"/>
          <w:iCs w:val="1"/>
          <w:sz w:val="22"/>
          <w:szCs w:val="22"/>
          <w:rtl w:val="0"/>
        </w:rPr>
        <w:t xml:space="preserve">2.2 Partnership Working in Health and Social Care</w:t>
      </w:r>
    </w:p>
    <w:p w:rsidR="00000000" w:rsidDel="00000000" w:rsidP="00000000" w:rsidRDefault="00000000" w:rsidRPr="00000000" w14:paraId="0000003B">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Partnership working refers to collaboration between professionals, organisations, service users, and families to deliver coordinated care. The approach involves multidisciplinary teams (MDTs) comprising doctors, nurses, social workers, and therapists. MDT working ensures that different professional expertise contributes to holistic care planning (Reeves et al., 2017). Partnership working is especially significant in integrated care systems, where services are aligned to improve efficiency and patient outcomes. This is supported by the Health and Care Act 2022 which enhances collaboration between health and social care sectors (UK Government, 2022). This demonstrates that policy frameworks increasingly recognise the value of integrated working. However, challenges remain. The barriers to communication among professionals, organisational culture differences, and power disparities may adversely affect collaboration. As an example, hierarchical in healthcare organizations can reduce the equal involvement in the decision-making process. This critically challenges the assumption that it is always effective, highlighting how structural and interpersonal issues can limit its success in practice.</w:t>
      </w:r>
    </w:p>
    <w:p w:rsidR="00000000" w:rsidDel="00000000" w:rsidP="00000000" w:rsidRDefault="00000000" w:rsidRPr="00000000" w14:paraId="0000003C">
      <w:pPr>
        <w:spacing w:line="360" w:lineRule="auto"/>
        <w:jc w:val="both"/>
        <w:rPr>
          <w:rFonts w:ascii="Arial" w:cs="Arial" w:eastAsia="Arial" w:hAnsi="Arial"/>
          <w:b w:val="1"/>
          <w:bCs w:val="1"/>
          <w:i w:val="1"/>
          <w:iCs w:val="1"/>
          <w:sz w:val="22"/>
          <w:szCs w:val="22"/>
        </w:rPr>
      </w:pPr>
      <w:r w:rsidDel="00000000" w:rsidR="00000000" w:rsidRPr="00000000">
        <w:rPr>
          <w:rFonts w:ascii="Arial" w:cs="Arial" w:eastAsia="Arial" w:hAnsi="Arial"/>
          <w:b w:val="1"/>
          <w:bCs w:val="1"/>
          <w:i w:val="1"/>
          <w:iCs w:val="1"/>
          <w:sz w:val="22"/>
          <w:szCs w:val="22"/>
          <w:rtl w:val="0"/>
        </w:rPr>
        <w:t xml:space="preserve">2.3 Ethics and Decision-Making in Care</w:t>
      </w:r>
    </w:p>
    <w:p w:rsidR="00000000" w:rsidDel="00000000" w:rsidP="00000000" w:rsidRDefault="00000000" w:rsidRPr="00000000" w14:paraId="0000003D">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Ethical principles underpin all aspects of health and social care practice. Autonomy is the consideration of the rights of the individuals to make informed decisions concerning their care, and beneficence is the best interest of the patient. Non-maleficence means not harming, and justice means fairness in the allocation of resources (Beauchamp and Childress, 2019). These principles in practice tend to give rise to complex dilemmas. To illustrate, patient autonomy can be against non-maleficence when a patient declines life-saving treatment. This illustrates how professionals have difficulties in balancing ethics. Also, other aspects like confidentiality and protection demand a keen sense of ethics especially in cases where vulnerable people are involved.</w:t>
      </w:r>
    </w:p>
    <w:p w:rsidR="00000000" w:rsidDel="00000000" w:rsidP="00000000" w:rsidRDefault="00000000" w:rsidRPr="00000000" w14:paraId="0000003E">
      <w:pPr>
        <w:spacing w:line="360" w:lineRule="auto"/>
        <w:jc w:val="both"/>
        <w:rPr>
          <w:rFonts w:ascii="Arial" w:cs="Arial" w:eastAsia="Arial" w:hAnsi="Arial"/>
          <w:b w:val="1"/>
          <w:bCs w:val="1"/>
          <w:i w:val="1"/>
          <w:iCs w:val="1"/>
          <w:sz w:val="22"/>
          <w:szCs w:val="22"/>
        </w:rPr>
      </w:pPr>
      <w:r w:rsidDel="00000000" w:rsidR="00000000" w:rsidRPr="00000000">
        <w:rPr>
          <w:rFonts w:ascii="Arial" w:cs="Arial" w:eastAsia="Arial" w:hAnsi="Arial"/>
          <w:b w:val="1"/>
          <w:bCs w:val="1"/>
          <w:i w:val="1"/>
          <w:iCs w:val="1"/>
          <w:sz w:val="22"/>
          <w:szCs w:val="22"/>
          <w:rtl w:val="0"/>
        </w:rPr>
        <w:t xml:space="preserve">2.4 Critical Evaluation of These Principles</w:t>
      </w:r>
    </w:p>
    <w:p w:rsidR="00000000" w:rsidDel="00000000" w:rsidP="00000000" w:rsidRDefault="00000000" w:rsidRPr="00000000" w14:paraId="0000003F">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While person-centred care, partnership working, and ethics are fundamental to high-quality care, they are not always fully achievable in practice. Factors such as staff shortages, limited funding, and time pressures within the NHS significantly impact service delivery (King’s Fund, 2022). This implies that the policies may be very powerful in terms of promoting these principles, but they are usually constrained. Furthermore, conflicting priorities in health care systems can result in moral compromise or less patient engagement. Nonetheless practitioners must endeavour to strike a balance between these issues and standards of care. Critically, this highlights the need for ongoing policy development, training, and resource allocation to ensure these principles can be effectively realised.</w:t>
      </w:r>
    </w:p>
    <w:p w:rsidR="00000000" w:rsidDel="00000000" w:rsidP="00000000" w:rsidRDefault="00000000" w:rsidRPr="00000000" w14:paraId="00000040">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1">
      <w:pPr>
        <w:pStyle w:val="Heading1"/>
        <w:spacing w:line="360" w:lineRule="auto"/>
        <w:jc w:val="center"/>
        <w:rPr>
          <w:rFonts w:ascii="Arial" w:cs="Arial" w:eastAsia="Arial" w:hAnsi="Arial"/>
          <w:b w:val="1"/>
          <w:bCs w:val="1"/>
          <w:color w:val="000000"/>
          <w:sz w:val="22"/>
          <w:szCs w:val="22"/>
        </w:rPr>
      </w:pPr>
      <w:bookmarkStart w:colFirst="0" w:colLast="0" w:name="_heading=h.fuamtkdxdudr" w:id="2"/>
      <w:bookmarkEnd w:id="2"/>
      <w:r w:rsidDel="00000000" w:rsidR="00000000" w:rsidRPr="00000000">
        <w:rPr>
          <w:rFonts w:ascii="Arial" w:cs="Arial" w:eastAsia="Arial" w:hAnsi="Arial"/>
          <w:b w:val="1"/>
          <w:bCs w:val="1"/>
          <w:sz w:val="22"/>
          <w:szCs w:val="22"/>
          <w:rtl w:val="0"/>
        </w:rPr>
        <w:t xml:space="preserve">Task 2: Application in Practice (Case Example)</w:t>
      </w:r>
      <w:r w:rsidDel="00000000" w:rsidR="00000000" w:rsidRPr="00000000">
        <w:rPr>
          <w:rtl w:val="0"/>
        </w:rPr>
      </w:r>
    </w:p>
    <w:p w:rsidR="00000000" w:rsidDel="00000000" w:rsidP="00000000" w:rsidRDefault="00000000" w:rsidRPr="00000000" w14:paraId="00000042">
      <w:pPr>
        <w:spacing w:line="360" w:lineRule="auto"/>
        <w:jc w:val="both"/>
        <w:rPr>
          <w:rFonts w:ascii="Arial" w:cs="Arial" w:eastAsia="Arial" w:hAnsi="Arial"/>
          <w:b w:val="1"/>
          <w:bCs w:val="1"/>
          <w:i w:val="1"/>
          <w:iCs w:val="1"/>
          <w:color w:val="000000"/>
          <w:sz w:val="22"/>
          <w:szCs w:val="22"/>
        </w:rPr>
      </w:pPr>
      <w:r w:rsidDel="00000000" w:rsidR="00000000" w:rsidRPr="00000000">
        <w:rPr>
          <w:rFonts w:ascii="Arial" w:cs="Arial" w:eastAsia="Arial" w:hAnsi="Arial"/>
          <w:b w:val="1"/>
          <w:bCs w:val="1"/>
          <w:i w:val="1"/>
          <w:iCs w:val="1"/>
          <w:color w:val="000000"/>
          <w:sz w:val="22"/>
          <w:szCs w:val="22"/>
          <w:rtl w:val="0"/>
        </w:rPr>
        <w:t xml:space="preserve">3.1 Case Study Overview</w:t>
      </w:r>
    </w:p>
    <w:p w:rsidR="00000000" w:rsidDel="00000000" w:rsidP="00000000" w:rsidRDefault="00000000" w:rsidRPr="00000000" w14:paraId="00000043">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This case study considers an elderly individual living with dementia in a residential care setting. The person has memory loss, confusion, and decreased independent capacity to make complex decisions. They need assistance in daily living activities, such as medication, personal care, and social activity. The complexity of dementia care highlights the importance of applying person-centred care, effective partnership working, and ethical decision-making within a structured care environment.</w:t>
      </w:r>
    </w:p>
    <w:p w:rsidR="00000000" w:rsidDel="00000000" w:rsidP="00000000" w:rsidRDefault="00000000" w:rsidRPr="00000000" w14:paraId="00000044">
      <w:pPr>
        <w:spacing w:line="360" w:lineRule="auto"/>
        <w:jc w:val="both"/>
        <w:rPr>
          <w:rFonts w:ascii="Arial" w:cs="Arial" w:eastAsia="Arial" w:hAnsi="Arial"/>
          <w:b w:val="1"/>
          <w:bCs w:val="1"/>
          <w:i w:val="1"/>
          <w:iCs w:val="1"/>
          <w:sz w:val="22"/>
          <w:szCs w:val="22"/>
        </w:rPr>
      </w:pPr>
      <w:r w:rsidDel="00000000" w:rsidR="00000000" w:rsidRPr="00000000">
        <w:rPr>
          <w:rFonts w:ascii="Arial" w:cs="Arial" w:eastAsia="Arial" w:hAnsi="Arial"/>
          <w:b w:val="1"/>
          <w:bCs w:val="1"/>
          <w:i w:val="1"/>
          <w:iCs w:val="1"/>
          <w:sz w:val="22"/>
          <w:szCs w:val="22"/>
          <w:rtl w:val="0"/>
        </w:rPr>
        <w:t xml:space="preserve">3.2 Application of Person-Centred Care</w:t>
      </w:r>
    </w:p>
    <w:p w:rsidR="00000000" w:rsidDel="00000000" w:rsidP="00000000" w:rsidRDefault="00000000" w:rsidRPr="00000000" w14:paraId="00000045">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Person-centred care was applied by developing a personalised care plan based on the patient preferences, history, and current requirements. Staff collected data on the previous habits, hobbies and cultural heritage of the person to encourage familiarity and comfort. Such as, keeping regular daily schedules, minimized anxiety and disorientation. Preference respect was also a priority especially regarding food preferences, clothes, and social life. This method promotes independence, despite the cognitive impairment. But practically, the changing mental capacity may cause a problem in regularly engaging the individual in decision-making. This highlights a limitation, as professionals must balance independence with safety.</w:t>
      </w:r>
    </w:p>
    <w:p w:rsidR="00000000" w:rsidDel="00000000" w:rsidP="00000000" w:rsidRDefault="00000000" w:rsidRPr="00000000" w14:paraId="00000046">
      <w:pPr>
        <w:spacing w:line="360" w:lineRule="auto"/>
        <w:jc w:val="both"/>
        <w:rPr>
          <w:rFonts w:ascii="Arial" w:cs="Arial" w:eastAsia="Arial" w:hAnsi="Arial"/>
          <w:b w:val="1"/>
          <w:bCs w:val="1"/>
          <w:i w:val="1"/>
          <w:iCs w:val="1"/>
          <w:sz w:val="22"/>
          <w:szCs w:val="22"/>
        </w:rPr>
      </w:pPr>
      <w:r w:rsidDel="00000000" w:rsidR="00000000" w:rsidRPr="00000000">
        <w:rPr>
          <w:rFonts w:ascii="Arial" w:cs="Arial" w:eastAsia="Arial" w:hAnsi="Arial"/>
          <w:b w:val="1"/>
          <w:bCs w:val="1"/>
          <w:i w:val="1"/>
          <w:iCs w:val="1"/>
          <w:sz w:val="22"/>
          <w:szCs w:val="22"/>
          <w:rtl w:val="0"/>
        </w:rPr>
        <w:t xml:space="preserve">3.3 Role of Partnership Working</w:t>
      </w:r>
    </w:p>
    <w:p w:rsidR="00000000" w:rsidDel="00000000" w:rsidP="00000000" w:rsidRDefault="00000000" w:rsidRPr="00000000" w14:paraId="00000047">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Effective partnership working was demonstrated through collaboration between a multidisciplinary team (MDT), including nurses, a general practitioner (GP), social workers, and care assistants. Each professional contributed specialised knowledge, ensuring a holistic approach to care. For instance, the GP monitored medical conditions, while social workers supported access to community services.</w:t>
      </w:r>
    </w:p>
    <w:p w:rsidR="00000000" w:rsidDel="00000000" w:rsidP="00000000" w:rsidRDefault="00000000" w:rsidRPr="00000000" w14:paraId="00000048">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Family involvement also played a significant role in care planning. Relatives provided valuable insights into the individual’s preferences and history, which enhanced the quality of person-centred care. This suggests that partnership working can strengthen care outcomes by integrating multiple perspectives.</w:t>
      </w:r>
    </w:p>
    <w:p w:rsidR="00000000" w:rsidDel="00000000" w:rsidP="00000000" w:rsidRDefault="00000000" w:rsidRPr="00000000" w14:paraId="00000049">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However, communication challenges occasionally arose between professionals and family members, particularly regarding care decisions. This demonstrates that while MDT collaboration is beneficial, it requires clear communication and mutual understanding to be fully effective.</w:t>
      </w:r>
    </w:p>
    <w:p w:rsidR="00000000" w:rsidDel="00000000" w:rsidP="00000000" w:rsidRDefault="00000000" w:rsidRPr="00000000" w14:paraId="0000004A">
      <w:pPr>
        <w:spacing w:line="360" w:lineRule="auto"/>
        <w:jc w:val="both"/>
        <w:rPr>
          <w:rFonts w:ascii="Arial" w:cs="Arial" w:eastAsia="Arial" w:hAnsi="Arial"/>
          <w:b w:val="1"/>
          <w:bCs w:val="1"/>
          <w:i w:val="1"/>
          <w:iCs w:val="1"/>
          <w:sz w:val="22"/>
          <w:szCs w:val="22"/>
        </w:rPr>
      </w:pPr>
      <w:r w:rsidDel="00000000" w:rsidR="00000000" w:rsidRPr="00000000">
        <w:rPr>
          <w:rFonts w:ascii="Arial" w:cs="Arial" w:eastAsia="Arial" w:hAnsi="Arial"/>
          <w:b w:val="1"/>
          <w:bCs w:val="1"/>
          <w:i w:val="1"/>
          <w:iCs w:val="1"/>
          <w:sz w:val="22"/>
          <w:szCs w:val="22"/>
          <w:rtl w:val="0"/>
        </w:rPr>
        <w:t xml:space="preserve">3.4 Ethical Considerations</w:t>
      </w:r>
    </w:p>
    <w:p w:rsidR="00000000" w:rsidDel="00000000" w:rsidP="00000000" w:rsidRDefault="00000000" w:rsidRPr="00000000" w14:paraId="0000004B">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Consent issues were especially important, because dementia may affect the capacity to make decisions. In situations where the individual lacked capacity, decisions were made in their best interests, following legal and ethical guidelines. Protection was also a concern whereby the person was not subjected to harm, neglect or abuse. Furthermore, confidentiality was ensured by disclosing information to the concerned professionals who were working with the person. This is indicative of the ethical principles of beneficence and non-maleficence, which makes sure that the actions performed were in the best interest of the patient and that they did not harm the patient.</w:t>
      </w:r>
    </w:p>
    <w:p w:rsidR="00000000" w:rsidDel="00000000" w:rsidP="00000000" w:rsidRDefault="00000000" w:rsidRPr="00000000" w14:paraId="0000004C">
      <w:pPr>
        <w:spacing w:line="360" w:lineRule="auto"/>
        <w:jc w:val="both"/>
        <w:rPr>
          <w:rFonts w:ascii="Arial" w:cs="Arial" w:eastAsia="Arial" w:hAnsi="Arial"/>
          <w:b w:val="1"/>
          <w:bCs w:val="1"/>
          <w:i w:val="1"/>
          <w:iCs w:val="1"/>
          <w:sz w:val="22"/>
          <w:szCs w:val="22"/>
        </w:rPr>
      </w:pPr>
      <w:r w:rsidDel="00000000" w:rsidR="00000000" w:rsidRPr="00000000">
        <w:rPr>
          <w:rFonts w:ascii="Arial" w:cs="Arial" w:eastAsia="Arial" w:hAnsi="Arial"/>
          <w:b w:val="1"/>
          <w:bCs w:val="1"/>
          <w:i w:val="1"/>
          <w:iCs w:val="1"/>
          <w:sz w:val="22"/>
          <w:szCs w:val="22"/>
          <w:rtl w:val="0"/>
        </w:rPr>
        <w:t xml:space="preserve">3.5 Linking to Policy and Guidelines</w:t>
      </w:r>
    </w:p>
    <w:p w:rsidR="00000000" w:rsidDel="00000000" w:rsidP="00000000" w:rsidRDefault="00000000" w:rsidRPr="00000000" w14:paraId="0000004D">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Care Act 2014 underpinned this approach by promoting wellbeing and safeguarding vulnerable adults. NICE guidelines on dementia care further supported the use of person-centred approaches and evidence-based interventions. Safeguarding policies ensured that appropriate procedures were followed to protect the individual from potential risks.</w:t>
      </w:r>
    </w:p>
    <w:p w:rsidR="00000000" w:rsidDel="00000000" w:rsidP="00000000" w:rsidRDefault="00000000" w:rsidRPr="00000000" w14:paraId="0000004E">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This demonstrates how national policies and frameworks guide practice and promote consistency in care delivery.</w:t>
      </w:r>
    </w:p>
    <w:p w:rsidR="00000000" w:rsidDel="00000000" w:rsidP="00000000" w:rsidRDefault="00000000" w:rsidRPr="00000000" w14:paraId="0000004F">
      <w:pPr>
        <w:spacing w:line="360" w:lineRule="auto"/>
        <w:jc w:val="both"/>
        <w:rPr>
          <w:rFonts w:ascii="Arial" w:cs="Arial" w:eastAsia="Arial" w:hAnsi="Arial"/>
          <w:b w:val="1"/>
          <w:bCs w:val="1"/>
          <w:i w:val="1"/>
          <w:iCs w:val="1"/>
          <w:sz w:val="22"/>
          <w:szCs w:val="22"/>
        </w:rPr>
      </w:pPr>
      <w:r w:rsidDel="00000000" w:rsidR="00000000" w:rsidRPr="00000000">
        <w:rPr>
          <w:rFonts w:ascii="Arial" w:cs="Arial" w:eastAsia="Arial" w:hAnsi="Arial"/>
          <w:b w:val="1"/>
          <w:bCs w:val="1"/>
          <w:i w:val="1"/>
          <w:iCs w:val="1"/>
          <w:sz w:val="22"/>
          <w:szCs w:val="22"/>
          <w:rtl w:val="0"/>
        </w:rPr>
        <w:t xml:space="preserve">3.6 Critical Evaluation of Practice</w:t>
      </w:r>
    </w:p>
    <w:p w:rsidR="00000000" w:rsidDel="00000000" w:rsidP="00000000" w:rsidRDefault="00000000" w:rsidRPr="00000000" w14:paraId="00000050">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Overall, the application of these principles contributed to improved quality of care and patient wellbeing. Person-centred approaches enhanced comfort and dignity, while partnership working ensured comprehensive support.</w:t>
      </w:r>
    </w:p>
    <w:p w:rsidR="00000000" w:rsidDel="00000000" w:rsidP="00000000" w:rsidRDefault="00000000" w:rsidRPr="00000000" w14:paraId="00000051">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However, challenges such as limited staffing, time pressures, and communication barriers can restrict effective implementation. For example, staff shortages may reduce the time available for personalised interactions, impacting care quality.</w:t>
      </w:r>
    </w:p>
    <w:p w:rsidR="00000000" w:rsidDel="00000000" w:rsidP="00000000" w:rsidRDefault="00000000" w:rsidRPr="00000000" w14:paraId="00000052">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This suggests that while the principles are highly beneficial, their effectiveness depends on adequate resources, training, and organisational support.</w:t>
      </w:r>
    </w:p>
    <w:p w:rsidR="00000000" w:rsidDel="00000000" w:rsidP="00000000" w:rsidRDefault="00000000" w:rsidRPr="00000000" w14:paraId="00000053">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4">
      <w:pPr>
        <w:pStyle w:val="Heading1"/>
        <w:spacing w:line="360" w:lineRule="auto"/>
        <w:jc w:val="center"/>
        <w:rPr>
          <w:rFonts w:ascii="Arial" w:cs="Arial" w:eastAsia="Arial" w:hAnsi="Arial"/>
          <w:b w:val="1"/>
          <w:bCs w:val="1"/>
          <w:sz w:val="22"/>
          <w:szCs w:val="22"/>
        </w:rPr>
      </w:pPr>
      <w:bookmarkStart w:colFirst="0" w:colLast="0" w:name="_heading=h.3ah0y53qwkap" w:id="3"/>
      <w:bookmarkEnd w:id="3"/>
      <w:r w:rsidDel="00000000" w:rsidR="00000000" w:rsidRPr="00000000">
        <w:rPr>
          <w:rFonts w:ascii="Arial" w:cs="Arial" w:eastAsia="Arial" w:hAnsi="Arial"/>
          <w:b w:val="1"/>
          <w:bCs w:val="1"/>
          <w:sz w:val="22"/>
          <w:szCs w:val="22"/>
          <w:rtl w:val="0"/>
        </w:rPr>
        <w:t xml:space="preserve">Task 3: Self-Reflection as a Professional</w:t>
      </w:r>
    </w:p>
    <w:p w:rsidR="00000000" w:rsidDel="00000000" w:rsidP="00000000" w:rsidRDefault="00000000" w:rsidRPr="00000000" w14:paraId="00000055">
      <w:pPr>
        <w:spacing w:line="360" w:lineRule="auto"/>
        <w:jc w:val="both"/>
        <w:rPr>
          <w:rFonts w:ascii="Arial" w:cs="Arial" w:eastAsia="Arial" w:hAnsi="Arial"/>
          <w:b w:val="1"/>
          <w:bCs w:val="1"/>
          <w:i w:val="1"/>
          <w:iCs w:val="1"/>
          <w:sz w:val="22"/>
          <w:szCs w:val="22"/>
        </w:rPr>
      </w:pPr>
      <w:r w:rsidDel="00000000" w:rsidR="00000000" w:rsidRPr="00000000">
        <w:rPr>
          <w:rFonts w:ascii="Arial" w:cs="Arial" w:eastAsia="Arial" w:hAnsi="Arial"/>
          <w:b w:val="1"/>
          <w:bCs w:val="1"/>
          <w:i w:val="1"/>
          <w:iCs w:val="1"/>
          <w:sz w:val="22"/>
          <w:szCs w:val="22"/>
          <w:rtl w:val="0"/>
        </w:rPr>
        <w:t xml:space="preserve">4.1 Personal Understanding of Key Principles</w:t>
      </w:r>
    </w:p>
    <w:p w:rsidR="00000000" w:rsidDel="00000000" w:rsidP="00000000" w:rsidRDefault="00000000" w:rsidRPr="00000000" w14:paraId="00000056">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Person-centred care in my perception is the ability to acknowledge the individual as a unique person and make sure that all the aspects of care are based on his/her preferences, values, and needs. Partnership working involves working effectively with multidisciplinary teams, service users, and families to provide holistic support. Ethics offers a guideline to make responsible decisions founded on autonomy, beneficence, and justice. Practically, these principles are interrelated, and they are needed to provide safe, respectful and high-quality care in the context of health and social care</w:t>
      </w:r>
    </w:p>
    <w:p w:rsidR="00000000" w:rsidDel="00000000" w:rsidP="00000000" w:rsidRDefault="00000000" w:rsidRPr="00000000" w14:paraId="00000057">
      <w:pPr>
        <w:spacing w:line="360" w:lineRule="auto"/>
        <w:jc w:val="both"/>
        <w:rPr>
          <w:rFonts w:ascii="Arial" w:cs="Arial" w:eastAsia="Arial" w:hAnsi="Arial"/>
          <w:b w:val="1"/>
          <w:bCs w:val="1"/>
          <w:i w:val="1"/>
          <w:iCs w:val="1"/>
          <w:sz w:val="22"/>
          <w:szCs w:val="22"/>
        </w:rPr>
      </w:pPr>
      <w:r w:rsidDel="00000000" w:rsidR="00000000" w:rsidRPr="00000000">
        <w:rPr>
          <w:rFonts w:ascii="Arial" w:cs="Arial" w:eastAsia="Arial" w:hAnsi="Arial"/>
          <w:b w:val="1"/>
          <w:bCs w:val="1"/>
          <w:i w:val="1"/>
          <w:iCs w:val="1"/>
          <w:sz w:val="22"/>
          <w:szCs w:val="22"/>
          <w:rtl w:val="0"/>
        </w:rPr>
        <w:t xml:space="preserve">4.2 Skills and Strengths</w:t>
      </w:r>
    </w:p>
    <w:p w:rsidR="00000000" w:rsidDel="00000000" w:rsidP="00000000" w:rsidRDefault="00000000" w:rsidRPr="00000000" w14:paraId="00000058">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 demonstrate my main strengths are effective communication, empathy, and the possibility to cooperate in a team. I can actively listen to people, which contributes to providing person-centred care and assisting in establishing trust. My compassionate attitude enables me to empathize with the service users and their emotions and views. I am able to contribute to team discussions and decision-making. This implies that my existing competencies are a good starting point to providing effective, safe, and caring care.</w:t>
      </w:r>
    </w:p>
    <w:p w:rsidR="00000000" w:rsidDel="00000000" w:rsidP="00000000" w:rsidRDefault="00000000" w:rsidRPr="00000000" w14:paraId="00000059">
      <w:pPr>
        <w:spacing w:line="360" w:lineRule="auto"/>
        <w:jc w:val="both"/>
        <w:rPr>
          <w:rFonts w:ascii="Arial" w:cs="Arial" w:eastAsia="Arial" w:hAnsi="Arial"/>
          <w:b w:val="1"/>
          <w:bCs w:val="1"/>
          <w:i w:val="1"/>
          <w:iCs w:val="1"/>
          <w:sz w:val="22"/>
          <w:szCs w:val="22"/>
        </w:rPr>
      </w:pPr>
      <w:r w:rsidDel="00000000" w:rsidR="00000000" w:rsidRPr="00000000">
        <w:rPr>
          <w:rFonts w:ascii="Arial" w:cs="Arial" w:eastAsia="Arial" w:hAnsi="Arial"/>
          <w:b w:val="1"/>
          <w:bCs w:val="1"/>
          <w:i w:val="1"/>
          <w:iCs w:val="1"/>
          <w:sz w:val="22"/>
          <w:szCs w:val="22"/>
          <w:rtl w:val="0"/>
        </w:rPr>
        <w:t xml:space="preserve">4.3 Areas for Improvement</w:t>
      </w:r>
    </w:p>
    <w:p w:rsidR="00000000" w:rsidDel="00000000" w:rsidP="00000000" w:rsidRDefault="00000000" w:rsidRPr="00000000" w14:paraId="0000005A">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Although I have strengths, I identify a number of areas that I need to work on in my professional growth. I should develop more confidence in making decisions, especially in situations that are complex or high pressure in nature and need the decision maker to make decisions that are fast and informed. Also, my understanding of important legislation and policies, including safeguarding procedures, is still in need of development to make sure that I can effectively put them into practice. Another area that I would like to work on is my capacity to address ethical issues, particularly balancing patient autonomy and safety. This is one of the weaknesses in my practice, and I should continue to learn and experience to become more competent and confident.</w:t>
      </w:r>
    </w:p>
    <w:p w:rsidR="00000000" w:rsidDel="00000000" w:rsidP="00000000" w:rsidRDefault="00000000" w:rsidRPr="00000000" w14:paraId="0000005B">
      <w:pPr>
        <w:spacing w:line="360" w:lineRule="auto"/>
        <w:jc w:val="both"/>
        <w:rPr>
          <w:rFonts w:ascii="Arial" w:cs="Arial" w:eastAsia="Arial" w:hAnsi="Arial"/>
          <w:b w:val="1"/>
          <w:bCs w:val="1"/>
          <w:i w:val="1"/>
          <w:iCs w:val="1"/>
          <w:sz w:val="22"/>
          <w:szCs w:val="22"/>
        </w:rPr>
      </w:pPr>
      <w:r w:rsidDel="00000000" w:rsidR="00000000" w:rsidRPr="00000000">
        <w:rPr>
          <w:rFonts w:ascii="Arial" w:cs="Arial" w:eastAsia="Arial" w:hAnsi="Arial"/>
          <w:b w:val="1"/>
          <w:bCs w:val="1"/>
          <w:i w:val="1"/>
          <w:iCs w:val="1"/>
          <w:sz w:val="22"/>
          <w:szCs w:val="22"/>
          <w:rtl w:val="0"/>
        </w:rPr>
        <w:t xml:space="preserve">4.4 Application in Daily Practice</w:t>
      </w:r>
    </w:p>
    <w:p w:rsidR="00000000" w:rsidDel="00000000" w:rsidP="00000000" w:rsidRDefault="00000000" w:rsidRPr="00000000" w14:paraId="0000005C">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 will also engage the service users in decision-making in my practice to encourage autonomy and make sure the care is personalized to meet the unique needs of the service users. Indicatively, in assisting an aged patient, I will make them share their preferences on daily activities, like the choice of meals or personal care to preserve their dignity and independence. This indicates that effective communication is essential in maintaining person-centred care and building trust between professionals and service users. Regarding partnership working, I will closely work with multidisciplinary teams, such as nurses, social workers, and other healthcare professionals, to provide a coordinated approach to care. For instance, sharing relevant information during team meetings can help improve care planning and reduce the risk of errors. But practically, effective communication and respect are required to remove the possible obstacles like misunderstanding or professional outlook differences. Morally, my behaviour will be directed by the principles of beneficence and non-maleficence since I will make the wellbeing and safety of the people the priority. To illustrate, I will uphold confidentiality and inform consent before disclosing information. This practice helps to provide high-quality, safe, and respectful care in the professional environment.</w:t>
      </w:r>
    </w:p>
    <w:p w:rsidR="00000000" w:rsidDel="00000000" w:rsidP="00000000" w:rsidRDefault="00000000" w:rsidRPr="00000000" w14:paraId="0000005D">
      <w:pPr>
        <w:spacing w:line="360" w:lineRule="auto"/>
        <w:jc w:val="both"/>
        <w:rPr>
          <w:rFonts w:ascii="Arial" w:cs="Arial" w:eastAsia="Arial" w:hAnsi="Arial"/>
          <w:b w:val="1"/>
          <w:bCs w:val="1"/>
          <w:i w:val="1"/>
          <w:iCs w:val="1"/>
          <w:sz w:val="22"/>
          <w:szCs w:val="22"/>
        </w:rPr>
      </w:pPr>
      <w:r w:rsidDel="00000000" w:rsidR="00000000" w:rsidRPr="00000000">
        <w:rPr>
          <w:rFonts w:ascii="Arial" w:cs="Arial" w:eastAsia="Arial" w:hAnsi="Arial"/>
          <w:b w:val="1"/>
          <w:bCs w:val="1"/>
          <w:i w:val="1"/>
          <w:iCs w:val="1"/>
          <w:sz w:val="22"/>
          <w:szCs w:val="22"/>
          <w:rtl w:val="0"/>
        </w:rPr>
        <w:t xml:space="preserve">4.5 Legislation and Professional Standards</w:t>
      </w:r>
    </w:p>
    <w:p w:rsidR="00000000" w:rsidDel="00000000" w:rsidP="00000000" w:rsidRDefault="00000000" w:rsidRPr="00000000" w14:paraId="0000005E">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Laws and professional codes are important in informing my behaviour and decision making in health and social care practice. The Care Act 2014 informs my duty to enhance the wellbeing of people and ensure that safeguarding is a priority especially when dealing with vulnerable adults. This implies that I should be alert to any indications of abuse or neglect and act accordingly according to the organisational practices. Moreover, the HCPC Code obliges me to always be professionally accountable and respectful of service users. This involves keeping secrets, informed consent and operating within my competence. Moreover, these standards also focus on the need to engage in continuous professional growth, so that my knowledge and skills will be up-to-date. This implies that both legislation and professional guidelines will not only influence my practice but also assist in providing safe, ethical, and high-quality care.</w:t>
      </w:r>
    </w:p>
    <w:p w:rsidR="00000000" w:rsidDel="00000000" w:rsidP="00000000" w:rsidRDefault="00000000" w:rsidRPr="00000000" w14:paraId="0000005F">
      <w:pPr>
        <w:spacing w:line="360" w:lineRule="auto"/>
        <w:jc w:val="both"/>
        <w:rPr>
          <w:rFonts w:ascii="Arial" w:cs="Arial" w:eastAsia="Arial" w:hAnsi="Arial"/>
          <w:b w:val="1"/>
          <w:bCs w:val="1"/>
          <w:i w:val="1"/>
          <w:iCs w:val="1"/>
          <w:sz w:val="22"/>
          <w:szCs w:val="22"/>
        </w:rPr>
      </w:pPr>
      <w:r w:rsidDel="00000000" w:rsidR="00000000" w:rsidRPr="00000000">
        <w:rPr>
          <w:rFonts w:ascii="Arial" w:cs="Arial" w:eastAsia="Arial" w:hAnsi="Arial"/>
          <w:b w:val="1"/>
          <w:bCs w:val="1"/>
          <w:i w:val="1"/>
          <w:iCs w:val="1"/>
          <w:sz w:val="22"/>
          <w:szCs w:val="22"/>
          <w:rtl w:val="0"/>
        </w:rPr>
        <w:t xml:space="preserve">4.6 Reflective Practice</w:t>
      </w:r>
    </w:p>
    <w:p w:rsidR="00000000" w:rsidDel="00000000" w:rsidP="00000000" w:rsidRDefault="00000000" w:rsidRPr="00000000" w14:paraId="00000060">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To be more effective as a health and social care professional, I will embrace lifelong learning by engaging in training on the important aspects of professionalism like safeguarding, communication skills, and ethical decision-making. Enhancing my knowledge of existing laws, such as the Care Act 2014 and other safeguarding policies, will help me to put legal frameworks into practice with more confidence. I will also tap into academic literature and professional resources to ensure that I am aware of best practices in the sector. I will also use the Reflective Cycle developed by Gibbs as a method of assessing my practice experience. For example, after a challenging situation, I will describe the event, reflect on my thoughts and feelings, and evaluate what went well or could be improved. The analysis will help me to recognize areas of improvement and adopt an action plan to improve my future performance. This implies that continuous learning requires reflective practice, which will allow me to critically assess my actions and enhance the quality of care I deliver.</w:t>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pStyle w:val="Heading1"/>
        <w:rPr>
          <w:rFonts w:ascii="Arial" w:cs="Arial" w:eastAsia="Arial" w:hAnsi="Arial"/>
          <w:b w:val="1"/>
          <w:bCs w:val="1"/>
          <w:sz w:val="22"/>
          <w:szCs w:val="22"/>
        </w:rPr>
      </w:pPr>
      <w:bookmarkStart w:colFirst="0" w:colLast="0" w:name="_heading=h.dkfx1cs6dgds" w:id="4"/>
      <w:bookmarkEnd w:id="4"/>
      <w:r w:rsidDel="00000000" w:rsidR="00000000" w:rsidRPr="00000000">
        <w:rPr>
          <w:rFonts w:ascii="Arial" w:cs="Arial" w:eastAsia="Arial" w:hAnsi="Arial"/>
          <w:b w:val="1"/>
          <w:bCs w:val="1"/>
          <w:sz w:val="22"/>
          <w:szCs w:val="22"/>
          <w:rtl w:val="0"/>
        </w:rPr>
        <w:t xml:space="preserve">Reference</w:t>
      </w:r>
    </w:p>
    <w:p w:rsidR="00000000" w:rsidDel="00000000" w:rsidP="00000000" w:rsidRDefault="00000000" w:rsidRPr="00000000" w14:paraId="0000006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8.00000000000006" w:lineRule="auto"/>
        <w:ind w:left="720" w:right="0" w:hanging="36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Beauchamp, T.L. and Childress, J.F. (2019)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Principles of biomedical ethics</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8th edn. Oxford: Oxford University Press.</w:t>
      </w:r>
    </w:p>
    <w:p w:rsidR="00000000" w:rsidDel="00000000" w:rsidP="00000000" w:rsidRDefault="00000000" w:rsidRPr="00000000" w14:paraId="0000006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8.00000000000006" w:lineRule="auto"/>
        <w:ind w:left="720" w:right="0" w:hanging="36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Department of Health (2014)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Care Act 2014</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London: The Stationery Office.</w:t>
      </w:r>
    </w:p>
    <w:p w:rsidR="00000000" w:rsidDel="00000000" w:rsidP="00000000" w:rsidRDefault="00000000" w:rsidRPr="00000000" w14:paraId="0000006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8.00000000000006" w:lineRule="auto"/>
        <w:ind w:left="720" w:right="0" w:hanging="36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Ekman, I. et al. (2011) ‘Person-centered care — ready for prime time’,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European Journal of Cardiovascular Nursing</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10(4), pp. 248–251.</w:t>
      </w:r>
    </w:p>
    <w:p w:rsidR="00000000" w:rsidDel="00000000" w:rsidP="00000000" w:rsidRDefault="00000000" w:rsidRPr="00000000" w14:paraId="0000006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8.00000000000006" w:lineRule="auto"/>
        <w:ind w:left="720" w:right="0" w:hanging="36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Health and Care Professions Council (2016)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Standards of conduct, performance and ethics</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London: HCPC.</w:t>
      </w:r>
    </w:p>
    <w:p w:rsidR="00000000" w:rsidDel="00000000" w:rsidP="00000000" w:rsidRDefault="00000000" w:rsidRPr="00000000" w14:paraId="0000006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8.00000000000006" w:lineRule="auto"/>
        <w:ind w:left="720" w:right="0" w:hanging="36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King’s Fund (2022)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The NHS workforce in numbers</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Available at: </w:t>
      </w:r>
      <w:hyperlink r:id="rId8">
        <w:r w:rsidDel="00000000" w:rsidR="00000000" w:rsidRPr="00000000">
          <w:rPr>
            <w:rFonts w:ascii="Arial" w:cs="Arial" w:eastAsia="Arial" w:hAnsi="Arial"/>
            <w:b w:val="0"/>
            <w:bCs w:val="0"/>
            <w:i w:val="0"/>
            <w:iCs w:val="0"/>
            <w:smallCaps w:val="0"/>
            <w:strike w:val="0"/>
            <w:color w:val="467886"/>
            <w:sz w:val="22"/>
            <w:szCs w:val="22"/>
            <w:u w:val="single"/>
            <w:shd w:fill="auto" w:val="clear"/>
            <w:vertAlign w:val="baseline"/>
            <w:rtl w:val="0"/>
          </w:rPr>
          <w:t xml:space="preserve">https://www.kingsfund.org.uk</w:t>
        </w:r>
      </w:hyperlink>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(Accessed: 10 April 2026).</w:t>
      </w:r>
    </w:p>
    <w:p w:rsidR="00000000" w:rsidDel="00000000" w:rsidP="00000000" w:rsidRDefault="00000000" w:rsidRPr="00000000" w14:paraId="0000006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8.00000000000006" w:lineRule="auto"/>
        <w:ind w:left="720" w:right="0" w:hanging="36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Maslow, A.H. (1943) ‘A theory of human motivation’,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Psychological Review</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50(4), pp. 370–396.</w:t>
      </w:r>
    </w:p>
    <w:p w:rsidR="00000000" w:rsidDel="00000000" w:rsidP="00000000" w:rsidRDefault="00000000" w:rsidRPr="00000000" w14:paraId="0000006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8.00000000000006" w:lineRule="auto"/>
        <w:ind w:left="720" w:right="0" w:hanging="36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NHS England (2021)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Person-centred care</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Available at: </w:t>
      </w:r>
      <w:hyperlink r:id="rId9">
        <w:r w:rsidDel="00000000" w:rsidR="00000000" w:rsidRPr="00000000">
          <w:rPr>
            <w:rFonts w:ascii="Arial" w:cs="Arial" w:eastAsia="Arial" w:hAnsi="Arial"/>
            <w:b w:val="0"/>
            <w:bCs w:val="0"/>
            <w:i w:val="0"/>
            <w:iCs w:val="0"/>
            <w:smallCaps w:val="0"/>
            <w:strike w:val="0"/>
            <w:color w:val="467886"/>
            <w:sz w:val="22"/>
            <w:szCs w:val="22"/>
            <w:u w:val="single"/>
            <w:shd w:fill="auto" w:val="clear"/>
            <w:vertAlign w:val="baseline"/>
            <w:rtl w:val="0"/>
          </w:rPr>
          <w:t xml:space="preserve">https://www.england.nhs.uk</w:t>
        </w:r>
      </w:hyperlink>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(Accessed: 10 April 2026).</w:t>
      </w:r>
    </w:p>
    <w:p w:rsidR="00000000" w:rsidDel="00000000" w:rsidP="00000000" w:rsidRDefault="00000000" w:rsidRPr="00000000" w14:paraId="0000006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8.00000000000006" w:lineRule="auto"/>
        <w:ind w:left="720" w:right="0" w:hanging="36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National Institute for Health and Care Excellence (2018)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Dementia: assessment, management and support for people living with dementia and their carers (NG97)</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London: NICE.</w:t>
      </w:r>
    </w:p>
    <w:p w:rsidR="00000000" w:rsidDel="00000000" w:rsidP="00000000" w:rsidRDefault="00000000" w:rsidRPr="00000000" w14:paraId="0000006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8.00000000000006" w:lineRule="auto"/>
        <w:ind w:left="720" w:right="0" w:hanging="36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Reeves, S. et al. (2017)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Interprofessional teamwork for health and social care</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Oxford: Wiley-Blackwell.</w:t>
      </w:r>
    </w:p>
    <w:p w:rsidR="00000000" w:rsidDel="00000000" w:rsidP="00000000" w:rsidRDefault="00000000" w:rsidRPr="00000000" w14:paraId="0000007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40" w:before="0" w:line="278.00000000000006" w:lineRule="auto"/>
        <w:ind w:left="720" w:right="0" w:hanging="36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UK Government (2022)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Health and Care Act 2022</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London: The Stationery Office.</w:t>
      </w:r>
    </w:p>
    <w:p w:rsidR="00000000" w:rsidDel="00000000" w:rsidP="00000000" w:rsidRDefault="00000000" w:rsidRPr="00000000" w14:paraId="00000071">
      <w:pPr>
        <w:spacing w:after="240" w:before="240" w:lineRule="auto"/>
        <w:rPr/>
      </w:pPr>
      <w:r w:rsidDel="00000000" w:rsidR="00000000" w:rsidRPr="00000000">
        <w:rPr>
          <w:rtl w:val="0"/>
        </w:rPr>
      </w:r>
    </w:p>
    <w:sectPr>
      <w:headerReference r:id="rId10" w:type="default"/>
      <w:footerReference r:id="rId11" w:type="default"/>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Aptos"/>
  <w:font w:name="Play">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bl>
    <w:tblPr>
      <w:tblStyle w:val="Table4"/>
      <w:tblW w:w="9360.0" w:type="dxa"/>
      <w:jc w:val="left"/>
      <w:tblLayout w:type="fixed"/>
      <w:tblLook w:val="0600"/>
    </w:tblPr>
    <w:tblGrid>
      <w:gridCol w:w="3120"/>
      <w:gridCol w:w="3120"/>
      <w:gridCol w:w="3120"/>
      <w:tblGridChange w:id="0">
        <w:tblGrid>
          <w:gridCol w:w="3120"/>
          <w:gridCol w:w="3120"/>
          <w:gridCol w:w="3120"/>
        </w:tblGrid>
      </w:tblGridChange>
    </w:tblGrid>
    <w:tr>
      <w:trPr>
        <w:cantSplit w:val="0"/>
        <w:trHeight w:val="300" w:hRule="atLeast"/>
        <w:tblHeader w:val="0"/>
      </w:trPr>
      <w:tc>
        <w:tcPr/>
        <w:p w:rsidR="00000000" w:rsidDel="00000000" w:rsidP="00000000" w:rsidRDefault="00000000" w:rsidRPr="00000000" w14:paraId="0000007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115"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7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tc>
      <w:tc>
        <w:tcPr/>
        <w:p w:rsidR="00000000" w:rsidDel="00000000" w:rsidP="00000000" w:rsidRDefault="00000000" w:rsidRPr="00000000" w14:paraId="0000007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115" w:firstLine="0"/>
            <w:jc w:val="righ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c>
    </w:tr>
  </w:tbl>
  <w:p w:rsidR="00000000" w:rsidDel="00000000" w:rsidP="00000000" w:rsidRDefault="00000000" w:rsidRPr="00000000" w14:paraId="0000007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bl>
    <w:tblPr>
      <w:tblStyle w:val="Table3"/>
      <w:tblW w:w="9360.0" w:type="dxa"/>
      <w:jc w:val="left"/>
      <w:tblLayout w:type="fixed"/>
      <w:tblLook w:val="0600"/>
    </w:tblPr>
    <w:tblGrid>
      <w:gridCol w:w="3120"/>
      <w:gridCol w:w="3120"/>
      <w:gridCol w:w="3120"/>
      <w:tblGridChange w:id="0">
        <w:tblGrid>
          <w:gridCol w:w="3120"/>
          <w:gridCol w:w="3120"/>
          <w:gridCol w:w="3120"/>
        </w:tblGrid>
      </w:tblGridChange>
    </w:tblGrid>
    <w:tr>
      <w:trPr>
        <w:cantSplit w:val="0"/>
        <w:trHeight w:val="300" w:hRule="atLeast"/>
        <w:tblHeader w:val="0"/>
      </w:trPr>
      <w:tc>
        <w:tcPr/>
        <w:p w:rsidR="00000000" w:rsidDel="00000000" w:rsidP="00000000" w:rsidRDefault="00000000" w:rsidRPr="00000000" w14:paraId="0000007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115"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7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7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115" w:firstLine="0"/>
            <w:jc w:val="righ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c>
    </w:tr>
  </w:tbl>
  <w:p w:rsidR="00000000" w:rsidDel="00000000" w:rsidP="00000000" w:rsidRDefault="00000000" w:rsidRPr="00000000" w14:paraId="0000007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Subtitle">
    <w:name w:val="Subtitle"/>
    <w:basedOn w:val="Normal"/>
    <w:next w:val="Normal"/>
    <w:pPr/>
    <w:rPr>
      <w:color w:val="595959"/>
      <w:sz w:val="28"/>
      <w:szCs w:val="2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1.xml"/><Relationship Id="rId10" Type="http://schemas.openxmlformats.org/officeDocument/2006/relationships/header" Target="header1.xml"/><Relationship Id="rId9" Type="http://schemas.openxmlformats.org/officeDocument/2006/relationships/hyperlink" Target="https://www.england.nhs.uk/"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yperlink" Target="https://www.kingsfund.org.uk/"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jbxXasABSJ3d+zGhRJzehhEDvcg==">CgMxLjAyDmguODFiNzQ5cGZ3Y2lkMg5oLjd4bDR5anRnbGZnZjIOaC5mdWFtdGtkeGR1ZHIyDmguM2FoMHk1M3F3a2FwMg5oLmRrZngxY3M2ZGdkczgAciExX1lfWk5Wb1pkcWNCR3VIZXg3bUxXVExIX2lfTk1BV3M=</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