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9C1D17" w14:textId="463D624E" w:rsidR="003252A2" w:rsidRPr="007B0866" w:rsidRDefault="003252A2">
      <w:pPr>
        <w:spacing w:before="120" w:after="120" w:line="360" w:lineRule="auto"/>
        <w:jc w:val="center"/>
        <w:rPr>
          <w:b/>
          <w:bCs/>
        </w:rPr>
      </w:pPr>
      <w:r w:rsidRPr="007B0866">
        <w:rPr>
          <w:b/>
          <w:bCs/>
          <w:noProof/>
        </w:rPr>
        <w:drawing>
          <wp:inline distT="0" distB="0" distL="0" distR="0" wp14:anchorId="3BF12693" wp14:editId="5DAE9155">
            <wp:extent cx="3737610" cy="1237484"/>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UWTSD-Logo-1024x339.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50026" cy="1241595"/>
                    </a:xfrm>
                    <a:prstGeom prst="rect">
                      <a:avLst/>
                    </a:prstGeom>
                  </pic:spPr>
                </pic:pic>
              </a:graphicData>
            </a:graphic>
          </wp:inline>
        </w:drawing>
      </w:r>
    </w:p>
    <w:p w14:paraId="32187FDB" w14:textId="700CECF6" w:rsidR="003252A2" w:rsidRPr="007B0866" w:rsidRDefault="003252A2">
      <w:pPr>
        <w:spacing w:before="120" w:after="120" w:line="360" w:lineRule="auto"/>
        <w:jc w:val="center"/>
        <w:rPr>
          <w:b/>
          <w:bCs/>
        </w:rPr>
      </w:pPr>
    </w:p>
    <w:p w14:paraId="3AEB7AB3" w14:textId="178CA1F5" w:rsidR="003252A2" w:rsidRPr="007B0866" w:rsidRDefault="003252A2">
      <w:pPr>
        <w:spacing w:before="120" w:after="120" w:line="360" w:lineRule="auto"/>
        <w:jc w:val="center"/>
        <w:rPr>
          <w:b/>
          <w:bCs/>
        </w:rPr>
      </w:pPr>
    </w:p>
    <w:p w14:paraId="092DE0E4" w14:textId="25750C6D" w:rsidR="003252A2" w:rsidRPr="007B0866" w:rsidRDefault="003252A2">
      <w:pPr>
        <w:spacing w:before="120" w:after="120" w:line="360" w:lineRule="auto"/>
        <w:jc w:val="center"/>
        <w:rPr>
          <w:b/>
          <w:bCs/>
        </w:rPr>
      </w:pPr>
      <w:r w:rsidRPr="007B0866">
        <w:rPr>
          <w:b/>
          <w:bCs/>
        </w:rPr>
        <w:t>MASTERS OF BUSINESS ADMINISTRATION</w:t>
      </w:r>
    </w:p>
    <w:p w14:paraId="166A7AA8" w14:textId="4AD8D0BD" w:rsidR="003252A2" w:rsidRPr="007B0866" w:rsidRDefault="003252A2">
      <w:pPr>
        <w:spacing w:before="120" w:after="120" w:line="360" w:lineRule="auto"/>
        <w:jc w:val="center"/>
        <w:rPr>
          <w:b/>
          <w:bCs/>
        </w:rPr>
      </w:pPr>
      <w:r w:rsidRPr="007B0866">
        <w:rPr>
          <w:b/>
          <w:bCs/>
        </w:rPr>
        <w:t xml:space="preserve">INTERNATIONAL MARKETING – PRINCIPLES AND PRACTICES </w:t>
      </w:r>
    </w:p>
    <w:p w14:paraId="7ACCCEEE" w14:textId="4C12E2EF" w:rsidR="003252A2" w:rsidRPr="007B0866" w:rsidRDefault="003252A2">
      <w:pPr>
        <w:spacing w:before="120" w:after="120" w:line="360" w:lineRule="auto"/>
        <w:jc w:val="center"/>
        <w:rPr>
          <w:b/>
          <w:bCs/>
        </w:rPr>
      </w:pPr>
      <w:r w:rsidRPr="007B0866">
        <w:rPr>
          <w:b/>
          <w:bCs/>
        </w:rPr>
        <w:t xml:space="preserve">MODULE CODE – LCMB7026 </w:t>
      </w:r>
    </w:p>
    <w:p w14:paraId="68E19CFE" w14:textId="2C288249" w:rsidR="003252A2" w:rsidRPr="007B0866" w:rsidRDefault="003252A2" w:rsidP="003252A2">
      <w:pPr>
        <w:spacing w:before="120" w:after="120" w:line="360" w:lineRule="auto"/>
        <w:jc w:val="center"/>
        <w:rPr>
          <w:b/>
          <w:bCs/>
        </w:rPr>
      </w:pPr>
      <w:r w:rsidRPr="007B0866">
        <w:rPr>
          <w:b/>
          <w:bCs/>
        </w:rPr>
        <w:t>WEIGHINTING – 100%</w:t>
      </w:r>
    </w:p>
    <w:p w14:paraId="4BC51BB0" w14:textId="16DC5AEE" w:rsidR="00082694" w:rsidRPr="007B0866" w:rsidRDefault="00E7132B">
      <w:pPr>
        <w:spacing w:before="120" w:after="120" w:line="360" w:lineRule="auto"/>
        <w:jc w:val="center"/>
        <w:rPr>
          <w:b/>
        </w:rPr>
      </w:pPr>
      <w:r w:rsidRPr="007B0866">
        <w:rPr>
          <w:b/>
          <w:bCs/>
        </w:rPr>
        <w:t xml:space="preserve">Assessment component 1: </w:t>
      </w:r>
      <w:r w:rsidRPr="007B0866">
        <w:rPr>
          <w:b/>
        </w:rPr>
        <w:t>Individual report</w:t>
      </w:r>
    </w:p>
    <w:p w14:paraId="1E9925D1" w14:textId="126946B2" w:rsidR="003252A2" w:rsidRPr="007B0866" w:rsidRDefault="003252A2">
      <w:pPr>
        <w:spacing w:before="120" w:after="120" w:line="360" w:lineRule="auto"/>
        <w:jc w:val="center"/>
        <w:rPr>
          <w:b/>
          <w:bCs/>
        </w:rPr>
      </w:pPr>
      <w:r w:rsidRPr="007B0866">
        <w:rPr>
          <w:b/>
        </w:rPr>
        <w:t>__________________________________</w:t>
      </w:r>
    </w:p>
    <w:p w14:paraId="722450E0" w14:textId="1616B942" w:rsidR="00082694" w:rsidRPr="007B0866" w:rsidRDefault="003252A2">
      <w:pPr>
        <w:spacing w:line="360" w:lineRule="auto"/>
        <w:jc w:val="center"/>
        <w:rPr>
          <w:b/>
          <w:bCs/>
          <w:color w:val="000000"/>
          <w:kern w:val="0"/>
        </w:rPr>
      </w:pPr>
      <w:r w:rsidRPr="007B0866">
        <w:rPr>
          <w:b/>
          <w:bCs/>
          <w:color w:val="000000"/>
          <w:kern w:val="0"/>
        </w:rPr>
        <w:t xml:space="preserve">SUBMITTED </w:t>
      </w:r>
    </w:p>
    <w:p w14:paraId="00CDE555" w14:textId="6A4DB21A" w:rsidR="003252A2" w:rsidRPr="007B0866" w:rsidRDefault="003252A2">
      <w:pPr>
        <w:spacing w:line="360" w:lineRule="auto"/>
        <w:jc w:val="center"/>
        <w:rPr>
          <w:b/>
          <w:bCs/>
          <w:color w:val="000000"/>
          <w:kern w:val="0"/>
        </w:rPr>
      </w:pPr>
      <w:r w:rsidRPr="007B0866">
        <w:rPr>
          <w:b/>
          <w:bCs/>
          <w:color w:val="000000"/>
          <w:kern w:val="0"/>
        </w:rPr>
        <w:t xml:space="preserve">BY </w:t>
      </w:r>
    </w:p>
    <w:p w14:paraId="41B679EB" w14:textId="104AD8D4" w:rsidR="003252A2" w:rsidRPr="007B0866" w:rsidRDefault="00735076">
      <w:pPr>
        <w:spacing w:line="360" w:lineRule="auto"/>
        <w:jc w:val="center"/>
        <w:rPr>
          <w:b/>
          <w:bCs/>
          <w:color w:val="000000"/>
          <w:kern w:val="0"/>
        </w:rPr>
      </w:pPr>
      <w:r>
        <w:rPr>
          <w:b/>
          <w:bCs/>
          <w:color w:val="000000"/>
          <w:kern w:val="0"/>
        </w:rPr>
        <w:t>NAME :</w:t>
      </w:r>
      <w:r w:rsidR="003252A2" w:rsidRPr="007B0866">
        <w:rPr>
          <w:b/>
          <w:bCs/>
          <w:color w:val="000000"/>
          <w:kern w:val="0"/>
        </w:rPr>
        <w:t xml:space="preserve"> </w:t>
      </w:r>
      <w:r>
        <w:rPr>
          <w:b/>
          <w:bCs/>
          <w:color w:val="000000"/>
          <w:kern w:val="0"/>
        </w:rPr>
        <w:t>NEEL MANISHBHAI KORAT</w:t>
      </w:r>
    </w:p>
    <w:p w14:paraId="43DDD07A" w14:textId="1FCB48CB" w:rsidR="003252A2" w:rsidRPr="007B0866" w:rsidRDefault="003252A2">
      <w:pPr>
        <w:spacing w:line="360" w:lineRule="auto"/>
        <w:jc w:val="center"/>
        <w:rPr>
          <w:b/>
          <w:bCs/>
          <w:color w:val="000000"/>
          <w:kern w:val="0"/>
        </w:rPr>
      </w:pPr>
    </w:p>
    <w:p w14:paraId="54B45E00" w14:textId="7794D2C5" w:rsidR="003252A2" w:rsidRDefault="003252A2">
      <w:pPr>
        <w:spacing w:line="360" w:lineRule="auto"/>
        <w:jc w:val="center"/>
        <w:rPr>
          <w:b/>
          <w:bCs/>
          <w:color w:val="000000"/>
          <w:kern w:val="0"/>
        </w:rPr>
      </w:pPr>
      <w:r w:rsidRPr="007B0866">
        <w:rPr>
          <w:b/>
          <w:bCs/>
          <w:color w:val="000000"/>
          <w:kern w:val="0"/>
        </w:rPr>
        <w:t xml:space="preserve">STUDENT ID – </w:t>
      </w:r>
      <w:r w:rsidR="00735076">
        <w:rPr>
          <w:b/>
          <w:bCs/>
          <w:color w:val="000000"/>
          <w:kern w:val="0"/>
        </w:rPr>
        <w:t>2523741</w:t>
      </w:r>
    </w:p>
    <w:p w14:paraId="380D0375" w14:textId="77777777" w:rsidR="00735076" w:rsidRPr="007B0866" w:rsidRDefault="00735076">
      <w:pPr>
        <w:spacing w:line="360" w:lineRule="auto"/>
        <w:jc w:val="center"/>
        <w:rPr>
          <w:b/>
          <w:bCs/>
          <w:color w:val="000000"/>
          <w:kern w:val="0"/>
        </w:rPr>
      </w:pPr>
    </w:p>
    <w:p w14:paraId="763FA446" w14:textId="77777777" w:rsidR="00082694" w:rsidRPr="007B0866" w:rsidRDefault="00E7132B">
      <w:pPr>
        <w:keepNext/>
        <w:keepLines/>
        <w:spacing w:line="360" w:lineRule="auto"/>
        <w:jc w:val="both"/>
      </w:pPr>
      <w:bookmarkStart w:id="0" w:name="__RefHeading___Toc1146_35274593"/>
      <w:bookmarkEnd w:id="0"/>
      <w:r w:rsidRPr="007B0866">
        <w:br/>
      </w:r>
    </w:p>
    <w:p w14:paraId="028DF7DC" w14:textId="77777777" w:rsidR="00082694" w:rsidRPr="007B0866" w:rsidRDefault="00082694">
      <w:pPr>
        <w:rPr>
          <w:rFonts w:eastAsiaTheme="majorEastAsia"/>
          <w:b/>
          <w:color w:val="000000" w:themeColor="text1"/>
        </w:rPr>
      </w:pPr>
    </w:p>
    <w:sdt>
      <w:sdtPr>
        <w:rPr>
          <w:rFonts w:ascii="Times New Roman" w:eastAsiaTheme="minorHAnsi" w:hAnsi="Times New Roman" w:cs="Times New Roman"/>
          <w:color w:val="auto"/>
          <w:kern w:val="2"/>
          <w:sz w:val="20"/>
          <w:szCs w:val="24"/>
        </w:rPr>
        <w:id w:val="2129037000"/>
        <w:docPartObj>
          <w:docPartGallery w:val="Table of Contents"/>
          <w:docPartUnique/>
        </w:docPartObj>
      </w:sdtPr>
      <w:sdtContent>
        <w:p w14:paraId="1B6A7217" w14:textId="213862A0" w:rsidR="00082694" w:rsidRPr="007B0866" w:rsidRDefault="00E7132B">
          <w:pPr>
            <w:pStyle w:val="TOCHeading"/>
            <w:rPr>
              <w:rFonts w:ascii="Times New Roman" w:hAnsi="Times New Roman" w:cs="Times New Roman"/>
            </w:rPr>
          </w:pPr>
          <w:r w:rsidRPr="007B0866">
            <w:rPr>
              <w:rFonts w:ascii="Times New Roman" w:hAnsi="Times New Roman" w:cs="Times New Roman"/>
            </w:rPr>
            <w:br w:type="page"/>
          </w:r>
          <w:r w:rsidR="007B0866" w:rsidRPr="007B0866">
            <w:rPr>
              <w:rFonts w:ascii="Times New Roman" w:hAnsi="Times New Roman" w:cs="Times New Roman"/>
            </w:rPr>
            <w:lastRenderedPageBreak/>
            <w:t>TABLE OF CONTENTS</w:t>
          </w:r>
        </w:p>
        <w:p w14:paraId="0AEF1FF4" w14:textId="2A7676B8" w:rsidR="007B0866" w:rsidRPr="007B0866" w:rsidRDefault="00E7132B">
          <w:pPr>
            <w:pStyle w:val="TOC1"/>
            <w:tabs>
              <w:tab w:val="right" w:leader="dot" w:pos="9350"/>
            </w:tabs>
            <w:rPr>
              <w:rFonts w:ascii="Times New Roman" w:eastAsiaTheme="minorEastAsia" w:hAnsi="Times New Roman" w:cs="Times New Roman"/>
              <w:b w:val="0"/>
              <w:bCs w:val="0"/>
              <w:noProof/>
              <w:kern w:val="0"/>
              <w:sz w:val="22"/>
              <w:szCs w:val="22"/>
              <w14:ligatures w14:val="none"/>
            </w:rPr>
          </w:pPr>
          <w:r w:rsidRPr="007B0866">
            <w:fldChar w:fldCharType="begin"/>
          </w:r>
          <w:r w:rsidRPr="007B0866">
            <w:rPr>
              <w:rStyle w:val="IndexLink"/>
              <w:rFonts w:ascii="Times New Roman" w:hAnsi="Times New Roman" w:cs="Times New Roman"/>
              <w:webHidden/>
            </w:rPr>
            <w:instrText xml:space="preserve"> TOC \z \o "1-3" \u \h</w:instrText>
          </w:r>
          <w:r w:rsidRPr="007B0866">
            <w:rPr>
              <w:rStyle w:val="IndexLink"/>
              <w:rFonts w:ascii="Times New Roman" w:hAnsi="Times New Roman" w:cs="Times New Roman"/>
            </w:rPr>
            <w:fldChar w:fldCharType="separate"/>
          </w:r>
          <w:hyperlink w:anchor="_Toc234901558" w:history="1">
            <w:r w:rsidR="007B0866" w:rsidRPr="007B0866">
              <w:rPr>
                <w:rStyle w:val="Hyperlink"/>
                <w:rFonts w:ascii="Times New Roman" w:hAnsi="Times New Roman" w:cs="Times New Roman"/>
                <w:noProof/>
              </w:rPr>
              <w:t>Introduction</w:t>
            </w:r>
            <w:r w:rsidR="007B0866" w:rsidRPr="007B0866">
              <w:rPr>
                <w:rFonts w:ascii="Times New Roman" w:hAnsi="Times New Roman" w:cs="Times New Roman"/>
                <w:noProof/>
                <w:webHidden/>
              </w:rPr>
              <w:tab/>
            </w:r>
            <w:r w:rsidR="007B0866" w:rsidRPr="007B0866">
              <w:rPr>
                <w:rFonts w:ascii="Times New Roman" w:hAnsi="Times New Roman" w:cs="Times New Roman"/>
                <w:noProof/>
                <w:webHidden/>
              </w:rPr>
              <w:fldChar w:fldCharType="begin"/>
            </w:r>
            <w:r w:rsidR="007B0866" w:rsidRPr="007B0866">
              <w:rPr>
                <w:rFonts w:ascii="Times New Roman" w:hAnsi="Times New Roman" w:cs="Times New Roman"/>
                <w:noProof/>
                <w:webHidden/>
              </w:rPr>
              <w:instrText xml:space="preserve"> PAGEREF _Toc234901558 \h </w:instrText>
            </w:r>
            <w:r w:rsidR="007B0866" w:rsidRPr="007B0866">
              <w:rPr>
                <w:rFonts w:ascii="Times New Roman" w:hAnsi="Times New Roman" w:cs="Times New Roman"/>
                <w:noProof/>
                <w:webHidden/>
              </w:rPr>
            </w:r>
            <w:r w:rsidR="007B0866" w:rsidRPr="007B0866">
              <w:rPr>
                <w:rFonts w:ascii="Times New Roman" w:hAnsi="Times New Roman" w:cs="Times New Roman"/>
                <w:noProof/>
                <w:webHidden/>
              </w:rPr>
              <w:fldChar w:fldCharType="separate"/>
            </w:r>
            <w:r w:rsidR="007B0866" w:rsidRPr="007B0866">
              <w:rPr>
                <w:rFonts w:ascii="Times New Roman" w:hAnsi="Times New Roman" w:cs="Times New Roman"/>
                <w:noProof/>
                <w:webHidden/>
              </w:rPr>
              <w:t>3</w:t>
            </w:r>
            <w:r w:rsidR="007B0866" w:rsidRPr="007B0866">
              <w:rPr>
                <w:rFonts w:ascii="Times New Roman" w:hAnsi="Times New Roman" w:cs="Times New Roman"/>
                <w:noProof/>
                <w:webHidden/>
              </w:rPr>
              <w:fldChar w:fldCharType="end"/>
            </w:r>
          </w:hyperlink>
        </w:p>
        <w:p w14:paraId="12A98EC3" w14:textId="4C52CC06" w:rsidR="007B0866" w:rsidRPr="007B0866" w:rsidRDefault="007B0866">
          <w:pPr>
            <w:pStyle w:val="TOC1"/>
            <w:tabs>
              <w:tab w:val="right" w:leader="dot" w:pos="9350"/>
            </w:tabs>
            <w:rPr>
              <w:rFonts w:ascii="Times New Roman" w:eastAsiaTheme="minorEastAsia" w:hAnsi="Times New Roman" w:cs="Times New Roman"/>
              <w:b w:val="0"/>
              <w:bCs w:val="0"/>
              <w:noProof/>
              <w:kern w:val="0"/>
              <w:sz w:val="22"/>
              <w:szCs w:val="22"/>
              <w14:ligatures w14:val="none"/>
            </w:rPr>
          </w:pPr>
          <w:hyperlink w:anchor="_Toc234901559" w:history="1">
            <w:r w:rsidRPr="007B0866">
              <w:rPr>
                <w:rStyle w:val="Hyperlink"/>
                <w:rFonts w:ascii="Times New Roman" w:hAnsi="Times New Roman" w:cs="Times New Roman"/>
                <w:noProof/>
              </w:rPr>
              <w:t>Comparative Market Analysis of Toyota in Japan and India</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_Toc234901559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3</w:t>
            </w:r>
            <w:r w:rsidRPr="007B0866">
              <w:rPr>
                <w:rFonts w:ascii="Times New Roman" w:hAnsi="Times New Roman" w:cs="Times New Roman"/>
                <w:noProof/>
                <w:webHidden/>
              </w:rPr>
              <w:fldChar w:fldCharType="end"/>
            </w:r>
          </w:hyperlink>
        </w:p>
        <w:p w14:paraId="0DD68E62" w14:textId="3E5AD8C3" w:rsidR="007B0866" w:rsidRPr="007B0866" w:rsidRDefault="007B0866">
          <w:pPr>
            <w:pStyle w:val="TOC2"/>
            <w:tabs>
              <w:tab w:val="right" w:leader="dot" w:pos="9350"/>
            </w:tabs>
            <w:rPr>
              <w:rFonts w:ascii="Times New Roman" w:eastAsiaTheme="minorEastAsia" w:hAnsi="Times New Roman" w:cs="Times New Roman"/>
              <w:i w:val="0"/>
              <w:iCs w:val="0"/>
              <w:noProof/>
              <w:kern w:val="0"/>
              <w:sz w:val="22"/>
              <w:szCs w:val="22"/>
              <w14:ligatures w14:val="none"/>
            </w:rPr>
          </w:pPr>
          <w:hyperlink w:anchor="_Toc234901560" w:history="1">
            <w:r w:rsidRPr="007B0866">
              <w:rPr>
                <w:rStyle w:val="Hyperlink"/>
                <w:rFonts w:ascii="Times New Roman" w:hAnsi="Times New Roman" w:cs="Times New Roman"/>
                <w:noProof/>
              </w:rPr>
              <w:t>PESTLE Analysis</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_Toc234901560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3</w:t>
            </w:r>
            <w:r w:rsidRPr="007B0866">
              <w:rPr>
                <w:rFonts w:ascii="Times New Roman" w:hAnsi="Times New Roman" w:cs="Times New Roman"/>
                <w:noProof/>
                <w:webHidden/>
              </w:rPr>
              <w:fldChar w:fldCharType="end"/>
            </w:r>
          </w:hyperlink>
        </w:p>
        <w:p w14:paraId="7B20FA46" w14:textId="63EA6948" w:rsidR="007B0866" w:rsidRPr="007B0866" w:rsidRDefault="007B0866">
          <w:pPr>
            <w:pStyle w:val="TOC2"/>
            <w:tabs>
              <w:tab w:val="right" w:leader="dot" w:pos="9350"/>
            </w:tabs>
            <w:rPr>
              <w:rFonts w:ascii="Times New Roman" w:eastAsiaTheme="minorEastAsia" w:hAnsi="Times New Roman" w:cs="Times New Roman"/>
              <w:i w:val="0"/>
              <w:iCs w:val="0"/>
              <w:noProof/>
              <w:kern w:val="0"/>
              <w:sz w:val="22"/>
              <w:szCs w:val="22"/>
              <w14:ligatures w14:val="none"/>
            </w:rPr>
          </w:pPr>
          <w:hyperlink w:anchor="_Toc234901561" w:history="1">
            <w:r w:rsidRPr="007B0866">
              <w:rPr>
                <w:rStyle w:val="Hyperlink"/>
                <w:rFonts w:ascii="Times New Roman" w:hAnsi="Times New Roman" w:cs="Times New Roman"/>
                <w:noProof/>
              </w:rPr>
              <w:t>Hofstede’s Cultural Dimensions Theory</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_Toc234901561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7</w:t>
            </w:r>
            <w:r w:rsidRPr="007B0866">
              <w:rPr>
                <w:rFonts w:ascii="Times New Roman" w:hAnsi="Times New Roman" w:cs="Times New Roman"/>
                <w:noProof/>
                <w:webHidden/>
              </w:rPr>
              <w:fldChar w:fldCharType="end"/>
            </w:r>
          </w:hyperlink>
        </w:p>
        <w:p w14:paraId="3B2E43DE" w14:textId="51C88B10" w:rsidR="007B0866" w:rsidRPr="007B0866" w:rsidRDefault="007B0866">
          <w:pPr>
            <w:pStyle w:val="TOC1"/>
            <w:tabs>
              <w:tab w:val="right" w:leader="dot" w:pos="9350"/>
            </w:tabs>
            <w:rPr>
              <w:rFonts w:ascii="Times New Roman" w:eastAsiaTheme="minorEastAsia" w:hAnsi="Times New Roman" w:cs="Times New Roman"/>
              <w:b w:val="0"/>
              <w:bCs w:val="0"/>
              <w:noProof/>
              <w:kern w:val="0"/>
              <w:sz w:val="22"/>
              <w:szCs w:val="22"/>
              <w14:ligatures w14:val="none"/>
            </w:rPr>
          </w:pPr>
          <w:hyperlink w:anchor="_Toc234901562" w:history="1">
            <w:r w:rsidRPr="007B0866">
              <w:rPr>
                <w:rStyle w:val="Hyperlink"/>
                <w:rFonts w:ascii="Times New Roman" w:hAnsi="Times New Roman" w:cs="Times New Roman"/>
                <w:noProof/>
              </w:rPr>
              <w:t>Comparative STP and International Marketing Mix Strategies</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_Toc234901562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9</w:t>
            </w:r>
            <w:r w:rsidRPr="007B0866">
              <w:rPr>
                <w:rFonts w:ascii="Times New Roman" w:hAnsi="Times New Roman" w:cs="Times New Roman"/>
                <w:noProof/>
                <w:webHidden/>
              </w:rPr>
              <w:fldChar w:fldCharType="end"/>
            </w:r>
          </w:hyperlink>
        </w:p>
        <w:p w14:paraId="78EE7FF9" w14:textId="2D689AFB" w:rsidR="007B0866" w:rsidRPr="007B0866" w:rsidRDefault="007B0866">
          <w:pPr>
            <w:pStyle w:val="TOC2"/>
            <w:tabs>
              <w:tab w:val="right" w:leader="dot" w:pos="9350"/>
            </w:tabs>
            <w:rPr>
              <w:rFonts w:ascii="Times New Roman" w:eastAsiaTheme="minorEastAsia" w:hAnsi="Times New Roman" w:cs="Times New Roman"/>
              <w:i w:val="0"/>
              <w:iCs w:val="0"/>
              <w:noProof/>
              <w:kern w:val="0"/>
              <w:sz w:val="22"/>
              <w:szCs w:val="22"/>
              <w14:ligatures w14:val="none"/>
            </w:rPr>
          </w:pPr>
          <w:hyperlink w:anchor="_Toc234901563" w:history="1">
            <w:r w:rsidRPr="007B0866">
              <w:rPr>
                <w:rStyle w:val="Hyperlink"/>
                <w:rFonts w:ascii="Times New Roman" w:hAnsi="Times New Roman" w:cs="Times New Roman"/>
                <w:noProof/>
              </w:rPr>
              <w:t>Segmentation, targeting and positioning</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_Toc234901563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9</w:t>
            </w:r>
            <w:r w:rsidRPr="007B0866">
              <w:rPr>
                <w:rFonts w:ascii="Times New Roman" w:hAnsi="Times New Roman" w:cs="Times New Roman"/>
                <w:noProof/>
                <w:webHidden/>
              </w:rPr>
              <w:fldChar w:fldCharType="end"/>
            </w:r>
          </w:hyperlink>
        </w:p>
        <w:p w14:paraId="70B07BF9" w14:textId="3C3F9222" w:rsidR="007B0866" w:rsidRPr="007B0866" w:rsidRDefault="007B0866">
          <w:pPr>
            <w:pStyle w:val="TOC2"/>
            <w:tabs>
              <w:tab w:val="right" w:leader="dot" w:pos="9350"/>
            </w:tabs>
            <w:rPr>
              <w:rFonts w:ascii="Times New Roman" w:eastAsiaTheme="minorEastAsia" w:hAnsi="Times New Roman" w:cs="Times New Roman"/>
              <w:i w:val="0"/>
              <w:iCs w:val="0"/>
              <w:noProof/>
              <w:kern w:val="0"/>
              <w:sz w:val="22"/>
              <w:szCs w:val="22"/>
              <w14:ligatures w14:val="none"/>
            </w:rPr>
          </w:pPr>
          <w:hyperlink w:anchor="_Toc234901564" w:history="1">
            <w:r w:rsidRPr="007B0866">
              <w:rPr>
                <w:rStyle w:val="Hyperlink"/>
                <w:rFonts w:ascii="Times New Roman" w:hAnsi="Times New Roman" w:cs="Times New Roman"/>
                <w:noProof/>
              </w:rPr>
              <w:t>Product and price</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_Toc234901564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10</w:t>
            </w:r>
            <w:r w:rsidRPr="007B0866">
              <w:rPr>
                <w:rFonts w:ascii="Times New Roman" w:hAnsi="Times New Roman" w:cs="Times New Roman"/>
                <w:noProof/>
                <w:webHidden/>
              </w:rPr>
              <w:fldChar w:fldCharType="end"/>
            </w:r>
          </w:hyperlink>
        </w:p>
        <w:p w14:paraId="3D90FDDD" w14:textId="46A2E52D" w:rsidR="007B0866" w:rsidRPr="007B0866" w:rsidRDefault="007B0866">
          <w:pPr>
            <w:pStyle w:val="TOC2"/>
            <w:tabs>
              <w:tab w:val="right" w:leader="dot" w:pos="9350"/>
            </w:tabs>
            <w:rPr>
              <w:rFonts w:ascii="Times New Roman" w:eastAsiaTheme="minorEastAsia" w:hAnsi="Times New Roman" w:cs="Times New Roman"/>
              <w:i w:val="0"/>
              <w:iCs w:val="0"/>
              <w:noProof/>
              <w:kern w:val="0"/>
              <w:sz w:val="22"/>
              <w:szCs w:val="22"/>
              <w14:ligatures w14:val="none"/>
            </w:rPr>
          </w:pPr>
          <w:hyperlink w:anchor="_Toc234901565" w:history="1">
            <w:r w:rsidRPr="007B0866">
              <w:rPr>
                <w:rStyle w:val="Hyperlink"/>
                <w:rFonts w:ascii="Times New Roman" w:eastAsia="Songti SC" w:hAnsi="Times New Roman" w:cs="Times New Roman"/>
                <w:noProof/>
              </w:rPr>
              <w:t>Place and promotion</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_Toc234901565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11</w:t>
            </w:r>
            <w:r w:rsidRPr="007B0866">
              <w:rPr>
                <w:rFonts w:ascii="Times New Roman" w:hAnsi="Times New Roman" w:cs="Times New Roman"/>
                <w:noProof/>
                <w:webHidden/>
              </w:rPr>
              <w:fldChar w:fldCharType="end"/>
            </w:r>
          </w:hyperlink>
        </w:p>
        <w:p w14:paraId="7E67CB3E" w14:textId="7053EA1A" w:rsidR="007B0866" w:rsidRPr="007B0866" w:rsidRDefault="007B0866">
          <w:pPr>
            <w:pStyle w:val="TOC2"/>
            <w:tabs>
              <w:tab w:val="right" w:leader="dot" w:pos="9350"/>
            </w:tabs>
            <w:rPr>
              <w:rFonts w:ascii="Times New Roman" w:eastAsiaTheme="minorEastAsia" w:hAnsi="Times New Roman" w:cs="Times New Roman"/>
              <w:i w:val="0"/>
              <w:iCs w:val="0"/>
              <w:noProof/>
              <w:kern w:val="0"/>
              <w:sz w:val="22"/>
              <w:szCs w:val="22"/>
              <w14:ligatures w14:val="none"/>
            </w:rPr>
          </w:pPr>
          <w:hyperlink w:anchor="_Toc234901566" w:history="1">
            <w:r w:rsidRPr="007B0866">
              <w:rPr>
                <w:rStyle w:val="Hyperlink"/>
                <w:rFonts w:ascii="Times New Roman" w:eastAsia="Songti SC" w:hAnsi="Times New Roman" w:cs="Times New Roman"/>
                <w:noProof/>
              </w:rPr>
              <w:t>People, process and physical evidence</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_Toc234901566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12</w:t>
            </w:r>
            <w:r w:rsidRPr="007B0866">
              <w:rPr>
                <w:rFonts w:ascii="Times New Roman" w:hAnsi="Times New Roman" w:cs="Times New Roman"/>
                <w:noProof/>
                <w:webHidden/>
              </w:rPr>
              <w:fldChar w:fldCharType="end"/>
            </w:r>
          </w:hyperlink>
        </w:p>
        <w:p w14:paraId="6EED000F" w14:textId="2E531866" w:rsidR="007B0866" w:rsidRPr="007B0866" w:rsidRDefault="007B0866">
          <w:pPr>
            <w:pStyle w:val="TOC1"/>
            <w:tabs>
              <w:tab w:val="right" w:leader="dot" w:pos="9350"/>
            </w:tabs>
            <w:rPr>
              <w:rFonts w:ascii="Times New Roman" w:eastAsiaTheme="minorEastAsia" w:hAnsi="Times New Roman" w:cs="Times New Roman"/>
              <w:b w:val="0"/>
              <w:bCs w:val="0"/>
              <w:noProof/>
              <w:kern w:val="0"/>
              <w:sz w:val="22"/>
              <w:szCs w:val="22"/>
              <w14:ligatures w14:val="none"/>
            </w:rPr>
          </w:pPr>
          <w:hyperlink w:anchor="_Toc234901567" w:history="1">
            <w:r w:rsidRPr="007B0866">
              <w:rPr>
                <w:rStyle w:val="Hyperlink"/>
                <w:rFonts w:ascii="Times New Roman" w:eastAsia="Songti SC" w:hAnsi="Times New Roman" w:cs="Times New Roman"/>
                <w:noProof/>
              </w:rPr>
              <w:t>Analysis of Toyota’s Market Entry Strategy in India</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_Toc234901567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15</w:t>
            </w:r>
            <w:r w:rsidRPr="007B0866">
              <w:rPr>
                <w:rFonts w:ascii="Times New Roman" w:hAnsi="Times New Roman" w:cs="Times New Roman"/>
                <w:noProof/>
                <w:webHidden/>
              </w:rPr>
              <w:fldChar w:fldCharType="end"/>
            </w:r>
          </w:hyperlink>
        </w:p>
        <w:p w14:paraId="15282714" w14:textId="3D672308" w:rsidR="007B0866" w:rsidRPr="007B0866" w:rsidRDefault="007B0866">
          <w:pPr>
            <w:pStyle w:val="TOC2"/>
            <w:tabs>
              <w:tab w:val="right" w:leader="dot" w:pos="9350"/>
            </w:tabs>
            <w:rPr>
              <w:rFonts w:ascii="Times New Roman" w:eastAsiaTheme="minorEastAsia" w:hAnsi="Times New Roman" w:cs="Times New Roman"/>
              <w:i w:val="0"/>
              <w:iCs w:val="0"/>
              <w:noProof/>
              <w:kern w:val="0"/>
              <w:sz w:val="22"/>
              <w:szCs w:val="22"/>
              <w14:ligatures w14:val="none"/>
            </w:rPr>
          </w:pPr>
          <w:hyperlink w:anchor="_Toc234901568" w:history="1">
            <w:r w:rsidRPr="007B0866">
              <w:rPr>
                <w:rStyle w:val="Hyperlink"/>
                <w:rFonts w:ascii="Times New Roman" w:eastAsia="Songti SC" w:hAnsi="Times New Roman" w:cs="Times New Roman"/>
                <w:noProof/>
              </w:rPr>
              <w:t>Entry mode and strategic rationale</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_Toc234901568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15</w:t>
            </w:r>
            <w:r w:rsidRPr="007B0866">
              <w:rPr>
                <w:rFonts w:ascii="Times New Roman" w:hAnsi="Times New Roman" w:cs="Times New Roman"/>
                <w:noProof/>
                <w:webHidden/>
              </w:rPr>
              <w:fldChar w:fldCharType="end"/>
            </w:r>
          </w:hyperlink>
        </w:p>
        <w:p w14:paraId="406FE5D5" w14:textId="7ECE91AF" w:rsidR="007B0866" w:rsidRPr="007B0866" w:rsidRDefault="007B0866">
          <w:pPr>
            <w:pStyle w:val="TOC2"/>
            <w:tabs>
              <w:tab w:val="right" w:leader="dot" w:pos="9350"/>
            </w:tabs>
            <w:rPr>
              <w:rFonts w:ascii="Times New Roman" w:eastAsiaTheme="minorEastAsia" w:hAnsi="Times New Roman" w:cs="Times New Roman"/>
              <w:i w:val="0"/>
              <w:iCs w:val="0"/>
              <w:noProof/>
              <w:kern w:val="0"/>
              <w:sz w:val="22"/>
              <w:szCs w:val="22"/>
              <w14:ligatures w14:val="none"/>
            </w:rPr>
          </w:pPr>
          <w:hyperlink w:anchor="_Toc234901569" w:history="1">
            <w:r w:rsidRPr="007B0866">
              <w:rPr>
                <w:rStyle w:val="Hyperlink"/>
                <w:rFonts w:ascii="Times New Roman" w:eastAsia="Songti SC" w:hAnsi="Times New Roman" w:cs="Times New Roman"/>
                <w:noProof/>
              </w:rPr>
              <w:t>Incremental commitment and alliance development</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_Toc234901569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16</w:t>
            </w:r>
            <w:r w:rsidRPr="007B0866">
              <w:rPr>
                <w:rFonts w:ascii="Times New Roman" w:hAnsi="Times New Roman" w:cs="Times New Roman"/>
                <w:noProof/>
                <w:webHidden/>
              </w:rPr>
              <w:fldChar w:fldCharType="end"/>
            </w:r>
          </w:hyperlink>
        </w:p>
        <w:p w14:paraId="1FD105BB" w14:textId="07B07990" w:rsidR="007B0866" w:rsidRPr="007B0866" w:rsidRDefault="007B0866">
          <w:pPr>
            <w:pStyle w:val="TOC2"/>
            <w:tabs>
              <w:tab w:val="right" w:leader="dot" w:pos="9350"/>
            </w:tabs>
            <w:rPr>
              <w:rFonts w:ascii="Times New Roman" w:eastAsiaTheme="minorEastAsia" w:hAnsi="Times New Roman" w:cs="Times New Roman"/>
              <w:i w:val="0"/>
              <w:iCs w:val="0"/>
              <w:noProof/>
              <w:kern w:val="0"/>
              <w:sz w:val="22"/>
              <w:szCs w:val="22"/>
              <w14:ligatures w14:val="none"/>
            </w:rPr>
          </w:pPr>
          <w:hyperlink w:anchor="_Toc234901570" w:history="1">
            <w:r w:rsidRPr="007B0866">
              <w:rPr>
                <w:rStyle w:val="Hyperlink"/>
                <w:rFonts w:ascii="Times New Roman" w:eastAsia="Songti SC" w:hAnsi="Times New Roman" w:cs="Times New Roman"/>
                <w:noProof/>
              </w:rPr>
              <w:t>Critical evaluation and future direction</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_Toc234901570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18</w:t>
            </w:r>
            <w:r w:rsidRPr="007B0866">
              <w:rPr>
                <w:rFonts w:ascii="Times New Roman" w:hAnsi="Times New Roman" w:cs="Times New Roman"/>
                <w:noProof/>
                <w:webHidden/>
              </w:rPr>
              <w:fldChar w:fldCharType="end"/>
            </w:r>
          </w:hyperlink>
        </w:p>
        <w:p w14:paraId="30D5993F" w14:textId="27B67B6D" w:rsidR="007B0866" w:rsidRPr="007B0866" w:rsidRDefault="007B0866">
          <w:pPr>
            <w:pStyle w:val="TOC1"/>
            <w:tabs>
              <w:tab w:val="right" w:leader="dot" w:pos="9350"/>
            </w:tabs>
            <w:rPr>
              <w:rFonts w:ascii="Times New Roman" w:eastAsiaTheme="minorEastAsia" w:hAnsi="Times New Roman" w:cs="Times New Roman"/>
              <w:b w:val="0"/>
              <w:bCs w:val="0"/>
              <w:noProof/>
              <w:kern w:val="0"/>
              <w:sz w:val="22"/>
              <w:szCs w:val="22"/>
              <w14:ligatures w14:val="none"/>
            </w:rPr>
          </w:pPr>
          <w:hyperlink w:anchor="_Toc234901571" w:history="1">
            <w:r w:rsidRPr="007B0866">
              <w:rPr>
                <w:rStyle w:val="Hyperlink"/>
                <w:rFonts w:ascii="Times New Roman" w:eastAsia="Songti SC" w:hAnsi="Times New Roman" w:cs="Times New Roman"/>
                <w:noProof/>
              </w:rPr>
              <w:t>Evaluation of Ethical Issues in Toyota’s Japanese Marketing Mix</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_Toc234901571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19</w:t>
            </w:r>
            <w:r w:rsidRPr="007B0866">
              <w:rPr>
                <w:rFonts w:ascii="Times New Roman" w:hAnsi="Times New Roman" w:cs="Times New Roman"/>
                <w:noProof/>
                <w:webHidden/>
              </w:rPr>
              <w:fldChar w:fldCharType="end"/>
            </w:r>
          </w:hyperlink>
        </w:p>
        <w:p w14:paraId="0D64D637" w14:textId="73C4B781" w:rsidR="007B0866" w:rsidRPr="007B0866" w:rsidRDefault="007B0866">
          <w:pPr>
            <w:pStyle w:val="TOC2"/>
            <w:tabs>
              <w:tab w:val="right" w:leader="dot" w:pos="9350"/>
            </w:tabs>
            <w:rPr>
              <w:rFonts w:ascii="Times New Roman" w:eastAsiaTheme="minorEastAsia" w:hAnsi="Times New Roman" w:cs="Times New Roman"/>
              <w:i w:val="0"/>
              <w:iCs w:val="0"/>
              <w:noProof/>
              <w:kern w:val="0"/>
              <w:sz w:val="22"/>
              <w:szCs w:val="22"/>
              <w14:ligatures w14:val="none"/>
            </w:rPr>
          </w:pPr>
          <w:hyperlink w:anchor="_Toc234901572" w:history="1">
            <w:r w:rsidRPr="007B0866">
              <w:rPr>
                <w:rStyle w:val="Hyperlink"/>
                <w:rFonts w:ascii="Times New Roman" w:eastAsia="Songti SC" w:hAnsi="Times New Roman" w:cs="Times New Roman"/>
                <w:noProof/>
              </w:rPr>
              <w:t>Nature and seriousness of the ethical breach</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_Toc234901572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19</w:t>
            </w:r>
            <w:r w:rsidRPr="007B0866">
              <w:rPr>
                <w:rFonts w:ascii="Times New Roman" w:hAnsi="Times New Roman" w:cs="Times New Roman"/>
                <w:noProof/>
                <w:webHidden/>
              </w:rPr>
              <w:fldChar w:fldCharType="end"/>
            </w:r>
          </w:hyperlink>
        </w:p>
        <w:p w14:paraId="707AA4AA" w14:textId="6D39FFA4" w:rsidR="007B0866" w:rsidRPr="007B0866" w:rsidRDefault="007B0866">
          <w:pPr>
            <w:pStyle w:val="TOC2"/>
            <w:tabs>
              <w:tab w:val="right" w:leader="dot" w:pos="9350"/>
            </w:tabs>
            <w:rPr>
              <w:rFonts w:ascii="Times New Roman" w:eastAsiaTheme="minorEastAsia" w:hAnsi="Times New Roman" w:cs="Times New Roman"/>
              <w:i w:val="0"/>
              <w:iCs w:val="0"/>
              <w:noProof/>
              <w:kern w:val="0"/>
              <w:sz w:val="22"/>
              <w:szCs w:val="22"/>
              <w14:ligatures w14:val="none"/>
            </w:rPr>
          </w:pPr>
          <w:hyperlink w:anchor="_Toc234901573" w:history="1">
            <w:r w:rsidRPr="007B0866">
              <w:rPr>
                <w:rStyle w:val="Hyperlink"/>
                <w:rFonts w:ascii="Times New Roman" w:eastAsia="Songti SC" w:hAnsi="Times New Roman" w:cs="Times New Roman"/>
                <w:noProof/>
              </w:rPr>
              <w:t>Marketing-mix implications</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_Toc234901573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20</w:t>
            </w:r>
            <w:r w:rsidRPr="007B0866">
              <w:rPr>
                <w:rFonts w:ascii="Times New Roman" w:hAnsi="Times New Roman" w:cs="Times New Roman"/>
                <w:noProof/>
                <w:webHidden/>
              </w:rPr>
              <w:fldChar w:fldCharType="end"/>
            </w:r>
          </w:hyperlink>
        </w:p>
        <w:p w14:paraId="2C0BFFCD" w14:textId="5D252E5E" w:rsidR="007B0866" w:rsidRPr="007B0866" w:rsidRDefault="007B0866">
          <w:pPr>
            <w:pStyle w:val="TOC1"/>
            <w:tabs>
              <w:tab w:val="right" w:leader="dot" w:pos="9350"/>
            </w:tabs>
            <w:rPr>
              <w:rFonts w:ascii="Times New Roman" w:eastAsiaTheme="minorEastAsia" w:hAnsi="Times New Roman" w:cs="Times New Roman"/>
              <w:b w:val="0"/>
              <w:bCs w:val="0"/>
              <w:noProof/>
              <w:kern w:val="0"/>
              <w:sz w:val="22"/>
              <w:szCs w:val="22"/>
              <w14:ligatures w14:val="none"/>
            </w:rPr>
          </w:pPr>
          <w:hyperlink w:anchor="_Toc234901574" w:history="1">
            <w:r w:rsidRPr="007B0866">
              <w:rPr>
                <w:rStyle w:val="Hyperlink"/>
                <w:rFonts w:ascii="Times New Roman" w:eastAsia="Songti SC" w:hAnsi="Times New Roman" w:cs="Times New Roman"/>
                <w:noProof/>
              </w:rPr>
              <w:t>Recommendations for Toyota’s International Marketing Strategy</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_Toc234901574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22</w:t>
            </w:r>
            <w:r w:rsidRPr="007B0866">
              <w:rPr>
                <w:rFonts w:ascii="Times New Roman" w:hAnsi="Times New Roman" w:cs="Times New Roman"/>
                <w:noProof/>
                <w:webHidden/>
              </w:rPr>
              <w:fldChar w:fldCharType="end"/>
            </w:r>
          </w:hyperlink>
        </w:p>
        <w:p w14:paraId="636120A1" w14:textId="5F5C95E0" w:rsidR="007B0866" w:rsidRPr="007B0866" w:rsidRDefault="007B0866">
          <w:pPr>
            <w:pStyle w:val="TOC2"/>
            <w:tabs>
              <w:tab w:val="right" w:leader="dot" w:pos="9350"/>
            </w:tabs>
            <w:rPr>
              <w:rFonts w:ascii="Times New Roman" w:eastAsiaTheme="minorEastAsia" w:hAnsi="Times New Roman" w:cs="Times New Roman"/>
              <w:i w:val="0"/>
              <w:iCs w:val="0"/>
              <w:noProof/>
              <w:kern w:val="0"/>
              <w:sz w:val="22"/>
              <w:szCs w:val="22"/>
              <w14:ligatures w14:val="none"/>
            </w:rPr>
          </w:pPr>
          <w:hyperlink w:anchor="_Toc234901575" w:history="1">
            <w:r w:rsidRPr="007B0866">
              <w:rPr>
                <w:rStyle w:val="Hyperlink"/>
                <w:rFonts w:ascii="Times New Roman" w:eastAsia="Songti SC" w:hAnsi="Times New Roman" w:cs="Times New Roman"/>
                <w:noProof/>
              </w:rPr>
              <w:t>Market and portfolio strategy</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_Toc234901575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22</w:t>
            </w:r>
            <w:r w:rsidRPr="007B0866">
              <w:rPr>
                <w:rFonts w:ascii="Times New Roman" w:hAnsi="Times New Roman" w:cs="Times New Roman"/>
                <w:noProof/>
                <w:webHidden/>
              </w:rPr>
              <w:fldChar w:fldCharType="end"/>
            </w:r>
          </w:hyperlink>
        </w:p>
        <w:p w14:paraId="202DB36E" w14:textId="46B0872F" w:rsidR="007B0866" w:rsidRPr="007B0866" w:rsidRDefault="007B0866">
          <w:pPr>
            <w:pStyle w:val="TOC2"/>
            <w:tabs>
              <w:tab w:val="right" w:leader="dot" w:pos="9350"/>
            </w:tabs>
            <w:rPr>
              <w:rFonts w:ascii="Times New Roman" w:eastAsiaTheme="minorEastAsia" w:hAnsi="Times New Roman" w:cs="Times New Roman"/>
              <w:i w:val="0"/>
              <w:iCs w:val="0"/>
              <w:noProof/>
              <w:kern w:val="0"/>
              <w:sz w:val="22"/>
              <w:szCs w:val="22"/>
              <w14:ligatures w14:val="none"/>
            </w:rPr>
          </w:pPr>
          <w:hyperlink w:anchor="_Toc234901576" w:history="1">
            <w:r w:rsidRPr="007B0866">
              <w:rPr>
                <w:rStyle w:val="Hyperlink"/>
                <w:rFonts w:ascii="Times New Roman" w:eastAsia="Songti SC" w:hAnsi="Times New Roman" w:cs="Times New Roman"/>
                <w:noProof/>
              </w:rPr>
              <w:t>Customer experience, technology and trust</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_Toc234901576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23</w:t>
            </w:r>
            <w:r w:rsidRPr="007B0866">
              <w:rPr>
                <w:rFonts w:ascii="Times New Roman" w:hAnsi="Times New Roman" w:cs="Times New Roman"/>
                <w:noProof/>
                <w:webHidden/>
              </w:rPr>
              <w:fldChar w:fldCharType="end"/>
            </w:r>
          </w:hyperlink>
        </w:p>
        <w:p w14:paraId="14494EDE" w14:textId="70C649DA" w:rsidR="007B0866" w:rsidRPr="007B0866" w:rsidRDefault="007B0866">
          <w:pPr>
            <w:pStyle w:val="TOC1"/>
            <w:tabs>
              <w:tab w:val="right" w:leader="dot" w:pos="9350"/>
            </w:tabs>
            <w:rPr>
              <w:rFonts w:ascii="Times New Roman" w:eastAsiaTheme="minorEastAsia" w:hAnsi="Times New Roman" w:cs="Times New Roman"/>
              <w:b w:val="0"/>
              <w:bCs w:val="0"/>
              <w:noProof/>
              <w:kern w:val="0"/>
              <w:sz w:val="22"/>
              <w:szCs w:val="22"/>
              <w14:ligatures w14:val="none"/>
            </w:rPr>
          </w:pPr>
          <w:hyperlink w:anchor="_Toc234901577" w:history="1">
            <w:r w:rsidRPr="007B0866">
              <w:rPr>
                <w:rStyle w:val="Hyperlink"/>
                <w:rFonts w:ascii="Times New Roman" w:eastAsia="Songti SC" w:hAnsi="Times New Roman" w:cs="Times New Roman"/>
                <w:noProof/>
              </w:rPr>
              <w:t>Reflective Account Using Kolb’s Experiential Learning Cycle</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_Toc234901577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24</w:t>
            </w:r>
            <w:r w:rsidRPr="007B0866">
              <w:rPr>
                <w:rFonts w:ascii="Times New Roman" w:hAnsi="Times New Roman" w:cs="Times New Roman"/>
                <w:noProof/>
                <w:webHidden/>
              </w:rPr>
              <w:fldChar w:fldCharType="end"/>
            </w:r>
          </w:hyperlink>
        </w:p>
        <w:p w14:paraId="5B634E33" w14:textId="27399B5B" w:rsidR="007B0866" w:rsidRPr="007B0866" w:rsidRDefault="007B0866">
          <w:pPr>
            <w:pStyle w:val="TOC2"/>
            <w:tabs>
              <w:tab w:val="right" w:leader="dot" w:pos="9350"/>
            </w:tabs>
            <w:rPr>
              <w:rFonts w:ascii="Times New Roman" w:eastAsiaTheme="minorEastAsia" w:hAnsi="Times New Roman" w:cs="Times New Roman"/>
              <w:i w:val="0"/>
              <w:iCs w:val="0"/>
              <w:noProof/>
              <w:kern w:val="0"/>
              <w:sz w:val="22"/>
              <w:szCs w:val="22"/>
              <w14:ligatures w14:val="none"/>
            </w:rPr>
          </w:pPr>
          <w:hyperlink w:anchor="_Toc234901578" w:history="1">
            <w:r w:rsidRPr="007B0866">
              <w:rPr>
                <w:rStyle w:val="Hyperlink"/>
                <w:rFonts w:ascii="Times New Roman" w:eastAsia="Songti SC" w:hAnsi="Times New Roman" w:cs="Times New Roman"/>
                <w:noProof/>
              </w:rPr>
              <w:t>Concrete Experience</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_Toc234901578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24</w:t>
            </w:r>
            <w:r w:rsidRPr="007B0866">
              <w:rPr>
                <w:rFonts w:ascii="Times New Roman" w:hAnsi="Times New Roman" w:cs="Times New Roman"/>
                <w:noProof/>
                <w:webHidden/>
              </w:rPr>
              <w:fldChar w:fldCharType="end"/>
            </w:r>
          </w:hyperlink>
        </w:p>
        <w:p w14:paraId="0BBBD32C" w14:textId="5A6A4488" w:rsidR="007B0866" w:rsidRPr="007B0866" w:rsidRDefault="007B0866">
          <w:pPr>
            <w:pStyle w:val="TOC2"/>
            <w:tabs>
              <w:tab w:val="right" w:leader="dot" w:pos="9350"/>
            </w:tabs>
            <w:rPr>
              <w:rFonts w:ascii="Times New Roman" w:eastAsiaTheme="minorEastAsia" w:hAnsi="Times New Roman" w:cs="Times New Roman"/>
              <w:i w:val="0"/>
              <w:iCs w:val="0"/>
              <w:noProof/>
              <w:kern w:val="0"/>
              <w:sz w:val="22"/>
              <w:szCs w:val="22"/>
              <w14:ligatures w14:val="none"/>
            </w:rPr>
          </w:pPr>
          <w:hyperlink w:anchor="_Toc234901579" w:history="1">
            <w:r w:rsidRPr="007B0866">
              <w:rPr>
                <w:rStyle w:val="Hyperlink"/>
                <w:rFonts w:ascii="Times New Roman" w:eastAsia="Songti SC" w:hAnsi="Times New Roman" w:cs="Times New Roman"/>
                <w:noProof/>
              </w:rPr>
              <w:t>Reflective Observation</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_Toc234901579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25</w:t>
            </w:r>
            <w:r w:rsidRPr="007B0866">
              <w:rPr>
                <w:rFonts w:ascii="Times New Roman" w:hAnsi="Times New Roman" w:cs="Times New Roman"/>
                <w:noProof/>
                <w:webHidden/>
              </w:rPr>
              <w:fldChar w:fldCharType="end"/>
            </w:r>
          </w:hyperlink>
        </w:p>
        <w:p w14:paraId="3FA0EDE4" w14:textId="13740B37" w:rsidR="007B0866" w:rsidRPr="007B0866" w:rsidRDefault="007B0866">
          <w:pPr>
            <w:pStyle w:val="TOC2"/>
            <w:tabs>
              <w:tab w:val="right" w:leader="dot" w:pos="9350"/>
            </w:tabs>
            <w:rPr>
              <w:rFonts w:ascii="Times New Roman" w:eastAsiaTheme="minorEastAsia" w:hAnsi="Times New Roman" w:cs="Times New Roman"/>
              <w:i w:val="0"/>
              <w:iCs w:val="0"/>
              <w:noProof/>
              <w:kern w:val="0"/>
              <w:sz w:val="22"/>
              <w:szCs w:val="22"/>
              <w14:ligatures w14:val="none"/>
            </w:rPr>
          </w:pPr>
          <w:hyperlink w:anchor="_Toc234901580" w:history="1">
            <w:r w:rsidRPr="007B0866">
              <w:rPr>
                <w:rStyle w:val="Hyperlink"/>
                <w:rFonts w:ascii="Times New Roman" w:eastAsia="Songti SC" w:hAnsi="Times New Roman" w:cs="Times New Roman"/>
                <w:noProof/>
              </w:rPr>
              <w:t>Abstract Conceptualisation</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_Toc234901580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26</w:t>
            </w:r>
            <w:r w:rsidRPr="007B0866">
              <w:rPr>
                <w:rFonts w:ascii="Times New Roman" w:hAnsi="Times New Roman" w:cs="Times New Roman"/>
                <w:noProof/>
                <w:webHidden/>
              </w:rPr>
              <w:fldChar w:fldCharType="end"/>
            </w:r>
          </w:hyperlink>
        </w:p>
        <w:p w14:paraId="1BD3126E" w14:textId="3700300E" w:rsidR="007B0866" w:rsidRPr="007B0866" w:rsidRDefault="007B0866">
          <w:pPr>
            <w:pStyle w:val="TOC2"/>
            <w:tabs>
              <w:tab w:val="right" w:leader="dot" w:pos="9350"/>
            </w:tabs>
            <w:rPr>
              <w:rFonts w:ascii="Times New Roman" w:eastAsiaTheme="minorEastAsia" w:hAnsi="Times New Roman" w:cs="Times New Roman"/>
              <w:i w:val="0"/>
              <w:iCs w:val="0"/>
              <w:noProof/>
              <w:kern w:val="0"/>
              <w:sz w:val="22"/>
              <w:szCs w:val="22"/>
              <w14:ligatures w14:val="none"/>
            </w:rPr>
          </w:pPr>
          <w:hyperlink w:anchor="_Toc234901581" w:history="1">
            <w:r w:rsidRPr="007B0866">
              <w:rPr>
                <w:rStyle w:val="Hyperlink"/>
                <w:rFonts w:ascii="Times New Roman" w:eastAsia="Songti SC" w:hAnsi="Times New Roman" w:cs="Times New Roman"/>
                <w:noProof/>
              </w:rPr>
              <w:t>Active Experimentation</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_Toc234901581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27</w:t>
            </w:r>
            <w:r w:rsidRPr="007B0866">
              <w:rPr>
                <w:rFonts w:ascii="Times New Roman" w:hAnsi="Times New Roman" w:cs="Times New Roman"/>
                <w:noProof/>
                <w:webHidden/>
              </w:rPr>
              <w:fldChar w:fldCharType="end"/>
            </w:r>
          </w:hyperlink>
        </w:p>
        <w:p w14:paraId="0B76CE32" w14:textId="46099ED8" w:rsidR="007B0866" w:rsidRPr="007B0866" w:rsidRDefault="007B0866">
          <w:pPr>
            <w:pStyle w:val="TOC1"/>
            <w:tabs>
              <w:tab w:val="right" w:leader="dot" w:pos="9350"/>
            </w:tabs>
            <w:rPr>
              <w:rFonts w:ascii="Times New Roman" w:eastAsiaTheme="minorEastAsia" w:hAnsi="Times New Roman" w:cs="Times New Roman"/>
              <w:b w:val="0"/>
              <w:bCs w:val="0"/>
              <w:noProof/>
              <w:kern w:val="0"/>
              <w:sz w:val="22"/>
              <w:szCs w:val="22"/>
              <w14:ligatures w14:val="none"/>
            </w:rPr>
          </w:pPr>
          <w:hyperlink w:anchor="_Toc234901582" w:history="1">
            <w:r w:rsidRPr="007B0866">
              <w:rPr>
                <w:rStyle w:val="Hyperlink"/>
                <w:rFonts w:ascii="Times New Roman" w:eastAsia="Songti SC" w:hAnsi="Times New Roman" w:cs="Times New Roman"/>
                <w:noProof/>
              </w:rPr>
              <w:t>References</w:t>
            </w:r>
            <w:r w:rsidRPr="007B0866">
              <w:rPr>
                <w:rFonts w:ascii="Times New Roman" w:hAnsi="Times New Roman" w:cs="Times New Roman"/>
                <w:noProof/>
                <w:webHidden/>
              </w:rPr>
              <w:tab/>
            </w:r>
            <w:r w:rsidRPr="007B0866">
              <w:rPr>
                <w:rFonts w:ascii="Times New Roman" w:hAnsi="Times New Roman" w:cs="Times New Roman"/>
                <w:noProof/>
                <w:webHidden/>
              </w:rPr>
              <w:fldChar w:fldCharType="begin"/>
            </w:r>
            <w:r w:rsidRPr="007B0866">
              <w:rPr>
                <w:rFonts w:ascii="Times New Roman" w:hAnsi="Times New Roman" w:cs="Times New Roman"/>
                <w:noProof/>
                <w:webHidden/>
              </w:rPr>
              <w:instrText xml:space="preserve"> PAGEREF _Toc234901582 \h </w:instrText>
            </w:r>
            <w:r w:rsidRPr="007B0866">
              <w:rPr>
                <w:rFonts w:ascii="Times New Roman" w:hAnsi="Times New Roman" w:cs="Times New Roman"/>
                <w:noProof/>
                <w:webHidden/>
              </w:rPr>
            </w:r>
            <w:r w:rsidRPr="007B0866">
              <w:rPr>
                <w:rFonts w:ascii="Times New Roman" w:hAnsi="Times New Roman" w:cs="Times New Roman"/>
                <w:noProof/>
                <w:webHidden/>
              </w:rPr>
              <w:fldChar w:fldCharType="separate"/>
            </w:r>
            <w:r w:rsidRPr="007B0866">
              <w:rPr>
                <w:rFonts w:ascii="Times New Roman" w:hAnsi="Times New Roman" w:cs="Times New Roman"/>
                <w:noProof/>
                <w:webHidden/>
              </w:rPr>
              <w:t>28</w:t>
            </w:r>
            <w:r w:rsidRPr="007B0866">
              <w:rPr>
                <w:rFonts w:ascii="Times New Roman" w:hAnsi="Times New Roman" w:cs="Times New Roman"/>
                <w:noProof/>
                <w:webHidden/>
              </w:rPr>
              <w:fldChar w:fldCharType="end"/>
            </w:r>
          </w:hyperlink>
        </w:p>
        <w:p w14:paraId="4F67CE02" w14:textId="7516E8D5" w:rsidR="00082694" w:rsidRPr="007B0866" w:rsidRDefault="00E7132B">
          <w:pPr>
            <w:pStyle w:val="TOC1"/>
            <w:tabs>
              <w:tab w:val="right" w:leader="dot" w:pos="9359"/>
            </w:tabs>
            <w:rPr>
              <w:rFonts w:ascii="Times New Roman" w:hAnsi="Times New Roman" w:cs="Times New Roman"/>
            </w:rPr>
          </w:pPr>
          <w:r w:rsidRPr="007B0866">
            <w:rPr>
              <w:rStyle w:val="IndexLink"/>
              <w:rFonts w:ascii="Times New Roman" w:hAnsi="Times New Roman" w:cs="Times New Roman"/>
            </w:rPr>
            <w:fldChar w:fldCharType="end"/>
          </w:r>
        </w:p>
      </w:sdtContent>
    </w:sdt>
    <w:p w14:paraId="1515FF46" w14:textId="77777777" w:rsidR="004264A1" w:rsidRPr="007B0866" w:rsidRDefault="004264A1">
      <w:pPr>
        <w:rPr>
          <w:rFonts w:eastAsiaTheme="majorEastAsia"/>
          <w:b/>
          <w:color w:val="000000" w:themeColor="text1"/>
        </w:rPr>
      </w:pPr>
      <w:bookmarkStart w:id="1" w:name="_Toc234727968"/>
      <w:r w:rsidRPr="007B0866">
        <w:br w:type="page"/>
      </w:r>
    </w:p>
    <w:p w14:paraId="5C56FD9D" w14:textId="4274C77E" w:rsidR="00082694" w:rsidRPr="007B0866" w:rsidRDefault="00E7132B">
      <w:pPr>
        <w:pStyle w:val="Heading1"/>
        <w:spacing w:line="360" w:lineRule="auto"/>
        <w:jc w:val="both"/>
        <w:rPr>
          <w:rFonts w:cs="Times New Roman"/>
          <w:szCs w:val="24"/>
        </w:rPr>
      </w:pPr>
      <w:bookmarkStart w:id="2" w:name="_Toc234901558"/>
      <w:r w:rsidRPr="007B0866">
        <w:rPr>
          <w:rFonts w:cs="Times New Roman"/>
          <w:szCs w:val="24"/>
        </w:rPr>
        <w:lastRenderedPageBreak/>
        <w:t>Introduction</w:t>
      </w:r>
      <w:bookmarkEnd w:id="1"/>
      <w:bookmarkEnd w:id="2"/>
    </w:p>
    <w:p w14:paraId="104C568A" w14:textId="77777777" w:rsidR="00082694" w:rsidRPr="007B0866" w:rsidRDefault="00E7132B">
      <w:pPr>
        <w:spacing w:line="360" w:lineRule="auto"/>
        <w:jc w:val="both"/>
        <w:rPr>
          <w:color w:val="000000"/>
          <w:kern w:val="0"/>
        </w:rPr>
      </w:pPr>
      <w:r w:rsidRPr="007B0866">
        <w:rPr>
          <w:color w:val="000000"/>
          <w:kern w:val="0"/>
        </w:rPr>
        <w:t>This report examines Toyota’s international market entry strategy and marketing mix in Japan and India. Japan is chosen as Toyota's home market, while India is chosen as a strategically important host market with different economic, cultural, and competitive conditions. The report compares how Toyota adapts its international marketing activities in both countries. Section 1 evaluates the macro-environment using PESTEL, cultural differences through Hofstede’s framework, and Toyota’s segmentation, targeting, positioning and 7Ps strategies. It also analyses Toyota’s entry into India, considers relevant ethical issues, and proposes future recommendations. Section 2 provides a reflective account of the research and preparation process undertaken.</w:t>
      </w:r>
    </w:p>
    <w:p w14:paraId="5BA0B230" w14:textId="77777777" w:rsidR="00082694" w:rsidRPr="007B0866" w:rsidRDefault="00E7132B">
      <w:pPr>
        <w:keepNext/>
        <w:spacing w:before="140" w:after="40"/>
        <w:jc w:val="center"/>
      </w:pPr>
      <w:r w:rsidRPr="007B0866">
        <w:rPr>
          <w:noProof/>
        </w:rPr>
        <w:drawing>
          <wp:inline distT="0" distB="0" distL="0" distR="0" wp14:anchorId="58B2E1FC" wp14:editId="70301DDB">
            <wp:extent cx="5532120" cy="2343785"/>
            <wp:effectExtent l="12700" t="12700" r="5080" b="5715"/>
            <wp:docPr id="1" name="Picture 30" descr="Figure 1&#10;Report analytical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0" descr="Figure 1&#10;Report analytical architecture."/>
                    <pic:cNvPicPr>
                      <a:picLocks noChangeAspect="1" noChangeArrowheads="1"/>
                    </pic:cNvPicPr>
                  </pic:nvPicPr>
                  <pic:blipFill>
                    <a:blip r:embed="rId8"/>
                    <a:stretch>
                      <a:fillRect/>
                    </a:stretch>
                  </pic:blipFill>
                  <pic:spPr bwMode="auto">
                    <a:xfrm>
                      <a:off x="0" y="0"/>
                      <a:ext cx="5532120" cy="2343785"/>
                    </a:xfrm>
                    <a:prstGeom prst="rect">
                      <a:avLst/>
                    </a:prstGeom>
                    <a:noFill/>
                    <a:ln>
                      <a:solidFill>
                        <a:schemeClr val="tx1"/>
                      </a:solidFill>
                    </a:ln>
                  </pic:spPr>
                </pic:pic>
              </a:graphicData>
            </a:graphic>
          </wp:inline>
        </w:drawing>
      </w:r>
    </w:p>
    <w:p w14:paraId="3EE0D545" w14:textId="77777777" w:rsidR="00082694" w:rsidRPr="007B0866" w:rsidRDefault="00E7132B">
      <w:pPr>
        <w:spacing w:after="160"/>
        <w:jc w:val="center"/>
        <w:rPr>
          <w:b/>
          <w:bCs/>
        </w:rPr>
      </w:pPr>
      <w:r w:rsidRPr="007B0866">
        <w:rPr>
          <w:b/>
          <w:bCs/>
          <w:i/>
          <w:color w:val="505050"/>
          <w:sz w:val="18"/>
        </w:rPr>
        <w:t>Figure 1. Report analytical architecture.</w:t>
      </w:r>
    </w:p>
    <w:p w14:paraId="52629F3E" w14:textId="77777777" w:rsidR="00082694" w:rsidRPr="007B0866" w:rsidRDefault="00E7132B">
      <w:pPr>
        <w:pStyle w:val="Heading1"/>
        <w:spacing w:line="360" w:lineRule="auto"/>
        <w:jc w:val="both"/>
        <w:rPr>
          <w:rFonts w:cs="Times New Roman"/>
          <w:szCs w:val="24"/>
        </w:rPr>
      </w:pPr>
      <w:bookmarkStart w:id="3" w:name="_Toc234727969"/>
      <w:bookmarkStart w:id="4" w:name="_Toc234901559"/>
      <w:r w:rsidRPr="007B0866">
        <w:rPr>
          <w:rFonts w:cs="Times New Roman"/>
          <w:szCs w:val="24"/>
        </w:rPr>
        <w:t>Comparative Market Analysis of Toyota in Japan and India</w:t>
      </w:r>
      <w:bookmarkEnd w:id="3"/>
      <w:bookmarkEnd w:id="4"/>
    </w:p>
    <w:p w14:paraId="2C83EBEF" w14:textId="77777777" w:rsidR="00082694" w:rsidRPr="007B0866" w:rsidRDefault="00E7132B">
      <w:pPr>
        <w:pStyle w:val="Heading2"/>
        <w:spacing w:line="360" w:lineRule="auto"/>
        <w:jc w:val="both"/>
        <w:rPr>
          <w:rFonts w:cs="Times New Roman"/>
          <w:szCs w:val="24"/>
        </w:rPr>
      </w:pPr>
      <w:bookmarkStart w:id="5" w:name="_Toc234727970"/>
      <w:bookmarkStart w:id="6" w:name="_Toc234901560"/>
      <w:r w:rsidRPr="007B0866">
        <w:rPr>
          <w:rFonts w:cs="Times New Roman"/>
          <w:szCs w:val="24"/>
        </w:rPr>
        <w:t>PESTLE Analysis</w:t>
      </w:r>
      <w:bookmarkEnd w:id="5"/>
      <w:bookmarkEnd w:id="6"/>
    </w:p>
    <w:p w14:paraId="5BFF0491" w14:textId="77777777" w:rsidR="00082694" w:rsidRPr="007B0866" w:rsidRDefault="00E7132B">
      <w:pPr>
        <w:spacing w:line="360" w:lineRule="auto"/>
        <w:jc w:val="both"/>
        <w:rPr>
          <w:color w:val="000000"/>
          <w:kern w:val="0"/>
        </w:rPr>
      </w:pPr>
      <w:r w:rsidRPr="007B0866">
        <w:rPr>
          <w:color w:val="000000"/>
          <w:kern w:val="0"/>
        </w:rPr>
        <w:t xml:space="preserve">Politically and legally, Toyota is operating in a predictable yet demanding environment in Japan and a faster-changing, incentive-driven one in India. Japan’s stable regulatory system reduces arbitrary market risk, yet slow consensus processes and strict vehicle-approval procedures can delay launches and raise compliance costs. Automobile-related taxes are considered a burden in the industry, according to the 2025 industry report by JAMA (JAMA, 2025). India allows 100% FDI on the automatic route for automobiles, and sectoral FDI has crossed the milestone of US$39 billion in September 2025, thereby encouraging localisation and supplier development (Invest India, 2026). However, state-level implementation variation results in inequitable </w:t>
      </w:r>
      <w:r w:rsidRPr="007B0866">
        <w:rPr>
          <w:color w:val="000000"/>
          <w:kern w:val="0"/>
        </w:rPr>
        <w:lastRenderedPageBreak/>
        <w:t>incentives, infrastructure and administrative costs. The PM E-DRIVE programme supports electrification, but not all subsidies are category-specific to remove all barriers to private passenger cars (MoHI, 2024). The extension till March 2028 will ensure continuity of the policy, but the manufacturers will also have to deal with changing localisation and eligibility regulations (Ministry of Heavy Industries, 2025). Though India's investment climate is favourable, the global FDI is at risk from geopolitical and policy uncertainties (UNCTAD, 2026). There's also increased governance in the realm of digital marketing and connected vehicles. While Japan applies the APPI, India's notified DPDP Rules 2025 mandate clearer consent, security and data-right processes in Toyota's CRM and Telematics activities (PPC, 2023; PIB, 2025).</w:t>
      </w:r>
    </w:p>
    <w:p w14:paraId="615F1939" w14:textId="77777777" w:rsidR="00082694" w:rsidRPr="007B0866" w:rsidRDefault="00E7132B">
      <w:pPr>
        <w:keepNext/>
        <w:spacing w:before="140" w:after="40"/>
        <w:jc w:val="center"/>
      </w:pPr>
      <w:r w:rsidRPr="007B0866">
        <w:rPr>
          <w:noProof/>
        </w:rPr>
        <w:drawing>
          <wp:inline distT="0" distB="0" distL="0" distR="0" wp14:anchorId="13A9F626" wp14:editId="2A2EB604">
            <wp:extent cx="5532120" cy="2522855"/>
            <wp:effectExtent l="12700" t="12700" r="5080" b="4445"/>
            <wp:docPr id="2" name="Picture 28" descr="Figure 2&#10;Comparative PESTLE assessment of Japan and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8" descr="Figure 2&#10;Comparative PESTLE assessment of Japan and India."/>
                    <pic:cNvPicPr>
                      <a:picLocks noChangeAspect="1" noChangeArrowheads="1"/>
                    </pic:cNvPicPr>
                  </pic:nvPicPr>
                  <pic:blipFill>
                    <a:blip r:embed="rId9"/>
                    <a:stretch>
                      <a:fillRect/>
                    </a:stretch>
                  </pic:blipFill>
                  <pic:spPr bwMode="auto">
                    <a:xfrm>
                      <a:off x="0" y="0"/>
                      <a:ext cx="5532120" cy="2522855"/>
                    </a:xfrm>
                    <a:prstGeom prst="rect">
                      <a:avLst/>
                    </a:prstGeom>
                    <a:noFill/>
                    <a:ln>
                      <a:solidFill>
                        <a:schemeClr val="tx1"/>
                      </a:solidFill>
                    </a:ln>
                  </pic:spPr>
                </pic:pic>
              </a:graphicData>
            </a:graphic>
          </wp:inline>
        </w:drawing>
      </w:r>
    </w:p>
    <w:p w14:paraId="185784CA" w14:textId="77777777" w:rsidR="00082694" w:rsidRPr="007B0866" w:rsidRDefault="00E7132B">
      <w:pPr>
        <w:spacing w:after="160"/>
        <w:jc w:val="center"/>
        <w:rPr>
          <w:b/>
          <w:bCs/>
        </w:rPr>
      </w:pPr>
      <w:r w:rsidRPr="007B0866">
        <w:rPr>
          <w:b/>
          <w:bCs/>
          <w:i/>
          <w:color w:val="505050"/>
          <w:sz w:val="18"/>
        </w:rPr>
        <w:t>Figure 2. Comparative PESTLE assessment of Japan and India.</w:t>
      </w:r>
    </w:p>
    <w:p w14:paraId="708DEE21" w14:textId="77777777" w:rsidR="00082694" w:rsidRPr="007B0866" w:rsidRDefault="00E7132B">
      <w:pPr>
        <w:keepNext/>
        <w:spacing w:before="140" w:after="40"/>
        <w:jc w:val="center"/>
      </w:pPr>
      <w:r w:rsidRPr="007B0866">
        <w:rPr>
          <w:noProof/>
        </w:rPr>
        <w:drawing>
          <wp:inline distT="0" distB="0" distL="0" distR="0" wp14:anchorId="2155CD03" wp14:editId="53205B87">
            <wp:extent cx="5532120" cy="2343785"/>
            <wp:effectExtent l="12700" t="12700" r="5080" b="5715"/>
            <wp:docPr id="3" name="Picture 29" descr="Figure 3&#10;Political and legal operating contr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9" descr="Figure 3&#10;Political and legal operating contrast."/>
                    <pic:cNvPicPr>
                      <a:picLocks noChangeAspect="1" noChangeArrowheads="1"/>
                    </pic:cNvPicPr>
                  </pic:nvPicPr>
                  <pic:blipFill>
                    <a:blip r:embed="rId10"/>
                    <a:stretch>
                      <a:fillRect/>
                    </a:stretch>
                  </pic:blipFill>
                  <pic:spPr bwMode="auto">
                    <a:xfrm>
                      <a:off x="0" y="0"/>
                      <a:ext cx="5532120" cy="2343785"/>
                    </a:xfrm>
                    <a:prstGeom prst="rect">
                      <a:avLst/>
                    </a:prstGeom>
                    <a:noFill/>
                    <a:ln>
                      <a:solidFill>
                        <a:schemeClr val="tx1"/>
                      </a:solidFill>
                    </a:ln>
                  </pic:spPr>
                </pic:pic>
              </a:graphicData>
            </a:graphic>
          </wp:inline>
        </w:drawing>
      </w:r>
    </w:p>
    <w:p w14:paraId="0FF56366" w14:textId="77777777" w:rsidR="00082694" w:rsidRPr="007B0866" w:rsidRDefault="00E7132B">
      <w:pPr>
        <w:spacing w:after="160"/>
        <w:jc w:val="center"/>
        <w:rPr>
          <w:b/>
          <w:bCs/>
        </w:rPr>
      </w:pPr>
      <w:r w:rsidRPr="007B0866">
        <w:rPr>
          <w:b/>
          <w:bCs/>
          <w:i/>
          <w:color w:val="505050"/>
          <w:sz w:val="18"/>
        </w:rPr>
        <w:t>Figure 3. Political and legal operating contrast.</w:t>
      </w:r>
    </w:p>
    <w:p w14:paraId="53F2F9D3" w14:textId="77777777" w:rsidR="00082694" w:rsidRPr="007B0866" w:rsidRDefault="00E7132B">
      <w:pPr>
        <w:spacing w:line="360" w:lineRule="auto"/>
        <w:jc w:val="both"/>
        <w:rPr>
          <w:color w:val="000000"/>
          <w:kern w:val="0"/>
        </w:rPr>
      </w:pPr>
      <w:r w:rsidRPr="007B0866">
        <w:rPr>
          <w:color w:val="000000"/>
          <w:kern w:val="0"/>
        </w:rPr>
        <w:lastRenderedPageBreak/>
        <w:t>Economically, India offers stronger volume growth, while Japan provides higher purchasing power but limited market expansion. The World Bank projects India to grow at 6.6% in FY2026/27, driven by domestic demand, though energy-price sensitivity may dampen consumption and raise the current-account deficit (World Bank, 2026). The consumer-price inflation forecast for India in 2026 is 4.7% by the IMF, which could increase the costs of financing and operating vehicles (IMF, 2026). Despite this, India saw its largest-ever sales of passenger vehicles, with 4.643 million units sold in FY2025/26, marking a 7.9% rise (SIAM, 2026a). Sales for April 2026 then stood at 437,000, a 25.4% increase, but not a year-on-year measure (SIAM, 2026b). Japan’s outlook is weaker. Improved monetary conditions and rising living cost pressures are limiting discretionary purchases, while the IMF forecasts a 0.7% growth in 2026 (Reuters, 2026a). The Bank of Japan anticipates the rate of inflation will come closer to 2% to help maintain price stability but not to spur "rapid" demand growth (Reuters, 2026b). The vehicle market in Japan grew to around 1.813 million in January to May 2026 and fell 0.2% year on year, with Toyota holding around 33% of the market (Focus2Move, 2026). India is thus characterised by scale and growth, and high price sensitivities. Japan is rewarding with margins, but not much from the demographic side.</w:t>
      </w:r>
    </w:p>
    <w:p w14:paraId="2B66EF37" w14:textId="77777777" w:rsidR="00082694" w:rsidRPr="007B0866" w:rsidRDefault="00E7132B">
      <w:pPr>
        <w:keepNext/>
        <w:spacing w:before="140" w:after="40"/>
        <w:jc w:val="center"/>
      </w:pPr>
      <w:r w:rsidRPr="007B0866">
        <w:rPr>
          <w:noProof/>
        </w:rPr>
        <w:drawing>
          <wp:inline distT="0" distB="0" distL="0" distR="0" wp14:anchorId="5B2A4500" wp14:editId="6F959AAC">
            <wp:extent cx="5532120" cy="1811655"/>
            <wp:effectExtent l="12700" t="12700" r="5080" b="4445"/>
            <wp:docPr id="4" name="Picture 27" descr="Figure 4&#10;2026 economic and automotive market indica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7" descr="Figure 4&#10;2026 economic and automotive market indicators."/>
                    <pic:cNvPicPr>
                      <a:picLocks noChangeAspect="1" noChangeArrowheads="1"/>
                    </pic:cNvPicPr>
                  </pic:nvPicPr>
                  <pic:blipFill>
                    <a:blip r:embed="rId11"/>
                    <a:stretch>
                      <a:fillRect/>
                    </a:stretch>
                  </pic:blipFill>
                  <pic:spPr bwMode="auto">
                    <a:xfrm>
                      <a:off x="0" y="0"/>
                      <a:ext cx="5532120" cy="1811655"/>
                    </a:xfrm>
                    <a:prstGeom prst="rect">
                      <a:avLst/>
                    </a:prstGeom>
                    <a:noFill/>
                    <a:ln>
                      <a:solidFill>
                        <a:schemeClr val="tx1"/>
                      </a:solidFill>
                    </a:ln>
                  </pic:spPr>
                </pic:pic>
              </a:graphicData>
            </a:graphic>
          </wp:inline>
        </w:drawing>
      </w:r>
    </w:p>
    <w:p w14:paraId="26F3E979" w14:textId="77777777" w:rsidR="00082694" w:rsidRPr="007B0866" w:rsidRDefault="00E7132B">
      <w:pPr>
        <w:spacing w:after="160"/>
        <w:jc w:val="center"/>
        <w:rPr>
          <w:b/>
          <w:bCs/>
        </w:rPr>
      </w:pPr>
      <w:r w:rsidRPr="007B0866">
        <w:rPr>
          <w:b/>
          <w:bCs/>
          <w:i/>
          <w:color w:val="505050"/>
          <w:sz w:val="18"/>
        </w:rPr>
        <w:t>Figure 4. 2026 economic and automotive market indicators.</w:t>
      </w:r>
    </w:p>
    <w:p w14:paraId="76508E49" w14:textId="77777777" w:rsidR="00082694" w:rsidRPr="007B0866" w:rsidRDefault="00E7132B">
      <w:pPr>
        <w:spacing w:line="360" w:lineRule="auto"/>
        <w:jc w:val="both"/>
        <w:rPr>
          <w:color w:val="000000"/>
          <w:kern w:val="0"/>
        </w:rPr>
      </w:pPr>
      <w:r w:rsidRPr="007B0866">
        <w:rPr>
          <w:color w:val="000000"/>
          <w:kern w:val="0"/>
        </w:rPr>
        <w:t xml:space="preserve">Social, technological and environmental conditions vary significantly. The number of Japan's working-age population declined by 16% from 1995 to 2024, leading to labour shortages and increased demand for automation and efficient retail (OECD, 2025). India has a customer base with a population reaching 1.464 billion in 2025, even though it is not a single market due to regional and income disparities (UNFPA, 2025). According to a 2025 Global Innovation Index, Japan was ranked 12th and was still in the top half in the areas of business R&amp;D and patent families (WIPO, 2025a). India moved ahead to 38th position, and Bengaluru and Delhi made it </w:t>
      </w:r>
      <w:r w:rsidRPr="007B0866">
        <w:rPr>
          <w:color w:val="000000"/>
          <w:kern w:val="0"/>
        </w:rPr>
        <w:lastRenderedPageBreak/>
        <w:t>to the top 30 innovation clusters globally to support software and mobility capabilities (WIPO, 2025b; WIPO, 2025c). Digitalisation and decarbonisation are transforming Japan's manufacturing landscape (JETRO 2025). The adoption of battery-electric vehicles is still limited, however, as kei vehicles and current hybrids integrate into the existing usage patterns (JATO Dynamics, 2025). Piao et al. (2026) reported that EV attitudes in Japan are related to perceived usefulness, risk, and charging convenience. India has scope for long-term electrification, but access to charging stations and affordability is not uniform. The IEA identifies affordability, policy support and charging availability as determinants of EV diffusion (IEA, 2026). The Japanese government aims to reduce emissions to 60% of the levels in FY2013 by FY2035, and the Indian government will cut down emissions intensity of GDP by 45% by FY2030 from FY2005 (MOEJ, 2025; PIB, 2022).</w:t>
      </w:r>
    </w:p>
    <w:p w14:paraId="0B6F83BA" w14:textId="77777777" w:rsidR="00082694" w:rsidRPr="007B0866" w:rsidRDefault="00E7132B">
      <w:pPr>
        <w:keepNext/>
        <w:spacing w:before="140" w:after="40"/>
        <w:jc w:val="center"/>
      </w:pPr>
      <w:r w:rsidRPr="007B0866">
        <w:rPr>
          <w:noProof/>
        </w:rPr>
        <w:drawing>
          <wp:inline distT="0" distB="0" distL="0" distR="0" wp14:anchorId="1D73B1A8" wp14:editId="2B175429">
            <wp:extent cx="5532120" cy="2343785"/>
            <wp:effectExtent l="12700" t="12700" r="5080" b="5715"/>
            <wp:docPr id="5" name="Picture 25" descr="Figure 5&#10;Demographic and innovation contr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5" descr="Figure 5&#10;Demographic and innovation contrast."/>
                    <pic:cNvPicPr>
                      <a:picLocks noChangeAspect="1" noChangeArrowheads="1"/>
                    </pic:cNvPicPr>
                  </pic:nvPicPr>
                  <pic:blipFill>
                    <a:blip r:embed="rId12"/>
                    <a:stretch>
                      <a:fillRect/>
                    </a:stretch>
                  </pic:blipFill>
                  <pic:spPr bwMode="auto">
                    <a:xfrm>
                      <a:off x="0" y="0"/>
                      <a:ext cx="5532120" cy="2343785"/>
                    </a:xfrm>
                    <a:prstGeom prst="rect">
                      <a:avLst/>
                    </a:prstGeom>
                    <a:noFill/>
                    <a:ln>
                      <a:solidFill>
                        <a:schemeClr val="tx1"/>
                      </a:solidFill>
                    </a:ln>
                  </pic:spPr>
                </pic:pic>
              </a:graphicData>
            </a:graphic>
          </wp:inline>
        </w:drawing>
      </w:r>
    </w:p>
    <w:p w14:paraId="501D3E20" w14:textId="77777777" w:rsidR="00082694" w:rsidRPr="007B0866" w:rsidRDefault="00E7132B">
      <w:pPr>
        <w:spacing w:after="160"/>
        <w:jc w:val="center"/>
        <w:rPr>
          <w:b/>
          <w:bCs/>
        </w:rPr>
      </w:pPr>
      <w:r w:rsidRPr="007B0866">
        <w:rPr>
          <w:b/>
          <w:bCs/>
          <w:i/>
          <w:color w:val="505050"/>
          <w:sz w:val="18"/>
        </w:rPr>
        <w:t>Figure 5. Demographic and innovation contrast.</w:t>
      </w:r>
    </w:p>
    <w:p w14:paraId="0CE53D60" w14:textId="77777777" w:rsidR="00082694" w:rsidRPr="007B0866" w:rsidRDefault="00E7132B">
      <w:pPr>
        <w:keepNext/>
        <w:spacing w:before="140" w:after="40"/>
        <w:jc w:val="center"/>
      </w:pPr>
      <w:r w:rsidRPr="007B0866">
        <w:rPr>
          <w:noProof/>
        </w:rPr>
        <w:drawing>
          <wp:inline distT="0" distB="0" distL="0" distR="0" wp14:anchorId="314F12C2" wp14:editId="793E4453">
            <wp:extent cx="5532120" cy="2343785"/>
            <wp:effectExtent l="12700" t="12700" r="5080" b="5715"/>
            <wp:docPr id="6" name="Picture 26" descr="Figure 6&#10;Electrification drivers and emissions pathw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6" descr="Figure 6&#10;Electrification drivers and emissions pathways."/>
                    <pic:cNvPicPr>
                      <a:picLocks noChangeAspect="1" noChangeArrowheads="1"/>
                    </pic:cNvPicPr>
                  </pic:nvPicPr>
                  <pic:blipFill>
                    <a:blip r:embed="rId13"/>
                    <a:stretch>
                      <a:fillRect/>
                    </a:stretch>
                  </pic:blipFill>
                  <pic:spPr bwMode="auto">
                    <a:xfrm>
                      <a:off x="0" y="0"/>
                      <a:ext cx="5532120" cy="2343785"/>
                    </a:xfrm>
                    <a:prstGeom prst="rect">
                      <a:avLst/>
                    </a:prstGeom>
                    <a:noFill/>
                    <a:ln>
                      <a:solidFill>
                        <a:schemeClr val="tx1"/>
                      </a:solidFill>
                    </a:ln>
                  </pic:spPr>
                </pic:pic>
              </a:graphicData>
            </a:graphic>
          </wp:inline>
        </w:drawing>
      </w:r>
    </w:p>
    <w:p w14:paraId="517046FE" w14:textId="77777777" w:rsidR="00082694" w:rsidRPr="007B0866" w:rsidRDefault="00E7132B">
      <w:pPr>
        <w:spacing w:after="160"/>
        <w:jc w:val="center"/>
        <w:rPr>
          <w:b/>
          <w:bCs/>
        </w:rPr>
      </w:pPr>
      <w:r w:rsidRPr="007B0866">
        <w:rPr>
          <w:b/>
          <w:bCs/>
          <w:i/>
          <w:color w:val="505050"/>
          <w:sz w:val="18"/>
        </w:rPr>
        <w:t>Figure 6. Electrification drivers and emissions pathways.</w:t>
      </w:r>
    </w:p>
    <w:p w14:paraId="5B60642D" w14:textId="77777777" w:rsidR="00082694" w:rsidRPr="007B0866" w:rsidRDefault="00E7132B">
      <w:pPr>
        <w:pStyle w:val="Heading2"/>
        <w:spacing w:line="360" w:lineRule="auto"/>
        <w:jc w:val="both"/>
        <w:rPr>
          <w:rFonts w:cs="Times New Roman"/>
          <w:szCs w:val="24"/>
        </w:rPr>
      </w:pPr>
      <w:bookmarkStart w:id="7" w:name="_Toc234727971"/>
      <w:bookmarkStart w:id="8" w:name="_Toc234901561"/>
      <w:r w:rsidRPr="007B0866">
        <w:rPr>
          <w:rFonts w:cs="Times New Roman"/>
          <w:szCs w:val="24"/>
        </w:rPr>
        <w:lastRenderedPageBreak/>
        <w:t>Hofstede’s Cultural Dimensions Theory</w:t>
      </w:r>
      <w:bookmarkEnd w:id="7"/>
      <w:bookmarkEnd w:id="8"/>
    </w:p>
    <w:p w14:paraId="1BEFED63" w14:textId="77777777" w:rsidR="00082694" w:rsidRPr="007B0866" w:rsidRDefault="00E7132B">
      <w:pPr>
        <w:spacing w:line="360" w:lineRule="auto"/>
        <w:jc w:val="both"/>
        <w:rPr>
          <w:color w:val="000000"/>
          <w:kern w:val="0"/>
        </w:rPr>
      </w:pPr>
      <w:r w:rsidRPr="007B0866">
        <w:rPr>
          <w:color w:val="000000"/>
          <w:kern w:val="0"/>
        </w:rPr>
        <w:t>Hofstede’s scores show cultural separation between India and Japan. India and Japan score, respectively, 77 and 54 for power distance, 24 and 62 for individualism, 56 and 95 for achievement orientation, 40 and 92 for uncertainty avoidance, 51 and 100 for long-term orientation, and 26 and 42 for indulgence (The Culture Factor, 2026). India’s higher power distance favours authoritative endorsements, dealership expertise and sales guidance. Collectivist attitudes indicate that family approval, utility and community reputation may affect vehicle choice. This benefits Toyota’s reliability positioning but may slow individual adoption of unfamiliar technologies. The low power distance and high individualism in Japan foster self-directed evaluation, personalised configurations, and rich communication. National scores, however, cannot be applied mechanically: Japanese decisions often require organisational consensus (Venaik et al., 2023). Comparative management research has cautioned that organisational practices modify the national culture tendencies (Ashta et al., 2025). Japan's high achievement culture is a culture where precision, craftsmanship and excellent service are all rewarded, in keeping with Toyota's quality story. The negative aspect is the high expectations set and the serious reputation loss when quality falls short. While the achievement score will aid in selling SUVs as status symbols, the price-value justification will still be important for India. While the impact of culture on customer-engagement behaviour is evident, the extent and nature of the impact depend on the brand and context (Connell et al., 2023).</w:t>
      </w:r>
    </w:p>
    <w:p w14:paraId="5E72BD0A" w14:textId="77777777" w:rsidR="00082694" w:rsidRPr="007B0866" w:rsidRDefault="00E7132B">
      <w:pPr>
        <w:keepNext/>
        <w:spacing w:before="140" w:after="40"/>
        <w:jc w:val="center"/>
      </w:pPr>
      <w:r w:rsidRPr="007B0866">
        <w:rPr>
          <w:noProof/>
        </w:rPr>
        <w:drawing>
          <wp:inline distT="0" distB="0" distL="0" distR="0" wp14:anchorId="383F0D26" wp14:editId="1E4CD7E2">
            <wp:extent cx="4992139" cy="2627863"/>
            <wp:effectExtent l="12700" t="12700" r="0" b="1270"/>
            <wp:docPr id="7" name="Picture 24" descr="Figure 7&#10;Hofstede cultural dimensions for India and Jap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4" descr="Figure 7&#10;Hofstede cultural dimensions for India and Japan."/>
                    <pic:cNvPicPr>
                      <a:picLocks noChangeAspect="1" noChangeArrowheads="1"/>
                    </pic:cNvPicPr>
                  </pic:nvPicPr>
                  <pic:blipFill>
                    <a:blip r:embed="rId14"/>
                    <a:stretch>
                      <a:fillRect/>
                    </a:stretch>
                  </pic:blipFill>
                  <pic:spPr bwMode="auto">
                    <a:xfrm>
                      <a:off x="0" y="0"/>
                      <a:ext cx="5001760" cy="2632927"/>
                    </a:xfrm>
                    <a:prstGeom prst="rect">
                      <a:avLst/>
                    </a:prstGeom>
                    <a:noFill/>
                    <a:ln>
                      <a:solidFill>
                        <a:schemeClr val="tx1"/>
                      </a:solidFill>
                    </a:ln>
                  </pic:spPr>
                </pic:pic>
              </a:graphicData>
            </a:graphic>
          </wp:inline>
        </w:drawing>
      </w:r>
    </w:p>
    <w:p w14:paraId="72CB0CCF" w14:textId="77777777" w:rsidR="00082694" w:rsidRPr="007B0866" w:rsidRDefault="00E7132B">
      <w:pPr>
        <w:spacing w:after="160"/>
        <w:jc w:val="center"/>
        <w:rPr>
          <w:b/>
          <w:bCs/>
        </w:rPr>
      </w:pPr>
      <w:r w:rsidRPr="007B0866">
        <w:rPr>
          <w:b/>
          <w:bCs/>
          <w:i/>
          <w:color w:val="505050"/>
          <w:sz w:val="18"/>
        </w:rPr>
        <w:t>Figure 7. Hofstede cultural dimensions for India and Japan.</w:t>
      </w:r>
    </w:p>
    <w:p w14:paraId="72B75BC7" w14:textId="77777777" w:rsidR="00082694" w:rsidRPr="007B0866" w:rsidRDefault="00E7132B">
      <w:pPr>
        <w:spacing w:line="360" w:lineRule="auto"/>
        <w:jc w:val="both"/>
        <w:rPr>
          <w:color w:val="000000"/>
          <w:kern w:val="0"/>
        </w:rPr>
      </w:pPr>
      <w:r w:rsidRPr="007B0866">
        <w:rPr>
          <w:color w:val="000000"/>
          <w:kern w:val="0"/>
        </w:rPr>
        <w:lastRenderedPageBreak/>
        <w:t>This cultural difference brings opposite reactions to the concepts of innovation, risk and time. Japan's uncertainty avoidance score is 92, suggesting a preference for evidence, warranties, safety shows and after-sales procedures. This helps Toyota by lowering the perception of potential risk but may impede the uptake of unknown electric or autonomous technologies. When the value is convincing, India's score of 40 gives a space to experiment and adapt. The downside is a lack of uniformity in service expectations from location to location. Japan's long-term-orientation score of 100 proves lifecycle value, fuel economy, resale strength, and hybrid investment. India's intermediate 51 is for future-oriented propositions, but demands early affordability and practical utility. Country-of-origin research shows that functional, social and environmental brand images affect purchase intention differently across developed and emerging markets, reinforcing separate positioning (Furukawa et al., 2025). Both countries are not very indulgent, but India has a score of 26, while Japan has a score of 42. Indian communication should be about family responsibility for advancement instead of excess. Japanese communication can highlight respect for discipline, refinement and social consideration. Japan generally pays for consistency, low-risk excellence and lifecycle credibility. The value of localisation, flexibility and visible value is appreciated in India. Hofstede is still relevant, but the decisions that Toyota makes must be based on region, generation, and income, not just country averages (Bartosik-Purgat et al., 2026).</w:t>
      </w:r>
    </w:p>
    <w:p w14:paraId="7F48E7C9" w14:textId="77777777" w:rsidR="00082694" w:rsidRPr="007B0866" w:rsidRDefault="00E7132B">
      <w:pPr>
        <w:keepNext/>
        <w:spacing w:before="140" w:after="40"/>
        <w:jc w:val="center"/>
      </w:pPr>
      <w:r w:rsidRPr="007B0866">
        <w:rPr>
          <w:noProof/>
        </w:rPr>
        <w:drawing>
          <wp:inline distT="0" distB="0" distL="0" distR="0" wp14:anchorId="1AE33C83" wp14:editId="549A84CE">
            <wp:extent cx="5532120" cy="2522855"/>
            <wp:effectExtent l="12700" t="12700" r="5080" b="4445"/>
            <wp:docPr id="8" name="Picture 23" descr="Figure 8&#10;Cultural implications for Toyota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3" descr="Figure 8&#10;Cultural implications for Toyota marketing."/>
                    <pic:cNvPicPr>
                      <a:picLocks noChangeAspect="1" noChangeArrowheads="1"/>
                    </pic:cNvPicPr>
                  </pic:nvPicPr>
                  <pic:blipFill>
                    <a:blip r:embed="rId15"/>
                    <a:stretch>
                      <a:fillRect/>
                    </a:stretch>
                  </pic:blipFill>
                  <pic:spPr bwMode="auto">
                    <a:xfrm>
                      <a:off x="0" y="0"/>
                      <a:ext cx="5532120" cy="2522855"/>
                    </a:xfrm>
                    <a:prstGeom prst="rect">
                      <a:avLst/>
                    </a:prstGeom>
                    <a:noFill/>
                    <a:ln>
                      <a:solidFill>
                        <a:schemeClr val="tx1"/>
                      </a:solidFill>
                    </a:ln>
                  </pic:spPr>
                </pic:pic>
              </a:graphicData>
            </a:graphic>
          </wp:inline>
        </w:drawing>
      </w:r>
    </w:p>
    <w:p w14:paraId="2AF10C06" w14:textId="77777777" w:rsidR="00082694" w:rsidRPr="007B0866" w:rsidRDefault="00E7132B">
      <w:pPr>
        <w:spacing w:after="160"/>
        <w:jc w:val="center"/>
        <w:rPr>
          <w:b/>
          <w:bCs/>
        </w:rPr>
      </w:pPr>
      <w:r w:rsidRPr="007B0866">
        <w:rPr>
          <w:b/>
          <w:bCs/>
          <w:i/>
          <w:color w:val="505050"/>
          <w:sz w:val="18"/>
        </w:rPr>
        <w:t>Figure 8. Cultural implications for Toyota marketing.</w:t>
      </w:r>
    </w:p>
    <w:p w14:paraId="7C66FB59" w14:textId="77777777" w:rsidR="00082694" w:rsidRPr="007B0866" w:rsidRDefault="00E7132B">
      <w:pPr>
        <w:pStyle w:val="Heading1"/>
        <w:spacing w:line="360" w:lineRule="auto"/>
        <w:jc w:val="both"/>
        <w:rPr>
          <w:rFonts w:cs="Times New Roman"/>
          <w:szCs w:val="24"/>
        </w:rPr>
      </w:pPr>
      <w:bookmarkStart w:id="9" w:name="_Toc234727972"/>
      <w:bookmarkStart w:id="10" w:name="_Toc234901562"/>
      <w:r w:rsidRPr="007B0866">
        <w:rPr>
          <w:rFonts w:cs="Times New Roman"/>
          <w:szCs w:val="24"/>
        </w:rPr>
        <w:lastRenderedPageBreak/>
        <w:t>Comparative STP and International Marketing Mix Strategies</w:t>
      </w:r>
      <w:bookmarkEnd w:id="9"/>
      <w:bookmarkEnd w:id="10"/>
    </w:p>
    <w:p w14:paraId="15C575E1" w14:textId="77777777" w:rsidR="00082694" w:rsidRPr="007B0866" w:rsidRDefault="00E7132B">
      <w:pPr>
        <w:pStyle w:val="Heading2"/>
        <w:spacing w:line="360" w:lineRule="auto"/>
        <w:jc w:val="both"/>
        <w:rPr>
          <w:rFonts w:cs="Times New Roman"/>
          <w:szCs w:val="24"/>
        </w:rPr>
      </w:pPr>
      <w:bookmarkStart w:id="11" w:name="_Toc234727973"/>
      <w:bookmarkStart w:id="12" w:name="_Toc234901563"/>
      <w:r w:rsidRPr="007B0866">
        <w:rPr>
          <w:rFonts w:cs="Times New Roman"/>
          <w:szCs w:val="24"/>
        </w:rPr>
        <w:t>Segmentation, targeting and positioning</w:t>
      </w:r>
      <w:bookmarkEnd w:id="11"/>
      <w:bookmarkEnd w:id="12"/>
    </w:p>
    <w:p w14:paraId="5347E578" w14:textId="77777777" w:rsidR="00082694" w:rsidRPr="007B0866" w:rsidRDefault="00E7132B">
      <w:pPr>
        <w:spacing w:line="360" w:lineRule="auto"/>
        <w:jc w:val="both"/>
        <w:rPr>
          <w:color w:val="000000"/>
          <w:kern w:val="0"/>
        </w:rPr>
      </w:pPr>
      <w:r w:rsidRPr="007B0866">
        <w:rPr>
          <w:color w:val="000000"/>
          <w:kern w:val="0"/>
        </w:rPr>
        <w:t>The STP architecture of Toyota is differentiated marketing, where every market is segmented by income, life stage, vehicle use, geography and technology readiness, and not as a single global market (Kotler et al., 2024). Japan's mature market is divided into areas of compact urban travel, hybrid family cars, premium craftsmanship and outdoor lifestyles, and subscription-based younger drivers. The sixth-generation RAV4 is optimised for diversification, electrification and intelligence, whereas the Land Cruiser FJ builds on Toyota's legacy with lifestyle-focused customers (Toyota Motor Corporation, 2025a; Toyota Motor Corporation, 2025b). Narrowing the segmentation for affordability and use in households is needed in India. Toyota aims to appeal to first-time hatchback customers, value-conscious SUV drivers, families of three or more, commercial customers, executives and new electric vehicle customers via its hatchback lineup, which includes the Glanza and Vellfire (Toyota Kirloskar Motor, 2026a). By April 2026, the Innova will have sold 2,00,000 cumulative units, making the family and premium-MPV targeting a proven success (Toyota Kirloskar Motor, 2026b). Toyota thus focuses on technology, refinement, and lifecycle quality in Japan. India offers the same quality, durability and reliability platform along with fuel efficiency, status and family utility. This is adaptive global marketing in which core brand meaning is standardised, and segment priorities and value propositions are localised (Hollensen and Bogdanovic, 2025).</w:t>
      </w:r>
    </w:p>
    <w:p w14:paraId="083B174C" w14:textId="77777777" w:rsidR="00082694" w:rsidRPr="007B0866" w:rsidRDefault="00E7132B">
      <w:pPr>
        <w:keepNext/>
        <w:spacing w:before="140" w:after="40"/>
        <w:jc w:val="center"/>
      </w:pPr>
      <w:r w:rsidRPr="007B0866">
        <w:rPr>
          <w:noProof/>
        </w:rPr>
        <w:drawing>
          <wp:inline distT="0" distB="0" distL="0" distR="0" wp14:anchorId="687DFFB0" wp14:editId="75350DF9">
            <wp:extent cx="5532120" cy="2267585"/>
            <wp:effectExtent l="12700" t="12700" r="5080" b="5715"/>
            <wp:docPr id="9" name="Picture 21" descr="Figure 9&#10;Toyota positioning map by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1" descr="Figure 9&#10;Toyota positioning map by market."/>
                    <pic:cNvPicPr>
                      <a:picLocks noChangeAspect="1" noChangeArrowheads="1"/>
                    </pic:cNvPicPr>
                  </pic:nvPicPr>
                  <pic:blipFill>
                    <a:blip r:embed="rId16"/>
                    <a:stretch>
                      <a:fillRect/>
                    </a:stretch>
                  </pic:blipFill>
                  <pic:spPr bwMode="auto">
                    <a:xfrm>
                      <a:off x="0" y="0"/>
                      <a:ext cx="5532120" cy="2267585"/>
                    </a:xfrm>
                    <a:prstGeom prst="rect">
                      <a:avLst/>
                    </a:prstGeom>
                    <a:noFill/>
                    <a:ln>
                      <a:solidFill>
                        <a:schemeClr val="tx1"/>
                      </a:solidFill>
                    </a:ln>
                  </pic:spPr>
                </pic:pic>
              </a:graphicData>
            </a:graphic>
          </wp:inline>
        </w:drawing>
      </w:r>
    </w:p>
    <w:p w14:paraId="5DF964E5" w14:textId="77777777" w:rsidR="00082694" w:rsidRPr="007B0866" w:rsidRDefault="00E7132B">
      <w:pPr>
        <w:spacing w:after="160"/>
        <w:jc w:val="center"/>
        <w:rPr>
          <w:b/>
          <w:bCs/>
        </w:rPr>
      </w:pPr>
      <w:r w:rsidRPr="007B0866">
        <w:rPr>
          <w:b/>
          <w:bCs/>
          <w:i/>
          <w:color w:val="505050"/>
          <w:sz w:val="18"/>
        </w:rPr>
        <w:t>Figure 9. Toyota positioning map by market.</w:t>
      </w:r>
    </w:p>
    <w:p w14:paraId="43A09E6D" w14:textId="77777777" w:rsidR="00082694" w:rsidRPr="007B0866" w:rsidRDefault="00E7132B">
      <w:pPr>
        <w:keepNext/>
        <w:spacing w:before="140" w:after="40"/>
        <w:jc w:val="center"/>
      </w:pPr>
      <w:r w:rsidRPr="007B0866">
        <w:rPr>
          <w:noProof/>
        </w:rPr>
        <w:lastRenderedPageBreak/>
        <w:drawing>
          <wp:inline distT="0" distB="0" distL="0" distR="0" wp14:anchorId="1E88F384" wp14:editId="561226A5">
            <wp:extent cx="5532120" cy="2343785"/>
            <wp:effectExtent l="12700" t="12700" r="5080" b="5715"/>
            <wp:docPr id="10" name="Picture 22" descr="Figure 10&#10;Differentiated STP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22" descr="Figure 10&#10;Differentiated STP architecture."/>
                    <pic:cNvPicPr>
                      <a:picLocks noChangeAspect="1" noChangeArrowheads="1"/>
                    </pic:cNvPicPr>
                  </pic:nvPicPr>
                  <pic:blipFill>
                    <a:blip r:embed="rId17"/>
                    <a:stretch>
                      <a:fillRect/>
                    </a:stretch>
                  </pic:blipFill>
                  <pic:spPr bwMode="auto">
                    <a:xfrm>
                      <a:off x="0" y="0"/>
                      <a:ext cx="5532120" cy="2343785"/>
                    </a:xfrm>
                    <a:prstGeom prst="rect">
                      <a:avLst/>
                    </a:prstGeom>
                    <a:noFill/>
                    <a:ln>
                      <a:solidFill>
                        <a:schemeClr val="tx1"/>
                      </a:solidFill>
                    </a:ln>
                  </pic:spPr>
                </pic:pic>
              </a:graphicData>
            </a:graphic>
          </wp:inline>
        </w:drawing>
      </w:r>
    </w:p>
    <w:p w14:paraId="03EA9165" w14:textId="77777777" w:rsidR="00082694" w:rsidRPr="007B0866" w:rsidRDefault="00E7132B">
      <w:pPr>
        <w:spacing w:after="160"/>
        <w:jc w:val="center"/>
        <w:rPr>
          <w:b/>
          <w:bCs/>
        </w:rPr>
      </w:pPr>
      <w:r w:rsidRPr="007B0866">
        <w:rPr>
          <w:b/>
          <w:bCs/>
          <w:i/>
          <w:color w:val="505050"/>
          <w:sz w:val="18"/>
        </w:rPr>
        <w:t>Figure 10. Differentiated STP architecture.</w:t>
      </w:r>
    </w:p>
    <w:p w14:paraId="58D88257" w14:textId="77777777" w:rsidR="00082694" w:rsidRPr="007B0866" w:rsidRDefault="00E7132B">
      <w:pPr>
        <w:pStyle w:val="Heading2"/>
        <w:spacing w:line="360" w:lineRule="auto"/>
        <w:jc w:val="both"/>
        <w:rPr>
          <w:rFonts w:cs="Times New Roman"/>
          <w:szCs w:val="24"/>
        </w:rPr>
      </w:pPr>
      <w:bookmarkStart w:id="13" w:name="_Toc234727974"/>
      <w:bookmarkStart w:id="14" w:name="_Toc234901564"/>
      <w:r w:rsidRPr="007B0866">
        <w:rPr>
          <w:rFonts w:cs="Times New Roman"/>
          <w:szCs w:val="24"/>
        </w:rPr>
        <w:t>Product and price</w:t>
      </w:r>
      <w:bookmarkEnd w:id="13"/>
      <w:bookmarkEnd w:id="14"/>
    </w:p>
    <w:p w14:paraId="050D3BB8" w14:textId="77777777" w:rsidR="00082694" w:rsidRPr="007B0866" w:rsidRDefault="00E7132B">
      <w:pPr>
        <w:spacing w:line="360" w:lineRule="auto"/>
        <w:jc w:val="both"/>
        <w:rPr>
          <w:rFonts w:eastAsia="Songti SC"/>
          <w:color w:val="000000"/>
          <w:kern w:val="0"/>
        </w:rPr>
      </w:pPr>
      <w:r w:rsidRPr="007B0866">
        <w:rPr>
          <w:color w:val="000000"/>
          <w:kern w:val="0"/>
        </w:rPr>
        <w:t xml:space="preserve">Toyota's product approach exemplifies selective adaptation. Japan is getting a wide multi-powertrain platform, advanced connected features, and a few lifestyle options. The new Land Cruiser FJ features customisation, T-Connect and a ¥5.7 million reference price, adding functional and experiential value (Toyota Motor Corporation, 2026a). India is the market which prioritises large-sized SUVs and MPVs, ground clearance, fuel efficiency and convenient electrification. The Urban Cruiser Ebella offers 49 kWh and 61 kWh batteries, up to 543 kilometres of certified range and more than 100 i-Connect functions (Toyota Kirloskar Motor, 2026c). The new Innova Crysta is powered by diesel and offers family comfort, demonstrating Toyota's refusal to impose uniform electrification routes (Toyota Kirloskar Motor, 2026d). Pricing also differs. Japan employs value pricing and KINTO bundling, with the FJ subscription starting at ¥38,390 per month, which includes insurance, tax, and maintenance (Toyota Motor Corporation, 2026b). India utilises a broader price level and financial and promotional add-ons. The Hyryder Tech Package is priced at </w:t>
      </w:r>
      <w:r w:rsidRPr="007B0866">
        <w:rPr>
          <w:rFonts w:eastAsia="Songti SC"/>
          <w:color w:val="000000"/>
          <w:kern w:val="0"/>
        </w:rPr>
        <w:t>₹29,499, whereas the Ebella E3 is priced at ₹23.60 lakh (Toyota Kirloskar Motor, 2026e; Toyota Kirloskar Motor, 2026f). While it can enhance volume and loyalty, it must be transparent to maintain fairness and trust (Gonen et al., 2024; Kopalle et al., 2023).</w:t>
      </w:r>
    </w:p>
    <w:p w14:paraId="67B8BBD6" w14:textId="77777777" w:rsidR="00082694" w:rsidRPr="007B0866" w:rsidRDefault="00E7132B">
      <w:pPr>
        <w:keepNext/>
        <w:spacing w:before="140" w:after="40"/>
        <w:jc w:val="center"/>
      </w:pPr>
      <w:r w:rsidRPr="007B0866">
        <w:rPr>
          <w:noProof/>
        </w:rPr>
        <w:lastRenderedPageBreak/>
        <w:drawing>
          <wp:inline distT="0" distB="0" distL="0" distR="0" wp14:anchorId="2C24F019" wp14:editId="64213716">
            <wp:extent cx="5532120" cy="2435225"/>
            <wp:effectExtent l="12700" t="12700" r="5080" b="3175"/>
            <wp:docPr id="11" name="Picture 19" descr="Figure 11&#10;Selective product adaptation across mark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9" descr="Figure 11&#10;Selective product adaptation across markets."/>
                    <pic:cNvPicPr>
                      <a:picLocks noChangeAspect="1" noChangeArrowheads="1"/>
                    </pic:cNvPicPr>
                  </pic:nvPicPr>
                  <pic:blipFill>
                    <a:blip r:embed="rId18"/>
                    <a:stretch>
                      <a:fillRect/>
                    </a:stretch>
                  </pic:blipFill>
                  <pic:spPr bwMode="auto">
                    <a:xfrm>
                      <a:off x="0" y="0"/>
                      <a:ext cx="5532120" cy="2435225"/>
                    </a:xfrm>
                    <a:prstGeom prst="rect">
                      <a:avLst/>
                    </a:prstGeom>
                    <a:noFill/>
                    <a:ln>
                      <a:solidFill>
                        <a:schemeClr val="tx1"/>
                      </a:solidFill>
                    </a:ln>
                  </pic:spPr>
                </pic:pic>
              </a:graphicData>
            </a:graphic>
          </wp:inline>
        </w:drawing>
      </w:r>
    </w:p>
    <w:p w14:paraId="350AF136" w14:textId="77777777" w:rsidR="00082694" w:rsidRPr="007B0866" w:rsidRDefault="00E7132B">
      <w:pPr>
        <w:spacing w:after="160"/>
        <w:jc w:val="center"/>
        <w:rPr>
          <w:b/>
          <w:bCs/>
        </w:rPr>
      </w:pPr>
      <w:r w:rsidRPr="007B0866">
        <w:rPr>
          <w:b/>
          <w:bCs/>
          <w:i/>
          <w:color w:val="505050"/>
          <w:sz w:val="18"/>
        </w:rPr>
        <w:t>Figure 11. Selective product adaptation across markets.</w:t>
      </w:r>
    </w:p>
    <w:p w14:paraId="7FD470BE" w14:textId="77777777" w:rsidR="00082694" w:rsidRPr="007B0866" w:rsidRDefault="00E7132B">
      <w:pPr>
        <w:keepNext/>
        <w:spacing w:before="140" w:after="40"/>
        <w:jc w:val="center"/>
      </w:pPr>
      <w:r w:rsidRPr="007B0866">
        <w:rPr>
          <w:noProof/>
        </w:rPr>
        <w:drawing>
          <wp:inline distT="0" distB="0" distL="0" distR="0" wp14:anchorId="61BBFCA6" wp14:editId="07814024">
            <wp:extent cx="5532120" cy="2034540"/>
            <wp:effectExtent l="12700" t="12700" r="5080" b="0"/>
            <wp:docPr id="12" name="Picture 20" descr="Figure 12&#10;Price and value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20" descr="Figure 12&#10;Price and value architecture."/>
                    <pic:cNvPicPr>
                      <a:picLocks noChangeAspect="1" noChangeArrowheads="1"/>
                    </pic:cNvPicPr>
                  </pic:nvPicPr>
                  <pic:blipFill>
                    <a:blip r:embed="rId19"/>
                    <a:stretch>
                      <a:fillRect/>
                    </a:stretch>
                  </pic:blipFill>
                  <pic:spPr bwMode="auto">
                    <a:xfrm>
                      <a:off x="0" y="0"/>
                      <a:ext cx="5532120" cy="2034540"/>
                    </a:xfrm>
                    <a:prstGeom prst="rect">
                      <a:avLst/>
                    </a:prstGeom>
                    <a:noFill/>
                    <a:ln>
                      <a:solidFill>
                        <a:schemeClr val="tx1"/>
                      </a:solidFill>
                    </a:ln>
                  </pic:spPr>
                </pic:pic>
              </a:graphicData>
            </a:graphic>
          </wp:inline>
        </w:drawing>
      </w:r>
    </w:p>
    <w:p w14:paraId="13F617D8" w14:textId="77777777" w:rsidR="00082694" w:rsidRPr="007B0866" w:rsidRDefault="00E7132B">
      <w:pPr>
        <w:spacing w:after="160"/>
        <w:jc w:val="center"/>
        <w:rPr>
          <w:b/>
          <w:bCs/>
        </w:rPr>
      </w:pPr>
      <w:r w:rsidRPr="007B0866">
        <w:rPr>
          <w:b/>
          <w:bCs/>
          <w:i/>
          <w:color w:val="505050"/>
          <w:sz w:val="18"/>
        </w:rPr>
        <w:t>Figure 12. Price and value architecture.</w:t>
      </w:r>
    </w:p>
    <w:p w14:paraId="62FD85D2" w14:textId="77777777" w:rsidR="00082694" w:rsidRPr="007B0866" w:rsidRDefault="00E7132B">
      <w:pPr>
        <w:pStyle w:val="Heading2"/>
        <w:spacing w:line="360" w:lineRule="auto"/>
        <w:jc w:val="both"/>
        <w:rPr>
          <w:rFonts w:eastAsia="Songti SC" w:cs="Times New Roman"/>
          <w:szCs w:val="24"/>
        </w:rPr>
      </w:pPr>
      <w:bookmarkStart w:id="15" w:name="_Toc234727975"/>
      <w:bookmarkStart w:id="16" w:name="_Toc234901565"/>
      <w:r w:rsidRPr="007B0866">
        <w:rPr>
          <w:rFonts w:eastAsia="Songti SC" w:cs="Times New Roman"/>
          <w:szCs w:val="24"/>
        </w:rPr>
        <w:t>Place and promotion</w:t>
      </w:r>
      <w:bookmarkEnd w:id="15"/>
      <w:bookmarkEnd w:id="16"/>
    </w:p>
    <w:p w14:paraId="3303A6A7" w14:textId="77777777" w:rsidR="00082694" w:rsidRPr="007B0866" w:rsidRDefault="00E7132B">
      <w:pPr>
        <w:spacing w:line="360" w:lineRule="auto"/>
        <w:jc w:val="both"/>
        <w:rPr>
          <w:rFonts w:eastAsia="Songti SC"/>
          <w:color w:val="000000"/>
          <w:kern w:val="0"/>
        </w:rPr>
      </w:pPr>
      <w:r w:rsidRPr="007B0866">
        <w:rPr>
          <w:rFonts w:eastAsia="Songti SC"/>
          <w:color w:val="000000"/>
          <w:kern w:val="0"/>
        </w:rPr>
        <w:t xml:space="preserve">Japan's place strategy combines nationwide dealers with digital search, quotation, test-drive booking and My Toyota account support, and provides an omnichannel journey tailored to information-rich buying (Toyota Motor Corporation, 2026c; Toyota Motor Corporation, 2026d). Toyota Mobility Tokyo distributes imported Tundra and Highlander models for controlled demand testing prior to national rollout (Toyota Motor Corporation, 2026e). The 2026 Crown campaign connects with showrooms and test drives and offers rewards for 1,000 participants, while specialty Toyota stores strengthen the premium symbolism through their custom spaces (Toyota Motor Corporation, 2026f; Toyota Motor Corporation, 2026g). India's digital and physical expansion is a blend due to the importance of trust and service accessibility. New 3S dealerships feature a 32,000-square-foot facility in Jamshedpur and a 19,000-square-foot outlet in Guwahati, both with used-car services (Toyota Kirloskar Motor, 2026g; Toyota Kirloskar </w:t>
      </w:r>
      <w:r w:rsidRPr="007B0866">
        <w:rPr>
          <w:rFonts w:eastAsia="Songti SC"/>
          <w:color w:val="000000"/>
          <w:kern w:val="0"/>
        </w:rPr>
        <w:lastRenderedPageBreak/>
        <w:t>Motor, 2026h). The Hyryder Month campaign used immersive test drives across northern states and value-led benefits rather than abstract environmental messaging (Toyota Kirloskar Motor, 2026i). Toyota India offers a virtual showroom and online test drive requests as well (Toyota Kirloskar Motor, 2026j; Toyota Kirloskar Motor, 2026l). This channel design reflects the fact that automotive customers increasingly navigate between digital and dealership touchpoints (Kim et al., 2022; EY, 2023; Cox Automotive, 2024).</w:t>
      </w:r>
    </w:p>
    <w:p w14:paraId="2E1D1495" w14:textId="77777777" w:rsidR="00082694" w:rsidRPr="007B0866" w:rsidRDefault="00E7132B">
      <w:pPr>
        <w:keepNext/>
        <w:spacing w:before="140" w:after="40"/>
        <w:jc w:val="center"/>
      </w:pPr>
      <w:r w:rsidRPr="007B0866">
        <w:rPr>
          <w:noProof/>
        </w:rPr>
        <w:drawing>
          <wp:inline distT="0" distB="0" distL="0" distR="0" wp14:anchorId="205A4DD1" wp14:editId="3341D744">
            <wp:extent cx="5532120" cy="2252345"/>
            <wp:effectExtent l="12700" t="12700" r="5080" b="0"/>
            <wp:docPr id="13" name="Picture 17" descr="Figure 13&#10;Omnichannel customer jour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7" descr="Figure 13&#10;Omnichannel customer journey."/>
                    <pic:cNvPicPr>
                      <a:picLocks noChangeAspect="1" noChangeArrowheads="1"/>
                    </pic:cNvPicPr>
                  </pic:nvPicPr>
                  <pic:blipFill>
                    <a:blip r:embed="rId20"/>
                    <a:stretch>
                      <a:fillRect/>
                    </a:stretch>
                  </pic:blipFill>
                  <pic:spPr bwMode="auto">
                    <a:xfrm>
                      <a:off x="0" y="0"/>
                      <a:ext cx="5532120" cy="2252345"/>
                    </a:xfrm>
                    <a:prstGeom prst="rect">
                      <a:avLst/>
                    </a:prstGeom>
                    <a:noFill/>
                    <a:ln>
                      <a:solidFill>
                        <a:schemeClr val="tx1"/>
                      </a:solidFill>
                    </a:ln>
                  </pic:spPr>
                </pic:pic>
              </a:graphicData>
            </a:graphic>
          </wp:inline>
        </w:drawing>
      </w:r>
    </w:p>
    <w:p w14:paraId="2CAB6FA6" w14:textId="77777777" w:rsidR="00082694" w:rsidRPr="007B0866" w:rsidRDefault="00E7132B">
      <w:pPr>
        <w:spacing w:after="160"/>
        <w:jc w:val="center"/>
        <w:rPr>
          <w:b/>
          <w:bCs/>
        </w:rPr>
      </w:pPr>
      <w:r w:rsidRPr="007B0866">
        <w:rPr>
          <w:b/>
          <w:bCs/>
          <w:i/>
          <w:color w:val="505050"/>
          <w:sz w:val="18"/>
        </w:rPr>
        <w:t>Figure 13. Omnichannel customer journey.</w:t>
      </w:r>
    </w:p>
    <w:p w14:paraId="47E6ECC6" w14:textId="77777777" w:rsidR="00082694" w:rsidRPr="007B0866" w:rsidRDefault="00E7132B">
      <w:pPr>
        <w:keepNext/>
        <w:spacing w:before="140" w:after="40"/>
        <w:jc w:val="center"/>
      </w:pPr>
      <w:r w:rsidRPr="007B0866">
        <w:rPr>
          <w:noProof/>
        </w:rPr>
        <w:drawing>
          <wp:inline distT="0" distB="0" distL="0" distR="0" wp14:anchorId="07FF0270" wp14:editId="1DF0DF22">
            <wp:extent cx="5532120" cy="2287905"/>
            <wp:effectExtent l="12700" t="12700" r="5080" b="0"/>
            <wp:docPr id="14" name="Picture 18" descr="Figure 14&#10;Promotion localisation by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8" descr="Figure 14&#10;Promotion localisation by market."/>
                    <pic:cNvPicPr>
                      <a:picLocks noChangeAspect="1" noChangeArrowheads="1"/>
                    </pic:cNvPicPr>
                  </pic:nvPicPr>
                  <pic:blipFill>
                    <a:blip r:embed="rId21"/>
                    <a:stretch>
                      <a:fillRect/>
                    </a:stretch>
                  </pic:blipFill>
                  <pic:spPr bwMode="auto">
                    <a:xfrm>
                      <a:off x="0" y="0"/>
                      <a:ext cx="5532120" cy="2287905"/>
                    </a:xfrm>
                    <a:prstGeom prst="rect">
                      <a:avLst/>
                    </a:prstGeom>
                    <a:noFill/>
                    <a:ln>
                      <a:solidFill>
                        <a:schemeClr val="tx1"/>
                      </a:solidFill>
                    </a:ln>
                  </pic:spPr>
                </pic:pic>
              </a:graphicData>
            </a:graphic>
          </wp:inline>
        </w:drawing>
      </w:r>
    </w:p>
    <w:p w14:paraId="01164DFC" w14:textId="77777777" w:rsidR="00082694" w:rsidRPr="007B0866" w:rsidRDefault="00E7132B">
      <w:pPr>
        <w:spacing w:after="160"/>
        <w:jc w:val="center"/>
        <w:rPr>
          <w:b/>
          <w:bCs/>
        </w:rPr>
      </w:pPr>
      <w:r w:rsidRPr="007B0866">
        <w:rPr>
          <w:b/>
          <w:bCs/>
          <w:i/>
          <w:color w:val="505050"/>
          <w:sz w:val="18"/>
        </w:rPr>
        <w:t>Figure 14. Promotion localisation by market.</w:t>
      </w:r>
    </w:p>
    <w:p w14:paraId="4FBA7F28" w14:textId="77777777" w:rsidR="00082694" w:rsidRPr="007B0866" w:rsidRDefault="00E7132B">
      <w:pPr>
        <w:pStyle w:val="Heading2"/>
        <w:spacing w:line="360" w:lineRule="auto"/>
        <w:jc w:val="both"/>
        <w:rPr>
          <w:rFonts w:eastAsia="Songti SC" w:cs="Times New Roman"/>
          <w:szCs w:val="24"/>
        </w:rPr>
      </w:pPr>
      <w:bookmarkStart w:id="17" w:name="_Toc234727976"/>
      <w:bookmarkStart w:id="18" w:name="_Toc234901566"/>
      <w:r w:rsidRPr="007B0866">
        <w:rPr>
          <w:rFonts w:eastAsia="Songti SC" w:cs="Times New Roman"/>
          <w:szCs w:val="24"/>
        </w:rPr>
        <w:t>People, process and physical evidence</w:t>
      </w:r>
      <w:bookmarkEnd w:id="17"/>
      <w:bookmarkEnd w:id="18"/>
    </w:p>
    <w:p w14:paraId="40AD0DBB" w14:textId="77777777" w:rsidR="00082694" w:rsidRPr="007B0866" w:rsidRDefault="00E7132B">
      <w:pPr>
        <w:spacing w:line="360" w:lineRule="auto"/>
        <w:jc w:val="both"/>
        <w:rPr>
          <w:rFonts w:eastAsia="Songti SC"/>
          <w:color w:val="000000"/>
          <w:kern w:val="0"/>
        </w:rPr>
      </w:pPr>
      <w:r w:rsidRPr="007B0866">
        <w:rPr>
          <w:rFonts w:eastAsia="Songti SC"/>
          <w:color w:val="000000"/>
          <w:kern w:val="0"/>
        </w:rPr>
        <w:t xml:space="preserve">The Japanese depend on standardised service procedures, trained employees, integrated support, and apparent manufacturing quality. In March 2026, Toyota had a workforce of 73,133 employees and 390,927 consolidated employees, offering substantial power to maintain customer experience and innovation (Toyota Motor Corporation, 2026h). T-Connect features app-to-owner </w:t>
      </w:r>
      <w:r w:rsidRPr="007B0866">
        <w:rPr>
          <w:rFonts w:eastAsia="Songti SC"/>
          <w:color w:val="000000"/>
          <w:kern w:val="0"/>
        </w:rPr>
        <w:lastRenderedPageBreak/>
        <w:t>support, remote functions and the service-plan information (Toyota Motor Corporation, 2026i). Corrective processes in Japan's risk-sensitive market are made visible via recall and service-campaign portals (Toyota Motor Corporation, 2026j). In India, people and processes are flexible to reach, speed and reassurance. The Ebella ownership system includes 500-plus BEV-enabled touchpoints, 2,500-plus master technicians, 45-minute maintenance and 24-hour roadside assistance (Toyota Kirloskar Motor, 2026k). Toyota U-Trust further enhances physical evidence in a fragmented used-car market with an additional 203-point inspection and warranties of up to 2 years (Toyota Kirloskar Motor, 2025a). Consistent execution is achieved through technician development on Toyota Kaushalya and TTTI (Toyota Kirloskar Motor, 2025b). The Bangalore experiential museum further combines Japanese culture, technology and lifestyle cues (Toyota Kirloskar Motor, 2025c). Overall, Toyota simplifies reliability and service discipline and customises access, finance and experience. This personifies five-generation integrated marketing communication, connecting profits, people and broader societal value (Pearson and Malthouse, 2024).</w:t>
      </w:r>
    </w:p>
    <w:p w14:paraId="49F488F6" w14:textId="77777777" w:rsidR="00082694" w:rsidRPr="007B0866" w:rsidRDefault="00E7132B">
      <w:pPr>
        <w:keepNext/>
        <w:spacing w:before="140" w:after="40"/>
        <w:jc w:val="center"/>
      </w:pPr>
      <w:r w:rsidRPr="007B0866">
        <w:rPr>
          <w:noProof/>
        </w:rPr>
        <w:lastRenderedPageBreak/>
        <w:drawing>
          <wp:inline distT="0" distB="0" distL="0" distR="0" wp14:anchorId="5F95F2E9" wp14:editId="4D95A088">
            <wp:extent cx="5532120" cy="5009515"/>
            <wp:effectExtent l="12700" t="12700" r="5080" b="0"/>
            <wp:docPr id="15" name="Picture 15" descr="Figure 15&#10;Relative localisation emphasis across the 7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Figure 15&#10;Relative localisation emphasis across the 7Ps."/>
                    <pic:cNvPicPr>
                      <a:picLocks noChangeAspect="1" noChangeArrowheads="1"/>
                    </pic:cNvPicPr>
                  </pic:nvPicPr>
                  <pic:blipFill>
                    <a:blip r:embed="rId22"/>
                    <a:stretch>
                      <a:fillRect/>
                    </a:stretch>
                  </pic:blipFill>
                  <pic:spPr bwMode="auto">
                    <a:xfrm>
                      <a:off x="0" y="0"/>
                      <a:ext cx="5532120" cy="5009515"/>
                    </a:xfrm>
                    <a:prstGeom prst="rect">
                      <a:avLst/>
                    </a:prstGeom>
                    <a:noFill/>
                    <a:ln>
                      <a:solidFill>
                        <a:schemeClr val="tx1"/>
                      </a:solidFill>
                    </a:ln>
                  </pic:spPr>
                </pic:pic>
              </a:graphicData>
            </a:graphic>
          </wp:inline>
        </w:drawing>
      </w:r>
    </w:p>
    <w:p w14:paraId="453730E4" w14:textId="77777777" w:rsidR="00082694" w:rsidRPr="007B0866" w:rsidRDefault="00E7132B">
      <w:pPr>
        <w:spacing w:after="160"/>
        <w:jc w:val="center"/>
        <w:rPr>
          <w:b/>
          <w:bCs/>
        </w:rPr>
      </w:pPr>
      <w:r w:rsidRPr="007B0866">
        <w:rPr>
          <w:b/>
          <w:bCs/>
          <w:i/>
          <w:color w:val="505050"/>
          <w:sz w:val="18"/>
        </w:rPr>
        <w:t>Figure 15. Relative localisation emphasis across the 7Ps.</w:t>
      </w:r>
    </w:p>
    <w:p w14:paraId="715B6767" w14:textId="77777777" w:rsidR="00082694" w:rsidRPr="007B0866" w:rsidRDefault="00E7132B">
      <w:pPr>
        <w:keepNext/>
        <w:spacing w:before="140" w:after="40"/>
        <w:jc w:val="center"/>
      </w:pPr>
      <w:r w:rsidRPr="007B0866">
        <w:rPr>
          <w:noProof/>
        </w:rPr>
        <w:drawing>
          <wp:inline distT="0" distB="0" distL="0" distR="0" wp14:anchorId="62D986FD" wp14:editId="25E458CD">
            <wp:extent cx="5532120" cy="2343785"/>
            <wp:effectExtent l="12700" t="12700" r="5080" b="5715"/>
            <wp:docPr id="16" name="Picture 16" descr="Figure 16&#10;Service ecosystem and physical ev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Figure 16&#10;Service ecosystem and physical evidence."/>
                    <pic:cNvPicPr>
                      <a:picLocks noChangeAspect="1" noChangeArrowheads="1"/>
                    </pic:cNvPicPr>
                  </pic:nvPicPr>
                  <pic:blipFill>
                    <a:blip r:embed="rId23"/>
                    <a:stretch>
                      <a:fillRect/>
                    </a:stretch>
                  </pic:blipFill>
                  <pic:spPr bwMode="auto">
                    <a:xfrm>
                      <a:off x="0" y="0"/>
                      <a:ext cx="5532120" cy="2343785"/>
                    </a:xfrm>
                    <a:prstGeom prst="rect">
                      <a:avLst/>
                    </a:prstGeom>
                    <a:noFill/>
                    <a:ln>
                      <a:solidFill>
                        <a:schemeClr val="tx1"/>
                      </a:solidFill>
                    </a:ln>
                  </pic:spPr>
                </pic:pic>
              </a:graphicData>
            </a:graphic>
          </wp:inline>
        </w:drawing>
      </w:r>
    </w:p>
    <w:p w14:paraId="5A9ACCAF" w14:textId="77777777" w:rsidR="00082694" w:rsidRPr="007B0866" w:rsidRDefault="00E7132B">
      <w:pPr>
        <w:spacing w:after="160"/>
        <w:jc w:val="center"/>
        <w:rPr>
          <w:b/>
          <w:bCs/>
        </w:rPr>
      </w:pPr>
      <w:r w:rsidRPr="007B0866">
        <w:rPr>
          <w:b/>
          <w:bCs/>
          <w:i/>
          <w:color w:val="505050"/>
          <w:sz w:val="18"/>
        </w:rPr>
        <w:t>Figure 16. Service ecosystem and physical evidence.</w:t>
      </w:r>
    </w:p>
    <w:p w14:paraId="7FAB2F8F" w14:textId="77777777" w:rsidR="00082694" w:rsidRPr="007B0866" w:rsidRDefault="00E7132B">
      <w:pPr>
        <w:pStyle w:val="Heading1"/>
        <w:spacing w:line="360" w:lineRule="auto"/>
        <w:jc w:val="both"/>
        <w:rPr>
          <w:rFonts w:eastAsia="Songti SC" w:cs="Times New Roman"/>
          <w:szCs w:val="24"/>
        </w:rPr>
      </w:pPr>
      <w:bookmarkStart w:id="19" w:name="_Toc234727977"/>
      <w:bookmarkStart w:id="20" w:name="_Toc234901567"/>
      <w:r w:rsidRPr="007B0866">
        <w:rPr>
          <w:rFonts w:eastAsia="Songti SC" w:cs="Times New Roman"/>
          <w:szCs w:val="24"/>
        </w:rPr>
        <w:lastRenderedPageBreak/>
        <w:t>Analysis of Toyota’s Market Entry Strategy in India</w:t>
      </w:r>
      <w:bookmarkEnd w:id="19"/>
      <w:bookmarkEnd w:id="20"/>
    </w:p>
    <w:p w14:paraId="654C86EB" w14:textId="77777777" w:rsidR="00082694" w:rsidRPr="007B0866" w:rsidRDefault="00E7132B">
      <w:pPr>
        <w:pStyle w:val="Heading2"/>
        <w:spacing w:line="360" w:lineRule="auto"/>
        <w:jc w:val="both"/>
        <w:rPr>
          <w:rFonts w:eastAsia="Songti SC" w:cs="Times New Roman"/>
          <w:szCs w:val="24"/>
        </w:rPr>
      </w:pPr>
      <w:bookmarkStart w:id="21" w:name="_Toc234727978"/>
      <w:bookmarkStart w:id="22" w:name="_Toc234901568"/>
      <w:r w:rsidRPr="007B0866">
        <w:rPr>
          <w:rFonts w:eastAsia="Songti SC" w:cs="Times New Roman"/>
          <w:szCs w:val="24"/>
        </w:rPr>
        <w:t>Entry mode and strategic rationale</w:t>
      </w:r>
      <w:bookmarkEnd w:id="21"/>
      <w:bookmarkEnd w:id="22"/>
    </w:p>
    <w:p w14:paraId="43E0DCE2" w14:textId="77777777" w:rsidR="00082694" w:rsidRPr="007B0866" w:rsidRDefault="00E7132B">
      <w:pPr>
        <w:spacing w:line="360" w:lineRule="auto"/>
        <w:jc w:val="both"/>
        <w:rPr>
          <w:rFonts w:eastAsia="Songti SC"/>
          <w:color w:val="000000"/>
          <w:kern w:val="0"/>
        </w:rPr>
      </w:pPr>
      <w:r w:rsidRPr="007B0866">
        <w:rPr>
          <w:rFonts w:eastAsia="Songti SC"/>
          <w:color w:val="000000"/>
          <w:kern w:val="0"/>
        </w:rPr>
        <w:t>Toyota entered India through Toyota Kirloskar Motor rather than relying on exports or licensing. The operation continues to be a majority equity joint venture, with Toyota holding 89% and Kirloskar 11%, and installed capacity is expected to reach around 342,000 vehicles by 2026 (World Auto Forum, 2026). This setup aligns well with the OLI paradigm, with Toyota bringing ownership benefits in production systems, engineering, and brand equity, and India offering market scale, manufacturing economies, and supplier strength. Internalisation helps safeguard knowledge that is sensitive to quality but more difficult to manage in arm's-length contracts. Institutional-distance research also confirms that entry into equity comes with additional costs and benefits because of host-country rules and informal practices (da Silva et al., 2024). The theory of transaction cost economics therefore helps to explain Toyota's approach to equity control for technology, tooling and quality routines that are highly asset-specific (Hennart, 2022). The Kirloskar relationship provides local legitimacy and administrative knowledge, minimising liabilities arising from formal and informal distance (Donnelly et al., 2024). The literature also suggests that distance can affect the foreign country choice and the requirement for embeddedness (CAGE, 2023). This logic is corroborated by meta-analytical findings, which indicate that ownership mode is linked to control, while greenfield establishment is linked to how firms integrate new and existing assets (Wan et al., 2023).</w:t>
      </w:r>
    </w:p>
    <w:p w14:paraId="24869914" w14:textId="77777777" w:rsidR="00082694" w:rsidRPr="007B0866" w:rsidRDefault="00E7132B">
      <w:pPr>
        <w:keepNext/>
        <w:spacing w:before="140" w:after="40"/>
        <w:jc w:val="center"/>
      </w:pPr>
      <w:r w:rsidRPr="007B0866">
        <w:rPr>
          <w:noProof/>
        </w:rPr>
        <w:drawing>
          <wp:inline distT="0" distB="0" distL="0" distR="0" wp14:anchorId="39AE2616" wp14:editId="6EDFBEDC">
            <wp:extent cx="5532120" cy="2343785"/>
            <wp:effectExtent l="12700" t="12700" r="5080" b="5715"/>
            <wp:docPr id="17" name="Picture 13" descr="Figure 17&#10;OLI rationale for Toyota’s Indian joint ven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3" descr="Figure 17&#10;OLI rationale for Toyota’s Indian joint venture."/>
                    <pic:cNvPicPr>
                      <a:picLocks noChangeAspect="1" noChangeArrowheads="1"/>
                    </pic:cNvPicPr>
                  </pic:nvPicPr>
                  <pic:blipFill>
                    <a:blip r:embed="rId24"/>
                    <a:stretch>
                      <a:fillRect/>
                    </a:stretch>
                  </pic:blipFill>
                  <pic:spPr bwMode="auto">
                    <a:xfrm>
                      <a:off x="0" y="0"/>
                      <a:ext cx="5532120" cy="2343785"/>
                    </a:xfrm>
                    <a:prstGeom prst="rect">
                      <a:avLst/>
                    </a:prstGeom>
                    <a:noFill/>
                    <a:ln>
                      <a:solidFill>
                        <a:schemeClr val="tx1"/>
                      </a:solidFill>
                    </a:ln>
                  </pic:spPr>
                </pic:pic>
              </a:graphicData>
            </a:graphic>
          </wp:inline>
        </w:drawing>
      </w:r>
    </w:p>
    <w:p w14:paraId="5AAB58F9" w14:textId="77777777" w:rsidR="00082694" w:rsidRPr="007B0866" w:rsidRDefault="00E7132B">
      <w:pPr>
        <w:spacing w:after="160"/>
        <w:jc w:val="center"/>
        <w:rPr>
          <w:b/>
          <w:bCs/>
        </w:rPr>
      </w:pPr>
      <w:r w:rsidRPr="007B0866">
        <w:rPr>
          <w:b/>
          <w:bCs/>
          <w:i/>
          <w:color w:val="505050"/>
          <w:sz w:val="18"/>
        </w:rPr>
        <w:t>Figure 17. OLI rationale for Toyota’s Indian joint venture.</w:t>
      </w:r>
    </w:p>
    <w:p w14:paraId="7A8137F2" w14:textId="77777777" w:rsidR="00082694" w:rsidRPr="007B0866" w:rsidRDefault="00E7132B">
      <w:pPr>
        <w:keepNext/>
        <w:spacing w:before="140" w:after="40"/>
        <w:jc w:val="center"/>
      </w:pPr>
      <w:r w:rsidRPr="007B0866">
        <w:rPr>
          <w:noProof/>
        </w:rPr>
        <w:lastRenderedPageBreak/>
        <w:drawing>
          <wp:inline distT="0" distB="0" distL="0" distR="0" wp14:anchorId="0C887616" wp14:editId="4A817AA6">
            <wp:extent cx="5532120" cy="2996565"/>
            <wp:effectExtent l="12700" t="12700" r="5080" b="635"/>
            <wp:docPr id="18" name="Picture 14" descr="Figure 18&#10;Transaction-cost entry-mode log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4" descr="Figure 18&#10;Transaction-cost entry-mode logic."/>
                    <pic:cNvPicPr>
                      <a:picLocks noChangeAspect="1" noChangeArrowheads="1"/>
                    </pic:cNvPicPr>
                  </pic:nvPicPr>
                  <pic:blipFill>
                    <a:blip r:embed="rId25"/>
                    <a:stretch>
                      <a:fillRect/>
                    </a:stretch>
                  </pic:blipFill>
                  <pic:spPr bwMode="auto">
                    <a:xfrm>
                      <a:off x="0" y="0"/>
                      <a:ext cx="5532120" cy="2996565"/>
                    </a:xfrm>
                    <a:prstGeom prst="rect">
                      <a:avLst/>
                    </a:prstGeom>
                    <a:noFill/>
                    <a:ln>
                      <a:solidFill>
                        <a:schemeClr val="tx1"/>
                      </a:solidFill>
                    </a:ln>
                  </pic:spPr>
                </pic:pic>
              </a:graphicData>
            </a:graphic>
          </wp:inline>
        </w:drawing>
      </w:r>
    </w:p>
    <w:p w14:paraId="4A4C49E8" w14:textId="77777777" w:rsidR="00082694" w:rsidRPr="007B0866" w:rsidRDefault="00E7132B">
      <w:pPr>
        <w:spacing w:after="160"/>
        <w:jc w:val="center"/>
        <w:rPr>
          <w:b/>
          <w:bCs/>
        </w:rPr>
      </w:pPr>
      <w:r w:rsidRPr="007B0866">
        <w:rPr>
          <w:b/>
          <w:bCs/>
          <w:i/>
          <w:color w:val="505050"/>
          <w:sz w:val="18"/>
        </w:rPr>
        <w:t>Figure 18. Transaction-cost entry-mode logic.</w:t>
      </w:r>
    </w:p>
    <w:p w14:paraId="6BBC2105" w14:textId="77777777" w:rsidR="00082694" w:rsidRPr="007B0866" w:rsidRDefault="00E7132B">
      <w:pPr>
        <w:pStyle w:val="Heading2"/>
        <w:spacing w:line="360" w:lineRule="auto"/>
        <w:jc w:val="both"/>
        <w:rPr>
          <w:rFonts w:eastAsia="Songti SC" w:cs="Times New Roman"/>
          <w:szCs w:val="24"/>
        </w:rPr>
      </w:pPr>
      <w:bookmarkStart w:id="23" w:name="_Toc234727979"/>
      <w:bookmarkStart w:id="24" w:name="_Toc234901569"/>
      <w:r w:rsidRPr="007B0866">
        <w:rPr>
          <w:rFonts w:eastAsia="Songti SC" w:cs="Times New Roman"/>
          <w:szCs w:val="24"/>
        </w:rPr>
        <w:t>Incremental commitment and alliance development</w:t>
      </w:r>
      <w:bookmarkEnd w:id="23"/>
      <w:bookmarkEnd w:id="24"/>
    </w:p>
    <w:p w14:paraId="2B4BB18E" w14:textId="77777777" w:rsidR="00082694" w:rsidRPr="007B0866" w:rsidRDefault="00E7132B">
      <w:pPr>
        <w:spacing w:line="360" w:lineRule="auto"/>
        <w:jc w:val="both"/>
        <w:rPr>
          <w:rFonts w:eastAsia="Songti SC"/>
          <w:color w:val="000000"/>
          <w:kern w:val="0"/>
        </w:rPr>
      </w:pPr>
      <w:r w:rsidRPr="007B0866">
        <w:rPr>
          <w:rFonts w:eastAsia="Songti SC"/>
          <w:color w:val="000000"/>
          <w:kern w:val="0"/>
        </w:rPr>
        <w:t>Toyota's expansion is similar to the Uppsala model in that it grew as its knowledge of the market, its supply chain, and its dealership experience increased. Recent Uppsala research is related to dynamic capabilities and experiential learning rather than a single and irreversible decision (Wu and Vahlne, 2022). Network internationalisation also shows that partner ties reduce outsidership (Qi et al., 2026). As a local graft, Kirloskar linked Toyota to labour, government and suppliers, a valuable connection when entering emerging markets (Safari et al., 2024). The joint venture established formal and informal communication channels which enhance organisational learning processes (Pak and Lee, 2023). Partner interaction can also be transformed into knowledge transfer within an international joint venture (IJV) via boundary-spanning commitment (Jiang et al., 2023). Toyota later followed up with local production via Suzuki. Suzuki-built cars make up around 60% of Toyota's sales in India, and Toyota intends to launch 15 new or updated cars by 2030, seeing a 2% increase in market share from 8% to 10% (Reuters, 2025). In Gujarat, resource complementarity is demonstrated by the agreement between Toyota and Suzuki for the production of a battery electric SUV developed by Suzuki for Toyota, as opposed to full internal development (Toyota Motor Corporation, 2024). This cuts down on the extension expenses, but reliance on rebranded items can diminish Toyota's ability to differentiate itself.</w:t>
      </w:r>
    </w:p>
    <w:p w14:paraId="11E76E47" w14:textId="77777777" w:rsidR="00082694" w:rsidRPr="007B0866" w:rsidRDefault="00E7132B">
      <w:pPr>
        <w:keepNext/>
        <w:spacing w:before="140" w:after="40"/>
        <w:jc w:val="center"/>
      </w:pPr>
      <w:r w:rsidRPr="007B0866">
        <w:rPr>
          <w:noProof/>
        </w:rPr>
        <w:lastRenderedPageBreak/>
        <w:drawing>
          <wp:inline distT="0" distB="0" distL="0" distR="0" wp14:anchorId="72443CA8" wp14:editId="3106379E">
            <wp:extent cx="5532120" cy="2343785"/>
            <wp:effectExtent l="12700" t="12700" r="5080" b="5715"/>
            <wp:docPr id="19" name="Picture 11" descr="Figure 19&#10;Uppsala learning and commitment path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1" descr="Figure 19&#10;Uppsala learning and commitment pathway."/>
                    <pic:cNvPicPr>
                      <a:picLocks noChangeAspect="1" noChangeArrowheads="1"/>
                    </pic:cNvPicPr>
                  </pic:nvPicPr>
                  <pic:blipFill>
                    <a:blip r:embed="rId26"/>
                    <a:stretch>
                      <a:fillRect/>
                    </a:stretch>
                  </pic:blipFill>
                  <pic:spPr bwMode="auto">
                    <a:xfrm>
                      <a:off x="0" y="0"/>
                      <a:ext cx="5532120" cy="2343785"/>
                    </a:xfrm>
                    <a:prstGeom prst="rect">
                      <a:avLst/>
                    </a:prstGeom>
                    <a:noFill/>
                    <a:ln>
                      <a:solidFill>
                        <a:schemeClr val="tx1"/>
                      </a:solidFill>
                    </a:ln>
                  </pic:spPr>
                </pic:pic>
              </a:graphicData>
            </a:graphic>
          </wp:inline>
        </w:drawing>
      </w:r>
    </w:p>
    <w:p w14:paraId="767E5D86" w14:textId="77777777" w:rsidR="00082694" w:rsidRPr="007B0866" w:rsidRDefault="00E7132B">
      <w:pPr>
        <w:spacing w:after="160"/>
        <w:jc w:val="center"/>
        <w:rPr>
          <w:b/>
          <w:bCs/>
        </w:rPr>
      </w:pPr>
      <w:r w:rsidRPr="007B0866">
        <w:rPr>
          <w:b/>
          <w:bCs/>
          <w:i/>
          <w:color w:val="505050"/>
          <w:sz w:val="18"/>
        </w:rPr>
        <w:t>Figure 19. Uppsala learning and commitment pathway.</w:t>
      </w:r>
    </w:p>
    <w:p w14:paraId="68D6E5AC" w14:textId="77777777" w:rsidR="00082694" w:rsidRPr="007B0866" w:rsidRDefault="00E7132B">
      <w:pPr>
        <w:keepNext/>
        <w:spacing w:before="140" w:after="40"/>
        <w:jc w:val="center"/>
      </w:pPr>
      <w:r w:rsidRPr="007B0866">
        <w:rPr>
          <w:noProof/>
        </w:rPr>
        <w:drawing>
          <wp:inline distT="0" distB="0" distL="0" distR="0" wp14:anchorId="7CE3572A" wp14:editId="01D584D8">
            <wp:extent cx="5532120" cy="2351405"/>
            <wp:effectExtent l="12700" t="12700" r="5080" b="0"/>
            <wp:docPr id="20" name="Picture 12" descr="Figure 20&#10;Toyota India alliance and embeddedness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2" descr="Figure 20&#10;Toyota India alliance and embeddedness network."/>
                    <pic:cNvPicPr>
                      <a:picLocks noChangeAspect="1" noChangeArrowheads="1"/>
                    </pic:cNvPicPr>
                  </pic:nvPicPr>
                  <pic:blipFill>
                    <a:blip r:embed="rId27"/>
                    <a:stretch>
                      <a:fillRect/>
                    </a:stretch>
                  </pic:blipFill>
                  <pic:spPr bwMode="auto">
                    <a:xfrm>
                      <a:off x="0" y="0"/>
                      <a:ext cx="5532120" cy="2351405"/>
                    </a:xfrm>
                    <a:prstGeom prst="rect">
                      <a:avLst/>
                    </a:prstGeom>
                    <a:noFill/>
                    <a:ln>
                      <a:solidFill>
                        <a:schemeClr val="tx1"/>
                      </a:solidFill>
                    </a:ln>
                  </pic:spPr>
                </pic:pic>
              </a:graphicData>
            </a:graphic>
          </wp:inline>
        </w:drawing>
      </w:r>
    </w:p>
    <w:p w14:paraId="1735EB67" w14:textId="77777777" w:rsidR="00082694" w:rsidRPr="007B0866" w:rsidRDefault="00E7132B">
      <w:pPr>
        <w:spacing w:after="160"/>
        <w:jc w:val="center"/>
        <w:rPr>
          <w:b/>
          <w:bCs/>
        </w:rPr>
      </w:pPr>
      <w:r w:rsidRPr="007B0866">
        <w:rPr>
          <w:b/>
          <w:bCs/>
          <w:i/>
          <w:color w:val="505050"/>
          <w:sz w:val="18"/>
        </w:rPr>
        <w:t>Figure 20. Toyota India alliance and embeddedness network.</w:t>
      </w:r>
    </w:p>
    <w:p w14:paraId="0A9481D3" w14:textId="77777777" w:rsidR="00082694" w:rsidRPr="007B0866" w:rsidRDefault="00E7132B">
      <w:pPr>
        <w:spacing w:line="360" w:lineRule="auto"/>
        <w:jc w:val="both"/>
        <w:rPr>
          <w:rFonts w:eastAsia="Songti SC"/>
          <w:color w:val="000000"/>
          <w:kern w:val="0"/>
        </w:rPr>
      </w:pPr>
      <w:r w:rsidRPr="007B0866">
        <w:rPr>
          <w:rFonts w:eastAsia="Songti SC"/>
          <w:color w:val="000000"/>
          <w:kern w:val="0"/>
        </w:rPr>
        <w:t xml:space="preserve">Toyota transformed its joint venture into a manufacturing and export platform. Toyota Kirloskar Motor recorded sales of 406,081 vehicles in FY2025/26, of which 38,974 were exported, an increase of 41% year on year (Toyota Kirloskar Motor, 2026). This helps to reinforce the resource-based perspective on the accumulation of production or supplier advantages that can become hard-to-copy. Dynamic capability research emphasises the need for firms to rearrange resources in response to shifting demand and technology (Brock and Hitt, 2024). Toyota's planned Bidkin facility will also be capable of producing 100,000 vehicles a year from the first half of 2029 and will have around 2,800 employees (Economic Times, 2026). The investment is a real option due to the staged capacity that allows flexibility while Toyota is monitoring the demand, regulation risk, and powertrain uncertainty (Alinasab and Hunt, 2025). Portfolio-based real-options theory justifies the use of joint ventures, alliances and owned production, rather than </w:t>
      </w:r>
      <w:r w:rsidRPr="007B0866">
        <w:rPr>
          <w:rFonts w:eastAsia="Songti SC"/>
          <w:color w:val="000000"/>
          <w:kern w:val="0"/>
        </w:rPr>
        <w:lastRenderedPageBreak/>
        <w:t>opting for one permanent approach (Trigeorgis and Miller, 2025). By 2030, India is set to see automotive-component manufacturing grow to US$145 billion, thus reinforcing Toyota's localisation and export strategy (NITI Aayog, 2025). The global value-chain evidence indicates that joint-venture technology transfer can facilitate upgrading in the host country (Jiang et al., 2024). Nevertheless, deeper localisation should avoid excessive single-country exposure because geopolitical disruption rewards diversified supply networks (WTO, 2025).</w:t>
      </w:r>
    </w:p>
    <w:p w14:paraId="7E451FFD" w14:textId="77777777" w:rsidR="00082694" w:rsidRPr="007B0866" w:rsidRDefault="00E7132B">
      <w:pPr>
        <w:keepNext/>
        <w:spacing w:before="140" w:after="40"/>
        <w:jc w:val="center"/>
      </w:pPr>
      <w:r w:rsidRPr="007B0866">
        <w:rPr>
          <w:noProof/>
        </w:rPr>
        <w:drawing>
          <wp:inline distT="0" distB="0" distL="0" distR="0" wp14:anchorId="1AE94678" wp14:editId="395D1008">
            <wp:extent cx="5532120" cy="2343785"/>
            <wp:effectExtent l="12700" t="12700" r="5080" b="5715"/>
            <wp:docPr id="21" name="Picture 9" descr="Figure 21&#10;Commitment and scale trajectory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9" descr="Figure 21&#10;Commitment and scale trajectory in India."/>
                    <pic:cNvPicPr>
                      <a:picLocks noChangeAspect="1" noChangeArrowheads="1"/>
                    </pic:cNvPicPr>
                  </pic:nvPicPr>
                  <pic:blipFill>
                    <a:blip r:embed="rId28"/>
                    <a:stretch>
                      <a:fillRect/>
                    </a:stretch>
                  </pic:blipFill>
                  <pic:spPr bwMode="auto">
                    <a:xfrm>
                      <a:off x="0" y="0"/>
                      <a:ext cx="5532120" cy="2343785"/>
                    </a:xfrm>
                    <a:prstGeom prst="rect">
                      <a:avLst/>
                    </a:prstGeom>
                    <a:noFill/>
                    <a:ln>
                      <a:solidFill>
                        <a:schemeClr val="tx1"/>
                      </a:solidFill>
                    </a:ln>
                  </pic:spPr>
                </pic:pic>
              </a:graphicData>
            </a:graphic>
          </wp:inline>
        </w:drawing>
      </w:r>
    </w:p>
    <w:p w14:paraId="3CE930C9" w14:textId="77777777" w:rsidR="00082694" w:rsidRPr="007B0866" w:rsidRDefault="00E7132B">
      <w:pPr>
        <w:spacing w:after="160"/>
        <w:jc w:val="center"/>
        <w:rPr>
          <w:b/>
          <w:bCs/>
        </w:rPr>
      </w:pPr>
      <w:r w:rsidRPr="007B0866">
        <w:rPr>
          <w:b/>
          <w:bCs/>
          <w:i/>
          <w:color w:val="505050"/>
          <w:sz w:val="18"/>
        </w:rPr>
        <w:t>Figure 21. Commitment and scale trajectory in India.</w:t>
      </w:r>
    </w:p>
    <w:p w14:paraId="59015CDE" w14:textId="77777777" w:rsidR="00082694" w:rsidRPr="007B0866" w:rsidRDefault="00E7132B">
      <w:pPr>
        <w:keepNext/>
        <w:spacing w:before="140" w:after="40"/>
        <w:jc w:val="center"/>
      </w:pPr>
      <w:r w:rsidRPr="007B0866">
        <w:rPr>
          <w:noProof/>
        </w:rPr>
        <w:drawing>
          <wp:inline distT="0" distB="0" distL="0" distR="0" wp14:anchorId="1638F665" wp14:editId="30A602D3">
            <wp:extent cx="5532120" cy="1975485"/>
            <wp:effectExtent l="12700" t="12700" r="5080" b="5715"/>
            <wp:docPr id="22" name="Picture 10" descr="Figure 22&#10;Real-options logic for staged inves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0" descr="Figure 22&#10;Real-options logic for staged investment."/>
                    <pic:cNvPicPr>
                      <a:picLocks noChangeAspect="1" noChangeArrowheads="1"/>
                    </pic:cNvPicPr>
                  </pic:nvPicPr>
                  <pic:blipFill>
                    <a:blip r:embed="rId29"/>
                    <a:stretch>
                      <a:fillRect/>
                    </a:stretch>
                  </pic:blipFill>
                  <pic:spPr bwMode="auto">
                    <a:xfrm>
                      <a:off x="0" y="0"/>
                      <a:ext cx="5532120" cy="1975485"/>
                    </a:xfrm>
                    <a:prstGeom prst="rect">
                      <a:avLst/>
                    </a:prstGeom>
                    <a:noFill/>
                    <a:ln>
                      <a:solidFill>
                        <a:schemeClr val="tx1"/>
                      </a:solidFill>
                    </a:ln>
                  </pic:spPr>
                </pic:pic>
              </a:graphicData>
            </a:graphic>
          </wp:inline>
        </w:drawing>
      </w:r>
    </w:p>
    <w:p w14:paraId="2454A64A" w14:textId="77777777" w:rsidR="00082694" w:rsidRPr="007B0866" w:rsidRDefault="00E7132B">
      <w:pPr>
        <w:spacing w:after="160"/>
        <w:jc w:val="center"/>
        <w:rPr>
          <w:b/>
          <w:bCs/>
        </w:rPr>
      </w:pPr>
      <w:r w:rsidRPr="007B0866">
        <w:rPr>
          <w:b/>
          <w:bCs/>
          <w:i/>
          <w:color w:val="505050"/>
          <w:sz w:val="18"/>
        </w:rPr>
        <w:t>Figure 22. Real-options logic for staged investment.</w:t>
      </w:r>
    </w:p>
    <w:p w14:paraId="5E7C1F1A" w14:textId="77777777" w:rsidR="00082694" w:rsidRPr="007B0866" w:rsidRDefault="00E7132B">
      <w:pPr>
        <w:pStyle w:val="Heading2"/>
        <w:spacing w:line="360" w:lineRule="auto"/>
        <w:jc w:val="both"/>
        <w:rPr>
          <w:rFonts w:eastAsia="Songti SC" w:cs="Times New Roman"/>
          <w:szCs w:val="24"/>
        </w:rPr>
      </w:pPr>
      <w:bookmarkStart w:id="25" w:name="_Toc234727980"/>
      <w:bookmarkStart w:id="26" w:name="_Toc234901570"/>
      <w:r w:rsidRPr="007B0866">
        <w:rPr>
          <w:rFonts w:eastAsia="Songti SC" w:cs="Times New Roman"/>
          <w:szCs w:val="24"/>
        </w:rPr>
        <w:t>Critical evaluation and future direction</w:t>
      </w:r>
      <w:bookmarkEnd w:id="25"/>
      <w:bookmarkEnd w:id="26"/>
    </w:p>
    <w:p w14:paraId="5AC20774" w14:textId="77777777" w:rsidR="00082694" w:rsidRPr="007B0866" w:rsidRDefault="00E7132B">
      <w:pPr>
        <w:spacing w:line="360" w:lineRule="auto"/>
        <w:jc w:val="both"/>
        <w:rPr>
          <w:rFonts w:eastAsia="Songti SC"/>
          <w:color w:val="000000"/>
          <w:kern w:val="0"/>
        </w:rPr>
      </w:pPr>
      <w:r w:rsidRPr="007B0866">
        <w:rPr>
          <w:rFonts w:eastAsia="Songti SC"/>
          <w:color w:val="000000"/>
          <w:kern w:val="0"/>
        </w:rPr>
        <w:t xml:space="preserve">Toyota's entry mode provided control, legitimacy and learning; the next step is tighter governance. International-joint-venture research finds that complementary resources reduce uncertainty, although partner conflict can destabilise performance (Liu et al., 2024). In knowledge transfer research, there is a tension between collaboration and the protection of proprietary capabilities (Kim et al., 2024). When routines facilitate absorption, explicit and tacit </w:t>
      </w:r>
      <w:r w:rsidRPr="007B0866">
        <w:rPr>
          <w:rFonts w:eastAsia="Songti SC"/>
          <w:color w:val="000000"/>
          <w:kern w:val="0"/>
        </w:rPr>
        <w:lastRenderedPageBreak/>
        <w:t>transfer can enhance joint-venture innovativeness (Park et al., 2022). On the other hand, the risk of leakage can be warranted under higher technology dynamism (Hu, 2023). Host country risk would be mitigated by Toyota's experience, but joint-venture age can't be substituted for strategic renewal (Aib, 2024). Toyota's multi-powertrain strategy is also supported by market conditions, as India's passenger-vehicle sales for June 2026 were 40.35% alternative-fuel vehicles, including 8.3% hybrids (Reuters, 2026). Toyota should retain the joint venture, strengthen local battery and software capabilities, and grant the Indian subsidiary greater product-development autonomy. Subsidiary autonomy can enhance innovation when paired with reverse knowledge transfer (Park and Buccieri, 2026). India then may become a competence and an export hub in the region rather than just an assembly base. This logic is more appropriate than thinking of entry mode as a binary choice between exports and domestic sales (Brouthers et al., 2022; Shaheer et al., 2026).</w:t>
      </w:r>
    </w:p>
    <w:p w14:paraId="60A4D344" w14:textId="77777777" w:rsidR="00082694" w:rsidRPr="007B0866" w:rsidRDefault="00E7132B">
      <w:pPr>
        <w:pStyle w:val="Heading1"/>
        <w:spacing w:line="360" w:lineRule="auto"/>
        <w:jc w:val="both"/>
        <w:rPr>
          <w:rFonts w:eastAsia="Songti SC" w:cs="Times New Roman"/>
          <w:szCs w:val="24"/>
        </w:rPr>
      </w:pPr>
      <w:bookmarkStart w:id="27" w:name="_Toc234727981"/>
      <w:bookmarkStart w:id="28" w:name="_Toc234901571"/>
      <w:r w:rsidRPr="007B0866">
        <w:rPr>
          <w:rFonts w:eastAsia="Songti SC" w:cs="Times New Roman"/>
          <w:szCs w:val="24"/>
        </w:rPr>
        <w:t>Evaluation of Ethical Issues in Toyota’s Japanese Marketing Mix</w:t>
      </w:r>
      <w:bookmarkEnd w:id="27"/>
      <w:bookmarkEnd w:id="28"/>
    </w:p>
    <w:p w14:paraId="2E49C7A6" w14:textId="77777777" w:rsidR="00082694" w:rsidRPr="007B0866" w:rsidRDefault="00E7132B">
      <w:pPr>
        <w:pStyle w:val="Heading2"/>
        <w:spacing w:line="360" w:lineRule="auto"/>
        <w:jc w:val="both"/>
        <w:rPr>
          <w:rFonts w:eastAsia="Songti SC" w:cs="Times New Roman"/>
          <w:szCs w:val="24"/>
        </w:rPr>
      </w:pPr>
      <w:bookmarkStart w:id="29" w:name="_Toc234727982"/>
      <w:bookmarkStart w:id="30" w:name="_Toc234901572"/>
      <w:r w:rsidRPr="007B0866">
        <w:rPr>
          <w:rFonts w:eastAsia="Songti SC" w:cs="Times New Roman"/>
          <w:szCs w:val="24"/>
        </w:rPr>
        <w:t>Nature and seriousness of the ethical breach</w:t>
      </w:r>
      <w:bookmarkEnd w:id="29"/>
      <w:bookmarkEnd w:id="30"/>
    </w:p>
    <w:p w14:paraId="5F7CED04" w14:textId="77777777" w:rsidR="00082694" w:rsidRPr="007B0866" w:rsidRDefault="00E7132B">
      <w:pPr>
        <w:spacing w:line="360" w:lineRule="auto"/>
        <w:jc w:val="both"/>
        <w:rPr>
          <w:rFonts w:eastAsia="Songti SC"/>
          <w:color w:val="000000"/>
          <w:kern w:val="0"/>
        </w:rPr>
      </w:pPr>
      <w:r w:rsidRPr="007B0866">
        <w:rPr>
          <w:rFonts w:eastAsia="Songti SC"/>
          <w:color w:val="000000"/>
          <w:kern w:val="0"/>
        </w:rPr>
        <w:t>Toyota's Japanese certification failure uncovered a substantive ethical issue – product, process and promotion. The investigation revealed that there were not enough pedestrian and occupant-protection data for three current models or correct testing methods for four discontinued models (Toyota Motor Corporation, 2024a). The transport ministry later discovered that widespread, deliberate fraud had occurred in seven other models and called for sweeping changes (Reuters, 2024). Toyota suspended the production of the Corolla Fielder, Corolla Axio and Yaris Cross, stating that it was not only affecting its regulatory paperwork but also market availability as well (Associated Press, 2024). Deontological ethics would deem it unethical to use non-compliant evidence because certification responsibilities are to the benefit of the consumer, not whether or not the cars meet safety standards. The stakeholder theory prioritises customer safety and customer disclosure above all else, above launch deadlines. Product-crisis research indicates that negative effects are amplified when performance and safety are involved, particularly in uncertainty-avoidant cultures like Japan (Yang et al., 2022). Brand morality calls for actions beyond mere legality, especially towards consumers, which involve honesty, as noted by Wei et al. 2025). Toyota thus had a legitimacy and performance crisis, as its actions challenged the trust placed in its quality positioning (Lim et al., 2026).</w:t>
      </w:r>
    </w:p>
    <w:p w14:paraId="569D97C1" w14:textId="77777777" w:rsidR="00082694" w:rsidRPr="007B0866" w:rsidRDefault="00E7132B">
      <w:pPr>
        <w:keepNext/>
        <w:spacing w:before="140" w:after="40"/>
        <w:jc w:val="center"/>
      </w:pPr>
      <w:r w:rsidRPr="007B0866">
        <w:rPr>
          <w:noProof/>
        </w:rPr>
        <w:lastRenderedPageBreak/>
        <w:drawing>
          <wp:inline distT="0" distB="0" distL="0" distR="0" wp14:anchorId="23D4B58F" wp14:editId="5034481F">
            <wp:extent cx="5532120" cy="2343785"/>
            <wp:effectExtent l="12700" t="12700" r="5080" b="5715"/>
            <wp:docPr id="23" name="Picture 8" descr="Figure 23&#10;Toyota Japan certification crisis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8" descr="Figure 23&#10;Toyota Japan certification crisis timeline."/>
                    <pic:cNvPicPr>
                      <a:picLocks noChangeAspect="1" noChangeArrowheads="1"/>
                    </pic:cNvPicPr>
                  </pic:nvPicPr>
                  <pic:blipFill>
                    <a:blip r:embed="rId30"/>
                    <a:stretch>
                      <a:fillRect/>
                    </a:stretch>
                  </pic:blipFill>
                  <pic:spPr bwMode="auto">
                    <a:xfrm>
                      <a:off x="0" y="0"/>
                      <a:ext cx="5532120" cy="2343785"/>
                    </a:xfrm>
                    <a:prstGeom prst="rect">
                      <a:avLst/>
                    </a:prstGeom>
                    <a:noFill/>
                    <a:ln>
                      <a:solidFill>
                        <a:schemeClr val="tx1"/>
                      </a:solidFill>
                    </a:ln>
                  </pic:spPr>
                </pic:pic>
              </a:graphicData>
            </a:graphic>
          </wp:inline>
        </w:drawing>
      </w:r>
    </w:p>
    <w:p w14:paraId="76D3B721" w14:textId="77777777" w:rsidR="00082694" w:rsidRPr="007B0866" w:rsidRDefault="00E7132B">
      <w:pPr>
        <w:spacing w:after="160"/>
        <w:jc w:val="center"/>
        <w:rPr>
          <w:b/>
          <w:bCs/>
        </w:rPr>
      </w:pPr>
      <w:r w:rsidRPr="007B0866">
        <w:rPr>
          <w:b/>
          <w:bCs/>
          <w:i/>
          <w:color w:val="505050"/>
          <w:sz w:val="18"/>
        </w:rPr>
        <w:t>Figure 23. Toyota Japan certification crisis timeline.</w:t>
      </w:r>
    </w:p>
    <w:p w14:paraId="33255C08" w14:textId="77777777" w:rsidR="00082694" w:rsidRPr="007B0866" w:rsidRDefault="00E7132B">
      <w:pPr>
        <w:pStyle w:val="Heading2"/>
        <w:spacing w:line="360" w:lineRule="auto"/>
        <w:jc w:val="both"/>
        <w:rPr>
          <w:rFonts w:eastAsia="Songti SC" w:cs="Times New Roman"/>
          <w:szCs w:val="24"/>
        </w:rPr>
      </w:pPr>
      <w:bookmarkStart w:id="31" w:name="_Toc234727983"/>
      <w:bookmarkStart w:id="32" w:name="_Toc234901573"/>
      <w:r w:rsidRPr="007B0866">
        <w:rPr>
          <w:rFonts w:eastAsia="Songti SC" w:cs="Times New Roman"/>
          <w:szCs w:val="24"/>
        </w:rPr>
        <w:t>Marketing-mix implications</w:t>
      </w:r>
      <w:bookmarkEnd w:id="31"/>
      <w:bookmarkEnd w:id="32"/>
    </w:p>
    <w:p w14:paraId="3B488017" w14:textId="77777777" w:rsidR="00082694" w:rsidRPr="007B0866" w:rsidRDefault="00E7132B">
      <w:pPr>
        <w:spacing w:line="360" w:lineRule="auto"/>
        <w:jc w:val="both"/>
        <w:rPr>
          <w:rFonts w:eastAsia="Songti SC"/>
          <w:color w:val="000000"/>
          <w:kern w:val="0"/>
        </w:rPr>
      </w:pPr>
      <w:r w:rsidRPr="007B0866">
        <w:rPr>
          <w:rFonts w:eastAsia="Songti SC"/>
          <w:color w:val="000000"/>
          <w:kern w:val="0"/>
        </w:rPr>
        <w:t>The most serious ethical impact was on the product, process and physical evidence. Type-approval records are physical evidence to uphold Toyota's safety and quality commitments. The certification process was not consistently capable of verifying promotional claims due to unclear internal rules, insufficient resources, weak data control, and a lack of management involvement (Toyota Motor Corporation, 2024b). Engineers and certification staff did not have governance support. For places, suspended shipments stifled dealer availability and shifted the burden to customers. The price was indirectly affected because the buyers paid for a quality premium, but they did not get fully trustworthy evidence of quality. Attribution theory indicates that consumers use online communities to determine responsibility and decide whether forgiveness is justified (Casey et al., 2024). Research also indicates that negative perceptions of opportunism have negative consequences on brand personality, brand loyalty and repurchase intentions (Hussain et al., 2025). It was not proven to be greenwashing, but to create a similar disclosure-performance divide in which communicated quality was not backed up by the integrity of underlying verification. This perceived gap may lead to reputational harm and brand hatred (Santos et al., 2024). The study on misleading corporate claims reveals higher market punishments for concrete evidence, specifically for manufacturing companies operating in markets in Asia-Pacific (Xu et al., 2025). Toyota's ethical liability therefore, went beyond the law to include fairness, informed choice, and truthful positioning.</w:t>
      </w:r>
    </w:p>
    <w:p w14:paraId="6766BC62" w14:textId="77777777" w:rsidR="00082694" w:rsidRPr="007B0866" w:rsidRDefault="00E7132B">
      <w:pPr>
        <w:keepNext/>
        <w:spacing w:before="140" w:after="40"/>
        <w:jc w:val="center"/>
      </w:pPr>
      <w:r w:rsidRPr="007B0866">
        <w:rPr>
          <w:noProof/>
        </w:rPr>
        <w:lastRenderedPageBreak/>
        <w:drawing>
          <wp:inline distT="0" distB="0" distL="0" distR="0" wp14:anchorId="434D84BF" wp14:editId="55FE4526">
            <wp:extent cx="5532120" cy="3198495"/>
            <wp:effectExtent l="12700" t="12700" r="5080" b="1905"/>
            <wp:docPr id="24" name="Picture 7" descr="Figure 24&#10;Ethical impact across the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7" descr="Figure 24&#10;Ethical impact across the marketing mix."/>
                    <pic:cNvPicPr>
                      <a:picLocks noChangeAspect="1" noChangeArrowheads="1"/>
                    </pic:cNvPicPr>
                  </pic:nvPicPr>
                  <pic:blipFill>
                    <a:blip r:embed="rId31"/>
                    <a:stretch>
                      <a:fillRect/>
                    </a:stretch>
                  </pic:blipFill>
                  <pic:spPr bwMode="auto">
                    <a:xfrm>
                      <a:off x="0" y="0"/>
                      <a:ext cx="5532120" cy="3198495"/>
                    </a:xfrm>
                    <a:prstGeom prst="rect">
                      <a:avLst/>
                    </a:prstGeom>
                    <a:noFill/>
                    <a:ln>
                      <a:solidFill>
                        <a:schemeClr val="tx1"/>
                      </a:solidFill>
                    </a:ln>
                  </pic:spPr>
                </pic:pic>
              </a:graphicData>
            </a:graphic>
          </wp:inline>
        </w:drawing>
      </w:r>
    </w:p>
    <w:p w14:paraId="6B55E71F" w14:textId="77777777" w:rsidR="00082694" w:rsidRPr="007B0866" w:rsidRDefault="00E7132B">
      <w:pPr>
        <w:spacing w:after="160"/>
        <w:jc w:val="center"/>
        <w:rPr>
          <w:b/>
          <w:bCs/>
        </w:rPr>
      </w:pPr>
      <w:r w:rsidRPr="007B0866">
        <w:rPr>
          <w:b/>
          <w:bCs/>
          <w:i/>
          <w:color w:val="505050"/>
          <w:sz w:val="18"/>
        </w:rPr>
        <w:t>Figure 24. Ethical impact across the marketing mix.</w:t>
      </w:r>
    </w:p>
    <w:p w14:paraId="59908333" w14:textId="77777777" w:rsidR="00082694" w:rsidRPr="007B0866" w:rsidRDefault="00E7132B">
      <w:pPr>
        <w:spacing w:line="360" w:lineRule="auto"/>
        <w:jc w:val="both"/>
        <w:rPr>
          <w:rFonts w:eastAsia="Songti SC"/>
          <w:color w:val="000000"/>
          <w:kern w:val="0"/>
        </w:rPr>
      </w:pPr>
      <w:r w:rsidRPr="007B0866">
        <w:rPr>
          <w:rFonts w:eastAsia="Songti SC"/>
          <w:color w:val="000000"/>
          <w:kern w:val="0"/>
        </w:rPr>
        <w:t>Toyota’s response improved the ethical position but did not erase the original breach. Its fourth progress report, in September 2025, included a response to the question of management responsibility, operational rules and record-keeping, and human resources development, in which it moved from apology to structural correction (Toyota Motor Corporation, 2025). When consumers take apologies as a credible signal that it is unlikely to happen again, they can restore trust (Hornsey et al., 2024). The evidence, however, from capital markets suggests that apologies have mixed effects, especially when there is ambiguity about responsibility and remediation (Fan et al., 2023). Therefore, good negative public image management needs to be done proactively rather than by communicating about the company's reputation (Hettiarachchige et al., 2025). Toyota's Japanese vehicle sales rose 4.6% to 2.082 million units in FY26, while Japanese operating income declined 26.3% to ¥2.321 trillion. Ethical legitimacy is not restored through commercial resilience (Toyota Motor Corporation, 2026a). Toyota also held over 900 investor conversations during FY2026, which helped enhance its engagement efforts but did not independently support certification reform (Toyota Motor Corporation, 2026b). The moral question, then, should be considered significant and current. Toyota should share third-party audit results, remove certification authority from goals, secure employee escalation, reward customers who are clearly impacted and tie executive bonuses to independent confirmation of compliance.</w:t>
      </w:r>
    </w:p>
    <w:p w14:paraId="18062DCC" w14:textId="77777777" w:rsidR="00082694" w:rsidRPr="007B0866" w:rsidRDefault="00E7132B">
      <w:pPr>
        <w:keepNext/>
        <w:spacing w:before="140" w:after="40"/>
        <w:jc w:val="center"/>
      </w:pPr>
      <w:r w:rsidRPr="007B0866">
        <w:rPr>
          <w:noProof/>
        </w:rPr>
        <w:lastRenderedPageBreak/>
        <w:drawing>
          <wp:inline distT="0" distB="0" distL="0" distR="0" wp14:anchorId="2DC96EA0" wp14:editId="69AC07FD">
            <wp:extent cx="5532120" cy="2358390"/>
            <wp:effectExtent l="12700" t="12700" r="5080" b="3810"/>
            <wp:docPr id="25" name="Picture 6" descr="Figure 25&#10;Stakeholder trust and legitimacy reco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6" descr="Figure 25&#10;Stakeholder trust and legitimacy recovery."/>
                    <pic:cNvPicPr>
                      <a:picLocks noChangeAspect="1" noChangeArrowheads="1"/>
                    </pic:cNvPicPr>
                  </pic:nvPicPr>
                  <pic:blipFill>
                    <a:blip r:embed="rId32"/>
                    <a:stretch>
                      <a:fillRect/>
                    </a:stretch>
                  </pic:blipFill>
                  <pic:spPr bwMode="auto">
                    <a:xfrm>
                      <a:off x="0" y="0"/>
                      <a:ext cx="5532120" cy="2358390"/>
                    </a:xfrm>
                    <a:prstGeom prst="rect">
                      <a:avLst/>
                    </a:prstGeom>
                    <a:noFill/>
                    <a:ln>
                      <a:solidFill>
                        <a:schemeClr val="tx1"/>
                      </a:solidFill>
                    </a:ln>
                  </pic:spPr>
                </pic:pic>
              </a:graphicData>
            </a:graphic>
          </wp:inline>
        </w:drawing>
      </w:r>
    </w:p>
    <w:p w14:paraId="40179EA9" w14:textId="77777777" w:rsidR="00082694" w:rsidRPr="007B0866" w:rsidRDefault="00E7132B">
      <w:pPr>
        <w:spacing w:after="160"/>
        <w:jc w:val="center"/>
        <w:rPr>
          <w:b/>
          <w:bCs/>
        </w:rPr>
      </w:pPr>
      <w:r w:rsidRPr="007B0866">
        <w:rPr>
          <w:b/>
          <w:bCs/>
          <w:i/>
          <w:color w:val="505050"/>
          <w:sz w:val="18"/>
        </w:rPr>
        <w:t>Figure 25. Stakeholder trust and legitimacy recovery.</w:t>
      </w:r>
    </w:p>
    <w:p w14:paraId="652E9208" w14:textId="77777777" w:rsidR="00082694" w:rsidRPr="007B0866" w:rsidRDefault="00E7132B">
      <w:pPr>
        <w:pStyle w:val="Heading1"/>
        <w:spacing w:line="360" w:lineRule="auto"/>
        <w:jc w:val="both"/>
        <w:rPr>
          <w:rFonts w:eastAsia="Songti SC" w:cs="Times New Roman"/>
          <w:szCs w:val="24"/>
        </w:rPr>
      </w:pPr>
      <w:bookmarkStart w:id="33" w:name="_Toc234727984"/>
      <w:bookmarkStart w:id="34" w:name="_Toc234901574"/>
      <w:r w:rsidRPr="007B0866">
        <w:rPr>
          <w:rFonts w:eastAsia="Songti SC" w:cs="Times New Roman"/>
          <w:szCs w:val="24"/>
        </w:rPr>
        <w:t>Recommendations for Toyota’s International Marketing Strategy</w:t>
      </w:r>
      <w:bookmarkEnd w:id="33"/>
      <w:bookmarkEnd w:id="34"/>
    </w:p>
    <w:p w14:paraId="46A5388A" w14:textId="77777777" w:rsidR="00082694" w:rsidRPr="007B0866" w:rsidRDefault="00E7132B">
      <w:pPr>
        <w:pStyle w:val="Heading2"/>
        <w:spacing w:line="360" w:lineRule="auto"/>
        <w:jc w:val="both"/>
        <w:rPr>
          <w:rFonts w:eastAsia="Songti SC" w:cs="Times New Roman"/>
          <w:szCs w:val="24"/>
        </w:rPr>
      </w:pPr>
      <w:bookmarkStart w:id="35" w:name="_Toc234727985"/>
      <w:bookmarkStart w:id="36" w:name="_Toc234901575"/>
      <w:r w:rsidRPr="007B0866">
        <w:rPr>
          <w:rFonts w:eastAsia="Songti SC" w:cs="Times New Roman"/>
          <w:szCs w:val="24"/>
        </w:rPr>
        <w:t>Market and portfolio strategy</w:t>
      </w:r>
      <w:bookmarkEnd w:id="35"/>
      <w:bookmarkEnd w:id="36"/>
    </w:p>
    <w:p w14:paraId="4B76D4BB" w14:textId="77777777" w:rsidR="00082694" w:rsidRPr="007B0866" w:rsidRDefault="00E7132B">
      <w:pPr>
        <w:spacing w:line="360" w:lineRule="auto"/>
        <w:jc w:val="both"/>
        <w:rPr>
          <w:rFonts w:eastAsia="Songti SC"/>
          <w:color w:val="000000"/>
          <w:kern w:val="0"/>
        </w:rPr>
      </w:pPr>
      <w:r w:rsidRPr="007B0866">
        <w:rPr>
          <w:rFonts w:eastAsia="Songti SC"/>
          <w:color w:val="000000"/>
          <w:kern w:val="0"/>
        </w:rPr>
        <w:t>Toyota must implement a transnational strategy where they standardise reliability and tailor the product, price and communication to each market. The relational-fit theory does not present a dichotomy between standardisation and adaptation, but emphasises the need for a carefully considered localisation approach that correlates with better foreign market performance (Poulis, 2024; Tsougkou et al., 2025). Toyota should focus on under ₹20 lakh hybrid and compact electric SUVs in India, while also offering battery leasing, fixed resale options and clear total cost calculation tools. This is required because about 65% of Indian passenger cars are priced under $13,200, but only 1.6% of the cars in that price range are EVs (Reuters, 2026). The availability of charging stations, concerns about battery life, and range anxiety continue to be tangible hurdles to adoption; campaigns should show actual range and home-charging costs, not environmental symbolism (Pandey et al., 2025). Toyota should also create regional media, local-language content and mobile service units for tier-two and rural markets. This Toyota workforce programme needs to be part of their brand proposition as Toyota trainees picked up 9 medals at IndiaSkills 2025–26, offering credible evidence of service capability (Toyota Kirloskar Motor, 2026). This would make it more affordable, accessible and locally legitimate without compromising Toyota's global quality image.</w:t>
      </w:r>
    </w:p>
    <w:p w14:paraId="28CBF888" w14:textId="77777777" w:rsidR="00082694" w:rsidRPr="007B0866" w:rsidRDefault="00E7132B">
      <w:pPr>
        <w:keepNext/>
        <w:spacing w:before="140" w:after="40"/>
        <w:jc w:val="center"/>
      </w:pPr>
      <w:r w:rsidRPr="007B0866">
        <w:rPr>
          <w:noProof/>
        </w:rPr>
        <w:lastRenderedPageBreak/>
        <w:drawing>
          <wp:inline distT="0" distB="0" distL="0" distR="0" wp14:anchorId="285EF021" wp14:editId="3CBC9464">
            <wp:extent cx="5532120" cy="2343785"/>
            <wp:effectExtent l="12700" t="12700" r="5080" b="5715"/>
            <wp:docPr id="26" name="Picture 5" descr="Figure 26&#10;Recommended international marketing road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5" descr="Figure 26&#10;Recommended international marketing roadmap."/>
                    <pic:cNvPicPr>
                      <a:picLocks noChangeAspect="1" noChangeArrowheads="1"/>
                    </pic:cNvPicPr>
                  </pic:nvPicPr>
                  <pic:blipFill>
                    <a:blip r:embed="rId33"/>
                    <a:stretch>
                      <a:fillRect/>
                    </a:stretch>
                  </pic:blipFill>
                  <pic:spPr bwMode="auto">
                    <a:xfrm>
                      <a:off x="0" y="0"/>
                      <a:ext cx="5532120" cy="2343785"/>
                    </a:xfrm>
                    <a:prstGeom prst="rect">
                      <a:avLst/>
                    </a:prstGeom>
                    <a:noFill/>
                    <a:ln>
                      <a:solidFill>
                        <a:schemeClr val="tx1"/>
                      </a:solidFill>
                    </a:ln>
                  </pic:spPr>
                </pic:pic>
              </a:graphicData>
            </a:graphic>
          </wp:inline>
        </w:drawing>
      </w:r>
    </w:p>
    <w:p w14:paraId="340A30C8" w14:textId="77777777" w:rsidR="00082694" w:rsidRPr="007B0866" w:rsidRDefault="00E7132B">
      <w:pPr>
        <w:spacing w:after="160"/>
        <w:jc w:val="center"/>
        <w:rPr>
          <w:b/>
          <w:bCs/>
        </w:rPr>
      </w:pPr>
      <w:r w:rsidRPr="007B0866">
        <w:rPr>
          <w:b/>
          <w:bCs/>
          <w:i/>
          <w:color w:val="505050"/>
          <w:sz w:val="18"/>
        </w:rPr>
        <w:t>Figure 26. Recommended international marketing roadmap.</w:t>
      </w:r>
    </w:p>
    <w:p w14:paraId="05FE250D" w14:textId="77777777" w:rsidR="00082694" w:rsidRPr="007B0866" w:rsidRDefault="00E7132B">
      <w:pPr>
        <w:pStyle w:val="Heading2"/>
        <w:spacing w:line="360" w:lineRule="auto"/>
        <w:jc w:val="both"/>
        <w:rPr>
          <w:rFonts w:eastAsia="Songti SC" w:cs="Times New Roman"/>
          <w:szCs w:val="24"/>
        </w:rPr>
      </w:pPr>
      <w:bookmarkStart w:id="37" w:name="_Toc234727986"/>
      <w:bookmarkStart w:id="38" w:name="_Toc234901576"/>
      <w:r w:rsidRPr="007B0866">
        <w:rPr>
          <w:rFonts w:eastAsia="Songti SC" w:cs="Times New Roman"/>
          <w:szCs w:val="24"/>
        </w:rPr>
        <w:t>Customer experience, technology and trust</w:t>
      </w:r>
      <w:bookmarkEnd w:id="37"/>
      <w:bookmarkEnd w:id="38"/>
    </w:p>
    <w:p w14:paraId="01E026A3" w14:textId="77777777" w:rsidR="00082694" w:rsidRPr="007B0866" w:rsidRDefault="00E7132B">
      <w:pPr>
        <w:spacing w:line="360" w:lineRule="auto"/>
        <w:jc w:val="both"/>
        <w:rPr>
          <w:rFonts w:eastAsia="Songti SC"/>
          <w:color w:val="000000"/>
          <w:kern w:val="0"/>
        </w:rPr>
      </w:pPr>
      <w:r w:rsidRPr="007B0866">
        <w:rPr>
          <w:rFonts w:eastAsia="Songti SC"/>
          <w:color w:val="000000"/>
          <w:kern w:val="0"/>
        </w:rPr>
        <w:t>Toyota should create one integrated platform across both countries, connecting research, finance, configuration, delivery tracking and predictive servicing. Omnichannel experience, which affects repurchase differently depending on relationship stages, should shift from acquisition offers to personalised ownership supports following the purchase (Rahman et al., 2025). Personalisation needs to be permission-based due to privacy concerns and trust influencing reactions to digital touchpoints (Weidig et al., 2024). Toyota would be better off selling software updates, safety capabilities, and mobility services as tangible lifecycle products in Japan, where first-quarter 2025 connected-car sales jumped 34% compared to the same period last year (Counterpoint Research, 2025). Woven City should be a controlled co-creation space for testing services in advance of national rollout, to be applied to approximately 300 residents (Toyota Motor Corporation, 2025). The NTT partnership with Toyota should foster software-defined vehicles and resilient communications infrastructure (NTT and Toyota Motor Corporation, 2024). Independent certification audits, public compliance dashboards and explanations of connected-vehicle data use are necessary for trust. Technology acceptance is not simply about features but about mitigating perceived risk (Kenesei et al., 2025). Even during omnichannel journeys, customer experience is linked to privacy considerations (Moliner-Tena and Tortosa-Edo, 2025). These measures would turn Toyota's international strategy into locally relevant, evidence-based mobility relationships.</w:t>
      </w:r>
    </w:p>
    <w:p w14:paraId="0F36F690" w14:textId="77777777" w:rsidR="00082694" w:rsidRPr="007B0866" w:rsidRDefault="00E7132B">
      <w:pPr>
        <w:keepNext/>
        <w:spacing w:before="140" w:after="40"/>
        <w:jc w:val="center"/>
      </w:pPr>
      <w:r w:rsidRPr="007B0866">
        <w:rPr>
          <w:noProof/>
        </w:rPr>
        <w:lastRenderedPageBreak/>
        <w:drawing>
          <wp:inline distT="0" distB="0" distL="0" distR="0" wp14:anchorId="6EB3835B" wp14:editId="6911EEC5">
            <wp:extent cx="5532120" cy="2351405"/>
            <wp:effectExtent l="12700" t="12700" r="5080" b="0"/>
            <wp:docPr id="27" name="Picture 4" descr="Figure 27&#10;Integrated customer and mobility plat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4" descr="Figure 27&#10;Integrated customer and mobility platform."/>
                    <pic:cNvPicPr>
                      <a:picLocks noChangeAspect="1" noChangeArrowheads="1"/>
                    </pic:cNvPicPr>
                  </pic:nvPicPr>
                  <pic:blipFill>
                    <a:blip r:embed="rId34"/>
                    <a:stretch>
                      <a:fillRect/>
                    </a:stretch>
                  </pic:blipFill>
                  <pic:spPr bwMode="auto">
                    <a:xfrm>
                      <a:off x="0" y="0"/>
                      <a:ext cx="5532120" cy="2351405"/>
                    </a:xfrm>
                    <a:prstGeom prst="rect">
                      <a:avLst/>
                    </a:prstGeom>
                    <a:noFill/>
                    <a:ln>
                      <a:solidFill>
                        <a:schemeClr val="tx1"/>
                      </a:solidFill>
                    </a:ln>
                  </pic:spPr>
                </pic:pic>
              </a:graphicData>
            </a:graphic>
          </wp:inline>
        </w:drawing>
      </w:r>
    </w:p>
    <w:p w14:paraId="4A9DA065" w14:textId="77777777" w:rsidR="00082694" w:rsidRPr="007B0866" w:rsidRDefault="00E7132B">
      <w:pPr>
        <w:spacing w:after="160"/>
        <w:jc w:val="center"/>
        <w:rPr>
          <w:b/>
          <w:bCs/>
        </w:rPr>
      </w:pPr>
      <w:r w:rsidRPr="007B0866">
        <w:rPr>
          <w:b/>
          <w:bCs/>
          <w:i/>
          <w:color w:val="505050"/>
          <w:sz w:val="18"/>
        </w:rPr>
        <w:t>Figure 27. Integrated customer and mobility platform.</w:t>
      </w:r>
    </w:p>
    <w:p w14:paraId="1C1F285F" w14:textId="77777777" w:rsidR="00082694" w:rsidRPr="007B0866" w:rsidRDefault="00E7132B">
      <w:pPr>
        <w:pStyle w:val="Heading1"/>
        <w:spacing w:line="360" w:lineRule="auto"/>
        <w:jc w:val="both"/>
        <w:rPr>
          <w:rFonts w:eastAsia="Songti SC" w:cs="Times New Roman"/>
          <w:szCs w:val="24"/>
        </w:rPr>
      </w:pPr>
      <w:bookmarkStart w:id="39" w:name="_Toc234727987"/>
      <w:bookmarkStart w:id="40" w:name="_Toc234901577"/>
      <w:r w:rsidRPr="007B0866">
        <w:rPr>
          <w:rFonts w:eastAsia="Songti SC" w:cs="Times New Roman"/>
          <w:szCs w:val="24"/>
        </w:rPr>
        <w:t>Reflective Account Using Kolb’s Experiential Learning Cycle</w:t>
      </w:r>
      <w:bookmarkEnd w:id="39"/>
      <w:bookmarkEnd w:id="40"/>
    </w:p>
    <w:p w14:paraId="725C8AA4" w14:textId="77777777" w:rsidR="00082694" w:rsidRPr="007B0866" w:rsidRDefault="00E7132B">
      <w:pPr>
        <w:pStyle w:val="Heading2"/>
        <w:spacing w:line="360" w:lineRule="auto"/>
        <w:jc w:val="both"/>
        <w:rPr>
          <w:rFonts w:eastAsia="Songti SC" w:cs="Times New Roman"/>
          <w:szCs w:val="24"/>
        </w:rPr>
      </w:pPr>
      <w:bookmarkStart w:id="41" w:name="_Toc234727988"/>
      <w:bookmarkStart w:id="42" w:name="_Toc234901578"/>
      <w:r w:rsidRPr="007B0866">
        <w:rPr>
          <w:rFonts w:eastAsia="Songti SC" w:cs="Times New Roman"/>
          <w:szCs w:val="24"/>
        </w:rPr>
        <w:t>Concrete Experience</w:t>
      </w:r>
      <w:bookmarkEnd w:id="41"/>
      <w:bookmarkEnd w:id="42"/>
    </w:p>
    <w:p w14:paraId="633FB661" w14:textId="77777777" w:rsidR="00082694" w:rsidRPr="007B0866" w:rsidRDefault="00E7132B">
      <w:pPr>
        <w:spacing w:line="360" w:lineRule="auto"/>
        <w:jc w:val="both"/>
        <w:rPr>
          <w:rFonts w:eastAsia="Songti SC"/>
          <w:color w:val="000000"/>
          <w:kern w:val="0"/>
        </w:rPr>
      </w:pPr>
      <w:r w:rsidRPr="007B0866">
        <w:rPr>
          <w:rFonts w:eastAsia="Songti SC"/>
          <w:color w:val="000000"/>
          <w:kern w:val="0"/>
        </w:rPr>
        <w:t>I started the analysis by choosing Toyota and contrasted its business in Japan and India. This option allowed the creation of a clear "home and host country" framework and to analyse in opposing economic, cultural and institutional contexts. The assignment brief was initially broken down into five research areas: PESTEL analysis, STP analysis and comparison of 7Ps, market entry strategy, ethical issues and recommendations. I then developed a source matrix that would document publication date, country relevance, evidence type, and where each source would be used within the section. This eliminated the duplication and allowed me to prioritise academic research (2022-2026), Government publications, industry reports, and Toyota's official disclosures. The greatest challenge was the use of recent evidence in 2026 without repeating the statistics and references from one section to another. I have therefore broken down the evidence into market-level and company-level evidence. For example, economic growth and vehicle demand supported the PESTEL analysis, while dealership expansion, product prices and production investment supported the marketing mix and entry strategy sections. I also had a limit for each component due to the nature of the assessment, which was the concise analysis, not a descriptive company history.</w:t>
      </w:r>
    </w:p>
    <w:p w14:paraId="1E448A5F" w14:textId="77777777" w:rsidR="00082694" w:rsidRPr="007B0866" w:rsidRDefault="00E7132B">
      <w:pPr>
        <w:keepNext/>
        <w:spacing w:before="140" w:after="40"/>
        <w:jc w:val="center"/>
      </w:pPr>
      <w:r w:rsidRPr="007B0866">
        <w:rPr>
          <w:noProof/>
        </w:rPr>
        <w:lastRenderedPageBreak/>
        <w:drawing>
          <wp:inline distT="0" distB="0" distL="0" distR="0" wp14:anchorId="17EF6A78" wp14:editId="12421E80">
            <wp:extent cx="5532120" cy="2299970"/>
            <wp:effectExtent l="12700" t="12700" r="5080" b="0"/>
            <wp:docPr id="28" name="Picture 3" descr="Figure 28&#10;Kolb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3" descr="Figure 28&#10;Kolb experiential learning cycle."/>
                    <pic:cNvPicPr>
                      <a:picLocks noChangeAspect="1" noChangeArrowheads="1"/>
                    </pic:cNvPicPr>
                  </pic:nvPicPr>
                  <pic:blipFill>
                    <a:blip r:embed="rId35"/>
                    <a:stretch>
                      <a:fillRect/>
                    </a:stretch>
                  </pic:blipFill>
                  <pic:spPr bwMode="auto">
                    <a:xfrm>
                      <a:off x="0" y="0"/>
                      <a:ext cx="5532120" cy="2299970"/>
                    </a:xfrm>
                    <a:prstGeom prst="rect">
                      <a:avLst/>
                    </a:prstGeom>
                    <a:noFill/>
                    <a:ln>
                      <a:solidFill>
                        <a:schemeClr val="tx1"/>
                      </a:solidFill>
                    </a:ln>
                  </pic:spPr>
                </pic:pic>
              </a:graphicData>
            </a:graphic>
          </wp:inline>
        </w:drawing>
      </w:r>
    </w:p>
    <w:p w14:paraId="467D1DE7" w14:textId="77777777" w:rsidR="00082694" w:rsidRPr="007B0866" w:rsidRDefault="00E7132B">
      <w:pPr>
        <w:spacing w:after="160"/>
        <w:jc w:val="center"/>
        <w:rPr>
          <w:b/>
          <w:bCs/>
        </w:rPr>
      </w:pPr>
      <w:r w:rsidRPr="007B0866">
        <w:rPr>
          <w:b/>
          <w:bCs/>
          <w:i/>
          <w:color w:val="505050"/>
          <w:sz w:val="18"/>
        </w:rPr>
        <w:t>Figure 28. Kolb experiential learning cycle.</w:t>
      </w:r>
    </w:p>
    <w:p w14:paraId="48F0F405" w14:textId="77777777" w:rsidR="00082694" w:rsidRPr="007B0866" w:rsidRDefault="00E7132B">
      <w:pPr>
        <w:pStyle w:val="Heading2"/>
        <w:spacing w:line="360" w:lineRule="auto"/>
        <w:jc w:val="both"/>
        <w:rPr>
          <w:rFonts w:eastAsia="Songti SC" w:cs="Times New Roman"/>
          <w:szCs w:val="24"/>
        </w:rPr>
      </w:pPr>
      <w:bookmarkStart w:id="43" w:name="_Toc234727989"/>
      <w:bookmarkStart w:id="44" w:name="_Toc234901579"/>
      <w:r w:rsidRPr="007B0866">
        <w:rPr>
          <w:rFonts w:eastAsia="Songti SC" w:cs="Times New Roman"/>
          <w:szCs w:val="24"/>
        </w:rPr>
        <w:t>Reflective Observation</w:t>
      </w:r>
      <w:bookmarkEnd w:id="43"/>
      <w:bookmarkEnd w:id="44"/>
    </w:p>
    <w:p w14:paraId="5ECE3A22" w14:textId="77777777" w:rsidR="00082694" w:rsidRPr="007B0866" w:rsidRDefault="00E7132B">
      <w:pPr>
        <w:spacing w:line="360" w:lineRule="auto"/>
        <w:jc w:val="both"/>
        <w:rPr>
          <w:rFonts w:eastAsia="Songti SC"/>
          <w:color w:val="000000"/>
          <w:kern w:val="0"/>
        </w:rPr>
      </w:pPr>
      <w:r w:rsidRPr="007B0866">
        <w:rPr>
          <w:rFonts w:eastAsia="Songti SC"/>
          <w:color w:val="000000"/>
          <w:kern w:val="0"/>
        </w:rPr>
        <w:t>During the research process, I gained an understanding that collecting large amounts of information did not automatically produce a strong comparative argument. My initial notes were very specific and dealt with Japan and India as two separate entities, potentially resulting in two descriptions rather than a comparison. I fixed this by structuring every paragraph around one analytical question, then discussing both markets in the same argument. This practice helped to highlight and make more visible the differences in purchasing power, cultural expectations, electrification and distribution. Another observation was that the company press releases highlighted Toyota activities in a positive light and were minimal in reference to weaknesses. In order to minimise the corporate bias, I contrasted Toyota's claims with government reports, academic research and widely acknowledged news sources. The Japanese certification scandal proved that this was needed. Toyota explained what it is doing to fix the problem, and evidence from the regulators and media painted a picture of the gravity of the governance failure. A second challenge was the use of the Hofstede national scores. I started by trying to consider the scores as static descriptions of all consumers. Further reading indicated that they should be considered as general tendencies. Thus, I qualified the analysis by recognising regional differences, income and generational differences, mainly in the diverse Indian market.</w:t>
      </w:r>
    </w:p>
    <w:p w14:paraId="28990DC8" w14:textId="77777777" w:rsidR="00082694" w:rsidRPr="007B0866" w:rsidRDefault="00E7132B">
      <w:pPr>
        <w:keepNext/>
        <w:spacing w:before="140" w:after="40"/>
        <w:jc w:val="center"/>
      </w:pPr>
      <w:r w:rsidRPr="007B0866">
        <w:rPr>
          <w:noProof/>
        </w:rPr>
        <w:lastRenderedPageBreak/>
        <w:drawing>
          <wp:inline distT="0" distB="0" distL="0" distR="0" wp14:anchorId="265CC659" wp14:editId="379EA61E">
            <wp:extent cx="5532120" cy="2343785"/>
            <wp:effectExtent l="12700" t="12700" r="5080" b="5715"/>
            <wp:docPr id="29" name="Picture 2" descr="Figure 29&#10;Research source triang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 descr="Figure 29&#10;Research source triangulation."/>
                    <pic:cNvPicPr>
                      <a:picLocks noChangeAspect="1" noChangeArrowheads="1"/>
                    </pic:cNvPicPr>
                  </pic:nvPicPr>
                  <pic:blipFill>
                    <a:blip r:embed="rId36"/>
                    <a:stretch>
                      <a:fillRect/>
                    </a:stretch>
                  </pic:blipFill>
                  <pic:spPr bwMode="auto">
                    <a:xfrm>
                      <a:off x="0" y="0"/>
                      <a:ext cx="5532120" cy="2343785"/>
                    </a:xfrm>
                    <a:prstGeom prst="rect">
                      <a:avLst/>
                    </a:prstGeom>
                    <a:noFill/>
                    <a:ln>
                      <a:solidFill>
                        <a:schemeClr val="tx1"/>
                      </a:solidFill>
                    </a:ln>
                  </pic:spPr>
                </pic:pic>
              </a:graphicData>
            </a:graphic>
          </wp:inline>
        </w:drawing>
      </w:r>
    </w:p>
    <w:p w14:paraId="12B28CEC" w14:textId="77777777" w:rsidR="00082694" w:rsidRPr="007B0866" w:rsidRDefault="00E7132B">
      <w:pPr>
        <w:spacing w:after="160"/>
        <w:jc w:val="center"/>
        <w:rPr>
          <w:b/>
          <w:bCs/>
        </w:rPr>
      </w:pPr>
      <w:r w:rsidRPr="007B0866">
        <w:rPr>
          <w:b/>
          <w:bCs/>
          <w:i/>
          <w:color w:val="505050"/>
          <w:sz w:val="18"/>
        </w:rPr>
        <w:t>Figure 29. Research source triangulation.</w:t>
      </w:r>
    </w:p>
    <w:p w14:paraId="66D4F659" w14:textId="77777777" w:rsidR="00082694" w:rsidRPr="007B0866" w:rsidRDefault="00E7132B">
      <w:pPr>
        <w:pStyle w:val="Heading2"/>
        <w:spacing w:line="360" w:lineRule="auto"/>
        <w:jc w:val="both"/>
        <w:rPr>
          <w:rFonts w:eastAsia="Songti SC" w:cs="Times New Roman"/>
          <w:szCs w:val="24"/>
        </w:rPr>
      </w:pPr>
      <w:bookmarkStart w:id="45" w:name="_Toc234727990"/>
      <w:bookmarkStart w:id="46" w:name="_Toc234901580"/>
      <w:r w:rsidRPr="007B0866">
        <w:rPr>
          <w:rFonts w:eastAsia="Songti SC" w:cs="Times New Roman"/>
          <w:szCs w:val="24"/>
        </w:rPr>
        <w:t>Abstract Conceptualisation</w:t>
      </w:r>
      <w:bookmarkEnd w:id="45"/>
      <w:bookmarkEnd w:id="46"/>
    </w:p>
    <w:p w14:paraId="12FBB284" w14:textId="77777777" w:rsidR="00082694" w:rsidRPr="007B0866" w:rsidRDefault="00E7132B">
      <w:pPr>
        <w:spacing w:line="360" w:lineRule="auto"/>
        <w:jc w:val="both"/>
        <w:rPr>
          <w:rFonts w:eastAsia="Songti SC"/>
          <w:color w:val="000000"/>
          <w:kern w:val="0"/>
        </w:rPr>
      </w:pPr>
      <w:r w:rsidRPr="007B0866">
        <w:rPr>
          <w:rFonts w:eastAsia="Songti SC"/>
          <w:color w:val="000000"/>
          <w:kern w:val="0"/>
        </w:rPr>
        <w:t>The analysis was improved further when I used theories as explanatory tools, instead of adding them to the end. The Toyota OLI paradigm was used to understand the reasons Toyota integrated proprietary technology and brand ownership with the location advantages of India. When production knowledge and quality systems were sensitive to the strategy, the rationale for Toyota to opt for equity control over licensing became apparent, as explained in Transaction Cost Economics. This Uppsala model defined Toyota's 'slow commitment' process, which involved local production, supplier development and capacity expansion. Standardisation and adaptation theory was useful in identifying the similarities and differences in the Toyota product positioning regarding quality across different local markets and the variations in product size, price, communications and service accessibility. I further applied the stakeholder and deontological approaches to the Japanese certification problem. These theories moved the discussion to the issue of whether or not Toyota had actually solved the problem. They allowed to evaluate honesty, consumer safety, management responsibility and the fairness of the quality premium when there was little certification evidence. I learned that a cause and consequence link should be connected in a framework. It should not be used as a standalone definition. For each model, the choice was thus required to be backed by a limitation or a recommendation.</w:t>
      </w:r>
    </w:p>
    <w:p w14:paraId="5CFC20EF" w14:textId="77777777" w:rsidR="00082694" w:rsidRPr="007B0866" w:rsidRDefault="00E7132B">
      <w:pPr>
        <w:keepNext/>
        <w:spacing w:before="140" w:after="40"/>
        <w:jc w:val="center"/>
      </w:pPr>
      <w:r w:rsidRPr="007B0866">
        <w:rPr>
          <w:noProof/>
        </w:rPr>
        <w:lastRenderedPageBreak/>
        <w:drawing>
          <wp:inline distT="0" distB="0" distL="0" distR="0" wp14:anchorId="2D8891FC" wp14:editId="26855649">
            <wp:extent cx="5532120" cy="2343785"/>
            <wp:effectExtent l="12700" t="12700" r="5080" b="5715"/>
            <wp:docPr id="30" name="Picture 1" descr="Figure 30&#10;Evidence-to-recommenda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1" descr="Figure 30&#10;Evidence-to-recommendation process."/>
                    <pic:cNvPicPr>
                      <a:picLocks noChangeAspect="1" noChangeArrowheads="1"/>
                    </pic:cNvPicPr>
                  </pic:nvPicPr>
                  <pic:blipFill>
                    <a:blip r:embed="rId37"/>
                    <a:stretch>
                      <a:fillRect/>
                    </a:stretch>
                  </pic:blipFill>
                  <pic:spPr bwMode="auto">
                    <a:xfrm>
                      <a:off x="0" y="0"/>
                      <a:ext cx="5532120" cy="2343785"/>
                    </a:xfrm>
                    <a:prstGeom prst="rect">
                      <a:avLst/>
                    </a:prstGeom>
                    <a:noFill/>
                    <a:ln>
                      <a:solidFill>
                        <a:schemeClr val="tx1"/>
                      </a:solidFill>
                    </a:ln>
                  </pic:spPr>
                </pic:pic>
              </a:graphicData>
            </a:graphic>
          </wp:inline>
        </w:drawing>
      </w:r>
    </w:p>
    <w:p w14:paraId="4F884664" w14:textId="77777777" w:rsidR="00082694" w:rsidRPr="007B0866" w:rsidRDefault="00E7132B">
      <w:pPr>
        <w:spacing w:after="160"/>
        <w:jc w:val="center"/>
        <w:rPr>
          <w:b/>
          <w:bCs/>
        </w:rPr>
      </w:pPr>
      <w:r w:rsidRPr="007B0866">
        <w:rPr>
          <w:b/>
          <w:bCs/>
          <w:i/>
          <w:color w:val="505050"/>
          <w:sz w:val="18"/>
        </w:rPr>
        <w:t>Figure 30. Evidence-to-recommendation process.</w:t>
      </w:r>
    </w:p>
    <w:p w14:paraId="3A0154CD" w14:textId="77777777" w:rsidR="00082694" w:rsidRPr="007B0866" w:rsidRDefault="00E7132B">
      <w:pPr>
        <w:pStyle w:val="Heading2"/>
        <w:spacing w:line="360" w:lineRule="auto"/>
        <w:jc w:val="both"/>
        <w:rPr>
          <w:rFonts w:eastAsia="Songti SC" w:cs="Times New Roman"/>
          <w:szCs w:val="24"/>
        </w:rPr>
      </w:pPr>
      <w:bookmarkStart w:id="47" w:name="_Toc234727991"/>
      <w:bookmarkStart w:id="48" w:name="_Toc234901581"/>
      <w:r w:rsidRPr="007B0866">
        <w:rPr>
          <w:rFonts w:eastAsia="Songti SC" w:cs="Times New Roman"/>
          <w:szCs w:val="24"/>
        </w:rPr>
        <w:t>Active Experimentation</w:t>
      </w:r>
      <w:bookmarkEnd w:id="47"/>
      <w:bookmarkEnd w:id="48"/>
    </w:p>
    <w:p w14:paraId="601F1A95" w14:textId="77777777" w:rsidR="00082694" w:rsidRPr="007B0866" w:rsidRDefault="00E7132B">
      <w:pPr>
        <w:spacing w:line="360" w:lineRule="auto"/>
        <w:jc w:val="both"/>
        <w:rPr>
          <w:rFonts w:eastAsia="Songti SC"/>
          <w:color w:val="000000"/>
          <w:kern w:val="0"/>
        </w:rPr>
      </w:pPr>
      <w:r w:rsidRPr="007B0866">
        <w:rPr>
          <w:rFonts w:eastAsia="Songti SC"/>
          <w:color w:val="000000"/>
          <w:kern w:val="0"/>
        </w:rPr>
        <w:t>I used these lessons in rewriting the structure, ensuring that each paragraph was tightened and that all claims supported the assessment criteria directly. I substituted general and abstract information with data such as product prices, dealership sizes, production capacity and sales targets. I have also made sure that recommendations were in line with the problems that have been identified and not based on new concepts. In India, this led to a suggestion for making a hybrid which is affordable, smaller EVs, better communication in local languages and better tier-2 city coverage. I suggested that Japan; independent certification audits, disclosure of compliance reports, and permission-based connected services. I completed a final citation check to ensure all references were in the text and that no source was repeated within each section of the report. I also considered the length of sentences, cut out unnecessary detail and made sure that comparisons were balanced, showing the opportunities and threats. In future research, I would first compile the comparative evidence matrix and then allocate theoretical frameworks to the assessment questions at the planning stage. This would lessen restructuring in the future, and bring the sources into balance and make a more direct path from the evidence to analysis, evaluation and recommendation.</w:t>
      </w:r>
    </w:p>
    <w:p w14:paraId="244BA55D" w14:textId="77777777" w:rsidR="00082694" w:rsidRPr="007B0866" w:rsidRDefault="00082694">
      <w:pPr>
        <w:spacing w:after="240" w:line="360" w:lineRule="auto"/>
        <w:jc w:val="both"/>
        <w:rPr>
          <w:rFonts w:eastAsia="Songti SC"/>
          <w:color w:val="000000"/>
          <w:kern w:val="0"/>
        </w:rPr>
      </w:pPr>
    </w:p>
    <w:p w14:paraId="0513B575" w14:textId="77777777" w:rsidR="00082694" w:rsidRPr="007B0866" w:rsidRDefault="00E7132B">
      <w:pPr>
        <w:rPr>
          <w:rFonts w:eastAsia="Songti SC"/>
          <w:b/>
          <w:color w:val="000000" w:themeColor="text1"/>
        </w:rPr>
      </w:pPr>
      <w:r w:rsidRPr="007B0866">
        <w:br w:type="page"/>
      </w:r>
    </w:p>
    <w:p w14:paraId="602506B8" w14:textId="77777777" w:rsidR="00082694" w:rsidRPr="007B0866" w:rsidRDefault="00E7132B">
      <w:pPr>
        <w:pStyle w:val="Heading1"/>
        <w:spacing w:before="0" w:line="360" w:lineRule="auto"/>
        <w:jc w:val="both"/>
        <w:rPr>
          <w:rFonts w:eastAsia="Songti SC" w:cs="Times New Roman"/>
          <w:szCs w:val="24"/>
        </w:rPr>
      </w:pPr>
      <w:bookmarkStart w:id="49" w:name="_Toc234727992"/>
      <w:bookmarkStart w:id="50" w:name="_Toc234901582"/>
      <w:r w:rsidRPr="007B0866">
        <w:rPr>
          <w:rFonts w:eastAsia="Songti SC" w:cs="Times New Roman"/>
          <w:szCs w:val="24"/>
        </w:rPr>
        <w:lastRenderedPageBreak/>
        <w:t>References</w:t>
      </w:r>
      <w:bookmarkEnd w:id="49"/>
      <w:bookmarkEnd w:id="50"/>
      <w:r w:rsidRPr="007B0866">
        <w:rPr>
          <w:rFonts w:eastAsia="Songti SC" w:cs="Times New Roman"/>
          <w:szCs w:val="24"/>
        </w:rPr>
        <w:t xml:space="preserve"> </w:t>
      </w:r>
    </w:p>
    <w:p w14:paraId="077FAA0C"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Aib, H. (2024). Stability of international joint ventures: When experience and age overshadow host country risk. </w:t>
      </w:r>
      <w:r w:rsidRPr="007B0866">
        <w:rPr>
          <w:rFonts w:eastAsia="Songti SC"/>
          <w:i/>
          <w:iCs/>
          <w:color w:val="000000"/>
          <w:kern w:val="0"/>
        </w:rPr>
        <w:t>Journal of International Management</w:t>
      </w:r>
      <w:r w:rsidRPr="007B0866">
        <w:rPr>
          <w:rFonts w:eastAsia="Songti SC"/>
          <w:color w:val="000000"/>
          <w:kern w:val="0"/>
        </w:rPr>
        <w:t>, </w:t>
      </w:r>
      <w:r w:rsidRPr="007B0866">
        <w:rPr>
          <w:rFonts w:eastAsia="Songti SC"/>
          <w:i/>
          <w:iCs/>
          <w:color w:val="000000"/>
          <w:kern w:val="0"/>
        </w:rPr>
        <w:t>30</w:t>
      </w:r>
      <w:r w:rsidRPr="007B0866">
        <w:rPr>
          <w:rFonts w:eastAsia="Songti SC"/>
          <w:color w:val="000000"/>
          <w:kern w:val="0"/>
        </w:rPr>
        <w:t>(6), 101205.</w:t>
      </w:r>
    </w:p>
    <w:p w14:paraId="47AB42BC"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Alinasab, J., and Hunt, R. A. (2025). Real Options Reasoning and the Internationalization of Small Firms: A Review and Agenda for Future Research. </w:t>
      </w:r>
      <w:r w:rsidRPr="007B0866">
        <w:rPr>
          <w:rFonts w:eastAsia="Songti SC"/>
          <w:i/>
          <w:iCs/>
          <w:color w:val="000000"/>
          <w:kern w:val="0"/>
        </w:rPr>
        <w:t>Management International Review</w:t>
      </w:r>
      <w:r w:rsidRPr="007B0866">
        <w:rPr>
          <w:rFonts w:eastAsia="Songti SC"/>
          <w:color w:val="000000"/>
          <w:kern w:val="0"/>
        </w:rPr>
        <w:t>, </w:t>
      </w:r>
      <w:r w:rsidRPr="007B0866">
        <w:rPr>
          <w:rFonts w:eastAsia="Songti SC"/>
          <w:i/>
          <w:iCs/>
          <w:color w:val="000000"/>
          <w:kern w:val="0"/>
        </w:rPr>
        <w:t>65</w:t>
      </w:r>
      <w:r w:rsidRPr="007B0866">
        <w:rPr>
          <w:rFonts w:eastAsia="Songti SC"/>
          <w:color w:val="000000"/>
          <w:kern w:val="0"/>
        </w:rPr>
        <w:t>(5), 821-849.</w:t>
      </w:r>
    </w:p>
    <w:p w14:paraId="102BFEDE"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Ashta, A., Stokes, P., Hughes, P., and Visser, M. (2025). Japanese cross-cultural management in Indian business-to-business marketing situations: A study of evolving intra-Asian differences in cultural values. </w:t>
      </w:r>
      <w:r w:rsidRPr="007B0866">
        <w:rPr>
          <w:rFonts w:eastAsia="Songti SC"/>
          <w:i/>
          <w:iCs/>
          <w:color w:val="000000"/>
          <w:kern w:val="0"/>
        </w:rPr>
        <w:t>Journal of Business-to-Business Marketing</w:t>
      </w:r>
      <w:r w:rsidRPr="007B0866">
        <w:rPr>
          <w:rFonts w:eastAsia="Songti SC"/>
          <w:color w:val="000000"/>
          <w:kern w:val="0"/>
        </w:rPr>
        <w:t>, </w:t>
      </w:r>
      <w:r w:rsidRPr="007B0866">
        <w:rPr>
          <w:rFonts w:eastAsia="Songti SC"/>
          <w:i/>
          <w:iCs/>
          <w:color w:val="000000"/>
          <w:kern w:val="0"/>
        </w:rPr>
        <w:t>32</w:t>
      </w:r>
      <w:r w:rsidRPr="007B0866">
        <w:rPr>
          <w:rFonts w:eastAsia="Songti SC"/>
          <w:color w:val="000000"/>
          <w:kern w:val="0"/>
        </w:rPr>
        <w:t>(3), 307-326.</w:t>
      </w:r>
    </w:p>
    <w:p w14:paraId="02DD3297"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Associated Press (2024) ‘Toyota apologizes for cheating on vehicle testing and halts production of three models’, 3 June. Available at: </w:t>
      </w:r>
      <w:hyperlink r:id="rId38">
        <w:r w:rsidRPr="007B0866">
          <w:rPr>
            <w:rFonts w:eastAsia="Songti SC"/>
            <w:color w:val="000000"/>
            <w:kern w:val="0"/>
            <w:u w:val="single"/>
          </w:rPr>
          <w:t>https://apnews.com/article/26585a96df2a32f7d67a4011a0a98772</w:t>
        </w:r>
      </w:hyperlink>
      <w:r w:rsidRPr="007B0866">
        <w:rPr>
          <w:rFonts w:eastAsia="Songti SC"/>
          <w:color w:val="000000"/>
          <w:kern w:val="0"/>
        </w:rPr>
        <w:t xml:space="preserve"> (Accessed: 12 July 2026).</w:t>
      </w:r>
    </w:p>
    <w:p w14:paraId="7AEA7736"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Bartosik-Purgat, M., Rakowska, W., and Grzegorczyk, T. (2026). Young consumers in cultural context: A cross-national study of Hofstede’s value dimensions. </w:t>
      </w:r>
      <w:r w:rsidRPr="007B0866">
        <w:rPr>
          <w:rFonts w:eastAsia="Songti SC"/>
          <w:i/>
          <w:iCs/>
          <w:color w:val="000000"/>
          <w:kern w:val="0"/>
        </w:rPr>
        <w:t>Entrepreneurial Business and Economics Review</w:t>
      </w:r>
      <w:r w:rsidRPr="007B0866">
        <w:rPr>
          <w:rFonts w:eastAsia="Songti SC"/>
          <w:color w:val="000000"/>
          <w:kern w:val="0"/>
        </w:rPr>
        <w:t>, </w:t>
      </w:r>
      <w:r w:rsidRPr="007B0866">
        <w:rPr>
          <w:rFonts w:eastAsia="Songti SC"/>
          <w:i/>
          <w:iCs/>
          <w:color w:val="000000"/>
          <w:kern w:val="0"/>
        </w:rPr>
        <w:t>14</w:t>
      </w:r>
      <w:r w:rsidRPr="007B0866">
        <w:rPr>
          <w:rFonts w:eastAsia="Songti SC"/>
          <w:color w:val="000000"/>
          <w:kern w:val="0"/>
        </w:rPr>
        <w:t>(1), 155-175.</w:t>
      </w:r>
    </w:p>
    <w:p w14:paraId="0FEC40D8"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Brock, D. M., and Hitt, M. A. (2024). Making sense of dynamic capabilities in international firms: review, analysis, integration, and extension. </w:t>
      </w:r>
      <w:r w:rsidRPr="007B0866">
        <w:rPr>
          <w:rFonts w:eastAsia="Songti SC"/>
          <w:i/>
          <w:iCs/>
          <w:color w:val="000000"/>
          <w:kern w:val="0"/>
        </w:rPr>
        <w:t>International Business Review</w:t>
      </w:r>
      <w:r w:rsidRPr="007B0866">
        <w:rPr>
          <w:rFonts w:eastAsia="Songti SC"/>
          <w:color w:val="000000"/>
          <w:kern w:val="0"/>
        </w:rPr>
        <w:t>, </w:t>
      </w:r>
      <w:r w:rsidRPr="007B0866">
        <w:rPr>
          <w:rFonts w:eastAsia="Songti SC"/>
          <w:i/>
          <w:iCs/>
          <w:color w:val="000000"/>
          <w:kern w:val="0"/>
        </w:rPr>
        <w:t>33</w:t>
      </w:r>
      <w:r w:rsidRPr="007B0866">
        <w:rPr>
          <w:rFonts w:eastAsia="Songti SC"/>
          <w:color w:val="000000"/>
          <w:kern w:val="0"/>
        </w:rPr>
        <w:t>(3), 102260.</w:t>
      </w:r>
    </w:p>
    <w:p w14:paraId="75804A00"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Brouthers, K. D., Chen, L., Li, S., and Shaheer, N. (2022). Charting new courses to enter foreign markets: Conceptualization, theoretical framework, and research directions on non-traditional entry modes. </w:t>
      </w:r>
      <w:r w:rsidRPr="007B0866">
        <w:rPr>
          <w:rFonts w:eastAsia="Songti SC"/>
          <w:i/>
          <w:iCs/>
          <w:color w:val="000000"/>
          <w:kern w:val="0"/>
        </w:rPr>
        <w:t>Journal of International Business Studies</w:t>
      </w:r>
      <w:r w:rsidRPr="007B0866">
        <w:rPr>
          <w:rFonts w:eastAsia="Songti SC"/>
          <w:color w:val="000000"/>
          <w:kern w:val="0"/>
        </w:rPr>
        <w:t>, </w:t>
      </w:r>
      <w:r w:rsidRPr="007B0866">
        <w:rPr>
          <w:rFonts w:eastAsia="Songti SC"/>
          <w:i/>
          <w:iCs/>
          <w:color w:val="000000"/>
          <w:kern w:val="0"/>
        </w:rPr>
        <w:t>53</w:t>
      </w:r>
      <w:r w:rsidRPr="007B0866">
        <w:rPr>
          <w:rFonts w:eastAsia="Songti SC"/>
          <w:color w:val="000000"/>
          <w:kern w:val="0"/>
        </w:rPr>
        <w:t>(9), 2088.</w:t>
      </w:r>
    </w:p>
    <w:p w14:paraId="55A3D04B"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Casey, J., Huang, Y., and Chen, S. (2024). Consumer response journey following a product‐harm crisis: The role of online brand communities. </w:t>
      </w:r>
      <w:r w:rsidRPr="007B0866">
        <w:rPr>
          <w:rFonts w:eastAsia="Songti SC"/>
          <w:i/>
          <w:iCs/>
          <w:color w:val="000000"/>
          <w:kern w:val="0"/>
        </w:rPr>
        <w:t>Journal of Consumer Behaviour</w:t>
      </w:r>
      <w:r w:rsidRPr="007B0866">
        <w:rPr>
          <w:rFonts w:eastAsia="Songti SC"/>
          <w:color w:val="000000"/>
          <w:kern w:val="0"/>
        </w:rPr>
        <w:t>, </w:t>
      </w:r>
      <w:r w:rsidRPr="007B0866">
        <w:rPr>
          <w:rFonts w:eastAsia="Songti SC"/>
          <w:i/>
          <w:iCs/>
          <w:color w:val="000000"/>
          <w:kern w:val="0"/>
        </w:rPr>
        <w:t>23</w:t>
      </w:r>
      <w:r w:rsidRPr="007B0866">
        <w:rPr>
          <w:rFonts w:eastAsia="Songti SC"/>
          <w:color w:val="000000"/>
          <w:kern w:val="0"/>
        </w:rPr>
        <w:t>(2), 855-874.</w:t>
      </w:r>
    </w:p>
    <w:p w14:paraId="087AB57A"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lastRenderedPageBreak/>
        <w:t>Connell, C., Marciniak, R., and Carey, L. D. (2023). The effect of cross-cultural dimensions on the manifestation of customer engagement behaviors. </w:t>
      </w:r>
      <w:r w:rsidRPr="007B0866">
        <w:rPr>
          <w:rFonts w:eastAsia="Songti SC"/>
          <w:i/>
          <w:iCs/>
          <w:color w:val="000000"/>
          <w:kern w:val="0"/>
        </w:rPr>
        <w:t>Journal of International Marketing</w:t>
      </w:r>
      <w:r w:rsidRPr="007B0866">
        <w:rPr>
          <w:rFonts w:eastAsia="Songti SC"/>
          <w:color w:val="000000"/>
          <w:kern w:val="0"/>
        </w:rPr>
        <w:t>, </w:t>
      </w:r>
      <w:r w:rsidRPr="007B0866">
        <w:rPr>
          <w:rFonts w:eastAsia="Songti SC"/>
          <w:i/>
          <w:iCs/>
          <w:color w:val="000000"/>
          <w:kern w:val="0"/>
        </w:rPr>
        <w:t>31</w:t>
      </w:r>
      <w:r w:rsidRPr="007B0866">
        <w:rPr>
          <w:rFonts w:eastAsia="Songti SC"/>
          <w:color w:val="000000"/>
          <w:kern w:val="0"/>
        </w:rPr>
        <w:t>(1), 32-48.</w:t>
      </w:r>
    </w:p>
    <w:p w14:paraId="6690AFD5"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Counterpoint Research (2025) ‘Japan connected car sales jump 34% YoY in Q1 2025 as domestic OEMs accelerate digital push’, 2 July. Available at: </w:t>
      </w:r>
      <w:hyperlink r:id="rId39">
        <w:r w:rsidRPr="007B0866">
          <w:rPr>
            <w:rFonts w:eastAsia="Songti SC"/>
            <w:color w:val="000000"/>
            <w:kern w:val="0"/>
            <w:u w:val="single"/>
          </w:rPr>
          <w:t>https://counterpointresearch.com/en/insights/japan-connected-car-sales-jump-34-yoy-in-q1-2025-as-domestic-oems-accelerate-digital-push</w:t>
        </w:r>
      </w:hyperlink>
      <w:r w:rsidRPr="007B0866">
        <w:rPr>
          <w:rFonts w:eastAsia="Songti SC"/>
          <w:color w:val="000000"/>
          <w:kern w:val="0"/>
        </w:rPr>
        <w:t xml:space="preserve"> (Accessed: 12 July 2026).</w:t>
      </w:r>
    </w:p>
    <w:p w14:paraId="57B66627"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Cox Automotive (2024) ‘Meet the consumer demand for omnichannel retailing’, 25 October. Available at: </w:t>
      </w:r>
      <w:hyperlink r:id="rId40">
        <w:r w:rsidRPr="007B0866">
          <w:rPr>
            <w:rFonts w:eastAsia="Songti SC"/>
            <w:color w:val="000000"/>
            <w:kern w:val="0"/>
            <w:u w:val="single"/>
          </w:rPr>
          <w:t>https://www.coxautoinc.com/insights/meet-the-consumer-demand-for-omnichannel-retailing/</w:t>
        </w:r>
      </w:hyperlink>
      <w:r w:rsidRPr="007B0866">
        <w:rPr>
          <w:rFonts w:eastAsia="Songti SC"/>
          <w:color w:val="000000"/>
          <w:kern w:val="0"/>
        </w:rPr>
        <w:t xml:space="preserve"> (Accessed: 12 July 2026).</w:t>
      </w:r>
    </w:p>
    <w:p w14:paraId="0B79D5F7"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da Silva, F. M., Ogasavara, M. H., and Pereira, R. (2024). Institutional distances and equity-based entry modes: a systematic literature review. </w:t>
      </w:r>
      <w:r w:rsidRPr="007B0866">
        <w:rPr>
          <w:rFonts w:eastAsia="Songti SC"/>
          <w:i/>
          <w:iCs/>
          <w:color w:val="000000"/>
          <w:kern w:val="0"/>
        </w:rPr>
        <w:t>Management Review Quarterly</w:t>
      </w:r>
      <w:r w:rsidRPr="007B0866">
        <w:rPr>
          <w:rFonts w:eastAsia="Songti SC"/>
          <w:color w:val="000000"/>
          <w:kern w:val="0"/>
        </w:rPr>
        <w:t>, </w:t>
      </w:r>
      <w:r w:rsidRPr="007B0866">
        <w:rPr>
          <w:rFonts w:eastAsia="Songti SC"/>
          <w:i/>
          <w:iCs/>
          <w:color w:val="000000"/>
          <w:kern w:val="0"/>
        </w:rPr>
        <w:t>74</w:t>
      </w:r>
      <w:r w:rsidRPr="007B0866">
        <w:rPr>
          <w:rFonts w:eastAsia="Songti SC"/>
          <w:color w:val="000000"/>
          <w:kern w:val="0"/>
        </w:rPr>
        <w:t>(3), 1723-1790.</w:t>
      </w:r>
    </w:p>
    <w:p w14:paraId="5C121881"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Donnelly, R., Purkayastha, S., Manolova, T. S., and Edelman, L. F. (2024). Institutional distance, slack resources, and foreign market entry. </w:t>
      </w:r>
      <w:r w:rsidRPr="007B0866">
        <w:rPr>
          <w:rFonts w:eastAsia="Songti SC"/>
          <w:i/>
          <w:iCs/>
          <w:color w:val="000000"/>
          <w:kern w:val="0"/>
        </w:rPr>
        <w:t>Journal of International Business Studies</w:t>
      </w:r>
      <w:r w:rsidRPr="007B0866">
        <w:rPr>
          <w:rFonts w:eastAsia="Songti SC"/>
          <w:color w:val="000000"/>
          <w:kern w:val="0"/>
        </w:rPr>
        <w:t>, </w:t>
      </w:r>
      <w:r w:rsidRPr="007B0866">
        <w:rPr>
          <w:rFonts w:eastAsia="Songti SC"/>
          <w:i/>
          <w:iCs/>
          <w:color w:val="000000"/>
          <w:kern w:val="0"/>
        </w:rPr>
        <w:t>55</w:t>
      </w:r>
      <w:r w:rsidRPr="007B0866">
        <w:rPr>
          <w:rFonts w:eastAsia="Songti SC"/>
          <w:color w:val="000000"/>
          <w:kern w:val="0"/>
        </w:rPr>
        <w:t>(2), 194-211.</w:t>
      </w:r>
    </w:p>
    <w:p w14:paraId="3D42FA69"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Economic Times (2026) ‘Toyota to set up new vehicle manufacturing plant in Maharashtra, operations from 2029’, 11 May. Available at: </w:t>
      </w:r>
      <w:hyperlink r:id="rId41">
        <w:r w:rsidRPr="007B0866">
          <w:rPr>
            <w:rFonts w:eastAsia="Songti SC"/>
            <w:color w:val="000000"/>
            <w:kern w:val="0"/>
            <w:u w:val="single"/>
          </w:rPr>
          <w:t>https://economictimes.indiatimes.com/industry/auto/auto-news/toyota-to-set-up-new-vehicle-manufacturing-plant-in-maharashtra-operations-from-2029/articleshow/131013590.cms</w:t>
        </w:r>
      </w:hyperlink>
      <w:r w:rsidRPr="007B0866">
        <w:rPr>
          <w:rFonts w:eastAsia="Songti SC"/>
          <w:color w:val="000000"/>
          <w:kern w:val="0"/>
        </w:rPr>
        <w:t xml:space="preserve"> (Accessed: 12 July 2026).</w:t>
      </w:r>
    </w:p>
    <w:p w14:paraId="4D8D570D"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EY (2023) ‘Human interaction remains essential in car buying’, 19 December. Available at: </w:t>
      </w:r>
      <w:hyperlink r:id="rId42">
        <w:r w:rsidRPr="007B0866">
          <w:rPr>
            <w:rFonts w:eastAsia="Songti SC"/>
            <w:color w:val="000000"/>
            <w:kern w:val="0"/>
            <w:u w:val="single"/>
          </w:rPr>
          <w:t>https://www.ey.com/en_be/insights/automotive/why-human-interaction-remains-essential-to-the-car-buying-journey</w:t>
        </w:r>
      </w:hyperlink>
      <w:r w:rsidRPr="007B0866">
        <w:rPr>
          <w:rFonts w:eastAsia="Songti SC"/>
          <w:color w:val="000000"/>
          <w:kern w:val="0"/>
        </w:rPr>
        <w:t xml:space="preserve"> (Accessed: 12 July 2026).</w:t>
      </w:r>
    </w:p>
    <w:p w14:paraId="42515D72"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Fan, S., Ge, Q., Ho, B., and Ma, L. (2023). Sorry doesn't cut it, or does it? Insights from stock market responses to corporate apologies. </w:t>
      </w:r>
      <w:r w:rsidRPr="007B0866">
        <w:rPr>
          <w:rFonts w:eastAsia="Songti SC"/>
          <w:i/>
          <w:iCs/>
          <w:color w:val="000000"/>
          <w:kern w:val="0"/>
        </w:rPr>
        <w:t>Journal of Economic Behavior and Organization</w:t>
      </w:r>
      <w:r w:rsidRPr="007B0866">
        <w:rPr>
          <w:rFonts w:eastAsia="Songti SC"/>
          <w:color w:val="000000"/>
          <w:kern w:val="0"/>
        </w:rPr>
        <w:t>, </w:t>
      </w:r>
      <w:r w:rsidRPr="007B0866">
        <w:rPr>
          <w:rFonts w:eastAsia="Songti SC"/>
          <w:i/>
          <w:iCs/>
          <w:color w:val="000000"/>
          <w:kern w:val="0"/>
        </w:rPr>
        <w:t>205</w:t>
      </w:r>
      <w:r w:rsidRPr="007B0866">
        <w:rPr>
          <w:rFonts w:eastAsia="Songti SC"/>
          <w:color w:val="000000"/>
          <w:kern w:val="0"/>
        </w:rPr>
        <w:t>, 68-86.</w:t>
      </w:r>
    </w:p>
    <w:p w14:paraId="467AC271"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lastRenderedPageBreak/>
        <w:t xml:space="preserve">Focus2Move (2026) ‘Japan auto market: Facts and data 2026’. Available at: </w:t>
      </w:r>
      <w:hyperlink r:id="rId43">
        <w:r w:rsidRPr="007B0866">
          <w:rPr>
            <w:rFonts w:eastAsia="Songti SC"/>
            <w:color w:val="000000"/>
            <w:kern w:val="0"/>
            <w:u w:val="single"/>
          </w:rPr>
          <w:t>https://www.focus2move.com/japan-auto-market/</w:t>
        </w:r>
      </w:hyperlink>
      <w:r w:rsidRPr="007B0866">
        <w:rPr>
          <w:rFonts w:eastAsia="Songti SC"/>
          <w:color w:val="000000"/>
          <w:kern w:val="0"/>
        </w:rPr>
        <w:t xml:space="preserve"> (Accessed: 12 July 2026).</w:t>
      </w:r>
    </w:p>
    <w:p w14:paraId="6E8255B2"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Furukawa, H., and Terasaki, S. (2025). Comparative study of COO effect on purchase intention of developed and emerging markets: a mediated-moderation of brand image and cosmopolitanism. </w:t>
      </w:r>
      <w:r w:rsidRPr="007B0866">
        <w:rPr>
          <w:rFonts w:eastAsia="Songti SC"/>
          <w:i/>
          <w:iCs/>
          <w:color w:val="000000"/>
          <w:kern w:val="0"/>
        </w:rPr>
        <w:t>International Journal of Emerging Markets</w:t>
      </w:r>
      <w:r w:rsidRPr="007B0866">
        <w:rPr>
          <w:rFonts w:eastAsia="Songti SC"/>
          <w:color w:val="000000"/>
          <w:kern w:val="0"/>
        </w:rPr>
        <w:t>, </w:t>
      </w:r>
      <w:r w:rsidRPr="007B0866">
        <w:rPr>
          <w:rFonts w:eastAsia="Songti SC"/>
          <w:i/>
          <w:iCs/>
          <w:color w:val="000000"/>
          <w:kern w:val="0"/>
        </w:rPr>
        <w:t>20</w:t>
      </w:r>
      <w:r w:rsidRPr="007B0866">
        <w:rPr>
          <w:rFonts w:eastAsia="Songti SC"/>
          <w:color w:val="000000"/>
          <w:kern w:val="0"/>
        </w:rPr>
        <w:t>(13), 337-355.</w:t>
      </w:r>
    </w:p>
    <w:p w14:paraId="191E760B"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Gonen, L. D., Tavor, T., and Spiegel, U. (2024). Unlocking market potential: strategic consumer segmentation and dynamic pricing for balancing loyalty and deal seeking. </w:t>
      </w:r>
      <w:r w:rsidRPr="007B0866">
        <w:rPr>
          <w:rFonts w:eastAsia="Songti SC"/>
          <w:i/>
          <w:iCs/>
          <w:color w:val="000000"/>
          <w:kern w:val="0"/>
        </w:rPr>
        <w:t>Mathematics</w:t>
      </w:r>
      <w:r w:rsidRPr="007B0866">
        <w:rPr>
          <w:rFonts w:eastAsia="Songti SC"/>
          <w:color w:val="000000"/>
          <w:kern w:val="0"/>
        </w:rPr>
        <w:t>, </w:t>
      </w:r>
      <w:r w:rsidRPr="007B0866">
        <w:rPr>
          <w:rFonts w:eastAsia="Songti SC"/>
          <w:i/>
          <w:iCs/>
          <w:color w:val="000000"/>
          <w:kern w:val="0"/>
        </w:rPr>
        <w:t>12</w:t>
      </w:r>
      <w:r w:rsidRPr="007B0866">
        <w:rPr>
          <w:rFonts w:eastAsia="Songti SC"/>
          <w:color w:val="000000"/>
          <w:kern w:val="0"/>
        </w:rPr>
        <w:t>(21), 3364.</w:t>
      </w:r>
    </w:p>
    <w:p w14:paraId="40A33885"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Hennart, J. F. (2022). How much is new in Brouthers et al.’s new foreign entry modes, and do they challenge the transaction cost theory of entry mode choice?. </w:t>
      </w:r>
      <w:r w:rsidRPr="007B0866">
        <w:rPr>
          <w:rFonts w:eastAsia="Songti SC"/>
          <w:i/>
          <w:iCs/>
          <w:color w:val="000000"/>
          <w:kern w:val="0"/>
        </w:rPr>
        <w:t>Journal of International Business Studies</w:t>
      </w:r>
      <w:r w:rsidRPr="007B0866">
        <w:rPr>
          <w:rFonts w:eastAsia="Songti SC"/>
          <w:color w:val="000000"/>
          <w:kern w:val="0"/>
        </w:rPr>
        <w:t>, </w:t>
      </w:r>
      <w:r w:rsidRPr="007B0866">
        <w:rPr>
          <w:rFonts w:eastAsia="Songti SC"/>
          <w:i/>
          <w:iCs/>
          <w:color w:val="000000"/>
          <w:kern w:val="0"/>
        </w:rPr>
        <w:t>53</w:t>
      </w:r>
      <w:r w:rsidRPr="007B0866">
        <w:rPr>
          <w:rFonts w:eastAsia="Songti SC"/>
          <w:color w:val="000000"/>
          <w:kern w:val="0"/>
        </w:rPr>
        <w:t>(9), 2116-2132.</w:t>
      </w:r>
    </w:p>
    <w:p w14:paraId="50BC2CD1"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Hettiarachchige, A. H. H. M., Cabiddu, F., and Moi, L. (2025). Preparing for the inevitable: Strategically navigating negative publicity in the contemporary business landscape. </w:t>
      </w:r>
      <w:r w:rsidRPr="007B0866">
        <w:rPr>
          <w:rFonts w:eastAsia="Songti SC"/>
          <w:i/>
          <w:iCs/>
          <w:color w:val="000000"/>
          <w:kern w:val="0"/>
        </w:rPr>
        <w:t>Business Horizons</w:t>
      </w:r>
      <w:r w:rsidRPr="007B0866">
        <w:rPr>
          <w:rFonts w:eastAsia="Songti SC"/>
          <w:color w:val="000000"/>
          <w:kern w:val="0"/>
        </w:rPr>
        <w:t>, </w:t>
      </w:r>
      <w:r w:rsidRPr="007B0866">
        <w:rPr>
          <w:rFonts w:eastAsia="Songti SC"/>
          <w:i/>
          <w:iCs/>
          <w:color w:val="000000"/>
          <w:kern w:val="0"/>
        </w:rPr>
        <w:t>68</w:t>
      </w:r>
      <w:r w:rsidRPr="007B0866">
        <w:rPr>
          <w:rFonts w:eastAsia="Songti SC"/>
          <w:color w:val="000000"/>
          <w:kern w:val="0"/>
        </w:rPr>
        <w:t>(2), 139-151.</w:t>
      </w:r>
    </w:p>
    <w:p w14:paraId="5E103A58"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Hollensen, S. and Bogdanovic, A. (2025) </w:t>
      </w:r>
      <w:r w:rsidRPr="007B0866">
        <w:rPr>
          <w:rFonts w:eastAsia="Songti SC"/>
          <w:i/>
          <w:iCs/>
          <w:color w:val="000000"/>
          <w:kern w:val="0"/>
        </w:rPr>
        <w:t>Global Marketing</w:t>
      </w:r>
      <w:r w:rsidRPr="007B0866">
        <w:rPr>
          <w:rFonts w:eastAsia="Songti SC"/>
          <w:color w:val="000000"/>
          <w:kern w:val="0"/>
        </w:rPr>
        <w:t xml:space="preserve">. 9th edn. Harlow: Pearson. Available at: </w:t>
      </w:r>
      <w:hyperlink r:id="rId44">
        <w:r w:rsidRPr="007B0866">
          <w:rPr>
            <w:rFonts w:eastAsia="Songti SC"/>
            <w:color w:val="000000"/>
            <w:kern w:val="0"/>
            <w:u w:val="single"/>
          </w:rPr>
          <w:t>https://www.pearson.com/en-au/subject-catalog/p/global-marketing/P200000009996/9781292747484</w:t>
        </w:r>
      </w:hyperlink>
      <w:r w:rsidRPr="007B0866">
        <w:rPr>
          <w:rFonts w:eastAsia="Songti SC"/>
          <w:color w:val="000000"/>
          <w:kern w:val="0"/>
        </w:rPr>
        <w:t xml:space="preserve"> </w:t>
      </w:r>
    </w:p>
    <w:p w14:paraId="2F9B3BCE"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Hornsey, M. J., Chapman, C. M., La Macchia, S., and Loakes, J. (2024). Corporate apologies are effective because reform signals are weighted more heavily than culpability signals. </w:t>
      </w:r>
      <w:r w:rsidRPr="007B0866">
        <w:rPr>
          <w:rFonts w:eastAsia="Songti SC"/>
          <w:i/>
          <w:iCs/>
          <w:color w:val="000000"/>
          <w:kern w:val="0"/>
        </w:rPr>
        <w:t>Journal of Business Research</w:t>
      </w:r>
      <w:r w:rsidRPr="007B0866">
        <w:rPr>
          <w:rFonts w:eastAsia="Songti SC"/>
          <w:color w:val="000000"/>
          <w:kern w:val="0"/>
        </w:rPr>
        <w:t>, </w:t>
      </w:r>
      <w:r w:rsidRPr="007B0866">
        <w:rPr>
          <w:rFonts w:eastAsia="Songti SC"/>
          <w:i/>
          <w:iCs/>
          <w:color w:val="000000"/>
          <w:kern w:val="0"/>
        </w:rPr>
        <w:t>177</w:t>
      </w:r>
      <w:r w:rsidRPr="007B0866">
        <w:rPr>
          <w:rFonts w:eastAsia="Songti SC"/>
          <w:color w:val="000000"/>
          <w:kern w:val="0"/>
        </w:rPr>
        <w:t>, 114620.</w:t>
      </w:r>
    </w:p>
    <w:p w14:paraId="71520EA5"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Hu, T. (2023). Foreign ownership in joint ventures under knowledge leakage risks: The influence of industrial munificence and dynamism. </w:t>
      </w:r>
      <w:r w:rsidRPr="007B0866">
        <w:rPr>
          <w:rFonts w:eastAsia="Songti SC"/>
          <w:i/>
          <w:iCs/>
          <w:color w:val="000000"/>
          <w:kern w:val="0"/>
        </w:rPr>
        <w:t>Journal of Multinational Financial Management</w:t>
      </w:r>
      <w:r w:rsidRPr="007B0866">
        <w:rPr>
          <w:rFonts w:eastAsia="Songti SC"/>
          <w:color w:val="000000"/>
          <w:kern w:val="0"/>
        </w:rPr>
        <w:t>, </w:t>
      </w:r>
      <w:r w:rsidRPr="007B0866">
        <w:rPr>
          <w:rFonts w:eastAsia="Songti SC"/>
          <w:i/>
          <w:iCs/>
          <w:color w:val="000000"/>
          <w:kern w:val="0"/>
        </w:rPr>
        <w:t>68</w:t>
      </w:r>
      <w:r w:rsidRPr="007B0866">
        <w:rPr>
          <w:rFonts w:eastAsia="Songti SC"/>
          <w:color w:val="000000"/>
          <w:kern w:val="0"/>
        </w:rPr>
        <w:t>, 100796.</w:t>
      </w:r>
    </w:p>
    <w:p w14:paraId="7408D4B6"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Hussain, S., Seet, P. S., Qazi, A., Salam, A., Sadeque, S., and Shar, S. (2025). Brand loyalty and repurchase intention in the face of opportunistic recalls: The moderating role of perceived dialogical CSR communication. </w:t>
      </w:r>
      <w:r w:rsidRPr="007B0866">
        <w:rPr>
          <w:rFonts w:eastAsia="Songti SC"/>
          <w:i/>
          <w:iCs/>
          <w:color w:val="000000"/>
          <w:kern w:val="0"/>
        </w:rPr>
        <w:t>Journal of Retailing and Consumer Services</w:t>
      </w:r>
      <w:r w:rsidRPr="007B0866">
        <w:rPr>
          <w:rFonts w:eastAsia="Songti SC"/>
          <w:color w:val="000000"/>
          <w:kern w:val="0"/>
        </w:rPr>
        <w:t>, </w:t>
      </w:r>
      <w:r w:rsidRPr="007B0866">
        <w:rPr>
          <w:rFonts w:eastAsia="Songti SC"/>
          <w:i/>
          <w:iCs/>
          <w:color w:val="000000"/>
          <w:kern w:val="0"/>
        </w:rPr>
        <w:t>84</w:t>
      </w:r>
      <w:r w:rsidRPr="007B0866">
        <w:rPr>
          <w:rFonts w:eastAsia="Songti SC"/>
          <w:color w:val="000000"/>
          <w:kern w:val="0"/>
        </w:rPr>
        <w:t>, 104226.</w:t>
      </w:r>
    </w:p>
    <w:p w14:paraId="11D5453A"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lastRenderedPageBreak/>
        <w:t xml:space="preserve">IEA (2026) </w:t>
      </w:r>
      <w:r w:rsidRPr="007B0866">
        <w:rPr>
          <w:rFonts w:eastAsia="Songti SC"/>
          <w:i/>
          <w:iCs/>
          <w:color w:val="000000"/>
          <w:kern w:val="0"/>
        </w:rPr>
        <w:t>Global EV Outlook 2026</w:t>
      </w:r>
      <w:r w:rsidRPr="007B0866">
        <w:rPr>
          <w:rFonts w:eastAsia="Songti SC"/>
          <w:color w:val="000000"/>
          <w:kern w:val="0"/>
        </w:rPr>
        <w:t xml:space="preserve">. Paris: International Energy Agency. Available at: </w:t>
      </w:r>
      <w:hyperlink r:id="rId45">
        <w:r w:rsidRPr="007B0866">
          <w:rPr>
            <w:rFonts w:eastAsia="Songti SC"/>
            <w:color w:val="000000"/>
            <w:kern w:val="0"/>
            <w:u w:val="single"/>
          </w:rPr>
          <w:t>https://www.iea.org/reports/global-ev-outlook-2026</w:t>
        </w:r>
      </w:hyperlink>
      <w:r w:rsidRPr="007B0866">
        <w:rPr>
          <w:rFonts w:eastAsia="Songti SC"/>
          <w:color w:val="000000"/>
          <w:kern w:val="0"/>
        </w:rPr>
        <w:t xml:space="preserve"> (Accessed: 12 July 2026).</w:t>
      </w:r>
    </w:p>
    <w:p w14:paraId="3DCD8655"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IMF (2026) ‘India and the IMF’. Available at: </w:t>
      </w:r>
      <w:hyperlink r:id="rId46">
        <w:r w:rsidRPr="007B0866">
          <w:rPr>
            <w:rFonts w:eastAsia="Songti SC"/>
            <w:color w:val="000000"/>
            <w:kern w:val="0"/>
            <w:u w:val="single"/>
          </w:rPr>
          <w:t>https://www.imf.org/en/Countries/IND</w:t>
        </w:r>
      </w:hyperlink>
      <w:r w:rsidRPr="007B0866">
        <w:rPr>
          <w:rFonts w:eastAsia="Songti SC"/>
          <w:color w:val="000000"/>
          <w:kern w:val="0"/>
        </w:rPr>
        <w:t xml:space="preserve"> (Accessed: 12 July 2026).</w:t>
      </w:r>
    </w:p>
    <w:p w14:paraId="10A73091"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Invest India (2026) ‘Why global auto majors are expanding manufacturing in India’. Available at: </w:t>
      </w:r>
      <w:hyperlink r:id="rId47">
        <w:r w:rsidRPr="007B0866">
          <w:rPr>
            <w:rFonts w:eastAsia="Songti SC"/>
            <w:color w:val="000000"/>
            <w:kern w:val="0"/>
            <w:u w:val="single"/>
          </w:rPr>
          <w:t>https://www.investindia.gov.in/team-india-blogs/why-global-auto-majors-are-expanding-manufacturing-india</w:t>
        </w:r>
      </w:hyperlink>
      <w:r w:rsidRPr="007B0866">
        <w:rPr>
          <w:rFonts w:eastAsia="Songti SC"/>
          <w:color w:val="000000"/>
          <w:kern w:val="0"/>
        </w:rPr>
        <w:t xml:space="preserve"> (Accessed: 12 July 2026).</w:t>
      </w:r>
    </w:p>
    <w:p w14:paraId="78FEDB4D"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JAMA (2025) </w:t>
      </w:r>
      <w:r w:rsidRPr="007B0866">
        <w:rPr>
          <w:rFonts w:eastAsia="Songti SC"/>
          <w:i/>
          <w:iCs/>
          <w:color w:val="000000"/>
          <w:kern w:val="0"/>
        </w:rPr>
        <w:t>The Motor Industry of Japan 2025</w:t>
      </w:r>
      <w:r w:rsidRPr="007B0866">
        <w:rPr>
          <w:rFonts w:eastAsia="Songti SC"/>
          <w:color w:val="000000"/>
          <w:kern w:val="0"/>
        </w:rPr>
        <w:t xml:space="preserve">. Tokyo: Japan Automobile Manufacturers Association. Available at: </w:t>
      </w:r>
      <w:hyperlink r:id="rId48">
        <w:r w:rsidRPr="007B0866">
          <w:rPr>
            <w:rFonts w:eastAsia="Songti SC"/>
            <w:color w:val="000000"/>
            <w:kern w:val="0"/>
            <w:u w:val="single"/>
          </w:rPr>
          <w:t>https://www.jama.or.jp/english/reports/docs/MIoJ2025_e.pdf</w:t>
        </w:r>
      </w:hyperlink>
      <w:r w:rsidRPr="007B0866">
        <w:rPr>
          <w:rFonts w:eastAsia="Songti SC"/>
          <w:color w:val="000000"/>
          <w:kern w:val="0"/>
        </w:rPr>
        <w:t xml:space="preserve"> (Accessed: 12 July 2026).</w:t>
      </w:r>
    </w:p>
    <w:p w14:paraId="643014C1"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JATO Dynamics (2025) ‘Japan’s automotive electrification trends, 2025 H1’. Available at: </w:t>
      </w:r>
      <w:hyperlink r:id="rId49">
        <w:r w:rsidRPr="007B0866">
          <w:rPr>
            <w:rFonts w:eastAsia="Songti SC"/>
            <w:color w:val="000000"/>
            <w:kern w:val="0"/>
            <w:u w:val="single"/>
          </w:rPr>
          <w:t>https://www.jato.com/resources/news-and-insights/japans-automotive-electrification-trends-2025-h1</w:t>
        </w:r>
      </w:hyperlink>
      <w:r w:rsidRPr="007B0866">
        <w:rPr>
          <w:rFonts w:eastAsia="Songti SC"/>
          <w:color w:val="000000"/>
          <w:kern w:val="0"/>
        </w:rPr>
        <w:t xml:space="preserve"> (Accessed: 12 July 2026).</w:t>
      </w:r>
    </w:p>
    <w:p w14:paraId="23990CA7"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JETRO (2025) ‘Overview: Manufacturing industries in Japan’. Available at: </w:t>
      </w:r>
      <w:hyperlink r:id="rId50">
        <w:r w:rsidRPr="007B0866">
          <w:rPr>
            <w:rFonts w:eastAsia="Songti SC"/>
            <w:color w:val="000000"/>
            <w:kern w:val="0"/>
            <w:u w:val="single"/>
          </w:rPr>
          <w:t>https://www.jetro.go.jp/en/invest/attractive_sectors/manufacturing/overview/</w:t>
        </w:r>
      </w:hyperlink>
      <w:r w:rsidRPr="007B0866">
        <w:rPr>
          <w:rFonts w:eastAsia="Songti SC"/>
          <w:color w:val="000000"/>
          <w:kern w:val="0"/>
        </w:rPr>
        <w:t xml:space="preserve"> (Accessed: 12 July 2026).</w:t>
      </w:r>
    </w:p>
    <w:p w14:paraId="418722A8"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Jiang, F., Liu, L. X., and Li, J. (2022). From horizontal knowledge sharing to vertical knowledge transfer: The role of boundary-spanning commitment in international joint ventures. </w:t>
      </w:r>
      <w:r w:rsidRPr="007B0866">
        <w:rPr>
          <w:rFonts w:eastAsia="Songti SC"/>
          <w:i/>
          <w:iCs/>
          <w:color w:val="000000"/>
          <w:kern w:val="0"/>
        </w:rPr>
        <w:t>Journal of International Business Studies</w:t>
      </w:r>
      <w:r w:rsidRPr="007B0866">
        <w:rPr>
          <w:rFonts w:eastAsia="Songti SC"/>
          <w:color w:val="000000"/>
          <w:kern w:val="0"/>
        </w:rPr>
        <w:t>, </w:t>
      </w:r>
      <w:r w:rsidRPr="007B0866">
        <w:rPr>
          <w:rFonts w:eastAsia="Songti SC"/>
          <w:i/>
          <w:iCs/>
          <w:color w:val="000000"/>
          <w:kern w:val="0"/>
        </w:rPr>
        <w:t>54</w:t>
      </w:r>
      <w:r w:rsidRPr="007B0866">
        <w:rPr>
          <w:rFonts w:eastAsia="Songti SC"/>
          <w:color w:val="000000"/>
          <w:kern w:val="0"/>
        </w:rPr>
        <w:t>, 182-202.</w:t>
      </w:r>
    </w:p>
    <w:p w14:paraId="78496583"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Jiang, K., Keller, W., Qiu, L. D., and Ridley, W. (2024). International joint ventures and internal technology transfer vs. external technology spillovers: Evidence from China. </w:t>
      </w:r>
      <w:r w:rsidRPr="007B0866">
        <w:rPr>
          <w:rFonts w:eastAsia="Songti SC"/>
          <w:i/>
          <w:iCs/>
          <w:color w:val="000000"/>
          <w:kern w:val="0"/>
        </w:rPr>
        <w:t>Journal of International Economics</w:t>
      </w:r>
      <w:r w:rsidRPr="007B0866">
        <w:rPr>
          <w:rFonts w:eastAsia="Songti SC"/>
          <w:color w:val="000000"/>
          <w:kern w:val="0"/>
        </w:rPr>
        <w:t>, </w:t>
      </w:r>
      <w:r w:rsidRPr="007B0866">
        <w:rPr>
          <w:rFonts w:eastAsia="Songti SC"/>
          <w:i/>
          <w:iCs/>
          <w:color w:val="000000"/>
          <w:kern w:val="0"/>
        </w:rPr>
        <w:t>150</w:t>
      </w:r>
      <w:r w:rsidRPr="007B0866">
        <w:rPr>
          <w:rFonts w:eastAsia="Songti SC"/>
          <w:color w:val="000000"/>
          <w:kern w:val="0"/>
        </w:rPr>
        <w:t>, 103939.</w:t>
      </w:r>
    </w:p>
    <w:p w14:paraId="32C854AB"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Kenesei, Z., Kökény, L., Ásványi, K., and Jászberényi, M. (2025). The central role of trust and perceived risk in the acceptance of autonomous vehicles in an integrated UTAUT model. </w:t>
      </w:r>
      <w:r w:rsidRPr="007B0866">
        <w:rPr>
          <w:rFonts w:eastAsia="Songti SC"/>
          <w:i/>
          <w:iCs/>
          <w:color w:val="000000"/>
          <w:kern w:val="0"/>
        </w:rPr>
        <w:t>European Transport Research Review</w:t>
      </w:r>
      <w:r w:rsidRPr="007B0866">
        <w:rPr>
          <w:rFonts w:eastAsia="Songti SC"/>
          <w:color w:val="000000"/>
          <w:kern w:val="0"/>
        </w:rPr>
        <w:t>, </w:t>
      </w:r>
      <w:r w:rsidRPr="007B0866">
        <w:rPr>
          <w:rFonts w:eastAsia="Songti SC"/>
          <w:i/>
          <w:iCs/>
          <w:color w:val="000000"/>
          <w:kern w:val="0"/>
        </w:rPr>
        <w:t>17</w:t>
      </w:r>
      <w:r w:rsidRPr="007B0866">
        <w:rPr>
          <w:rFonts w:eastAsia="Songti SC"/>
          <w:color w:val="000000"/>
          <w:kern w:val="0"/>
        </w:rPr>
        <w:t>(1), 8.</w:t>
      </w:r>
    </w:p>
    <w:p w14:paraId="4A64E42F"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lastRenderedPageBreak/>
        <w:t>Kim, H., Park, B. I., Al-Tabbaa, O., and Khan, Z. (2024). Knowledge transfer and protection in international joint ventures: An integrative review. </w:t>
      </w:r>
      <w:r w:rsidRPr="007B0866">
        <w:rPr>
          <w:rFonts w:eastAsia="Songti SC"/>
          <w:i/>
          <w:iCs/>
          <w:color w:val="000000"/>
          <w:kern w:val="0"/>
        </w:rPr>
        <w:t>International Business Review</w:t>
      </w:r>
      <w:r w:rsidRPr="007B0866">
        <w:rPr>
          <w:rFonts w:eastAsia="Songti SC"/>
          <w:color w:val="000000"/>
          <w:kern w:val="0"/>
        </w:rPr>
        <w:t>, </w:t>
      </w:r>
      <w:r w:rsidRPr="007B0866">
        <w:rPr>
          <w:rFonts w:eastAsia="Songti SC"/>
          <w:i/>
          <w:iCs/>
          <w:color w:val="000000"/>
          <w:kern w:val="0"/>
        </w:rPr>
        <w:t>33</w:t>
      </w:r>
      <w:r w:rsidRPr="007B0866">
        <w:rPr>
          <w:rFonts w:eastAsia="Songti SC"/>
          <w:color w:val="000000"/>
          <w:kern w:val="0"/>
        </w:rPr>
        <w:t>(5), 102300.</w:t>
      </w:r>
    </w:p>
    <w:p w14:paraId="1B92C488"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Kim, S., Connerton, T. P., and Park, C. (2022). Transforming the automotive retail: Drivers for customers' omnichannel BOPS (Buy Online and Pick up in Store) behavior. </w:t>
      </w:r>
      <w:r w:rsidRPr="007B0866">
        <w:rPr>
          <w:rFonts w:eastAsia="Songti SC"/>
          <w:i/>
          <w:iCs/>
          <w:color w:val="000000"/>
          <w:kern w:val="0"/>
        </w:rPr>
        <w:t>Journal of Business Research</w:t>
      </w:r>
      <w:r w:rsidRPr="007B0866">
        <w:rPr>
          <w:rFonts w:eastAsia="Songti SC"/>
          <w:color w:val="000000"/>
          <w:kern w:val="0"/>
        </w:rPr>
        <w:t>, </w:t>
      </w:r>
      <w:r w:rsidRPr="007B0866">
        <w:rPr>
          <w:rFonts w:eastAsia="Songti SC"/>
          <w:i/>
          <w:iCs/>
          <w:color w:val="000000"/>
          <w:kern w:val="0"/>
        </w:rPr>
        <w:t>139</w:t>
      </w:r>
      <w:r w:rsidRPr="007B0866">
        <w:rPr>
          <w:rFonts w:eastAsia="Songti SC"/>
          <w:color w:val="000000"/>
          <w:kern w:val="0"/>
        </w:rPr>
        <w:t>, 411-425.</w:t>
      </w:r>
    </w:p>
    <w:p w14:paraId="688A46A2"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Kopalle, P. K., Pauwels, K., Akella, L. Y., and Gangwar, M. (2023). Dynamic pricing: Definition, implications for managers, and future research directions. </w:t>
      </w:r>
      <w:r w:rsidRPr="007B0866">
        <w:rPr>
          <w:rFonts w:eastAsia="Songti SC"/>
          <w:i/>
          <w:iCs/>
          <w:color w:val="000000"/>
          <w:kern w:val="0"/>
        </w:rPr>
        <w:t>Journal of Retailing</w:t>
      </w:r>
      <w:r w:rsidRPr="007B0866">
        <w:rPr>
          <w:rFonts w:eastAsia="Songti SC"/>
          <w:color w:val="000000"/>
          <w:kern w:val="0"/>
        </w:rPr>
        <w:t>, </w:t>
      </w:r>
      <w:r w:rsidRPr="007B0866">
        <w:rPr>
          <w:rFonts w:eastAsia="Songti SC"/>
          <w:i/>
          <w:iCs/>
          <w:color w:val="000000"/>
          <w:kern w:val="0"/>
        </w:rPr>
        <w:t>99</w:t>
      </w:r>
      <w:r w:rsidRPr="007B0866">
        <w:rPr>
          <w:rFonts w:eastAsia="Songti SC"/>
          <w:color w:val="000000"/>
          <w:kern w:val="0"/>
        </w:rPr>
        <w:t>(4), 580-593.</w:t>
      </w:r>
    </w:p>
    <w:p w14:paraId="1BC49BA8"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Kotler, P., Armstrong, G. and Balasubramanian, S. (2024). </w:t>
      </w:r>
      <w:r w:rsidRPr="007B0866">
        <w:rPr>
          <w:rFonts w:eastAsia="Songti SC"/>
          <w:i/>
          <w:iCs/>
          <w:color w:val="000000"/>
          <w:kern w:val="0"/>
        </w:rPr>
        <w:t>Principles of Marketing</w:t>
      </w:r>
      <w:r w:rsidRPr="007B0866">
        <w:rPr>
          <w:rFonts w:eastAsia="Songti SC"/>
          <w:color w:val="000000"/>
          <w:kern w:val="0"/>
        </w:rPr>
        <w:t xml:space="preserve">. 19th edn. Harlow: Pearson. Available at: </w:t>
      </w:r>
      <w:hyperlink r:id="rId51">
        <w:r w:rsidRPr="007B0866">
          <w:rPr>
            <w:rFonts w:eastAsia="Songti SC"/>
            <w:color w:val="000000"/>
            <w:kern w:val="0"/>
            <w:u w:val="single"/>
          </w:rPr>
          <w:t>https://www.pearson.com/en-ca/subject-catalog/p/principles-of-marketing/P200000009859/9780138210779</w:t>
        </w:r>
      </w:hyperlink>
      <w:r w:rsidRPr="007B0866">
        <w:rPr>
          <w:rFonts w:eastAsia="Songti SC"/>
          <w:color w:val="000000"/>
          <w:kern w:val="0"/>
        </w:rPr>
        <w:t>.</w:t>
      </w:r>
    </w:p>
    <w:p w14:paraId="60943799"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Lee, H. S., Pattnaik, C., and Gaur, A. S. (2023). Internationalization of I-business Firms: The role of distance on location choice. </w:t>
      </w:r>
      <w:r w:rsidRPr="007B0866">
        <w:rPr>
          <w:rFonts w:eastAsia="Songti SC"/>
          <w:i/>
          <w:iCs/>
          <w:color w:val="000000"/>
          <w:kern w:val="0"/>
        </w:rPr>
        <w:t>Journal of Business Research</w:t>
      </w:r>
      <w:r w:rsidRPr="007B0866">
        <w:rPr>
          <w:rFonts w:eastAsia="Songti SC"/>
          <w:color w:val="000000"/>
          <w:kern w:val="0"/>
        </w:rPr>
        <w:t>, </w:t>
      </w:r>
      <w:r w:rsidRPr="007B0866">
        <w:rPr>
          <w:rFonts w:eastAsia="Songti SC"/>
          <w:i/>
          <w:iCs/>
          <w:color w:val="000000"/>
          <w:kern w:val="0"/>
        </w:rPr>
        <w:t>164</w:t>
      </w:r>
      <w:r w:rsidRPr="007B0866">
        <w:rPr>
          <w:rFonts w:eastAsia="Songti SC"/>
          <w:color w:val="000000"/>
          <w:kern w:val="0"/>
        </w:rPr>
        <w:t>, 114010.</w:t>
      </w:r>
    </w:p>
    <w:p w14:paraId="3125D1EF"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Lim, W. M., Yap, S. F., Tan, L., and Lim, T. W. D. (2026). Brand crisis and legitimacy. </w:t>
      </w:r>
      <w:r w:rsidRPr="007B0866">
        <w:rPr>
          <w:rFonts w:eastAsia="Songti SC"/>
          <w:i/>
          <w:iCs/>
          <w:color w:val="000000"/>
          <w:kern w:val="0"/>
        </w:rPr>
        <w:t>Management Decision</w:t>
      </w:r>
      <w:r w:rsidRPr="007B0866">
        <w:rPr>
          <w:rFonts w:eastAsia="Songti SC"/>
          <w:color w:val="000000"/>
          <w:kern w:val="0"/>
        </w:rPr>
        <w:t>, </w:t>
      </w:r>
      <w:r w:rsidRPr="007B0866">
        <w:rPr>
          <w:rFonts w:eastAsia="Songti SC"/>
          <w:i/>
          <w:iCs/>
          <w:color w:val="000000"/>
          <w:kern w:val="0"/>
        </w:rPr>
        <w:t>64</w:t>
      </w:r>
      <w:r w:rsidRPr="007B0866">
        <w:rPr>
          <w:rFonts w:eastAsia="Songti SC"/>
          <w:color w:val="000000"/>
          <w:kern w:val="0"/>
        </w:rPr>
        <w:t>(2), 540-564.</w:t>
      </w:r>
    </w:p>
    <w:p w14:paraId="12F38024"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Liu, D., Fu, N., Wang, G., and Su, L. (2024). Past, present, and future of international joint ventures. </w:t>
      </w:r>
      <w:r w:rsidRPr="007B0866">
        <w:rPr>
          <w:rFonts w:eastAsia="Songti SC"/>
          <w:i/>
          <w:iCs/>
          <w:color w:val="000000"/>
          <w:kern w:val="0"/>
        </w:rPr>
        <w:t>Journal of Business Research</w:t>
      </w:r>
      <w:r w:rsidRPr="007B0866">
        <w:rPr>
          <w:rFonts w:eastAsia="Songti SC"/>
          <w:color w:val="000000"/>
          <w:kern w:val="0"/>
        </w:rPr>
        <w:t>, </w:t>
      </w:r>
      <w:r w:rsidRPr="007B0866">
        <w:rPr>
          <w:rFonts w:eastAsia="Songti SC"/>
          <w:i/>
          <w:iCs/>
          <w:color w:val="000000"/>
          <w:kern w:val="0"/>
        </w:rPr>
        <w:t>176</w:t>
      </w:r>
      <w:r w:rsidRPr="007B0866">
        <w:rPr>
          <w:rFonts w:eastAsia="Songti SC"/>
          <w:color w:val="000000"/>
          <w:kern w:val="0"/>
        </w:rPr>
        <w:t>, 114568.</w:t>
      </w:r>
    </w:p>
    <w:p w14:paraId="22878F0A"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Ministry of Heavy Industries (2024) ‘PM Electric Drive Revolution in Innovative Vehicle Enhancement Scheme’. Available at: </w:t>
      </w:r>
      <w:hyperlink r:id="rId52">
        <w:r w:rsidRPr="007B0866">
          <w:rPr>
            <w:rFonts w:eastAsia="Songti SC"/>
            <w:color w:val="000000"/>
            <w:kern w:val="0"/>
            <w:u w:val="single"/>
          </w:rPr>
          <w:t>https://pmedrive.heavyindustries.gov.in/</w:t>
        </w:r>
      </w:hyperlink>
      <w:r w:rsidRPr="007B0866">
        <w:rPr>
          <w:rFonts w:eastAsia="Songti SC"/>
          <w:color w:val="000000"/>
          <w:kern w:val="0"/>
        </w:rPr>
        <w:t xml:space="preserve"> (Accessed: 12 July 2026).</w:t>
      </w:r>
    </w:p>
    <w:p w14:paraId="458741AF"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Ministry of Heavy Industries (2025) ‘Extension of PM E-DRIVE Scheme until 31 March 2028’. Available at: </w:t>
      </w:r>
      <w:hyperlink r:id="rId53">
        <w:r w:rsidRPr="007B0866">
          <w:rPr>
            <w:rFonts w:eastAsia="Songti SC"/>
            <w:color w:val="000000"/>
            <w:kern w:val="0"/>
            <w:u w:val="single"/>
          </w:rPr>
          <w:t>https://pmedrive.heavyindustries.gov.in/policy_document</w:t>
        </w:r>
      </w:hyperlink>
      <w:r w:rsidRPr="007B0866">
        <w:rPr>
          <w:rFonts w:eastAsia="Songti SC"/>
          <w:color w:val="000000"/>
          <w:kern w:val="0"/>
        </w:rPr>
        <w:t xml:space="preserve"> (Accessed: 12 July 2026).</w:t>
      </w:r>
    </w:p>
    <w:p w14:paraId="70EFA240" w14:textId="77777777" w:rsidR="00082694" w:rsidRPr="007B0866" w:rsidRDefault="00E7132B">
      <w:pPr>
        <w:spacing w:after="240" w:line="360" w:lineRule="auto"/>
        <w:ind w:left="540" w:hanging="540"/>
        <w:jc w:val="both"/>
        <w:rPr>
          <w:rFonts w:eastAsia="Songti SC"/>
          <w:i/>
          <w:iCs/>
          <w:color w:val="000000"/>
          <w:kern w:val="0"/>
        </w:rPr>
      </w:pPr>
      <w:r w:rsidRPr="007B0866">
        <w:rPr>
          <w:rFonts w:eastAsia="Songti SC"/>
          <w:color w:val="000000"/>
          <w:kern w:val="0"/>
        </w:rPr>
        <w:lastRenderedPageBreak/>
        <w:t xml:space="preserve">MOEJ (2025) </w:t>
      </w:r>
      <w:r w:rsidRPr="007B0866">
        <w:rPr>
          <w:rFonts w:eastAsia="Songti SC"/>
          <w:i/>
          <w:iCs/>
          <w:color w:val="000000"/>
          <w:kern w:val="0"/>
        </w:rPr>
        <w:t>Japan’s National Greenhouse Gas Emissions and Removals in FY2023: Executive Summary</w:t>
      </w:r>
      <w:r w:rsidRPr="007B0866">
        <w:rPr>
          <w:rFonts w:eastAsia="Songti SC"/>
          <w:color w:val="000000"/>
          <w:kern w:val="0"/>
        </w:rPr>
        <w:t xml:space="preserve">. Tokyo: Ministry of the Environment. Available at: </w:t>
      </w:r>
      <w:hyperlink r:id="rId54">
        <w:r w:rsidRPr="007B0866">
          <w:rPr>
            <w:rFonts w:eastAsia="Songti SC"/>
            <w:color w:val="000000"/>
            <w:kern w:val="0"/>
            <w:u w:val="single"/>
          </w:rPr>
          <w:t>https://www.env.go.jp/content/000310707.pdf</w:t>
        </w:r>
      </w:hyperlink>
      <w:r w:rsidRPr="007B0866">
        <w:rPr>
          <w:rFonts w:eastAsia="Songti SC"/>
          <w:color w:val="000000"/>
          <w:kern w:val="0"/>
        </w:rPr>
        <w:t xml:space="preserve"> (Accessed: 12 July 2026).</w:t>
      </w:r>
    </w:p>
    <w:p w14:paraId="34305CA0"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Moliner-Tena, M. A., and Tortosa-Edo, V. (2025). Customer privacy concerns in the omnichannel consumer journey. </w:t>
      </w:r>
      <w:r w:rsidRPr="007B0866">
        <w:rPr>
          <w:rFonts w:eastAsia="Songti SC"/>
          <w:i/>
          <w:iCs/>
          <w:color w:val="000000"/>
          <w:kern w:val="0"/>
        </w:rPr>
        <w:t>International Journal of Retail and Distribution Management</w:t>
      </w:r>
      <w:r w:rsidRPr="007B0866">
        <w:rPr>
          <w:rFonts w:eastAsia="Songti SC"/>
          <w:color w:val="000000"/>
          <w:kern w:val="0"/>
        </w:rPr>
        <w:t>, </w:t>
      </w:r>
      <w:r w:rsidRPr="007B0866">
        <w:rPr>
          <w:rFonts w:eastAsia="Songti SC"/>
          <w:i/>
          <w:iCs/>
          <w:color w:val="000000"/>
          <w:kern w:val="0"/>
        </w:rPr>
        <w:t>53</w:t>
      </w:r>
      <w:r w:rsidRPr="007B0866">
        <w:rPr>
          <w:rFonts w:eastAsia="Songti SC"/>
          <w:color w:val="000000"/>
          <w:kern w:val="0"/>
        </w:rPr>
        <w:t>(13), 167-183.</w:t>
      </w:r>
    </w:p>
    <w:p w14:paraId="3E5E24D7"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NITI Aayog (2025) </w:t>
      </w:r>
      <w:r w:rsidRPr="007B0866">
        <w:rPr>
          <w:rFonts w:eastAsia="Songti SC"/>
          <w:i/>
          <w:iCs/>
          <w:color w:val="000000"/>
          <w:kern w:val="0"/>
        </w:rPr>
        <w:t>Automotive Industry: Powering India’s Participation in Global Value Chains</w:t>
      </w:r>
      <w:r w:rsidRPr="007B0866">
        <w:rPr>
          <w:rFonts w:eastAsia="Songti SC"/>
          <w:color w:val="000000"/>
          <w:kern w:val="0"/>
        </w:rPr>
        <w:t xml:space="preserve">. New Delhi: Government of India. Available at: </w:t>
      </w:r>
      <w:hyperlink r:id="rId55">
        <w:r w:rsidRPr="007B0866">
          <w:rPr>
            <w:rFonts w:eastAsia="Songti SC"/>
            <w:color w:val="000000"/>
            <w:kern w:val="0"/>
            <w:u w:val="single"/>
          </w:rPr>
          <w:t>https://www.niti.gov.in/sites/default/files/2025-06/Automotive%20Industry%20Powering%20India%E2%80%99s%20participation%20in%20GVC_Non%20Confidential.pdf</w:t>
        </w:r>
      </w:hyperlink>
      <w:r w:rsidRPr="007B0866">
        <w:rPr>
          <w:rFonts w:eastAsia="Songti SC"/>
          <w:color w:val="000000"/>
          <w:kern w:val="0"/>
        </w:rPr>
        <w:t xml:space="preserve"> (Accessed: 12 July 2026).</w:t>
      </w:r>
    </w:p>
    <w:p w14:paraId="3CB82738"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NTT and Toyota Motor Corporation (2024) ‘NTT and Toyota Motor Corporation agree to joint initiative in the field of mobility and AI/telecommunications’, 31 October. Available at: </w:t>
      </w:r>
      <w:hyperlink r:id="rId56">
        <w:r w:rsidRPr="007B0866">
          <w:rPr>
            <w:rFonts w:eastAsia="Songti SC"/>
            <w:color w:val="000000"/>
            <w:kern w:val="0"/>
            <w:u w:val="single"/>
          </w:rPr>
          <w:t>https://global.toyota/en/newsroom/corporate/41746564.html</w:t>
        </w:r>
      </w:hyperlink>
      <w:r w:rsidRPr="007B0866">
        <w:rPr>
          <w:rFonts w:eastAsia="Songti SC"/>
          <w:color w:val="000000"/>
          <w:kern w:val="0"/>
        </w:rPr>
        <w:t xml:space="preserve"> (Accessed: 12 July 2026).</w:t>
      </w:r>
    </w:p>
    <w:p w14:paraId="7FC56462"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OECD (2025) </w:t>
      </w:r>
      <w:r w:rsidRPr="007B0866">
        <w:rPr>
          <w:rFonts w:eastAsia="Songti SC"/>
          <w:i/>
          <w:iCs/>
          <w:color w:val="000000"/>
          <w:kern w:val="0"/>
        </w:rPr>
        <w:t>OECD Employment Outlook 2025: Japan</w:t>
      </w:r>
      <w:r w:rsidRPr="007B0866">
        <w:rPr>
          <w:rFonts w:eastAsia="Songti SC"/>
          <w:color w:val="000000"/>
          <w:kern w:val="0"/>
        </w:rPr>
        <w:t xml:space="preserve">. Paris: OECD Publishing. Available at: </w:t>
      </w:r>
      <w:hyperlink r:id="rId57">
        <w:r w:rsidRPr="007B0866">
          <w:rPr>
            <w:rFonts w:eastAsia="Songti SC"/>
            <w:color w:val="000000"/>
            <w:kern w:val="0"/>
            <w:u w:val="single"/>
          </w:rPr>
          <w:t>https://www.oecd.org/en/publications/oecd-employment-outlook-2025-country-notes_f91531f7-en/japan_7672bd00-en.html</w:t>
        </w:r>
      </w:hyperlink>
      <w:r w:rsidRPr="007B0866">
        <w:rPr>
          <w:rFonts w:eastAsia="Songti SC"/>
          <w:color w:val="000000"/>
          <w:kern w:val="0"/>
        </w:rPr>
        <w:t xml:space="preserve"> (Accessed: 12 July 2026).</w:t>
      </w:r>
    </w:p>
    <w:p w14:paraId="52A90A06"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Pak, Y. S., and Lee, J. M. (2023). Organizational learning platforms for knowledge creation in international joint ventures: the mediating role of formal and informal communication. </w:t>
      </w:r>
      <w:r w:rsidRPr="007B0866">
        <w:rPr>
          <w:rFonts w:eastAsia="Songti SC"/>
          <w:i/>
          <w:iCs/>
          <w:color w:val="000000"/>
          <w:kern w:val="0"/>
        </w:rPr>
        <w:t>Asian Business and Management</w:t>
      </w:r>
      <w:r w:rsidRPr="007B0866">
        <w:rPr>
          <w:rFonts w:eastAsia="Songti SC"/>
          <w:color w:val="000000"/>
          <w:kern w:val="0"/>
        </w:rPr>
        <w:t>, </w:t>
      </w:r>
      <w:r w:rsidRPr="007B0866">
        <w:rPr>
          <w:rFonts w:eastAsia="Songti SC"/>
          <w:i/>
          <w:iCs/>
          <w:color w:val="000000"/>
          <w:kern w:val="0"/>
        </w:rPr>
        <w:t>22</w:t>
      </w:r>
      <w:r w:rsidRPr="007B0866">
        <w:rPr>
          <w:rFonts w:eastAsia="Songti SC"/>
          <w:color w:val="000000"/>
          <w:kern w:val="0"/>
        </w:rPr>
        <w:t>(5), 2135-2163.</w:t>
      </w:r>
    </w:p>
    <w:p w14:paraId="39F25CC6"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Pandey, A., Singh, S. K., Srivastava, H. K., and Pandey, S. (2025). Factors causing electric vehicles adoption in India: a regression and sentiment analysis approach. </w:t>
      </w:r>
      <w:r w:rsidRPr="007B0866">
        <w:rPr>
          <w:rFonts w:eastAsia="Songti SC"/>
          <w:i/>
          <w:iCs/>
          <w:color w:val="000000"/>
          <w:kern w:val="0"/>
        </w:rPr>
        <w:t>International Journal of Energy Sector Management</w:t>
      </w:r>
      <w:r w:rsidRPr="007B0866">
        <w:rPr>
          <w:rFonts w:eastAsia="Songti SC"/>
          <w:color w:val="000000"/>
          <w:kern w:val="0"/>
        </w:rPr>
        <w:t>, </w:t>
      </w:r>
      <w:r w:rsidRPr="007B0866">
        <w:rPr>
          <w:rFonts w:eastAsia="Songti SC"/>
          <w:i/>
          <w:iCs/>
          <w:color w:val="000000"/>
          <w:kern w:val="0"/>
        </w:rPr>
        <w:t>19</w:t>
      </w:r>
      <w:r w:rsidRPr="007B0866">
        <w:rPr>
          <w:rFonts w:eastAsia="Songti SC"/>
          <w:color w:val="000000"/>
          <w:kern w:val="0"/>
        </w:rPr>
        <w:t>(6), 1390-1405.</w:t>
      </w:r>
    </w:p>
    <w:p w14:paraId="21DDF48B"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Park, C., Ghauri, P. N., Lee, J. Y., and Golmohammadi, I. (2022). Unveiling the black box of IJV innovativeness: The role of explicit and tacit knowledge transfer. </w:t>
      </w:r>
      <w:r w:rsidRPr="007B0866">
        <w:rPr>
          <w:rFonts w:eastAsia="Songti SC"/>
          <w:i/>
          <w:iCs/>
          <w:color w:val="000000"/>
          <w:kern w:val="0"/>
        </w:rPr>
        <w:t>Journal of International Management</w:t>
      </w:r>
      <w:r w:rsidRPr="007B0866">
        <w:rPr>
          <w:rFonts w:eastAsia="Songti SC"/>
          <w:color w:val="000000"/>
          <w:kern w:val="0"/>
        </w:rPr>
        <w:t>, </w:t>
      </w:r>
      <w:r w:rsidRPr="007B0866">
        <w:rPr>
          <w:rFonts w:eastAsia="Songti SC"/>
          <w:i/>
          <w:iCs/>
          <w:color w:val="000000"/>
          <w:kern w:val="0"/>
        </w:rPr>
        <w:t>28</w:t>
      </w:r>
      <w:r w:rsidRPr="007B0866">
        <w:rPr>
          <w:rFonts w:eastAsia="Songti SC"/>
          <w:color w:val="000000"/>
          <w:kern w:val="0"/>
        </w:rPr>
        <w:t>(4), 100956.</w:t>
      </w:r>
    </w:p>
    <w:p w14:paraId="5AFB3F74"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lastRenderedPageBreak/>
        <w:t>Park, J. E., and Buccieri, D. (2026). Internal embeddedness and innovation performance of Multilatinas: roles of reverse knowledge transfer and subsidiary autonomy delegation. </w:t>
      </w:r>
      <w:r w:rsidRPr="007B0866">
        <w:rPr>
          <w:rFonts w:eastAsia="Songti SC"/>
          <w:i/>
          <w:iCs/>
          <w:color w:val="000000"/>
          <w:kern w:val="0"/>
        </w:rPr>
        <w:t>International Journal of Emerging Markets</w:t>
      </w:r>
      <w:r w:rsidRPr="007B0866">
        <w:rPr>
          <w:rFonts w:eastAsia="Songti SC"/>
          <w:color w:val="000000"/>
          <w:kern w:val="0"/>
        </w:rPr>
        <w:t>, </w:t>
      </w:r>
      <w:r w:rsidRPr="007B0866">
        <w:rPr>
          <w:rFonts w:eastAsia="Songti SC"/>
          <w:i/>
          <w:iCs/>
          <w:color w:val="000000"/>
          <w:kern w:val="0"/>
        </w:rPr>
        <w:t>21</w:t>
      </w:r>
      <w:r w:rsidRPr="007B0866">
        <w:rPr>
          <w:rFonts w:eastAsia="Songti SC"/>
          <w:color w:val="000000"/>
          <w:kern w:val="0"/>
        </w:rPr>
        <w:t>(3), 921-942.</w:t>
      </w:r>
    </w:p>
    <w:p w14:paraId="73BE1F80"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Pearson, S., and Malthouse, E. (2024). Fifth generation IMC: Expanding the scope to profit, people, and the planet. </w:t>
      </w:r>
      <w:r w:rsidRPr="007B0866">
        <w:rPr>
          <w:rFonts w:eastAsia="Songti SC"/>
          <w:i/>
          <w:iCs/>
          <w:color w:val="000000"/>
          <w:kern w:val="0"/>
        </w:rPr>
        <w:t>arXiv preprint arXiv:2404.04740</w:t>
      </w:r>
      <w:r w:rsidRPr="007B0866">
        <w:rPr>
          <w:rFonts w:eastAsia="Songti SC"/>
          <w:color w:val="000000"/>
          <w:kern w:val="0"/>
        </w:rPr>
        <w:t>.</w:t>
      </w:r>
    </w:p>
    <w:p w14:paraId="5FCB73F3"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Piao, X., Nasuda, A., and Li, S. (2025). Electric Vehicle Adoption: Japanese Consumer Attitudes, Inter-Vehicle Transitions, and Effects on Well-Being. </w:t>
      </w:r>
      <w:r w:rsidRPr="007B0866">
        <w:rPr>
          <w:rFonts w:eastAsia="Songti SC"/>
          <w:i/>
          <w:iCs/>
          <w:color w:val="000000"/>
          <w:kern w:val="0"/>
        </w:rPr>
        <w:t>Sustainability</w:t>
      </w:r>
      <w:r w:rsidRPr="007B0866">
        <w:rPr>
          <w:rFonts w:eastAsia="Songti SC"/>
          <w:color w:val="000000"/>
          <w:kern w:val="0"/>
        </w:rPr>
        <w:t>, </w:t>
      </w:r>
      <w:r w:rsidRPr="007B0866">
        <w:rPr>
          <w:rFonts w:eastAsia="Songti SC"/>
          <w:i/>
          <w:iCs/>
          <w:color w:val="000000"/>
          <w:kern w:val="0"/>
        </w:rPr>
        <w:t>18</w:t>
      </w:r>
      <w:r w:rsidRPr="007B0866">
        <w:rPr>
          <w:rFonts w:eastAsia="Songti SC"/>
          <w:color w:val="000000"/>
          <w:kern w:val="0"/>
        </w:rPr>
        <w:t>(1), 195.</w:t>
      </w:r>
    </w:p>
    <w:p w14:paraId="1B2C1443"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PIB (2022) ‘Cabinet approves India’s updated nationally determined contribution’. Available at: </w:t>
      </w:r>
      <w:hyperlink r:id="rId58">
        <w:r w:rsidRPr="007B0866">
          <w:rPr>
            <w:rFonts w:eastAsia="Songti SC"/>
            <w:color w:val="000000"/>
            <w:kern w:val="0"/>
            <w:u w:val="single"/>
          </w:rPr>
          <w:t>https://www.pib.gov.in/PressReleaseIframePage.aspx?PRID=1847812</w:t>
        </w:r>
      </w:hyperlink>
      <w:r w:rsidRPr="007B0866">
        <w:rPr>
          <w:rFonts w:eastAsia="Songti SC"/>
          <w:color w:val="000000"/>
          <w:kern w:val="0"/>
        </w:rPr>
        <w:t xml:space="preserve"> (Accessed: 12 July 2026).</w:t>
      </w:r>
    </w:p>
    <w:p w14:paraId="0511FFCC"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PIB (2025) ‘Government notifies Digital Personal Data Protection Rules, 2025’. Available at: </w:t>
      </w:r>
      <w:hyperlink r:id="rId59">
        <w:r w:rsidRPr="007B0866">
          <w:rPr>
            <w:rFonts w:eastAsia="Songti SC"/>
            <w:color w:val="000000"/>
            <w:kern w:val="0"/>
            <w:u w:val="single"/>
          </w:rPr>
          <w:t>https://www.pib.gov.in/PressReleasePage.aspx?PRID=2190014</w:t>
        </w:r>
      </w:hyperlink>
      <w:r w:rsidRPr="007B0866">
        <w:rPr>
          <w:rFonts w:eastAsia="Songti SC"/>
          <w:color w:val="000000"/>
          <w:kern w:val="0"/>
        </w:rPr>
        <w:t xml:space="preserve"> (Accessed: 12 July 2026).</w:t>
      </w:r>
    </w:p>
    <w:p w14:paraId="1E8EE417"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Poulis, K. (2024). Standardization and adaptation as a coconstituted process: the pursuit of relational fit in international markets. </w:t>
      </w:r>
      <w:r w:rsidRPr="007B0866">
        <w:rPr>
          <w:rFonts w:eastAsia="Songti SC"/>
          <w:i/>
          <w:iCs/>
          <w:color w:val="000000"/>
          <w:kern w:val="0"/>
        </w:rPr>
        <w:t>Journal of International Marketing</w:t>
      </w:r>
      <w:r w:rsidRPr="007B0866">
        <w:rPr>
          <w:rFonts w:eastAsia="Songti SC"/>
          <w:color w:val="000000"/>
          <w:kern w:val="0"/>
        </w:rPr>
        <w:t>, </w:t>
      </w:r>
      <w:r w:rsidRPr="007B0866">
        <w:rPr>
          <w:rFonts w:eastAsia="Songti SC"/>
          <w:i/>
          <w:iCs/>
          <w:color w:val="000000"/>
          <w:kern w:val="0"/>
        </w:rPr>
        <w:t>32</w:t>
      </w:r>
      <w:r w:rsidRPr="007B0866">
        <w:rPr>
          <w:rFonts w:eastAsia="Songti SC"/>
          <w:color w:val="000000"/>
          <w:kern w:val="0"/>
        </w:rPr>
        <w:t>(2), 12-32.</w:t>
      </w:r>
    </w:p>
    <w:p w14:paraId="6AD11BEC"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PPC (2023) ‘Laws and policies: Act on the Protection of Personal Information’. Available at: </w:t>
      </w:r>
      <w:hyperlink r:id="rId60">
        <w:r w:rsidRPr="007B0866">
          <w:rPr>
            <w:rFonts w:eastAsia="Songti SC"/>
            <w:color w:val="000000"/>
            <w:kern w:val="0"/>
            <w:u w:val="single"/>
          </w:rPr>
          <w:t>https://www.ppc.go.jp/en/legal/</w:t>
        </w:r>
      </w:hyperlink>
      <w:r w:rsidRPr="007B0866">
        <w:rPr>
          <w:rFonts w:eastAsia="Songti SC"/>
          <w:color w:val="000000"/>
          <w:kern w:val="0"/>
        </w:rPr>
        <w:t xml:space="preserve"> (Accessed: 12 July 2026).</w:t>
      </w:r>
    </w:p>
    <w:p w14:paraId="73291734"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Qi, G., Ghauri, P. N., and Adomako, S. (2026). Network Dynamics in the Internationalisation of Emerging Market Multinational Enterprises: A Systematic Review and Agenda for Future Research. </w:t>
      </w:r>
      <w:r w:rsidRPr="007B0866">
        <w:rPr>
          <w:rFonts w:eastAsia="Songti SC"/>
          <w:i/>
          <w:iCs/>
          <w:color w:val="000000"/>
          <w:kern w:val="0"/>
        </w:rPr>
        <w:t>Management International Review</w:t>
      </w:r>
      <w:r w:rsidRPr="007B0866">
        <w:rPr>
          <w:rFonts w:eastAsia="Songti SC"/>
          <w:color w:val="000000"/>
          <w:kern w:val="0"/>
        </w:rPr>
        <w:t>, 1-33.</w:t>
      </w:r>
    </w:p>
    <w:p w14:paraId="0A6C2A71"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Rahman, S. M., Carlson, J., Gudergan, S. P., Wetzels, M., and Grewal, D. (2025). How do omnichannel customer experiences affect customer engagement? Theory and empirical validation. </w:t>
      </w:r>
      <w:r w:rsidRPr="007B0866">
        <w:rPr>
          <w:rFonts w:eastAsia="Songti SC"/>
          <w:i/>
          <w:iCs/>
          <w:color w:val="000000"/>
          <w:kern w:val="0"/>
        </w:rPr>
        <w:t>Journal of Business Research</w:t>
      </w:r>
      <w:r w:rsidRPr="007B0866">
        <w:rPr>
          <w:rFonts w:eastAsia="Songti SC"/>
          <w:color w:val="000000"/>
          <w:kern w:val="0"/>
        </w:rPr>
        <w:t>, </w:t>
      </w:r>
      <w:r w:rsidRPr="007B0866">
        <w:rPr>
          <w:rFonts w:eastAsia="Songti SC"/>
          <w:i/>
          <w:iCs/>
          <w:color w:val="000000"/>
          <w:kern w:val="0"/>
        </w:rPr>
        <w:t>189</w:t>
      </w:r>
      <w:r w:rsidRPr="007B0866">
        <w:rPr>
          <w:rFonts w:eastAsia="Songti SC"/>
          <w:color w:val="000000"/>
          <w:kern w:val="0"/>
        </w:rPr>
        <w:t>, 115196.</w:t>
      </w:r>
    </w:p>
    <w:p w14:paraId="72A4F0F6"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Reuters (2024) ‘Japan orders drastic reforms after new Toyota certification violations’, 31 July. Available at: </w:t>
      </w:r>
      <w:hyperlink r:id="rId61">
        <w:r w:rsidRPr="007B0866">
          <w:rPr>
            <w:rFonts w:eastAsia="Songti SC"/>
            <w:color w:val="000000"/>
            <w:kern w:val="0"/>
            <w:u w:val="single"/>
          </w:rPr>
          <w:t>https://www.reuters.com/business/autos-transportation/japans-transport-ministry-issue-corrective-order-toyota-nhk-says-2024-07-31/</w:t>
        </w:r>
      </w:hyperlink>
      <w:r w:rsidRPr="007B0866">
        <w:rPr>
          <w:rFonts w:eastAsia="Songti SC"/>
          <w:color w:val="000000"/>
          <w:kern w:val="0"/>
        </w:rPr>
        <w:t xml:space="preserve"> (Accessed: 12 July 2026).</w:t>
      </w:r>
    </w:p>
    <w:p w14:paraId="3CBD0B3F"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lastRenderedPageBreak/>
        <w:t xml:space="preserve">Reuters (2025) ‘Toyota steps up India expansion with new SUVs, rural push as profit surges’, 30 October. Available at: </w:t>
      </w:r>
      <w:hyperlink r:id="rId62">
        <w:r w:rsidRPr="007B0866">
          <w:rPr>
            <w:rFonts w:eastAsia="Songti SC"/>
            <w:color w:val="000000"/>
            <w:kern w:val="0"/>
            <w:u w:val="single"/>
          </w:rPr>
          <w:t>https://www.reuters.com/world/asia-pacific/toyota-steps-up-india-expansion-with-new-suvs-rural-push-profit-surges-2025-10-30/</w:t>
        </w:r>
      </w:hyperlink>
      <w:r w:rsidRPr="007B0866">
        <w:rPr>
          <w:rFonts w:eastAsia="Songti SC"/>
          <w:color w:val="000000"/>
          <w:kern w:val="0"/>
        </w:rPr>
        <w:t xml:space="preserve"> (Accessed: 12 July 2026).</w:t>
      </w:r>
    </w:p>
    <w:p w14:paraId="3B654FB8"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Reuters (2026) ‘Alternative-fuel vehicles hit record market share in June after Iran war’, 6 July. Available at: </w:t>
      </w:r>
      <w:hyperlink r:id="rId63">
        <w:r w:rsidRPr="007B0866">
          <w:rPr>
            <w:rFonts w:eastAsia="Songti SC"/>
            <w:color w:val="000000"/>
            <w:kern w:val="0"/>
            <w:u w:val="single"/>
          </w:rPr>
          <w:t>https://www.reuters.com/world/india/indias-retail-car-sales-jump-nearly-29-june-2026-07-06/</w:t>
        </w:r>
      </w:hyperlink>
      <w:r w:rsidRPr="007B0866">
        <w:rPr>
          <w:rFonts w:eastAsia="Songti SC"/>
          <w:color w:val="000000"/>
          <w:kern w:val="0"/>
        </w:rPr>
        <w:t xml:space="preserve"> (Accessed: 12 July 2026).</w:t>
      </w:r>
    </w:p>
    <w:p w14:paraId="38B02BE6"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Reuters (2026) ‘India’s Tata Motors targets mass EV adoption with low-priced, fast-charging Punch’, 20 February. Available at: </w:t>
      </w:r>
      <w:hyperlink r:id="rId64">
        <w:r w:rsidRPr="007B0866">
          <w:rPr>
            <w:rFonts w:eastAsia="Songti SC"/>
            <w:color w:val="000000"/>
            <w:kern w:val="0"/>
            <w:u w:val="single"/>
          </w:rPr>
          <w:t>https://www.reuters.com/sustainability/climate-energy/indias-tata-motors-targets-mass-ev-adoption-with-low-priced-fast-charging-punch-2026-02-20/</w:t>
        </w:r>
      </w:hyperlink>
      <w:r w:rsidRPr="007B0866">
        <w:rPr>
          <w:rFonts w:eastAsia="Songti SC"/>
          <w:color w:val="000000"/>
          <w:kern w:val="0"/>
        </w:rPr>
        <w:t xml:space="preserve"> (Accessed: 12 July 2026).</w:t>
      </w:r>
    </w:p>
    <w:p w14:paraId="5990D92A"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Reuters (2026a) ‘IMF revises up Japan’s growth forecast, sees inflation moderating’, 19 January. Available at: </w:t>
      </w:r>
      <w:hyperlink r:id="rId65">
        <w:r w:rsidRPr="007B0866">
          <w:rPr>
            <w:rFonts w:eastAsia="Songti SC"/>
            <w:color w:val="000000"/>
            <w:kern w:val="0"/>
            <w:u w:val="single"/>
          </w:rPr>
          <w:t>https://www.reuters.com/world/asia-pacific/imf-revises-up-japans-growth-forecast-sees-inflation-moderating-2026-01-19/</w:t>
        </w:r>
      </w:hyperlink>
      <w:r w:rsidRPr="007B0866">
        <w:rPr>
          <w:rFonts w:eastAsia="Songti SC"/>
          <w:color w:val="000000"/>
          <w:kern w:val="0"/>
        </w:rPr>
        <w:t xml:space="preserve"> (Accessed: 12 July 2026).</w:t>
      </w:r>
    </w:p>
    <w:p w14:paraId="24E80C75"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Reuters (2026b) ‘BOJ to signal more rate hikes as yen and politics fuel inflation risks’, 20 January. Available at: </w:t>
      </w:r>
      <w:hyperlink r:id="rId66">
        <w:r w:rsidRPr="007B0866">
          <w:rPr>
            <w:rFonts w:eastAsia="Songti SC"/>
            <w:color w:val="000000"/>
            <w:kern w:val="0"/>
            <w:u w:val="single"/>
          </w:rPr>
          <w:t>https://www.reuters.com/world/asia-pacific/boj-signal-more-rate-hikes-yen-politics-fuel-inflation-risks-2026-01-20/</w:t>
        </w:r>
      </w:hyperlink>
      <w:r w:rsidRPr="007B0866">
        <w:rPr>
          <w:rFonts w:eastAsia="Songti SC"/>
          <w:color w:val="000000"/>
          <w:kern w:val="0"/>
        </w:rPr>
        <w:t xml:space="preserve"> (Accessed: 12 July 2026).</w:t>
      </w:r>
    </w:p>
    <w:p w14:paraId="7532A311"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Safari, A., Holmstedt, M., and Johanson, M. (2024). Graftee and grafting in firm internationalization. </w:t>
      </w:r>
      <w:r w:rsidRPr="007B0866">
        <w:rPr>
          <w:rFonts w:eastAsia="Songti SC"/>
          <w:i/>
          <w:iCs/>
          <w:color w:val="000000"/>
          <w:kern w:val="0"/>
        </w:rPr>
        <w:t>Journal of East-West Business</w:t>
      </w:r>
      <w:r w:rsidRPr="007B0866">
        <w:rPr>
          <w:rFonts w:eastAsia="Songti SC"/>
          <w:color w:val="000000"/>
          <w:kern w:val="0"/>
        </w:rPr>
        <w:t>, </w:t>
      </w:r>
      <w:r w:rsidRPr="007B0866">
        <w:rPr>
          <w:rFonts w:eastAsia="Songti SC"/>
          <w:i/>
          <w:iCs/>
          <w:color w:val="000000"/>
          <w:kern w:val="0"/>
        </w:rPr>
        <w:t>30</w:t>
      </w:r>
      <w:r w:rsidRPr="007B0866">
        <w:rPr>
          <w:rFonts w:eastAsia="Songti SC"/>
          <w:color w:val="000000"/>
          <w:kern w:val="0"/>
        </w:rPr>
        <w:t>(2), 133-156.</w:t>
      </w:r>
    </w:p>
    <w:p w14:paraId="32A6B6B7"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Santos, C., Coelho, A., and Marques, A. (2024). The greenwashing effects on corporate reputation and brand hate, through environmental performance and green perceived risk. </w:t>
      </w:r>
      <w:r w:rsidRPr="007B0866">
        <w:rPr>
          <w:rFonts w:eastAsia="Songti SC"/>
          <w:i/>
          <w:iCs/>
          <w:color w:val="000000"/>
          <w:kern w:val="0"/>
        </w:rPr>
        <w:t>Asia-Pacific Journal of Business Administration</w:t>
      </w:r>
      <w:r w:rsidRPr="007B0866">
        <w:rPr>
          <w:rFonts w:eastAsia="Songti SC"/>
          <w:color w:val="000000"/>
          <w:kern w:val="0"/>
        </w:rPr>
        <w:t>, </w:t>
      </w:r>
      <w:r w:rsidRPr="007B0866">
        <w:rPr>
          <w:rFonts w:eastAsia="Songti SC"/>
          <w:i/>
          <w:iCs/>
          <w:color w:val="000000"/>
          <w:kern w:val="0"/>
        </w:rPr>
        <w:t>16</w:t>
      </w:r>
      <w:r w:rsidRPr="007B0866">
        <w:rPr>
          <w:rFonts w:eastAsia="Songti SC"/>
          <w:color w:val="000000"/>
          <w:kern w:val="0"/>
        </w:rPr>
        <w:t>(3), 655-676.</w:t>
      </w:r>
    </w:p>
    <w:p w14:paraId="40BC67C4"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Shaheer, N., Li, S., Chen, L., Brouthers, K. D., Li, D., and Liesch, P. (2026). Moving beyond entry modes: toward a new paradigm of international involvement in an era of digitalization and global transitions. </w:t>
      </w:r>
      <w:r w:rsidRPr="007B0866">
        <w:rPr>
          <w:rFonts w:eastAsia="Songti SC"/>
          <w:i/>
          <w:iCs/>
          <w:color w:val="000000"/>
          <w:kern w:val="0"/>
        </w:rPr>
        <w:t>Journal of International Business Studies</w:t>
      </w:r>
      <w:r w:rsidRPr="007B0866">
        <w:rPr>
          <w:rFonts w:eastAsia="Songti SC"/>
          <w:color w:val="000000"/>
          <w:kern w:val="0"/>
        </w:rPr>
        <w:t>, 1-18.</w:t>
      </w:r>
    </w:p>
    <w:p w14:paraId="16E5A984"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SIAM (2026a) ‘Auto industry performance for Q4 and FY2025/26’. Available at: </w:t>
      </w:r>
      <w:hyperlink r:id="rId67">
        <w:r w:rsidRPr="007B0866">
          <w:rPr>
            <w:rFonts w:eastAsia="Songti SC"/>
            <w:color w:val="000000"/>
            <w:kern w:val="0"/>
            <w:u w:val="single"/>
          </w:rPr>
          <w:t>https://www.siam.in/pressrelease-details.aspx?pid=605</w:t>
        </w:r>
      </w:hyperlink>
      <w:r w:rsidRPr="007B0866">
        <w:rPr>
          <w:rFonts w:eastAsia="Songti SC"/>
          <w:color w:val="000000"/>
          <w:kern w:val="0"/>
        </w:rPr>
        <w:t xml:space="preserve"> (Accessed: 12 July 2026).</w:t>
      </w:r>
    </w:p>
    <w:p w14:paraId="03A4E23B"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lastRenderedPageBreak/>
        <w:t xml:space="preserve">SIAM (2026b) ‘Auto industry performance for April 2026’. Available at: </w:t>
      </w:r>
      <w:hyperlink r:id="rId68">
        <w:r w:rsidRPr="007B0866">
          <w:rPr>
            <w:rFonts w:eastAsia="Songti SC"/>
            <w:color w:val="000000"/>
            <w:kern w:val="0"/>
            <w:u w:val="single"/>
          </w:rPr>
          <w:t>https://www.siam.in/pressrelease-details.aspx?mpgid=53andpgidtrail=50andpid=607</w:t>
        </w:r>
      </w:hyperlink>
      <w:r w:rsidRPr="007B0866">
        <w:rPr>
          <w:rFonts w:eastAsia="Songti SC"/>
          <w:color w:val="000000"/>
          <w:kern w:val="0"/>
        </w:rPr>
        <w:t xml:space="preserve"> (Accessed: 12 July 2026).</w:t>
      </w:r>
    </w:p>
    <w:p w14:paraId="6787AA87"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The Culture Factor (2026) ‘Country comparison tool: India and Japan’. Available at: </w:t>
      </w:r>
      <w:hyperlink r:id="rId69">
        <w:r w:rsidRPr="007B0866">
          <w:rPr>
            <w:rFonts w:eastAsia="Songti SC"/>
            <w:color w:val="000000"/>
            <w:kern w:val="0"/>
            <w:u w:val="single"/>
          </w:rPr>
          <w:t>https://www.theculturefactor.com/country-comparison-tool?countries=india%2Cjapan</w:t>
        </w:r>
      </w:hyperlink>
      <w:r w:rsidRPr="007B0866">
        <w:rPr>
          <w:rFonts w:eastAsia="Songti SC"/>
          <w:color w:val="000000"/>
          <w:kern w:val="0"/>
        </w:rPr>
        <w:t xml:space="preserve"> (Accessed: 12 July 2026).</w:t>
      </w:r>
    </w:p>
    <w:p w14:paraId="5AA5E69E"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Kirloskar Motor (2025a) ‘Toyota India certified used cars: Toyota U-Trust’. Available at: </w:t>
      </w:r>
      <w:hyperlink r:id="rId70">
        <w:r w:rsidRPr="007B0866">
          <w:rPr>
            <w:rFonts w:eastAsia="Songti SC"/>
            <w:color w:val="000000"/>
            <w:kern w:val="0"/>
            <w:u w:val="single"/>
          </w:rPr>
          <w:t>https://www.toyotabharat.com/certified-used-cars/</w:t>
        </w:r>
      </w:hyperlink>
      <w:r w:rsidRPr="007B0866">
        <w:rPr>
          <w:rFonts w:eastAsia="Songti SC"/>
          <w:color w:val="000000"/>
          <w:kern w:val="0"/>
        </w:rPr>
        <w:t xml:space="preserve"> (Accessed: 12 July 2026).</w:t>
      </w:r>
    </w:p>
    <w:p w14:paraId="298D129E"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Kirloskar Motor (2025b) ‘Toyota Kirloskar Motor sends 100 skilled youth for global training to Japan’, 31 October. Available at: </w:t>
      </w:r>
      <w:hyperlink r:id="rId71">
        <w:r w:rsidRPr="007B0866">
          <w:rPr>
            <w:rFonts w:eastAsia="Songti SC"/>
            <w:color w:val="000000"/>
            <w:kern w:val="0"/>
            <w:u w:val="single"/>
          </w:rPr>
          <w:t>https://www.toyotabharat.com/news/2025/tkm-sends-100-skilled-youth-for-global-training-to-japan.html</w:t>
        </w:r>
      </w:hyperlink>
      <w:r w:rsidRPr="007B0866">
        <w:rPr>
          <w:rFonts w:eastAsia="Songti SC"/>
          <w:color w:val="000000"/>
          <w:kern w:val="0"/>
        </w:rPr>
        <w:t xml:space="preserve"> (Accessed: 12 July 2026).</w:t>
      </w:r>
    </w:p>
    <w:p w14:paraId="240FFB5C"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Kirloskar Motor (2025c) ‘Toyota Kirloskar Motor opens doors to Toyota experiential museum in Bangalore’, 23 November. Available at: </w:t>
      </w:r>
      <w:hyperlink r:id="rId72">
        <w:r w:rsidRPr="007B0866">
          <w:rPr>
            <w:rFonts w:eastAsia="Songti SC"/>
            <w:color w:val="000000"/>
            <w:kern w:val="0"/>
            <w:u w:val="single"/>
          </w:rPr>
          <w:t>https://www.toyotabharat.com/news/2025/tkm-opens-doors-to-toyota-experiential-museum-tem-in-bangalore.html</w:t>
        </w:r>
      </w:hyperlink>
      <w:r w:rsidRPr="007B0866">
        <w:rPr>
          <w:rFonts w:eastAsia="Songti SC"/>
          <w:color w:val="000000"/>
          <w:kern w:val="0"/>
        </w:rPr>
        <w:t xml:space="preserve"> (Accessed: 12 July 2026).</w:t>
      </w:r>
    </w:p>
    <w:p w14:paraId="142AC899"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Kirloskar Motor (2026) ‘Toyota Kirloskar Motor registers 406,081 units sales in FY2025/26’, 1 April. Available at: </w:t>
      </w:r>
      <w:hyperlink r:id="rId73">
        <w:r w:rsidRPr="007B0866">
          <w:rPr>
            <w:rFonts w:eastAsia="Songti SC"/>
            <w:color w:val="000000"/>
            <w:kern w:val="0"/>
            <w:u w:val="single"/>
          </w:rPr>
          <w:t>https://www.toyotabharat.com/news/2026/tkm-registers-406081-units-sales-in-fy-25-26.html</w:t>
        </w:r>
      </w:hyperlink>
      <w:r w:rsidRPr="007B0866">
        <w:rPr>
          <w:rFonts w:eastAsia="Songti SC"/>
          <w:color w:val="000000"/>
          <w:kern w:val="0"/>
        </w:rPr>
        <w:t xml:space="preserve"> (Accessed: 12 July 2026).</w:t>
      </w:r>
    </w:p>
    <w:p w14:paraId="485E56B2"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Kirloskar Motor (2026) ‘Toyota Kirloskar Motor shines at IndiaSkills National Competition 2025–26 with nine medals’, 13 April. Available at: </w:t>
      </w:r>
      <w:hyperlink r:id="rId74">
        <w:r w:rsidRPr="007B0866">
          <w:rPr>
            <w:rFonts w:eastAsia="Songti SC"/>
            <w:color w:val="000000"/>
            <w:kern w:val="0"/>
            <w:u w:val="single"/>
          </w:rPr>
          <w:t>https://www.toyotabharat.com/news/2026/tkm-shines-at-indiaskills-national-competition-2025-26-with-9-medals.html</w:t>
        </w:r>
      </w:hyperlink>
      <w:r w:rsidRPr="007B0866">
        <w:rPr>
          <w:rFonts w:eastAsia="Songti SC"/>
          <w:color w:val="000000"/>
          <w:kern w:val="0"/>
        </w:rPr>
        <w:t xml:space="preserve"> (Accessed: 12 July 2026).</w:t>
      </w:r>
    </w:p>
    <w:p w14:paraId="6630BE95"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Kirloskar Motor (2026a) ‘Toyota India official website’. Available at: </w:t>
      </w:r>
      <w:hyperlink r:id="rId75">
        <w:r w:rsidRPr="007B0866">
          <w:rPr>
            <w:rFonts w:eastAsia="Songti SC"/>
            <w:color w:val="000000"/>
            <w:kern w:val="0"/>
            <w:u w:val="single"/>
          </w:rPr>
          <w:t>https://www.toyotabharat.com/</w:t>
        </w:r>
      </w:hyperlink>
      <w:r w:rsidRPr="007B0866">
        <w:rPr>
          <w:rFonts w:eastAsia="Songti SC"/>
          <w:color w:val="000000"/>
          <w:kern w:val="0"/>
        </w:rPr>
        <w:t xml:space="preserve"> (Accessed: 12 July 2026).</w:t>
      </w:r>
    </w:p>
    <w:p w14:paraId="770C44C0"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Kirloskar Motor (2026b) ‘Toyota Kirloskar Motor celebrates 2-lakh sales milestone of Innova HyCross in India’, 9 April. Available at: </w:t>
      </w:r>
      <w:hyperlink r:id="rId76">
        <w:r w:rsidRPr="007B0866">
          <w:rPr>
            <w:rFonts w:eastAsia="Songti SC"/>
            <w:color w:val="000000"/>
            <w:kern w:val="0"/>
            <w:u w:val="single"/>
          </w:rPr>
          <w:t>https://www.toyotabharat.com/news/2026/tkm-celebrates-2-lakh-sales-milestone-of-innova-hycross-in-india.html</w:t>
        </w:r>
      </w:hyperlink>
      <w:r w:rsidRPr="007B0866">
        <w:rPr>
          <w:rFonts w:eastAsia="Songti SC"/>
          <w:color w:val="000000"/>
          <w:kern w:val="0"/>
        </w:rPr>
        <w:t xml:space="preserve"> (Accessed: 12 July 2026).</w:t>
      </w:r>
    </w:p>
    <w:p w14:paraId="2CB665CC"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Kirloskar Motor (2026c) ‘Toyota Urban Cruiser Ebella: Price, colours and specifications’. Available at: </w:t>
      </w:r>
      <w:hyperlink r:id="rId77">
        <w:r w:rsidRPr="007B0866">
          <w:rPr>
            <w:rFonts w:eastAsia="Songti SC"/>
            <w:color w:val="000000"/>
            <w:kern w:val="0"/>
            <w:u w:val="single"/>
          </w:rPr>
          <w:t>https://www.toyotabharat.com/showroom/urbancruiser-ebella/</w:t>
        </w:r>
      </w:hyperlink>
      <w:r w:rsidRPr="007B0866">
        <w:rPr>
          <w:rFonts w:eastAsia="Songti SC"/>
          <w:color w:val="000000"/>
          <w:kern w:val="0"/>
        </w:rPr>
        <w:t xml:space="preserve"> (Accessed: 12 July 2026).</w:t>
      </w:r>
    </w:p>
    <w:p w14:paraId="6C6C1A19"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Kirloskar Motor (2026d) ‘Toyota introduces the new Innova Crysta with premium styling and new design elements’, 4 June. Available at: </w:t>
      </w:r>
      <w:hyperlink r:id="rId78">
        <w:r w:rsidRPr="007B0866">
          <w:rPr>
            <w:rFonts w:eastAsia="Songti SC"/>
            <w:color w:val="000000"/>
            <w:kern w:val="0"/>
            <w:u w:val="single"/>
          </w:rPr>
          <w:t>https://www.toyotabharat.com/news/2026/toyota-introduces-the-new-innova-crysta-with-premium-styling-and-new-design-elements.html</w:t>
        </w:r>
      </w:hyperlink>
      <w:r w:rsidRPr="007B0866">
        <w:rPr>
          <w:rFonts w:eastAsia="Songti SC"/>
          <w:color w:val="000000"/>
          <w:kern w:val="0"/>
        </w:rPr>
        <w:t xml:space="preserve"> (Accessed: 12 July 2026).</w:t>
      </w:r>
    </w:p>
    <w:p w14:paraId="0A322CDE"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Kirloskar Motor (2026e) ‘Toyota Kirloskar Motor rolls out curated Tech Package for Urban Cruiser Hyryder’, 27 January. Available at: </w:t>
      </w:r>
      <w:hyperlink r:id="rId79">
        <w:r w:rsidRPr="007B0866">
          <w:rPr>
            <w:rFonts w:eastAsia="Songti SC"/>
            <w:color w:val="000000"/>
            <w:kern w:val="0"/>
            <w:u w:val="single"/>
          </w:rPr>
          <w:t>https://www.toyotabharat.com/news/2026/tkm-rolls-out-curated-tech-package-for-urban-cruiser-hyryder.html</w:t>
        </w:r>
      </w:hyperlink>
      <w:r w:rsidRPr="007B0866">
        <w:rPr>
          <w:rFonts w:eastAsia="Songti SC"/>
          <w:color w:val="000000"/>
          <w:kern w:val="0"/>
        </w:rPr>
        <w:t xml:space="preserve"> (Accessed: 12 July 2026).</w:t>
      </w:r>
    </w:p>
    <w:p w14:paraId="41EFF6D2"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Kirloskar Motor (2026f) ‘Toyota Kirloskar Motor announces the price of the all-electric Urban Cruiser Ebella’, 29 May. Available at: </w:t>
      </w:r>
      <w:hyperlink r:id="rId80">
        <w:r w:rsidRPr="007B0866">
          <w:rPr>
            <w:rFonts w:eastAsia="Songti SC"/>
            <w:color w:val="000000"/>
            <w:kern w:val="0"/>
            <w:u w:val="single"/>
          </w:rPr>
          <w:t>https://www.toyotabharat.com/news/2026/tkm-announces-the-price-of-the-all-electric-urban-cruiser-ebella.html</w:t>
        </w:r>
      </w:hyperlink>
      <w:r w:rsidRPr="007B0866">
        <w:rPr>
          <w:rFonts w:eastAsia="Songti SC"/>
          <w:color w:val="000000"/>
          <w:kern w:val="0"/>
        </w:rPr>
        <w:t xml:space="preserve"> (Accessed: 12 July 2026).</w:t>
      </w:r>
    </w:p>
    <w:p w14:paraId="2DDCBCA4"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Kirloskar Motor (2026g) ‘Toyota Kirloskar Motor expands presence in Jharkhand, inaugurates new dealership in Jamshedpur’, 10 July. Available at: </w:t>
      </w:r>
      <w:hyperlink r:id="rId81">
        <w:r w:rsidRPr="007B0866">
          <w:rPr>
            <w:rFonts w:eastAsia="Songti SC"/>
            <w:color w:val="000000"/>
            <w:kern w:val="0"/>
            <w:u w:val="single"/>
          </w:rPr>
          <w:t>https://www.toyotabharat.com/news/2026/tkm-expands-presence-in-jharkhand-inaugurates-new-dealership-in-jamshedpur.html</w:t>
        </w:r>
      </w:hyperlink>
      <w:r w:rsidRPr="007B0866">
        <w:rPr>
          <w:rFonts w:eastAsia="Songti SC"/>
          <w:color w:val="000000"/>
          <w:kern w:val="0"/>
        </w:rPr>
        <w:t xml:space="preserve"> (Accessed: 12 July 2026).</w:t>
      </w:r>
    </w:p>
    <w:p w14:paraId="083DBE11"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Kirloskar Motor (2026h) ‘Toyota Kirloskar Motor expands presence in Assam, inaugurates new dealership in Guwahati’, 6 July. Available at: </w:t>
      </w:r>
      <w:hyperlink r:id="rId82">
        <w:r w:rsidRPr="007B0866">
          <w:rPr>
            <w:rFonts w:eastAsia="Songti SC"/>
            <w:color w:val="000000"/>
            <w:kern w:val="0"/>
            <w:u w:val="single"/>
          </w:rPr>
          <w:t>https://www.toyotabharat.com/news/2026/tkm-expands-presence-in-assam-inaugurates-new-dealership-in-guwahati.html</w:t>
        </w:r>
      </w:hyperlink>
      <w:r w:rsidRPr="007B0866">
        <w:rPr>
          <w:rFonts w:eastAsia="Songti SC"/>
          <w:color w:val="000000"/>
          <w:kern w:val="0"/>
        </w:rPr>
        <w:t xml:space="preserve"> (Accessed: 12 July 2026).</w:t>
      </w:r>
    </w:p>
    <w:p w14:paraId="43B14786"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lastRenderedPageBreak/>
        <w:t xml:space="preserve">Toyota Kirloskar Motor (2026i) ‘Toyota Kirloskar Motor celebrates the Toyota Urban Cruiser Hyryder Month’, 5 March. Available at: </w:t>
      </w:r>
      <w:hyperlink r:id="rId83">
        <w:r w:rsidRPr="007B0866">
          <w:rPr>
            <w:rFonts w:eastAsia="Songti SC"/>
            <w:color w:val="000000"/>
            <w:kern w:val="0"/>
            <w:u w:val="single"/>
          </w:rPr>
          <w:t>https://www.toyotabharat.com/news/2026/tkm-celebrates-the-toyota-urban-cruiser-hyryder-month.html</w:t>
        </w:r>
      </w:hyperlink>
      <w:r w:rsidRPr="007B0866">
        <w:rPr>
          <w:rFonts w:eastAsia="Songti SC"/>
          <w:color w:val="000000"/>
          <w:kern w:val="0"/>
        </w:rPr>
        <w:t xml:space="preserve"> (Accessed: 12 July 2026).</w:t>
      </w:r>
    </w:p>
    <w:p w14:paraId="0311C61C"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Kirloskar Motor (2026j) ‘Toyota virtual showroom’. Available at: </w:t>
      </w:r>
      <w:hyperlink r:id="rId84">
        <w:r w:rsidRPr="007B0866">
          <w:rPr>
            <w:rFonts w:eastAsia="Songti SC"/>
            <w:color w:val="000000"/>
            <w:kern w:val="0"/>
            <w:u w:val="single"/>
          </w:rPr>
          <w:t>https://www.toyotabharat.com/virtual-showroom/</w:t>
        </w:r>
      </w:hyperlink>
      <w:r w:rsidRPr="007B0866">
        <w:rPr>
          <w:rFonts w:eastAsia="Songti SC"/>
          <w:color w:val="000000"/>
          <w:kern w:val="0"/>
        </w:rPr>
        <w:t xml:space="preserve"> (Accessed: 12 July 2026).</w:t>
      </w:r>
    </w:p>
    <w:p w14:paraId="5BE9DF43"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Kirloskar Motor (2026k) ‘Toyota Kirloskar Motor launches the all-electric Urban Cruiser Ebella’, 20 January. Available at: </w:t>
      </w:r>
      <w:hyperlink r:id="rId85">
        <w:r w:rsidRPr="007B0866">
          <w:rPr>
            <w:rFonts w:eastAsia="Songti SC"/>
            <w:color w:val="000000"/>
            <w:kern w:val="0"/>
            <w:u w:val="single"/>
          </w:rPr>
          <w:t>https://www.toyotabharat.com/news/2026/tkm-launches-the-all-electric-urban-cruiser-ebella.html</w:t>
        </w:r>
      </w:hyperlink>
      <w:r w:rsidRPr="007B0866">
        <w:rPr>
          <w:rFonts w:eastAsia="Songti SC"/>
          <w:color w:val="000000"/>
          <w:kern w:val="0"/>
        </w:rPr>
        <w:t xml:space="preserve"> (Accessed: 12 July 2026).</w:t>
      </w:r>
    </w:p>
    <w:p w14:paraId="3626E4EF"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Kirloskar Motor (2026l) ‘Toyota India test drive’. Available at: </w:t>
      </w:r>
      <w:hyperlink r:id="rId86">
        <w:r w:rsidRPr="007B0866">
          <w:rPr>
            <w:rFonts w:eastAsia="Songti SC"/>
            <w:color w:val="000000"/>
            <w:kern w:val="0"/>
            <w:u w:val="single"/>
          </w:rPr>
          <w:t>https://www.toyotabharat.com/testdrive/</w:t>
        </w:r>
      </w:hyperlink>
      <w:r w:rsidRPr="007B0866">
        <w:rPr>
          <w:rFonts w:eastAsia="Songti SC"/>
          <w:color w:val="000000"/>
          <w:kern w:val="0"/>
        </w:rPr>
        <w:t xml:space="preserve"> (Accessed: 12 July 2026).</w:t>
      </w:r>
    </w:p>
    <w:p w14:paraId="0D297C45"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Motor Corporation (2024) ‘Suzuki and Toyota to deepen collaboration in the field of electrified vehicles’, 30 October. Available at: </w:t>
      </w:r>
      <w:hyperlink r:id="rId87">
        <w:r w:rsidRPr="007B0866">
          <w:rPr>
            <w:rFonts w:eastAsia="Songti SC"/>
            <w:color w:val="000000"/>
            <w:kern w:val="0"/>
            <w:u w:val="single"/>
          </w:rPr>
          <w:t>https://global.toyota/en/newsroom/corporate/41769232.html</w:t>
        </w:r>
      </w:hyperlink>
      <w:r w:rsidRPr="007B0866">
        <w:rPr>
          <w:rFonts w:eastAsia="Songti SC"/>
          <w:color w:val="000000"/>
          <w:kern w:val="0"/>
        </w:rPr>
        <w:t xml:space="preserve"> (Accessed: 12 July 2026).</w:t>
      </w:r>
    </w:p>
    <w:p w14:paraId="0B911592"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Motor Corporation (2024a) ‘Results of investigation regarding model certification applications’, 3 June. Available at: </w:t>
      </w:r>
      <w:hyperlink r:id="rId88">
        <w:r w:rsidRPr="007B0866">
          <w:rPr>
            <w:rFonts w:eastAsia="Songti SC"/>
            <w:color w:val="000000"/>
            <w:kern w:val="0"/>
            <w:u w:val="single"/>
          </w:rPr>
          <w:t>https://global.toyota/en/newsroom/corporate/40920588.html</w:t>
        </w:r>
      </w:hyperlink>
      <w:r w:rsidRPr="007B0866">
        <w:rPr>
          <w:rFonts w:eastAsia="Songti SC"/>
          <w:color w:val="000000"/>
          <w:kern w:val="0"/>
        </w:rPr>
        <w:t xml:space="preserve"> (Accessed: 12 July 2026).</w:t>
      </w:r>
    </w:p>
    <w:p w14:paraId="57F545D9"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Motor Corporation (2024b) ‘Correction order issued to model certification applications’, 31 July. Available at: </w:t>
      </w:r>
      <w:hyperlink r:id="rId89">
        <w:r w:rsidRPr="007B0866">
          <w:rPr>
            <w:rFonts w:eastAsia="Songti SC"/>
            <w:color w:val="000000"/>
            <w:kern w:val="0"/>
            <w:u w:val="single"/>
          </w:rPr>
          <w:t>https://global.toyota/en/newsroom/corporate/41314045.html</w:t>
        </w:r>
      </w:hyperlink>
      <w:r w:rsidRPr="007B0866">
        <w:rPr>
          <w:rFonts w:eastAsia="Songti SC"/>
          <w:color w:val="000000"/>
          <w:kern w:val="0"/>
        </w:rPr>
        <w:t xml:space="preserve"> (Accessed: 12 July 2026).</w:t>
      </w:r>
    </w:p>
    <w:p w14:paraId="77857E6E"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Motor Corporation (2025) ‘Toyota submits fourth progress report on measures to prevent recurrence’, 9 September. Available at: </w:t>
      </w:r>
      <w:hyperlink r:id="rId90">
        <w:r w:rsidRPr="007B0866">
          <w:rPr>
            <w:rFonts w:eastAsia="Songti SC"/>
            <w:color w:val="000000"/>
            <w:kern w:val="0"/>
            <w:u w:val="single"/>
          </w:rPr>
          <w:t>https://global.toyota/en/newsroom/corporate/43290098.html</w:t>
        </w:r>
      </w:hyperlink>
      <w:r w:rsidRPr="007B0866">
        <w:rPr>
          <w:rFonts w:eastAsia="Songti SC"/>
          <w:color w:val="000000"/>
          <w:kern w:val="0"/>
        </w:rPr>
        <w:t xml:space="preserve"> (Accessed: 12 July 2026).</w:t>
      </w:r>
    </w:p>
    <w:p w14:paraId="575031AE"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Motor Corporation (2025) ‘Toyota Woven City officially launches as a test course for mobility’, 25 September. Available at: </w:t>
      </w:r>
      <w:hyperlink r:id="rId91">
        <w:r w:rsidRPr="007B0866">
          <w:rPr>
            <w:rFonts w:eastAsia="Songti SC"/>
            <w:color w:val="000000"/>
            <w:kern w:val="0"/>
            <w:u w:val="single"/>
          </w:rPr>
          <w:t>https://global.toyota/en/newsroom/corporate/43347785.html</w:t>
        </w:r>
      </w:hyperlink>
      <w:r w:rsidRPr="007B0866">
        <w:rPr>
          <w:rFonts w:eastAsia="Songti SC"/>
          <w:color w:val="000000"/>
          <w:kern w:val="0"/>
        </w:rPr>
        <w:t xml:space="preserve"> (Accessed: 12 July 2026).</w:t>
      </w:r>
    </w:p>
    <w:p w14:paraId="3A8EB375"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lastRenderedPageBreak/>
        <w:t xml:space="preserve">Toyota Motor Corporation (2025a) ‘Toyota launches new RAV4 in Japan’, 17 December. Available at: </w:t>
      </w:r>
      <w:hyperlink r:id="rId92">
        <w:r w:rsidRPr="007B0866">
          <w:rPr>
            <w:rFonts w:eastAsia="Songti SC"/>
            <w:color w:val="000000"/>
            <w:kern w:val="0"/>
            <w:u w:val="single"/>
          </w:rPr>
          <w:t>https://global.toyota/en/newsroom/toyota/43740895.html</w:t>
        </w:r>
      </w:hyperlink>
      <w:r w:rsidRPr="007B0866">
        <w:rPr>
          <w:rFonts w:eastAsia="Songti SC"/>
          <w:color w:val="000000"/>
          <w:kern w:val="0"/>
        </w:rPr>
        <w:t xml:space="preserve"> (Accessed: 12 July 2026).</w:t>
      </w:r>
    </w:p>
    <w:p w14:paraId="0F8761C7"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Motor Corporation (2025b) ‘New Land Cruiser FJ makes world premiere’, 21 October. Available at: </w:t>
      </w:r>
      <w:hyperlink r:id="rId93">
        <w:r w:rsidRPr="007B0866">
          <w:rPr>
            <w:rFonts w:eastAsia="Songti SC"/>
            <w:color w:val="000000"/>
            <w:kern w:val="0"/>
            <w:u w:val="single"/>
          </w:rPr>
          <w:t>https://global.toyota/en/newsroom/toyota/43389422.html</w:t>
        </w:r>
      </w:hyperlink>
      <w:r w:rsidRPr="007B0866">
        <w:rPr>
          <w:rFonts w:eastAsia="Songti SC"/>
          <w:color w:val="000000"/>
          <w:kern w:val="0"/>
        </w:rPr>
        <w:t xml:space="preserve"> (Accessed: 12 July 2026).</w:t>
      </w:r>
    </w:p>
    <w:p w14:paraId="57BED3B4"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Motor Corporation (2026a) ‘Land Cruiser FJ: Prices and grades’. Available at: </w:t>
      </w:r>
      <w:hyperlink r:id="rId94">
        <w:r w:rsidRPr="007B0866">
          <w:rPr>
            <w:rFonts w:eastAsia="Songti SC"/>
            <w:color w:val="000000"/>
            <w:kern w:val="0"/>
            <w:u w:val="single"/>
          </w:rPr>
          <w:t>https://toyota.jp/landcruiserfj/grade/</w:t>
        </w:r>
      </w:hyperlink>
      <w:r w:rsidRPr="007B0866">
        <w:rPr>
          <w:rFonts w:eastAsia="Songti SC"/>
          <w:color w:val="000000"/>
          <w:kern w:val="0"/>
        </w:rPr>
        <w:t xml:space="preserve"> (Accessed: 12 July 2026).</w:t>
      </w:r>
    </w:p>
    <w:p w14:paraId="4ECC7403"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Motor Corporation (2026a) </w:t>
      </w:r>
      <w:r w:rsidRPr="007B0866">
        <w:rPr>
          <w:rFonts w:eastAsia="Songti SC"/>
          <w:i/>
          <w:iCs/>
          <w:color w:val="000000"/>
          <w:kern w:val="0"/>
        </w:rPr>
        <w:t>Financial Summary FY2026</w:t>
      </w:r>
      <w:r w:rsidRPr="007B0866">
        <w:rPr>
          <w:rFonts w:eastAsia="Songti SC"/>
          <w:color w:val="000000"/>
          <w:kern w:val="0"/>
        </w:rPr>
        <w:t xml:space="preserve">. Available at: </w:t>
      </w:r>
      <w:hyperlink r:id="rId95">
        <w:r w:rsidRPr="007B0866">
          <w:rPr>
            <w:rFonts w:eastAsia="Songti SC"/>
            <w:color w:val="000000"/>
            <w:kern w:val="0"/>
            <w:u w:val="single"/>
          </w:rPr>
          <w:t>https://global.toyota/pages/global_toyota/ir/financial-results/2026_4q_summary_en.pdf</w:t>
        </w:r>
      </w:hyperlink>
      <w:r w:rsidRPr="007B0866">
        <w:rPr>
          <w:rFonts w:eastAsia="Songti SC"/>
          <w:color w:val="000000"/>
          <w:kern w:val="0"/>
        </w:rPr>
        <w:t xml:space="preserve"> (Accessed: 12 July 2026).</w:t>
      </w:r>
    </w:p>
    <w:p w14:paraId="148B65D8"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Motor Corporation (2026b) ‘Toyota launches all-new Land Cruiser FJ series in Japan’, 14 May. Available at: </w:t>
      </w:r>
      <w:hyperlink r:id="rId96">
        <w:r w:rsidRPr="007B0866">
          <w:rPr>
            <w:rFonts w:eastAsia="Songti SC"/>
            <w:color w:val="000000"/>
            <w:kern w:val="0"/>
            <w:u w:val="single"/>
          </w:rPr>
          <w:t>https://global.toyota/en/newsroom/toyota/44331143.html</w:t>
        </w:r>
      </w:hyperlink>
      <w:r w:rsidRPr="007B0866">
        <w:rPr>
          <w:rFonts w:eastAsia="Songti SC"/>
          <w:color w:val="000000"/>
          <w:kern w:val="0"/>
        </w:rPr>
        <w:t xml:space="preserve"> (Accessed: 12 July 2026).</w:t>
      </w:r>
    </w:p>
    <w:p w14:paraId="42CEBF46"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Motor Corporation (2026b) </w:t>
      </w:r>
      <w:r w:rsidRPr="007B0866">
        <w:rPr>
          <w:rFonts w:eastAsia="Songti SC"/>
          <w:i/>
          <w:iCs/>
          <w:color w:val="000000"/>
          <w:kern w:val="0"/>
        </w:rPr>
        <w:t>Corporate Governance Report</w:t>
      </w:r>
      <w:r w:rsidRPr="007B0866">
        <w:rPr>
          <w:rFonts w:eastAsia="Songti SC"/>
          <w:color w:val="000000"/>
          <w:kern w:val="0"/>
        </w:rPr>
        <w:t xml:space="preserve">. Available at: </w:t>
      </w:r>
      <w:hyperlink r:id="rId97">
        <w:r w:rsidRPr="007B0866">
          <w:rPr>
            <w:rFonts w:eastAsia="Songti SC"/>
            <w:color w:val="000000"/>
            <w:kern w:val="0"/>
            <w:u w:val="single"/>
          </w:rPr>
          <w:t>https://www.rns-pdf.londonstockexchange.com/rns/6394I_1-2026-6-17.pdf</w:t>
        </w:r>
      </w:hyperlink>
      <w:r w:rsidRPr="007B0866">
        <w:rPr>
          <w:rFonts w:eastAsia="Songti SC"/>
          <w:color w:val="000000"/>
          <w:kern w:val="0"/>
        </w:rPr>
        <w:t xml:space="preserve"> (Accessed: 12 July 2026).</w:t>
      </w:r>
    </w:p>
    <w:p w14:paraId="108CB5ED"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Motor Corporation (2026c) ‘Toyota Japan official website’. Available at: </w:t>
      </w:r>
      <w:hyperlink r:id="rId98">
        <w:r w:rsidRPr="007B0866">
          <w:rPr>
            <w:rFonts w:eastAsia="Songti SC"/>
            <w:color w:val="000000"/>
            <w:kern w:val="0"/>
            <w:u w:val="single"/>
          </w:rPr>
          <w:t>https://toyota.jp/index.html</w:t>
        </w:r>
      </w:hyperlink>
      <w:r w:rsidRPr="007B0866">
        <w:rPr>
          <w:rFonts w:eastAsia="Songti SC"/>
          <w:color w:val="000000"/>
          <w:kern w:val="0"/>
        </w:rPr>
        <w:t xml:space="preserve"> (Accessed: 12 July 2026).</w:t>
      </w:r>
    </w:p>
    <w:p w14:paraId="012C023E"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Motor Corporation (2026d) ‘My Toyota’. Available at: </w:t>
      </w:r>
      <w:hyperlink r:id="rId99">
        <w:r w:rsidRPr="007B0866">
          <w:rPr>
            <w:rFonts w:eastAsia="Songti SC"/>
            <w:color w:val="000000"/>
            <w:kern w:val="0"/>
            <w:u w:val="single"/>
          </w:rPr>
          <w:t>https://toyota.jp/member/mytoyota/</w:t>
        </w:r>
      </w:hyperlink>
      <w:r w:rsidRPr="007B0866">
        <w:rPr>
          <w:rFonts w:eastAsia="Songti SC"/>
          <w:color w:val="000000"/>
          <w:kern w:val="0"/>
        </w:rPr>
        <w:t xml:space="preserve"> (Accessed: 12 July 2026).</w:t>
      </w:r>
    </w:p>
    <w:p w14:paraId="105EC065"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Motor Corporation (2026e) ‘Toyota to sell U.S.-made Tundra and Highlander in Japan’, 2 April. Available at: </w:t>
      </w:r>
      <w:hyperlink r:id="rId100">
        <w:r w:rsidRPr="007B0866">
          <w:rPr>
            <w:rFonts w:eastAsia="Songti SC"/>
            <w:color w:val="000000"/>
            <w:kern w:val="0"/>
            <w:u w:val="single"/>
          </w:rPr>
          <w:t>https://global.toyota/en/newsroom/toyota/44149919.html</w:t>
        </w:r>
      </w:hyperlink>
      <w:r w:rsidRPr="007B0866">
        <w:rPr>
          <w:rFonts w:eastAsia="Songti SC"/>
          <w:color w:val="000000"/>
          <w:kern w:val="0"/>
        </w:rPr>
        <w:t xml:space="preserve"> (Accessed: 12 July 2026).</w:t>
      </w:r>
    </w:p>
    <w:p w14:paraId="1E079B31"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Motor Corporation (2026f) ‘Meet Your Flagship campaign’, 15 April. Available at: </w:t>
      </w:r>
      <w:hyperlink r:id="rId101">
        <w:r w:rsidRPr="007B0866">
          <w:rPr>
            <w:rFonts w:eastAsia="Songti SC"/>
            <w:color w:val="000000"/>
            <w:kern w:val="0"/>
            <w:u w:val="single"/>
          </w:rPr>
          <w:t>https://toyota.jp/info/crown_brand/campaign_202604/</w:t>
        </w:r>
      </w:hyperlink>
      <w:r w:rsidRPr="007B0866">
        <w:rPr>
          <w:rFonts w:eastAsia="Songti SC"/>
          <w:color w:val="000000"/>
          <w:kern w:val="0"/>
        </w:rPr>
        <w:t xml:space="preserve"> (Accessed: 12 July 2026).</w:t>
      </w:r>
    </w:p>
    <w:p w14:paraId="24D96422"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lastRenderedPageBreak/>
        <w:t xml:space="preserve">Toyota Motor Corporation (2026g) ‘The Crown flagship stores’. Available at: </w:t>
      </w:r>
      <w:hyperlink r:id="rId102">
        <w:r w:rsidRPr="007B0866">
          <w:rPr>
            <w:rFonts w:eastAsia="Songti SC"/>
            <w:color w:val="000000"/>
            <w:kern w:val="0"/>
            <w:u w:val="single"/>
          </w:rPr>
          <w:t>https://toyota.jp/info/crown_brand/flagshipstore/</w:t>
        </w:r>
      </w:hyperlink>
      <w:r w:rsidRPr="007B0866">
        <w:rPr>
          <w:rFonts w:eastAsia="Songti SC"/>
          <w:color w:val="000000"/>
          <w:kern w:val="0"/>
        </w:rPr>
        <w:t xml:space="preserve"> (Accessed: 12 July 2026).</w:t>
      </w:r>
    </w:p>
    <w:p w14:paraId="42E32675"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Motor Corporation (2026h) ‘Company overview’. Available at: </w:t>
      </w:r>
      <w:hyperlink r:id="rId103">
        <w:r w:rsidRPr="007B0866">
          <w:rPr>
            <w:rFonts w:eastAsia="Songti SC"/>
            <w:color w:val="000000"/>
            <w:kern w:val="0"/>
            <w:u w:val="single"/>
          </w:rPr>
          <w:t>https://global.toyota/en/company/profile/overview/index.html</w:t>
        </w:r>
      </w:hyperlink>
      <w:r w:rsidRPr="007B0866">
        <w:rPr>
          <w:rFonts w:eastAsia="Songti SC"/>
          <w:color w:val="000000"/>
          <w:kern w:val="0"/>
        </w:rPr>
        <w:t xml:space="preserve"> (Accessed: 12 July 2026).</w:t>
      </w:r>
    </w:p>
    <w:p w14:paraId="1F473E3F"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Motor Corporation (2026i) ‘T-Connect services’. Available at: </w:t>
      </w:r>
      <w:hyperlink r:id="rId104">
        <w:r w:rsidRPr="007B0866">
          <w:rPr>
            <w:rFonts w:eastAsia="Songti SC"/>
            <w:color w:val="000000"/>
            <w:kern w:val="0"/>
            <w:u w:val="single"/>
          </w:rPr>
          <w:t>https://toyota.jp/tconnectservice/service/index.html</w:t>
        </w:r>
      </w:hyperlink>
      <w:r w:rsidRPr="007B0866">
        <w:rPr>
          <w:rFonts w:eastAsia="Songti SC"/>
          <w:color w:val="000000"/>
          <w:kern w:val="0"/>
        </w:rPr>
        <w:t xml:space="preserve"> (Accessed: 12 July 2026).</w:t>
      </w:r>
    </w:p>
    <w:p w14:paraId="0B2BA9B1"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Toyota Motor Corporation (2026j) ‘Service campaign information’. Available at: </w:t>
      </w:r>
      <w:hyperlink r:id="rId105">
        <w:r w:rsidRPr="007B0866">
          <w:rPr>
            <w:rFonts w:eastAsia="Songti SC"/>
            <w:color w:val="000000"/>
            <w:kern w:val="0"/>
            <w:u w:val="single"/>
          </w:rPr>
          <w:t>https://toyota.jp/recall/campaign/</w:t>
        </w:r>
      </w:hyperlink>
      <w:r w:rsidRPr="007B0866">
        <w:rPr>
          <w:rFonts w:eastAsia="Songti SC"/>
          <w:color w:val="000000"/>
          <w:kern w:val="0"/>
        </w:rPr>
        <w:t xml:space="preserve"> (Accessed: 12 July 2026).</w:t>
      </w:r>
    </w:p>
    <w:p w14:paraId="2519A49F"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Trigeorgis, L., and Miller, S. R. (2025). Real option portfolios and the theory of the multinational enterprise: understanding modes of international involvement in the digital economy. </w:t>
      </w:r>
      <w:r w:rsidRPr="007B0866">
        <w:rPr>
          <w:rFonts w:eastAsia="Songti SC"/>
          <w:i/>
          <w:iCs/>
          <w:color w:val="000000"/>
          <w:kern w:val="0"/>
        </w:rPr>
        <w:t>Journal of International Business Studies</w:t>
      </w:r>
      <w:r w:rsidRPr="007B0866">
        <w:rPr>
          <w:rFonts w:eastAsia="Songti SC"/>
          <w:color w:val="000000"/>
          <w:kern w:val="0"/>
        </w:rPr>
        <w:t>, 1-18.</w:t>
      </w:r>
    </w:p>
    <w:p w14:paraId="63CD3FE0"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Tsougkou, E., Cadogan, J. W., Boso, N., Hodgkinson, I. R., Oliveira, J. S., Laukkanen, T., ... and Story, V. M. (2025). International product adaptation and performance: A systematic analysis of the literature and agenda for future research. </w:t>
      </w:r>
      <w:r w:rsidRPr="007B0866">
        <w:rPr>
          <w:rFonts w:eastAsia="Songti SC"/>
          <w:i/>
          <w:iCs/>
          <w:color w:val="000000"/>
          <w:kern w:val="0"/>
        </w:rPr>
        <w:t>Journal of World Business</w:t>
      </w:r>
      <w:r w:rsidRPr="007B0866">
        <w:rPr>
          <w:rFonts w:eastAsia="Songti SC"/>
          <w:color w:val="000000"/>
          <w:kern w:val="0"/>
        </w:rPr>
        <w:t>, </w:t>
      </w:r>
      <w:r w:rsidRPr="007B0866">
        <w:rPr>
          <w:rFonts w:eastAsia="Songti SC"/>
          <w:i/>
          <w:iCs/>
          <w:color w:val="000000"/>
          <w:kern w:val="0"/>
        </w:rPr>
        <w:t>60</w:t>
      </w:r>
      <w:r w:rsidRPr="007B0866">
        <w:rPr>
          <w:rFonts w:eastAsia="Songti SC"/>
          <w:color w:val="000000"/>
          <w:kern w:val="0"/>
        </w:rPr>
        <w:t>(1), 101597.</w:t>
      </w:r>
    </w:p>
    <w:p w14:paraId="54186597" w14:textId="77777777" w:rsidR="00082694" w:rsidRPr="007B0866" w:rsidRDefault="00E7132B">
      <w:pPr>
        <w:spacing w:after="240" w:line="360" w:lineRule="auto"/>
        <w:ind w:left="540" w:hanging="540"/>
        <w:jc w:val="both"/>
        <w:rPr>
          <w:rFonts w:eastAsia="Songti SC"/>
          <w:i/>
          <w:iCs/>
          <w:color w:val="000000"/>
          <w:kern w:val="0"/>
        </w:rPr>
      </w:pPr>
      <w:r w:rsidRPr="007B0866">
        <w:rPr>
          <w:rFonts w:eastAsia="Songti SC"/>
          <w:color w:val="000000"/>
          <w:kern w:val="0"/>
        </w:rPr>
        <w:t xml:space="preserve">UNCTAD (2026) </w:t>
      </w:r>
      <w:r w:rsidRPr="007B0866">
        <w:rPr>
          <w:rFonts w:eastAsia="Songti SC"/>
          <w:i/>
          <w:iCs/>
          <w:color w:val="000000"/>
          <w:kern w:val="0"/>
        </w:rPr>
        <w:t>World Investment Report 2026: International Investment in a Turbulent Era</w:t>
      </w:r>
      <w:r w:rsidRPr="007B0866">
        <w:rPr>
          <w:rFonts w:eastAsia="Songti SC"/>
          <w:color w:val="000000"/>
          <w:kern w:val="0"/>
        </w:rPr>
        <w:t xml:space="preserve">. Geneva: United Nations. Available at: </w:t>
      </w:r>
      <w:hyperlink r:id="rId106">
        <w:r w:rsidRPr="007B0866">
          <w:rPr>
            <w:rFonts w:eastAsia="Songti SC"/>
            <w:i/>
            <w:iCs/>
            <w:color w:val="000000"/>
            <w:kern w:val="0"/>
            <w:u w:val="single"/>
          </w:rPr>
          <w:t>https://unctad.org/publication/world-investment-report-2026</w:t>
        </w:r>
      </w:hyperlink>
      <w:r w:rsidRPr="007B0866">
        <w:rPr>
          <w:rFonts w:eastAsia="Songti SC"/>
          <w:color w:val="000000"/>
          <w:kern w:val="0"/>
        </w:rPr>
        <w:t xml:space="preserve"> (Accessed: 12 July 2026).</w:t>
      </w:r>
    </w:p>
    <w:p w14:paraId="46FE3D4D"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UNFPA (2025) ‘India population 2025’. Available at: </w:t>
      </w:r>
      <w:hyperlink r:id="rId107">
        <w:r w:rsidRPr="007B0866">
          <w:rPr>
            <w:rFonts w:eastAsia="Songti SC"/>
            <w:color w:val="000000"/>
            <w:kern w:val="0"/>
            <w:u w:val="single"/>
          </w:rPr>
          <w:t>https://www.unfpa.org/data/world-population/IN</w:t>
        </w:r>
      </w:hyperlink>
      <w:r w:rsidRPr="007B0866">
        <w:rPr>
          <w:rFonts w:eastAsia="Songti SC"/>
          <w:color w:val="000000"/>
          <w:kern w:val="0"/>
        </w:rPr>
        <w:t xml:space="preserve"> (Accessed: 12 July 2026).</w:t>
      </w:r>
    </w:p>
    <w:p w14:paraId="22829EF2"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Venaik, S., Brewer, P., and Midgley, D. (2023). Management research, international business, and national culture: Evaluating Hofstede and GLOBE. Routledge.</w:t>
      </w:r>
    </w:p>
    <w:p w14:paraId="081879F1"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Wan, C., Sousa, C. M., Lengler, J., and Tan, Q. (2023). Entry mode choice: A meta-analysis of antecedents and outcomes. </w:t>
      </w:r>
      <w:r w:rsidRPr="007B0866">
        <w:rPr>
          <w:rFonts w:eastAsia="Songti SC"/>
          <w:i/>
          <w:iCs/>
          <w:color w:val="000000"/>
          <w:kern w:val="0"/>
        </w:rPr>
        <w:t>Management International Review</w:t>
      </w:r>
      <w:r w:rsidRPr="007B0866">
        <w:rPr>
          <w:rFonts w:eastAsia="Songti SC"/>
          <w:color w:val="000000"/>
          <w:kern w:val="0"/>
        </w:rPr>
        <w:t>, </w:t>
      </w:r>
      <w:r w:rsidRPr="007B0866">
        <w:rPr>
          <w:rFonts w:eastAsia="Songti SC"/>
          <w:i/>
          <w:iCs/>
          <w:color w:val="000000"/>
          <w:kern w:val="0"/>
        </w:rPr>
        <w:t>63</w:t>
      </w:r>
      <w:r w:rsidRPr="007B0866">
        <w:rPr>
          <w:rFonts w:eastAsia="Songti SC"/>
          <w:color w:val="000000"/>
          <w:kern w:val="0"/>
        </w:rPr>
        <w:t>(2), 193-246.</w:t>
      </w:r>
    </w:p>
    <w:p w14:paraId="2E0AC5BA"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lastRenderedPageBreak/>
        <w:t>Wei, Y., Ekinci, Y., and Sit, K. (2025). More than law‐abiding: A multi‐staged consumer study on brand morality. </w:t>
      </w:r>
      <w:r w:rsidRPr="007B0866">
        <w:rPr>
          <w:rFonts w:eastAsia="Songti SC"/>
          <w:i/>
          <w:iCs/>
          <w:color w:val="000000"/>
          <w:kern w:val="0"/>
        </w:rPr>
        <w:t>Psychology and Marketing</w:t>
      </w:r>
      <w:r w:rsidRPr="007B0866">
        <w:rPr>
          <w:rFonts w:eastAsia="Songti SC"/>
          <w:color w:val="000000"/>
          <w:kern w:val="0"/>
        </w:rPr>
        <w:t>, </w:t>
      </w:r>
      <w:r w:rsidRPr="007B0866">
        <w:rPr>
          <w:rFonts w:eastAsia="Songti SC"/>
          <w:i/>
          <w:iCs/>
          <w:color w:val="000000"/>
          <w:kern w:val="0"/>
        </w:rPr>
        <w:t>42</w:t>
      </w:r>
      <w:r w:rsidRPr="007B0866">
        <w:rPr>
          <w:rFonts w:eastAsia="Songti SC"/>
          <w:color w:val="000000"/>
          <w:kern w:val="0"/>
        </w:rPr>
        <w:t>(2), 600-614.</w:t>
      </w:r>
    </w:p>
    <w:p w14:paraId="6E504CBB"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Weidig, J., Weippert, M., and Kuehnl, C. (2024). Personalized touchpoints and customer experience: A conceptual synthesis. </w:t>
      </w:r>
      <w:r w:rsidRPr="007B0866">
        <w:rPr>
          <w:rFonts w:eastAsia="Songti SC"/>
          <w:i/>
          <w:iCs/>
          <w:color w:val="000000"/>
          <w:kern w:val="0"/>
        </w:rPr>
        <w:t>Journal of Business Research</w:t>
      </w:r>
      <w:r w:rsidRPr="007B0866">
        <w:rPr>
          <w:rFonts w:eastAsia="Songti SC"/>
          <w:color w:val="000000"/>
          <w:kern w:val="0"/>
        </w:rPr>
        <w:t>, </w:t>
      </w:r>
      <w:r w:rsidRPr="007B0866">
        <w:rPr>
          <w:rFonts w:eastAsia="Songti SC"/>
          <w:i/>
          <w:iCs/>
          <w:color w:val="000000"/>
          <w:kern w:val="0"/>
        </w:rPr>
        <w:t>177</w:t>
      </w:r>
      <w:r w:rsidRPr="007B0866">
        <w:rPr>
          <w:rFonts w:eastAsia="Songti SC"/>
          <w:color w:val="000000"/>
          <w:kern w:val="0"/>
        </w:rPr>
        <w:t>, 114641.</w:t>
      </w:r>
    </w:p>
    <w:p w14:paraId="199C8BCF"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WIPO (2025a) </w:t>
      </w:r>
      <w:r w:rsidRPr="007B0866">
        <w:rPr>
          <w:rFonts w:eastAsia="Songti SC"/>
          <w:i/>
          <w:iCs/>
          <w:color w:val="000000"/>
          <w:kern w:val="0"/>
        </w:rPr>
        <w:t>Global Innovation Index 2025: GII at a Glance</w:t>
      </w:r>
      <w:r w:rsidRPr="007B0866">
        <w:rPr>
          <w:rFonts w:eastAsia="Songti SC"/>
          <w:color w:val="000000"/>
          <w:kern w:val="0"/>
        </w:rPr>
        <w:t xml:space="preserve">. Geneva: World Intellectual Property Organization. Available at: </w:t>
      </w:r>
      <w:hyperlink r:id="rId108">
        <w:r w:rsidRPr="007B0866">
          <w:rPr>
            <w:rFonts w:eastAsia="Songti SC"/>
            <w:color w:val="000000"/>
            <w:kern w:val="0"/>
            <w:u w:val="single"/>
          </w:rPr>
          <w:t>https://www.wipo.int/web-publications/global-innovation-index-2025/en/gii-2025-at-a-glance.html</w:t>
        </w:r>
      </w:hyperlink>
      <w:r w:rsidRPr="007B0866">
        <w:rPr>
          <w:rFonts w:eastAsia="Songti SC"/>
          <w:color w:val="000000"/>
          <w:kern w:val="0"/>
        </w:rPr>
        <w:t xml:space="preserve"> (Accessed: 12 July 2026).</w:t>
      </w:r>
    </w:p>
    <w:p w14:paraId="25AC5101"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WIPO (2025b) ‘India ranking in the Global Innovation Index 2025’. Available at: </w:t>
      </w:r>
      <w:hyperlink r:id="rId109">
        <w:r w:rsidRPr="007B0866">
          <w:rPr>
            <w:rFonts w:eastAsia="Songti SC"/>
            <w:color w:val="000000"/>
            <w:kern w:val="0"/>
            <w:u w:val="single"/>
          </w:rPr>
          <w:t>https://www.wipo.int/web-publications/global-innovation-index-2025/en/india-ranking-in-the-global-innovation-index-2025.html</w:t>
        </w:r>
      </w:hyperlink>
      <w:r w:rsidRPr="007B0866">
        <w:rPr>
          <w:rFonts w:eastAsia="Songti SC"/>
          <w:color w:val="000000"/>
          <w:kern w:val="0"/>
        </w:rPr>
        <w:t xml:space="preserve"> (Accessed: 12 July 2026).</w:t>
      </w:r>
    </w:p>
    <w:p w14:paraId="5EAC4DCE"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WIPO (2025c) </w:t>
      </w:r>
      <w:r w:rsidRPr="007B0866">
        <w:rPr>
          <w:rFonts w:eastAsia="Songti SC"/>
          <w:i/>
          <w:iCs/>
          <w:color w:val="000000"/>
          <w:kern w:val="0"/>
        </w:rPr>
        <w:t>2025 GII Ranking of the World’s Top 100 Innovation Clusters</w:t>
      </w:r>
      <w:r w:rsidRPr="007B0866">
        <w:rPr>
          <w:rFonts w:eastAsia="Songti SC"/>
          <w:color w:val="000000"/>
          <w:kern w:val="0"/>
        </w:rPr>
        <w:t xml:space="preserve">. Geneva: World Intellectual Property Organization. Available at: </w:t>
      </w:r>
      <w:hyperlink r:id="rId110">
        <w:r w:rsidRPr="007B0866">
          <w:rPr>
            <w:rFonts w:eastAsia="Songti SC"/>
            <w:color w:val="000000"/>
            <w:kern w:val="0"/>
            <w:u w:val="single"/>
          </w:rPr>
          <w:t>https://www.wipo.int/documents/d/global-innovation-index/docs-en-2025-gii-2025-clusters-top100-ranking.pdf</w:t>
        </w:r>
      </w:hyperlink>
      <w:r w:rsidRPr="007B0866">
        <w:rPr>
          <w:rFonts w:eastAsia="Songti SC"/>
          <w:color w:val="000000"/>
          <w:kern w:val="0"/>
        </w:rPr>
        <w:t xml:space="preserve"> (Accessed: 12 July 2026).</w:t>
      </w:r>
    </w:p>
    <w:p w14:paraId="1331CBC1"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World Auto Forum (2026) ‘Toyota Kirloskar Motor registers 31,016 units sales in June 2026’, 2 July. Available at: </w:t>
      </w:r>
      <w:hyperlink r:id="rId111">
        <w:r w:rsidRPr="007B0866">
          <w:rPr>
            <w:rFonts w:eastAsia="Songti SC"/>
            <w:color w:val="000000"/>
            <w:kern w:val="0"/>
            <w:u w:val="single"/>
          </w:rPr>
          <w:t>https://worldautoforum.com/toyota-kirloskar-motor-registers-31016-units-sales-in-june-2026/</w:t>
        </w:r>
      </w:hyperlink>
      <w:r w:rsidRPr="007B0866">
        <w:rPr>
          <w:rFonts w:eastAsia="Songti SC"/>
          <w:color w:val="000000"/>
          <w:kern w:val="0"/>
        </w:rPr>
        <w:t xml:space="preserve"> (Accessed: 12 July 2026).</w:t>
      </w:r>
    </w:p>
    <w:p w14:paraId="78625E83"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 xml:space="preserve">World Bank (2026) ‘India remains among the fastest-growing economies despite global headwinds’, 9 April. Available at: </w:t>
      </w:r>
      <w:hyperlink r:id="rId112">
        <w:r w:rsidRPr="007B0866">
          <w:rPr>
            <w:rFonts w:eastAsia="Songti SC"/>
            <w:color w:val="000000"/>
            <w:kern w:val="0"/>
            <w:u w:val="single"/>
          </w:rPr>
          <w:t>https://www.worldbank.org/en/news/press-release/2026/04/09/india-remains-among-the-fastest-growing-economies</w:t>
        </w:r>
      </w:hyperlink>
      <w:r w:rsidRPr="007B0866">
        <w:rPr>
          <w:rFonts w:eastAsia="Songti SC"/>
          <w:color w:val="000000"/>
          <w:kern w:val="0"/>
        </w:rPr>
        <w:t xml:space="preserve"> (Accessed: 12 July 2026).</w:t>
      </w:r>
    </w:p>
    <w:p w14:paraId="70D0B8A7" w14:textId="77777777" w:rsidR="00082694" w:rsidRPr="007B0866" w:rsidRDefault="00E7132B">
      <w:pPr>
        <w:spacing w:after="240" w:line="360" w:lineRule="auto"/>
        <w:ind w:left="540" w:hanging="540"/>
        <w:jc w:val="both"/>
        <w:rPr>
          <w:rFonts w:eastAsia="Songti SC"/>
          <w:i/>
          <w:iCs/>
          <w:color w:val="000000"/>
          <w:kern w:val="0"/>
        </w:rPr>
      </w:pPr>
      <w:r w:rsidRPr="007B0866">
        <w:rPr>
          <w:rFonts w:eastAsia="Songti SC"/>
          <w:color w:val="000000"/>
          <w:kern w:val="0"/>
        </w:rPr>
        <w:t xml:space="preserve">World Trade Organization (WTO) (2025) </w:t>
      </w:r>
      <w:r w:rsidRPr="007B0866">
        <w:rPr>
          <w:rFonts w:eastAsia="Songti SC"/>
          <w:i/>
          <w:iCs/>
          <w:color w:val="000000"/>
          <w:kern w:val="0"/>
        </w:rPr>
        <w:t>Global Value Chain Development Report 2025: Rewiring GVCs in a Changing Global Economy</w:t>
      </w:r>
      <w:r w:rsidRPr="007B0866">
        <w:rPr>
          <w:rFonts w:eastAsia="Songti SC"/>
          <w:color w:val="000000"/>
          <w:kern w:val="0"/>
        </w:rPr>
        <w:t xml:space="preserve">. Geneva: WTO. Available at: </w:t>
      </w:r>
      <w:hyperlink r:id="rId113">
        <w:r w:rsidRPr="007B0866">
          <w:rPr>
            <w:rFonts w:eastAsia="Songti SC"/>
            <w:i/>
            <w:iCs/>
            <w:color w:val="000000"/>
            <w:kern w:val="0"/>
            <w:u w:val="single"/>
          </w:rPr>
          <w:t>https://www.wto.org/english/res_e/publications_e/gvcreport2025_e.htm</w:t>
        </w:r>
      </w:hyperlink>
      <w:r w:rsidRPr="007B0866">
        <w:rPr>
          <w:rFonts w:eastAsia="Songti SC"/>
          <w:color w:val="000000"/>
          <w:kern w:val="0"/>
        </w:rPr>
        <w:t xml:space="preserve"> (Accessed: 12 July 2026).</w:t>
      </w:r>
    </w:p>
    <w:p w14:paraId="1248E29F"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t>Wu, J., and Vahlne, J. E. (2022). Dynamic capabilities of emerging market multinational enterprises and the Uppsala model. </w:t>
      </w:r>
      <w:r w:rsidRPr="007B0866">
        <w:rPr>
          <w:rFonts w:eastAsia="Songti SC"/>
          <w:i/>
          <w:iCs/>
          <w:color w:val="000000"/>
          <w:kern w:val="0"/>
        </w:rPr>
        <w:t>Asian Business and Management</w:t>
      </w:r>
      <w:r w:rsidRPr="007B0866">
        <w:rPr>
          <w:rFonts w:eastAsia="Songti SC"/>
          <w:color w:val="000000"/>
          <w:kern w:val="0"/>
        </w:rPr>
        <w:t>, </w:t>
      </w:r>
      <w:r w:rsidRPr="007B0866">
        <w:rPr>
          <w:rFonts w:eastAsia="Songti SC"/>
          <w:i/>
          <w:iCs/>
          <w:color w:val="000000"/>
          <w:kern w:val="0"/>
        </w:rPr>
        <w:t>21</w:t>
      </w:r>
      <w:r w:rsidRPr="007B0866">
        <w:rPr>
          <w:rFonts w:eastAsia="Songti SC"/>
          <w:color w:val="000000"/>
          <w:kern w:val="0"/>
        </w:rPr>
        <w:t>(5), 690-714.</w:t>
      </w:r>
    </w:p>
    <w:p w14:paraId="112A9C4C" w14:textId="77777777" w:rsidR="00082694" w:rsidRPr="007B0866" w:rsidRDefault="00E7132B">
      <w:pPr>
        <w:spacing w:after="240" w:line="360" w:lineRule="auto"/>
        <w:ind w:left="540" w:hanging="540"/>
        <w:jc w:val="both"/>
        <w:rPr>
          <w:rFonts w:eastAsia="Songti SC"/>
          <w:color w:val="000000"/>
          <w:kern w:val="0"/>
        </w:rPr>
      </w:pPr>
      <w:r w:rsidRPr="007B0866">
        <w:rPr>
          <w:rFonts w:eastAsia="Songti SC"/>
          <w:color w:val="000000"/>
          <w:kern w:val="0"/>
        </w:rPr>
        <w:lastRenderedPageBreak/>
        <w:t>Xu, M., Tse, Y. K., Geng, R., Liu, Z., and Potter, A. (2025). Greenwashing and market value of firms: An empirical study. </w:t>
      </w:r>
      <w:r w:rsidRPr="007B0866">
        <w:rPr>
          <w:rFonts w:eastAsia="Songti SC"/>
          <w:i/>
          <w:iCs/>
          <w:color w:val="000000"/>
          <w:kern w:val="0"/>
        </w:rPr>
        <w:t>International Journal of Production Economics</w:t>
      </w:r>
      <w:r w:rsidRPr="007B0866">
        <w:rPr>
          <w:rFonts w:eastAsia="Songti SC"/>
          <w:color w:val="000000"/>
          <w:kern w:val="0"/>
        </w:rPr>
        <w:t>, </w:t>
      </w:r>
      <w:r w:rsidRPr="007B0866">
        <w:rPr>
          <w:rFonts w:eastAsia="Songti SC"/>
          <w:i/>
          <w:iCs/>
          <w:color w:val="000000"/>
          <w:kern w:val="0"/>
        </w:rPr>
        <w:t>284</w:t>
      </w:r>
      <w:r w:rsidRPr="007B0866">
        <w:rPr>
          <w:rFonts w:eastAsia="Songti SC"/>
          <w:color w:val="000000"/>
          <w:kern w:val="0"/>
        </w:rPr>
        <w:t>, 109606.</w:t>
      </w:r>
    </w:p>
    <w:p w14:paraId="2ABABB5E" w14:textId="77777777" w:rsidR="00082694" w:rsidRPr="007B0866" w:rsidRDefault="00E7132B">
      <w:pPr>
        <w:spacing w:line="360" w:lineRule="auto"/>
        <w:ind w:left="540" w:hanging="540"/>
        <w:jc w:val="both"/>
      </w:pPr>
      <w:r w:rsidRPr="007B0866">
        <w:rPr>
          <w:rFonts w:eastAsia="Songti SC"/>
          <w:color w:val="000000"/>
          <w:kern w:val="0"/>
        </w:rPr>
        <w:t>Yang, Z., Freling, T., Sun, S., and Richardson-Greenfield, P. (2022). When do product crises hurt business? A meta-analytic investigation of negative publicity on consumer responses. </w:t>
      </w:r>
      <w:r w:rsidRPr="007B0866">
        <w:rPr>
          <w:rFonts w:eastAsia="Songti SC"/>
          <w:i/>
          <w:iCs/>
          <w:color w:val="000000"/>
          <w:kern w:val="0"/>
        </w:rPr>
        <w:t>Journal of Business Research</w:t>
      </w:r>
      <w:r w:rsidRPr="007B0866">
        <w:rPr>
          <w:rFonts w:eastAsia="Songti SC"/>
          <w:color w:val="000000"/>
          <w:kern w:val="0"/>
        </w:rPr>
        <w:t>, </w:t>
      </w:r>
      <w:r w:rsidRPr="007B0866">
        <w:rPr>
          <w:rFonts w:eastAsia="Songti SC"/>
          <w:i/>
          <w:iCs/>
          <w:color w:val="000000"/>
          <w:kern w:val="0"/>
        </w:rPr>
        <w:t>150</w:t>
      </w:r>
      <w:r w:rsidRPr="007B0866">
        <w:rPr>
          <w:rFonts w:eastAsia="Songti SC"/>
          <w:color w:val="000000"/>
          <w:kern w:val="0"/>
        </w:rPr>
        <w:t>, 102-120.</w:t>
      </w:r>
    </w:p>
    <w:sectPr w:rsidR="00082694" w:rsidRPr="007B0866">
      <w:footerReference w:type="even" r:id="rId114"/>
      <w:footerReference w:type="default" r:id="rId115"/>
      <w:footerReference w:type="first" r:id="rId116"/>
      <w:pgSz w:w="12240" w:h="15840"/>
      <w:pgMar w:top="1440" w:right="1440" w:bottom="1440" w:left="1440" w:header="0" w:footer="720" w:gutter="0"/>
      <w:pgBorders w:offsetFrom="page">
        <w:top w:val="single" w:sz="4" w:space="24" w:color="000000"/>
        <w:left w:val="single" w:sz="4" w:space="24" w:color="000000"/>
        <w:bottom w:val="single" w:sz="4" w:space="24" w:color="000000"/>
        <w:right w:val="single" w:sz="4" w:space="24" w:color="000000"/>
      </w:pgBorders>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BF3F3A" w14:textId="77777777" w:rsidR="00682302" w:rsidRDefault="00682302">
      <w:r>
        <w:separator/>
      </w:r>
    </w:p>
  </w:endnote>
  <w:endnote w:type="continuationSeparator" w:id="0">
    <w:p w14:paraId="64E24D0A" w14:textId="77777777" w:rsidR="00682302" w:rsidRDefault="006823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Noto Sans CJK SC">
    <w:panose1 w:val="00000000000000000000"/>
    <w:charset w:val="00"/>
    <w:family w:val="roman"/>
    <w:notTrueType/>
    <w:pitch w:val="default"/>
  </w:font>
  <w:font w:name="Lohit Devanagari">
    <w:altName w:val="Arial"/>
    <w:panose1 w:val="00000000000000000000"/>
    <w:charset w:val="00"/>
    <w:family w:val="roman"/>
    <w:notTrueType/>
    <w:pitch w:val="default"/>
  </w:font>
  <w:font w:name="Songti SC">
    <w:charset w:val="86"/>
    <w:family w:val="auto"/>
    <w:pitch w:val="variable"/>
    <w:sig w:usb0="00000287" w:usb1="080F0000" w:usb2="00000010" w:usb3="00000000" w:csb0="0004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1D95A8" w14:textId="380CCA02" w:rsidR="00082694" w:rsidRDefault="00735076">
    <w:pPr>
      <w:pStyle w:val="Footer"/>
      <w:ind w:right="360"/>
    </w:pPr>
    <w:r>
      <w:rPr>
        <w:noProof/>
      </w:rPr>
      <w:pict w14:anchorId="522A8AB2">
        <v:rect id="Frame1" o:spid="_x0000_s1027" style="position:absolute;margin-left:-50.05pt;margin-top:.05pt;width:1.15pt;height:1.15pt;z-index:-251657728;visibility:visible;mso-wrap-style:square;mso-wrap-distance-left:0;mso-wrap-distance-top:0;mso-wrap-distance-right:0;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" o:allowincell="f" filled="f" stroked="f" strokeweight="0">
          <v:textbox style="mso-fit-shape-to-text:t" inset="0,0,0,0">
            <w:txbxContent>
              <w:sdt>
                <w:sdtPr>
                  <w:id w:val="1887825903"/>
                  <w:docPartObj>
                    <w:docPartGallery w:val="Page Numbers (Bottom of Page)"/>
                    <w:docPartUnique/>
                  </w:docPartObj>
                </w:sdtPr>
                <w:sdtContent>
                  <w:p w14:paraId="62E409B0" w14:textId="77777777" w:rsidR="00082694" w:rsidRDefault="00E7132B">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p>
                </w:sdtContent>
              </w:sdt>
            </w:txbxContent>
          </v:textbox>
          <w10:wrap anchorx="margin"/>
        </v:rect>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D66478" w14:textId="5C411C10" w:rsidR="00082694" w:rsidRDefault="00735076">
    <w:pPr>
      <w:pStyle w:val="Footer"/>
      <w:ind w:right="360"/>
    </w:pPr>
    <w:r>
      <w:rPr>
        <w:noProof/>
      </w:rPr>
      <w:pict w14:anchorId="75A061AC">
        <v:rect id="Frame2" o:spid="_x0000_s1026" style="position:absolute;margin-left:-39.15pt;margin-top:.05pt;width:12.05pt;height:13.7pt;z-index:-251659776;visibility:visible;mso-wrap-style:square;mso-wrap-distance-left:0;mso-wrap-distance-top:0;mso-wrap-distance-right:0;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" o:allowincell="f" filled="f" stroked="f" strokeweight="0">
          <v:textbox style="mso-fit-shape-to-text:t" inset="0,0,0,0">
            <w:txbxContent>
              <w:sdt>
                <w:sdtPr>
                  <w:id w:val="1300955043"/>
                  <w:docPartObj>
                    <w:docPartGallery w:val="Page Numbers (Bottom of Page)"/>
                    <w:docPartUnique/>
                  </w:docPartObj>
                </w:sdtPr>
                <w:sdtContent>
                  <w:p w14:paraId="056A5D9C" w14:textId="1CB05E92" w:rsidR="00082694" w:rsidRDefault="00E7132B">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7B0866">
                      <w:rPr>
                        <w:rStyle w:val="PageNumber"/>
                        <w:noProof/>
                      </w:rPr>
                      <w:t>2</w:t>
                    </w:r>
                    <w:r>
                      <w:rPr>
                        <w:rStyle w:val="PageNumber"/>
                      </w:rPr>
                      <w:fldChar w:fldCharType="end"/>
                    </w:r>
                  </w:p>
                </w:sdtContent>
              </w:sdt>
            </w:txbxContent>
          </v:textbox>
          <w10:wrap anchorx="margin"/>
        </v:rect>
      </w:pic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14FBA8" w14:textId="4556BC62" w:rsidR="00082694" w:rsidRDefault="00735076">
    <w:pPr>
      <w:pStyle w:val="Footer"/>
      <w:ind w:right="360"/>
    </w:pPr>
    <w:r>
      <w:rPr>
        <w:noProof/>
      </w:rPr>
      <w:pict w14:anchorId="37FA1699">
        <v:rect id="_x0000_s1025" style="position:absolute;margin-left:-39.15pt;margin-top:.05pt;width:12.05pt;height:13.7pt;z-index:-251658752;visibility:visible;mso-wrap-style:square;mso-wrap-distance-left:0;mso-wrap-distance-top:0;mso-wrap-distance-right:0;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" o:allowincell="f" filled="f" stroked="f" strokeweight="0">
          <v:textbox style="mso-fit-shape-to-text:t" inset="0,0,0,0">
            <w:txbxContent>
              <w:sdt>
                <w:sdtPr>
                  <w:id w:val="-1167867022"/>
                  <w:docPartObj>
                    <w:docPartGallery w:val="Page Numbers (Bottom of Page)"/>
                    <w:docPartUnique/>
                  </w:docPartObj>
                </w:sdtPr>
                <w:sdtContent>
                  <w:p w14:paraId="7D23A308" w14:textId="77777777" w:rsidR="00082694" w:rsidRDefault="00E7132B">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42</w:t>
                    </w:r>
                    <w:r>
                      <w:rPr>
                        <w:rStyle w:val="PageNumber"/>
                      </w:rPr>
                      <w:fldChar w:fldCharType="end"/>
                    </w:r>
                  </w:p>
                </w:sdtContent>
              </w:sdt>
            </w:txbxContent>
          </v:textbox>
          <w10:wrap anchorx="margin"/>
        </v:rect>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A55C2A" w14:textId="77777777" w:rsidR="00682302" w:rsidRDefault="00682302">
      <w:r>
        <w:separator/>
      </w:r>
    </w:p>
  </w:footnote>
  <w:footnote w:type="continuationSeparator" w:id="0">
    <w:p w14:paraId="4443BB39" w14:textId="77777777" w:rsidR="00682302" w:rsidRDefault="0068230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autoHyphenation/>
  <w:hyphenationZone w:val="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082694"/>
    <w:rsid w:val="00082694"/>
    <w:rsid w:val="003252A2"/>
    <w:rsid w:val="004071DB"/>
    <w:rsid w:val="004264A1"/>
    <w:rsid w:val="005D5961"/>
    <w:rsid w:val="005F58FE"/>
    <w:rsid w:val="00682302"/>
    <w:rsid w:val="00735076"/>
    <w:rsid w:val="007B0866"/>
    <w:rsid w:val="00E7132B"/>
  </w:rsids>
  <m:mathPr>
    <m:mathFont m:val="Cambria Math"/>
    <m:brkBin m:val="before"/>
    <m:brkBinSub m:val="--"/>
    <m:smallFrac m:val="0"/>
    <m:dispDef/>
    <m:lMargin m:val="0"/>
    <m:rMargin m:val="0"/>
    <m:defJc m:val="centerGroup"/>
    <m:wrapIndent m:val="1440"/>
    <m:intLim m:val="subSup"/>
    <m:naryLim m:val="undOvr"/>
  </m:mathPr>
  <w:themeFontLang w:val="en-US" w:eastAsia=""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7EAD5B"/>
  <w15:docId w15:val="{E7FEE365-7F07-2D45-AD15-DCF9F4D48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US" w:eastAsia="en-US" w:bidi="ar-SA"/>
        <w14:ligatures w14:val="standardContextual"/>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5882"/>
    <w:pPr>
      <w:keepNext/>
      <w:keepLines/>
      <w:spacing w:before="240" w:after="12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577BC5"/>
    <w:pPr>
      <w:keepNext/>
      <w:keepLines/>
      <w:spacing w:before="160" w:after="120"/>
      <w:outlineLvl w:val="1"/>
    </w:pPr>
    <w:rPr>
      <w:rFonts w:eastAsiaTheme="majorEastAsia" w:cstheme="majorBidi"/>
      <w:b/>
      <w:i/>
      <w:color w:val="4472C4" w:themeColor="accent1"/>
      <w:szCs w:val="32"/>
    </w:rPr>
  </w:style>
  <w:style w:type="paragraph" w:styleId="Heading3">
    <w:name w:val="heading 3"/>
    <w:basedOn w:val="Normal"/>
    <w:next w:val="Normal"/>
    <w:link w:val="Heading3Char"/>
    <w:uiPriority w:val="9"/>
    <w:unhideWhenUsed/>
    <w:qFormat/>
    <w:rsid w:val="00D80F72"/>
    <w:pPr>
      <w:keepNext/>
      <w:keepLines/>
      <w:spacing w:before="160" w:after="80"/>
      <w:outlineLvl w:val="2"/>
    </w:pPr>
    <w:rPr>
      <w:rFonts w:asciiTheme="majorBidi" w:eastAsiaTheme="majorEastAsia" w:hAnsiTheme="majorBidi" w:cstheme="majorBidi"/>
      <w:b/>
      <w:color w:val="000000" w:themeColor="text1"/>
      <w:szCs w:val="28"/>
    </w:rPr>
  </w:style>
  <w:style w:type="paragraph" w:styleId="Heading4">
    <w:name w:val="heading 4"/>
    <w:basedOn w:val="Normal"/>
    <w:next w:val="Normal"/>
    <w:link w:val="Heading4Char"/>
    <w:uiPriority w:val="9"/>
    <w:semiHidden/>
    <w:unhideWhenUsed/>
    <w:qFormat/>
    <w:rsid w:val="002B03E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B03E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B03E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B03E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B03E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B03E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0E5882"/>
    <w:rPr>
      <w:rFonts w:eastAsiaTheme="majorEastAsia" w:cstheme="majorBidi"/>
      <w:b/>
      <w:color w:val="000000" w:themeColor="text1"/>
      <w:szCs w:val="32"/>
    </w:rPr>
  </w:style>
  <w:style w:type="character" w:customStyle="1" w:styleId="Heading2Char">
    <w:name w:val="Heading 2 Char"/>
    <w:basedOn w:val="DefaultParagraphFont"/>
    <w:link w:val="Heading2"/>
    <w:uiPriority w:val="9"/>
    <w:qFormat/>
    <w:rsid w:val="00577BC5"/>
    <w:rPr>
      <w:rFonts w:eastAsiaTheme="majorEastAsia" w:cstheme="majorBidi"/>
      <w:b/>
      <w:i/>
      <w:color w:val="4472C4" w:themeColor="accent1"/>
      <w:szCs w:val="32"/>
    </w:rPr>
  </w:style>
  <w:style w:type="character" w:customStyle="1" w:styleId="Heading3Char">
    <w:name w:val="Heading 3 Char"/>
    <w:basedOn w:val="DefaultParagraphFont"/>
    <w:link w:val="Heading3"/>
    <w:uiPriority w:val="9"/>
    <w:qFormat/>
    <w:rsid w:val="00D80F72"/>
    <w:rPr>
      <w:rFonts w:asciiTheme="majorBidi" w:eastAsiaTheme="majorEastAsia" w:hAnsiTheme="majorBidi" w:cstheme="majorBidi"/>
      <w:b/>
      <w:color w:val="000000" w:themeColor="text1"/>
      <w:szCs w:val="28"/>
    </w:rPr>
  </w:style>
  <w:style w:type="character" w:customStyle="1" w:styleId="Heading4Char">
    <w:name w:val="Heading 4 Char"/>
    <w:basedOn w:val="DefaultParagraphFont"/>
    <w:link w:val="Heading4"/>
    <w:uiPriority w:val="9"/>
    <w:semiHidden/>
    <w:qFormat/>
    <w:rsid w:val="002B03ED"/>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qFormat/>
    <w:rsid w:val="002B03ED"/>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qFormat/>
    <w:rsid w:val="002B03E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qFormat/>
    <w:rsid w:val="002B03E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qFormat/>
    <w:rsid w:val="002B03E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qFormat/>
    <w:rsid w:val="002B03ED"/>
    <w:rPr>
      <w:rFonts w:asciiTheme="minorHAnsi" w:eastAsiaTheme="majorEastAsia" w:hAnsiTheme="minorHAnsi" w:cstheme="majorBidi"/>
      <w:color w:val="272727" w:themeColor="text1" w:themeTint="D8"/>
    </w:rPr>
  </w:style>
  <w:style w:type="character" w:customStyle="1" w:styleId="TitleChar">
    <w:name w:val="Title Char"/>
    <w:basedOn w:val="DefaultParagraphFont"/>
    <w:link w:val="Title"/>
    <w:uiPriority w:val="10"/>
    <w:qFormat/>
    <w:rsid w:val="002B03ED"/>
    <w:rPr>
      <w:rFonts w:asciiTheme="majorHAnsi" w:eastAsiaTheme="majorEastAsia" w:hAnsiTheme="majorHAnsi" w:cstheme="majorBidi"/>
      <w:spacing w:val="-10"/>
      <w:kern w:val="2"/>
      <w:sz w:val="56"/>
      <w:szCs w:val="56"/>
    </w:rPr>
  </w:style>
  <w:style w:type="character" w:customStyle="1" w:styleId="SubtitleChar">
    <w:name w:val="Subtitle Char"/>
    <w:basedOn w:val="DefaultParagraphFont"/>
    <w:link w:val="Subtitle"/>
    <w:uiPriority w:val="11"/>
    <w:qFormat/>
    <w:rsid w:val="002B03ED"/>
    <w:rPr>
      <w:rFonts w:asciiTheme="minorHAnsi" w:eastAsiaTheme="majorEastAsia" w:hAnsiTheme="minorHAnsi" w:cstheme="majorBidi"/>
      <w:color w:val="595959" w:themeColor="text1" w:themeTint="A6"/>
      <w:spacing w:val="15"/>
      <w:sz w:val="28"/>
      <w:szCs w:val="28"/>
    </w:rPr>
  </w:style>
  <w:style w:type="character" w:customStyle="1" w:styleId="QuoteChar">
    <w:name w:val="Quote Char"/>
    <w:basedOn w:val="DefaultParagraphFont"/>
    <w:link w:val="Quote"/>
    <w:uiPriority w:val="29"/>
    <w:qFormat/>
    <w:rsid w:val="002B03ED"/>
    <w:rPr>
      <w:i/>
      <w:iCs/>
      <w:color w:val="404040" w:themeColor="text1" w:themeTint="BF"/>
    </w:rPr>
  </w:style>
  <w:style w:type="character" w:styleId="IntenseEmphasis">
    <w:name w:val="Intense Emphasis"/>
    <w:basedOn w:val="DefaultParagraphFont"/>
    <w:uiPriority w:val="21"/>
    <w:qFormat/>
    <w:rsid w:val="002B03ED"/>
    <w:rPr>
      <w:i/>
      <w:iCs/>
      <w:color w:val="2F5496" w:themeColor="accent1" w:themeShade="BF"/>
    </w:rPr>
  </w:style>
  <w:style w:type="character" w:customStyle="1" w:styleId="IntenseQuoteChar">
    <w:name w:val="Intense Quote Char"/>
    <w:basedOn w:val="DefaultParagraphFont"/>
    <w:link w:val="IntenseQuote"/>
    <w:uiPriority w:val="30"/>
    <w:qFormat/>
    <w:rsid w:val="002B03ED"/>
    <w:rPr>
      <w:i/>
      <w:iCs/>
      <w:color w:val="2F5496" w:themeColor="accent1" w:themeShade="BF"/>
    </w:rPr>
  </w:style>
  <w:style w:type="character" w:styleId="IntenseReference">
    <w:name w:val="Intense Reference"/>
    <w:basedOn w:val="DefaultParagraphFont"/>
    <w:uiPriority w:val="32"/>
    <w:qFormat/>
    <w:rsid w:val="002B03ED"/>
    <w:rPr>
      <w:b/>
      <w:bCs/>
      <w:smallCaps/>
      <w:color w:val="2F5496" w:themeColor="accent1" w:themeShade="BF"/>
      <w:spacing w:val="5"/>
    </w:rPr>
  </w:style>
  <w:style w:type="character" w:customStyle="1" w:styleId="FooterChar">
    <w:name w:val="Footer Char"/>
    <w:basedOn w:val="DefaultParagraphFont"/>
    <w:link w:val="Footer"/>
    <w:uiPriority w:val="99"/>
    <w:qFormat/>
    <w:rsid w:val="002B03ED"/>
  </w:style>
  <w:style w:type="character" w:styleId="PageNumber">
    <w:name w:val="page number"/>
    <w:basedOn w:val="DefaultParagraphFont"/>
    <w:uiPriority w:val="99"/>
    <w:semiHidden/>
    <w:unhideWhenUsed/>
    <w:rsid w:val="002B03ED"/>
  </w:style>
  <w:style w:type="character" w:styleId="Hyperlink">
    <w:name w:val="Hyperlink"/>
    <w:basedOn w:val="DefaultParagraphFont"/>
    <w:uiPriority w:val="99"/>
    <w:unhideWhenUsed/>
    <w:rsid w:val="002B03ED"/>
    <w:rPr>
      <w:color w:val="0563C1" w:themeColor="hyperlink"/>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styleId="BodyText">
    <w:name w:val="Body Text"/>
    <w:basedOn w:val="Normal"/>
    <w:pPr>
      <w:spacing w:after="140" w:line="276" w:lineRule="auto"/>
    </w:p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rPr>
  </w:style>
  <w:style w:type="paragraph" w:customStyle="1" w:styleId="Index">
    <w:name w:val="Index"/>
    <w:basedOn w:val="Normal"/>
    <w:qFormat/>
    <w:pPr>
      <w:suppressLineNumbers/>
    </w:pPr>
    <w:rPr>
      <w:rFonts w:cs="Lohit Devanagari"/>
    </w:rPr>
  </w:style>
  <w:style w:type="paragraph" w:styleId="Title">
    <w:name w:val="Title"/>
    <w:basedOn w:val="Normal"/>
    <w:next w:val="Normal"/>
    <w:link w:val="TitleChar"/>
    <w:uiPriority w:val="10"/>
    <w:qFormat/>
    <w:rsid w:val="002B03ED"/>
    <w:pPr>
      <w:spacing w:after="80"/>
      <w:contextualSpacing/>
    </w:pPr>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2B03ED"/>
    <w:pPr>
      <w:spacing w:after="160"/>
    </w:pPr>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B03ED"/>
    <w:pPr>
      <w:spacing w:before="160" w:after="160"/>
      <w:jc w:val="center"/>
    </w:pPr>
    <w:rPr>
      <w:i/>
      <w:iCs/>
      <w:color w:val="404040" w:themeColor="text1" w:themeTint="BF"/>
    </w:rPr>
  </w:style>
  <w:style w:type="paragraph" w:styleId="ListParagraph">
    <w:name w:val="List Paragraph"/>
    <w:basedOn w:val="Normal"/>
    <w:uiPriority w:val="34"/>
    <w:qFormat/>
    <w:rsid w:val="002B03ED"/>
    <w:pPr>
      <w:ind w:left="720"/>
      <w:contextualSpacing/>
    </w:pPr>
  </w:style>
  <w:style w:type="paragraph" w:styleId="IntenseQuote">
    <w:name w:val="Intense Quote"/>
    <w:basedOn w:val="Normal"/>
    <w:next w:val="Normal"/>
    <w:link w:val="IntenseQuoteChar"/>
    <w:uiPriority w:val="30"/>
    <w:qFormat/>
    <w:rsid w:val="002B03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paragraph" w:customStyle="1" w:styleId="HeaderandFooter">
    <w:name w:val="Header and Footer"/>
    <w:basedOn w:val="Normal"/>
    <w:qFormat/>
  </w:style>
  <w:style w:type="paragraph" w:styleId="Footer">
    <w:name w:val="footer"/>
    <w:basedOn w:val="Normal"/>
    <w:link w:val="FooterChar"/>
    <w:uiPriority w:val="99"/>
    <w:unhideWhenUsed/>
    <w:rsid w:val="002B03ED"/>
    <w:pPr>
      <w:tabs>
        <w:tab w:val="center" w:pos="4680"/>
        <w:tab w:val="right" w:pos="9360"/>
      </w:tabs>
    </w:pPr>
  </w:style>
  <w:style w:type="paragraph" w:styleId="IndexHeading">
    <w:name w:val="index heading"/>
    <w:basedOn w:val="Heading"/>
  </w:style>
  <w:style w:type="paragraph" w:styleId="TOCHeading">
    <w:name w:val="TOC Heading"/>
    <w:basedOn w:val="Heading1"/>
    <w:next w:val="Normal"/>
    <w:uiPriority w:val="39"/>
    <w:unhideWhenUsed/>
    <w:qFormat/>
    <w:rsid w:val="002B03ED"/>
    <w:pPr>
      <w:spacing w:before="480" w:after="0" w:line="276" w:lineRule="auto"/>
      <w:outlineLvl w:val="9"/>
    </w:pPr>
    <w:rPr>
      <w:rFonts w:asciiTheme="majorHAnsi" w:hAnsiTheme="majorHAnsi"/>
      <w:bCs/>
      <w:color w:val="2F5496" w:themeColor="accent1" w:themeShade="BF"/>
      <w:kern w:val="0"/>
      <w:sz w:val="28"/>
      <w:szCs w:val="28"/>
    </w:rPr>
  </w:style>
  <w:style w:type="paragraph" w:styleId="TOC1">
    <w:name w:val="toc 1"/>
    <w:basedOn w:val="Normal"/>
    <w:next w:val="Normal"/>
    <w:autoRedefine/>
    <w:uiPriority w:val="39"/>
    <w:unhideWhenUsed/>
    <w:rsid w:val="002B03ED"/>
    <w:pPr>
      <w:spacing w:before="240" w:after="120"/>
    </w:pPr>
    <w:rPr>
      <w:rFonts w:asciiTheme="minorHAnsi" w:hAnsiTheme="minorHAnsi" w:cstheme="minorHAnsi"/>
      <w:b/>
      <w:bCs/>
      <w:sz w:val="20"/>
    </w:rPr>
  </w:style>
  <w:style w:type="paragraph" w:styleId="TOC2">
    <w:name w:val="toc 2"/>
    <w:basedOn w:val="Normal"/>
    <w:next w:val="Normal"/>
    <w:autoRedefine/>
    <w:uiPriority w:val="39"/>
    <w:unhideWhenUsed/>
    <w:rsid w:val="002B03ED"/>
    <w:pPr>
      <w:spacing w:before="120"/>
      <w:ind w:left="240"/>
    </w:pPr>
    <w:rPr>
      <w:rFonts w:asciiTheme="minorHAnsi" w:hAnsiTheme="minorHAnsi" w:cstheme="minorHAnsi"/>
      <w:i/>
      <w:iCs/>
      <w:sz w:val="20"/>
    </w:rPr>
  </w:style>
  <w:style w:type="paragraph" w:styleId="TOC3">
    <w:name w:val="toc 3"/>
    <w:basedOn w:val="Normal"/>
    <w:next w:val="Normal"/>
    <w:autoRedefine/>
    <w:uiPriority w:val="39"/>
    <w:semiHidden/>
    <w:unhideWhenUsed/>
    <w:rsid w:val="002B03ED"/>
    <w:pPr>
      <w:ind w:left="480"/>
    </w:pPr>
    <w:rPr>
      <w:rFonts w:asciiTheme="minorHAnsi" w:hAnsiTheme="minorHAnsi" w:cstheme="minorHAnsi"/>
      <w:sz w:val="20"/>
    </w:rPr>
  </w:style>
  <w:style w:type="paragraph" w:styleId="TOC4">
    <w:name w:val="toc 4"/>
    <w:basedOn w:val="Normal"/>
    <w:next w:val="Normal"/>
    <w:autoRedefine/>
    <w:uiPriority w:val="39"/>
    <w:semiHidden/>
    <w:unhideWhenUsed/>
    <w:rsid w:val="002B03ED"/>
    <w:pPr>
      <w:ind w:left="720"/>
    </w:pPr>
    <w:rPr>
      <w:rFonts w:asciiTheme="minorHAnsi" w:hAnsiTheme="minorHAnsi" w:cstheme="minorHAnsi"/>
      <w:sz w:val="20"/>
    </w:rPr>
  </w:style>
  <w:style w:type="paragraph" w:styleId="TOC5">
    <w:name w:val="toc 5"/>
    <w:basedOn w:val="Normal"/>
    <w:next w:val="Normal"/>
    <w:autoRedefine/>
    <w:uiPriority w:val="39"/>
    <w:semiHidden/>
    <w:unhideWhenUsed/>
    <w:rsid w:val="002B03ED"/>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2B03ED"/>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2B03ED"/>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2B03ED"/>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2B03ED"/>
    <w:pPr>
      <w:ind w:left="1920"/>
    </w:pPr>
    <w:rPr>
      <w:rFonts w:asciiTheme="minorHAnsi" w:hAnsiTheme="minorHAnsi" w:cstheme="minorHAnsi"/>
      <w:sz w:val="20"/>
    </w:rPr>
  </w:style>
  <w:style w:type="paragraph" w:customStyle="1" w:styleId="FrameContentsuser">
    <w:name w:val="Frame Contents (user)"/>
    <w:basedOn w:val="Normal"/>
    <w:qFormat/>
  </w:style>
  <w:style w:type="paragraph" w:customStyle="1" w:styleId="FrameContents">
    <w:name w:val="Frame Contents"/>
    <w:basedOn w:val="Normal"/>
    <w:qFormat/>
  </w:style>
  <w:style w:type="paragraph" w:styleId="Header">
    <w:name w:val="header"/>
    <w:basedOn w:val="Normal"/>
    <w:link w:val="HeaderChar"/>
    <w:uiPriority w:val="99"/>
    <w:unhideWhenUsed/>
    <w:rsid w:val="004264A1"/>
    <w:pPr>
      <w:tabs>
        <w:tab w:val="center" w:pos="4680"/>
        <w:tab w:val="right" w:pos="9360"/>
      </w:tabs>
    </w:pPr>
  </w:style>
  <w:style w:type="character" w:customStyle="1" w:styleId="HeaderChar">
    <w:name w:val="Header Char"/>
    <w:basedOn w:val="DefaultParagraphFont"/>
    <w:link w:val="Header"/>
    <w:uiPriority w:val="99"/>
    <w:rsid w:val="004264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117" Type="http://schemas.openxmlformats.org/officeDocument/2006/relationships/fontTable" Target="fontTable.xml"/><Relationship Id="rId21" Type="http://schemas.openxmlformats.org/officeDocument/2006/relationships/image" Target="media/image15.png"/><Relationship Id="rId42" Type="http://schemas.openxmlformats.org/officeDocument/2006/relationships/hyperlink" Target="https://www.ey.com/en_be/insights/automotive/why-human-interaction-remains-essential-to-the-car-buying-journey" TargetMode="External"/><Relationship Id="rId47" Type="http://schemas.openxmlformats.org/officeDocument/2006/relationships/hyperlink" Target="https://www.investindia.gov.in/team-india-blogs/why-global-auto-majors-are-expanding-manufacturing-india" TargetMode="External"/><Relationship Id="rId63" Type="http://schemas.openxmlformats.org/officeDocument/2006/relationships/hyperlink" Target="https://www.reuters.com/world/india/indias-retail-car-sales-jump-nearly-29-june-2026-07-06/" TargetMode="External"/><Relationship Id="rId68" Type="http://schemas.openxmlformats.org/officeDocument/2006/relationships/hyperlink" Target="https://www.siam.in/pressrelease-details.aspx?mpgid=53&amp;pgidtrail=50&amp;pid=607" TargetMode="External"/><Relationship Id="rId84" Type="http://schemas.openxmlformats.org/officeDocument/2006/relationships/hyperlink" Target="https://www.toyotabharat.com/virtual-showroom/" TargetMode="External"/><Relationship Id="rId89" Type="http://schemas.openxmlformats.org/officeDocument/2006/relationships/hyperlink" Target="https://global.toyota/en/newsroom/corporate/41314045.html" TargetMode="External"/><Relationship Id="rId112" Type="http://schemas.openxmlformats.org/officeDocument/2006/relationships/hyperlink" Target="https://www.worldbank.org/en/news/press-release/2026/04/09/india-remains-among-the-fastest-growing-economies" TargetMode="External"/><Relationship Id="rId16" Type="http://schemas.openxmlformats.org/officeDocument/2006/relationships/image" Target="media/image10.png"/><Relationship Id="rId107" Type="http://schemas.openxmlformats.org/officeDocument/2006/relationships/hyperlink" Target="https://www.unfpa.org/data/world-population/IN" TargetMode="External"/><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hyperlink" Target="https://pmedrive.heavyindustries.gov.in/policy_document" TargetMode="External"/><Relationship Id="rId58" Type="http://schemas.openxmlformats.org/officeDocument/2006/relationships/hyperlink" Target="https://www.pib.gov.in/PressReleaseIframePage.aspx?PRID=1847812" TargetMode="External"/><Relationship Id="rId74" Type="http://schemas.openxmlformats.org/officeDocument/2006/relationships/hyperlink" Target="https://www.toyotabharat.com/news/2026/tkm-shines-at-indiaskills-national-competition-2025-26-with-9-medals.html" TargetMode="External"/><Relationship Id="rId79" Type="http://schemas.openxmlformats.org/officeDocument/2006/relationships/hyperlink" Target="https://www.toyotabharat.com/news/2026/tkm-rolls-out-curated-tech-package-for-urban-cruiser-hyryder.html" TargetMode="External"/><Relationship Id="rId102" Type="http://schemas.openxmlformats.org/officeDocument/2006/relationships/hyperlink" Target="https://toyota.jp/info/crown_brand/flagshipstore/" TargetMode="External"/><Relationship Id="rId5" Type="http://schemas.openxmlformats.org/officeDocument/2006/relationships/footnotes" Target="footnotes.xml"/><Relationship Id="rId90" Type="http://schemas.openxmlformats.org/officeDocument/2006/relationships/hyperlink" Target="https://global.toyota/en/newsroom/corporate/43290098.html" TargetMode="External"/><Relationship Id="rId95" Type="http://schemas.openxmlformats.org/officeDocument/2006/relationships/hyperlink" Target="https://global.toyota/pages/global_toyota/ir/financial-results/2026_4q_summary_en.pdf" TargetMode="External"/><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hyperlink" Target="https://www.focus2move.com/japan-auto-market/" TargetMode="External"/><Relationship Id="rId48" Type="http://schemas.openxmlformats.org/officeDocument/2006/relationships/hyperlink" Target="https://www.jama.or.jp/english/reports/docs/MIoJ2025_e.pdf" TargetMode="External"/><Relationship Id="rId64" Type="http://schemas.openxmlformats.org/officeDocument/2006/relationships/hyperlink" Target="https://www.reuters.com/sustainability/climate-energy/indias-tata-motors-targets-mass-ev-adoption-with-low-priced-fast-charging-punch-2026-02-20/" TargetMode="External"/><Relationship Id="rId69" Type="http://schemas.openxmlformats.org/officeDocument/2006/relationships/hyperlink" Target="https://www.theculturefactor.com/country-comparison-tool?countries=india%2Cjapan" TargetMode="External"/><Relationship Id="rId113" Type="http://schemas.openxmlformats.org/officeDocument/2006/relationships/hyperlink" Target="https://www.wto.org/english/res_e/publications_e/gvcreport2025_e.htm" TargetMode="External"/><Relationship Id="rId118" Type="http://schemas.openxmlformats.org/officeDocument/2006/relationships/theme" Target="theme/theme1.xml"/><Relationship Id="rId80" Type="http://schemas.openxmlformats.org/officeDocument/2006/relationships/hyperlink" Target="https://www.toyotabharat.com/news/2026/tkm-announces-the-price-of-the-all-electric-urban-cruiser-ebella.html" TargetMode="External"/><Relationship Id="rId85" Type="http://schemas.openxmlformats.org/officeDocument/2006/relationships/hyperlink" Target="https://www.toyotabharat.com/news/2026/tkm-launches-the-all-electric-urban-cruiser-ebella.html"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image" Target="media/image27.png"/><Relationship Id="rId38" Type="http://schemas.openxmlformats.org/officeDocument/2006/relationships/hyperlink" Target="https://apnews.com/article/26585a96df2a32f7d67a4011a0a98772" TargetMode="External"/><Relationship Id="rId59" Type="http://schemas.openxmlformats.org/officeDocument/2006/relationships/hyperlink" Target="https://www.pib.gov.in/PressReleasePage.aspx?PRID=2190014" TargetMode="External"/><Relationship Id="rId103" Type="http://schemas.openxmlformats.org/officeDocument/2006/relationships/hyperlink" Target="https://global.toyota/en/company/profile/overview/index.html" TargetMode="External"/><Relationship Id="rId108" Type="http://schemas.openxmlformats.org/officeDocument/2006/relationships/hyperlink" Target="https://www.wipo.int/web-publications/global-innovation-index-2025/en/gii-2025-at-a-glance.html" TargetMode="External"/><Relationship Id="rId54" Type="http://schemas.openxmlformats.org/officeDocument/2006/relationships/hyperlink" Target="https://www.env.go.jp/content/000310707.pdf" TargetMode="External"/><Relationship Id="rId70" Type="http://schemas.openxmlformats.org/officeDocument/2006/relationships/hyperlink" Target="https://www.toyotabharat.com/certified-used-cars/" TargetMode="External"/><Relationship Id="rId75" Type="http://schemas.openxmlformats.org/officeDocument/2006/relationships/hyperlink" Target="https://www.toyotabharat.com/" TargetMode="External"/><Relationship Id="rId91" Type="http://schemas.openxmlformats.org/officeDocument/2006/relationships/hyperlink" Target="https://global.toyota/en/newsroom/corporate/43347785.html" TargetMode="External"/><Relationship Id="rId96" Type="http://schemas.openxmlformats.org/officeDocument/2006/relationships/hyperlink" Target="https://global.toyota/en/newsroom/toyota/44331143.html" TargetMode="External"/><Relationship Id="rId1" Type="http://schemas.openxmlformats.org/officeDocument/2006/relationships/customXml" Target="../customXml/item1.xml"/><Relationship Id="rId6" Type="http://schemas.openxmlformats.org/officeDocument/2006/relationships/endnotes" Target="endnotes.xml"/><Relationship Id="rId23" Type="http://schemas.openxmlformats.org/officeDocument/2006/relationships/image" Target="media/image17.png"/><Relationship Id="rId28" Type="http://schemas.openxmlformats.org/officeDocument/2006/relationships/image" Target="media/image22.png"/><Relationship Id="rId49" Type="http://schemas.openxmlformats.org/officeDocument/2006/relationships/hyperlink" Target="https://www.jato.com/resources/news-and-insights/japans-automotive-electrification-trends-2025-h1" TargetMode="External"/><Relationship Id="rId114" Type="http://schemas.openxmlformats.org/officeDocument/2006/relationships/footer" Target="footer1.xm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hyperlink" Target="https://www.pearson.com/en-au/subject-catalog/p/global-marketing/P200000009996/9781292747484" TargetMode="External"/><Relationship Id="rId52" Type="http://schemas.openxmlformats.org/officeDocument/2006/relationships/hyperlink" Target="https://pmedrive.heavyindustries.gov.in/" TargetMode="External"/><Relationship Id="rId60" Type="http://schemas.openxmlformats.org/officeDocument/2006/relationships/hyperlink" Target="https://www.ppc.go.jp/en/legal/" TargetMode="External"/><Relationship Id="rId65" Type="http://schemas.openxmlformats.org/officeDocument/2006/relationships/hyperlink" Target="https://www.reuters.com/world/asia-pacific/imf-revises-up-japans-growth-forecast-sees-inflation-moderating-2026-01-19/" TargetMode="External"/><Relationship Id="rId73" Type="http://schemas.openxmlformats.org/officeDocument/2006/relationships/hyperlink" Target="https://www.toyotabharat.com/news/2026/tkm-registers-406081-units-sales-in-fy-25-26.html" TargetMode="External"/><Relationship Id="rId78" Type="http://schemas.openxmlformats.org/officeDocument/2006/relationships/hyperlink" Target="https://www.toyotabharat.com/news/2026/toyota-introduces-the-new-innova-crysta-with-premium-styling-and-new-design-elements.html" TargetMode="External"/><Relationship Id="rId81" Type="http://schemas.openxmlformats.org/officeDocument/2006/relationships/hyperlink" Target="https://www.toyotabharat.com/news/2026/tkm-expands-presence-in-jharkhand-inaugurates-new-dealership-in-jamshedpur.html" TargetMode="External"/><Relationship Id="rId86" Type="http://schemas.openxmlformats.org/officeDocument/2006/relationships/hyperlink" Target="https://www.toyotabharat.com/testdrive/" TargetMode="External"/><Relationship Id="rId94" Type="http://schemas.openxmlformats.org/officeDocument/2006/relationships/hyperlink" Target="https://toyota.jp/landcruiserfj/grade/" TargetMode="External"/><Relationship Id="rId99" Type="http://schemas.openxmlformats.org/officeDocument/2006/relationships/hyperlink" Target="https://toyota.jp/member/mytoyota/" TargetMode="External"/><Relationship Id="rId101" Type="http://schemas.openxmlformats.org/officeDocument/2006/relationships/hyperlink" Target="https://toyota.jp/info/crown_brand/campaign_202604/"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counterpointresearch.com/en/insights/japan-connected-car-sales-jump-34-yoy-in-q1-2025-as-domestic-oems-accelerate-digital-push" TargetMode="External"/><Relationship Id="rId109" Type="http://schemas.openxmlformats.org/officeDocument/2006/relationships/hyperlink" Target="https://www.wipo.int/web-publications/global-innovation-index-2025/en/india-ranking-in-the-global-innovation-index-2025.html" TargetMode="External"/><Relationship Id="rId34" Type="http://schemas.openxmlformats.org/officeDocument/2006/relationships/image" Target="media/image28.png"/><Relationship Id="rId50" Type="http://schemas.openxmlformats.org/officeDocument/2006/relationships/hyperlink" Target="https://www.jetro.go.jp/en/invest/attractive_sectors/manufacturing/overview/" TargetMode="External"/><Relationship Id="rId55" Type="http://schemas.openxmlformats.org/officeDocument/2006/relationships/hyperlink" Target="https://www.niti.gov.in/sites/default/files/2025-06/Automotive%20Industry%20Powering%20India&#8217;s%20participation%20in%20GVC_Non%20Confidential.pdf" TargetMode="External"/><Relationship Id="rId76" Type="http://schemas.openxmlformats.org/officeDocument/2006/relationships/hyperlink" Target="https://www.toyotabharat.com/news/2026/tkm-celebrates-2-lakh-sales-milestone-of-innova-hycross-in-india.html" TargetMode="External"/><Relationship Id="rId97" Type="http://schemas.openxmlformats.org/officeDocument/2006/relationships/hyperlink" Target="https://www.rns-pdf.londonstockexchange.com/rns/6394I_1-2026-6-17.pdf" TargetMode="External"/><Relationship Id="rId104" Type="http://schemas.openxmlformats.org/officeDocument/2006/relationships/hyperlink" Target="https://toyota.jp/tconnectservice/service/index.html" TargetMode="External"/><Relationship Id="rId7" Type="http://schemas.openxmlformats.org/officeDocument/2006/relationships/image" Target="media/image1.png"/><Relationship Id="rId71" Type="http://schemas.openxmlformats.org/officeDocument/2006/relationships/hyperlink" Target="https://www.toyotabharat.com/news/2025/tkm-sends-100-skilled-youth-for-global-training-to-japan.html" TargetMode="External"/><Relationship Id="rId92" Type="http://schemas.openxmlformats.org/officeDocument/2006/relationships/hyperlink" Target="https://global.toyota/en/newsroom/toyota/43740895.html"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hyperlink" Target="https://www.coxautoinc.com/insights/meet-the-consumer-demand-for-omnichannel-retailing/" TargetMode="External"/><Relationship Id="rId45" Type="http://schemas.openxmlformats.org/officeDocument/2006/relationships/hyperlink" Target="https://www.iea.org/reports/global-ev-outlook-2026" TargetMode="External"/><Relationship Id="rId66" Type="http://schemas.openxmlformats.org/officeDocument/2006/relationships/hyperlink" Target="https://www.reuters.com/world/asia-pacific/boj-signal-more-rate-hikes-yen-politics-fuel-inflation-risks-2026-01-20/" TargetMode="External"/><Relationship Id="rId87" Type="http://schemas.openxmlformats.org/officeDocument/2006/relationships/hyperlink" Target="https://global.toyota/en/newsroom/corporate/41769232.html" TargetMode="External"/><Relationship Id="rId110" Type="http://schemas.openxmlformats.org/officeDocument/2006/relationships/hyperlink" Target="https://www.wipo.int/documents/d/global-innovation-index/docs-en-2025-gii-2025-clusters-top100-ranking.pdf" TargetMode="External"/><Relationship Id="rId115" Type="http://schemas.openxmlformats.org/officeDocument/2006/relationships/footer" Target="footer2.xml"/><Relationship Id="rId61" Type="http://schemas.openxmlformats.org/officeDocument/2006/relationships/hyperlink" Target="https://www.reuters.com/business/autos-transportation/japans-transport-ministry-issue-corrective-order-toyota-nhk-says-2024-07-31/" TargetMode="External"/><Relationship Id="rId82" Type="http://schemas.openxmlformats.org/officeDocument/2006/relationships/hyperlink" Target="https://www.toyotabharat.com/news/2026/tkm-expands-presence-in-assam-inaugurates-new-dealership-in-guwahati.html" TargetMode="Externa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image" Target="media/image29.png"/><Relationship Id="rId56" Type="http://schemas.openxmlformats.org/officeDocument/2006/relationships/hyperlink" Target="https://global.toyota/en/newsroom/corporate/41746564.html" TargetMode="External"/><Relationship Id="rId77" Type="http://schemas.openxmlformats.org/officeDocument/2006/relationships/hyperlink" Target="https://www.toyotabharat.com/showroom/urbancruiser-ebella/" TargetMode="External"/><Relationship Id="rId100" Type="http://schemas.openxmlformats.org/officeDocument/2006/relationships/hyperlink" Target="https://global.toyota/en/newsroom/toyota/44149919.html" TargetMode="External"/><Relationship Id="rId105" Type="http://schemas.openxmlformats.org/officeDocument/2006/relationships/hyperlink" Target="https://toyota.jp/recall/campaign/" TargetMode="External"/><Relationship Id="rId8" Type="http://schemas.openxmlformats.org/officeDocument/2006/relationships/image" Target="media/image2.png"/><Relationship Id="rId51" Type="http://schemas.openxmlformats.org/officeDocument/2006/relationships/hyperlink" Target="https://www.pearson.com/en-ca/subject-catalog/p/principles-of-marketing/P200000009859/9780138210779" TargetMode="External"/><Relationship Id="rId72" Type="http://schemas.openxmlformats.org/officeDocument/2006/relationships/hyperlink" Target="https://www.toyotabharat.com/news/2025/tkm-opens-doors-to-toyota-experiential-museum-tem-in-bangalore.html" TargetMode="External"/><Relationship Id="rId93" Type="http://schemas.openxmlformats.org/officeDocument/2006/relationships/hyperlink" Target="https://global.toyota/en/newsroom/toyota/43389422.html" TargetMode="External"/><Relationship Id="rId98" Type="http://schemas.openxmlformats.org/officeDocument/2006/relationships/hyperlink" Target="https://toyota.jp/index.html" TargetMode="External"/><Relationship Id="rId3" Type="http://schemas.openxmlformats.org/officeDocument/2006/relationships/settings" Target="settings.xml"/><Relationship Id="rId25" Type="http://schemas.openxmlformats.org/officeDocument/2006/relationships/image" Target="media/image19.png"/><Relationship Id="rId46" Type="http://schemas.openxmlformats.org/officeDocument/2006/relationships/hyperlink" Target="https://www.imf.org/en/Countries/IND" TargetMode="External"/><Relationship Id="rId67" Type="http://schemas.openxmlformats.org/officeDocument/2006/relationships/hyperlink" Target="https://www.siam.in/pressrelease-details.aspx?pid=605" TargetMode="External"/><Relationship Id="rId116" Type="http://schemas.openxmlformats.org/officeDocument/2006/relationships/footer" Target="footer3.xml"/><Relationship Id="rId20" Type="http://schemas.openxmlformats.org/officeDocument/2006/relationships/image" Target="media/image14.png"/><Relationship Id="rId41" Type="http://schemas.openxmlformats.org/officeDocument/2006/relationships/hyperlink" Target="https://economictimes.indiatimes.com/industry/auto/auto-news/toyota-to-set-up-new-vehicle-manufacturing-plant-in-maharashtra-operations-from-2029/articleshow/131013590.cms" TargetMode="External"/><Relationship Id="rId62" Type="http://schemas.openxmlformats.org/officeDocument/2006/relationships/hyperlink" Target="https://www.reuters.com/world/asia-pacific/toyota-steps-up-india-expansion-with-new-suvs-rural-push-profit-surges-2025-10-30/" TargetMode="External"/><Relationship Id="rId83" Type="http://schemas.openxmlformats.org/officeDocument/2006/relationships/hyperlink" Target="https://www.toyotabharat.com/news/2026/tkm-celebrates-the-toyota-urban-cruiser-hyryder-month.html" TargetMode="External"/><Relationship Id="rId88" Type="http://schemas.openxmlformats.org/officeDocument/2006/relationships/hyperlink" Target="https://global.toyota/en/newsroom/corporate/40920588.html" TargetMode="External"/><Relationship Id="rId111" Type="http://schemas.openxmlformats.org/officeDocument/2006/relationships/hyperlink" Target="https://worldautoforum.com/toyota-kirloskar-motor-registers-31016-units-sales-in-june-2026/" TargetMode="External"/><Relationship Id="rId15" Type="http://schemas.openxmlformats.org/officeDocument/2006/relationships/image" Target="media/image9.png"/><Relationship Id="rId36" Type="http://schemas.openxmlformats.org/officeDocument/2006/relationships/image" Target="media/image30.png"/><Relationship Id="rId57" Type="http://schemas.openxmlformats.org/officeDocument/2006/relationships/hyperlink" Target="https://www.oecd.org/en/publications/oecd-employment-outlook-2025-country-notes_f91531f7-en/japan_7672bd00-en.html" TargetMode="External"/><Relationship Id="rId106" Type="http://schemas.openxmlformats.org/officeDocument/2006/relationships/hyperlink" Target="https://unctad.org/publication/world-investment-report-2026" TargetMode="External"/></Relationships>
</file>

<file path=word/theme/theme1.xml><?xml version="1.0" encoding="utf-8"?>
<a:theme xmlns:a="http://schemas.openxmlformats.org/drawingml/2006/main" name="Office Theme 2013 - 2022">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majorFont>
      <a:minorFont>
        <a:latin typeface="Calibri" panose="020F050202020403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8C2E2CEB-0E11-4555-B06A-D3939A2C7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42</Pages>
  <Words>10935</Words>
  <Characters>62334</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description/>
  <cp:lastModifiedBy>neel korat</cp:lastModifiedBy>
  <cp:revision>5</cp:revision>
  <dcterms:created xsi:type="dcterms:W3CDTF">2026-07-12T01:38:00Z</dcterms:created>
  <dcterms:modified xsi:type="dcterms:W3CDTF">2026-07-23T21:08:00Z</dcterms:modified>
  <dc:language>en-US</dc:language>
</cp:coreProperties>
</file>