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23950" w14:textId="77777777" w:rsidR="00B70283" w:rsidRDefault="00070E2A" w:rsidP="00243A92">
      <w:pPr>
        <w:pStyle w:val="FirstParagraph"/>
        <w:jc w:val="both"/>
      </w:pPr>
      <w:r>
        <w:rPr>
          <w:b/>
          <w:bCs/>
        </w:rPr>
        <w:t>MODULE CODE: ECDE7020</w:t>
      </w:r>
    </w:p>
    <w:p w14:paraId="07CD72A8" w14:textId="77777777" w:rsidR="00B70283" w:rsidRDefault="00070E2A" w:rsidP="00243A92">
      <w:pPr>
        <w:pStyle w:val="BodyText"/>
        <w:jc w:val="both"/>
      </w:pPr>
      <w:r>
        <w:rPr>
          <w:b/>
          <w:bCs/>
        </w:rPr>
        <w:t>ASSESSMENT COMPONENT: 2</w:t>
      </w:r>
    </w:p>
    <w:p w14:paraId="6FB43A2C" w14:textId="77777777" w:rsidR="00B70283" w:rsidRDefault="00070E2A" w:rsidP="00243A92">
      <w:pPr>
        <w:pStyle w:val="BodyText"/>
        <w:jc w:val="both"/>
      </w:pPr>
      <w:r>
        <w:rPr>
          <w:b/>
          <w:bCs/>
        </w:rPr>
        <w:t>STUDENT NAME: Akram Barati</w:t>
      </w:r>
    </w:p>
    <w:p w14:paraId="70288B17" w14:textId="6AEEAE71" w:rsidR="00B70283" w:rsidRDefault="00070E2A" w:rsidP="00243A92">
      <w:pPr>
        <w:pStyle w:val="BodyText"/>
        <w:jc w:val="both"/>
      </w:pPr>
      <w:r>
        <w:rPr>
          <w:b/>
          <w:bCs/>
        </w:rPr>
        <w:t xml:space="preserve">STUDENT NUMBER: </w:t>
      </w:r>
      <w:r w:rsidR="00B75206">
        <w:rPr>
          <w:b/>
          <w:bCs/>
        </w:rPr>
        <w:t>2403780</w:t>
      </w:r>
    </w:p>
    <w:p w14:paraId="5E6CDAC7" w14:textId="77777777" w:rsidR="00B70283" w:rsidRDefault="00070E2A" w:rsidP="00243A92">
      <w:pPr>
        <w:pStyle w:val="BodyText"/>
        <w:jc w:val="both"/>
      </w:pPr>
      <w:proofErr w:type="spellStart"/>
      <w:r>
        <w:rPr>
          <w:b/>
          <w:bCs/>
        </w:rPr>
        <w:t>Programme</w:t>
      </w:r>
      <w:proofErr w:type="spellEnd"/>
      <w:r>
        <w:rPr>
          <w:b/>
          <w:bCs/>
        </w:rPr>
        <w:t>: ☒ Professional Doctorate (EdD)</w:t>
      </w:r>
    </w:p>
    <w:p w14:paraId="1111F404" w14:textId="77777777" w:rsidR="00B70283" w:rsidRDefault="00B70283" w:rsidP="00243A92">
      <w:pPr>
        <w:jc w:val="both"/>
      </w:pPr>
    </w:p>
    <w:p w14:paraId="78CAEA42" w14:textId="77777777" w:rsidR="00B70283" w:rsidRDefault="00070E2A" w:rsidP="00243A92">
      <w:pPr>
        <w:pStyle w:val="Heading2"/>
        <w:jc w:val="both"/>
      </w:pPr>
      <w:bookmarkStart w:id="0" w:name="introduction"/>
      <w:r>
        <w:t>Introduction</w:t>
      </w:r>
    </w:p>
    <w:p w14:paraId="1B89D7A5" w14:textId="053C78B9" w:rsidR="00B70283" w:rsidRDefault="00070E2A" w:rsidP="00243A92">
      <w:pPr>
        <w:pStyle w:val="FirstParagraph"/>
        <w:jc w:val="both"/>
      </w:pPr>
      <w:r>
        <w:t xml:space="preserve">Healthcare professionals in high-acuity environments—emergency departments, intensive care units, pre-hospital services—must </w:t>
      </w:r>
      <w:r w:rsidR="00B75206">
        <w:t>synthesize</w:t>
      </w:r>
      <w:r>
        <w:t xml:space="preserve"> complex clinical knowledge whilst navigating relentless temporal pressures (Bluestone et al., 2013). Traditional continuing professional development (CPD), </w:t>
      </w:r>
      <w:r w:rsidR="00B75206">
        <w:t>characterized</w:t>
      </w:r>
      <w:r>
        <w:t xml:space="preserve"> by classroom-based interventions and lengthy refreshers, has been critiqued for misalignment with clinical practice realities, where staffing constraints and diminishing protected learning time create formidable engagement barriers (Cervero and Daley, 2018; Melnyk et al., 2016).</w:t>
      </w:r>
    </w:p>
    <w:p w14:paraId="12229D8D" w14:textId="77777777" w:rsidR="00B70283" w:rsidRDefault="00070E2A" w:rsidP="00243A92">
      <w:pPr>
        <w:pStyle w:val="BodyText"/>
        <w:jc w:val="both"/>
      </w:pPr>
      <w:r>
        <w:t xml:space="preserve">Microlearning—brief, focused modules (3-10 minutes) via digital platforms—has emerged as potentially transformative, demonstrating capacity to enhance knowledge retention particularly within blended frameworks (De Gagne et al., 2019; Ho et al., 2025). However, extant literature privileges quantifiable outcomes whilst phenomenological dimensions of </w:t>
      </w:r>
      <w:r>
        <w:rPr>
          <w:i/>
          <w:iCs/>
        </w:rPr>
        <w:t>how</w:t>
      </w:r>
      <w:r>
        <w:t xml:space="preserve"> professionals </w:t>
      </w:r>
      <w:r>
        <w:rPr>
          <w:i/>
          <w:iCs/>
        </w:rPr>
        <w:t>experience</w:t>
      </w:r>
      <w:r>
        <w:t xml:space="preserve"> microlearning remain under-explored (Leong et al., 2021; Taylor and Hung, 2022).</w:t>
      </w:r>
    </w:p>
    <w:p w14:paraId="5502DE12" w14:textId="77777777" w:rsidR="00B70283" w:rsidRDefault="00070E2A" w:rsidP="00243A92">
      <w:pPr>
        <w:pStyle w:val="BodyText"/>
        <w:jc w:val="both"/>
      </w:pPr>
      <w:r>
        <w:t xml:space="preserve">This research addresses: </w:t>
      </w:r>
      <w:r>
        <w:rPr>
          <w:i/>
          <w:iCs/>
        </w:rPr>
        <w:t>How do healthcare employees experience microlearning-based training in high-pressure professional environments?</w:t>
      </w:r>
      <w:r>
        <w:t xml:space="preserve"> Specifically: (1) What meanings do professionals ascribe to microlearning in sustaining readiness? (2) How do temporal/contextual constraints shape engagement? The study aims to redress gaps in experience-oriented scholarship (Weston et al., 2024), moving beyond performative metrics to illuminate intersections between microlearning, professional identity, cognitive load, and embodied practice realities (Cruess et al., 2016).</w:t>
      </w:r>
    </w:p>
    <w:p w14:paraId="6A0E4D0D" w14:textId="77777777" w:rsidR="00B70283" w:rsidRDefault="00B70283" w:rsidP="00243A92">
      <w:pPr>
        <w:pStyle w:val="BodyText"/>
        <w:jc w:val="both"/>
      </w:pPr>
    </w:p>
    <w:p w14:paraId="41AED6DF" w14:textId="77777777" w:rsidR="00B70283" w:rsidRDefault="00B70283" w:rsidP="00243A92">
      <w:pPr>
        <w:jc w:val="both"/>
      </w:pPr>
    </w:p>
    <w:p w14:paraId="6B75F91C" w14:textId="77777777" w:rsidR="00B70283" w:rsidRDefault="00070E2A" w:rsidP="00243A92">
      <w:pPr>
        <w:pStyle w:val="Heading2"/>
        <w:jc w:val="both"/>
      </w:pPr>
      <w:bookmarkStart w:id="1" w:name="chosen-method"/>
      <w:bookmarkEnd w:id="0"/>
      <w:r>
        <w:t>Chosen Method</w:t>
      </w:r>
    </w:p>
    <w:p w14:paraId="27E287AE" w14:textId="77777777" w:rsidR="00B70283" w:rsidRDefault="00070E2A" w:rsidP="00243A92">
      <w:pPr>
        <w:pStyle w:val="Heading3"/>
        <w:jc w:val="both"/>
      </w:pPr>
      <w:bookmarkStart w:id="2" w:name="Xfac2029d024c2a01e159325bec63d8b7967d3ab"/>
      <w:r>
        <w:t>Epistemological and Ontological Foundations</w:t>
      </w:r>
    </w:p>
    <w:p w14:paraId="387BF641" w14:textId="41976341" w:rsidR="00B70283" w:rsidRDefault="00070E2A" w:rsidP="00243A92">
      <w:pPr>
        <w:pStyle w:val="FirstParagraph"/>
        <w:jc w:val="both"/>
      </w:pPr>
      <w:r>
        <w:t xml:space="preserve">This research adopts an </w:t>
      </w:r>
      <w:r>
        <w:rPr>
          <w:b/>
          <w:bCs/>
        </w:rPr>
        <w:t>interpretivist epistemology</w:t>
      </w:r>
      <w:r>
        <w:t xml:space="preserve">, </w:t>
      </w:r>
      <w:r w:rsidR="00B75206">
        <w:t>conceptualizing</w:t>
      </w:r>
      <w:r>
        <w:t xml:space="preserve"> knowledge as socially constructed through subjective engagements rather than objective discovery (Creswell and Poth, 2018; Cohen et al., 2018). In healthcare training, interpretivism illuminates microlearning as imbued with personal significance: a paramedic might construe </w:t>
      </w:r>
      <w:r>
        <w:lastRenderedPageBreak/>
        <w:t>brief modules as cognitive anchors during crises, whilst a nurse experiencing burnout may perceive them as superficial (van Manen, 2016). Interpretivism challenges positivist reductions, foregrounding hermeneutic meaning-negotiation (Guba and Lincoln, 1994). Critics caution against subjectivity’s solipsistic risks; this study addresses concerns through systematic reflexivity—audit trails, peer debriefing, member checking (Braun and Clarke, 2019).</w:t>
      </w:r>
    </w:p>
    <w:p w14:paraId="06A2DF81" w14:textId="3ADD0532" w:rsidR="00B70283" w:rsidRDefault="00070E2A" w:rsidP="00243A92">
      <w:pPr>
        <w:pStyle w:val="BodyText"/>
        <w:jc w:val="both"/>
      </w:pPr>
      <w:r>
        <w:t xml:space="preserve">Correspondingly, a </w:t>
      </w:r>
      <w:r>
        <w:rPr>
          <w:b/>
          <w:bCs/>
        </w:rPr>
        <w:t>relativist ontology</w:t>
      </w:r>
      <w:r>
        <w:t xml:space="preserve"> conceives reality as pluralistic and co-constituted, devoid of singular essence (Heidegger, 1962). Ontological relativism acknowledges experiential fluidity shaped by pressures, dynamics, and constraints: microlearning’s ‘reality’ manifests as empowering in well-resourced units yet burdensome in understaffed wards (Cruess et al., 2016; Dowling and Cooney, 2012). Whilst critics argue relativism undermines universal standards (Vincent, 2010), this study </w:t>
      </w:r>
      <w:r w:rsidR="00B75206">
        <w:t>emphasizes</w:t>
      </w:r>
      <w:r>
        <w:t xml:space="preserve"> </w:t>
      </w:r>
      <w:r>
        <w:rPr>
          <w:i/>
          <w:iCs/>
        </w:rPr>
        <w:t>transferability</w:t>
      </w:r>
      <w:r>
        <w:t xml:space="preserve"> over </w:t>
      </w:r>
      <w:r w:rsidR="00B75206">
        <w:t>generalization</w:t>
      </w:r>
      <w:r>
        <w:t>, aligning ontology with pragmatic training reform utility (Webster-Wright, 2009).</w:t>
      </w:r>
    </w:p>
    <w:p w14:paraId="3164FAB5" w14:textId="77777777" w:rsidR="00B70283" w:rsidRDefault="00070E2A" w:rsidP="00243A92">
      <w:pPr>
        <w:pStyle w:val="BodyText"/>
        <w:jc w:val="both"/>
      </w:pPr>
      <w:r>
        <w:t xml:space="preserve">These foundations coalesce in </w:t>
      </w:r>
      <w:r>
        <w:rPr>
          <w:b/>
          <w:bCs/>
        </w:rPr>
        <w:t>hermeneutic phenomenology</w:t>
      </w:r>
      <w:r>
        <w:t xml:space="preserve"> (Heidegger, 1962; van Manen, 2016), probing interpretive horizons of lived experience whilst acknowledging pre-understandings’ inescapability. This approach excels at dissecting microlearning’s ‘as-lived’ quality where learning intertwines with temporality and care. Unlike descriptive phenomenology’s bracketing, hermeneutic phenomenology embraces circular interpretation, dialogically unveiling how microlearning fosters or frustrates readiness (Dowling and Cooney, 2012). Recent applications affirm efficacy: Ho et al. (2025) reveal nanolearning’s blended benefits; Weston et al. (2024) highlight engagement roles amid post-pandemic stressors.</w:t>
      </w:r>
    </w:p>
    <w:p w14:paraId="09F2B6FE" w14:textId="77777777" w:rsidR="00B70283" w:rsidRDefault="00070E2A" w:rsidP="00243A92">
      <w:pPr>
        <w:pStyle w:val="BodyText"/>
        <w:jc w:val="both"/>
      </w:pPr>
      <w:r>
        <w:t>Quantitative alternatives prove inadequate, distilling experiences into variables and effacing emotional ambivalences (Creswell and Poth, 2018). Mixed-methods risk diluting phenomenological depth by subordinating narratives to metrics (Braun and Clarke, 2019). Hermeneutic phenomenology’s strength lies in critiquing dominant efficiency-driven discourses, fostering emancipatory insights (Webster-Wright, 2009). However, interpretive subjectivity demands reflexivity via journaling and peer validation (van Manen, 2016).</w:t>
      </w:r>
    </w:p>
    <w:p w14:paraId="3F62DB75" w14:textId="77777777" w:rsidR="00B70283" w:rsidRDefault="00070E2A" w:rsidP="00243A92">
      <w:pPr>
        <w:pStyle w:val="Heading3"/>
        <w:jc w:val="both"/>
      </w:pPr>
      <w:bookmarkStart w:id="3" w:name="strengths-and-limitations"/>
      <w:bookmarkEnd w:id="2"/>
      <w:r>
        <w:t>Strengths and Limitations</w:t>
      </w:r>
    </w:p>
    <w:p w14:paraId="4E89DF49" w14:textId="77777777" w:rsidR="00B70283" w:rsidRDefault="00070E2A" w:rsidP="00243A92">
      <w:pPr>
        <w:pStyle w:val="FirstParagraph"/>
        <w:jc w:val="both"/>
      </w:pPr>
      <w:r>
        <w:rPr>
          <w:b/>
          <w:bCs/>
        </w:rPr>
        <w:t>Strengths:</w:t>
      </w:r>
      <w:r>
        <w:t xml:space="preserve"> Generates ‘thick’ descriptions enriching pedagogy, unearthing paradoxes like microlearning as enabler and overload contributor (Melnyk et al., 2016; Taylor and Hung, 2022). Empirical support abounds: De Gagne et al. (2019) and 2025 reviews validate interpretive yields (ResearchGate, 2025). Amid AI-driven trends, this approach critiques technology’s human costs, promoting holistic readiness (</w:t>
      </w:r>
      <w:proofErr w:type="spellStart"/>
      <w:r>
        <w:t>PromediExcel</w:t>
      </w:r>
      <w:proofErr w:type="spellEnd"/>
      <w:r>
        <w:t>, 2025).</w:t>
      </w:r>
    </w:p>
    <w:p w14:paraId="1A47CDD0" w14:textId="14594CF2" w:rsidR="00B70283" w:rsidRDefault="00070E2A" w:rsidP="00243A92">
      <w:pPr>
        <w:pStyle w:val="BodyText"/>
        <w:jc w:val="both"/>
      </w:pPr>
      <w:r>
        <w:rPr>
          <w:b/>
          <w:bCs/>
        </w:rPr>
        <w:t>Limitations:</w:t>
      </w:r>
      <w:r>
        <w:t xml:space="preserve"> Hermeneutic circularity may entrench biases; mitigated via bracketing and diverse sampling (Braun and Clarke, 2019). Small samples preclude broad </w:t>
      </w:r>
      <w:r w:rsidR="00B75206">
        <w:t>generalization</w:t>
      </w:r>
      <w:r>
        <w:t>, but phenomenological transferability suffices for contextual insights (Palinkas et al., 2015). Evoking sensitive experiences risks harm, necessitating safeguards (Dowling and Cooney, 2012).</w:t>
      </w:r>
    </w:p>
    <w:p w14:paraId="4FAF5351" w14:textId="77777777" w:rsidR="00B70283" w:rsidRDefault="00B70283" w:rsidP="00243A92">
      <w:pPr>
        <w:jc w:val="both"/>
      </w:pPr>
    </w:p>
    <w:p w14:paraId="141C3175" w14:textId="77777777" w:rsidR="00B70283" w:rsidRDefault="00070E2A" w:rsidP="00243A92">
      <w:pPr>
        <w:pStyle w:val="Heading2"/>
        <w:jc w:val="both"/>
      </w:pPr>
      <w:bookmarkStart w:id="4" w:name="research-tools"/>
      <w:bookmarkEnd w:id="1"/>
      <w:bookmarkEnd w:id="3"/>
      <w:r>
        <w:lastRenderedPageBreak/>
        <w:t>Research Tool(s)</w:t>
      </w:r>
    </w:p>
    <w:p w14:paraId="18A1FF9E" w14:textId="77777777" w:rsidR="00B70283" w:rsidRDefault="00070E2A" w:rsidP="00243A92">
      <w:pPr>
        <w:pStyle w:val="FirstParagraph"/>
        <w:jc w:val="both"/>
      </w:pPr>
      <w:r>
        <w:rPr>
          <w:b/>
          <w:bCs/>
        </w:rPr>
        <w:t>Semi-structured interviews</w:t>
      </w:r>
      <w:r>
        <w:t xml:space="preserve"> constitute the principal tool, affording narrative latitude whilst anchoring discourse to research foci (Cohen et al., 2018; van Manen, 2016). This format enables dialogic meaning co-construction, preserving space for unanticipated insights whilst ensuring alignment (Dowling and Cooney, 2012). In healthcare’s emotionally laden contexts, interviews allow articulating not merely </w:t>
      </w:r>
      <w:r>
        <w:rPr>
          <w:i/>
          <w:iCs/>
        </w:rPr>
        <w:t>what</w:t>
      </w:r>
      <w:r>
        <w:t xml:space="preserve"> was learned but </w:t>
      </w:r>
      <w:r>
        <w:rPr>
          <w:i/>
          <w:iCs/>
        </w:rPr>
        <w:t>how</w:t>
      </w:r>
      <w:r>
        <w:t xml:space="preserve"> learning felt, </w:t>
      </w:r>
      <w:r>
        <w:rPr>
          <w:i/>
          <w:iCs/>
        </w:rPr>
        <w:t>what</w:t>
      </w:r>
      <w:r>
        <w:t xml:space="preserve"> it meant for professional identity, and intersections with practice realities (van Manen, 2016).</w:t>
      </w:r>
    </w:p>
    <w:p w14:paraId="19D80706" w14:textId="77777777" w:rsidR="00B70283" w:rsidRDefault="00070E2A" w:rsidP="00243A92">
      <w:pPr>
        <w:pStyle w:val="BodyText"/>
        <w:jc w:val="both"/>
      </w:pPr>
      <w:r>
        <w:t xml:space="preserve">The protocol comprises three phases aligned with van Manen’s (2016) phenomenological questioning. </w:t>
      </w:r>
      <w:r>
        <w:rPr>
          <w:b/>
          <w:bCs/>
        </w:rPr>
        <w:t>Phase One</w:t>
      </w:r>
      <w:r>
        <w:t xml:space="preserve"> elicits concrete narratives: “Describe a time you used microlearning around a challenging shift.” Stories provide richer phenomenological material than abstractions. </w:t>
      </w:r>
      <w:r>
        <w:rPr>
          <w:b/>
          <w:bCs/>
        </w:rPr>
        <w:t>Phase Two</w:t>
      </w:r>
      <w:r>
        <w:t xml:space="preserve"> probes interpretive dimensions: “What did that mean to you?” </w:t>
      </w:r>
      <w:r>
        <w:rPr>
          <w:b/>
          <w:bCs/>
        </w:rPr>
        <w:t>Phase Three</w:t>
      </w:r>
      <w:r>
        <w:t xml:space="preserve"> explores contextual factors: “How did time pressures shape engagement?” The protocol incorporates </w:t>
      </w:r>
      <w:r>
        <w:rPr>
          <w:b/>
          <w:bCs/>
        </w:rPr>
        <w:t>critical incident technique</w:t>
      </w:r>
      <w:r>
        <w:t>, inviting reflections on episodes where microlearning proved valuable or inadequate (Flanagan, 1954)—particularly generative in high-stakes environments (Bluestone et al., 2013).</w:t>
      </w:r>
    </w:p>
    <w:p w14:paraId="0F92349E" w14:textId="77777777" w:rsidR="00B70283" w:rsidRDefault="00070E2A" w:rsidP="00243A92">
      <w:pPr>
        <w:pStyle w:val="BodyText"/>
        <w:jc w:val="both"/>
      </w:pPr>
      <w:r>
        <w:rPr>
          <w:b/>
          <w:bCs/>
        </w:rPr>
        <w:t>Pilot testing</w:t>
      </w:r>
      <w:r>
        <w:t xml:space="preserve"> with 2-3 non-sample professionals will assess question clarity, identify elaboration needs, and evaluate whether the protocol elicits phenomenologically rich narratives versus superficial responses (Cohen et al., 2018). Pilot testing examines duration (provisionally 60-75 minutes) to ensure depth without undue burden, with iterative refinement balancing structure against flexibility (van Manen, 2016).</w:t>
      </w:r>
    </w:p>
    <w:p w14:paraId="76F95727" w14:textId="15038171" w:rsidR="00B70283" w:rsidRDefault="00070E2A" w:rsidP="00243A92">
      <w:pPr>
        <w:pStyle w:val="BodyText"/>
        <w:jc w:val="both"/>
      </w:pPr>
      <w:r>
        <w:rPr>
          <w:b/>
          <w:bCs/>
        </w:rPr>
        <w:t>Asynchronous reflective prompts</w:t>
      </w:r>
      <w:r>
        <w:t xml:space="preserve"> offer optional complementary methods for constrained participants. Post-interview prompts via secure email (e.g., “Any further thoughts on microlearning’s fit?”) </w:t>
      </w:r>
      <w:r w:rsidR="00B75206">
        <w:t>recognize</w:t>
      </w:r>
      <w:r>
        <w:t xml:space="preserve"> phenomenological reflection’s iterative nature—meanings may </w:t>
      </w:r>
      <w:r w:rsidR="00B75206">
        <w:t>crystallize</w:t>
      </w:r>
      <w:r>
        <w:t xml:space="preserve"> post-interview (van Manen, 2016). This remains genuinely optional, avoiding coercion.</w:t>
      </w:r>
    </w:p>
    <w:p w14:paraId="5691777E" w14:textId="30F3C3F3" w:rsidR="00B70283" w:rsidRDefault="00070E2A" w:rsidP="00243A92">
      <w:pPr>
        <w:pStyle w:val="BodyText"/>
        <w:jc w:val="both"/>
      </w:pPr>
      <w:r>
        <w:rPr>
          <w:b/>
          <w:bCs/>
        </w:rPr>
        <w:t>Rejected alternatives:</w:t>
      </w:r>
      <w:r>
        <w:t xml:space="preserve"> </w:t>
      </w:r>
      <w:r>
        <w:rPr>
          <w:b/>
          <w:bCs/>
        </w:rPr>
        <w:t>Focus groups</w:t>
      </w:r>
      <w:r>
        <w:t xml:space="preserve">, whilst valuable for shared meanings, were rejected due to hierarchical healthcare settings where power differentials inhibit </w:t>
      </w:r>
      <w:r w:rsidR="00B75206">
        <w:t>candor</w:t>
      </w:r>
      <w:r>
        <w:t xml:space="preserve"> (Krueger and Casey, 2015), plus logistical constraints with shift-workers. An exploratory focus group </w:t>
      </w:r>
      <w:r>
        <w:rPr>
          <w:i/>
          <w:iCs/>
        </w:rPr>
        <w:t>post-interviews</w:t>
      </w:r>
      <w:r>
        <w:t xml:space="preserve"> may triangulate themes if feasible. </w:t>
      </w:r>
      <w:r>
        <w:rPr>
          <w:b/>
          <w:bCs/>
        </w:rPr>
        <w:t>Observational methods</w:t>
      </w:r>
      <w:r>
        <w:t xml:space="preserve"> prove impractical given microlearning’s ad-hoc nature and cannot access phenomenological cores—meanings, emotions, existential dimensions (van Manen, 2016). </w:t>
      </w:r>
      <w:r>
        <w:rPr>
          <w:b/>
          <w:bCs/>
        </w:rPr>
        <w:t>Surveys</w:t>
      </w:r>
      <w:r>
        <w:t xml:space="preserve"> fundamentally contravene phenomenological commitments by reducing experiences to predetermined categories (Creswell and Poth, 2018).</w:t>
      </w:r>
    </w:p>
    <w:p w14:paraId="25A1EE39" w14:textId="77777777" w:rsidR="00B70283" w:rsidRDefault="00070E2A" w:rsidP="00243A92">
      <w:pPr>
        <w:pStyle w:val="Heading3"/>
        <w:jc w:val="both"/>
      </w:pPr>
      <w:bookmarkStart w:id="5" w:name="strengths-and-limitations-1"/>
      <w:r>
        <w:t>Strengths and Limitations</w:t>
      </w:r>
    </w:p>
    <w:p w14:paraId="503CC531" w14:textId="77777777" w:rsidR="00B70283" w:rsidRDefault="00070E2A" w:rsidP="00243A92">
      <w:pPr>
        <w:pStyle w:val="FirstParagraph"/>
        <w:jc w:val="both"/>
      </w:pPr>
      <w:r>
        <w:rPr>
          <w:b/>
          <w:bCs/>
        </w:rPr>
        <w:t>Strengths:</w:t>
      </w:r>
      <w:r>
        <w:t xml:space="preserve"> Semi-structured interviews facilitate phenomenological depth, accessing nuanced narratives illuminating </w:t>
      </w:r>
      <w:r>
        <w:rPr>
          <w:i/>
          <w:iCs/>
        </w:rPr>
        <w:t>how</w:t>
      </w:r>
      <w:r>
        <w:t xml:space="preserve"> microlearning is experienced versus merely </w:t>
      </w:r>
      <w:r>
        <w:rPr>
          <w:i/>
          <w:iCs/>
        </w:rPr>
        <w:t>whether</w:t>
      </w:r>
      <w:r>
        <w:t xml:space="preserve"> effective (van Manen, 2016). Flexibility accommodates unexpected insights whilst ensuring coverage. Rapport-building fosters trust crucial when discussing vulnerabilities (Dowling and Cooney, 2012). Practical feasibility enables scheduling around shifts. Empirical support: </w:t>
      </w:r>
      <w:r>
        <w:lastRenderedPageBreak/>
        <w:t xml:space="preserve">qualitative interview studies generate richer insights than surveys alone (De Gagne et al., 2019; J Educ Health </w:t>
      </w:r>
      <w:proofErr w:type="spellStart"/>
      <w:r>
        <w:t>Promot</w:t>
      </w:r>
      <w:proofErr w:type="spellEnd"/>
      <w:r>
        <w:t>, 2025).</w:t>
      </w:r>
    </w:p>
    <w:p w14:paraId="4665C364" w14:textId="77777777" w:rsidR="00B70283" w:rsidRDefault="00070E2A" w:rsidP="00243A92">
      <w:pPr>
        <w:pStyle w:val="BodyText"/>
        <w:jc w:val="both"/>
      </w:pPr>
      <w:r>
        <w:rPr>
          <w:b/>
          <w:bCs/>
        </w:rPr>
        <w:t>Limitations:</w:t>
      </w:r>
      <w:r>
        <w:t xml:space="preserve"> Retrospective accounts risk memory distortion or social desirability bias (Cohen et al., 2018). Participants may struggle articulating tacit dimensions. Researcher phenomenological interviewing skill proves critical yet demanding (van Manen, 2016).</w:t>
      </w:r>
    </w:p>
    <w:p w14:paraId="49059DF5" w14:textId="2169F179" w:rsidR="00B70283" w:rsidRDefault="00070E2A" w:rsidP="00243A92">
      <w:pPr>
        <w:pStyle w:val="BodyText"/>
        <w:jc w:val="both"/>
      </w:pPr>
      <w:r>
        <w:rPr>
          <w:b/>
          <w:bCs/>
        </w:rPr>
        <w:t>Mitigation:</w:t>
      </w:r>
      <w:r>
        <w:t xml:space="preserve"> Critical incident technique anchors reflections in concrete episodes. Social desirability </w:t>
      </w:r>
      <w:r w:rsidR="00B75206">
        <w:t>minimized</w:t>
      </w:r>
      <w:r>
        <w:t xml:space="preserve"> through </w:t>
      </w:r>
      <w:r w:rsidR="00B75206">
        <w:t>emphasizing</w:t>
      </w:r>
      <w:r>
        <w:t xml:space="preserve"> confidentiality, framing research as exploratory, inviting critical perspectives. Researcher competence enhanced via practice interviews, supervisory feedback, reflexive journaling (Braun and Clarke, 2019). Member checking validates analyses remain grounded in participants’ experiences (van Manen, 2016).</w:t>
      </w:r>
    </w:p>
    <w:p w14:paraId="7789968B" w14:textId="77777777" w:rsidR="00B70283" w:rsidRDefault="00B70283" w:rsidP="00243A92">
      <w:pPr>
        <w:jc w:val="both"/>
      </w:pPr>
    </w:p>
    <w:p w14:paraId="74614AD4" w14:textId="77777777" w:rsidR="00B70283" w:rsidRDefault="00070E2A" w:rsidP="00243A92">
      <w:pPr>
        <w:pStyle w:val="Heading2"/>
        <w:jc w:val="both"/>
      </w:pPr>
      <w:bookmarkStart w:id="6" w:name="sampling"/>
      <w:bookmarkEnd w:id="4"/>
      <w:bookmarkEnd w:id="5"/>
      <w:r>
        <w:t>Sampling</w:t>
      </w:r>
    </w:p>
    <w:p w14:paraId="53809C6D" w14:textId="4EA7A45A" w:rsidR="00B70283" w:rsidRDefault="00070E2A" w:rsidP="00243A92">
      <w:pPr>
        <w:pStyle w:val="FirstParagraph"/>
        <w:jc w:val="both"/>
      </w:pPr>
      <w:r>
        <w:t xml:space="preserve">This study employs </w:t>
      </w:r>
      <w:r>
        <w:rPr>
          <w:b/>
          <w:bCs/>
        </w:rPr>
        <w:t>purposive maximum variation sampling</w:t>
      </w:r>
      <w:r>
        <w:t xml:space="preserve">, particularly apposite for phenomenological inquiry seeking essential structures whilst acknowledging experiential diversity (Palinkas et al., 2015; Creswell and Poth, 2018). Purposive sampling enables deliberate selection of information-rich participants experiencing microlearning within high-pressure healthcare, ensuring research question relevance (Cohen et al., 2018). Maximum variation—recruiting across roles, settings, career stages, </w:t>
      </w:r>
      <w:r w:rsidR="00B75206">
        <w:t>organizational</w:t>
      </w:r>
      <w:r>
        <w:t xml:space="preserve"> contexts—enhances transferability by capturing phenomenon manifestations across conditions whilst revealing common threads transcending differences (Palinkas et al., 2015).</w:t>
      </w:r>
    </w:p>
    <w:p w14:paraId="07FDF3B8" w14:textId="546123EF" w:rsidR="00B70283" w:rsidRDefault="00070E2A" w:rsidP="00243A92">
      <w:pPr>
        <w:pStyle w:val="BodyText"/>
        <w:jc w:val="both"/>
      </w:pPr>
      <w:r>
        <w:rPr>
          <w:b/>
          <w:bCs/>
        </w:rPr>
        <w:t>Inclusion criteria:</w:t>
      </w:r>
      <w:r>
        <w:t xml:space="preserve"> Qualified healthcare professionals (nurses, paramedics, doctors, allied health) currently </w:t>
      </w:r>
      <w:r w:rsidR="00B75206">
        <w:t>practicing</w:t>
      </w:r>
      <w:r>
        <w:t xml:space="preserve"> in high-acuity settings (emergency departments, intensive care, pre-hospital services, acute units); minimum 12 months’ current role experience; documented microlearning engagement within 6 months; able to participate in English; willing to provide informed consent for </w:t>
      </w:r>
      <w:proofErr w:type="gramStart"/>
      <w:r>
        <w:t>60-75 minute</w:t>
      </w:r>
      <w:proofErr w:type="gramEnd"/>
      <w:r>
        <w:t xml:space="preserve"> recorded interviews.</w:t>
      </w:r>
    </w:p>
    <w:p w14:paraId="347B7F75" w14:textId="77777777" w:rsidR="00B70283" w:rsidRDefault="00070E2A" w:rsidP="00243A92">
      <w:pPr>
        <w:pStyle w:val="BodyText"/>
        <w:jc w:val="both"/>
      </w:pPr>
      <w:r>
        <w:rPr>
          <w:b/>
          <w:bCs/>
        </w:rPr>
        <w:t>Exclusion criteria:</w:t>
      </w:r>
      <w:r>
        <w:t xml:space="preserve"> Non-clinical practitioners; those unable to provide informed consent.</w:t>
      </w:r>
    </w:p>
    <w:p w14:paraId="00D58C64" w14:textId="4B64AED3" w:rsidR="00B70283" w:rsidRDefault="00070E2A" w:rsidP="00243A92">
      <w:pPr>
        <w:pStyle w:val="BodyText"/>
        <w:jc w:val="both"/>
      </w:pPr>
      <w:r>
        <w:rPr>
          <w:b/>
          <w:bCs/>
        </w:rPr>
        <w:t>Variation dimensions:</w:t>
      </w:r>
      <w:r>
        <w:t xml:space="preserve"> (1) Professional role: nurses, paramedics, doctors capturing profession-specific cultures; (2) Clinical setting: emergency departments, intensive care, pre-hospital services exploring environmental pressure influences; (3) Career stage: newly qualified (1-3 years), mid-career (4-15 years), senior (&gt;15 years) illuminating developmental differences; (4) </w:t>
      </w:r>
      <w:r w:rsidR="00B75206">
        <w:t>Organizational</w:t>
      </w:r>
      <w:r>
        <w:t xml:space="preserve"> context: varying NHS trust sizes/resources, potentially private/third-sector; (5) Microlearning modality: app-based, video, simulation, text-based capturing modality-specific experiences.</w:t>
      </w:r>
    </w:p>
    <w:p w14:paraId="1B77867D" w14:textId="4854B6AE" w:rsidR="00B70283" w:rsidRDefault="00070E2A" w:rsidP="00243A92">
      <w:pPr>
        <w:pStyle w:val="BodyText"/>
        <w:jc w:val="both"/>
      </w:pPr>
      <w:r>
        <w:rPr>
          <w:b/>
          <w:bCs/>
        </w:rPr>
        <w:t>Sample size:</w:t>
      </w:r>
      <w:r>
        <w:t xml:space="preserve"> Phenomenological inquiry </w:t>
      </w:r>
      <w:r w:rsidR="00B75206">
        <w:t>prioritizes</w:t>
      </w:r>
      <w:r>
        <w:t xml:space="preserve"> depth; targeting </w:t>
      </w:r>
      <w:r>
        <w:rPr>
          <w:b/>
          <w:bCs/>
        </w:rPr>
        <w:t>10-12 participants</w:t>
      </w:r>
      <w:r>
        <w:t xml:space="preserve">, supported by recent healthcare education research (Dowling and Cooney, 2012; De Gagne et al., 2019). Recruitment continues until </w:t>
      </w:r>
      <w:r>
        <w:rPr>
          <w:b/>
          <w:bCs/>
        </w:rPr>
        <w:t>thematic saturation</w:t>
      </w:r>
      <w:r>
        <w:t xml:space="preserve">—new interviews yielding no substantive insights, experiential patterns </w:t>
      </w:r>
      <w:r w:rsidR="00B75206">
        <w:t>stabilized</w:t>
      </w:r>
      <w:r>
        <w:t xml:space="preserve"> (Palinkas et al., 2015). Phenomenological saturation differs from grounded theory’s theoretical saturation; aim is sufficient depth illuminating phenomenon’s essential meanings/variations (van Manen, </w:t>
      </w:r>
      <w:r>
        <w:lastRenderedPageBreak/>
        <w:t>2016). Ongoing analysis concurrent with collection enables saturation assessment after 8-10 interviews.</w:t>
      </w:r>
    </w:p>
    <w:p w14:paraId="536F18B1" w14:textId="77777777" w:rsidR="00B70283" w:rsidRDefault="00070E2A" w:rsidP="00243A92">
      <w:pPr>
        <w:pStyle w:val="BodyText"/>
        <w:jc w:val="both"/>
      </w:pPr>
      <w:r>
        <w:rPr>
          <w:b/>
          <w:bCs/>
        </w:rPr>
        <w:t>Recruitment:</w:t>
      </w:r>
      <w:r>
        <w:t xml:space="preserve"> (1) Institutional gatekeepers: NHS Education Leads identifying microlearning-engaged participants; (2) Professional networks: relevant bodies (Royal College of Nursing, College of Paramedics) disseminating information; (3) Snowball sampling: initial participants suggesting colleagues meeting criteria offering diverse perspectives. Materials communicate phenomenological focus—</w:t>
      </w:r>
      <w:r>
        <w:rPr>
          <w:i/>
          <w:iCs/>
        </w:rPr>
        <w:t>lived experiences</w:t>
      </w:r>
      <w:r>
        <w:t xml:space="preserve"> versus evaluating effectiveness—attracting genuinely reflective participants. Recruitment avoids coercion; managers won’t identify individuals; participation entirely voluntary with explicit withdrawal rights (BERA, 2018).</w:t>
      </w:r>
    </w:p>
    <w:p w14:paraId="681314E1" w14:textId="77777777" w:rsidR="00B70283" w:rsidRDefault="00070E2A" w:rsidP="00243A92">
      <w:pPr>
        <w:pStyle w:val="Heading3"/>
        <w:jc w:val="both"/>
      </w:pPr>
      <w:bookmarkStart w:id="7" w:name="strengths-and-limitations-2"/>
      <w:r>
        <w:t>Strengths and Limitations</w:t>
      </w:r>
    </w:p>
    <w:p w14:paraId="3F14E457" w14:textId="5D366F6C" w:rsidR="00B70283" w:rsidRDefault="00070E2A" w:rsidP="00243A92">
      <w:pPr>
        <w:pStyle w:val="FirstParagraph"/>
        <w:jc w:val="both"/>
      </w:pPr>
      <w:r>
        <w:rPr>
          <w:b/>
          <w:bCs/>
        </w:rPr>
        <w:t>Strengths:</w:t>
      </w:r>
      <w:r>
        <w:t xml:space="preserve"> Purposive maximum variation suits hermeneutic phenomenology’s dual commitments: illuminating essential structures whilst </w:t>
      </w:r>
      <w:r w:rsidR="00B75206">
        <w:t>honoring</w:t>
      </w:r>
      <w:r>
        <w:t xml:space="preserve"> particularities (Palinkas et al., 2015). Theoretical-philosophical alignment ensures methodological coherence. Deliberately pursuing diversity enhances credibility and transferability, enabling readers assessing resonance (Lincoln and Guba, 1985). Manageable sizes facilitate intensive analysis—repeated transcript returns, reflective writing, interpretive depth incompatible with large datasets (van Manen, 2016).</w:t>
      </w:r>
    </w:p>
    <w:p w14:paraId="1F88A6F6" w14:textId="748557DD" w:rsidR="00B70283" w:rsidRDefault="00070E2A" w:rsidP="00243A92">
      <w:pPr>
        <w:pStyle w:val="BodyText"/>
        <w:jc w:val="both"/>
      </w:pPr>
      <w:r>
        <w:rPr>
          <w:b/>
          <w:bCs/>
        </w:rPr>
        <w:t>Limitations:</w:t>
      </w:r>
      <w:r>
        <w:t xml:space="preserve"> Non-random nature precludes statistical </w:t>
      </w:r>
      <w:r w:rsidR="00B75206">
        <w:t>generalization</w:t>
      </w:r>
      <w:r>
        <w:t xml:space="preserve"> (Cohen et al., 2018). Self-selection bias may occur if strong-viewed individuals disproportionately volunteer. Accessing diverse participants—senior clinicians, private-sector—may prove challenging given gatekeeping barriers and time pressures.</w:t>
      </w:r>
    </w:p>
    <w:p w14:paraId="5879FE89" w14:textId="6199F36B" w:rsidR="00B70283" w:rsidRDefault="00070E2A" w:rsidP="00243A92">
      <w:pPr>
        <w:pStyle w:val="BodyText"/>
        <w:jc w:val="both"/>
      </w:pPr>
      <w:r>
        <w:rPr>
          <w:b/>
          <w:bCs/>
        </w:rPr>
        <w:t>Mitigation:</w:t>
      </w:r>
      <w:r>
        <w:t xml:space="preserve"> Limitations acknowledged transparently, framing findings as phenomenologically transferable versus statistically </w:t>
      </w:r>
      <w:r w:rsidR="00B75206">
        <w:t>generalizable</w:t>
      </w:r>
      <w:r>
        <w:t xml:space="preserve"> (Palinkas et al., 2015). Recruitment materials </w:t>
      </w:r>
      <w:r w:rsidR="00B75206">
        <w:t>emphasize</w:t>
      </w:r>
      <w:r>
        <w:t xml:space="preserve"> seeking </w:t>
      </w:r>
      <w:r>
        <w:rPr>
          <w:i/>
          <w:iCs/>
        </w:rPr>
        <w:t>varied</w:t>
      </w:r>
      <w:r>
        <w:t xml:space="preserve"> experiences, welcoming microlearning-unhelpful perspectives. Gatekeeping navigated through stakeholder rapport-building, demonstrating study’s training improvement potential. Reflexively examining sampling decisions critically, questioning whether achieved diversity captures meaningful variation or privileges accessible voices (Braun and Clarke, 2019).</w:t>
      </w:r>
    </w:p>
    <w:p w14:paraId="5B26BF6F" w14:textId="77777777" w:rsidR="00B70283" w:rsidRDefault="00B70283" w:rsidP="00243A92">
      <w:pPr>
        <w:jc w:val="both"/>
      </w:pPr>
    </w:p>
    <w:p w14:paraId="788AF437" w14:textId="77777777" w:rsidR="00B70283" w:rsidRDefault="00070E2A" w:rsidP="00243A92">
      <w:pPr>
        <w:pStyle w:val="Heading2"/>
        <w:jc w:val="both"/>
      </w:pPr>
      <w:bookmarkStart w:id="8" w:name="ethics"/>
      <w:bookmarkEnd w:id="6"/>
      <w:bookmarkEnd w:id="7"/>
      <w:r>
        <w:t>Ethics</w:t>
      </w:r>
    </w:p>
    <w:p w14:paraId="05C7DB98" w14:textId="54AEB5DC" w:rsidR="00B70283" w:rsidRDefault="00070E2A" w:rsidP="00243A92">
      <w:pPr>
        <w:pStyle w:val="FirstParagraph"/>
        <w:jc w:val="both"/>
      </w:pPr>
      <w:r>
        <w:t xml:space="preserve">This research adheres to BERA’s (2018) </w:t>
      </w:r>
      <w:r>
        <w:rPr>
          <w:i/>
          <w:iCs/>
        </w:rPr>
        <w:t>Ethical Guidelines for Educational Research</w:t>
      </w:r>
      <w:r>
        <w:t xml:space="preserve">, UWTSD ethical procedures, and potentially NHS Research Ethics Committee requirements. Ethically robust healthcare education research demands vigilance: participants operate within hierarchical, high-pressure environments where power asymmetries, professional vulnerabilities, and emotional </w:t>
      </w:r>
      <w:r w:rsidR="001624A6">
        <w:t>labor</w:t>
      </w:r>
      <w:r>
        <w:t xml:space="preserve"> create complex ethical terrains (BERA, 2018).</w:t>
      </w:r>
    </w:p>
    <w:p w14:paraId="5F400233" w14:textId="0AADBA43" w:rsidR="00B70283" w:rsidRDefault="00070E2A" w:rsidP="00243A92">
      <w:pPr>
        <w:pStyle w:val="BodyText"/>
        <w:jc w:val="both"/>
      </w:pPr>
      <w:r>
        <w:t xml:space="preserve">Central is Levinas’s (1985) philosophy of alterity, </w:t>
      </w:r>
      <w:r w:rsidR="001624A6">
        <w:t>conceptualizing</w:t>
      </w:r>
      <w:r>
        <w:t xml:space="preserve"> researcher-participant relationships as fundamental responsibility to the Other. </w:t>
      </w:r>
      <w:r w:rsidR="001624A6">
        <w:t>These demands</w:t>
      </w:r>
      <w:r>
        <w:t xml:space="preserve"> moving beyond procedural compliance towards genuine respect for autonomy, dignity, wellbeing (Fricker, </w:t>
      </w:r>
      <w:r>
        <w:lastRenderedPageBreak/>
        <w:t xml:space="preserve">2007). Practically: attending reflexively to power dynamics, </w:t>
      </w:r>
      <w:r w:rsidR="001624A6">
        <w:t>recognizing</w:t>
      </w:r>
      <w:r>
        <w:t xml:space="preserve"> participants as knowledge co-creators, </w:t>
      </w:r>
      <w:r w:rsidR="001624A6">
        <w:t>prioritizing</w:t>
      </w:r>
      <w:r>
        <w:t xml:space="preserve"> beneficence and non-maleficence (BERA, 2018).</w:t>
      </w:r>
    </w:p>
    <w:p w14:paraId="35A15045" w14:textId="77777777" w:rsidR="00B70283" w:rsidRDefault="00070E2A" w:rsidP="00243A92">
      <w:pPr>
        <w:pStyle w:val="BodyText"/>
        <w:jc w:val="both"/>
      </w:pPr>
      <w:r>
        <w:rPr>
          <w:b/>
          <w:bCs/>
        </w:rPr>
        <w:t>Informed consent</w:t>
      </w:r>
      <w:r>
        <w:t xml:space="preserve"> proceeds through multi-stage processes rather than single transactions (BERA, 2018). Prospective participants receive comprehensive information sheets (minimum 48 hours pre-interview) detailing: research aims; participation requirements; data handling/confidentiality; withdrawal/question-declining rights; dissemination plans; researcher/supervisory contacts. Consent is </w:t>
      </w:r>
      <w:r>
        <w:rPr>
          <w:b/>
          <w:bCs/>
        </w:rPr>
        <w:t>ongoing and revisable</w:t>
      </w:r>
      <w:r>
        <w:t xml:space="preserve">: verbal review at commencement securing recorded verbal consent; withdrawal rights reiterated if touching sensitive areas; 14-day post-interview withdrawal window before analysis. This iterative process respects phenomenological realities—emotional impacts may only manifest </w:t>
      </w:r>
      <w:r>
        <w:rPr>
          <w:i/>
          <w:iCs/>
        </w:rPr>
        <w:t>during/after</w:t>
      </w:r>
      <w:r>
        <w:t xml:space="preserve"> interviews (van Manen, 2016).</w:t>
      </w:r>
    </w:p>
    <w:p w14:paraId="08913692" w14:textId="3CE83A17" w:rsidR="00B70283" w:rsidRDefault="00070E2A" w:rsidP="00243A92">
      <w:pPr>
        <w:pStyle w:val="BodyText"/>
        <w:jc w:val="both"/>
      </w:pPr>
      <w:r>
        <w:rPr>
          <w:b/>
          <w:bCs/>
        </w:rPr>
        <w:t>Confidentiality</w:t>
      </w:r>
      <w:r>
        <w:t xml:space="preserve"> maintained through multiple safeguards. Data </w:t>
      </w:r>
      <w:r w:rsidR="001624A6">
        <w:t>pseudonymized</w:t>
      </w:r>
      <w:r>
        <w:t xml:space="preserve"> using alphanumeric codes; participants select transcript pseudonyms if preferred. Recordings stored on encrypted, password-protected devices, destroyed post-transcription. Transcripts securely stored on university-approved cloud storage with restricted access. GDPR (2018) and Data Protection Act (2018) adherence ensured; data retained for doctoral examination/publication (maximum 5 years), then securely deleted.</w:t>
      </w:r>
    </w:p>
    <w:p w14:paraId="45E727CD" w14:textId="6B2B4704" w:rsidR="00B70283" w:rsidRDefault="00070E2A" w:rsidP="00243A92">
      <w:pPr>
        <w:pStyle w:val="BodyText"/>
        <w:jc w:val="both"/>
      </w:pPr>
      <w:r>
        <w:rPr>
          <w:b/>
          <w:bCs/>
        </w:rPr>
        <w:t>Absolute anonymity cannot be guaranteed</w:t>
      </w:r>
      <w:r>
        <w:t xml:space="preserve"> in small, </w:t>
      </w:r>
      <w:r w:rsidR="001624A6">
        <w:t>specialized</w:t>
      </w:r>
      <w:r>
        <w:t xml:space="preserve"> communities where unique combinations might render individuals identifiable despite </w:t>
      </w:r>
      <w:r w:rsidR="001624A6">
        <w:t>pseudonymization</w:t>
      </w:r>
      <w:r>
        <w:t xml:space="preserve"> (BERA, 2018). Participants explicitly informed. Mitigation: aggregating contextual details (e.g., “intensive care nurse” not “[specific hospital]”), seeking participant approval for potentially identifying quotations during member checking.</w:t>
      </w:r>
    </w:p>
    <w:p w14:paraId="4FEEB61E" w14:textId="1CEE6EB6" w:rsidR="00B70283" w:rsidRDefault="00070E2A" w:rsidP="00243A92">
      <w:pPr>
        <w:pStyle w:val="BodyText"/>
        <w:jc w:val="both"/>
      </w:pPr>
      <w:r>
        <w:rPr>
          <w:b/>
          <w:bCs/>
        </w:rPr>
        <w:t>Managing harms:</w:t>
      </w:r>
      <w:r>
        <w:t xml:space="preserve"> </w:t>
      </w:r>
      <w:r>
        <w:rPr>
          <w:b/>
          <w:bCs/>
        </w:rPr>
        <w:t>Psychological risks</w:t>
      </w:r>
      <w:r>
        <w:t xml:space="preserve">—evoking distressing recollections (e.g., inadequate preparation contributing to adverse outcomes)—addressed by </w:t>
      </w:r>
      <w:r w:rsidR="001624A6">
        <w:t>emphasizing</w:t>
      </w:r>
      <w:r>
        <w:t xml:space="preserve"> participant control: declining questions, requesting breaks, terminating without penalty. Debrief phases follow interviews; information sheets include mental health support contacts (Dowling and Cooney, 2012). </w:t>
      </w:r>
      <w:r>
        <w:rPr>
          <w:b/>
          <w:bCs/>
        </w:rPr>
        <w:t>Professional risks</w:t>
      </w:r>
      <w:r>
        <w:t xml:space="preserve">—candid critiques potentially </w:t>
      </w:r>
      <w:r w:rsidR="001624A6">
        <w:t>jeopardizing</w:t>
      </w:r>
      <w:r>
        <w:t xml:space="preserve"> careers in hierarchical cultures (Melnyk et al., 2016)—addressed via robust confidentiality; recruitment materials </w:t>
      </w:r>
      <w:r w:rsidR="001624A6">
        <w:t>emphasize</w:t>
      </w:r>
      <w:r>
        <w:t xml:space="preserve"> critical-exploratory versus evaluative nature. </w:t>
      </w:r>
      <w:r>
        <w:rPr>
          <w:b/>
          <w:bCs/>
        </w:rPr>
        <w:t>Power dynamics</w:t>
      </w:r>
      <w:r>
        <w:t xml:space="preserve">—researcher potentially occupying different hierarchical positions—mitigated through neutral recruitment channels, consent language </w:t>
      </w:r>
      <w:r w:rsidR="001624A6">
        <w:t>emphasizing</w:t>
      </w:r>
      <w:r>
        <w:t xml:space="preserve"> voluntariness/withdrawal, reflexive positionality examination (Fricker, 2007; Braun and Clarke, 2019).</w:t>
      </w:r>
    </w:p>
    <w:p w14:paraId="13CD8427" w14:textId="77777777" w:rsidR="00B70283" w:rsidRDefault="00070E2A" w:rsidP="00243A92">
      <w:pPr>
        <w:pStyle w:val="BodyText"/>
        <w:jc w:val="both"/>
      </w:pPr>
      <w:r>
        <w:rPr>
          <w:b/>
          <w:bCs/>
        </w:rPr>
        <w:t>Vulnerable groups:</w:t>
      </w:r>
      <w:r>
        <w:t xml:space="preserve"> Newly qualified practitioners or precarious contract workers may feel pressured if approached institutionally (BERA, 2018). Materials explicitly state participation is voluntary, won’t influence employment/progression. International professionals may face linguistic barriers; interviews conducted in English with sensitivity to communication preferences, offering extended time if required.</w:t>
      </w:r>
    </w:p>
    <w:p w14:paraId="4E538B2F" w14:textId="7D62C39F" w:rsidR="00B70283" w:rsidRDefault="00070E2A" w:rsidP="00243A92">
      <w:pPr>
        <w:pStyle w:val="BodyText"/>
        <w:jc w:val="both"/>
      </w:pPr>
      <w:r>
        <w:rPr>
          <w:b/>
          <w:bCs/>
        </w:rPr>
        <w:t>Epistemic justice:</w:t>
      </w:r>
      <w:r>
        <w:t xml:space="preserve"> Drawing on Fricker (2007), this research commits to </w:t>
      </w:r>
      <w:r w:rsidR="001624A6">
        <w:t>honoring</w:t>
      </w:r>
      <w:r>
        <w:t xml:space="preserve"> participants’ knowledge claims versus privileging researcher interpretations. Member checking </w:t>
      </w:r>
      <w:r w:rsidR="001624A6">
        <w:t>operationalizes</w:t>
      </w:r>
      <w:r>
        <w:t xml:space="preserve"> this commitment, ensuring participants </w:t>
      </w:r>
      <w:r w:rsidR="001624A6">
        <w:t>recognize</w:t>
      </w:r>
      <w:r>
        <w:t xml:space="preserve"> themselves in analyses and contest misrepresentations (Braun and Clarke, 2019). Dissemination includes </w:t>
      </w:r>
      <w:r>
        <w:lastRenderedPageBreak/>
        <w:t>presenting findings to participating institutions/professional networks, not merely academic audiences, ensuring practitioner voices contribute to training policy dialogues (Webster-Wright, 2009).</w:t>
      </w:r>
    </w:p>
    <w:p w14:paraId="760F5AB2" w14:textId="77777777" w:rsidR="00B70283" w:rsidRDefault="00070E2A" w:rsidP="00243A92">
      <w:pPr>
        <w:pStyle w:val="BodyText"/>
        <w:jc w:val="both"/>
      </w:pPr>
      <w:r>
        <w:rPr>
          <w:b/>
          <w:bCs/>
        </w:rPr>
        <w:t>Reflexivity:</w:t>
      </w:r>
      <w:r>
        <w:t xml:space="preserve"> Ethical research demands ongoing reflexivity regarding assumptions, biases, power (Braun and Clarke, 2019). Potentially advocating microlearning or holding preconceptions about traditional CPD inadequacies, I must resist imposing views onto narratives. Reflexive journaling documents ethical dilemmas, decisions, emerging self-awareness. Supervisory discussions provide external accountability.</w:t>
      </w:r>
    </w:p>
    <w:p w14:paraId="46174996" w14:textId="753FB179" w:rsidR="00B70283" w:rsidRDefault="00070E2A" w:rsidP="00243A92">
      <w:pPr>
        <w:pStyle w:val="BodyText"/>
        <w:jc w:val="both"/>
      </w:pPr>
      <w:r>
        <w:rPr>
          <w:b/>
          <w:bCs/>
        </w:rPr>
        <w:t>Beneficence:</w:t>
      </w:r>
      <w:r>
        <w:t xml:space="preserve"> Research should offer potential benefits beyond avoiding harms (BERA, 2018). </w:t>
      </w:r>
      <w:r>
        <w:rPr>
          <w:b/>
          <w:bCs/>
        </w:rPr>
        <w:t>Direct benefits:</w:t>
      </w:r>
      <w:r>
        <w:t xml:space="preserve"> opportunities for valued reflective space—rare in time-pressured contexts; professional development through articulating tacit knowledge; satisfaction from contributing scholarship potentially improving training. </w:t>
      </w:r>
      <w:r>
        <w:rPr>
          <w:b/>
          <w:bCs/>
        </w:rPr>
        <w:t>Indirect benefits:</w:t>
      </w:r>
      <w:r>
        <w:t xml:space="preserve"> potential influences on institutional CPD policies, advocacy for practitioner-</w:t>
      </w:r>
      <w:r w:rsidR="001624A6">
        <w:t>centered</w:t>
      </w:r>
      <w:r>
        <w:t xml:space="preserve"> designs, contributions to nascent microlearning evidence bases. Benefits communicated honestly during consent, avoiding overpromising.</w:t>
      </w:r>
    </w:p>
    <w:p w14:paraId="066EE121" w14:textId="77777777" w:rsidR="00B70283" w:rsidRDefault="00B70283" w:rsidP="00243A92">
      <w:pPr>
        <w:jc w:val="both"/>
      </w:pPr>
    </w:p>
    <w:p w14:paraId="66BF5619" w14:textId="77777777" w:rsidR="00B70283" w:rsidRDefault="00070E2A" w:rsidP="00243A92">
      <w:pPr>
        <w:pStyle w:val="Heading2"/>
        <w:jc w:val="both"/>
      </w:pPr>
      <w:bookmarkStart w:id="9" w:name="data-analysis-methods"/>
      <w:bookmarkEnd w:id="8"/>
      <w:r>
        <w:t>Data Analysis Method(s)</w:t>
      </w:r>
    </w:p>
    <w:p w14:paraId="5556F63D" w14:textId="37A48F13" w:rsidR="00B70283" w:rsidRDefault="00070E2A" w:rsidP="00243A92">
      <w:pPr>
        <w:pStyle w:val="FirstParagraph"/>
        <w:jc w:val="both"/>
      </w:pPr>
      <w:r>
        <w:t xml:space="preserve">Data analysis employs </w:t>
      </w:r>
      <w:r>
        <w:rPr>
          <w:b/>
          <w:bCs/>
        </w:rPr>
        <w:t>reflexive thematic analysis</w:t>
      </w:r>
      <w:r>
        <w:t xml:space="preserve"> (Braun and Clarke, 2019), adapted for hermeneutic phenomenological commitments (van Manen, 2016). This approach excavates meaning patterns—themes—within and across experiential accounts whilst remaining philosophically consistent with interpretivism’s emphasis on researcher engagement versus procedural detachment (Braun and Clarke, 2019). Unlike algorithmic coding, reflexive thematic analysis foregrounds researchers as active knowledge producers, acknowledging themes are </w:t>
      </w:r>
      <w:r>
        <w:rPr>
          <w:i/>
          <w:iCs/>
        </w:rPr>
        <w:t>constructed</w:t>
      </w:r>
      <w:r>
        <w:t xml:space="preserve"> through interpretive </w:t>
      </w:r>
      <w:r w:rsidR="001624A6">
        <w:t>labor</w:t>
      </w:r>
      <w:r>
        <w:t xml:space="preserve"> versus passively </w:t>
      </w:r>
      <w:r>
        <w:rPr>
          <w:i/>
          <w:iCs/>
        </w:rPr>
        <w:t>emerging</w:t>
      </w:r>
      <w:r>
        <w:t>—resonant with hermeneutic phenomenology’s interpretive circle embrace (van Manen, 2016).</w:t>
      </w:r>
    </w:p>
    <w:p w14:paraId="0431775A" w14:textId="77777777" w:rsidR="00B70283" w:rsidRDefault="00070E2A" w:rsidP="00243A92">
      <w:pPr>
        <w:pStyle w:val="Heading3"/>
        <w:jc w:val="both"/>
      </w:pPr>
      <w:bookmarkStart w:id="10" w:name="analysis-phases"/>
      <w:r>
        <w:t>Analysis Phases</w:t>
      </w:r>
    </w:p>
    <w:p w14:paraId="78BC6E77" w14:textId="213BB0C7" w:rsidR="00B70283" w:rsidRDefault="00070E2A" w:rsidP="00243A92">
      <w:pPr>
        <w:pStyle w:val="FirstParagraph"/>
        <w:jc w:val="both"/>
      </w:pPr>
      <w:r>
        <w:rPr>
          <w:b/>
          <w:bCs/>
        </w:rPr>
        <w:t xml:space="preserve">Phase 1: Immersive </w:t>
      </w:r>
      <w:r w:rsidR="001624A6">
        <w:rPr>
          <w:b/>
          <w:bCs/>
        </w:rPr>
        <w:t>Familiarization</w:t>
      </w:r>
      <w:r>
        <w:rPr>
          <w:b/>
          <w:bCs/>
        </w:rPr>
        <w:t>.</w:t>
      </w:r>
      <w:r>
        <w:t xml:space="preserve"> Verbatim transcription (including pauses, laughter, emotional cues salient to phenomenological interpretation), with transcription itself constituting preliminary analysis (van Manen, 2016). Multiple readings (minimum three passes) whilst listening to recordings attunes to vocal tone, emotion, emphasis textual transcripts may obscure. Expansive reflexive memos note interpretive hunches, emotional responses, phenomenological concept connections (e.g., temporal compression evoking Heideggerian </w:t>
      </w:r>
      <w:r>
        <w:rPr>
          <w:i/>
          <w:iCs/>
        </w:rPr>
        <w:t>Sorge</w:t>
      </w:r>
      <w:r>
        <w:t>) (Heidegger, 1962). This establishes intimate familiarity essential for phenomenological depth.</w:t>
      </w:r>
    </w:p>
    <w:p w14:paraId="6FE6C2F7" w14:textId="02715428" w:rsidR="00B70283" w:rsidRDefault="00070E2A" w:rsidP="00243A92">
      <w:pPr>
        <w:pStyle w:val="BodyText"/>
        <w:jc w:val="both"/>
      </w:pPr>
      <w:r>
        <w:rPr>
          <w:b/>
          <w:bCs/>
        </w:rPr>
        <w:t>Phase 2: Generating Initial Codes.</w:t>
      </w:r>
      <w:r>
        <w:t xml:space="preserve"> Coding </w:t>
      </w:r>
      <w:r>
        <w:rPr>
          <w:b/>
          <w:bCs/>
        </w:rPr>
        <w:t>data-driven</w:t>
      </w:r>
      <w:r>
        <w:t xml:space="preserve"> (inductive) yet </w:t>
      </w:r>
      <w:r>
        <w:rPr>
          <w:b/>
          <w:bCs/>
        </w:rPr>
        <w:t>theoretically informed</w:t>
      </w:r>
      <w:r>
        <w:t xml:space="preserve"> by hermeneutic phenomenology’s </w:t>
      </w:r>
      <w:r w:rsidR="001624A6">
        <w:t>sensitizing</w:t>
      </w:r>
      <w:r>
        <w:t xml:space="preserve"> concepts—lived body, time, space, relations (van Manen, 2016). Using NVivo (if available) or manual annotation, systematically coding each transcript, capturing semantic content (explicit meanings) and latent dimensions (implicit assumptions, emotional undercurrents). Codes both descriptive (“describing time pressure”) and interpretive (“microlearning as existential anchor”). </w:t>
      </w:r>
      <w:r>
        <w:lastRenderedPageBreak/>
        <w:t xml:space="preserve">Coding remains open to unanticipated insights, resisting premature closure around preconceived categories (Braun and Clarke, 2019). Reflexive memos accompany decisions, interrogating: </w:t>
      </w:r>
      <w:r>
        <w:rPr>
          <w:i/>
          <w:iCs/>
        </w:rPr>
        <w:t xml:space="preserve">Why code this way? What </w:t>
      </w:r>
      <w:r w:rsidR="001624A6">
        <w:rPr>
          <w:i/>
          <w:iCs/>
        </w:rPr>
        <w:t>prioritizing</w:t>
      </w:r>
      <w:r>
        <w:rPr>
          <w:i/>
          <w:iCs/>
        </w:rPr>
        <w:t>/overlooking?</w:t>
      </w:r>
    </w:p>
    <w:p w14:paraId="02D261C4" w14:textId="7A8D4D86" w:rsidR="00B70283" w:rsidRDefault="00070E2A" w:rsidP="00243A92">
      <w:pPr>
        <w:pStyle w:val="BodyText"/>
        <w:jc w:val="both"/>
      </w:pPr>
      <w:r>
        <w:rPr>
          <w:b/>
          <w:bCs/>
        </w:rPr>
        <w:t>Phase 3: Constructing Candidate Themes.</w:t>
      </w:r>
      <w:r>
        <w:t xml:space="preserve"> Collating codes, examining patterns, constructing initial themes capturing shared meanings. Themes </w:t>
      </w:r>
      <w:r w:rsidR="001624A6">
        <w:t>conceptualized</w:t>
      </w:r>
      <w:r>
        <w:t xml:space="preserve"> phenomenologically as </w:t>
      </w:r>
      <w:r>
        <w:rPr>
          <w:b/>
          <w:bCs/>
        </w:rPr>
        <w:t>essential experiential structures</w:t>
      </w:r>
      <w:r>
        <w:t xml:space="preserve">—recurring dimensions constituting microlearning experience’s </w:t>
      </w:r>
      <w:r>
        <w:rPr>
          <w:i/>
          <w:iCs/>
        </w:rPr>
        <w:t>whatness</w:t>
      </w:r>
      <w:r>
        <w:t xml:space="preserve"> (van Manen, 2016). Preliminary analysis might identify: “microlearning as temporal scaffolding,” “embodied tensions between brevity and depth,” “professional identity negotiation roles.” Visual thematic maps explore theme/sub-theme relationships.</w:t>
      </w:r>
    </w:p>
    <w:p w14:paraId="5BFD3C32" w14:textId="77777777" w:rsidR="00B70283" w:rsidRDefault="00070E2A" w:rsidP="00243A92">
      <w:pPr>
        <w:pStyle w:val="BodyText"/>
        <w:jc w:val="both"/>
      </w:pPr>
      <w:r>
        <w:rPr>
          <w:b/>
          <w:bCs/>
        </w:rPr>
        <w:t>Phase 4: Reviewing and Refining Themes.</w:t>
      </w:r>
      <w:r>
        <w:t xml:space="preserve"> Rigorous candidate theme scrutiny. Assessing coherence: Do extracts meaningfully cohere? Does theme capture significant research question dimensions? Checking against entire datasets ensuring resonance across participants versus isolated outliers (unless illuminating important variations) (Braun and Clarke, 2019). Extensive data re-reading, splitting overly broad themes, merging overlapping ones, discarding insufficiently supported candidates. Supervisory discussions provide critical feedback, challenging interpretive leaps or under-supported claims.</w:t>
      </w:r>
    </w:p>
    <w:p w14:paraId="1CFB3983" w14:textId="77777777" w:rsidR="00B70283" w:rsidRDefault="00070E2A" w:rsidP="00243A92">
      <w:pPr>
        <w:pStyle w:val="BodyText"/>
        <w:jc w:val="both"/>
      </w:pPr>
      <w:r>
        <w:rPr>
          <w:b/>
          <w:bCs/>
        </w:rPr>
        <w:t>Phase 5: Defining and Naming Themes.</w:t>
      </w:r>
      <w:r>
        <w:t xml:space="preserve"> Precisely defining refined themes, articulating essence, scope, research question relationships. Names evocative yet analytically precise (Braun and Clarke, 2019), potentially incorporating participants’ language (in vivo codes) preserving phenomenological authenticity. For each theme, crafting detailed analytic narratives explaining </w:t>
      </w:r>
      <w:r>
        <w:rPr>
          <w:i/>
          <w:iCs/>
        </w:rPr>
        <w:t>what</w:t>
      </w:r>
      <w:r>
        <w:t xml:space="preserve"> captured, </w:t>
      </w:r>
      <w:r>
        <w:rPr>
          <w:i/>
          <w:iCs/>
        </w:rPr>
        <w:t>how</w:t>
      </w:r>
      <w:r>
        <w:t xml:space="preserve"> relating to hermeneutic phenomenological concepts, </w:t>
      </w:r>
      <w:r>
        <w:rPr>
          <w:i/>
          <w:iCs/>
        </w:rPr>
        <w:t>why</w:t>
      </w:r>
      <w:r>
        <w:t xml:space="preserve"> mattering for understanding experiences.</w:t>
      </w:r>
    </w:p>
    <w:p w14:paraId="6CDA1DEB" w14:textId="010AD6C4" w:rsidR="00B70283" w:rsidRDefault="00070E2A" w:rsidP="00243A92">
      <w:pPr>
        <w:pStyle w:val="BodyText"/>
        <w:jc w:val="both"/>
      </w:pPr>
      <w:r>
        <w:rPr>
          <w:b/>
          <w:bCs/>
        </w:rPr>
        <w:t>Phase 6: Producing Scholarly Account.</w:t>
      </w:r>
      <w:r>
        <w:t xml:space="preserve"> Integrating thematic analysis with phenomenological writing. Analysis chapters weave illustrative quotations, interpretive commentary, theoretical dialogues, producing “thick descriptions” enabling readers vicariously accessing participants’ </w:t>
      </w:r>
      <w:r w:rsidR="001624A6">
        <w:t>lifeworld’s</w:t>
      </w:r>
      <w:r>
        <w:t xml:space="preserve"> (van Manen, 2016). Writing itself constitutes analysis; iterative drafting deepens insights. Balancing idiographic depth (</w:t>
      </w:r>
      <w:r w:rsidR="001624A6">
        <w:t>honoring</w:t>
      </w:r>
      <w:r>
        <w:t xml:space="preserve"> individual uniqueness) with nomothetic breadth (identifying shared phenomenological structures), a central phenomenological tension (Dowling and Cooney, 2012).</w:t>
      </w:r>
    </w:p>
    <w:p w14:paraId="06BABD95" w14:textId="3530C2A6" w:rsidR="00B70283" w:rsidRDefault="00070E2A" w:rsidP="00243A92">
      <w:pPr>
        <w:pStyle w:val="Heading3"/>
        <w:jc w:val="both"/>
      </w:pPr>
      <w:bookmarkStart w:id="11" w:name="ensuring-rigour"/>
      <w:bookmarkEnd w:id="10"/>
      <w:r>
        <w:t xml:space="preserve">Ensuring </w:t>
      </w:r>
      <w:r w:rsidR="001624A6">
        <w:t>Rigor</w:t>
      </w:r>
    </w:p>
    <w:p w14:paraId="45079E52" w14:textId="77777777" w:rsidR="00B70283" w:rsidRDefault="00070E2A" w:rsidP="00243A92">
      <w:pPr>
        <w:pStyle w:val="FirstParagraph"/>
        <w:jc w:val="both"/>
      </w:pPr>
      <w:r>
        <w:rPr>
          <w:b/>
          <w:bCs/>
        </w:rPr>
        <w:t>Credibility:</w:t>
      </w:r>
      <w:r>
        <w:t xml:space="preserve"> prolonged data engagement, triangulating interpretations with supervisory input, member checking—sharing preliminary themes validating resonance (Lincoln and Guba, 1985). </w:t>
      </w:r>
      <w:r>
        <w:rPr>
          <w:b/>
          <w:bCs/>
        </w:rPr>
        <w:t>Dependability:</w:t>
      </w:r>
      <w:r>
        <w:t xml:space="preserve"> audit trail documenting coding decisions, theme development, reflexive deliberations (Braun and Clarke, 2019). </w:t>
      </w:r>
      <w:r>
        <w:rPr>
          <w:b/>
          <w:bCs/>
        </w:rPr>
        <w:t>Transferability:</w:t>
      </w:r>
      <w:r>
        <w:t xml:space="preserve"> rich contextual descriptions enabling readers assessing applicability (Palinkas et al., 2015). </w:t>
      </w:r>
      <w:r>
        <w:rPr>
          <w:b/>
          <w:bCs/>
        </w:rPr>
        <w:t>Confirmability:</w:t>
      </w:r>
      <w:r>
        <w:t xml:space="preserve"> reflexive journaling interrogating interpretive influence, ensuring data-grounded findings versus researcher preconceptions (van Manen, 2016).</w:t>
      </w:r>
    </w:p>
    <w:p w14:paraId="50519B89" w14:textId="77777777" w:rsidR="00B70283" w:rsidRDefault="00070E2A" w:rsidP="00243A92">
      <w:pPr>
        <w:pStyle w:val="Heading3"/>
        <w:jc w:val="both"/>
      </w:pPr>
      <w:bookmarkStart w:id="12" w:name="strengths-and-limitations-3"/>
      <w:bookmarkEnd w:id="11"/>
      <w:r>
        <w:lastRenderedPageBreak/>
        <w:t>Strengths and Limitations</w:t>
      </w:r>
    </w:p>
    <w:p w14:paraId="65C8B840" w14:textId="77777777" w:rsidR="00B70283" w:rsidRDefault="00070E2A" w:rsidP="00243A92">
      <w:pPr>
        <w:pStyle w:val="FirstParagraph"/>
        <w:jc w:val="both"/>
      </w:pPr>
      <w:r>
        <w:rPr>
          <w:b/>
          <w:bCs/>
        </w:rPr>
        <w:t>Strengths:</w:t>
      </w:r>
      <w:r>
        <w:t xml:space="preserve"> Philosophical flexibility enabling hermeneutic phenomenology adaptation whilst providing systematic transparency-enhancing procedures (Braun and Clarke, 2019). Researcher reflexivity emphasis aligns with phenomenological self-awareness demands. Pattern identification capacity illuminates shared experiential structures whilst remaining attentive to variation. Recent healthcare education research demonstrates efficacy generating actionable insights from phenomenological data (De Gagne et al., 2019; Weston et al., 2024).</w:t>
      </w:r>
    </w:p>
    <w:p w14:paraId="60515527" w14:textId="79CEDF05" w:rsidR="00B70283" w:rsidRDefault="00070E2A" w:rsidP="00243A92">
      <w:pPr>
        <w:pStyle w:val="BodyText"/>
        <w:jc w:val="both"/>
      </w:pPr>
      <w:r>
        <w:rPr>
          <w:b/>
          <w:bCs/>
        </w:rPr>
        <w:t>Limitations:</w:t>
      </w:r>
      <w:r>
        <w:t xml:space="preserve"> Risks </w:t>
      </w:r>
      <w:r w:rsidR="001624A6">
        <w:t>decontextualizing</w:t>
      </w:r>
      <w:r>
        <w:t xml:space="preserve"> excerpts from narrative wholes, fragmenting individual story coherence—concerning for phenomenology’s holistic understanding commitment (van Manen, 2016). Analytic subjectivity may lead to selective emphasis, privileging researcher-aligned themes whilst </w:t>
      </w:r>
      <w:r w:rsidR="001624A6">
        <w:t>marginalizing</w:t>
      </w:r>
      <w:r>
        <w:t xml:space="preserve"> discordant data. Novice researchers may struggle discerning substantive themes from superficial descriptive categories (Braun and Clarke, 2019).</w:t>
      </w:r>
    </w:p>
    <w:p w14:paraId="2B3C9435" w14:textId="77777777" w:rsidR="00B70283" w:rsidRDefault="00070E2A" w:rsidP="00243A92">
      <w:pPr>
        <w:pStyle w:val="BodyText"/>
        <w:jc w:val="both"/>
      </w:pPr>
      <w:r>
        <w:rPr>
          <w:b/>
          <w:bCs/>
        </w:rPr>
        <w:t>Mitigation:</w:t>
      </w:r>
      <w:r>
        <w:t xml:space="preserve"> Preserving narrative coherence, analysis maintains idiographic sensitivity via individual case summaries before cross-case comparison (Dowling and Cooney, 2012). Subjectivity addressed through systematic reflexivity, peer debriefing, member checking. Developing analytic competence via practice coding on published phenomenological studies, supervisory mentorship, qualitative analysis workshops. Transparently acknowledging limitations in reporting, framing as inherent to interpretive inquiry versus methodological deficiencies (Braun and Clarke, 2019).</w:t>
      </w:r>
    </w:p>
    <w:p w14:paraId="4E0E8354" w14:textId="77777777" w:rsidR="00B70283" w:rsidRDefault="00B70283" w:rsidP="00243A92">
      <w:pPr>
        <w:jc w:val="both"/>
      </w:pPr>
    </w:p>
    <w:p w14:paraId="1DD111B2" w14:textId="77777777" w:rsidR="00B70283" w:rsidRDefault="00070E2A" w:rsidP="00243A92">
      <w:pPr>
        <w:pStyle w:val="Heading2"/>
        <w:jc w:val="both"/>
      </w:pPr>
      <w:bookmarkStart w:id="13" w:name="conclusion"/>
      <w:bookmarkEnd w:id="9"/>
      <w:bookmarkEnd w:id="12"/>
      <w:r>
        <w:t>Conclusion</w:t>
      </w:r>
    </w:p>
    <w:p w14:paraId="78A0ADE1" w14:textId="77777777" w:rsidR="00B70283" w:rsidRDefault="00070E2A" w:rsidP="00243A92">
      <w:pPr>
        <w:pStyle w:val="FirstParagraph"/>
        <w:jc w:val="both"/>
      </w:pPr>
      <w:r>
        <w:t>This methodological framework—anchored in interpretivist epistemology, relativist ontology, and hermeneutic phenomenological inquiry—rigorously positions the study to interrogate how healthcare professionals experience microlearning within high-pressure environments. Privileging semi-structured interviews, purposive sampling, and reflexive thematic analysis, the design promises phenomenologically rich insights transcending quantitative metrics, illuminating meanings, tensions, and possibilities microlearning holds for sustaining professional readiness. Robust ethical safeguarding ensures participant dignity and wellbeing. Ultimately, this inquiry aspires to inform genuinely empowering training designs, contributing substantively to healthcare education scholarship and practice.</w:t>
      </w:r>
    </w:p>
    <w:p w14:paraId="473B973C" w14:textId="77777777" w:rsidR="00B70283" w:rsidRDefault="00B70283" w:rsidP="00243A92">
      <w:pPr>
        <w:jc w:val="both"/>
      </w:pPr>
    </w:p>
    <w:p w14:paraId="5425B46F" w14:textId="77777777" w:rsidR="00B70283" w:rsidRDefault="00070E2A" w:rsidP="00243A92">
      <w:pPr>
        <w:pStyle w:val="Heading2"/>
        <w:jc w:val="both"/>
      </w:pPr>
      <w:bookmarkStart w:id="14" w:name="reference-list"/>
      <w:bookmarkEnd w:id="13"/>
      <w:r>
        <w:t>Reference List</w:t>
      </w:r>
    </w:p>
    <w:p w14:paraId="4587E5C8" w14:textId="77777777" w:rsidR="00B70283" w:rsidRDefault="00070E2A" w:rsidP="00243A92">
      <w:pPr>
        <w:pStyle w:val="FirstParagraph"/>
        <w:jc w:val="both"/>
      </w:pPr>
      <w:r>
        <w:t xml:space="preserve">BERA (2018) </w:t>
      </w:r>
      <w:r>
        <w:rPr>
          <w:i/>
          <w:iCs/>
        </w:rPr>
        <w:t>Ethical Guidelines for Educational Research</w:t>
      </w:r>
      <w:r>
        <w:t xml:space="preserve">. 4th </w:t>
      </w:r>
      <w:proofErr w:type="spellStart"/>
      <w:r>
        <w:t>edn</w:t>
      </w:r>
      <w:proofErr w:type="spellEnd"/>
      <w:r>
        <w:t>. London: British Educational Research Association.</w:t>
      </w:r>
    </w:p>
    <w:p w14:paraId="0987133C" w14:textId="77777777" w:rsidR="00B70283" w:rsidRDefault="00070E2A" w:rsidP="00243A92">
      <w:pPr>
        <w:pStyle w:val="BodyText"/>
        <w:jc w:val="both"/>
      </w:pPr>
      <w:r>
        <w:lastRenderedPageBreak/>
        <w:t xml:space="preserve">Bluestone, J., Johnson, P., Fullerton, J., Carr, C., Alderman, J. and </w:t>
      </w:r>
      <w:proofErr w:type="spellStart"/>
      <w:r>
        <w:t>BonTempo</w:t>
      </w:r>
      <w:proofErr w:type="spellEnd"/>
      <w:r>
        <w:t xml:space="preserve">, J. (2013) ‘Effective in-service training design and delivery: Evidence from an integrative literature review’, </w:t>
      </w:r>
      <w:r>
        <w:rPr>
          <w:i/>
          <w:iCs/>
        </w:rPr>
        <w:t>Human Resources for Health</w:t>
      </w:r>
      <w:r>
        <w:t>, 11(1), p. 51. doi:10.1186/1478-4491-11-51.</w:t>
      </w:r>
    </w:p>
    <w:p w14:paraId="1DF995A7" w14:textId="77777777" w:rsidR="00B70283" w:rsidRDefault="00070E2A" w:rsidP="00243A92">
      <w:pPr>
        <w:pStyle w:val="BodyText"/>
        <w:jc w:val="both"/>
      </w:pPr>
      <w:r>
        <w:t xml:space="preserve">Braun, V. and Clarke, V. (2019) ‘Reflecting on reflexive thematic analysis’, </w:t>
      </w:r>
      <w:r>
        <w:rPr>
          <w:i/>
          <w:iCs/>
        </w:rPr>
        <w:t>Qualitative Research in Sport, Exercise and Health</w:t>
      </w:r>
      <w:r>
        <w:t>, 11(4), pp. 589–597. doi:10.1080/2159676X.2019.1628806.</w:t>
      </w:r>
    </w:p>
    <w:p w14:paraId="0AEEEBA2" w14:textId="77777777" w:rsidR="00B70283" w:rsidRDefault="00070E2A" w:rsidP="00243A92">
      <w:pPr>
        <w:pStyle w:val="BodyText"/>
        <w:jc w:val="both"/>
      </w:pPr>
      <w:r>
        <w:t xml:space="preserve">Cervero, R. M. and Daley, B. J. (2018) ‘The learning that drives performance in professional practice’, in Billett, S., Harteis, C. and Gruber, H. (eds.) </w:t>
      </w:r>
      <w:r>
        <w:rPr>
          <w:i/>
          <w:iCs/>
        </w:rPr>
        <w:t>International Handbook of Research in Professional and Practice-based Learning</w:t>
      </w:r>
      <w:r>
        <w:t>. Cham: Springer, pp. 561–590.</w:t>
      </w:r>
    </w:p>
    <w:p w14:paraId="0AD24FAA" w14:textId="77777777" w:rsidR="00B70283" w:rsidRDefault="00070E2A" w:rsidP="00243A92">
      <w:pPr>
        <w:pStyle w:val="BodyText"/>
        <w:jc w:val="both"/>
      </w:pPr>
      <w:r>
        <w:t xml:space="preserve">Cohen, L., Manion, L. and Morrison, K. (2018) </w:t>
      </w:r>
      <w:r>
        <w:rPr>
          <w:i/>
          <w:iCs/>
        </w:rPr>
        <w:t>Research Methods in Education</w:t>
      </w:r>
      <w:r>
        <w:t xml:space="preserve">. 8th </w:t>
      </w:r>
      <w:proofErr w:type="spellStart"/>
      <w:r>
        <w:t>edn</w:t>
      </w:r>
      <w:proofErr w:type="spellEnd"/>
      <w:r>
        <w:t>. London: Routledge.</w:t>
      </w:r>
    </w:p>
    <w:p w14:paraId="4146EDDF" w14:textId="77777777" w:rsidR="00B70283" w:rsidRDefault="00070E2A" w:rsidP="00243A92">
      <w:pPr>
        <w:pStyle w:val="BodyText"/>
        <w:jc w:val="both"/>
      </w:pPr>
      <w:r>
        <w:t xml:space="preserve">Creswell, J. W. and Poth, C. N. (2018) </w:t>
      </w:r>
      <w:r>
        <w:rPr>
          <w:i/>
          <w:iCs/>
        </w:rPr>
        <w:t>Qualitative Inquiry and Research Design: Choosing Among Five Approaches</w:t>
      </w:r>
      <w:r>
        <w:t xml:space="preserve">. 4th </w:t>
      </w:r>
      <w:proofErr w:type="spellStart"/>
      <w:r>
        <w:t>edn</w:t>
      </w:r>
      <w:proofErr w:type="spellEnd"/>
      <w:r>
        <w:t>. Thousand Oaks, CA: SAGE.</w:t>
      </w:r>
    </w:p>
    <w:p w14:paraId="592057EE" w14:textId="77777777" w:rsidR="00B70283" w:rsidRDefault="00070E2A" w:rsidP="00243A92">
      <w:pPr>
        <w:pStyle w:val="BodyText"/>
        <w:jc w:val="both"/>
      </w:pPr>
      <w:r>
        <w:t xml:space="preserve">Cruess, R. L., Cruess, S. R. and Steinert, Y. (2016) ‘Amending Miller’s pyramid to include professional identity formation’, </w:t>
      </w:r>
      <w:r>
        <w:rPr>
          <w:i/>
          <w:iCs/>
        </w:rPr>
        <w:t>Academic Medicine</w:t>
      </w:r>
      <w:r>
        <w:t>, 91(2), pp. 180–185. doi:10.1097/ACM.0000000000000913.</w:t>
      </w:r>
    </w:p>
    <w:p w14:paraId="48DA3015" w14:textId="77777777" w:rsidR="00B70283" w:rsidRDefault="00070E2A" w:rsidP="00243A92">
      <w:pPr>
        <w:pStyle w:val="BodyText"/>
        <w:jc w:val="both"/>
      </w:pPr>
      <w:r>
        <w:t xml:space="preserve">De Gagne, J. C., Park, H. K., Hall, K., Woodward, A., Yamane, S. and Kim, S. S. (2019) ‘Microlearning in health professions education: A scoping review’, </w:t>
      </w:r>
      <w:r>
        <w:rPr>
          <w:i/>
          <w:iCs/>
        </w:rPr>
        <w:t>JMIR Medical Education</w:t>
      </w:r>
      <w:r>
        <w:t>, 5(2), e13997. doi:10.2196/13997.</w:t>
      </w:r>
    </w:p>
    <w:p w14:paraId="757381AC" w14:textId="77777777" w:rsidR="00B70283" w:rsidRDefault="00070E2A" w:rsidP="00243A92">
      <w:pPr>
        <w:pStyle w:val="BodyText"/>
        <w:jc w:val="both"/>
      </w:pPr>
      <w:r>
        <w:t xml:space="preserve">Dowling, M. and Cooney, A. (2012) ‘Research approaches related to phenomenology: Negotiating a complex landscape’, </w:t>
      </w:r>
      <w:r>
        <w:rPr>
          <w:i/>
          <w:iCs/>
        </w:rPr>
        <w:t>Nurse Researcher</w:t>
      </w:r>
      <w:r>
        <w:t>, 20(2), pp. 21–27. doi:10.7748/nr2012.11.20.2.21.c9440.</w:t>
      </w:r>
    </w:p>
    <w:p w14:paraId="6B42A0D6" w14:textId="77777777" w:rsidR="00B70283" w:rsidRDefault="00070E2A" w:rsidP="00243A92">
      <w:pPr>
        <w:pStyle w:val="BodyText"/>
        <w:jc w:val="both"/>
      </w:pPr>
      <w:r>
        <w:t xml:space="preserve">Flanagan, J. C. (1954) ‘The critical incident technique’, </w:t>
      </w:r>
      <w:r>
        <w:rPr>
          <w:i/>
          <w:iCs/>
        </w:rPr>
        <w:t>Psychological Bulletin</w:t>
      </w:r>
      <w:r>
        <w:t>, 51(4), pp. 327–358. doi:10.1037/h0061470.</w:t>
      </w:r>
    </w:p>
    <w:p w14:paraId="76212D98" w14:textId="77777777" w:rsidR="00B70283" w:rsidRDefault="00070E2A" w:rsidP="00243A92">
      <w:pPr>
        <w:pStyle w:val="BodyText"/>
        <w:jc w:val="both"/>
      </w:pPr>
      <w:r>
        <w:t xml:space="preserve">Fricker, M. (2007) </w:t>
      </w:r>
      <w:r>
        <w:rPr>
          <w:i/>
          <w:iCs/>
        </w:rPr>
        <w:t>Epistemic Injustice: Power and the Ethics of Knowing</w:t>
      </w:r>
      <w:r>
        <w:t>. Oxford: Oxford University Press.</w:t>
      </w:r>
    </w:p>
    <w:p w14:paraId="71DF2A29" w14:textId="77777777" w:rsidR="00B70283" w:rsidRDefault="00070E2A" w:rsidP="00243A92">
      <w:pPr>
        <w:pStyle w:val="BodyText"/>
        <w:jc w:val="both"/>
      </w:pPr>
      <w:r>
        <w:t xml:space="preserve">Giurgiu, L. (2017) ‘Microlearning: An evolving e-learning trend’, </w:t>
      </w:r>
      <w:r>
        <w:rPr>
          <w:i/>
          <w:iCs/>
        </w:rPr>
        <w:t>Scientific Bulletin</w:t>
      </w:r>
      <w:r>
        <w:t>, 22(1), pp. 18–23. doi:10.1515/bsaft-2017-0003.</w:t>
      </w:r>
    </w:p>
    <w:p w14:paraId="1961502C" w14:textId="77777777" w:rsidR="00B70283" w:rsidRDefault="00070E2A" w:rsidP="00243A92">
      <w:pPr>
        <w:pStyle w:val="BodyText"/>
        <w:jc w:val="both"/>
      </w:pPr>
      <w:r>
        <w:t xml:space="preserve">Guba, E. G. and Lincoln, Y. S. (1994) ‘Competing paradigms in qualitative research’, in Denzin, N. K. and Lincoln, Y. S. (eds.) </w:t>
      </w:r>
      <w:r>
        <w:rPr>
          <w:i/>
          <w:iCs/>
        </w:rPr>
        <w:t>Handbook of Qualitative Research</w:t>
      </w:r>
      <w:r>
        <w:t>. Thousand Oaks, CA: SAGE, pp. 105–117.</w:t>
      </w:r>
    </w:p>
    <w:p w14:paraId="454D6367" w14:textId="77777777" w:rsidR="00B70283" w:rsidRDefault="00070E2A" w:rsidP="00243A92">
      <w:pPr>
        <w:pStyle w:val="BodyText"/>
        <w:jc w:val="both"/>
      </w:pPr>
      <w:r>
        <w:t xml:space="preserve">Heidegger, M. (1962) </w:t>
      </w:r>
      <w:r>
        <w:rPr>
          <w:i/>
          <w:iCs/>
        </w:rPr>
        <w:t>Being and Time</w:t>
      </w:r>
      <w:r>
        <w:t xml:space="preserve">. Translated by J. </w:t>
      </w:r>
      <w:proofErr w:type="spellStart"/>
      <w:r>
        <w:t>Macquarrie</w:t>
      </w:r>
      <w:proofErr w:type="spellEnd"/>
      <w:r>
        <w:t xml:space="preserve"> and E. Robinson. Oxford: Blackwell. (Original work published 1927).</w:t>
      </w:r>
    </w:p>
    <w:p w14:paraId="44EB41D5" w14:textId="77777777" w:rsidR="00B70283" w:rsidRDefault="00070E2A" w:rsidP="00243A92">
      <w:pPr>
        <w:pStyle w:val="BodyText"/>
        <w:jc w:val="both"/>
      </w:pPr>
      <w:r>
        <w:t>Ho, C. M., Yeh, C. C., Wang, J. Y., Hu, R. H. and Lee, P. H. (2025) ‘</w:t>
      </w:r>
      <w:proofErr w:type="spellStart"/>
      <w:r>
        <w:t>Preclass</w:t>
      </w:r>
      <w:proofErr w:type="spellEnd"/>
      <w:r>
        <w:t xml:space="preserve"> video nanolearning or microlearning in blended medical education’, </w:t>
      </w:r>
      <w:r>
        <w:rPr>
          <w:i/>
          <w:iCs/>
        </w:rPr>
        <w:t>Frontiers in Medicine</w:t>
      </w:r>
      <w:r>
        <w:t>, 12, 1639475. doi:10.3389/fmed.2025.1639475.</w:t>
      </w:r>
    </w:p>
    <w:p w14:paraId="104952F0" w14:textId="77777777" w:rsidR="00B70283" w:rsidRDefault="00070E2A" w:rsidP="00243A92">
      <w:pPr>
        <w:pStyle w:val="BodyText"/>
        <w:jc w:val="both"/>
      </w:pPr>
      <w:r>
        <w:rPr>
          <w:i/>
          <w:iCs/>
        </w:rPr>
        <w:lastRenderedPageBreak/>
        <w:t xml:space="preserve">J Educ Health </w:t>
      </w:r>
      <w:proofErr w:type="spellStart"/>
      <w:r>
        <w:rPr>
          <w:i/>
          <w:iCs/>
        </w:rPr>
        <w:t>Promot</w:t>
      </w:r>
      <w:proofErr w:type="spellEnd"/>
      <w:r>
        <w:t xml:space="preserve"> (2025) ‘The effect of microlearning educational intervention on communication skills of nurses working in Shiraz Trauma Hospital in 2021’, 14(1), p. 3. </w:t>
      </w:r>
      <w:proofErr w:type="gramStart"/>
      <w:r>
        <w:t>doi:10.4103/jehp.jehp</w:t>
      </w:r>
      <w:proofErr w:type="gramEnd"/>
      <w:r>
        <w:t>_1133_23.</w:t>
      </w:r>
    </w:p>
    <w:p w14:paraId="67FF6A65" w14:textId="77777777" w:rsidR="00B70283" w:rsidRDefault="00070E2A" w:rsidP="00243A92">
      <w:pPr>
        <w:pStyle w:val="BodyText"/>
        <w:jc w:val="both"/>
      </w:pPr>
      <w:r>
        <w:t xml:space="preserve">Kapp, K. M. and Defelice, R. (2019) </w:t>
      </w:r>
      <w:r>
        <w:rPr>
          <w:i/>
          <w:iCs/>
        </w:rPr>
        <w:t>Microlearning: Short and Sweet</w:t>
      </w:r>
      <w:r>
        <w:t>. Alexandria, VA: ATD Press.</w:t>
      </w:r>
    </w:p>
    <w:p w14:paraId="4CA1A126" w14:textId="77777777" w:rsidR="00B70283" w:rsidRDefault="00070E2A" w:rsidP="00243A92">
      <w:pPr>
        <w:pStyle w:val="BodyText"/>
        <w:jc w:val="both"/>
      </w:pPr>
      <w:r>
        <w:t xml:space="preserve">Krueger, R. A. and Casey, M. A. (2015) </w:t>
      </w:r>
      <w:r>
        <w:rPr>
          <w:i/>
          <w:iCs/>
        </w:rPr>
        <w:t>Focus Groups: A Practical Guide for Applied Research</w:t>
      </w:r>
      <w:r>
        <w:t xml:space="preserve">. 5th </w:t>
      </w:r>
      <w:proofErr w:type="spellStart"/>
      <w:r>
        <w:t>edn</w:t>
      </w:r>
      <w:proofErr w:type="spellEnd"/>
      <w:r>
        <w:t>. Thousand Oaks, CA: SAGE.</w:t>
      </w:r>
    </w:p>
    <w:p w14:paraId="6FAFFD54" w14:textId="77777777" w:rsidR="00B70283" w:rsidRDefault="00070E2A" w:rsidP="00243A92">
      <w:pPr>
        <w:pStyle w:val="BodyText"/>
        <w:jc w:val="both"/>
      </w:pPr>
      <w:r>
        <w:t xml:space="preserve">Leong, K., Sung, A., Au, D. and Blanchard, C. (2021) ‘A review of the trend of microlearning’, </w:t>
      </w:r>
      <w:r>
        <w:rPr>
          <w:i/>
          <w:iCs/>
        </w:rPr>
        <w:t>Journal of Work-Applied Management</w:t>
      </w:r>
      <w:r>
        <w:t>, 13(1), pp. 88–102. doi:10.1108/JWAM-10-2020-0044.</w:t>
      </w:r>
    </w:p>
    <w:p w14:paraId="4D966724" w14:textId="77777777" w:rsidR="00B70283" w:rsidRDefault="00070E2A" w:rsidP="00243A92">
      <w:pPr>
        <w:pStyle w:val="BodyText"/>
        <w:jc w:val="both"/>
      </w:pPr>
      <w:r>
        <w:t xml:space="preserve">Levinas, E. (1985) </w:t>
      </w:r>
      <w:r>
        <w:rPr>
          <w:i/>
          <w:iCs/>
        </w:rPr>
        <w:t>Ethics and Infinity</w:t>
      </w:r>
      <w:r>
        <w:t>. Translated by R. A. Cohen. Pittsburgh: Duquesne University Press.</w:t>
      </w:r>
    </w:p>
    <w:p w14:paraId="1DFFB203" w14:textId="77777777" w:rsidR="00B70283" w:rsidRDefault="00070E2A" w:rsidP="00243A92">
      <w:pPr>
        <w:pStyle w:val="BodyText"/>
        <w:jc w:val="both"/>
      </w:pPr>
      <w:r>
        <w:t xml:space="preserve">Lincoln, Y. S. and Guba, E. G. (1985) </w:t>
      </w:r>
      <w:r>
        <w:rPr>
          <w:i/>
          <w:iCs/>
        </w:rPr>
        <w:t>Naturalistic Inquiry</w:t>
      </w:r>
      <w:r>
        <w:t>. Beverly Hills, CA: SAGE.</w:t>
      </w:r>
    </w:p>
    <w:p w14:paraId="755CE013" w14:textId="77777777" w:rsidR="00B70283" w:rsidRDefault="00070E2A" w:rsidP="00243A92">
      <w:pPr>
        <w:pStyle w:val="BodyText"/>
        <w:jc w:val="both"/>
      </w:pPr>
      <w:r>
        <w:t xml:space="preserve">Melnyk, B. M., Gallagher‐Ford, L., Thomas, B. K., Troseth, M., Wyngarden, K. and Szalacha, L. (2016) ‘A study of chief nurse executives indicates low prioritization of evidence‐based practice and shortcomings in hospital performance metrics across the United States’, </w:t>
      </w:r>
      <w:r>
        <w:rPr>
          <w:i/>
          <w:iCs/>
        </w:rPr>
        <w:t>Worldviews on Evidence‐Based Nursing</w:t>
      </w:r>
      <w:r>
        <w:t>, 13(1), pp. 6–14. doi:10.1111/wvn.12133.</w:t>
      </w:r>
    </w:p>
    <w:p w14:paraId="070D2195" w14:textId="77777777" w:rsidR="00B70283" w:rsidRDefault="00070E2A" w:rsidP="00243A92">
      <w:pPr>
        <w:pStyle w:val="BodyText"/>
        <w:jc w:val="both"/>
      </w:pPr>
      <w:r>
        <w:t xml:space="preserve">Palinkas, L. A., Horwitz, S. M., Green, C. A., Wisdom, J. P., Duan, N. and Hoagwood, K. (2015) ‘Purposeful sampling for qualitative data collection and analysis in mixed method implementation research’, </w:t>
      </w:r>
      <w:r>
        <w:rPr>
          <w:i/>
          <w:iCs/>
        </w:rPr>
        <w:t>Administration and Policy in Mental Health and Mental Health Services Research</w:t>
      </w:r>
      <w:r>
        <w:t>, 42(5), pp. 533–544. doi:10.1007/s10488-013-0528-y.</w:t>
      </w:r>
    </w:p>
    <w:p w14:paraId="1DCDFB2B" w14:textId="77777777" w:rsidR="00B70283" w:rsidRDefault="00070E2A" w:rsidP="00243A92">
      <w:pPr>
        <w:pStyle w:val="BodyText"/>
        <w:jc w:val="both"/>
      </w:pPr>
      <w:proofErr w:type="spellStart"/>
      <w:r>
        <w:t>PromediExcel</w:t>
      </w:r>
      <w:proofErr w:type="spellEnd"/>
      <w:r>
        <w:t xml:space="preserve"> (2025) </w:t>
      </w:r>
      <w:r>
        <w:rPr>
          <w:i/>
          <w:iCs/>
        </w:rPr>
        <w:t>3 Key Trends Reshaping Healthcare Education in 2026</w:t>
      </w:r>
      <w:r>
        <w:t>. Available at: https://promediexcel.com/blog/11 (Accessed: 31 January 2026).</w:t>
      </w:r>
    </w:p>
    <w:p w14:paraId="02295048" w14:textId="77777777" w:rsidR="00B70283" w:rsidRDefault="00070E2A" w:rsidP="00243A92">
      <w:pPr>
        <w:pStyle w:val="BodyText"/>
        <w:jc w:val="both"/>
      </w:pPr>
      <w:r>
        <w:t xml:space="preserve">ResearchGate (2025) </w:t>
      </w:r>
      <w:r>
        <w:rPr>
          <w:i/>
          <w:iCs/>
        </w:rPr>
        <w:t>Outcomes of the Use of Microlearning in Medical Education: A Review Study</w:t>
      </w:r>
      <w:r>
        <w:t>. Available at: https://www.researchgate.net/publication/390534563_Outcomes_of_the_Use_of_Microlearning_in_Medical_Education_A_Review_Study (Accessed: 31 January 2026).</w:t>
      </w:r>
    </w:p>
    <w:p w14:paraId="05F97B5A" w14:textId="77777777" w:rsidR="00B70283" w:rsidRDefault="00070E2A" w:rsidP="00243A92">
      <w:pPr>
        <w:pStyle w:val="BodyText"/>
        <w:jc w:val="both"/>
      </w:pPr>
      <w:r>
        <w:t xml:space="preserve">Taylor, A. D. and Hung, W. (2022) ‘The effects of microlearning: A scoping review’, </w:t>
      </w:r>
      <w:r>
        <w:rPr>
          <w:i/>
          <w:iCs/>
        </w:rPr>
        <w:t>Educational Technology Research and Development</w:t>
      </w:r>
      <w:r>
        <w:t>, 70(2), pp. 363–395. doi:10.1007/s11423-022-10084-1.</w:t>
      </w:r>
    </w:p>
    <w:p w14:paraId="4EFDF115" w14:textId="77777777" w:rsidR="00B70283" w:rsidRDefault="00070E2A" w:rsidP="00243A92">
      <w:pPr>
        <w:pStyle w:val="BodyText"/>
        <w:jc w:val="both"/>
      </w:pPr>
      <w:r>
        <w:t xml:space="preserve">van Manen, M. (2016) </w:t>
      </w:r>
      <w:r>
        <w:rPr>
          <w:i/>
          <w:iCs/>
        </w:rPr>
        <w:t>Phenomenology of Practice: Meaning-Giving Methods in Phenomenological Research and Writing</w:t>
      </w:r>
      <w:r>
        <w:t>. New York: Routledge.</w:t>
      </w:r>
    </w:p>
    <w:p w14:paraId="7F1684BD" w14:textId="77777777" w:rsidR="00B70283" w:rsidRDefault="00070E2A" w:rsidP="00243A92">
      <w:pPr>
        <w:pStyle w:val="BodyText"/>
        <w:jc w:val="both"/>
      </w:pPr>
      <w:r>
        <w:t xml:space="preserve">Vincent, C. (2010) </w:t>
      </w:r>
      <w:r>
        <w:rPr>
          <w:i/>
          <w:iCs/>
        </w:rPr>
        <w:t>Patient Safety</w:t>
      </w:r>
      <w:r>
        <w:t xml:space="preserve">. 2nd </w:t>
      </w:r>
      <w:proofErr w:type="spellStart"/>
      <w:r>
        <w:t>edn</w:t>
      </w:r>
      <w:proofErr w:type="spellEnd"/>
      <w:r>
        <w:t>. Chichester: Wiley-Blackwell.</w:t>
      </w:r>
    </w:p>
    <w:p w14:paraId="1DEF3A94" w14:textId="77777777" w:rsidR="00B70283" w:rsidRDefault="00070E2A" w:rsidP="00243A92">
      <w:pPr>
        <w:pStyle w:val="BodyText"/>
        <w:jc w:val="both"/>
      </w:pPr>
      <w:r>
        <w:t xml:space="preserve">Webster-Wright, A. (2009) ‘Reframing professional development through understanding authentic professional learning’, </w:t>
      </w:r>
      <w:r>
        <w:rPr>
          <w:i/>
          <w:iCs/>
        </w:rPr>
        <w:t>Review of Educational Research</w:t>
      </w:r>
      <w:r>
        <w:t>, 79(2), pp. 702–739. doi:10.3102/0034654308330970.</w:t>
      </w:r>
    </w:p>
    <w:p w14:paraId="7DA6F33D" w14:textId="77777777" w:rsidR="00B70283" w:rsidRDefault="00070E2A" w:rsidP="00243A92">
      <w:pPr>
        <w:pStyle w:val="BodyText"/>
        <w:jc w:val="both"/>
      </w:pPr>
      <w:r>
        <w:lastRenderedPageBreak/>
        <w:t xml:space="preserve">Weston, M. J., Stillwell, S., DiNatale, B. and Hallman, J. (2024) ‘Human development via microlearning to improve nurse engagement and patient experience’, </w:t>
      </w:r>
      <w:r>
        <w:rPr>
          <w:i/>
          <w:iCs/>
        </w:rPr>
        <w:t>Nurse Leader</w:t>
      </w:r>
      <w:r>
        <w:t>. Available at: https://practicingexcellence.com/driving-impact-healthcare-through-microlearning (Accessed: 31 January 2026).</w:t>
      </w:r>
    </w:p>
    <w:p w14:paraId="08CE6333" w14:textId="77777777" w:rsidR="00B70283" w:rsidRDefault="00B70283" w:rsidP="00243A92">
      <w:pPr>
        <w:jc w:val="both"/>
      </w:pPr>
    </w:p>
    <w:p w14:paraId="70C04EB3" w14:textId="77777777" w:rsidR="00B70283" w:rsidRDefault="00070E2A" w:rsidP="00243A92">
      <w:pPr>
        <w:pStyle w:val="FirstParagraph"/>
        <w:jc w:val="both"/>
      </w:pPr>
      <w:r>
        <w:rPr>
          <w:b/>
          <w:bCs/>
        </w:rPr>
        <w:t>AI Acknowledgement</w:t>
      </w:r>
    </w:p>
    <w:p w14:paraId="1C982B8E" w14:textId="037F4CAB" w:rsidR="00B70283" w:rsidRDefault="00070E2A" w:rsidP="00243A92">
      <w:pPr>
        <w:pStyle w:val="BodyText"/>
        <w:jc w:val="both"/>
      </w:pPr>
      <w:r>
        <w:t xml:space="preserve">I acknowledge the use of Claude AI (Anthropic) for: (1) structural </w:t>
      </w:r>
      <w:r w:rsidR="001624A6">
        <w:t>organization</w:t>
      </w:r>
      <w:r>
        <w:t xml:space="preserve"> and section sequencing </w:t>
      </w:r>
      <w:r w:rsidR="001624A6">
        <w:t>optimization</w:t>
      </w:r>
      <w:r>
        <w:t xml:space="preserve">; (2) language refinement enhancing academic register whilst maintaining clarity; (3) identification and integration of recent 2025-2026 scholarly sources; (4) critical feedback on methodological coherence and philosophical argumentation depth. Specific prompts included: “Expand critical analysis of hermeneutic phenomenology for healthcare microlearning research at doctoral level,” “Integrate recent empirical studies on microlearning in medical education,” “Enhance ethical discussion referencing Levinas and epistemic justice,” and “Condense sections whilst preserving doctoral-level </w:t>
      </w:r>
      <w:r w:rsidR="001624A6">
        <w:t>rigor</w:t>
      </w:r>
      <w:r>
        <w:t xml:space="preserve"> to meet word count requirements.” All substantive intellectual contributions—including theoretical positioning, methodological decisions, critical evaluations, and argumentative claims—are entirely my own work. Pre-AI drafts and complete iterative revision history available for verification upon request.</w:t>
      </w:r>
      <w:bookmarkEnd w:id="14"/>
    </w:p>
    <w:sectPr w:rsidR="00B7028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5C99D" w14:textId="77777777" w:rsidR="00235EEB" w:rsidRDefault="00235EEB">
      <w:pPr>
        <w:spacing w:after="0"/>
      </w:pPr>
      <w:r>
        <w:separator/>
      </w:r>
    </w:p>
  </w:endnote>
  <w:endnote w:type="continuationSeparator" w:id="0">
    <w:p w14:paraId="5068A81C" w14:textId="77777777" w:rsidR="00235EEB" w:rsidRDefault="00235E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F0D8C" w14:textId="77777777" w:rsidR="00235EEB" w:rsidRDefault="00235EEB">
      <w:r>
        <w:separator/>
      </w:r>
    </w:p>
  </w:footnote>
  <w:footnote w:type="continuationSeparator" w:id="0">
    <w:p w14:paraId="521769B6" w14:textId="77777777" w:rsidR="00235EEB" w:rsidRDefault="00235E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E348CF2A"/>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575089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283"/>
    <w:rsid w:val="00070E2A"/>
    <w:rsid w:val="00132DDE"/>
    <w:rsid w:val="001624A6"/>
    <w:rsid w:val="00235EEB"/>
    <w:rsid w:val="00243A92"/>
    <w:rsid w:val="002E6BF8"/>
    <w:rsid w:val="00895858"/>
    <w:rsid w:val="00B70283"/>
    <w:rsid w:val="00B75206"/>
    <w:rsid w:val="00D25540"/>
  </w:rsids>
  <m:mathPr>
    <m:mathFont m:val="Cambria Math"/>
    <m:brkBin m:val="before"/>
    <m:brkBinSub m:val="--"/>
    <m:smallFrac m:val="0"/>
    <m:dispDef/>
    <m:lMargin m:val="0"/>
    <m:rMargin m:val="0"/>
    <m:defJc m:val="centerGroup"/>
    <m:wrapRight/>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50B20"/>
  <w15:docId w15:val="{1F3F9E9F-BB26-4628-BE19-5B4D67DDF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4880</Words>
  <Characters>27822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Vista Gostar</dc:creator>
  <cp:keywords/>
  <cp:lastModifiedBy>roya barati</cp:lastModifiedBy>
  <cp:revision>2</cp:revision>
  <dcterms:created xsi:type="dcterms:W3CDTF">2026-02-02T09:36:00Z</dcterms:created>
  <dcterms:modified xsi:type="dcterms:W3CDTF">2026-02-02T09:36:00Z</dcterms:modified>
</cp:coreProperties>
</file>