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194A4" w14:textId="77777777" w:rsidR="002E1C0B" w:rsidRPr="008970E5" w:rsidRDefault="002E1C0B" w:rsidP="002E1C0B">
      <w:pPr>
        <w:spacing w:line="360" w:lineRule="auto"/>
        <w:rPr>
          <w:rFonts w:ascii="Times New Roman" w:hAnsi="Times New Roman" w:cs="Times New Roman"/>
          <w:sz w:val="24"/>
          <w:szCs w:val="24"/>
          <w:u w:val="single"/>
        </w:rPr>
      </w:pPr>
      <w:r w:rsidRPr="008970E5">
        <w:rPr>
          <w:rFonts w:ascii="Times New Roman" w:hAnsi="Times New Roman" w:cs="Times New Roman"/>
          <w:sz w:val="24"/>
          <w:szCs w:val="24"/>
          <w:u w:val="single"/>
        </w:rPr>
        <w:t>What is Reception History</w:t>
      </w:r>
    </w:p>
    <w:p w14:paraId="5593B919" w14:textId="023DD9A5" w:rsidR="008B0DBA" w:rsidRDefault="002E1C0B" w:rsidP="003514E7">
      <w:pPr>
        <w:tabs>
          <w:tab w:val="left" w:pos="1308"/>
        </w:tabs>
        <w:spacing w:line="360" w:lineRule="auto"/>
        <w:rPr>
          <w:rFonts w:ascii="Times New Roman" w:hAnsi="Times New Roman" w:cs="Times New Roman"/>
          <w:sz w:val="24"/>
          <w:szCs w:val="24"/>
        </w:rPr>
      </w:pPr>
      <w:r w:rsidRPr="008970E5">
        <w:rPr>
          <w:rFonts w:ascii="Times New Roman" w:hAnsi="Times New Roman" w:cs="Times New Roman"/>
          <w:sz w:val="24"/>
          <w:szCs w:val="24"/>
        </w:rPr>
        <w:t>Biblical reception history is an emerging process that seeks to evaluate the impact and influence of biblical texts beyond the context within which it was written. As Donald Moffat states, reception history is “a new critical method that is increasingly popular.”</w:t>
      </w:r>
      <w:r w:rsidRPr="008970E5">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As more scholars approach this method, </w:t>
      </w:r>
      <w:r w:rsidRPr="008970E5">
        <w:rPr>
          <w:rFonts w:ascii="Times New Roman" w:hAnsi="Times New Roman" w:cs="Times New Roman"/>
          <w:sz w:val="24"/>
          <w:szCs w:val="24"/>
        </w:rPr>
        <w:t>it is important to consider the value of this method and how it benefits the larger field of biblical studies</w:t>
      </w:r>
      <w:r>
        <w:rPr>
          <w:rFonts w:ascii="Times New Roman" w:hAnsi="Times New Roman" w:cs="Times New Roman"/>
          <w:sz w:val="24"/>
          <w:szCs w:val="24"/>
        </w:rPr>
        <w:t xml:space="preserve">. </w:t>
      </w:r>
      <w:r w:rsidRPr="008970E5">
        <w:rPr>
          <w:rFonts w:ascii="Times New Roman" w:hAnsi="Times New Roman" w:cs="Times New Roman"/>
          <w:sz w:val="24"/>
          <w:szCs w:val="24"/>
        </w:rPr>
        <w:t>Before being able to approach this task and evaluate biblical reception history, it is first important to define this method.</w:t>
      </w:r>
      <w:r w:rsidR="000B52A2">
        <w:rPr>
          <w:rFonts w:ascii="Times New Roman" w:hAnsi="Times New Roman" w:cs="Times New Roman"/>
          <w:sz w:val="24"/>
          <w:szCs w:val="24"/>
        </w:rPr>
        <w:t xml:space="preserve"> </w:t>
      </w:r>
      <w:r w:rsidR="000B52A2" w:rsidRPr="008970E5">
        <w:rPr>
          <w:rFonts w:ascii="Times New Roman" w:hAnsi="Times New Roman" w:cs="Times New Roman"/>
          <w:sz w:val="24"/>
          <w:szCs w:val="24"/>
        </w:rPr>
        <w:t>Numerous scholars offer comprehensive definitions of what this method entails, for example the work of Brennen Breed. Breed states that “once a finished text leaves the pen of its author, or perhaps once a text moves beyond its original context, it enters into the world of reception history.”</w:t>
      </w:r>
      <w:r w:rsidR="000B52A2" w:rsidRPr="008970E5">
        <w:rPr>
          <w:rStyle w:val="FootnoteReference"/>
          <w:rFonts w:ascii="Times New Roman" w:hAnsi="Times New Roman" w:cs="Times New Roman"/>
          <w:sz w:val="24"/>
          <w:szCs w:val="24"/>
        </w:rPr>
        <w:footnoteReference w:id="2"/>
      </w:r>
      <w:r w:rsidR="003E0322" w:rsidRPr="003E0322">
        <w:rPr>
          <w:rFonts w:ascii="Times New Roman" w:hAnsi="Times New Roman" w:cs="Times New Roman"/>
          <w:sz w:val="24"/>
          <w:szCs w:val="24"/>
        </w:rPr>
        <w:t xml:space="preserve"> </w:t>
      </w:r>
      <w:r w:rsidR="003E0322" w:rsidRPr="008970E5">
        <w:rPr>
          <w:rFonts w:ascii="Times New Roman" w:hAnsi="Times New Roman" w:cs="Times New Roman"/>
          <w:sz w:val="24"/>
          <w:szCs w:val="24"/>
        </w:rPr>
        <w:t xml:space="preserve">Therefore, </w:t>
      </w:r>
      <w:r w:rsidR="003E0322" w:rsidRPr="008E5A2F">
        <w:rPr>
          <w:rFonts w:ascii="Times New Roman" w:hAnsi="Times New Roman" w:cs="Times New Roman"/>
          <w:sz w:val="24"/>
          <w:szCs w:val="24"/>
        </w:rPr>
        <w:t>it can be understood that biblical reception history is concerned with the impact and influence of biblical texts</w:t>
      </w:r>
      <w:r w:rsidR="003E0322">
        <w:rPr>
          <w:rFonts w:ascii="Times New Roman" w:hAnsi="Times New Roman" w:cs="Times New Roman"/>
          <w:sz w:val="24"/>
          <w:szCs w:val="24"/>
        </w:rPr>
        <w:t xml:space="preserve"> past their formation and original contextual audience. The work of Jonathan Roberts further supports this notion, as he defines reception history as including a range of material after the text’s original context.</w:t>
      </w:r>
      <w:r w:rsidR="003E0322">
        <w:rPr>
          <w:rFonts w:ascii="Times New Roman" w:hAnsi="Times New Roman" w:cs="Times New Roman"/>
          <w:sz w:val="24"/>
          <w:szCs w:val="24"/>
        </w:rPr>
        <w:t xml:space="preserve"> </w:t>
      </w:r>
      <w:r w:rsidR="003E0322">
        <w:rPr>
          <w:rFonts w:ascii="Times New Roman" w:hAnsi="Times New Roman" w:cs="Times New Roman"/>
          <w:sz w:val="24"/>
          <w:szCs w:val="24"/>
        </w:rPr>
        <w:t xml:space="preserve">Roberts </w:t>
      </w:r>
      <w:r w:rsidR="003E0322" w:rsidRPr="008E5A2F">
        <w:rPr>
          <w:rFonts w:ascii="Times New Roman" w:hAnsi="Times New Roman" w:cs="Times New Roman"/>
          <w:sz w:val="24"/>
          <w:szCs w:val="24"/>
        </w:rPr>
        <w:t>explains that through the influence of the work of Hans-Georg Gadamer, reception history allows for historians and interpreters to collect from a vast range of material, in a way that suits their particular interests.</w:t>
      </w:r>
      <w:r w:rsidR="003E0322" w:rsidRPr="008E5A2F">
        <w:rPr>
          <w:rStyle w:val="FootnoteReference"/>
          <w:rFonts w:ascii="Times New Roman" w:hAnsi="Times New Roman" w:cs="Times New Roman"/>
          <w:sz w:val="24"/>
          <w:szCs w:val="24"/>
        </w:rPr>
        <w:footnoteReference w:id="3"/>
      </w:r>
      <w:r w:rsidR="003E0322">
        <w:rPr>
          <w:rFonts w:ascii="Times New Roman" w:hAnsi="Times New Roman" w:cs="Times New Roman"/>
          <w:sz w:val="24"/>
          <w:szCs w:val="24"/>
        </w:rPr>
        <w:t xml:space="preserve"> </w:t>
      </w:r>
    </w:p>
    <w:p w14:paraId="771BEBF5" w14:textId="77777777" w:rsidR="00EA1D44" w:rsidRPr="008E5A2F" w:rsidRDefault="003E0322" w:rsidP="00EA1D44">
      <w:pPr>
        <w:tabs>
          <w:tab w:val="left" w:pos="1308"/>
        </w:tabs>
        <w:spacing w:line="360" w:lineRule="auto"/>
        <w:rPr>
          <w:rFonts w:ascii="Times New Roman" w:hAnsi="Times New Roman" w:cs="Times New Roman"/>
          <w:sz w:val="24"/>
          <w:szCs w:val="24"/>
        </w:rPr>
      </w:pPr>
      <w:r>
        <w:rPr>
          <w:rFonts w:ascii="Times New Roman" w:hAnsi="Times New Roman" w:cs="Times New Roman"/>
          <w:sz w:val="24"/>
          <w:szCs w:val="24"/>
        </w:rPr>
        <w:t xml:space="preserve">Roberts’ definition also suggests that </w:t>
      </w:r>
      <w:r w:rsidRPr="008E5A2F">
        <w:rPr>
          <w:rFonts w:ascii="Times New Roman" w:hAnsi="Times New Roman" w:cs="Times New Roman"/>
          <w:sz w:val="24"/>
          <w:szCs w:val="24"/>
        </w:rPr>
        <w:t>this method is one that seeks to enhance a scholar’s personal and unique approaches by considering all material viable and allowing them to choose their own parameters and definitions.</w:t>
      </w:r>
      <w:r>
        <w:rPr>
          <w:rFonts w:ascii="Times New Roman" w:hAnsi="Times New Roman" w:cs="Times New Roman"/>
          <w:sz w:val="24"/>
          <w:szCs w:val="24"/>
        </w:rPr>
        <w:t xml:space="preserve"> Thus, allowing scholars to select reception materials to explore that relate to their own personal interests and worldview. </w:t>
      </w:r>
      <w:r w:rsidR="00EA1D44">
        <w:rPr>
          <w:rFonts w:ascii="Times New Roman" w:hAnsi="Times New Roman" w:cs="Times New Roman"/>
          <w:sz w:val="24"/>
          <w:szCs w:val="24"/>
        </w:rPr>
        <w:t xml:space="preserve">This is continually mirrored within Roberts works as he continues his ideas, claiming that </w:t>
      </w:r>
      <w:r w:rsidR="00EA1D44" w:rsidRPr="008E5A2F">
        <w:rPr>
          <w:rFonts w:ascii="Times New Roman" w:hAnsi="Times New Roman" w:cs="Times New Roman"/>
          <w:sz w:val="24"/>
          <w:szCs w:val="24"/>
        </w:rPr>
        <w:t>“a scrapbook of reviews of a work, a collection of letters to an author responding to his or her writing, a gallery collection or museum exhibition – each of these constitute a reception history.”</w:t>
      </w:r>
      <w:r w:rsidR="00EA1D44" w:rsidRPr="008E5A2F">
        <w:rPr>
          <w:rStyle w:val="FootnoteReference"/>
          <w:rFonts w:ascii="Times New Roman" w:hAnsi="Times New Roman" w:cs="Times New Roman"/>
          <w:sz w:val="24"/>
          <w:szCs w:val="24"/>
        </w:rPr>
        <w:footnoteReference w:id="4"/>
      </w:r>
      <w:r w:rsidR="00EA1D44">
        <w:rPr>
          <w:rFonts w:ascii="Times New Roman" w:hAnsi="Times New Roman" w:cs="Times New Roman"/>
          <w:sz w:val="24"/>
          <w:szCs w:val="24"/>
        </w:rPr>
        <w:t xml:space="preserve"> </w:t>
      </w:r>
      <w:r w:rsidR="00EA1D44" w:rsidRPr="008E5A2F">
        <w:rPr>
          <w:rFonts w:ascii="Times New Roman" w:hAnsi="Times New Roman" w:cs="Times New Roman"/>
          <w:sz w:val="24"/>
          <w:szCs w:val="24"/>
        </w:rPr>
        <w:t xml:space="preserve">Thus, through this method scholars are able to research an abundance of material </w:t>
      </w:r>
      <w:r w:rsidR="00EA1D44" w:rsidRPr="008E5A2F">
        <w:rPr>
          <w:rFonts w:ascii="Times New Roman" w:hAnsi="Times New Roman" w:cs="Times New Roman"/>
          <w:sz w:val="24"/>
          <w:szCs w:val="24"/>
        </w:rPr>
        <w:lastRenderedPageBreak/>
        <w:t>and find their own niche areas of biblical reception history that reflect their</w:t>
      </w:r>
      <w:r w:rsidR="00EA1D44">
        <w:rPr>
          <w:rFonts w:ascii="Times New Roman" w:hAnsi="Times New Roman" w:cs="Times New Roman"/>
          <w:sz w:val="24"/>
          <w:szCs w:val="24"/>
        </w:rPr>
        <w:t xml:space="preserve"> individual interests and context.</w:t>
      </w:r>
      <w:r w:rsidR="00EA1D44">
        <w:rPr>
          <w:rFonts w:ascii="Times New Roman" w:hAnsi="Times New Roman" w:cs="Times New Roman"/>
          <w:sz w:val="24"/>
          <w:szCs w:val="24"/>
        </w:rPr>
        <w:t xml:space="preserve"> </w:t>
      </w:r>
      <w:r w:rsidR="00EA1D44">
        <w:rPr>
          <w:rFonts w:ascii="Times New Roman" w:hAnsi="Times New Roman" w:cs="Times New Roman"/>
          <w:sz w:val="24"/>
          <w:szCs w:val="24"/>
        </w:rPr>
        <w:t>B</w:t>
      </w:r>
      <w:r w:rsidR="00EA1D44" w:rsidRPr="008E5A2F">
        <w:rPr>
          <w:rFonts w:ascii="Times New Roman" w:hAnsi="Times New Roman" w:cs="Times New Roman"/>
          <w:sz w:val="24"/>
          <w:szCs w:val="24"/>
        </w:rPr>
        <w:t>iblical reception history can be defined as an approach that focuses less on the history of biblical texts, but instead aims to understand these texts influence outside their original context.</w:t>
      </w:r>
      <w:r w:rsidR="00EA1D44">
        <w:rPr>
          <w:rFonts w:ascii="Times New Roman" w:hAnsi="Times New Roman" w:cs="Times New Roman"/>
          <w:sz w:val="24"/>
          <w:szCs w:val="24"/>
        </w:rPr>
        <w:t xml:space="preserve"> </w:t>
      </w:r>
      <w:r w:rsidR="00EA1D44" w:rsidRPr="008E5A2F">
        <w:rPr>
          <w:rFonts w:ascii="Times New Roman" w:hAnsi="Times New Roman" w:cs="Times New Roman"/>
          <w:sz w:val="24"/>
          <w:szCs w:val="24"/>
        </w:rPr>
        <w:t xml:space="preserve">Through the freedom of material and choice it allows for scholars to research their nuanced point of interests through the variety that is included within reception material. </w:t>
      </w:r>
    </w:p>
    <w:p w14:paraId="1E40FDFE" w14:textId="77777777" w:rsidR="00EA1D44" w:rsidRPr="008E5A2F" w:rsidRDefault="00EA1D44" w:rsidP="00EA1D44">
      <w:pPr>
        <w:tabs>
          <w:tab w:val="left" w:pos="1308"/>
        </w:tabs>
        <w:spacing w:line="360" w:lineRule="auto"/>
        <w:rPr>
          <w:rFonts w:ascii="Times New Roman" w:hAnsi="Times New Roman" w:cs="Times New Roman"/>
          <w:sz w:val="24"/>
          <w:szCs w:val="24"/>
          <w:u w:val="single"/>
        </w:rPr>
      </w:pPr>
      <w:r w:rsidRPr="008E5A2F">
        <w:rPr>
          <w:rFonts w:ascii="Times New Roman" w:hAnsi="Times New Roman" w:cs="Times New Roman"/>
          <w:sz w:val="24"/>
          <w:szCs w:val="24"/>
          <w:u w:val="single"/>
        </w:rPr>
        <w:t>The Value of Variety and Inclusion</w:t>
      </w:r>
    </w:p>
    <w:p w14:paraId="50E2794E" w14:textId="6D9A5A84" w:rsidR="003E0322" w:rsidRDefault="00EB60B6" w:rsidP="003E0322">
      <w:pPr>
        <w:tabs>
          <w:tab w:val="left" w:pos="1308"/>
        </w:tabs>
        <w:spacing w:line="360" w:lineRule="auto"/>
        <w:rPr>
          <w:rFonts w:ascii="Times New Roman" w:hAnsi="Times New Roman" w:cs="Times New Roman"/>
          <w:sz w:val="24"/>
          <w:szCs w:val="24"/>
        </w:rPr>
      </w:pPr>
      <w:r>
        <w:rPr>
          <w:rFonts w:ascii="Times New Roman" w:hAnsi="Times New Roman" w:cs="Times New Roman"/>
          <w:sz w:val="24"/>
          <w:szCs w:val="24"/>
        </w:rPr>
        <w:t>As biblical reception history has been clearly defined, it is possible to</w:t>
      </w:r>
      <w:r>
        <w:rPr>
          <w:rFonts w:ascii="Times New Roman" w:hAnsi="Times New Roman" w:cs="Times New Roman"/>
          <w:sz w:val="24"/>
          <w:szCs w:val="24"/>
        </w:rPr>
        <w:t xml:space="preserve"> now</w:t>
      </w:r>
      <w:r>
        <w:rPr>
          <w:rFonts w:ascii="Times New Roman" w:hAnsi="Times New Roman" w:cs="Times New Roman"/>
          <w:sz w:val="24"/>
          <w:szCs w:val="24"/>
        </w:rPr>
        <w:t xml:space="preserve"> assess its value within biblical studies.</w:t>
      </w:r>
      <w:r>
        <w:rPr>
          <w:rFonts w:ascii="Times New Roman" w:hAnsi="Times New Roman" w:cs="Times New Roman"/>
          <w:sz w:val="24"/>
          <w:szCs w:val="24"/>
        </w:rPr>
        <w:t xml:space="preserve"> </w:t>
      </w:r>
      <w:r>
        <w:rPr>
          <w:rFonts w:ascii="Times New Roman" w:hAnsi="Times New Roman" w:cs="Times New Roman"/>
          <w:sz w:val="24"/>
          <w:szCs w:val="24"/>
        </w:rPr>
        <w:t>A central argument for its value amongst a larger biblical studies context is the notion that this method enhances the study, through recognising the variety of material that reflects scholar’s worldviews.</w:t>
      </w:r>
      <w:r>
        <w:rPr>
          <w:rFonts w:ascii="Times New Roman" w:hAnsi="Times New Roman" w:cs="Times New Roman"/>
          <w:sz w:val="24"/>
          <w:szCs w:val="24"/>
        </w:rPr>
        <w:t xml:space="preserve"> </w:t>
      </w:r>
      <w:r w:rsidR="007E62C5">
        <w:rPr>
          <w:rFonts w:ascii="Times New Roman" w:hAnsi="Times New Roman" w:cs="Times New Roman"/>
          <w:sz w:val="24"/>
          <w:szCs w:val="24"/>
        </w:rPr>
        <w:t xml:space="preserve">This is evidenced through </w:t>
      </w:r>
      <w:r w:rsidR="007E62C5" w:rsidRPr="008E5A2F">
        <w:rPr>
          <w:rFonts w:ascii="Times New Roman" w:hAnsi="Times New Roman" w:cs="Times New Roman"/>
          <w:sz w:val="24"/>
          <w:szCs w:val="24"/>
        </w:rPr>
        <w:t>unrestricting scholars and allowing them to choose from the wide variety of reception material and set their own boundaries.</w:t>
      </w:r>
      <w:r w:rsidR="00F01A22">
        <w:rPr>
          <w:rFonts w:ascii="Times New Roman" w:hAnsi="Times New Roman" w:cs="Times New Roman"/>
          <w:sz w:val="24"/>
          <w:szCs w:val="24"/>
        </w:rPr>
        <w:t xml:space="preserve"> </w:t>
      </w:r>
      <w:r w:rsidR="00F01A22" w:rsidRPr="008E5A2F">
        <w:rPr>
          <w:rFonts w:ascii="Times New Roman" w:hAnsi="Times New Roman" w:cs="Times New Roman"/>
          <w:sz w:val="24"/>
          <w:szCs w:val="24"/>
        </w:rPr>
        <w:t>Through the definitions and aspects of reception history that have previously been investigated, it can be surmised that this method does not attempt to limit or place parameters onto the scholars of biblical interpretation.</w:t>
      </w:r>
      <w:r w:rsidR="00F01A22">
        <w:rPr>
          <w:rFonts w:ascii="Times New Roman" w:hAnsi="Times New Roman" w:cs="Times New Roman"/>
          <w:sz w:val="24"/>
          <w:szCs w:val="24"/>
        </w:rPr>
        <w:t xml:space="preserve"> Specifically in regard </w:t>
      </w:r>
      <w:r w:rsidR="00F01A22" w:rsidRPr="008E5A2F">
        <w:rPr>
          <w:rFonts w:ascii="Times New Roman" w:hAnsi="Times New Roman" w:cs="Times New Roman"/>
          <w:sz w:val="24"/>
          <w:szCs w:val="24"/>
        </w:rPr>
        <w:t>to what material scholars are allowed to research and discuss</w:t>
      </w:r>
      <w:r w:rsidR="00F01A22">
        <w:rPr>
          <w:rFonts w:ascii="Times New Roman" w:hAnsi="Times New Roman" w:cs="Times New Roman"/>
          <w:sz w:val="24"/>
          <w:szCs w:val="24"/>
        </w:rPr>
        <w:t>.</w:t>
      </w:r>
      <w:r w:rsidR="00F01A22">
        <w:rPr>
          <w:rFonts w:ascii="Times New Roman" w:hAnsi="Times New Roman" w:cs="Times New Roman"/>
          <w:sz w:val="24"/>
          <w:szCs w:val="24"/>
        </w:rPr>
        <w:t xml:space="preserve"> </w:t>
      </w:r>
      <w:r w:rsidR="00515EAD">
        <w:rPr>
          <w:rFonts w:ascii="Times New Roman" w:hAnsi="Times New Roman" w:cs="Times New Roman"/>
          <w:sz w:val="24"/>
          <w:szCs w:val="24"/>
        </w:rPr>
        <w:t xml:space="preserve">Reception </w:t>
      </w:r>
      <w:r w:rsidR="00515EAD" w:rsidRPr="008E5A2F">
        <w:rPr>
          <w:rFonts w:ascii="Times New Roman" w:hAnsi="Times New Roman" w:cs="Times New Roman"/>
          <w:sz w:val="24"/>
          <w:szCs w:val="24"/>
        </w:rPr>
        <w:t xml:space="preserve">history allows scholars to define their own context and parameters for what </w:t>
      </w:r>
      <w:r w:rsidR="00515EAD">
        <w:rPr>
          <w:rFonts w:ascii="Times New Roman" w:hAnsi="Times New Roman" w:cs="Times New Roman"/>
          <w:sz w:val="24"/>
          <w:szCs w:val="24"/>
        </w:rPr>
        <w:t xml:space="preserve">within </w:t>
      </w:r>
      <w:r w:rsidR="00515EAD" w:rsidRPr="008E5A2F">
        <w:rPr>
          <w:rFonts w:ascii="Times New Roman" w:hAnsi="Times New Roman" w:cs="Times New Roman"/>
          <w:sz w:val="24"/>
          <w:szCs w:val="24"/>
        </w:rPr>
        <w:t>biblical interpretation they choose to study.</w:t>
      </w:r>
      <w:r w:rsidR="00C56FF6">
        <w:rPr>
          <w:rFonts w:ascii="Times New Roman" w:hAnsi="Times New Roman" w:cs="Times New Roman"/>
          <w:sz w:val="24"/>
          <w:szCs w:val="24"/>
        </w:rPr>
        <w:t xml:space="preserve"> </w:t>
      </w:r>
      <w:r w:rsidR="00C56FF6" w:rsidRPr="008E5A2F">
        <w:rPr>
          <w:rFonts w:ascii="Times New Roman" w:hAnsi="Times New Roman" w:cs="Times New Roman"/>
          <w:sz w:val="24"/>
          <w:szCs w:val="24"/>
        </w:rPr>
        <w:t xml:space="preserve">As previously stated, </w:t>
      </w:r>
      <w:r w:rsidR="00C56FF6">
        <w:rPr>
          <w:rFonts w:ascii="Times New Roman" w:hAnsi="Times New Roman" w:cs="Times New Roman"/>
          <w:sz w:val="24"/>
          <w:szCs w:val="24"/>
        </w:rPr>
        <w:t xml:space="preserve">this method </w:t>
      </w:r>
      <w:r w:rsidR="00C56FF6" w:rsidRPr="008E5A2F">
        <w:rPr>
          <w:rFonts w:ascii="Times New Roman" w:hAnsi="Times New Roman" w:cs="Times New Roman"/>
          <w:sz w:val="24"/>
          <w:szCs w:val="24"/>
        </w:rPr>
        <w:t xml:space="preserve">contains a vast range of material and biblical interpretations that can be studied, this extends to material that was not previously traditionally </w:t>
      </w:r>
      <w:r w:rsidR="00C56FF6">
        <w:rPr>
          <w:rFonts w:ascii="Times New Roman" w:hAnsi="Times New Roman" w:cs="Times New Roman"/>
          <w:sz w:val="24"/>
          <w:szCs w:val="24"/>
        </w:rPr>
        <w:t>considered</w:t>
      </w:r>
      <w:r w:rsidR="00C56FF6">
        <w:rPr>
          <w:rFonts w:ascii="Times New Roman" w:hAnsi="Times New Roman" w:cs="Times New Roman"/>
          <w:sz w:val="24"/>
          <w:szCs w:val="24"/>
        </w:rPr>
        <w:t xml:space="preserve">. </w:t>
      </w:r>
      <w:r w:rsidR="00053D40" w:rsidRPr="008E5A2F">
        <w:rPr>
          <w:rFonts w:ascii="Times New Roman" w:hAnsi="Times New Roman" w:cs="Times New Roman"/>
          <w:sz w:val="24"/>
          <w:szCs w:val="24"/>
        </w:rPr>
        <w:t>As David Paul Parris explains, reception history challenges the traditional way of studying the bible as most “biblical scholarship […] is dominated by questions concerning the origin of the text.”</w:t>
      </w:r>
      <w:r w:rsidR="00053D40" w:rsidRPr="008E5A2F">
        <w:rPr>
          <w:rStyle w:val="FootnoteReference"/>
          <w:rFonts w:ascii="Times New Roman" w:hAnsi="Times New Roman" w:cs="Times New Roman"/>
          <w:sz w:val="24"/>
          <w:szCs w:val="24"/>
        </w:rPr>
        <w:footnoteReference w:id="5"/>
      </w:r>
      <w:r w:rsidR="00053D40">
        <w:rPr>
          <w:rFonts w:ascii="Times New Roman" w:hAnsi="Times New Roman" w:cs="Times New Roman"/>
          <w:sz w:val="24"/>
          <w:szCs w:val="24"/>
        </w:rPr>
        <w:t xml:space="preserve"> W</w:t>
      </w:r>
      <w:r w:rsidR="00053D40" w:rsidRPr="008E5A2F">
        <w:rPr>
          <w:rFonts w:ascii="Times New Roman" w:hAnsi="Times New Roman" w:cs="Times New Roman"/>
          <w:sz w:val="24"/>
          <w:szCs w:val="24"/>
        </w:rPr>
        <w:t>ithin reception history anything that has been interpretated from the biblical texts are viable material, extending past traditional areas to include all aspects of interpretation</w:t>
      </w:r>
      <w:r w:rsidR="00053D40">
        <w:rPr>
          <w:rFonts w:ascii="Times New Roman" w:hAnsi="Times New Roman" w:cs="Times New Roman"/>
          <w:sz w:val="24"/>
          <w:szCs w:val="24"/>
        </w:rPr>
        <w:t>. I</w:t>
      </w:r>
      <w:r w:rsidR="00053D40" w:rsidRPr="008E5A2F">
        <w:rPr>
          <w:rFonts w:ascii="Times New Roman" w:hAnsi="Times New Roman" w:cs="Times New Roman"/>
          <w:sz w:val="24"/>
          <w:szCs w:val="24"/>
        </w:rPr>
        <w:t xml:space="preserve">ncluding art, poetry and other resources that may not have been </w:t>
      </w:r>
      <w:r w:rsidR="00053D40">
        <w:rPr>
          <w:rFonts w:ascii="Times New Roman" w:hAnsi="Times New Roman" w:cs="Times New Roman"/>
          <w:sz w:val="24"/>
          <w:szCs w:val="24"/>
        </w:rPr>
        <w:t xml:space="preserve">traditionally considered. Timothy </w:t>
      </w:r>
      <w:r w:rsidR="00053D40" w:rsidRPr="008E5A2F">
        <w:rPr>
          <w:rFonts w:ascii="Times New Roman" w:hAnsi="Times New Roman" w:cs="Times New Roman"/>
          <w:sz w:val="24"/>
          <w:szCs w:val="24"/>
        </w:rPr>
        <w:t>Bea</w:t>
      </w:r>
      <w:r w:rsidR="00053D40">
        <w:rPr>
          <w:rFonts w:ascii="Times New Roman" w:hAnsi="Times New Roman" w:cs="Times New Roman"/>
          <w:sz w:val="24"/>
          <w:szCs w:val="24"/>
        </w:rPr>
        <w:t>l</w:t>
      </w:r>
      <w:r w:rsidR="00053D40" w:rsidRPr="008E5A2F">
        <w:rPr>
          <w:rFonts w:ascii="Times New Roman" w:hAnsi="Times New Roman" w:cs="Times New Roman"/>
          <w:sz w:val="24"/>
          <w:szCs w:val="24"/>
        </w:rPr>
        <w:t xml:space="preserve"> explains how this approach encompasses “the broadest possible definition of interpretation to include not only academic and theological readings.”</w:t>
      </w:r>
      <w:r w:rsidR="00053D40" w:rsidRPr="008E5A2F">
        <w:rPr>
          <w:rStyle w:val="FootnoteReference"/>
          <w:rFonts w:ascii="Times New Roman" w:hAnsi="Times New Roman" w:cs="Times New Roman"/>
          <w:sz w:val="24"/>
          <w:szCs w:val="24"/>
        </w:rPr>
        <w:footnoteReference w:id="6"/>
      </w:r>
      <w:r w:rsidR="00053D40">
        <w:rPr>
          <w:rFonts w:ascii="Times New Roman" w:hAnsi="Times New Roman" w:cs="Times New Roman"/>
          <w:sz w:val="24"/>
          <w:szCs w:val="24"/>
        </w:rPr>
        <w:t xml:space="preserve"> </w:t>
      </w:r>
      <w:r w:rsidR="00275473" w:rsidRPr="008E5A2F">
        <w:rPr>
          <w:rFonts w:ascii="Times New Roman" w:hAnsi="Times New Roman" w:cs="Times New Roman"/>
          <w:sz w:val="24"/>
          <w:szCs w:val="24"/>
        </w:rPr>
        <w:t xml:space="preserve">Beal </w:t>
      </w:r>
      <w:r w:rsidR="00275473" w:rsidRPr="008E5A2F">
        <w:rPr>
          <w:rFonts w:ascii="Times New Roman" w:hAnsi="Times New Roman" w:cs="Times New Roman"/>
          <w:sz w:val="24"/>
          <w:szCs w:val="24"/>
        </w:rPr>
        <w:lastRenderedPageBreak/>
        <w:t>signifies how biblical reception history aims to allow study to develop past traditional evidence of biblical interpretation.</w:t>
      </w:r>
    </w:p>
    <w:p w14:paraId="0A00D75B" w14:textId="37833C5F" w:rsidR="00505749" w:rsidRPr="008E5A2F" w:rsidRDefault="00BC036B" w:rsidP="00505749">
      <w:pPr>
        <w:tabs>
          <w:tab w:val="left" w:pos="1308"/>
        </w:tabs>
        <w:spacing w:line="360" w:lineRule="auto"/>
        <w:rPr>
          <w:rFonts w:ascii="Times New Roman" w:hAnsi="Times New Roman" w:cs="Times New Roman"/>
          <w:sz w:val="24"/>
          <w:szCs w:val="24"/>
        </w:rPr>
      </w:pPr>
      <w:r>
        <w:rPr>
          <w:rFonts w:ascii="Times New Roman" w:hAnsi="Times New Roman" w:cs="Times New Roman"/>
          <w:sz w:val="24"/>
          <w:szCs w:val="24"/>
        </w:rPr>
        <w:t xml:space="preserve">Through, </w:t>
      </w:r>
      <w:r w:rsidRPr="008E5A2F">
        <w:rPr>
          <w:rFonts w:ascii="Times New Roman" w:hAnsi="Times New Roman" w:cs="Times New Roman"/>
          <w:sz w:val="24"/>
          <w:szCs w:val="24"/>
        </w:rPr>
        <w:t xml:space="preserve">allowing scholars to interact with material of their choosing from within biblical interpretation, with </w:t>
      </w:r>
      <w:r>
        <w:rPr>
          <w:rFonts w:ascii="Times New Roman" w:hAnsi="Times New Roman" w:cs="Times New Roman"/>
          <w:sz w:val="24"/>
          <w:szCs w:val="24"/>
        </w:rPr>
        <w:t xml:space="preserve">few </w:t>
      </w:r>
      <w:r w:rsidRPr="008E5A2F">
        <w:rPr>
          <w:rFonts w:ascii="Times New Roman" w:hAnsi="Times New Roman" w:cs="Times New Roman"/>
          <w:sz w:val="24"/>
          <w:szCs w:val="24"/>
        </w:rPr>
        <w:t>restrictions or prerequisites</w:t>
      </w:r>
      <w:r>
        <w:rPr>
          <w:rFonts w:ascii="Times New Roman" w:hAnsi="Times New Roman" w:cs="Times New Roman"/>
          <w:sz w:val="24"/>
          <w:szCs w:val="24"/>
        </w:rPr>
        <w:t>, such as it must be material that is interpreted from the bible.</w:t>
      </w:r>
      <w:r>
        <w:rPr>
          <w:rFonts w:ascii="Times New Roman" w:hAnsi="Times New Roman" w:cs="Times New Roman"/>
          <w:sz w:val="24"/>
          <w:szCs w:val="24"/>
        </w:rPr>
        <w:t xml:space="preserve"> </w:t>
      </w:r>
      <w:r w:rsidR="006D0577">
        <w:rPr>
          <w:rFonts w:ascii="Times New Roman" w:hAnsi="Times New Roman" w:cs="Times New Roman"/>
          <w:sz w:val="24"/>
          <w:szCs w:val="24"/>
        </w:rPr>
        <w:t>T</w:t>
      </w:r>
      <w:r w:rsidR="006D0577" w:rsidRPr="008E5A2F">
        <w:rPr>
          <w:rFonts w:ascii="Times New Roman" w:hAnsi="Times New Roman" w:cs="Times New Roman"/>
          <w:sz w:val="24"/>
          <w:szCs w:val="24"/>
        </w:rPr>
        <w:t>he reception history method fosters an area of research that is continuously developing</w:t>
      </w:r>
      <w:r w:rsidR="006D0577">
        <w:rPr>
          <w:rFonts w:ascii="Times New Roman" w:hAnsi="Times New Roman" w:cs="Times New Roman"/>
          <w:sz w:val="24"/>
          <w:szCs w:val="24"/>
        </w:rPr>
        <w:t xml:space="preserve">. </w:t>
      </w:r>
      <w:r w:rsidR="006D0577" w:rsidRPr="008E5A2F">
        <w:rPr>
          <w:rFonts w:ascii="Times New Roman" w:hAnsi="Times New Roman" w:cs="Times New Roman"/>
          <w:sz w:val="24"/>
          <w:szCs w:val="24"/>
        </w:rPr>
        <w:t>It offers a variety of interests and unique studies that are connected through the impact of interpretation and seek to enhance the area, through considering all material as valid. This is exampled through Beal’s statement that this method encompasses all that can be considered biblical interpretation.</w:t>
      </w:r>
      <w:r w:rsidR="006D0577" w:rsidRPr="008E5A2F">
        <w:rPr>
          <w:rStyle w:val="FootnoteReference"/>
          <w:rFonts w:ascii="Times New Roman" w:hAnsi="Times New Roman" w:cs="Times New Roman"/>
          <w:sz w:val="24"/>
          <w:szCs w:val="24"/>
        </w:rPr>
        <w:footnoteReference w:id="7"/>
      </w:r>
      <w:r w:rsidR="00870D1E">
        <w:rPr>
          <w:rFonts w:ascii="Times New Roman" w:hAnsi="Times New Roman" w:cs="Times New Roman"/>
          <w:sz w:val="24"/>
          <w:szCs w:val="24"/>
        </w:rPr>
        <w:t xml:space="preserve"> </w:t>
      </w:r>
      <w:r w:rsidR="00870D1E">
        <w:rPr>
          <w:rFonts w:ascii="Times New Roman" w:hAnsi="Times New Roman" w:cs="Times New Roman"/>
          <w:sz w:val="24"/>
          <w:szCs w:val="24"/>
        </w:rPr>
        <w:t xml:space="preserve">This is also reflected within </w:t>
      </w:r>
      <w:r w:rsidR="00870D1E" w:rsidRPr="008E5A2F">
        <w:rPr>
          <w:rFonts w:ascii="Times New Roman" w:hAnsi="Times New Roman" w:cs="Times New Roman"/>
          <w:sz w:val="24"/>
          <w:szCs w:val="24"/>
        </w:rPr>
        <w:t>numerous studies within reception history that offer unique studies</w:t>
      </w:r>
      <w:r w:rsidR="00870D1E">
        <w:rPr>
          <w:rFonts w:ascii="Times New Roman" w:hAnsi="Times New Roman" w:cs="Times New Roman"/>
          <w:sz w:val="24"/>
          <w:szCs w:val="24"/>
        </w:rPr>
        <w:t>, f</w:t>
      </w:r>
      <w:r w:rsidR="00870D1E" w:rsidRPr="008E5A2F">
        <w:rPr>
          <w:rFonts w:ascii="Times New Roman" w:hAnsi="Times New Roman" w:cs="Times New Roman"/>
          <w:sz w:val="24"/>
          <w:szCs w:val="24"/>
        </w:rPr>
        <w:t>or example, Michael J. Gilmour’s work intitled ‘</w:t>
      </w:r>
      <w:r w:rsidR="00870D1E" w:rsidRPr="008E5A2F">
        <w:rPr>
          <w:rFonts w:ascii="Times New Roman" w:hAnsi="Times New Roman" w:cs="Times New Roman"/>
          <w:i/>
          <w:iCs/>
          <w:sz w:val="24"/>
          <w:szCs w:val="24"/>
        </w:rPr>
        <w:t>Bob Dylan’s Bible’</w:t>
      </w:r>
      <w:r w:rsidR="00870D1E" w:rsidRPr="008E5A2F">
        <w:rPr>
          <w:rFonts w:ascii="Times New Roman" w:hAnsi="Times New Roman" w:cs="Times New Roman"/>
          <w:sz w:val="24"/>
          <w:szCs w:val="24"/>
        </w:rPr>
        <w:t>, that seeks to understand the biblical references within Bob Dylan’s music.</w:t>
      </w:r>
      <w:r w:rsidR="00870D1E" w:rsidRPr="008E5A2F">
        <w:rPr>
          <w:rStyle w:val="FootnoteReference"/>
          <w:rFonts w:ascii="Times New Roman" w:hAnsi="Times New Roman" w:cs="Times New Roman"/>
          <w:sz w:val="24"/>
          <w:szCs w:val="24"/>
        </w:rPr>
        <w:footnoteReference w:id="8"/>
      </w:r>
      <w:r w:rsidR="00870D1E">
        <w:rPr>
          <w:rFonts w:ascii="Times New Roman" w:hAnsi="Times New Roman" w:cs="Times New Roman"/>
          <w:sz w:val="24"/>
          <w:szCs w:val="24"/>
        </w:rPr>
        <w:t xml:space="preserve"> </w:t>
      </w:r>
      <w:r w:rsidR="00870D1E" w:rsidRPr="008E5A2F">
        <w:rPr>
          <w:rFonts w:ascii="Times New Roman" w:hAnsi="Times New Roman" w:cs="Times New Roman"/>
          <w:sz w:val="24"/>
          <w:szCs w:val="24"/>
        </w:rPr>
        <w:t>T</w:t>
      </w:r>
      <w:r w:rsidR="00505749" w:rsidRPr="008E5A2F">
        <w:rPr>
          <w:rFonts w:ascii="Times New Roman" w:hAnsi="Times New Roman" w:cs="Times New Roman"/>
          <w:sz w:val="24"/>
          <w:szCs w:val="24"/>
        </w:rPr>
        <w:t>his work is a distinct example of a scholar utilizing biblical reception history to discuss an area of biblical interpretation that reaches outside the traditional theological bounds. Thus, this can be seen to be a valuable approach within biblical studies as it allows for all areas of biblical interpretation to be equally considered and for scholars to have the freedom to develop into previously unseen and considered areas.</w:t>
      </w:r>
    </w:p>
    <w:p w14:paraId="0E0E22E6" w14:textId="77777777" w:rsidR="00626502" w:rsidRPr="008E5A2F" w:rsidRDefault="00626502" w:rsidP="00626502">
      <w:pPr>
        <w:tabs>
          <w:tab w:val="left" w:pos="1308"/>
        </w:tabs>
        <w:spacing w:line="360" w:lineRule="auto"/>
        <w:rPr>
          <w:rFonts w:ascii="Times New Roman" w:hAnsi="Times New Roman" w:cs="Times New Roman"/>
          <w:sz w:val="24"/>
          <w:szCs w:val="24"/>
          <w:u w:val="single"/>
        </w:rPr>
      </w:pPr>
      <w:r w:rsidRPr="008E5A2F">
        <w:rPr>
          <w:rFonts w:ascii="Times New Roman" w:hAnsi="Times New Roman" w:cs="Times New Roman"/>
          <w:sz w:val="24"/>
          <w:szCs w:val="24"/>
          <w:u w:val="single"/>
        </w:rPr>
        <w:t>Critics of Reception History</w:t>
      </w:r>
    </w:p>
    <w:p w14:paraId="6D695612" w14:textId="7B1CCF5B" w:rsidR="000D1B69" w:rsidRDefault="00626502" w:rsidP="000D1B69">
      <w:pPr>
        <w:tabs>
          <w:tab w:val="left" w:pos="1308"/>
        </w:tabs>
        <w:spacing w:line="360" w:lineRule="auto"/>
        <w:rPr>
          <w:rFonts w:ascii="Times New Roman" w:hAnsi="Times New Roman" w:cs="Times New Roman"/>
          <w:sz w:val="24"/>
          <w:szCs w:val="24"/>
        </w:rPr>
      </w:pPr>
      <w:r>
        <w:rPr>
          <w:rFonts w:ascii="Times New Roman" w:hAnsi="Times New Roman" w:cs="Times New Roman"/>
          <w:sz w:val="24"/>
          <w:szCs w:val="24"/>
        </w:rPr>
        <w:t>While this essay considers the lack of parameters and limits a clearly valuable trait of reception history method</w:t>
      </w:r>
      <w:r w:rsidR="00A7450E">
        <w:rPr>
          <w:rFonts w:ascii="Times New Roman" w:hAnsi="Times New Roman" w:cs="Times New Roman"/>
          <w:sz w:val="24"/>
          <w:szCs w:val="24"/>
        </w:rPr>
        <w:t>, t</w:t>
      </w:r>
      <w:r w:rsidR="00A7450E">
        <w:rPr>
          <w:rFonts w:ascii="Times New Roman" w:hAnsi="Times New Roman" w:cs="Times New Roman"/>
          <w:sz w:val="24"/>
          <w:szCs w:val="24"/>
        </w:rPr>
        <w:t xml:space="preserve">his </w:t>
      </w:r>
      <w:r w:rsidR="00A7450E" w:rsidRPr="008E5A2F">
        <w:rPr>
          <w:rFonts w:ascii="Times New Roman" w:hAnsi="Times New Roman" w:cs="Times New Roman"/>
          <w:sz w:val="24"/>
          <w:szCs w:val="24"/>
        </w:rPr>
        <w:t>aspect has faced criticism and evaluation within certain circles of scholarship.</w:t>
      </w:r>
      <w:r w:rsidR="009A62BB">
        <w:rPr>
          <w:rFonts w:ascii="Times New Roman" w:hAnsi="Times New Roman" w:cs="Times New Roman"/>
          <w:sz w:val="24"/>
          <w:szCs w:val="24"/>
        </w:rPr>
        <w:t xml:space="preserve"> </w:t>
      </w:r>
      <w:r w:rsidR="009A62BB" w:rsidRPr="008E5A2F">
        <w:rPr>
          <w:rFonts w:ascii="Times New Roman" w:hAnsi="Times New Roman" w:cs="Times New Roman"/>
          <w:sz w:val="24"/>
          <w:szCs w:val="24"/>
        </w:rPr>
        <w:t>These scholars raise questions regarding the benefit of the lack of parameters, instead suggesting that this is a hinderance to the overall goal of reception history.</w:t>
      </w:r>
      <w:r w:rsidR="00530DC3">
        <w:rPr>
          <w:rFonts w:ascii="Times New Roman" w:hAnsi="Times New Roman" w:cs="Times New Roman"/>
          <w:sz w:val="24"/>
          <w:szCs w:val="24"/>
        </w:rPr>
        <w:t xml:space="preserve"> </w:t>
      </w:r>
      <w:r w:rsidR="00530DC3">
        <w:rPr>
          <w:rFonts w:ascii="Times New Roman" w:hAnsi="Times New Roman" w:cs="Times New Roman"/>
          <w:sz w:val="24"/>
          <w:szCs w:val="24"/>
        </w:rPr>
        <w:t xml:space="preserve">Stating that </w:t>
      </w:r>
      <w:r w:rsidR="00530DC3" w:rsidRPr="008E5A2F">
        <w:rPr>
          <w:rFonts w:ascii="Times New Roman" w:hAnsi="Times New Roman" w:cs="Times New Roman"/>
          <w:sz w:val="24"/>
          <w:szCs w:val="24"/>
        </w:rPr>
        <w:t>it is too open and can cause confusion in regard to how scholars choose their material, instead limiting scholars while attempting to allow them freedom.</w:t>
      </w:r>
      <w:r w:rsidR="001962F9">
        <w:rPr>
          <w:rFonts w:ascii="Times New Roman" w:hAnsi="Times New Roman" w:cs="Times New Roman"/>
          <w:sz w:val="24"/>
          <w:szCs w:val="24"/>
        </w:rPr>
        <w:t xml:space="preserve"> </w:t>
      </w:r>
      <w:r w:rsidR="001962F9" w:rsidRPr="008E5A2F">
        <w:rPr>
          <w:rFonts w:ascii="Times New Roman" w:hAnsi="Times New Roman" w:cs="Times New Roman"/>
          <w:sz w:val="24"/>
          <w:szCs w:val="24"/>
        </w:rPr>
        <w:t xml:space="preserve">The article, </w:t>
      </w:r>
      <w:r w:rsidR="001962F9" w:rsidRPr="008E5A2F">
        <w:rPr>
          <w:rFonts w:ascii="Times New Roman" w:hAnsi="Times New Roman" w:cs="Times New Roman"/>
          <w:i/>
          <w:iCs/>
          <w:sz w:val="24"/>
          <w:szCs w:val="24"/>
        </w:rPr>
        <w:t xml:space="preserve">Biblical Reception History; A Dangerous Supplement, </w:t>
      </w:r>
      <w:r w:rsidR="001962F9" w:rsidRPr="008E5A2F">
        <w:rPr>
          <w:rFonts w:ascii="Times New Roman" w:hAnsi="Times New Roman" w:cs="Times New Roman"/>
          <w:sz w:val="24"/>
          <w:szCs w:val="24"/>
        </w:rPr>
        <w:t>submitted to the University of Arizona’s online biblical interpretation portal by Robert M Jennings clearly examples this</w:t>
      </w:r>
      <w:r w:rsidR="001962F9">
        <w:rPr>
          <w:rFonts w:ascii="Times New Roman" w:hAnsi="Times New Roman" w:cs="Times New Roman"/>
          <w:sz w:val="24"/>
          <w:szCs w:val="24"/>
        </w:rPr>
        <w:t xml:space="preserve"> area of thought.</w:t>
      </w:r>
      <w:r w:rsidR="000D1B69" w:rsidRPr="000D1B69">
        <w:rPr>
          <w:rFonts w:ascii="Times New Roman" w:hAnsi="Times New Roman" w:cs="Times New Roman"/>
          <w:sz w:val="24"/>
          <w:szCs w:val="24"/>
        </w:rPr>
        <w:t xml:space="preserve"> </w:t>
      </w:r>
      <w:r w:rsidR="000D1B69" w:rsidRPr="008E5A2F">
        <w:rPr>
          <w:rFonts w:ascii="Times New Roman" w:hAnsi="Times New Roman" w:cs="Times New Roman"/>
          <w:sz w:val="24"/>
          <w:szCs w:val="24"/>
        </w:rPr>
        <w:t>Jennings states</w:t>
      </w:r>
      <w:r w:rsidR="000D1B69">
        <w:rPr>
          <w:rFonts w:ascii="Times New Roman" w:hAnsi="Times New Roman" w:cs="Times New Roman"/>
          <w:sz w:val="24"/>
          <w:szCs w:val="24"/>
        </w:rPr>
        <w:t xml:space="preserve"> </w:t>
      </w:r>
      <w:r w:rsidR="000D1B69" w:rsidRPr="008E5A2F">
        <w:rPr>
          <w:rFonts w:ascii="Times New Roman" w:hAnsi="Times New Roman" w:cs="Times New Roman"/>
          <w:sz w:val="24"/>
          <w:szCs w:val="24"/>
        </w:rPr>
        <w:t>that if no material is excluded from reception history</w:t>
      </w:r>
      <w:r w:rsidR="000D1B69">
        <w:rPr>
          <w:rFonts w:ascii="Times New Roman" w:hAnsi="Times New Roman" w:cs="Times New Roman"/>
          <w:sz w:val="24"/>
          <w:szCs w:val="24"/>
        </w:rPr>
        <w:t xml:space="preserve"> </w:t>
      </w:r>
      <w:r w:rsidR="000D1B69" w:rsidRPr="008E5A2F">
        <w:rPr>
          <w:rFonts w:ascii="Times New Roman" w:hAnsi="Times New Roman" w:cs="Times New Roman"/>
          <w:sz w:val="24"/>
          <w:szCs w:val="24"/>
        </w:rPr>
        <w:t xml:space="preserve">“then how does one go about delimiting studies and selecting appropriate data for analysis from among the infinite </w:t>
      </w:r>
      <w:r w:rsidR="000D1B69" w:rsidRPr="008E5A2F">
        <w:rPr>
          <w:rFonts w:ascii="Times New Roman" w:hAnsi="Times New Roman" w:cs="Times New Roman"/>
          <w:sz w:val="24"/>
          <w:szCs w:val="24"/>
        </w:rPr>
        <w:lastRenderedPageBreak/>
        <w:t>possibilities</w:t>
      </w:r>
      <w:r w:rsidR="000D1B69">
        <w:rPr>
          <w:rFonts w:ascii="Times New Roman" w:hAnsi="Times New Roman" w:cs="Times New Roman"/>
          <w:sz w:val="24"/>
          <w:szCs w:val="24"/>
        </w:rPr>
        <w:t>.</w:t>
      </w:r>
      <w:r w:rsidR="000D1B69" w:rsidRPr="008E5A2F">
        <w:rPr>
          <w:rFonts w:ascii="Times New Roman" w:hAnsi="Times New Roman" w:cs="Times New Roman"/>
          <w:sz w:val="24"/>
          <w:szCs w:val="24"/>
        </w:rPr>
        <w:t>”</w:t>
      </w:r>
      <w:r w:rsidR="000D1B69" w:rsidRPr="008E5A2F">
        <w:rPr>
          <w:rStyle w:val="FootnoteReference"/>
          <w:rFonts w:ascii="Times New Roman" w:hAnsi="Times New Roman" w:cs="Times New Roman"/>
          <w:sz w:val="24"/>
          <w:szCs w:val="24"/>
        </w:rPr>
        <w:footnoteReference w:id="9"/>
      </w:r>
      <w:r w:rsidR="000D1B69">
        <w:rPr>
          <w:rFonts w:ascii="Times New Roman" w:hAnsi="Times New Roman" w:cs="Times New Roman"/>
          <w:sz w:val="24"/>
          <w:szCs w:val="24"/>
        </w:rPr>
        <w:t xml:space="preserve"> </w:t>
      </w:r>
      <w:r w:rsidR="000D1B69" w:rsidRPr="008E5A2F">
        <w:rPr>
          <w:rFonts w:ascii="Times New Roman" w:hAnsi="Times New Roman" w:cs="Times New Roman"/>
          <w:sz w:val="24"/>
          <w:szCs w:val="24"/>
        </w:rPr>
        <w:t xml:space="preserve">Jennings </w:t>
      </w:r>
      <w:r w:rsidR="000D1B69">
        <w:rPr>
          <w:rFonts w:ascii="Times New Roman" w:hAnsi="Times New Roman" w:cs="Times New Roman"/>
          <w:sz w:val="24"/>
          <w:szCs w:val="24"/>
        </w:rPr>
        <w:t xml:space="preserve">suggests </w:t>
      </w:r>
      <w:r w:rsidR="000D1B69" w:rsidRPr="008E5A2F">
        <w:rPr>
          <w:rFonts w:ascii="Times New Roman" w:hAnsi="Times New Roman" w:cs="Times New Roman"/>
          <w:sz w:val="24"/>
          <w:szCs w:val="24"/>
        </w:rPr>
        <w:t>that this freedom granted to reception history scholars, instead limits them.</w:t>
      </w:r>
      <w:r w:rsidR="000D1B69">
        <w:rPr>
          <w:rFonts w:ascii="Times New Roman" w:hAnsi="Times New Roman" w:cs="Times New Roman"/>
          <w:sz w:val="24"/>
          <w:szCs w:val="24"/>
        </w:rPr>
        <w:t xml:space="preserve"> Confusing how they select material as there is a lack of structure. </w:t>
      </w:r>
      <w:r w:rsidR="000D1B69" w:rsidRPr="008E5A2F">
        <w:rPr>
          <w:rFonts w:ascii="Times New Roman" w:hAnsi="Times New Roman" w:cs="Times New Roman"/>
          <w:sz w:val="24"/>
          <w:szCs w:val="24"/>
        </w:rPr>
        <w:t>It raises questions on how scholars should choose their material and begin their studies.</w:t>
      </w:r>
    </w:p>
    <w:p w14:paraId="25450E04" w14:textId="77777777" w:rsidR="00FE65FB" w:rsidRPr="008E5A2F" w:rsidRDefault="000D1B69" w:rsidP="00FE65FB">
      <w:pPr>
        <w:tabs>
          <w:tab w:val="left" w:pos="1308"/>
        </w:tabs>
        <w:spacing w:line="360" w:lineRule="auto"/>
        <w:rPr>
          <w:rFonts w:ascii="Times New Roman" w:hAnsi="Times New Roman" w:cs="Times New Roman"/>
          <w:sz w:val="24"/>
          <w:szCs w:val="24"/>
        </w:rPr>
      </w:pPr>
      <w:r>
        <w:rPr>
          <w:rFonts w:ascii="Times New Roman" w:hAnsi="Times New Roman" w:cs="Times New Roman"/>
          <w:sz w:val="24"/>
          <w:szCs w:val="24"/>
        </w:rPr>
        <w:t>H</w:t>
      </w:r>
      <w:r w:rsidRPr="008E5A2F">
        <w:rPr>
          <w:rFonts w:ascii="Times New Roman" w:hAnsi="Times New Roman" w:cs="Times New Roman"/>
          <w:sz w:val="24"/>
          <w:szCs w:val="24"/>
        </w:rPr>
        <w:t>owever</w:t>
      </w:r>
      <w:r>
        <w:rPr>
          <w:rFonts w:ascii="Times New Roman" w:hAnsi="Times New Roman" w:cs="Times New Roman"/>
          <w:sz w:val="24"/>
          <w:szCs w:val="24"/>
        </w:rPr>
        <w:t>,</w:t>
      </w:r>
      <w:r w:rsidRPr="008E5A2F">
        <w:rPr>
          <w:rFonts w:ascii="Times New Roman" w:hAnsi="Times New Roman" w:cs="Times New Roman"/>
          <w:sz w:val="24"/>
          <w:szCs w:val="24"/>
        </w:rPr>
        <w:t xml:space="preserve"> it can be argued that this problem is necessary in order to allow scholars to bring their own context to reception history and to continue to develop biblical studies.</w:t>
      </w:r>
      <w:r>
        <w:rPr>
          <w:rFonts w:ascii="Times New Roman" w:hAnsi="Times New Roman" w:cs="Times New Roman"/>
          <w:sz w:val="24"/>
          <w:szCs w:val="24"/>
        </w:rPr>
        <w:t xml:space="preserve"> </w:t>
      </w:r>
      <w:r w:rsidRPr="008E5A2F">
        <w:rPr>
          <w:rFonts w:ascii="Times New Roman" w:hAnsi="Times New Roman" w:cs="Times New Roman"/>
          <w:sz w:val="24"/>
          <w:szCs w:val="24"/>
        </w:rPr>
        <w:t>Robert’s work continues to bring attention to this</w:t>
      </w:r>
      <w:r>
        <w:rPr>
          <w:rFonts w:ascii="Times New Roman" w:hAnsi="Times New Roman" w:cs="Times New Roman"/>
          <w:sz w:val="24"/>
          <w:szCs w:val="24"/>
        </w:rPr>
        <w:t xml:space="preserve">, </w:t>
      </w:r>
      <w:r w:rsidRPr="008E5A2F">
        <w:rPr>
          <w:rFonts w:ascii="Times New Roman" w:hAnsi="Times New Roman" w:cs="Times New Roman"/>
          <w:sz w:val="24"/>
          <w:szCs w:val="24"/>
        </w:rPr>
        <w:t>he explains that each interpreter brings their own angle and context to the influence of biblical texts.</w:t>
      </w:r>
      <w:r>
        <w:rPr>
          <w:rFonts w:ascii="Times New Roman" w:hAnsi="Times New Roman" w:cs="Times New Roman"/>
          <w:sz w:val="24"/>
          <w:szCs w:val="24"/>
        </w:rPr>
        <w:t xml:space="preserve"> </w:t>
      </w:r>
      <w:r w:rsidRPr="008E5A2F">
        <w:rPr>
          <w:rFonts w:ascii="Times New Roman" w:hAnsi="Times New Roman" w:cs="Times New Roman"/>
          <w:sz w:val="24"/>
          <w:szCs w:val="24"/>
        </w:rPr>
        <w:t>He states that reception history aims to recognise “living relationship between texts and readers.”</w:t>
      </w:r>
      <w:r w:rsidRPr="008E5A2F">
        <w:rPr>
          <w:rStyle w:val="FootnoteReference"/>
          <w:rFonts w:ascii="Times New Roman" w:hAnsi="Times New Roman" w:cs="Times New Roman"/>
          <w:sz w:val="24"/>
          <w:szCs w:val="24"/>
        </w:rPr>
        <w:footnoteReference w:id="10"/>
      </w:r>
      <w:r w:rsidRPr="008E5A2F">
        <w:rPr>
          <w:rFonts w:ascii="Times New Roman" w:hAnsi="Times New Roman" w:cs="Times New Roman"/>
          <w:sz w:val="24"/>
          <w:szCs w:val="24"/>
        </w:rPr>
        <w:t xml:space="preserve"> Therefore, this essay argues that in order to accurately recognise and portray this relationship, this lack of parameters is necessary.</w:t>
      </w:r>
      <w:r>
        <w:rPr>
          <w:rFonts w:ascii="Times New Roman" w:hAnsi="Times New Roman" w:cs="Times New Roman"/>
          <w:sz w:val="24"/>
          <w:szCs w:val="24"/>
        </w:rPr>
        <w:t xml:space="preserve"> </w:t>
      </w:r>
      <w:r w:rsidRPr="008E5A2F">
        <w:rPr>
          <w:rFonts w:ascii="Times New Roman" w:hAnsi="Times New Roman" w:cs="Times New Roman"/>
          <w:sz w:val="24"/>
          <w:szCs w:val="24"/>
        </w:rPr>
        <w:t>Through this method, the scholar is able to approach their material in a way that suits them and their particular unique interests, they can choose from “that infinite wealth of reception material in accordance with the particular interests of the historian concerned.”</w:t>
      </w:r>
      <w:r w:rsidRPr="008E5A2F">
        <w:rPr>
          <w:rStyle w:val="FootnoteReference"/>
          <w:rFonts w:ascii="Times New Roman" w:hAnsi="Times New Roman" w:cs="Times New Roman"/>
          <w:sz w:val="24"/>
          <w:szCs w:val="24"/>
        </w:rPr>
        <w:footnoteReference w:id="11"/>
      </w:r>
      <w:r w:rsidR="00354DC8" w:rsidRPr="00354DC8">
        <w:rPr>
          <w:rFonts w:ascii="Times New Roman" w:hAnsi="Times New Roman" w:cs="Times New Roman"/>
          <w:sz w:val="24"/>
          <w:szCs w:val="24"/>
        </w:rPr>
        <w:t xml:space="preserve"> </w:t>
      </w:r>
      <w:r w:rsidR="00354DC8">
        <w:rPr>
          <w:rFonts w:ascii="Times New Roman" w:hAnsi="Times New Roman" w:cs="Times New Roman"/>
          <w:sz w:val="24"/>
          <w:szCs w:val="24"/>
        </w:rPr>
        <w:t>T</w:t>
      </w:r>
      <w:r w:rsidR="00354DC8" w:rsidRPr="008E5A2F">
        <w:rPr>
          <w:rFonts w:ascii="Times New Roman" w:hAnsi="Times New Roman" w:cs="Times New Roman"/>
          <w:sz w:val="24"/>
          <w:szCs w:val="24"/>
        </w:rPr>
        <w:t>his confusion is not an unavoidable hinderance but a challenge that each scholar can tackle in a way that benefits them in order to choose their material.</w:t>
      </w:r>
      <w:r w:rsidR="00354DC8">
        <w:rPr>
          <w:rFonts w:ascii="Times New Roman" w:hAnsi="Times New Roman" w:cs="Times New Roman"/>
          <w:sz w:val="24"/>
          <w:szCs w:val="24"/>
        </w:rPr>
        <w:t xml:space="preserve"> </w:t>
      </w:r>
      <w:r w:rsidR="00FE65FB" w:rsidRPr="008E5A2F">
        <w:rPr>
          <w:rFonts w:ascii="Times New Roman" w:hAnsi="Times New Roman" w:cs="Times New Roman"/>
          <w:sz w:val="24"/>
          <w:szCs w:val="24"/>
        </w:rPr>
        <w:t xml:space="preserve">This challenge is necessary so that scholars are able to bring their context and distinctive approaches to biblical reception history. </w:t>
      </w:r>
      <w:r w:rsidR="00FE65FB">
        <w:rPr>
          <w:rFonts w:ascii="Times New Roman" w:hAnsi="Times New Roman" w:cs="Times New Roman"/>
          <w:sz w:val="24"/>
          <w:szCs w:val="24"/>
        </w:rPr>
        <w:t xml:space="preserve">Too much structure and limits would have an adverse effect on scholars and would perhaps limit scholars as much as traditional methods. </w:t>
      </w:r>
    </w:p>
    <w:p w14:paraId="20E16F6B" w14:textId="77777777" w:rsidR="00B144E0" w:rsidRPr="008E5A2F" w:rsidRDefault="00B144E0" w:rsidP="00B144E0">
      <w:pPr>
        <w:tabs>
          <w:tab w:val="left" w:pos="1308"/>
        </w:tabs>
        <w:spacing w:line="360" w:lineRule="auto"/>
        <w:rPr>
          <w:rFonts w:ascii="Times New Roman" w:hAnsi="Times New Roman" w:cs="Times New Roman"/>
          <w:sz w:val="24"/>
          <w:szCs w:val="24"/>
          <w:u w:val="single"/>
        </w:rPr>
      </w:pPr>
      <w:r w:rsidRPr="008E5A2F">
        <w:rPr>
          <w:rFonts w:ascii="Times New Roman" w:hAnsi="Times New Roman" w:cs="Times New Roman"/>
          <w:sz w:val="24"/>
          <w:szCs w:val="24"/>
          <w:u w:val="single"/>
        </w:rPr>
        <w:t xml:space="preserve">Conclusion </w:t>
      </w:r>
    </w:p>
    <w:p w14:paraId="57406BEC" w14:textId="0904F027" w:rsidR="00C14F32" w:rsidRDefault="00B144E0" w:rsidP="00C14F32">
      <w:pPr>
        <w:tabs>
          <w:tab w:val="left" w:pos="1308"/>
        </w:tabs>
        <w:spacing w:line="360" w:lineRule="auto"/>
        <w:rPr>
          <w:rFonts w:ascii="Times New Roman" w:hAnsi="Times New Roman" w:cs="Times New Roman"/>
          <w:sz w:val="24"/>
          <w:szCs w:val="24"/>
        </w:rPr>
      </w:pPr>
      <w:r w:rsidRPr="008E5A2F">
        <w:rPr>
          <w:rFonts w:ascii="Times New Roman" w:hAnsi="Times New Roman" w:cs="Times New Roman"/>
          <w:sz w:val="24"/>
          <w:szCs w:val="24"/>
        </w:rPr>
        <w:t>Overall, biblical reception history is a valuable method that benefits larger biblical studies.</w:t>
      </w:r>
      <w:r>
        <w:rPr>
          <w:rFonts w:ascii="Times New Roman" w:hAnsi="Times New Roman" w:cs="Times New Roman"/>
          <w:sz w:val="24"/>
          <w:szCs w:val="24"/>
        </w:rPr>
        <w:t xml:space="preserve"> </w:t>
      </w:r>
      <w:r w:rsidRPr="008E5A2F">
        <w:rPr>
          <w:rFonts w:ascii="Times New Roman" w:hAnsi="Times New Roman" w:cs="Times New Roman"/>
          <w:sz w:val="24"/>
          <w:szCs w:val="24"/>
        </w:rPr>
        <w:t>It is an approach that allows the unique and specialised view of scholars to have a respected place amongst scholarship.</w:t>
      </w:r>
      <w:r>
        <w:rPr>
          <w:rFonts w:ascii="Times New Roman" w:hAnsi="Times New Roman" w:cs="Times New Roman"/>
          <w:sz w:val="24"/>
          <w:szCs w:val="24"/>
        </w:rPr>
        <w:t xml:space="preserve"> </w:t>
      </w:r>
      <w:r w:rsidR="00B41536" w:rsidRPr="008E5A2F">
        <w:rPr>
          <w:rFonts w:ascii="Times New Roman" w:hAnsi="Times New Roman" w:cs="Times New Roman"/>
          <w:sz w:val="24"/>
          <w:szCs w:val="24"/>
        </w:rPr>
        <w:t>This is achieved through the acceptance of a diverse and varied array of material that aims to move through traditional methods that previously maintained and dominated biblical studies.</w:t>
      </w:r>
      <w:r w:rsidR="00A37814" w:rsidRPr="00A37814">
        <w:rPr>
          <w:rFonts w:ascii="Times New Roman" w:hAnsi="Times New Roman" w:cs="Times New Roman"/>
          <w:sz w:val="24"/>
          <w:szCs w:val="24"/>
        </w:rPr>
        <w:t xml:space="preserve"> </w:t>
      </w:r>
      <w:r w:rsidR="00A37814" w:rsidRPr="008E5A2F">
        <w:rPr>
          <w:rFonts w:ascii="Times New Roman" w:hAnsi="Times New Roman" w:cs="Times New Roman"/>
          <w:sz w:val="24"/>
          <w:szCs w:val="24"/>
        </w:rPr>
        <w:t>Such as theological readings and concerns over the origins of biblical texts. This allows scholars to expand their ideas and select their own limitations and boundaries over what to study, that accurately reflects their interests.</w:t>
      </w:r>
      <w:r w:rsidR="00C14F32" w:rsidRPr="00C14F32">
        <w:rPr>
          <w:rFonts w:ascii="Times New Roman" w:hAnsi="Times New Roman" w:cs="Times New Roman"/>
          <w:sz w:val="24"/>
          <w:szCs w:val="24"/>
        </w:rPr>
        <w:t xml:space="preserve"> </w:t>
      </w:r>
      <w:r w:rsidR="00C14F32">
        <w:rPr>
          <w:rFonts w:ascii="Times New Roman" w:hAnsi="Times New Roman" w:cs="Times New Roman"/>
          <w:sz w:val="24"/>
          <w:szCs w:val="24"/>
        </w:rPr>
        <w:t>S</w:t>
      </w:r>
      <w:r w:rsidR="00C14F32" w:rsidRPr="008E5A2F">
        <w:rPr>
          <w:rFonts w:ascii="Times New Roman" w:hAnsi="Times New Roman" w:cs="Times New Roman"/>
          <w:sz w:val="24"/>
          <w:szCs w:val="24"/>
        </w:rPr>
        <w:t xml:space="preserve">cholars are allowed to draw on their intrinsic view of biblical reception and draw from their own experiences and worldview. While some may regard this method as too open ended and lacking direction that </w:t>
      </w:r>
      <w:r w:rsidR="00C14F32" w:rsidRPr="008E5A2F">
        <w:rPr>
          <w:rFonts w:ascii="Times New Roman" w:hAnsi="Times New Roman" w:cs="Times New Roman"/>
          <w:sz w:val="24"/>
          <w:szCs w:val="24"/>
        </w:rPr>
        <w:lastRenderedPageBreak/>
        <w:t>instead limits scholars, as there is too many options and a lack of structure when selecting material. This is a necessary function in order to fully appreciate and allow scholars this privilege, or freedom, to choose and develop in the way they see fit. This is a challenge that scholars can overcome through their own choices and methods.</w:t>
      </w:r>
      <w:r w:rsidR="00C14F32">
        <w:rPr>
          <w:rFonts w:ascii="Times New Roman" w:hAnsi="Times New Roman" w:cs="Times New Roman"/>
          <w:sz w:val="24"/>
          <w:szCs w:val="24"/>
        </w:rPr>
        <w:t xml:space="preserve"> Therefore, this essay promotes the notion that this method is one that is greatly valuable to biblical studies as it allows the area to continually develop. Past the limits of what is traditionally considered interpretation and instead accurately reflecting the worldview of scholars</w:t>
      </w:r>
      <w:r w:rsidR="00C14F32">
        <w:rPr>
          <w:rFonts w:ascii="Times New Roman" w:hAnsi="Times New Roman" w:cs="Times New Roman"/>
          <w:sz w:val="24"/>
          <w:szCs w:val="24"/>
        </w:rPr>
        <w:t xml:space="preserve"> and their relationship to the text. </w:t>
      </w:r>
    </w:p>
    <w:p w14:paraId="5A1E7696" w14:textId="77777777" w:rsidR="001D243C" w:rsidRPr="008E5A2F" w:rsidRDefault="001D243C" w:rsidP="001D243C">
      <w:pPr>
        <w:tabs>
          <w:tab w:val="left" w:pos="1308"/>
        </w:tabs>
        <w:spacing w:line="360" w:lineRule="auto"/>
        <w:rPr>
          <w:rFonts w:ascii="Times New Roman" w:hAnsi="Times New Roman" w:cs="Times New Roman"/>
          <w:sz w:val="24"/>
          <w:szCs w:val="24"/>
          <w:u w:val="single"/>
        </w:rPr>
      </w:pPr>
      <w:r w:rsidRPr="008E5A2F">
        <w:rPr>
          <w:rFonts w:ascii="Times New Roman" w:hAnsi="Times New Roman" w:cs="Times New Roman"/>
          <w:sz w:val="24"/>
          <w:szCs w:val="24"/>
          <w:u w:val="single"/>
        </w:rPr>
        <w:t>Words: 150</w:t>
      </w:r>
      <w:r>
        <w:rPr>
          <w:rFonts w:ascii="Times New Roman" w:hAnsi="Times New Roman" w:cs="Times New Roman"/>
          <w:sz w:val="24"/>
          <w:szCs w:val="24"/>
          <w:u w:val="single"/>
        </w:rPr>
        <w:t>7.</w:t>
      </w:r>
    </w:p>
    <w:p w14:paraId="40DC2FB1" w14:textId="77777777" w:rsidR="001D243C" w:rsidRPr="008E5A2F" w:rsidRDefault="001D243C" w:rsidP="00C14F32">
      <w:pPr>
        <w:tabs>
          <w:tab w:val="left" w:pos="1308"/>
        </w:tabs>
        <w:spacing w:line="360" w:lineRule="auto"/>
        <w:rPr>
          <w:rFonts w:ascii="Times New Roman" w:hAnsi="Times New Roman" w:cs="Times New Roman"/>
          <w:sz w:val="24"/>
          <w:szCs w:val="24"/>
        </w:rPr>
      </w:pPr>
    </w:p>
    <w:p w14:paraId="788E0D78" w14:textId="5D791E97" w:rsidR="00275473" w:rsidRDefault="00275473" w:rsidP="003E0322">
      <w:pPr>
        <w:tabs>
          <w:tab w:val="left" w:pos="1308"/>
        </w:tabs>
        <w:spacing w:line="360" w:lineRule="auto"/>
        <w:rPr>
          <w:rFonts w:ascii="Times New Roman" w:hAnsi="Times New Roman" w:cs="Times New Roman"/>
          <w:sz w:val="24"/>
          <w:szCs w:val="24"/>
        </w:rPr>
      </w:pPr>
    </w:p>
    <w:p w14:paraId="51089254" w14:textId="77777777" w:rsidR="003E0322" w:rsidRDefault="003E0322" w:rsidP="003514E7">
      <w:pPr>
        <w:tabs>
          <w:tab w:val="left" w:pos="1308"/>
        </w:tabs>
        <w:spacing w:line="360" w:lineRule="auto"/>
        <w:rPr>
          <w:rFonts w:ascii="Times New Roman" w:hAnsi="Times New Roman" w:cs="Times New Roman"/>
          <w:sz w:val="24"/>
          <w:szCs w:val="24"/>
        </w:rPr>
      </w:pPr>
    </w:p>
    <w:p w14:paraId="2373683A" w14:textId="77777777" w:rsidR="00C3339A" w:rsidRDefault="00C3339A" w:rsidP="003514E7">
      <w:pPr>
        <w:tabs>
          <w:tab w:val="left" w:pos="1308"/>
        </w:tabs>
        <w:spacing w:line="360" w:lineRule="auto"/>
        <w:rPr>
          <w:rFonts w:ascii="Times New Roman" w:hAnsi="Times New Roman" w:cs="Times New Roman"/>
          <w:sz w:val="24"/>
          <w:szCs w:val="24"/>
        </w:rPr>
      </w:pPr>
    </w:p>
    <w:p w14:paraId="4348A452" w14:textId="77777777" w:rsidR="00C3339A" w:rsidRDefault="00C3339A" w:rsidP="003514E7">
      <w:pPr>
        <w:tabs>
          <w:tab w:val="left" w:pos="1308"/>
        </w:tabs>
        <w:spacing w:line="360" w:lineRule="auto"/>
        <w:rPr>
          <w:rFonts w:ascii="Times New Roman" w:hAnsi="Times New Roman" w:cs="Times New Roman"/>
          <w:sz w:val="24"/>
          <w:szCs w:val="24"/>
        </w:rPr>
      </w:pPr>
    </w:p>
    <w:p w14:paraId="7F11331B" w14:textId="77777777" w:rsidR="00C3339A" w:rsidRDefault="00C3339A" w:rsidP="003514E7">
      <w:pPr>
        <w:tabs>
          <w:tab w:val="left" w:pos="1308"/>
        </w:tabs>
        <w:spacing w:line="360" w:lineRule="auto"/>
        <w:rPr>
          <w:rFonts w:ascii="Times New Roman" w:hAnsi="Times New Roman" w:cs="Times New Roman"/>
          <w:sz w:val="24"/>
          <w:szCs w:val="24"/>
        </w:rPr>
      </w:pPr>
    </w:p>
    <w:p w14:paraId="7BC7307D" w14:textId="77777777" w:rsidR="00C3339A" w:rsidRDefault="00C3339A" w:rsidP="003514E7">
      <w:pPr>
        <w:tabs>
          <w:tab w:val="left" w:pos="1308"/>
        </w:tabs>
        <w:spacing w:line="360" w:lineRule="auto"/>
        <w:rPr>
          <w:rFonts w:ascii="Times New Roman" w:hAnsi="Times New Roman" w:cs="Times New Roman"/>
          <w:sz w:val="24"/>
          <w:szCs w:val="24"/>
        </w:rPr>
      </w:pPr>
    </w:p>
    <w:p w14:paraId="39789566" w14:textId="77777777" w:rsidR="00C3339A" w:rsidRDefault="00C3339A" w:rsidP="003514E7">
      <w:pPr>
        <w:tabs>
          <w:tab w:val="left" w:pos="1308"/>
        </w:tabs>
        <w:spacing w:line="360" w:lineRule="auto"/>
        <w:rPr>
          <w:rFonts w:ascii="Times New Roman" w:hAnsi="Times New Roman" w:cs="Times New Roman"/>
          <w:sz w:val="24"/>
          <w:szCs w:val="24"/>
        </w:rPr>
      </w:pPr>
    </w:p>
    <w:p w14:paraId="73EA854C" w14:textId="77777777" w:rsidR="00C3339A" w:rsidRDefault="00C3339A" w:rsidP="003514E7">
      <w:pPr>
        <w:tabs>
          <w:tab w:val="left" w:pos="1308"/>
        </w:tabs>
        <w:spacing w:line="360" w:lineRule="auto"/>
        <w:rPr>
          <w:rFonts w:ascii="Times New Roman" w:hAnsi="Times New Roman" w:cs="Times New Roman"/>
          <w:sz w:val="24"/>
          <w:szCs w:val="24"/>
        </w:rPr>
      </w:pPr>
    </w:p>
    <w:p w14:paraId="7386474F" w14:textId="77777777" w:rsidR="00C3339A" w:rsidRDefault="00C3339A" w:rsidP="003514E7">
      <w:pPr>
        <w:tabs>
          <w:tab w:val="left" w:pos="1308"/>
        </w:tabs>
        <w:spacing w:line="360" w:lineRule="auto"/>
        <w:rPr>
          <w:rFonts w:ascii="Times New Roman" w:hAnsi="Times New Roman" w:cs="Times New Roman"/>
          <w:sz w:val="24"/>
          <w:szCs w:val="24"/>
        </w:rPr>
      </w:pPr>
    </w:p>
    <w:p w14:paraId="73088A48" w14:textId="77777777" w:rsidR="00C3339A" w:rsidRDefault="00C3339A" w:rsidP="003514E7">
      <w:pPr>
        <w:tabs>
          <w:tab w:val="left" w:pos="1308"/>
        </w:tabs>
        <w:spacing w:line="360" w:lineRule="auto"/>
        <w:rPr>
          <w:rFonts w:ascii="Times New Roman" w:hAnsi="Times New Roman" w:cs="Times New Roman"/>
          <w:sz w:val="24"/>
          <w:szCs w:val="24"/>
        </w:rPr>
      </w:pPr>
    </w:p>
    <w:p w14:paraId="0C5AB04A" w14:textId="77777777" w:rsidR="00C3339A" w:rsidRDefault="00C3339A" w:rsidP="003514E7">
      <w:pPr>
        <w:tabs>
          <w:tab w:val="left" w:pos="1308"/>
        </w:tabs>
        <w:spacing w:line="360" w:lineRule="auto"/>
        <w:rPr>
          <w:rFonts w:ascii="Times New Roman" w:hAnsi="Times New Roman" w:cs="Times New Roman"/>
          <w:sz w:val="24"/>
          <w:szCs w:val="24"/>
        </w:rPr>
      </w:pPr>
    </w:p>
    <w:p w14:paraId="712FD4FB" w14:textId="77777777" w:rsidR="00C3339A" w:rsidRDefault="00C3339A" w:rsidP="003514E7">
      <w:pPr>
        <w:tabs>
          <w:tab w:val="left" w:pos="1308"/>
        </w:tabs>
        <w:spacing w:line="360" w:lineRule="auto"/>
        <w:rPr>
          <w:rFonts w:ascii="Times New Roman" w:hAnsi="Times New Roman" w:cs="Times New Roman"/>
          <w:sz w:val="24"/>
          <w:szCs w:val="24"/>
        </w:rPr>
      </w:pPr>
    </w:p>
    <w:p w14:paraId="573AA307" w14:textId="77777777" w:rsidR="00C3339A" w:rsidRDefault="00C3339A" w:rsidP="003514E7">
      <w:pPr>
        <w:tabs>
          <w:tab w:val="left" w:pos="1308"/>
        </w:tabs>
        <w:spacing w:line="360" w:lineRule="auto"/>
        <w:rPr>
          <w:rFonts w:ascii="Times New Roman" w:hAnsi="Times New Roman" w:cs="Times New Roman"/>
          <w:sz w:val="24"/>
          <w:szCs w:val="24"/>
        </w:rPr>
      </w:pPr>
    </w:p>
    <w:p w14:paraId="65031AE2" w14:textId="77777777" w:rsidR="00C3339A" w:rsidRDefault="00C3339A" w:rsidP="003514E7">
      <w:pPr>
        <w:tabs>
          <w:tab w:val="left" w:pos="1308"/>
        </w:tabs>
        <w:spacing w:line="360" w:lineRule="auto"/>
        <w:rPr>
          <w:rFonts w:ascii="Times New Roman" w:hAnsi="Times New Roman" w:cs="Times New Roman"/>
          <w:sz w:val="24"/>
          <w:szCs w:val="24"/>
        </w:rPr>
      </w:pPr>
    </w:p>
    <w:p w14:paraId="6B258683" w14:textId="77777777" w:rsidR="00C3339A" w:rsidRDefault="00C3339A" w:rsidP="003514E7">
      <w:pPr>
        <w:tabs>
          <w:tab w:val="left" w:pos="1308"/>
        </w:tabs>
        <w:spacing w:line="360" w:lineRule="auto"/>
        <w:rPr>
          <w:rFonts w:ascii="Times New Roman" w:hAnsi="Times New Roman" w:cs="Times New Roman"/>
          <w:sz w:val="24"/>
          <w:szCs w:val="24"/>
        </w:rPr>
      </w:pPr>
    </w:p>
    <w:p w14:paraId="61AD906F" w14:textId="77777777" w:rsidR="00C3339A" w:rsidRPr="008E5A2F" w:rsidRDefault="00C3339A" w:rsidP="00C3339A">
      <w:pPr>
        <w:spacing w:line="360" w:lineRule="auto"/>
        <w:rPr>
          <w:rFonts w:ascii="Times New Roman" w:hAnsi="Times New Roman" w:cs="Times New Roman"/>
          <w:sz w:val="24"/>
          <w:szCs w:val="24"/>
          <w:u w:val="single"/>
          <w:lang w:val="en-US"/>
        </w:rPr>
      </w:pPr>
      <w:r w:rsidRPr="008E5A2F">
        <w:rPr>
          <w:rFonts w:ascii="Times New Roman" w:hAnsi="Times New Roman" w:cs="Times New Roman"/>
          <w:sz w:val="24"/>
          <w:szCs w:val="24"/>
          <w:u w:val="single"/>
          <w:lang w:val="en-US"/>
        </w:rPr>
        <w:lastRenderedPageBreak/>
        <w:t>Bibliography</w:t>
      </w:r>
    </w:p>
    <w:p w14:paraId="5A8AE317" w14:textId="77777777" w:rsidR="00C3339A" w:rsidRPr="008E5A2F" w:rsidRDefault="00C3339A" w:rsidP="00C3339A">
      <w:pPr>
        <w:spacing w:line="360" w:lineRule="auto"/>
        <w:rPr>
          <w:rFonts w:ascii="Times New Roman" w:hAnsi="Times New Roman" w:cs="Times New Roman"/>
          <w:sz w:val="24"/>
          <w:szCs w:val="24"/>
          <w:lang w:val="en-US"/>
        </w:rPr>
      </w:pPr>
      <w:r w:rsidRPr="008E5A2F">
        <w:rPr>
          <w:rFonts w:ascii="Times New Roman" w:hAnsi="Times New Roman" w:cs="Times New Roman"/>
          <w:sz w:val="24"/>
          <w:szCs w:val="24"/>
          <w:lang w:val="en-US"/>
        </w:rPr>
        <w:t xml:space="preserve">Beal, T (2011), ‘Reception History and Beyond: Toward the Cultural History of Scriptures’, </w:t>
      </w:r>
      <w:r w:rsidRPr="008E5A2F">
        <w:rPr>
          <w:rFonts w:ascii="Times New Roman" w:hAnsi="Times New Roman" w:cs="Times New Roman"/>
          <w:i/>
          <w:iCs/>
          <w:sz w:val="24"/>
          <w:szCs w:val="24"/>
          <w:lang w:val="en-US"/>
        </w:rPr>
        <w:t xml:space="preserve">Biblical Interpretation, </w:t>
      </w:r>
      <w:r w:rsidRPr="008E5A2F">
        <w:rPr>
          <w:rFonts w:ascii="Times New Roman" w:hAnsi="Times New Roman" w:cs="Times New Roman"/>
          <w:sz w:val="24"/>
          <w:szCs w:val="24"/>
          <w:lang w:val="en-US"/>
        </w:rPr>
        <w:t xml:space="preserve">Vol 19 (4-5) pp. 357-372. </w:t>
      </w:r>
    </w:p>
    <w:p w14:paraId="1D36D15C" w14:textId="77777777" w:rsidR="00C3339A" w:rsidRPr="008E5A2F" w:rsidRDefault="00C3339A" w:rsidP="00C3339A">
      <w:pPr>
        <w:spacing w:line="360" w:lineRule="auto"/>
        <w:rPr>
          <w:rFonts w:ascii="Times New Roman" w:hAnsi="Times New Roman" w:cs="Times New Roman"/>
          <w:sz w:val="24"/>
          <w:szCs w:val="24"/>
          <w:lang w:val="en-US"/>
        </w:rPr>
      </w:pPr>
      <w:r w:rsidRPr="008E5A2F">
        <w:rPr>
          <w:rFonts w:ascii="Times New Roman" w:hAnsi="Times New Roman" w:cs="Times New Roman"/>
          <w:sz w:val="24"/>
          <w:szCs w:val="24"/>
          <w:lang w:val="en-US"/>
        </w:rPr>
        <w:t xml:space="preserve">Breed, B. W (2014) </w:t>
      </w:r>
      <w:r w:rsidRPr="008E5A2F">
        <w:rPr>
          <w:rFonts w:ascii="Times New Roman" w:hAnsi="Times New Roman" w:cs="Times New Roman"/>
          <w:i/>
          <w:iCs/>
          <w:sz w:val="24"/>
          <w:szCs w:val="24"/>
          <w:lang w:val="en-US"/>
        </w:rPr>
        <w:t xml:space="preserve">Nomadic Text: A Theory of Biblical Reception History, </w:t>
      </w:r>
      <w:r w:rsidRPr="008E5A2F">
        <w:rPr>
          <w:rFonts w:ascii="Times New Roman" w:hAnsi="Times New Roman" w:cs="Times New Roman"/>
          <w:sz w:val="24"/>
          <w:szCs w:val="24"/>
          <w:lang w:val="en-US"/>
        </w:rPr>
        <w:t xml:space="preserve">Indiana: Indiana University Press. </w:t>
      </w:r>
    </w:p>
    <w:p w14:paraId="5B0A6E64" w14:textId="77777777" w:rsidR="00C3339A" w:rsidRPr="008E5A2F" w:rsidRDefault="00C3339A" w:rsidP="00C3339A">
      <w:pPr>
        <w:spacing w:line="360" w:lineRule="auto"/>
        <w:rPr>
          <w:rFonts w:ascii="Times New Roman" w:hAnsi="Times New Roman" w:cs="Times New Roman"/>
          <w:sz w:val="24"/>
          <w:szCs w:val="24"/>
          <w:lang w:val="en-US"/>
        </w:rPr>
      </w:pPr>
      <w:r w:rsidRPr="008E5A2F">
        <w:rPr>
          <w:rFonts w:ascii="Times New Roman" w:hAnsi="Times New Roman" w:cs="Times New Roman"/>
          <w:sz w:val="24"/>
          <w:szCs w:val="24"/>
          <w:lang w:val="en-US"/>
        </w:rPr>
        <w:t xml:space="preserve">Gilmour, </w:t>
      </w:r>
      <w:r>
        <w:rPr>
          <w:rFonts w:ascii="Times New Roman" w:hAnsi="Times New Roman" w:cs="Times New Roman"/>
          <w:sz w:val="24"/>
          <w:szCs w:val="24"/>
          <w:lang w:val="en-US"/>
        </w:rPr>
        <w:t>M</w:t>
      </w:r>
      <w:r w:rsidRPr="008E5A2F">
        <w:rPr>
          <w:rFonts w:ascii="Times New Roman" w:hAnsi="Times New Roman" w:cs="Times New Roman"/>
          <w:sz w:val="24"/>
          <w:szCs w:val="24"/>
          <w:lang w:val="en-US"/>
        </w:rPr>
        <w:t xml:space="preserve">. J (2011) ‘Bob Dylan’s Bible’ in </w:t>
      </w:r>
      <w:r w:rsidRPr="008E5A2F">
        <w:rPr>
          <w:rFonts w:ascii="Times New Roman" w:hAnsi="Times New Roman" w:cs="Times New Roman"/>
          <w:i/>
          <w:iCs/>
          <w:sz w:val="24"/>
          <w:szCs w:val="24"/>
          <w:lang w:val="en-US"/>
        </w:rPr>
        <w:t xml:space="preserve">The Oxford Handbook of the Reception History of the Bible, </w:t>
      </w:r>
      <w:r w:rsidRPr="008E5A2F">
        <w:rPr>
          <w:rFonts w:ascii="Times New Roman" w:hAnsi="Times New Roman" w:cs="Times New Roman"/>
          <w:sz w:val="24"/>
          <w:szCs w:val="24"/>
          <w:lang w:val="en-US"/>
        </w:rPr>
        <w:t>ed. By Michael Lieb, Emma Mason and Jonathan Roberts, Oxford: Oxford University Press.</w:t>
      </w:r>
    </w:p>
    <w:p w14:paraId="3A39E678" w14:textId="77777777" w:rsidR="00C3339A" w:rsidRPr="008E5A2F" w:rsidRDefault="00C3339A" w:rsidP="00C3339A">
      <w:pPr>
        <w:spacing w:line="360" w:lineRule="auto"/>
        <w:rPr>
          <w:rFonts w:ascii="Times New Roman" w:hAnsi="Times New Roman" w:cs="Times New Roman"/>
          <w:sz w:val="24"/>
          <w:szCs w:val="24"/>
          <w:lang w:val="en-US"/>
        </w:rPr>
      </w:pPr>
      <w:r w:rsidRPr="008E5A2F">
        <w:rPr>
          <w:rFonts w:ascii="Times New Roman" w:hAnsi="Times New Roman" w:cs="Times New Roman"/>
          <w:sz w:val="24"/>
          <w:szCs w:val="24"/>
          <w:lang w:val="en-US"/>
        </w:rPr>
        <w:t xml:space="preserve">Jennings, R. M (2014), </w:t>
      </w:r>
      <w:r w:rsidRPr="008E5A2F">
        <w:rPr>
          <w:rFonts w:ascii="Times New Roman" w:hAnsi="Times New Roman" w:cs="Times New Roman"/>
          <w:i/>
          <w:iCs/>
          <w:sz w:val="24"/>
          <w:szCs w:val="24"/>
          <w:lang w:val="en-US"/>
        </w:rPr>
        <w:t xml:space="preserve">Biblical Reception History; A Dangerous Supplement, </w:t>
      </w:r>
      <w:r w:rsidRPr="008E5A2F">
        <w:rPr>
          <w:rFonts w:ascii="Times New Roman" w:hAnsi="Times New Roman" w:cs="Times New Roman"/>
          <w:sz w:val="24"/>
          <w:szCs w:val="24"/>
          <w:lang w:val="en-US"/>
        </w:rPr>
        <w:t>&lt;</w:t>
      </w:r>
      <w:hyperlink r:id="rId7" w:history="1">
        <w:r w:rsidRPr="008E5A2F">
          <w:rPr>
            <w:rStyle w:val="Hyperlink"/>
            <w:rFonts w:ascii="Times New Roman" w:hAnsi="Times New Roman" w:cs="Times New Roman"/>
            <w:sz w:val="24"/>
            <w:szCs w:val="24"/>
            <w:lang w:val="en-US"/>
          </w:rPr>
          <w:t>https://bibleinterp.arizona.edu/articles/2014/10/bre388022</w:t>
        </w:r>
      </w:hyperlink>
      <w:r w:rsidRPr="008E5A2F">
        <w:rPr>
          <w:rFonts w:ascii="Times New Roman" w:hAnsi="Times New Roman" w:cs="Times New Roman"/>
          <w:sz w:val="24"/>
          <w:szCs w:val="24"/>
          <w:lang w:val="en-US"/>
        </w:rPr>
        <w:t>&gt; [accessed 19</w:t>
      </w:r>
      <w:r w:rsidRPr="008E5A2F">
        <w:rPr>
          <w:rFonts w:ascii="Times New Roman" w:hAnsi="Times New Roman" w:cs="Times New Roman"/>
          <w:sz w:val="24"/>
          <w:szCs w:val="24"/>
          <w:vertAlign w:val="superscript"/>
          <w:lang w:val="en-US"/>
        </w:rPr>
        <w:t>th</w:t>
      </w:r>
      <w:r w:rsidRPr="008E5A2F">
        <w:rPr>
          <w:rFonts w:ascii="Times New Roman" w:hAnsi="Times New Roman" w:cs="Times New Roman"/>
          <w:sz w:val="24"/>
          <w:szCs w:val="24"/>
          <w:lang w:val="en-US"/>
        </w:rPr>
        <w:t xml:space="preserve"> June 2023].</w:t>
      </w:r>
    </w:p>
    <w:p w14:paraId="5A4B51E6" w14:textId="77777777" w:rsidR="00C3339A" w:rsidRPr="008E5A2F" w:rsidRDefault="00C3339A" w:rsidP="00C3339A">
      <w:pPr>
        <w:spacing w:line="360" w:lineRule="auto"/>
        <w:rPr>
          <w:rFonts w:ascii="Times New Roman" w:hAnsi="Times New Roman" w:cs="Times New Roman"/>
          <w:sz w:val="24"/>
          <w:szCs w:val="24"/>
          <w:lang w:val="en-US"/>
        </w:rPr>
      </w:pPr>
      <w:r w:rsidRPr="008E5A2F">
        <w:rPr>
          <w:rFonts w:ascii="Times New Roman" w:hAnsi="Times New Roman" w:cs="Times New Roman"/>
          <w:sz w:val="24"/>
          <w:szCs w:val="24"/>
          <w:lang w:val="en-US"/>
        </w:rPr>
        <w:t xml:space="preserve">Moffat, D. P (2018) ‘Reception History: Signaling Change in Biblical Studies’, </w:t>
      </w:r>
      <w:r w:rsidRPr="008E5A2F">
        <w:rPr>
          <w:rFonts w:ascii="Times New Roman" w:hAnsi="Times New Roman" w:cs="Times New Roman"/>
          <w:i/>
          <w:iCs/>
          <w:sz w:val="24"/>
          <w:szCs w:val="24"/>
          <w:lang w:val="en-US"/>
        </w:rPr>
        <w:t xml:space="preserve">The Pacific Journal of Theological Research, </w:t>
      </w:r>
      <w:r w:rsidRPr="008E5A2F">
        <w:rPr>
          <w:rFonts w:ascii="Times New Roman" w:hAnsi="Times New Roman" w:cs="Times New Roman"/>
          <w:sz w:val="24"/>
          <w:szCs w:val="24"/>
          <w:lang w:val="en-US"/>
        </w:rPr>
        <w:t xml:space="preserve">Vol 13(2), p.42. </w:t>
      </w:r>
    </w:p>
    <w:p w14:paraId="1691C943" w14:textId="77777777" w:rsidR="00C3339A" w:rsidRPr="008E5A2F" w:rsidRDefault="00C3339A" w:rsidP="00C3339A">
      <w:pPr>
        <w:spacing w:line="360" w:lineRule="auto"/>
        <w:rPr>
          <w:rFonts w:ascii="Times New Roman" w:hAnsi="Times New Roman" w:cs="Times New Roman"/>
          <w:sz w:val="24"/>
          <w:szCs w:val="24"/>
          <w:lang w:val="en-US"/>
        </w:rPr>
      </w:pPr>
      <w:r w:rsidRPr="008E5A2F">
        <w:rPr>
          <w:rFonts w:ascii="Times New Roman" w:hAnsi="Times New Roman" w:cs="Times New Roman"/>
          <w:sz w:val="24"/>
          <w:szCs w:val="24"/>
          <w:lang w:val="en-US"/>
        </w:rPr>
        <w:t xml:space="preserve">Parris, D. P (2009), </w:t>
      </w:r>
      <w:r w:rsidRPr="008E5A2F">
        <w:rPr>
          <w:rFonts w:ascii="Times New Roman" w:hAnsi="Times New Roman" w:cs="Times New Roman"/>
          <w:i/>
          <w:iCs/>
          <w:sz w:val="24"/>
          <w:szCs w:val="24"/>
          <w:lang w:val="en-US"/>
        </w:rPr>
        <w:t xml:space="preserve">Reception Theory and Biblical Hermeneutics, </w:t>
      </w:r>
      <w:r w:rsidRPr="008E5A2F">
        <w:rPr>
          <w:rFonts w:ascii="Times New Roman" w:hAnsi="Times New Roman" w:cs="Times New Roman"/>
          <w:sz w:val="24"/>
          <w:szCs w:val="24"/>
          <w:lang w:val="en-US"/>
        </w:rPr>
        <w:t xml:space="preserve">Pickwick Publications: Oregon. </w:t>
      </w:r>
    </w:p>
    <w:p w14:paraId="71E2C79C" w14:textId="77777777" w:rsidR="00C3339A" w:rsidRPr="008E5A2F" w:rsidRDefault="00C3339A" w:rsidP="00C3339A">
      <w:pPr>
        <w:spacing w:line="360" w:lineRule="auto"/>
        <w:rPr>
          <w:rFonts w:ascii="Times New Roman" w:hAnsi="Times New Roman" w:cs="Times New Roman"/>
          <w:sz w:val="24"/>
          <w:szCs w:val="24"/>
          <w:lang w:val="en-US"/>
        </w:rPr>
      </w:pPr>
      <w:r w:rsidRPr="008E5A2F">
        <w:rPr>
          <w:rFonts w:ascii="Times New Roman" w:hAnsi="Times New Roman" w:cs="Times New Roman"/>
          <w:sz w:val="24"/>
          <w:szCs w:val="24"/>
          <w:lang w:val="en-US"/>
        </w:rPr>
        <w:t xml:space="preserve">Roberts, J (2011) “Introduction” in </w:t>
      </w:r>
      <w:r w:rsidRPr="008E5A2F">
        <w:rPr>
          <w:rFonts w:ascii="Times New Roman" w:hAnsi="Times New Roman" w:cs="Times New Roman"/>
          <w:i/>
          <w:iCs/>
          <w:sz w:val="24"/>
          <w:szCs w:val="24"/>
          <w:lang w:val="en-US"/>
        </w:rPr>
        <w:t xml:space="preserve">The Oxford Handbook of the Reception History of the Bible, </w:t>
      </w:r>
      <w:r w:rsidRPr="008E5A2F">
        <w:rPr>
          <w:rFonts w:ascii="Times New Roman" w:hAnsi="Times New Roman" w:cs="Times New Roman"/>
          <w:sz w:val="24"/>
          <w:szCs w:val="24"/>
          <w:lang w:val="en-US"/>
        </w:rPr>
        <w:t xml:space="preserve">ed. By Michael Lieb, Emma Mason and Jonathan Roberts, Oxford: Oxford University Press. </w:t>
      </w:r>
    </w:p>
    <w:p w14:paraId="1A058AE1" w14:textId="77777777" w:rsidR="00C3339A" w:rsidRPr="008970E5" w:rsidRDefault="00C3339A" w:rsidP="003514E7">
      <w:pPr>
        <w:tabs>
          <w:tab w:val="left" w:pos="1308"/>
        </w:tabs>
        <w:spacing w:line="360" w:lineRule="auto"/>
        <w:rPr>
          <w:rFonts w:ascii="Times New Roman" w:hAnsi="Times New Roman" w:cs="Times New Roman"/>
          <w:sz w:val="24"/>
          <w:szCs w:val="24"/>
        </w:rPr>
      </w:pPr>
    </w:p>
    <w:sectPr w:rsidR="00C3339A" w:rsidRPr="008970E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0A36D" w14:textId="77777777" w:rsidR="004110A6" w:rsidRDefault="004110A6" w:rsidP="004110A6">
      <w:pPr>
        <w:spacing w:after="0" w:line="240" w:lineRule="auto"/>
      </w:pPr>
      <w:r>
        <w:separator/>
      </w:r>
    </w:p>
  </w:endnote>
  <w:endnote w:type="continuationSeparator" w:id="0">
    <w:p w14:paraId="1F587D02" w14:textId="77777777" w:rsidR="004110A6" w:rsidRDefault="004110A6" w:rsidP="004110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63FC4" w14:textId="77777777" w:rsidR="004110A6" w:rsidRDefault="004110A6" w:rsidP="004110A6">
      <w:pPr>
        <w:spacing w:after="0" w:line="240" w:lineRule="auto"/>
      </w:pPr>
      <w:r>
        <w:separator/>
      </w:r>
    </w:p>
  </w:footnote>
  <w:footnote w:type="continuationSeparator" w:id="0">
    <w:p w14:paraId="4C9ECB7B" w14:textId="77777777" w:rsidR="004110A6" w:rsidRDefault="004110A6" w:rsidP="004110A6">
      <w:pPr>
        <w:spacing w:after="0" w:line="240" w:lineRule="auto"/>
      </w:pPr>
      <w:r>
        <w:continuationSeparator/>
      </w:r>
    </w:p>
  </w:footnote>
  <w:footnote w:id="1">
    <w:p w14:paraId="6EE1C8BD" w14:textId="77777777" w:rsidR="002E1C0B" w:rsidRPr="00CB4160" w:rsidRDefault="002E1C0B" w:rsidP="002E1C0B">
      <w:pPr>
        <w:pStyle w:val="FootnoteText"/>
        <w:rPr>
          <w:lang w:val="en-US"/>
        </w:rPr>
      </w:pPr>
      <w:r>
        <w:rPr>
          <w:rStyle w:val="FootnoteReference"/>
        </w:rPr>
        <w:footnoteRef/>
      </w:r>
      <w:r>
        <w:t xml:space="preserve"> Donald P Moffat, ‘Reception History: Signalling Change in Biblical Studies’, </w:t>
      </w:r>
      <w:r>
        <w:rPr>
          <w:i/>
          <w:iCs/>
        </w:rPr>
        <w:t xml:space="preserve">The Pacific Journal of Theological Research, </w:t>
      </w:r>
      <w:r>
        <w:t xml:space="preserve">Vol 13(2) (2018), p.42. </w:t>
      </w:r>
    </w:p>
  </w:footnote>
  <w:footnote w:id="2">
    <w:p w14:paraId="038F6A60" w14:textId="77777777" w:rsidR="000B52A2" w:rsidRPr="007677FA" w:rsidRDefault="000B52A2" w:rsidP="000B52A2">
      <w:pPr>
        <w:pStyle w:val="FootnoteText"/>
        <w:rPr>
          <w:lang w:val="en-US"/>
        </w:rPr>
      </w:pPr>
      <w:r>
        <w:rPr>
          <w:rStyle w:val="FootnoteReference"/>
        </w:rPr>
        <w:footnoteRef/>
      </w:r>
      <w:r>
        <w:t xml:space="preserve"> </w:t>
      </w:r>
      <w:r>
        <w:rPr>
          <w:lang w:val="en-US"/>
        </w:rPr>
        <w:t xml:space="preserve">Brennen W Breed, </w:t>
      </w:r>
      <w:r>
        <w:rPr>
          <w:i/>
          <w:iCs/>
          <w:lang w:val="en-US"/>
        </w:rPr>
        <w:t xml:space="preserve">Nomadic Text: A Theory of Biblical Reception History, </w:t>
      </w:r>
      <w:r>
        <w:rPr>
          <w:lang w:val="en-US"/>
        </w:rPr>
        <w:t xml:space="preserve">(Indiana: Indiana University Press 2014), p.3. </w:t>
      </w:r>
    </w:p>
  </w:footnote>
  <w:footnote w:id="3">
    <w:p w14:paraId="389CC44F" w14:textId="77777777" w:rsidR="003E0322" w:rsidRPr="0019006C" w:rsidRDefault="003E0322" w:rsidP="003E0322">
      <w:pPr>
        <w:pStyle w:val="FootnoteText"/>
        <w:rPr>
          <w:lang w:val="en-US"/>
        </w:rPr>
      </w:pPr>
      <w:r>
        <w:rPr>
          <w:rStyle w:val="FootnoteReference"/>
        </w:rPr>
        <w:footnoteRef/>
      </w:r>
      <w:r>
        <w:t xml:space="preserve"> </w:t>
      </w:r>
      <w:r>
        <w:rPr>
          <w:lang w:val="en-US"/>
        </w:rPr>
        <w:t xml:space="preserve">Johnathan Roberts, “Introduction” in </w:t>
      </w:r>
      <w:r>
        <w:rPr>
          <w:i/>
          <w:iCs/>
          <w:lang w:val="en-US"/>
        </w:rPr>
        <w:t xml:space="preserve">The Oxford Handbook of the Reception History of the Bible, </w:t>
      </w:r>
      <w:r>
        <w:rPr>
          <w:lang w:val="en-US"/>
        </w:rPr>
        <w:t>ed. By Michael Lieb, Emma Mason and Jonathan Roberts (Oxford: Oxford University Press 2011) p.1-3.</w:t>
      </w:r>
    </w:p>
  </w:footnote>
  <w:footnote w:id="4">
    <w:p w14:paraId="0900066C" w14:textId="77777777" w:rsidR="00EA1D44" w:rsidRPr="00136C62" w:rsidRDefault="00EA1D44" w:rsidP="00EA1D44">
      <w:pPr>
        <w:pStyle w:val="FootnoteText"/>
        <w:rPr>
          <w:lang w:val="en-US"/>
        </w:rPr>
      </w:pPr>
      <w:r>
        <w:rPr>
          <w:rStyle w:val="FootnoteReference"/>
        </w:rPr>
        <w:footnoteRef/>
      </w:r>
      <w:r>
        <w:t xml:space="preserve"> </w:t>
      </w:r>
      <w:r>
        <w:rPr>
          <w:lang w:val="en-US"/>
        </w:rPr>
        <w:t xml:space="preserve">Johnathan Roberts, “Introduction” in </w:t>
      </w:r>
      <w:r>
        <w:rPr>
          <w:i/>
          <w:iCs/>
          <w:lang w:val="en-US"/>
        </w:rPr>
        <w:t xml:space="preserve">The Oxford Handbook of the Reception History of the Bible, </w:t>
      </w:r>
      <w:r>
        <w:rPr>
          <w:lang w:val="en-US"/>
        </w:rPr>
        <w:t xml:space="preserve">p.6. </w:t>
      </w:r>
    </w:p>
  </w:footnote>
  <w:footnote w:id="5">
    <w:p w14:paraId="100302FB" w14:textId="77777777" w:rsidR="00053D40" w:rsidRPr="00695E25" w:rsidRDefault="00053D40" w:rsidP="00053D40">
      <w:pPr>
        <w:pStyle w:val="FootnoteText"/>
        <w:rPr>
          <w:lang w:val="en-US"/>
        </w:rPr>
      </w:pPr>
      <w:r>
        <w:rPr>
          <w:rStyle w:val="FootnoteReference"/>
        </w:rPr>
        <w:footnoteRef/>
      </w:r>
      <w:r>
        <w:t xml:space="preserve"> David Paul Parris, </w:t>
      </w:r>
      <w:r>
        <w:rPr>
          <w:i/>
          <w:iCs/>
        </w:rPr>
        <w:t xml:space="preserve">Reception Theory and Biblical Hermeneutics, </w:t>
      </w:r>
      <w:r>
        <w:t xml:space="preserve">(Pickwick Publications: Oregon 2009) p. </w:t>
      </w:r>
      <w:r>
        <w:rPr>
          <w:lang w:val="en-US"/>
        </w:rPr>
        <w:t>xvi</w:t>
      </w:r>
    </w:p>
  </w:footnote>
  <w:footnote w:id="6">
    <w:p w14:paraId="5E960AF5" w14:textId="77777777" w:rsidR="00053D40" w:rsidRPr="00336F65" w:rsidRDefault="00053D40" w:rsidP="00053D40">
      <w:pPr>
        <w:pStyle w:val="FootnoteText"/>
        <w:rPr>
          <w:lang w:val="en-US"/>
        </w:rPr>
      </w:pPr>
      <w:r>
        <w:rPr>
          <w:rStyle w:val="FootnoteReference"/>
        </w:rPr>
        <w:footnoteRef/>
      </w:r>
      <w:r>
        <w:t xml:space="preserve"> </w:t>
      </w:r>
      <w:r>
        <w:rPr>
          <w:lang w:val="en-US"/>
        </w:rPr>
        <w:t xml:space="preserve">Timothy Beal, ‘Reception History and Beyond: Toward the Cultural History of Scriptures’, </w:t>
      </w:r>
      <w:r>
        <w:rPr>
          <w:i/>
          <w:iCs/>
          <w:lang w:val="en-US"/>
        </w:rPr>
        <w:t xml:space="preserve">Biblical Interpretation, </w:t>
      </w:r>
      <w:r>
        <w:rPr>
          <w:lang w:val="en-US"/>
        </w:rPr>
        <w:t>Vol 19 (4-5) (2011) p. 359.</w:t>
      </w:r>
    </w:p>
  </w:footnote>
  <w:footnote w:id="7">
    <w:p w14:paraId="21B94CFB" w14:textId="77777777" w:rsidR="006D0577" w:rsidRPr="009C7F38" w:rsidRDefault="006D0577" w:rsidP="006D0577">
      <w:pPr>
        <w:pStyle w:val="FootnoteText"/>
        <w:rPr>
          <w:lang w:val="en-US"/>
        </w:rPr>
      </w:pPr>
      <w:r>
        <w:rPr>
          <w:rStyle w:val="FootnoteReference"/>
        </w:rPr>
        <w:footnoteRef/>
      </w:r>
      <w:r>
        <w:t xml:space="preserve"> </w:t>
      </w:r>
      <w:r>
        <w:rPr>
          <w:lang w:val="en-US"/>
        </w:rPr>
        <w:t xml:space="preserve">Timothy Beal, ‘Reception History and Beyond: Toward the Cultural History of Scriptures’ p. 359. </w:t>
      </w:r>
    </w:p>
  </w:footnote>
  <w:footnote w:id="8">
    <w:p w14:paraId="2C131C36" w14:textId="77777777" w:rsidR="00870D1E" w:rsidRPr="009C07F7" w:rsidRDefault="00870D1E" w:rsidP="00870D1E">
      <w:pPr>
        <w:pStyle w:val="FootnoteText"/>
        <w:rPr>
          <w:i/>
          <w:iCs/>
          <w:lang w:val="en-US"/>
        </w:rPr>
      </w:pPr>
      <w:r>
        <w:rPr>
          <w:rStyle w:val="FootnoteReference"/>
        </w:rPr>
        <w:footnoteRef/>
      </w:r>
      <w:r>
        <w:t xml:space="preserve"> </w:t>
      </w:r>
      <w:r>
        <w:rPr>
          <w:lang w:val="en-US"/>
        </w:rPr>
        <w:t xml:space="preserve">Michael J. Gilmour, ‘Bob Dylan’s Bible’ in </w:t>
      </w:r>
      <w:r>
        <w:rPr>
          <w:i/>
          <w:iCs/>
          <w:lang w:val="en-US"/>
        </w:rPr>
        <w:t xml:space="preserve">The Oxford Handbook of The Reception History of the Bible, </w:t>
      </w:r>
      <w:r>
        <w:rPr>
          <w:lang w:val="en-US"/>
        </w:rPr>
        <w:t xml:space="preserve">ed. By Michael Lieb, Emma Mason and Jonathan Roberts (Oxford: Oxford University Press 2011) pp. 355-368. </w:t>
      </w:r>
    </w:p>
  </w:footnote>
  <w:footnote w:id="9">
    <w:p w14:paraId="1670A955" w14:textId="77777777" w:rsidR="000D1B69" w:rsidRPr="00791CAD" w:rsidRDefault="000D1B69" w:rsidP="000D1B69">
      <w:pPr>
        <w:pStyle w:val="FootnoteText"/>
        <w:rPr>
          <w:lang w:val="en-US"/>
        </w:rPr>
      </w:pPr>
      <w:r>
        <w:rPr>
          <w:rStyle w:val="FootnoteReference"/>
        </w:rPr>
        <w:footnoteRef/>
      </w:r>
      <w:r>
        <w:t xml:space="preserve"> Robert M Jennings, </w:t>
      </w:r>
      <w:r w:rsidRPr="00791CAD">
        <w:rPr>
          <w:i/>
          <w:iCs/>
        </w:rPr>
        <w:t>Biblical Reception History; A Dangerous Supplement</w:t>
      </w:r>
      <w:r>
        <w:t xml:space="preserve"> (2014) &lt;</w:t>
      </w:r>
      <w:hyperlink r:id="rId1" w:history="1">
        <w:r w:rsidRPr="00EC2876">
          <w:rPr>
            <w:rStyle w:val="Hyperlink"/>
          </w:rPr>
          <w:t>https://bibleinterp.arizona.edu/articles/2014/10/bre388022</w:t>
        </w:r>
      </w:hyperlink>
      <w:r>
        <w:t>&gt; [accessed 19</w:t>
      </w:r>
      <w:r w:rsidRPr="00791CAD">
        <w:rPr>
          <w:vertAlign w:val="superscript"/>
        </w:rPr>
        <w:t>th</w:t>
      </w:r>
      <w:r>
        <w:t xml:space="preserve"> June 2023].</w:t>
      </w:r>
    </w:p>
  </w:footnote>
  <w:footnote w:id="10">
    <w:p w14:paraId="2585355C" w14:textId="77777777" w:rsidR="000D1B69" w:rsidRPr="00A77B18" w:rsidRDefault="000D1B69" w:rsidP="000D1B69">
      <w:pPr>
        <w:pStyle w:val="FootnoteText"/>
        <w:rPr>
          <w:lang w:val="en-US"/>
        </w:rPr>
      </w:pPr>
      <w:r>
        <w:rPr>
          <w:rStyle w:val="FootnoteReference"/>
        </w:rPr>
        <w:footnoteRef/>
      </w:r>
      <w:r>
        <w:t xml:space="preserve"> </w:t>
      </w:r>
      <w:r>
        <w:rPr>
          <w:lang w:val="en-US"/>
        </w:rPr>
        <w:t xml:space="preserve">Johnathan Roberts, “Introduction” in </w:t>
      </w:r>
      <w:r>
        <w:rPr>
          <w:i/>
          <w:iCs/>
          <w:lang w:val="en-US"/>
        </w:rPr>
        <w:t xml:space="preserve">The Oxford Handbook of the Reception History of the Bible, </w:t>
      </w:r>
      <w:r>
        <w:rPr>
          <w:lang w:val="en-US"/>
        </w:rPr>
        <w:t>p.8.</w:t>
      </w:r>
    </w:p>
  </w:footnote>
  <w:footnote w:id="11">
    <w:p w14:paraId="2BCF0A6A" w14:textId="77777777" w:rsidR="000D1B69" w:rsidRPr="00C22540" w:rsidRDefault="000D1B69" w:rsidP="000D1B69">
      <w:pPr>
        <w:pStyle w:val="FootnoteText"/>
        <w:rPr>
          <w:lang w:val="en-US"/>
        </w:rPr>
      </w:pPr>
      <w:r>
        <w:rPr>
          <w:rStyle w:val="FootnoteReference"/>
        </w:rPr>
        <w:footnoteRef/>
      </w:r>
      <w:r>
        <w:t xml:space="preserve"> </w:t>
      </w:r>
      <w:r>
        <w:rPr>
          <w:lang w:val="en-US"/>
        </w:rPr>
        <w:t xml:space="preserve">Johnathan Roberts, “Introduction” in </w:t>
      </w:r>
      <w:r>
        <w:rPr>
          <w:i/>
          <w:iCs/>
          <w:lang w:val="en-US"/>
        </w:rPr>
        <w:t xml:space="preserve">The Oxford Handbook of the Reception History of the Bible, </w:t>
      </w:r>
      <w:r>
        <w:rPr>
          <w:lang w:val="en-US"/>
        </w:rPr>
        <w:t xml:space="preserve">p.1-3.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2D045" w14:textId="77777777" w:rsidR="004110A6" w:rsidRPr="004110A6" w:rsidRDefault="004110A6" w:rsidP="004110A6">
    <w:pPr>
      <w:spacing w:line="240" w:lineRule="auto"/>
      <w:jc w:val="both"/>
      <w:rPr>
        <w:sz w:val="18"/>
        <w:szCs w:val="18"/>
        <w:lang w:val="en-US"/>
      </w:rPr>
    </w:pPr>
    <w:r w:rsidRPr="004110A6">
      <w:rPr>
        <w:sz w:val="18"/>
        <w:szCs w:val="18"/>
        <w:lang w:val="en-US"/>
      </w:rPr>
      <w:t xml:space="preserve">Alison Forbes </w:t>
    </w:r>
  </w:p>
  <w:p w14:paraId="5A319644" w14:textId="7F54F66E" w:rsidR="004110A6" w:rsidRPr="004110A6" w:rsidRDefault="004110A6" w:rsidP="004110A6">
    <w:pPr>
      <w:spacing w:line="240" w:lineRule="auto"/>
      <w:jc w:val="both"/>
      <w:rPr>
        <w:sz w:val="18"/>
        <w:szCs w:val="18"/>
        <w:lang w:val="en-US"/>
      </w:rPr>
    </w:pPr>
    <w:r w:rsidRPr="004110A6">
      <w:rPr>
        <w:sz w:val="18"/>
        <w:szCs w:val="18"/>
        <w:lang w:val="en-US"/>
      </w:rPr>
      <w:t xml:space="preserve">1701733 </w:t>
    </w:r>
  </w:p>
  <w:p w14:paraId="11117FC4" w14:textId="25C7BE63" w:rsidR="004110A6" w:rsidRPr="004110A6" w:rsidRDefault="004110A6" w:rsidP="004110A6">
    <w:pPr>
      <w:spacing w:line="240" w:lineRule="auto"/>
      <w:jc w:val="both"/>
      <w:rPr>
        <w:sz w:val="18"/>
        <w:szCs w:val="18"/>
        <w:lang w:val="en-US"/>
      </w:rPr>
    </w:pPr>
    <w:r w:rsidRPr="004110A6">
      <w:rPr>
        <w:sz w:val="18"/>
        <w:szCs w:val="18"/>
        <w:lang w:val="en-US"/>
      </w:rPr>
      <w:t>HPRS7015</w:t>
    </w:r>
  </w:p>
  <w:p w14:paraId="78DE5099" w14:textId="5EFEF7BC" w:rsidR="004110A6" w:rsidRPr="004110A6" w:rsidRDefault="004110A6" w:rsidP="004110A6">
    <w:pPr>
      <w:spacing w:line="240" w:lineRule="auto"/>
      <w:jc w:val="both"/>
      <w:rPr>
        <w:sz w:val="18"/>
        <w:szCs w:val="18"/>
        <w:u w:val="single"/>
        <w:lang w:val="en-US"/>
      </w:rPr>
    </w:pPr>
    <w:r w:rsidRPr="004110A6">
      <w:rPr>
        <w:sz w:val="18"/>
        <w:szCs w:val="18"/>
        <w:u w:val="single"/>
        <w:lang w:val="en-US"/>
      </w:rPr>
      <w:t xml:space="preserve">Drawing on secondary scholarship and your own reflections please answer the following; What is reception history and does it have value in Biblical Studies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0A6"/>
    <w:rsid w:val="00000DFA"/>
    <w:rsid w:val="0000347B"/>
    <w:rsid w:val="00020DA1"/>
    <w:rsid w:val="000243F8"/>
    <w:rsid w:val="0003439E"/>
    <w:rsid w:val="00045259"/>
    <w:rsid w:val="00053D40"/>
    <w:rsid w:val="00067BB6"/>
    <w:rsid w:val="00093EC3"/>
    <w:rsid w:val="00094BA7"/>
    <w:rsid w:val="000B24DD"/>
    <w:rsid w:val="000B52A2"/>
    <w:rsid w:val="000C1A1A"/>
    <w:rsid w:val="000C57FF"/>
    <w:rsid w:val="000D1B69"/>
    <w:rsid w:val="00106552"/>
    <w:rsid w:val="00136C62"/>
    <w:rsid w:val="001433C9"/>
    <w:rsid w:val="00152777"/>
    <w:rsid w:val="00172F9A"/>
    <w:rsid w:val="00173447"/>
    <w:rsid w:val="0019006C"/>
    <w:rsid w:val="001905A3"/>
    <w:rsid w:val="001962F9"/>
    <w:rsid w:val="00197EF1"/>
    <w:rsid w:val="001A0A95"/>
    <w:rsid w:val="001A2EA3"/>
    <w:rsid w:val="001B5283"/>
    <w:rsid w:val="001C5B7A"/>
    <w:rsid w:val="001D243C"/>
    <w:rsid w:val="001E748B"/>
    <w:rsid w:val="001F0399"/>
    <w:rsid w:val="001F3A36"/>
    <w:rsid w:val="002058B7"/>
    <w:rsid w:val="00225812"/>
    <w:rsid w:val="0023080F"/>
    <w:rsid w:val="00251B8F"/>
    <w:rsid w:val="00252C23"/>
    <w:rsid w:val="00256FEB"/>
    <w:rsid w:val="0027067A"/>
    <w:rsid w:val="00275473"/>
    <w:rsid w:val="00294154"/>
    <w:rsid w:val="002A56EE"/>
    <w:rsid w:val="002E1C0B"/>
    <w:rsid w:val="002F07CA"/>
    <w:rsid w:val="0030700C"/>
    <w:rsid w:val="003146B5"/>
    <w:rsid w:val="00317EE9"/>
    <w:rsid w:val="003354DD"/>
    <w:rsid w:val="00336F65"/>
    <w:rsid w:val="003514E7"/>
    <w:rsid w:val="00354DC8"/>
    <w:rsid w:val="003633CD"/>
    <w:rsid w:val="00370044"/>
    <w:rsid w:val="00376648"/>
    <w:rsid w:val="003840AE"/>
    <w:rsid w:val="00394811"/>
    <w:rsid w:val="003E0322"/>
    <w:rsid w:val="003E5B81"/>
    <w:rsid w:val="004110A6"/>
    <w:rsid w:val="00425ADB"/>
    <w:rsid w:val="0044324E"/>
    <w:rsid w:val="004A12BD"/>
    <w:rsid w:val="004A5ABF"/>
    <w:rsid w:val="004C30B0"/>
    <w:rsid w:val="004D4C71"/>
    <w:rsid w:val="004F64BB"/>
    <w:rsid w:val="00500B81"/>
    <w:rsid w:val="00500D38"/>
    <w:rsid w:val="00505749"/>
    <w:rsid w:val="005068D7"/>
    <w:rsid w:val="00515EAD"/>
    <w:rsid w:val="005229EF"/>
    <w:rsid w:val="00530DC3"/>
    <w:rsid w:val="00581B63"/>
    <w:rsid w:val="0059586C"/>
    <w:rsid w:val="005A5F3C"/>
    <w:rsid w:val="005A7397"/>
    <w:rsid w:val="005B05D7"/>
    <w:rsid w:val="00612364"/>
    <w:rsid w:val="00626502"/>
    <w:rsid w:val="0063075F"/>
    <w:rsid w:val="00661DF5"/>
    <w:rsid w:val="00662AF9"/>
    <w:rsid w:val="00666058"/>
    <w:rsid w:val="006668BF"/>
    <w:rsid w:val="00686F86"/>
    <w:rsid w:val="00691BA3"/>
    <w:rsid w:val="00695E25"/>
    <w:rsid w:val="006A5C92"/>
    <w:rsid w:val="006A678B"/>
    <w:rsid w:val="006D0577"/>
    <w:rsid w:val="00730317"/>
    <w:rsid w:val="00732126"/>
    <w:rsid w:val="00732633"/>
    <w:rsid w:val="00744672"/>
    <w:rsid w:val="00744B06"/>
    <w:rsid w:val="0076264B"/>
    <w:rsid w:val="007677FA"/>
    <w:rsid w:val="00791CAD"/>
    <w:rsid w:val="007A30C8"/>
    <w:rsid w:val="007A3B78"/>
    <w:rsid w:val="007A7948"/>
    <w:rsid w:val="007A7FFE"/>
    <w:rsid w:val="007B325D"/>
    <w:rsid w:val="007C4E6A"/>
    <w:rsid w:val="007D25C3"/>
    <w:rsid w:val="007D3196"/>
    <w:rsid w:val="007E62C5"/>
    <w:rsid w:val="007E7C3E"/>
    <w:rsid w:val="00827D00"/>
    <w:rsid w:val="00845BC8"/>
    <w:rsid w:val="00857D63"/>
    <w:rsid w:val="00865483"/>
    <w:rsid w:val="00870D1E"/>
    <w:rsid w:val="00880016"/>
    <w:rsid w:val="00881A28"/>
    <w:rsid w:val="008970E5"/>
    <w:rsid w:val="008A2E66"/>
    <w:rsid w:val="008B0DBA"/>
    <w:rsid w:val="008C3AED"/>
    <w:rsid w:val="008C7B7D"/>
    <w:rsid w:val="008E06ED"/>
    <w:rsid w:val="008E614F"/>
    <w:rsid w:val="0090194E"/>
    <w:rsid w:val="009168B0"/>
    <w:rsid w:val="00920F53"/>
    <w:rsid w:val="009327C3"/>
    <w:rsid w:val="00934D3E"/>
    <w:rsid w:val="00947955"/>
    <w:rsid w:val="00956182"/>
    <w:rsid w:val="00966585"/>
    <w:rsid w:val="00992F29"/>
    <w:rsid w:val="009A62BB"/>
    <w:rsid w:val="009C07F7"/>
    <w:rsid w:val="009C7F38"/>
    <w:rsid w:val="009D3E62"/>
    <w:rsid w:val="009E2063"/>
    <w:rsid w:val="009E2B10"/>
    <w:rsid w:val="009F17D6"/>
    <w:rsid w:val="009F31F6"/>
    <w:rsid w:val="00A06F17"/>
    <w:rsid w:val="00A163B7"/>
    <w:rsid w:val="00A208DA"/>
    <w:rsid w:val="00A3617D"/>
    <w:rsid w:val="00A37814"/>
    <w:rsid w:val="00A451A5"/>
    <w:rsid w:val="00A56C9A"/>
    <w:rsid w:val="00A7450E"/>
    <w:rsid w:val="00A75AAE"/>
    <w:rsid w:val="00A77B18"/>
    <w:rsid w:val="00A87C90"/>
    <w:rsid w:val="00A904E2"/>
    <w:rsid w:val="00AA1F74"/>
    <w:rsid w:val="00AB26DE"/>
    <w:rsid w:val="00AC0DC0"/>
    <w:rsid w:val="00AC2147"/>
    <w:rsid w:val="00AC5B92"/>
    <w:rsid w:val="00B06C22"/>
    <w:rsid w:val="00B144E0"/>
    <w:rsid w:val="00B32AD7"/>
    <w:rsid w:val="00B41536"/>
    <w:rsid w:val="00B75403"/>
    <w:rsid w:val="00B7688A"/>
    <w:rsid w:val="00B76C44"/>
    <w:rsid w:val="00B9659E"/>
    <w:rsid w:val="00BB2500"/>
    <w:rsid w:val="00BC036B"/>
    <w:rsid w:val="00BF19F1"/>
    <w:rsid w:val="00C06B15"/>
    <w:rsid w:val="00C14F32"/>
    <w:rsid w:val="00C22540"/>
    <w:rsid w:val="00C3339A"/>
    <w:rsid w:val="00C533F1"/>
    <w:rsid w:val="00C56FF6"/>
    <w:rsid w:val="00C70399"/>
    <w:rsid w:val="00CA211D"/>
    <w:rsid w:val="00CB4160"/>
    <w:rsid w:val="00CE2139"/>
    <w:rsid w:val="00CE5B55"/>
    <w:rsid w:val="00CE60C3"/>
    <w:rsid w:val="00D0432D"/>
    <w:rsid w:val="00D10513"/>
    <w:rsid w:val="00D17A4F"/>
    <w:rsid w:val="00D21D4D"/>
    <w:rsid w:val="00D24DA2"/>
    <w:rsid w:val="00D36BBA"/>
    <w:rsid w:val="00D64A19"/>
    <w:rsid w:val="00D912C3"/>
    <w:rsid w:val="00D94D10"/>
    <w:rsid w:val="00DA7314"/>
    <w:rsid w:val="00DB0648"/>
    <w:rsid w:val="00DB1F63"/>
    <w:rsid w:val="00DD3DB5"/>
    <w:rsid w:val="00E14DEA"/>
    <w:rsid w:val="00E346BA"/>
    <w:rsid w:val="00EA1D44"/>
    <w:rsid w:val="00EB60B6"/>
    <w:rsid w:val="00EC79C9"/>
    <w:rsid w:val="00ED3B61"/>
    <w:rsid w:val="00EE0488"/>
    <w:rsid w:val="00F01A22"/>
    <w:rsid w:val="00F1280D"/>
    <w:rsid w:val="00F15061"/>
    <w:rsid w:val="00F15117"/>
    <w:rsid w:val="00F54AD6"/>
    <w:rsid w:val="00F56FEC"/>
    <w:rsid w:val="00F60FF3"/>
    <w:rsid w:val="00F668CE"/>
    <w:rsid w:val="00F71DBF"/>
    <w:rsid w:val="00FC097C"/>
    <w:rsid w:val="00FC102E"/>
    <w:rsid w:val="00FC3338"/>
    <w:rsid w:val="00FD1A22"/>
    <w:rsid w:val="00FE166F"/>
    <w:rsid w:val="00FE6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5B9A69"/>
  <w15:chartTrackingRefBased/>
  <w15:docId w15:val="{44779727-26CC-4638-BDF0-A0C665E3E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C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10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0A6"/>
  </w:style>
  <w:style w:type="paragraph" w:styleId="Footer">
    <w:name w:val="footer"/>
    <w:basedOn w:val="Normal"/>
    <w:link w:val="FooterChar"/>
    <w:uiPriority w:val="99"/>
    <w:unhideWhenUsed/>
    <w:rsid w:val="004110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10A6"/>
  </w:style>
  <w:style w:type="paragraph" w:styleId="FootnoteText">
    <w:name w:val="footnote text"/>
    <w:basedOn w:val="Normal"/>
    <w:link w:val="FootnoteTextChar"/>
    <w:uiPriority w:val="99"/>
    <w:semiHidden/>
    <w:unhideWhenUsed/>
    <w:rsid w:val="00CB416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4160"/>
    <w:rPr>
      <w:sz w:val="20"/>
      <w:szCs w:val="20"/>
    </w:rPr>
  </w:style>
  <w:style w:type="character" w:styleId="FootnoteReference">
    <w:name w:val="footnote reference"/>
    <w:basedOn w:val="DefaultParagraphFont"/>
    <w:uiPriority w:val="99"/>
    <w:semiHidden/>
    <w:unhideWhenUsed/>
    <w:rsid w:val="00CB4160"/>
    <w:rPr>
      <w:vertAlign w:val="superscript"/>
    </w:rPr>
  </w:style>
  <w:style w:type="character" w:styleId="Hyperlink">
    <w:name w:val="Hyperlink"/>
    <w:basedOn w:val="DefaultParagraphFont"/>
    <w:uiPriority w:val="99"/>
    <w:unhideWhenUsed/>
    <w:rsid w:val="00791CAD"/>
    <w:rPr>
      <w:color w:val="0563C1" w:themeColor="hyperlink"/>
      <w:u w:val="single"/>
    </w:rPr>
  </w:style>
  <w:style w:type="character" w:styleId="UnresolvedMention">
    <w:name w:val="Unresolved Mention"/>
    <w:basedOn w:val="DefaultParagraphFont"/>
    <w:uiPriority w:val="99"/>
    <w:semiHidden/>
    <w:unhideWhenUsed/>
    <w:rsid w:val="00791C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035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bibleinterp.arizona.edu/articles/2014/10/bre38802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bibleinterp.arizona.edu/articles/2014/10/bre388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B4E0A0-7FDE-4507-A011-071E4C2CB6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10891</TotalTime>
  <Pages>6</Pages>
  <Words>1652</Words>
  <Characters>9332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dc:creator>
  <cp:keywords/>
  <dc:description/>
  <cp:lastModifiedBy>Alison Forbes</cp:lastModifiedBy>
  <cp:revision>192</cp:revision>
  <dcterms:created xsi:type="dcterms:W3CDTF">2023-06-08T17:54:00Z</dcterms:created>
  <dcterms:modified xsi:type="dcterms:W3CDTF">2023-06-26T19:26:00Z</dcterms:modified>
</cp:coreProperties>
</file>