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130937725"/>
        <w:docPartObj>
          <w:docPartGallery w:val="Cover Pages"/>
          <w:docPartUnique/>
        </w:docPartObj>
      </w:sdtPr>
      <w:sdtEndPr>
        <w:rPr>
          <w:rFonts w:eastAsiaTheme="minorHAnsi"/>
          <w:color w:val="auto"/>
          <w:kern w:val="2"/>
          <w:sz w:val="24"/>
          <w:szCs w:val="24"/>
          <w:lang w:val="en-GB"/>
          <w14:ligatures w14:val="standardContextual"/>
        </w:rPr>
      </w:sdtEndPr>
      <w:sdtContent>
        <w:p w14:paraId="338BD9B5" w14:textId="05F3352E" w:rsidR="00A71877" w:rsidRDefault="00A71877">
          <w:pPr>
            <w:pStyle w:val="NoSpacing"/>
            <w:spacing w:before="1540" w:after="240"/>
            <w:jc w:val="center"/>
            <w:rPr>
              <w:color w:val="156082" w:themeColor="accent1"/>
            </w:rPr>
          </w:pPr>
          <w:r>
            <w:rPr>
              <w:noProof/>
              <w:color w:val="156082" w:themeColor="accent1"/>
            </w:rPr>
            <w:drawing>
              <wp:inline distT="0" distB="0" distL="0" distR="0" wp14:anchorId="2AA1683D" wp14:editId="0D28BB9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40"/>
            </w:rPr>
            <w:alias w:val="Title"/>
            <w:tag w:val=""/>
            <w:id w:val="1735040861"/>
            <w:placeholder>
              <w:docPart w:val="F164594945BF4DF8A49F7208C39ACCF8"/>
            </w:placeholder>
            <w:dataBinding w:prefixMappings="xmlns:ns0='http://purl.org/dc/elements/1.1/' xmlns:ns1='http://schemas.openxmlformats.org/package/2006/metadata/core-properties' " w:xpath="/ns1:coreProperties[1]/ns0:title[1]" w:storeItemID="{6C3C8BC8-F283-45AE-878A-BAB7291924A1}"/>
            <w:text/>
          </w:sdtPr>
          <w:sdtContent>
            <w:p w14:paraId="172BD5DD" w14:textId="3ED23CC4" w:rsidR="00A71877" w:rsidRPr="006F293D" w:rsidRDefault="006F293D" w:rsidP="006F293D">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6F293D">
                <w:rPr>
                  <w:rFonts w:ascii="Arial" w:hAnsi="Arial" w:cs="Arial"/>
                  <w:b/>
                  <w:sz w:val="40"/>
                </w:rPr>
                <w:t>A Strategic Data Warehousing Solution for NHS England:</w:t>
              </w:r>
              <w:r w:rsidRPr="006F293D">
                <w:rPr>
                  <w:rFonts w:ascii="Arial" w:hAnsi="Arial" w:cs="Arial"/>
                  <w:b/>
                  <w:sz w:val="40"/>
                </w:rPr>
                <w:t xml:space="preserve"> </w:t>
              </w:r>
              <w:r w:rsidRPr="006F293D">
                <w:rPr>
                  <w:rFonts w:ascii="Arial" w:hAnsi="Arial" w:cs="Arial"/>
                  <w:b/>
                  <w:sz w:val="40"/>
                </w:rPr>
                <w:t>Consolidating Operational, Clinical, Workforce and Financial Data</w:t>
              </w:r>
            </w:p>
          </w:sdtContent>
        </w:sdt>
        <w:sdt>
          <w:sdtPr>
            <w:rPr>
              <w:rFonts w:asciiTheme="majorHAnsi" w:hAnsiTheme="majorHAnsi"/>
              <w:b/>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F587A70" w14:textId="6137F8C5" w:rsidR="006F293D" w:rsidRDefault="006F293D" w:rsidP="006F293D">
              <w:pPr>
                <w:pStyle w:val="NoSpacing"/>
                <w:jc w:val="center"/>
                <w:rPr>
                  <w:rFonts w:asciiTheme="majorHAnsi" w:hAnsiTheme="majorHAnsi"/>
                  <w:b/>
                </w:rPr>
              </w:pPr>
              <w:r>
                <w:rPr>
                  <w:rFonts w:asciiTheme="majorHAnsi" w:hAnsiTheme="majorHAnsi"/>
                  <w:b/>
                </w:rPr>
                <w:t xml:space="preserve">     </w:t>
              </w:r>
            </w:p>
          </w:sdtContent>
        </w:sdt>
        <w:p w14:paraId="4E783B65" w14:textId="7C705CC0" w:rsidR="006F293D" w:rsidRDefault="006F293D" w:rsidP="006F293D">
          <w:pPr>
            <w:pStyle w:val="NoSpacing"/>
            <w:rPr>
              <w:rFonts w:asciiTheme="majorHAnsi" w:hAnsiTheme="majorHAnsi" w:cs="Times New Roman"/>
              <w:b/>
            </w:rPr>
          </w:pPr>
          <w:r>
            <w:rPr>
              <w:rFonts w:asciiTheme="majorHAnsi" w:hAnsiTheme="majorHAnsi" w:cs="Times New Roman"/>
              <w:b/>
            </w:rPr>
            <w:t xml:space="preserve">University of Saint Trinity David (London Campus) </w:t>
          </w:r>
        </w:p>
        <w:p w14:paraId="6BCAF31B" w14:textId="77777777" w:rsidR="006F293D" w:rsidRDefault="006F293D" w:rsidP="006F293D">
          <w:pPr>
            <w:pStyle w:val="NoSpacing"/>
            <w:rPr>
              <w:rFonts w:asciiTheme="majorHAnsi" w:hAnsiTheme="majorHAnsi" w:cs="Times New Roman"/>
              <w:b/>
            </w:rPr>
          </w:pPr>
          <w:r>
            <w:rPr>
              <w:rFonts w:asciiTheme="majorHAnsi" w:hAnsiTheme="majorHAnsi" w:cs="Times New Roman"/>
              <w:b/>
            </w:rPr>
            <w:t xml:space="preserve">Program of study: BSc (Hons) Applied Computing </w:t>
          </w:r>
        </w:p>
        <w:p w14:paraId="5A472750" w14:textId="6F17293F" w:rsidR="006F293D" w:rsidRDefault="006F293D" w:rsidP="006F293D">
          <w:pPr>
            <w:pStyle w:val="NoSpacing"/>
            <w:rPr>
              <w:rFonts w:cs="Times New Roman"/>
              <w:b/>
              <w:bCs/>
              <w:lang w:val="en-GB"/>
            </w:rPr>
          </w:pPr>
          <w:r>
            <w:rPr>
              <w:rFonts w:asciiTheme="majorHAnsi" w:hAnsiTheme="majorHAnsi" w:cs="Times New Roman"/>
              <w:b/>
            </w:rPr>
            <w:t>Module: Data</w:t>
          </w:r>
          <w:r w:rsidRPr="006F293D">
            <w:rPr>
              <w:rFonts w:cs="Times New Roman"/>
              <w:b/>
              <w:bCs/>
              <w:lang w:val="en-GB"/>
            </w:rPr>
            <w:t xml:space="preserve"> Warehousing and Data Mining (ACCA6026_LON)</w:t>
          </w:r>
        </w:p>
        <w:p w14:paraId="30D33DB5" w14:textId="74FBFB74" w:rsidR="006F293D" w:rsidRDefault="006F293D" w:rsidP="006F293D">
          <w:pPr>
            <w:pStyle w:val="NoSpacing"/>
            <w:rPr>
              <w:rFonts w:cs="Times New Roman"/>
              <w:b/>
              <w:bCs/>
              <w:lang w:val="en-GB"/>
            </w:rPr>
          </w:pPr>
          <w:r>
            <w:rPr>
              <w:rFonts w:cs="Times New Roman"/>
              <w:b/>
              <w:bCs/>
              <w:lang w:val="en-GB"/>
            </w:rPr>
            <w:t xml:space="preserve">Teacher’s name: </w:t>
          </w:r>
          <w:r w:rsidRPr="006F293D">
            <w:rPr>
              <w:rFonts w:cs="Times New Roman"/>
              <w:b/>
              <w:bCs/>
              <w:lang w:val="en-GB"/>
            </w:rPr>
            <w:t>Rajeev Nath</w:t>
          </w:r>
        </w:p>
        <w:p w14:paraId="281F20FF" w14:textId="503BEEBA" w:rsidR="006F293D" w:rsidRDefault="006F293D" w:rsidP="006F293D">
          <w:pPr>
            <w:pStyle w:val="NoSpacing"/>
            <w:rPr>
              <w:rFonts w:cs="Times New Roman"/>
              <w:b/>
              <w:bCs/>
              <w:lang w:val="en-GB"/>
            </w:rPr>
          </w:pPr>
          <w:r>
            <w:rPr>
              <w:rFonts w:cs="Times New Roman"/>
              <w:b/>
              <w:bCs/>
              <w:lang w:val="en-GB"/>
            </w:rPr>
            <w:t>Student’s name: Alexandra Craciun</w:t>
          </w:r>
        </w:p>
        <w:p w14:paraId="571B5E8B" w14:textId="03A5CBF3" w:rsidR="006F293D" w:rsidRDefault="006F293D" w:rsidP="006F293D">
          <w:pPr>
            <w:pStyle w:val="NoSpacing"/>
            <w:rPr>
              <w:rFonts w:cs="Times New Roman"/>
              <w:b/>
              <w:bCs/>
              <w:lang w:val="en-GB"/>
            </w:rPr>
          </w:pPr>
          <w:r>
            <w:rPr>
              <w:rFonts w:cs="Times New Roman"/>
              <w:b/>
              <w:bCs/>
              <w:lang w:val="en-GB"/>
            </w:rPr>
            <w:t>Student ID: 2323954</w:t>
          </w:r>
        </w:p>
        <w:p w14:paraId="5993C1D7" w14:textId="3B5C9BFD" w:rsidR="006F293D" w:rsidRPr="006F293D" w:rsidRDefault="006F293D" w:rsidP="006F293D">
          <w:pPr>
            <w:pStyle w:val="NoSpacing"/>
            <w:rPr>
              <w:rFonts w:cs="Times New Roman"/>
              <w:b/>
              <w:bCs/>
              <w:lang w:val="en-GB"/>
            </w:rPr>
          </w:pPr>
          <w:r>
            <w:rPr>
              <w:rFonts w:cs="Times New Roman"/>
              <w:b/>
              <w:bCs/>
              <w:lang w:val="en-GB"/>
            </w:rPr>
            <w:t>Date: 31.07.2026</w:t>
          </w:r>
        </w:p>
        <w:p w14:paraId="79A0654C" w14:textId="76BC099E" w:rsidR="006F293D" w:rsidRDefault="006F293D" w:rsidP="006F293D">
          <w:pPr>
            <w:pStyle w:val="NoSpacing"/>
            <w:rPr>
              <w:rFonts w:asciiTheme="majorHAnsi" w:hAnsiTheme="majorHAnsi" w:cs="Times New Roman"/>
              <w:b/>
            </w:rPr>
          </w:pPr>
          <w:r>
            <w:rPr>
              <w:rFonts w:asciiTheme="majorHAnsi" w:hAnsiTheme="majorHAnsi" w:cs="Times New Roman"/>
              <w:b/>
            </w:rPr>
            <w:t xml:space="preserve"> </w:t>
          </w:r>
        </w:p>
        <w:p w14:paraId="07B8425A" w14:textId="0BE79628" w:rsidR="00A71877" w:rsidRDefault="00A71877" w:rsidP="006F293D">
          <w:pPr>
            <w:pStyle w:val="NoSpacing"/>
            <w:rPr>
              <w:color w:val="156082" w:themeColor="accent1"/>
              <w:sz w:val="28"/>
              <w:szCs w:val="28"/>
            </w:rPr>
          </w:pPr>
        </w:p>
        <w:sdt>
          <w:sdtPr>
            <w:rPr>
              <w:rFonts w:asciiTheme="majorHAnsi" w:hAnsiTheme="majorHAnsi"/>
              <w:b/>
            </w:rPr>
            <w:alias w:val="Abstract"/>
            <w:tag w:val=""/>
            <w:id w:val="145712298"/>
            <w:showingPlcHdr/>
            <w:dataBinding w:prefixMappings="xmlns:ns0='http://schemas.microsoft.com/office/2006/coverPageProps' " w:xpath="/ns0:CoverPageProperties[1]/ns0:Abstract[1]" w:storeItemID="{55AF091B-3C7A-41E3-B477-F2FDAA23CFDA}"/>
            <w:text w:multiLine="1"/>
          </w:sdtPr>
          <w:sdtContent>
            <w:p w14:paraId="42D6199D" w14:textId="6F1720F1" w:rsidR="00A71877" w:rsidRPr="006F293D" w:rsidRDefault="006F293D" w:rsidP="006F293D">
              <w:pPr>
                <w:pStyle w:val="NoSpacing"/>
                <w:jc w:val="center"/>
                <w:rPr>
                  <w:rFonts w:asciiTheme="majorHAnsi" w:hAnsiTheme="majorHAnsi"/>
                  <w:b/>
                </w:rPr>
              </w:pPr>
              <w:r>
                <w:rPr>
                  <w:rFonts w:asciiTheme="majorHAnsi" w:hAnsiTheme="majorHAnsi"/>
                  <w:b/>
                </w:rPr>
                <w:t xml:space="preserve">     </w:t>
              </w:r>
            </w:p>
          </w:sdtContent>
        </w:sdt>
        <w:p w14:paraId="371F3E79" w14:textId="173EA781" w:rsidR="00A71877" w:rsidRDefault="00A71877">
          <w:r>
            <w:br w:type="page"/>
          </w:r>
        </w:p>
      </w:sdtContent>
    </w:sdt>
    <w:sdt>
      <w:sdtPr>
        <w:id w:val="-148847493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64DF1FF" w14:textId="069F8542" w:rsidR="006F293D" w:rsidRPr="006F293D" w:rsidRDefault="006F293D">
          <w:pPr>
            <w:pStyle w:val="TOCHeading"/>
            <w:rPr>
              <w:rFonts w:ascii="Arial" w:hAnsi="Arial" w:cs="Arial"/>
            </w:rPr>
          </w:pPr>
          <w:r w:rsidRPr="006F293D">
            <w:rPr>
              <w:rFonts w:ascii="Arial" w:hAnsi="Arial" w:cs="Arial"/>
            </w:rPr>
            <w:t>Table of Contents</w:t>
          </w:r>
        </w:p>
        <w:p w14:paraId="2520EC97" w14:textId="2E1D9CBD" w:rsidR="006F293D" w:rsidRPr="006F293D" w:rsidRDefault="006F293D">
          <w:pPr>
            <w:pStyle w:val="TOC1"/>
            <w:tabs>
              <w:tab w:val="right" w:leader="dot" w:pos="9016"/>
            </w:tabs>
            <w:rPr>
              <w:rFonts w:ascii="Arial" w:hAnsi="Arial" w:cs="Arial"/>
              <w:noProof/>
            </w:rPr>
          </w:pPr>
          <w:r w:rsidRPr="006F293D">
            <w:rPr>
              <w:rFonts w:ascii="Arial" w:hAnsi="Arial" w:cs="Arial"/>
            </w:rPr>
            <w:fldChar w:fldCharType="begin"/>
          </w:r>
          <w:r w:rsidRPr="006F293D">
            <w:rPr>
              <w:rFonts w:ascii="Arial" w:hAnsi="Arial" w:cs="Arial"/>
            </w:rPr>
            <w:instrText xml:space="preserve"> TOC \o "1-3" \h \z \u </w:instrText>
          </w:r>
          <w:r w:rsidRPr="006F293D">
            <w:rPr>
              <w:rFonts w:ascii="Arial" w:hAnsi="Arial" w:cs="Arial"/>
            </w:rPr>
            <w:fldChar w:fldCharType="separate"/>
          </w:r>
          <w:hyperlink w:anchor="_Toc235988262" w:history="1">
            <w:r w:rsidRPr="006F293D">
              <w:rPr>
                <w:rStyle w:val="Hyperlink"/>
                <w:rFonts w:ascii="Arial" w:hAnsi="Arial" w:cs="Arial"/>
                <w:noProof/>
              </w:rPr>
              <w:t>Introduction:</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_Toc235988262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2</w:t>
            </w:r>
            <w:r w:rsidRPr="006F293D">
              <w:rPr>
                <w:rFonts w:ascii="Arial" w:hAnsi="Arial" w:cs="Arial"/>
                <w:noProof/>
                <w:webHidden/>
              </w:rPr>
              <w:fldChar w:fldCharType="end"/>
            </w:r>
          </w:hyperlink>
        </w:p>
        <w:p w14:paraId="7B2114D3" w14:textId="0711C5D4" w:rsidR="006F293D" w:rsidRPr="006F293D" w:rsidRDefault="006F293D">
          <w:pPr>
            <w:pStyle w:val="TOC2"/>
            <w:tabs>
              <w:tab w:val="right" w:leader="dot" w:pos="9016"/>
            </w:tabs>
            <w:rPr>
              <w:rFonts w:ascii="Arial" w:hAnsi="Arial" w:cs="Arial"/>
              <w:noProof/>
            </w:rPr>
          </w:pPr>
          <w:hyperlink w:anchor="_Toc235988263" w:history="1">
            <w:r w:rsidRPr="006F293D">
              <w:rPr>
                <w:rStyle w:val="Hyperlink"/>
                <w:rFonts w:ascii="Arial" w:hAnsi="Arial" w:cs="Arial"/>
                <w:noProof/>
              </w:rPr>
              <w:t>Task 1: Briefing report for the CEO and Board</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_Toc235988263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2</w:t>
            </w:r>
            <w:r w:rsidRPr="006F293D">
              <w:rPr>
                <w:rFonts w:ascii="Arial" w:hAnsi="Arial" w:cs="Arial"/>
                <w:noProof/>
                <w:webHidden/>
              </w:rPr>
              <w:fldChar w:fldCharType="end"/>
            </w:r>
          </w:hyperlink>
        </w:p>
        <w:p w14:paraId="3F28D6CB" w14:textId="39F4DE86" w:rsidR="006F293D" w:rsidRPr="006F293D" w:rsidRDefault="006F293D">
          <w:pPr>
            <w:pStyle w:val="TOC3"/>
            <w:tabs>
              <w:tab w:val="left" w:pos="1200"/>
              <w:tab w:val="right" w:leader="dot" w:pos="9016"/>
            </w:tabs>
            <w:rPr>
              <w:rFonts w:ascii="Arial" w:hAnsi="Arial" w:cs="Arial"/>
              <w:noProof/>
            </w:rPr>
          </w:pPr>
          <w:hyperlink w:anchor="_Toc235988264" w:history="1">
            <w:r w:rsidRPr="006F293D">
              <w:rPr>
                <w:rStyle w:val="Hyperlink"/>
                <w:rFonts w:ascii="Arial" w:hAnsi="Arial" w:cs="Arial"/>
                <w:noProof/>
              </w:rPr>
              <w:t>1.1</w:t>
            </w:r>
            <w:r w:rsidRPr="006F293D">
              <w:rPr>
                <w:rFonts w:ascii="Arial" w:hAnsi="Arial" w:cs="Arial"/>
                <w:noProof/>
              </w:rPr>
              <w:tab/>
            </w:r>
            <w:r w:rsidRPr="006F293D">
              <w:rPr>
                <w:rStyle w:val="Hyperlink"/>
                <w:rFonts w:ascii="Arial" w:hAnsi="Arial" w:cs="Arial"/>
                <w:noProof/>
              </w:rPr>
              <w:t>OLTP vs Data Warehouse</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_Toc235988264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2</w:t>
            </w:r>
            <w:r w:rsidRPr="006F293D">
              <w:rPr>
                <w:rFonts w:ascii="Arial" w:hAnsi="Arial" w:cs="Arial"/>
                <w:noProof/>
                <w:webHidden/>
              </w:rPr>
              <w:fldChar w:fldCharType="end"/>
            </w:r>
          </w:hyperlink>
        </w:p>
        <w:p w14:paraId="1CC4F234" w14:textId="44CA2188" w:rsidR="006F293D" w:rsidRPr="006F293D" w:rsidRDefault="006F293D">
          <w:pPr>
            <w:pStyle w:val="TOC3"/>
            <w:tabs>
              <w:tab w:val="left" w:pos="1200"/>
              <w:tab w:val="right" w:leader="dot" w:pos="9016"/>
            </w:tabs>
            <w:rPr>
              <w:rFonts w:ascii="Arial" w:hAnsi="Arial" w:cs="Arial"/>
              <w:noProof/>
            </w:rPr>
          </w:pPr>
          <w:hyperlink w:anchor="_Toc235988265" w:history="1">
            <w:r w:rsidRPr="006F293D">
              <w:rPr>
                <w:rStyle w:val="Hyperlink"/>
                <w:rFonts w:ascii="Arial" w:eastAsia="Times New Roman" w:hAnsi="Arial" w:cs="Arial"/>
                <w:noProof/>
                <w:lang w:eastAsia="en-GB"/>
              </w:rPr>
              <w:t>1.2</w:t>
            </w:r>
            <w:r w:rsidRPr="006F293D">
              <w:rPr>
                <w:rFonts w:ascii="Arial" w:hAnsi="Arial" w:cs="Arial"/>
                <w:noProof/>
              </w:rPr>
              <w:tab/>
            </w:r>
            <w:r w:rsidRPr="006F293D">
              <w:rPr>
                <w:rStyle w:val="Hyperlink"/>
                <w:rFonts w:ascii="Arial" w:eastAsia="Times New Roman" w:hAnsi="Arial" w:cs="Arial"/>
                <w:noProof/>
                <w:lang w:eastAsia="en-GB"/>
              </w:rPr>
              <w:t>Data Warehouse Architecture and ETL</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_Toc235988265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2</w:t>
            </w:r>
            <w:r w:rsidRPr="006F293D">
              <w:rPr>
                <w:rFonts w:ascii="Arial" w:hAnsi="Arial" w:cs="Arial"/>
                <w:noProof/>
                <w:webHidden/>
              </w:rPr>
              <w:fldChar w:fldCharType="end"/>
            </w:r>
          </w:hyperlink>
        </w:p>
        <w:p w14:paraId="4A8C812B" w14:textId="40AE150E" w:rsidR="006F293D" w:rsidRPr="006F293D" w:rsidRDefault="006F293D">
          <w:pPr>
            <w:pStyle w:val="TOC3"/>
            <w:tabs>
              <w:tab w:val="right" w:leader="dot" w:pos="9016"/>
            </w:tabs>
            <w:rPr>
              <w:rFonts w:ascii="Arial" w:hAnsi="Arial" w:cs="Arial"/>
              <w:noProof/>
            </w:rPr>
          </w:pPr>
          <w:hyperlink w:anchor="_Toc235988266" w:history="1">
            <w:r w:rsidRPr="006F293D">
              <w:rPr>
                <w:rStyle w:val="Hyperlink"/>
                <w:rFonts w:ascii="Arial" w:hAnsi="Arial" w:cs="Arial"/>
                <w:noProof/>
                <w:lang w:eastAsia="en-GB"/>
              </w:rPr>
              <w:t>Fig 1: NHS England's three-tier ETL pipeline and data warehouse design.</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_Toc235988266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3</w:t>
            </w:r>
            <w:r w:rsidRPr="006F293D">
              <w:rPr>
                <w:rFonts w:ascii="Arial" w:hAnsi="Arial" w:cs="Arial"/>
                <w:noProof/>
                <w:webHidden/>
              </w:rPr>
              <w:fldChar w:fldCharType="end"/>
            </w:r>
          </w:hyperlink>
        </w:p>
        <w:p w14:paraId="0B442504" w14:textId="1EBA13CB" w:rsidR="006F293D" w:rsidRPr="006F293D" w:rsidRDefault="006F293D">
          <w:pPr>
            <w:pStyle w:val="TOC2"/>
            <w:tabs>
              <w:tab w:val="left" w:pos="960"/>
              <w:tab w:val="right" w:leader="dot" w:pos="9016"/>
            </w:tabs>
            <w:rPr>
              <w:rFonts w:ascii="Arial" w:hAnsi="Arial" w:cs="Arial"/>
              <w:noProof/>
            </w:rPr>
          </w:pPr>
          <w:hyperlink w:anchor="_Toc235988267" w:history="1">
            <w:r w:rsidRPr="006F293D">
              <w:rPr>
                <w:rStyle w:val="Hyperlink"/>
                <w:rFonts w:ascii="Arial" w:hAnsi="Arial" w:cs="Arial"/>
                <w:noProof/>
              </w:rPr>
              <w:t>1.3</w:t>
            </w:r>
            <w:r w:rsidRPr="006F293D">
              <w:rPr>
                <w:rFonts w:ascii="Arial" w:hAnsi="Arial" w:cs="Arial"/>
                <w:noProof/>
              </w:rPr>
              <w:tab/>
            </w:r>
            <w:r w:rsidRPr="006F293D">
              <w:rPr>
                <w:rStyle w:val="Hyperlink"/>
                <w:rFonts w:ascii="Arial" w:hAnsi="Arial" w:cs="Arial"/>
                <w:noProof/>
              </w:rPr>
              <w:t>Data Marts for management decision making</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_Toc235988267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3</w:t>
            </w:r>
            <w:r w:rsidRPr="006F293D">
              <w:rPr>
                <w:rFonts w:ascii="Arial" w:hAnsi="Arial" w:cs="Arial"/>
                <w:noProof/>
                <w:webHidden/>
              </w:rPr>
              <w:fldChar w:fldCharType="end"/>
            </w:r>
          </w:hyperlink>
        </w:p>
        <w:p w14:paraId="504CCE7D" w14:textId="0E1A8324" w:rsidR="006F293D" w:rsidRPr="006F293D" w:rsidRDefault="006F293D">
          <w:pPr>
            <w:pStyle w:val="TOC2"/>
            <w:tabs>
              <w:tab w:val="left" w:pos="960"/>
              <w:tab w:val="right" w:leader="dot" w:pos="9016"/>
            </w:tabs>
            <w:rPr>
              <w:rFonts w:ascii="Arial" w:hAnsi="Arial" w:cs="Arial"/>
              <w:noProof/>
            </w:rPr>
          </w:pPr>
          <w:hyperlink w:anchor="_Toc235988268" w:history="1">
            <w:r w:rsidRPr="006F293D">
              <w:rPr>
                <w:rStyle w:val="Hyperlink"/>
                <w:rFonts w:ascii="Arial" w:eastAsia="Times New Roman" w:hAnsi="Arial" w:cs="Arial"/>
                <w:noProof/>
                <w:lang w:eastAsia="en-GB"/>
              </w:rPr>
              <w:t>1.4</w:t>
            </w:r>
            <w:r w:rsidRPr="006F293D">
              <w:rPr>
                <w:rFonts w:ascii="Arial" w:hAnsi="Arial" w:cs="Arial"/>
                <w:noProof/>
              </w:rPr>
              <w:tab/>
            </w:r>
            <w:r w:rsidRPr="006F293D">
              <w:rPr>
                <w:rStyle w:val="Hyperlink"/>
                <w:rFonts w:ascii="Arial" w:eastAsia="Times New Roman" w:hAnsi="Arial" w:cs="Arial"/>
                <w:noProof/>
                <w:lang w:eastAsia="en-GB"/>
              </w:rPr>
              <w:t>OLTP Normalisation and Dimensional Modelling</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_Toc235988268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4</w:t>
            </w:r>
            <w:r w:rsidRPr="006F293D">
              <w:rPr>
                <w:rFonts w:ascii="Arial" w:hAnsi="Arial" w:cs="Arial"/>
                <w:noProof/>
                <w:webHidden/>
              </w:rPr>
              <w:fldChar w:fldCharType="end"/>
            </w:r>
          </w:hyperlink>
        </w:p>
        <w:p w14:paraId="2D9A688E" w14:textId="02A46E13" w:rsidR="006F293D" w:rsidRPr="006F293D" w:rsidRDefault="006F293D">
          <w:pPr>
            <w:pStyle w:val="TOC3"/>
            <w:tabs>
              <w:tab w:val="right" w:leader="dot" w:pos="9016"/>
            </w:tabs>
            <w:rPr>
              <w:rFonts w:ascii="Arial" w:hAnsi="Arial" w:cs="Arial"/>
              <w:noProof/>
            </w:rPr>
          </w:pPr>
          <w:hyperlink w:anchor="_Toc235988269" w:history="1">
            <w:r w:rsidRPr="006F293D">
              <w:rPr>
                <w:rStyle w:val="Hyperlink"/>
                <w:rFonts w:ascii="Arial" w:eastAsia="Times New Roman" w:hAnsi="Arial" w:cs="Arial"/>
                <w:noProof/>
                <w:lang w:eastAsia="en-GB"/>
              </w:rPr>
              <w:t xml:space="preserve">Fig 2: </w:t>
            </w:r>
            <w:r w:rsidRPr="006F293D">
              <w:rPr>
                <w:rStyle w:val="Hyperlink"/>
                <w:rFonts w:ascii="Arial" w:hAnsi="Arial" w:cs="Arial"/>
                <w:iCs/>
                <w:noProof/>
              </w:rPr>
              <w:t>Star schema for NHS patient activity</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_Toc235988269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5</w:t>
            </w:r>
            <w:r w:rsidRPr="006F293D">
              <w:rPr>
                <w:rFonts w:ascii="Arial" w:hAnsi="Arial" w:cs="Arial"/>
                <w:noProof/>
                <w:webHidden/>
              </w:rPr>
              <w:fldChar w:fldCharType="end"/>
            </w:r>
          </w:hyperlink>
        </w:p>
        <w:p w14:paraId="17A9CC95" w14:textId="45EE368A" w:rsidR="006F293D" w:rsidRPr="006F293D" w:rsidRDefault="006F293D">
          <w:pPr>
            <w:pStyle w:val="TOC2"/>
            <w:tabs>
              <w:tab w:val="right" w:leader="dot" w:pos="9016"/>
            </w:tabs>
            <w:rPr>
              <w:rFonts w:ascii="Arial" w:hAnsi="Arial" w:cs="Arial"/>
              <w:noProof/>
            </w:rPr>
          </w:pPr>
          <w:hyperlink w:anchor="_Toc235988270" w:history="1">
            <w:r w:rsidRPr="006F293D">
              <w:rPr>
                <w:rStyle w:val="Hyperlink"/>
                <w:rFonts w:ascii="Arial" w:hAnsi="Arial" w:cs="Arial"/>
                <w:noProof/>
              </w:rPr>
              <w:t>Task 2: Star Schema Design and Implementation Plan</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_Toc235988270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5</w:t>
            </w:r>
            <w:r w:rsidRPr="006F293D">
              <w:rPr>
                <w:rFonts w:ascii="Arial" w:hAnsi="Arial" w:cs="Arial"/>
                <w:noProof/>
                <w:webHidden/>
              </w:rPr>
              <w:fldChar w:fldCharType="end"/>
            </w:r>
          </w:hyperlink>
        </w:p>
        <w:p w14:paraId="681A1E0F" w14:textId="7D8D72F1" w:rsidR="006F293D" w:rsidRPr="006F293D" w:rsidRDefault="006F293D">
          <w:pPr>
            <w:pStyle w:val="TOC3"/>
            <w:tabs>
              <w:tab w:val="right" w:leader="dot" w:pos="9016"/>
            </w:tabs>
            <w:rPr>
              <w:rFonts w:ascii="Arial" w:hAnsi="Arial" w:cs="Arial"/>
              <w:noProof/>
            </w:rPr>
          </w:pPr>
          <w:hyperlink w:anchor="_Toc235988271" w:history="1">
            <w:r w:rsidRPr="006F293D">
              <w:rPr>
                <w:rStyle w:val="Hyperlink"/>
                <w:rFonts w:ascii="Arial" w:hAnsi="Arial" w:cs="Arial"/>
                <w:noProof/>
              </w:rPr>
              <w:t>2.1 Source System Identification</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_Toc235988271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5</w:t>
            </w:r>
            <w:r w:rsidRPr="006F293D">
              <w:rPr>
                <w:rFonts w:ascii="Arial" w:hAnsi="Arial" w:cs="Arial"/>
                <w:noProof/>
                <w:webHidden/>
              </w:rPr>
              <w:fldChar w:fldCharType="end"/>
            </w:r>
          </w:hyperlink>
        </w:p>
        <w:p w14:paraId="4D000C8D" w14:textId="52296FA8" w:rsidR="006F293D" w:rsidRPr="006F293D" w:rsidRDefault="006F293D">
          <w:pPr>
            <w:pStyle w:val="TOC3"/>
            <w:tabs>
              <w:tab w:val="right" w:leader="dot" w:pos="9016"/>
            </w:tabs>
            <w:rPr>
              <w:rFonts w:ascii="Arial" w:hAnsi="Arial" w:cs="Arial"/>
              <w:noProof/>
            </w:rPr>
          </w:pPr>
          <w:hyperlink w:anchor="_Toc235988272" w:history="1">
            <w:r w:rsidRPr="006F293D">
              <w:rPr>
                <w:rStyle w:val="Hyperlink"/>
                <w:rFonts w:ascii="Arial" w:hAnsi="Arial" w:cs="Arial"/>
                <w:noProof/>
                <w:lang w:eastAsia="en-GB"/>
              </w:rPr>
              <w:t>2.2 Star Schema Design</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_Toc235988272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6</w:t>
            </w:r>
            <w:r w:rsidRPr="006F293D">
              <w:rPr>
                <w:rFonts w:ascii="Arial" w:hAnsi="Arial" w:cs="Arial"/>
                <w:noProof/>
                <w:webHidden/>
              </w:rPr>
              <w:fldChar w:fldCharType="end"/>
            </w:r>
          </w:hyperlink>
        </w:p>
        <w:p w14:paraId="15EE54AB" w14:textId="09A5176F" w:rsidR="006F293D" w:rsidRPr="006F293D" w:rsidRDefault="006F293D">
          <w:pPr>
            <w:pStyle w:val="TOC3"/>
            <w:tabs>
              <w:tab w:val="right" w:leader="dot" w:pos="9016"/>
            </w:tabs>
            <w:rPr>
              <w:rFonts w:ascii="Arial" w:hAnsi="Arial" w:cs="Arial"/>
              <w:noProof/>
            </w:rPr>
          </w:pPr>
          <w:hyperlink w:anchor="_Toc235988273" w:history="1">
            <w:r w:rsidRPr="006F293D">
              <w:rPr>
                <w:rStyle w:val="Hyperlink"/>
                <w:rFonts w:ascii="Arial" w:hAnsi="Arial" w:cs="Arial"/>
                <w:noProof/>
                <w:lang w:eastAsia="en-GB"/>
              </w:rPr>
              <w:t>Fig 3: Fact constellation schema with conformed dimension bus in the NHS England data warehouse.</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_Toc235988273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7</w:t>
            </w:r>
            <w:r w:rsidRPr="006F293D">
              <w:rPr>
                <w:rFonts w:ascii="Arial" w:hAnsi="Arial" w:cs="Arial"/>
                <w:noProof/>
                <w:webHidden/>
              </w:rPr>
              <w:fldChar w:fldCharType="end"/>
            </w:r>
          </w:hyperlink>
        </w:p>
        <w:p w14:paraId="7332D69F" w14:textId="6E16CE1D" w:rsidR="006F293D" w:rsidRPr="006F293D" w:rsidRDefault="006F293D">
          <w:pPr>
            <w:pStyle w:val="TOC2"/>
            <w:tabs>
              <w:tab w:val="right" w:leader="dot" w:pos="9016"/>
            </w:tabs>
            <w:rPr>
              <w:rFonts w:ascii="Arial" w:hAnsi="Arial" w:cs="Arial"/>
              <w:noProof/>
            </w:rPr>
          </w:pPr>
          <w:hyperlink w:anchor="_Toc235988274" w:history="1">
            <w:r w:rsidRPr="006F293D">
              <w:rPr>
                <w:rStyle w:val="Hyperlink"/>
                <w:rFonts w:ascii="Arial" w:hAnsi="Arial" w:cs="Arial"/>
                <w:noProof/>
                <w:lang w:eastAsia="en-GB"/>
              </w:rPr>
              <w:t>2.3 Data Marts and Schema</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_Toc235988274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7</w:t>
            </w:r>
            <w:r w:rsidRPr="006F293D">
              <w:rPr>
                <w:rFonts w:ascii="Arial" w:hAnsi="Arial" w:cs="Arial"/>
                <w:noProof/>
                <w:webHidden/>
              </w:rPr>
              <w:fldChar w:fldCharType="end"/>
            </w:r>
          </w:hyperlink>
        </w:p>
        <w:p w14:paraId="00607BF0" w14:textId="7B80FA9C" w:rsidR="006F293D" w:rsidRPr="006F293D" w:rsidRDefault="006F293D">
          <w:pPr>
            <w:pStyle w:val="TOC2"/>
            <w:tabs>
              <w:tab w:val="right" w:leader="dot" w:pos="9016"/>
            </w:tabs>
            <w:rPr>
              <w:rFonts w:ascii="Arial" w:hAnsi="Arial" w:cs="Arial"/>
              <w:noProof/>
            </w:rPr>
          </w:pPr>
          <w:hyperlink w:anchor="_Toc235988275" w:history="1">
            <w:r w:rsidRPr="006F293D">
              <w:rPr>
                <w:rStyle w:val="Hyperlink"/>
                <w:rFonts w:ascii="Arial" w:eastAsia="Times New Roman" w:hAnsi="Arial" w:cs="Arial"/>
                <w:noProof/>
                <w:lang w:eastAsia="en-GB"/>
              </w:rPr>
              <w:t>2.4 ETL Plan</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_Toc235988275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8</w:t>
            </w:r>
            <w:r w:rsidRPr="006F293D">
              <w:rPr>
                <w:rFonts w:ascii="Arial" w:hAnsi="Arial" w:cs="Arial"/>
                <w:noProof/>
                <w:webHidden/>
              </w:rPr>
              <w:fldChar w:fldCharType="end"/>
            </w:r>
          </w:hyperlink>
        </w:p>
        <w:p w14:paraId="107F6881" w14:textId="116230D2" w:rsidR="006F293D" w:rsidRPr="006F293D" w:rsidRDefault="006F293D">
          <w:pPr>
            <w:pStyle w:val="TOC2"/>
            <w:tabs>
              <w:tab w:val="right" w:leader="dot" w:pos="9016"/>
            </w:tabs>
            <w:rPr>
              <w:rFonts w:ascii="Arial" w:hAnsi="Arial" w:cs="Arial"/>
              <w:noProof/>
            </w:rPr>
          </w:pPr>
          <w:hyperlink w:anchor="_Toc235988276" w:history="1">
            <w:r w:rsidRPr="006F293D">
              <w:rPr>
                <w:rStyle w:val="Hyperlink"/>
                <w:rFonts w:ascii="Arial" w:hAnsi="Arial" w:cs="Arial"/>
                <w:noProof/>
                <w:lang w:eastAsia="en-GB"/>
              </w:rPr>
              <w:t>2.5 Data Quality and Governance</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_Toc235988276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9</w:t>
            </w:r>
            <w:r w:rsidRPr="006F293D">
              <w:rPr>
                <w:rFonts w:ascii="Arial" w:hAnsi="Arial" w:cs="Arial"/>
                <w:noProof/>
                <w:webHidden/>
              </w:rPr>
              <w:fldChar w:fldCharType="end"/>
            </w:r>
          </w:hyperlink>
        </w:p>
        <w:p w14:paraId="02D8C6D4" w14:textId="7B142BE6" w:rsidR="006F293D" w:rsidRPr="006F293D" w:rsidRDefault="006F293D">
          <w:pPr>
            <w:pStyle w:val="TOC2"/>
            <w:tabs>
              <w:tab w:val="right" w:leader="dot" w:pos="9016"/>
            </w:tabs>
            <w:rPr>
              <w:rFonts w:ascii="Arial" w:hAnsi="Arial" w:cs="Arial"/>
              <w:noProof/>
            </w:rPr>
          </w:pPr>
          <w:hyperlink w:anchor="_Toc235988277" w:history="1">
            <w:r w:rsidRPr="006F293D">
              <w:rPr>
                <w:rStyle w:val="Hyperlink"/>
                <w:rFonts w:ascii="Arial" w:hAnsi="Arial" w:cs="Arial"/>
                <w:noProof/>
                <w:lang w:eastAsia="en-GB"/>
              </w:rPr>
              <w:t>3. Conclusion:</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_Toc235988277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9</w:t>
            </w:r>
            <w:r w:rsidRPr="006F293D">
              <w:rPr>
                <w:rFonts w:ascii="Arial" w:hAnsi="Arial" w:cs="Arial"/>
                <w:noProof/>
                <w:webHidden/>
              </w:rPr>
              <w:fldChar w:fldCharType="end"/>
            </w:r>
          </w:hyperlink>
        </w:p>
        <w:p w14:paraId="51506A12" w14:textId="228A2385" w:rsidR="006F293D" w:rsidRPr="006F293D" w:rsidRDefault="006F293D">
          <w:pPr>
            <w:pStyle w:val="TOC2"/>
            <w:tabs>
              <w:tab w:val="right" w:leader="dot" w:pos="9016"/>
            </w:tabs>
            <w:rPr>
              <w:rFonts w:ascii="Arial" w:hAnsi="Arial" w:cs="Arial"/>
              <w:noProof/>
            </w:rPr>
          </w:pPr>
          <w:hyperlink w:anchor="_Toc235988278" w:history="1">
            <w:r w:rsidRPr="006F293D">
              <w:rPr>
                <w:rStyle w:val="Hyperlink"/>
                <w:rFonts w:ascii="Arial" w:hAnsi="Arial" w:cs="Arial"/>
                <w:noProof/>
                <w:lang w:eastAsia="en-GB"/>
              </w:rPr>
              <w:t>References:</w:t>
            </w:r>
            <w:r w:rsidRPr="006F293D">
              <w:rPr>
                <w:rFonts w:ascii="Arial" w:hAnsi="Arial" w:cs="Arial"/>
                <w:noProof/>
                <w:webHidden/>
              </w:rPr>
              <w:tab/>
            </w:r>
            <w:r w:rsidRPr="006F293D">
              <w:rPr>
                <w:rFonts w:ascii="Arial" w:hAnsi="Arial" w:cs="Arial"/>
                <w:noProof/>
                <w:webHidden/>
              </w:rPr>
              <w:fldChar w:fldCharType="begin"/>
            </w:r>
            <w:r w:rsidRPr="006F293D">
              <w:rPr>
                <w:rFonts w:ascii="Arial" w:hAnsi="Arial" w:cs="Arial"/>
                <w:noProof/>
                <w:webHidden/>
              </w:rPr>
              <w:instrText xml:space="preserve"> PAGEREF _Toc235988278 \h </w:instrText>
            </w:r>
            <w:r w:rsidRPr="006F293D">
              <w:rPr>
                <w:rFonts w:ascii="Arial" w:hAnsi="Arial" w:cs="Arial"/>
                <w:noProof/>
                <w:webHidden/>
              </w:rPr>
            </w:r>
            <w:r w:rsidRPr="006F293D">
              <w:rPr>
                <w:rFonts w:ascii="Arial" w:hAnsi="Arial" w:cs="Arial"/>
                <w:noProof/>
                <w:webHidden/>
              </w:rPr>
              <w:fldChar w:fldCharType="separate"/>
            </w:r>
            <w:r w:rsidRPr="006F293D">
              <w:rPr>
                <w:rFonts w:ascii="Arial" w:hAnsi="Arial" w:cs="Arial"/>
                <w:noProof/>
                <w:webHidden/>
              </w:rPr>
              <w:t>9</w:t>
            </w:r>
            <w:r w:rsidRPr="006F293D">
              <w:rPr>
                <w:rFonts w:ascii="Arial" w:hAnsi="Arial" w:cs="Arial"/>
                <w:noProof/>
                <w:webHidden/>
              </w:rPr>
              <w:fldChar w:fldCharType="end"/>
            </w:r>
          </w:hyperlink>
        </w:p>
        <w:p w14:paraId="7749807A" w14:textId="28816229" w:rsidR="006F293D" w:rsidRDefault="006F293D">
          <w:r w:rsidRPr="006F293D">
            <w:rPr>
              <w:rFonts w:ascii="Arial" w:hAnsi="Arial" w:cs="Arial"/>
              <w:b/>
              <w:bCs/>
              <w:noProof/>
            </w:rPr>
            <w:fldChar w:fldCharType="end"/>
          </w:r>
        </w:p>
      </w:sdtContent>
    </w:sdt>
    <w:p w14:paraId="64829AF7" w14:textId="77777777" w:rsidR="008449E3" w:rsidRDefault="008449E3"/>
    <w:p w14:paraId="2FD35AA1" w14:textId="77777777" w:rsidR="00A71877" w:rsidRDefault="00A71877"/>
    <w:p w14:paraId="30138F2E" w14:textId="77777777" w:rsidR="00A71877" w:rsidRDefault="00A71877"/>
    <w:p w14:paraId="411F9802" w14:textId="77777777" w:rsidR="00A71877" w:rsidRDefault="00A71877"/>
    <w:p w14:paraId="3C57D798" w14:textId="77777777" w:rsidR="00A71877" w:rsidRDefault="00A71877"/>
    <w:p w14:paraId="6431E1C6" w14:textId="77777777" w:rsidR="00A71877" w:rsidRDefault="00A71877"/>
    <w:p w14:paraId="2B8C5898" w14:textId="77777777" w:rsidR="00A71877" w:rsidRDefault="00A71877"/>
    <w:p w14:paraId="36B3AA43" w14:textId="77777777" w:rsidR="00A71877" w:rsidRDefault="00A71877"/>
    <w:p w14:paraId="4281EA68" w14:textId="77777777" w:rsidR="00A71877" w:rsidRDefault="00A71877"/>
    <w:p w14:paraId="623D4EE2" w14:textId="77777777" w:rsidR="00A71877" w:rsidRDefault="00A71877"/>
    <w:p w14:paraId="049DBF1A" w14:textId="77777777" w:rsidR="00A71877" w:rsidRDefault="00A71877"/>
    <w:p w14:paraId="7CA869C9" w14:textId="77777777" w:rsidR="00A71877" w:rsidRDefault="00A71877"/>
    <w:p w14:paraId="69E2F570" w14:textId="77777777" w:rsidR="00A71877" w:rsidRDefault="00A71877"/>
    <w:p w14:paraId="5D25E89D" w14:textId="77777777" w:rsidR="00A71877" w:rsidRDefault="00A71877"/>
    <w:p w14:paraId="141811E7" w14:textId="77777777" w:rsidR="00A71877" w:rsidRDefault="00A71877"/>
    <w:p w14:paraId="3FAFED3B" w14:textId="77777777" w:rsidR="00A71877" w:rsidRDefault="00A71877"/>
    <w:p w14:paraId="5D78D235" w14:textId="77777777" w:rsidR="00A71877" w:rsidRDefault="00A71877"/>
    <w:p w14:paraId="4F75AB0F" w14:textId="77777777" w:rsidR="00A71877" w:rsidRDefault="00A71877"/>
    <w:p w14:paraId="05AFB7C4" w14:textId="77777777" w:rsidR="00A71877" w:rsidRDefault="00A71877"/>
    <w:p w14:paraId="70613293" w14:textId="77777777" w:rsidR="00A71877" w:rsidRDefault="00A71877"/>
    <w:p w14:paraId="7164CFA1" w14:textId="77777777" w:rsidR="00A71877" w:rsidRDefault="00A71877"/>
    <w:p w14:paraId="5D807FF3" w14:textId="77777777" w:rsidR="00A71877" w:rsidRDefault="00A71877"/>
    <w:p w14:paraId="56E6425A" w14:textId="77777777" w:rsidR="00A71877" w:rsidRDefault="00A71877"/>
    <w:p w14:paraId="5436C6BA" w14:textId="77777777" w:rsidR="00A71877" w:rsidRDefault="00A71877"/>
    <w:p w14:paraId="4C036A89" w14:textId="77777777" w:rsidR="00A71877" w:rsidRDefault="00A71877"/>
    <w:p w14:paraId="32E89CDF" w14:textId="77777777" w:rsidR="00A71877" w:rsidRDefault="00A71877"/>
    <w:p w14:paraId="72163F07" w14:textId="77777777" w:rsidR="00A71877" w:rsidRDefault="00A71877"/>
    <w:p w14:paraId="031DC58F" w14:textId="77777777" w:rsidR="00A71877" w:rsidRDefault="00A71877"/>
    <w:p w14:paraId="19E4F46F" w14:textId="422E0C41" w:rsidR="00A71877" w:rsidRDefault="00A71877" w:rsidP="00A71877">
      <w:pPr>
        <w:pStyle w:val="Heading1"/>
        <w:rPr>
          <w:rFonts w:ascii="Arial" w:hAnsi="Arial" w:cs="Arial"/>
          <w:sz w:val="36"/>
          <w:szCs w:val="36"/>
        </w:rPr>
      </w:pPr>
      <w:bookmarkStart w:id="0" w:name="_Toc235988262"/>
      <w:r>
        <w:rPr>
          <w:rFonts w:ascii="Arial" w:hAnsi="Arial" w:cs="Arial"/>
          <w:sz w:val="36"/>
          <w:szCs w:val="36"/>
        </w:rPr>
        <w:t>Introduction:</w:t>
      </w:r>
      <w:bookmarkEnd w:id="0"/>
    </w:p>
    <w:p w14:paraId="0859D2E9" w14:textId="77777777" w:rsidR="00A71877" w:rsidRDefault="00A71877" w:rsidP="00A71877">
      <w:pPr>
        <w:rPr>
          <w:rFonts w:ascii="Arial" w:hAnsi="Arial" w:cs="Arial"/>
        </w:rPr>
      </w:pPr>
      <w:r w:rsidRPr="00A71877">
        <w:rPr>
          <w:rFonts w:ascii="Arial" w:hAnsi="Arial" w:cs="Arial"/>
        </w:rPr>
        <w:t>As an outside data warehousing specialist hired by NHS England, I generated this study. The Chief Executive's need to comprehend the strategic reason for investing in a data warehouse in plain language is addressed in Task 1. The Chief Executive and Board, who have since authorised the proposal, are presented with a comprehensive technical design in Task 2, which includes a star/constellation schema and an execution plan. The Electronic Patient Record (EPR), Patient Administration System (PAS), workforce, and financial systems of NHS England are among the operational contexts from which examples are taken throughout.</w:t>
      </w:r>
    </w:p>
    <w:p w14:paraId="7090433F" w14:textId="6BF1FDD0" w:rsidR="00A71877" w:rsidRDefault="00A71877" w:rsidP="00A71877">
      <w:pPr>
        <w:pStyle w:val="Heading2"/>
        <w:rPr>
          <w:rFonts w:ascii="Arial" w:hAnsi="Arial" w:cs="Arial"/>
        </w:rPr>
      </w:pPr>
      <w:bookmarkStart w:id="1" w:name="_Toc235988263"/>
      <w:r>
        <w:rPr>
          <w:rFonts w:ascii="Arial" w:hAnsi="Arial" w:cs="Arial"/>
        </w:rPr>
        <w:t>Task 1: Briefing report for the CEO and Board</w:t>
      </w:r>
      <w:bookmarkEnd w:id="1"/>
      <w:r>
        <w:rPr>
          <w:rFonts w:ascii="Arial" w:hAnsi="Arial" w:cs="Arial"/>
        </w:rPr>
        <w:t xml:space="preserve"> </w:t>
      </w:r>
    </w:p>
    <w:p w14:paraId="62138EB0" w14:textId="13EEF3C1" w:rsidR="00A71877" w:rsidRDefault="00A71877" w:rsidP="00A71877">
      <w:pPr>
        <w:pStyle w:val="Heading3"/>
        <w:numPr>
          <w:ilvl w:val="1"/>
          <w:numId w:val="1"/>
        </w:numPr>
        <w:rPr>
          <w:rFonts w:ascii="Arial" w:hAnsi="Arial" w:cs="Arial"/>
        </w:rPr>
      </w:pPr>
      <w:bookmarkStart w:id="2" w:name="_Toc235988264"/>
      <w:r>
        <w:rPr>
          <w:rFonts w:ascii="Arial" w:hAnsi="Arial" w:cs="Arial"/>
        </w:rPr>
        <w:t>OLTP vs Data Warehouse</w:t>
      </w:r>
      <w:bookmarkEnd w:id="2"/>
    </w:p>
    <w:p w14:paraId="34A9002F" w14:textId="3D7C55A7" w:rsidR="00A71877" w:rsidRDefault="00A71877" w:rsidP="00A71877">
      <w:pPr>
        <w:pStyle w:val="ListParagraph"/>
        <w:spacing w:after="0" w:line="240" w:lineRule="auto"/>
        <w:ind w:left="465"/>
        <w:rPr>
          <w:rFonts w:ascii="Arial" w:eastAsia="Times New Roman" w:hAnsi="Arial" w:cs="Arial"/>
          <w:kern w:val="0"/>
          <w:lang w:eastAsia="en-GB"/>
          <w14:ligatures w14:val="none"/>
        </w:rPr>
      </w:pPr>
      <w:r w:rsidRPr="00A71877">
        <w:rPr>
          <w:rFonts w:ascii="Arial" w:eastAsia="Times New Roman" w:hAnsi="Arial" w:cs="Arial"/>
          <w:kern w:val="0"/>
          <w:lang w:eastAsia="en-GB"/>
          <w14:ligatures w14:val="none"/>
        </w:rPr>
        <w:t xml:space="preserve">For daily operations, NHS England already uses Online Transaction Processing (OLTP) systems including the Patient Administration System (PAS) and the Electronic Patient Record (EPR). To avoid data redundancy and maintain </w:t>
      </w:r>
      <w:r w:rsidRPr="00A71877">
        <w:rPr>
          <w:rFonts w:ascii="Arial" w:eastAsia="Times New Roman" w:hAnsi="Arial" w:cs="Arial"/>
          <w:kern w:val="0"/>
          <w:lang w:eastAsia="en-GB"/>
          <w14:ligatures w14:val="none"/>
        </w:rPr>
        <w:lastRenderedPageBreak/>
        <w:t>update integrity, these systems employ normalised relational structures. This ensures that only one record is updated and the system is consistent when a patient is admitted, discharged, or their bed status changes [1]. Only current operational data is usually retained by OLTP systems, which are geared for high numbers of brief, concurrent read/write transactions. Older records are archived to maintain performance.</w:t>
      </w:r>
    </w:p>
    <w:p w14:paraId="5D108835" w14:textId="77777777" w:rsidR="00A71877" w:rsidRPr="00A71877" w:rsidRDefault="00A71877" w:rsidP="00A71877">
      <w:pPr>
        <w:pStyle w:val="ListParagraph"/>
        <w:ind w:left="465"/>
        <w:rPr>
          <w:rFonts w:ascii="Arial" w:eastAsia="Times New Roman" w:hAnsi="Arial" w:cs="Arial"/>
          <w:kern w:val="0"/>
          <w:lang w:eastAsia="en-GB"/>
          <w14:ligatures w14:val="none"/>
        </w:rPr>
      </w:pPr>
      <w:r w:rsidRPr="00A71877">
        <w:rPr>
          <w:rFonts w:ascii="Arial" w:eastAsia="Times New Roman" w:hAnsi="Arial" w:cs="Arial"/>
          <w:kern w:val="0"/>
          <w:lang w:eastAsia="en-GB"/>
          <w14:ligatures w14:val="none"/>
        </w:rPr>
        <w:t>The function of a data warehouse is essentially different. It is a subject-oriented, integrated, time-varying, and non-volatile collection of data put together to assist management decision-making, according to Inmon [1]. A data warehouse integrates historical data from EPR, PAS, workforce, and financial systems into a single analytical storage that is geared for intricate, read-intensive queries rather than quick updates, as opposed to documenting individual transactions [2]. According to Chaudhuri and Dayal [2], a data warehouse responds to "what has been happening" (e.g., how has regional bed occupancy trended over the last three winters), while OLTP responds to "what is happening now" (e.g., is a given bed currently occupied).</w:t>
      </w:r>
    </w:p>
    <w:p w14:paraId="2BAB3CFC" w14:textId="755D8440" w:rsidR="00A71877" w:rsidRDefault="00A71877" w:rsidP="00A71877">
      <w:pPr>
        <w:pStyle w:val="ListParagraph"/>
        <w:ind w:left="465"/>
        <w:rPr>
          <w:rFonts w:ascii="Arial" w:eastAsia="Times New Roman" w:hAnsi="Arial" w:cs="Arial"/>
          <w:kern w:val="0"/>
          <w:lang w:eastAsia="en-GB"/>
          <w14:ligatures w14:val="none"/>
        </w:rPr>
      </w:pPr>
      <w:r w:rsidRPr="00A71877">
        <w:rPr>
          <w:rFonts w:ascii="Arial" w:eastAsia="Times New Roman" w:hAnsi="Arial" w:cs="Arial"/>
          <w:kern w:val="0"/>
          <w:lang w:eastAsia="en-GB"/>
          <w14:ligatures w14:val="none"/>
        </w:rPr>
        <w:t>Investing in a data warehouse benefits the Board by enabling trend analysis, cross-site benchmarking, and long-term capacity planning—all of which the OLTP systems were never intended to support—without adding analytical query load to the live clinical systems that frontline staff rely on daily.</w:t>
      </w:r>
    </w:p>
    <w:p w14:paraId="786D0098" w14:textId="77777777" w:rsidR="00A71877" w:rsidRDefault="00A71877" w:rsidP="00A71877">
      <w:pPr>
        <w:pStyle w:val="ListParagraph"/>
        <w:ind w:left="465"/>
        <w:rPr>
          <w:rFonts w:ascii="Arial" w:eastAsia="Times New Roman" w:hAnsi="Arial" w:cs="Arial"/>
          <w:kern w:val="0"/>
          <w:lang w:eastAsia="en-GB"/>
          <w14:ligatures w14:val="none"/>
        </w:rPr>
      </w:pPr>
    </w:p>
    <w:p w14:paraId="4AAEC943" w14:textId="01088A7C" w:rsidR="00A71877" w:rsidRDefault="00A71877" w:rsidP="00A71877">
      <w:pPr>
        <w:pStyle w:val="Heading3"/>
        <w:numPr>
          <w:ilvl w:val="1"/>
          <w:numId w:val="1"/>
        </w:numPr>
        <w:rPr>
          <w:rFonts w:ascii="Arial" w:eastAsia="Times New Roman" w:hAnsi="Arial" w:cs="Arial"/>
          <w:lang w:eastAsia="en-GB"/>
        </w:rPr>
      </w:pPr>
      <w:bookmarkStart w:id="3" w:name="_Toc235988265"/>
      <w:r>
        <w:rPr>
          <w:rFonts w:ascii="Arial" w:eastAsia="Times New Roman" w:hAnsi="Arial" w:cs="Arial"/>
          <w:lang w:eastAsia="en-GB"/>
        </w:rPr>
        <w:t>Data Warehouse Architecture and ETL</w:t>
      </w:r>
      <w:bookmarkEnd w:id="3"/>
      <w:r>
        <w:rPr>
          <w:rFonts w:ascii="Arial" w:eastAsia="Times New Roman" w:hAnsi="Arial" w:cs="Arial"/>
          <w:lang w:eastAsia="en-GB"/>
        </w:rPr>
        <w:t xml:space="preserve"> </w:t>
      </w:r>
    </w:p>
    <w:p w14:paraId="495522C8" w14:textId="77777777" w:rsidR="00A71877" w:rsidRDefault="00A71877" w:rsidP="00A71877">
      <w:pPr>
        <w:rPr>
          <w:rFonts w:ascii="Arial" w:hAnsi="Arial" w:cs="Arial"/>
          <w:lang w:eastAsia="en-GB"/>
        </w:rPr>
      </w:pPr>
      <w:r>
        <w:rPr>
          <w:lang w:eastAsia="en-GB"/>
        </w:rPr>
        <w:t xml:space="preserve">  </w:t>
      </w:r>
      <w:r w:rsidRPr="00A71877">
        <w:rPr>
          <w:rFonts w:ascii="Arial" w:hAnsi="Arial" w:cs="Arial"/>
          <w:lang w:eastAsia="en-GB"/>
        </w:rPr>
        <w:t xml:space="preserve">       As shown in Figure 1 [3], [4], a data warehouse is often implemented as a three-tier architecture. Tier 1 consists of the operational source systems that are currently in use throughout NHS England: the Electronic Staff Record (ESR) contains workforce data; the finance and costing ledger contains budgetary and tariff data; the Secondary Uses Service (SUS) and Hospital Episode Statistics (HES) provide nationally standardised activity data; and the EPR and PAS contain patient, admission, and clinical activity data [5]. The Extract, Transform, Load (ETL) layer, a staging area, and the corporate data warehouse itself make up Tier 2. The Business Intelligence (BI) dashboards and data marts utilised by the Chief Executive, Finance Director, and Medical Director make up Tier 3.</w:t>
      </w:r>
    </w:p>
    <w:p w14:paraId="6F5BDE2C" w14:textId="282B612D" w:rsidR="00A71877" w:rsidRPr="00A71877" w:rsidRDefault="00A71877" w:rsidP="00A71877">
      <w:pPr>
        <w:rPr>
          <w:rFonts w:ascii="Arial" w:hAnsi="Arial" w:cs="Arial"/>
          <w:lang w:eastAsia="en-GB"/>
        </w:rPr>
      </w:pPr>
      <w:r w:rsidRPr="00A71877">
        <w:rPr>
          <w:rFonts w:ascii="Arial" w:hAnsi="Arial" w:cs="Arial"/>
          <w:lang w:eastAsia="en-GB"/>
        </w:rPr>
        <w:t>These various internal sources are integrated through the ETL method [6]. To avoid directly querying the live transactional databases used by clinicians and administrative personnel for reporting, read-only copies of data are extracted from EPR, PAS, ESR, and financial systems, usually via database replicas or scheduled extract files. Data is cleaned and standardised during transformation: NHS numbers are eliminated, local diagnosis and procedure codes are mapped to the national ICD-10 and OPCS-4 classifications, dates and units are standardised, and derived metrics like length of stay or Referral-to-Treatment (RTT) wait days are computed.</w:t>
      </w:r>
    </w:p>
    <w:p w14:paraId="7DD89AB8" w14:textId="77777777" w:rsidR="00A71877" w:rsidRDefault="00A71877" w:rsidP="00A71877">
      <w:pPr>
        <w:rPr>
          <w:rFonts w:ascii="Arial" w:hAnsi="Arial" w:cs="Arial"/>
          <w:lang w:eastAsia="en-GB"/>
        </w:rPr>
      </w:pPr>
      <w:r w:rsidRPr="00A71877">
        <w:rPr>
          <w:rFonts w:ascii="Arial" w:hAnsi="Arial" w:cs="Arial"/>
          <w:lang w:eastAsia="en-GB"/>
        </w:rPr>
        <w:t xml:space="preserve">Using incremental "delta" loads after an initial historical load is finished and Slowly Changing Dimension (SCD) techniques to preserve history when, for instance, a </w:t>
      </w:r>
      <w:r w:rsidRPr="00A71877">
        <w:rPr>
          <w:rFonts w:ascii="Arial" w:hAnsi="Arial" w:cs="Arial"/>
          <w:lang w:eastAsia="en-GB"/>
        </w:rPr>
        <w:lastRenderedPageBreak/>
        <w:t xml:space="preserve">patient's registered GP practice or address changes, the transformed data is loaded into the warehouse's fact and dimension tables [6]. </w:t>
      </w:r>
      <w:r w:rsidRPr="00A71877">
        <w:rPr>
          <w:rFonts w:ascii="Arial" w:hAnsi="Arial" w:cs="Arial"/>
          <w:lang w:eastAsia="en-GB"/>
        </w:rPr>
        <w:br/>
        <w:t>Because ETL runs as a scheduled batch process, generally overnight when clinical activity is lowest, and reads solely from replicated copies of source data, it creates no additional stress on the operational systems that support patient care.</w:t>
      </w:r>
    </w:p>
    <w:p w14:paraId="527373FA" w14:textId="77777777" w:rsidR="00C8215F" w:rsidRPr="00C8215F" w:rsidRDefault="00C8215F" w:rsidP="00C8215F">
      <w:pPr>
        <w:rPr>
          <w:rFonts w:ascii="Arial" w:hAnsi="Arial" w:cs="Arial"/>
          <w:lang w:eastAsia="en-GB"/>
        </w:rPr>
      </w:pPr>
      <w:r w:rsidRPr="00C8215F">
        <w:rPr>
          <w:rFonts w:ascii="Arial" w:hAnsi="Arial" w:cs="Arial"/>
          <w:lang w:eastAsia="en-GB"/>
        </w:rPr>
        <w:t>Therefore, the Board may be confident that implementing a data warehouse will not interfere with day-to-day healthcare operations while still providing a consolidated, almost real-time view of performance throughout NHS England within hours of data being gathered at the point of service [5].</w:t>
      </w:r>
    </w:p>
    <w:p w14:paraId="732EBEA1" w14:textId="77777777" w:rsidR="00C8215F" w:rsidRDefault="00C8215F" w:rsidP="00C8215F">
      <w:pPr>
        <w:pStyle w:val="Heading3"/>
        <w:rPr>
          <w:rFonts w:ascii="Arial" w:hAnsi="Arial" w:cs="Arial"/>
          <w:sz w:val="24"/>
          <w:szCs w:val="24"/>
          <w:lang w:eastAsia="en-GB"/>
        </w:rPr>
      </w:pPr>
      <w:bookmarkStart w:id="4" w:name="_Toc235988266"/>
      <w:r>
        <w:rPr>
          <w:rFonts w:ascii="Arial" w:hAnsi="Arial" w:cs="Arial"/>
          <w:sz w:val="24"/>
          <w:szCs w:val="24"/>
          <w:lang w:eastAsia="en-GB"/>
        </w:rPr>
        <w:t>Fig 1</w:t>
      </w:r>
      <w:r w:rsidRPr="00C8215F">
        <w:rPr>
          <w:rFonts w:ascii="Arial" w:hAnsi="Arial" w:cs="Arial"/>
          <w:sz w:val="22"/>
          <w:szCs w:val="22"/>
          <w:lang w:eastAsia="en-GB"/>
        </w:rPr>
        <w:t xml:space="preserve">: </w:t>
      </w:r>
      <w:r w:rsidRPr="00C8215F">
        <w:rPr>
          <w:rFonts w:ascii="Arial" w:hAnsi="Arial" w:cs="Arial"/>
          <w:sz w:val="24"/>
          <w:szCs w:val="24"/>
          <w:lang w:eastAsia="en-GB"/>
        </w:rPr>
        <w:t>NHS England's three-tier ETL pipeline and data warehouse design.</w:t>
      </w:r>
      <w:bookmarkEnd w:id="4"/>
    </w:p>
    <w:p w14:paraId="75DC38C5" w14:textId="2EA956C3" w:rsidR="00C8215F" w:rsidRPr="00C8215F" w:rsidRDefault="00C8215F" w:rsidP="00C8215F">
      <w:pPr>
        <w:rPr>
          <w:lang w:eastAsia="en-GB"/>
        </w:rPr>
      </w:pPr>
      <w:r>
        <w:rPr>
          <w:noProof/>
          <w:lang w:eastAsia="en-GB"/>
        </w:rPr>
        <w:drawing>
          <wp:inline distT="0" distB="0" distL="0" distR="0" wp14:anchorId="31724E35" wp14:editId="5704684E">
            <wp:extent cx="5611008" cy="2553056"/>
            <wp:effectExtent l="0" t="0" r="8890" b="0"/>
            <wp:docPr id="154631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16782" name="Picture 1546316782"/>
                    <pic:cNvPicPr/>
                  </pic:nvPicPr>
                  <pic:blipFill>
                    <a:blip r:embed="rId7">
                      <a:extLst>
                        <a:ext uri="{28A0092B-C50C-407E-A947-70E740481C1C}">
                          <a14:useLocalDpi xmlns:a14="http://schemas.microsoft.com/office/drawing/2010/main" val="0"/>
                        </a:ext>
                      </a:extLst>
                    </a:blip>
                    <a:stretch>
                      <a:fillRect/>
                    </a:stretch>
                  </pic:blipFill>
                  <pic:spPr>
                    <a:xfrm>
                      <a:off x="0" y="0"/>
                      <a:ext cx="5611008" cy="2553056"/>
                    </a:xfrm>
                    <a:prstGeom prst="rect">
                      <a:avLst/>
                    </a:prstGeom>
                  </pic:spPr>
                </pic:pic>
              </a:graphicData>
            </a:graphic>
          </wp:inline>
        </w:drawing>
      </w:r>
    </w:p>
    <w:p w14:paraId="18E77FCC" w14:textId="3D26827C" w:rsidR="00A71877" w:rsidRDefault="00C8215F" w:rsidP="00C8215F">
      <w:pPr>
        <w:pStyle w:val="Heading2"/>
        <w:numPr>
          <w:ilvl w:val="1"/>
          <w:numId w:val="1"/>
        </w:numPr>
        <w:rPr>
          <w:rFonts w:ascii="Arial" w:hAnsi="Arial" w:cs="Arial"/>
          <w:sz w:val="28"/>
          <w:szCs w:val="28"/>
        </w:rPr>
      </w:pPr>
      <w:bookmarkStart w:id="5" w:name="_Toc235988267"/>
      <w:r>
        <w:rPr>
          <w:rFonts w:ascii="Arial" w:hAnsi="Arial" w:cs="Arial"/>
          <w:sz w:val="28"/>
          <w:szCs w:val="28"/>
        </w:rPr>
        <w:t>Data Marts for management decision making</w:t>
      </w:r>
      <w:bookmarkEnd w:id="5"/>
      <w:r>
        <w:rPr>
          <w:rFonts w:ascii="Arial" w:hAnsi="Arial" w:cs="Arial"/>
          <w:sz w:val="28"/>
          <w:szCs w:val="28"/>
        </w:rPr>
        <w:t xml:space="preserve"> </w:t>
      </w:r>
    </w:p>
    <w:p w14:paraId="05BB4903" w14:textId="77777777" w:rsidR="00C8215F" w:rsidRDefault="00C8215F" w:rsidP="00C8215F">
      <w:pPr>
        <w:pStyle w:val="ListParagraph"/>
        <w:spacing w:after="0" w:line="240" w:lineRule="auto"/>
        <w:ind w:left="465"/>
        <w:rPr>
          <w:rFonts w:ascii="Arial" w:eastAsia="Times New Roman" w:hAnsi="Arial" w:cs="Arial"/>
          <w:kern w:val="0"/>
          <w:lang w:eastAsia="en-GB"/>
          <w14:ligatures w14:val="none"/>
        </w:rPr>
      </w:pPr>
      <w:r w:rsidRPr="00C8215F">
        <w:rPr>
          <w:rFonts w:ascii="Arial" w:eastAsia="Times New Roman" w:hAnsi="Arial" w:cs="Arial"/>
          <w:kern w:val="0"/>
          <w:lang w:eastAsia="en-GB"/>
          <w14:ligatures w14:val="none"/>
        </w:rPr>
        <w:t>A data mart is a subset of the data warehouse that is subject-specific and designed to meet the reporting requirements of a single department or user group [4], [7]. There are two common architectural methods. Data marts in Inmon's "top-down" corporate information factory are reliant on a single integrated enterprise data warehouse, which ensures high consistency throughout the company [1]. Data marts are first constructed around conformed dimensions that are shared around the company in Kimball's "bottom-up" bus architecture, which enables incremental delivery of marts while ensuring that the identical patient, time, and location keys mean the same thing anywhere they are used [3].</w:t>
      </w:r>
    </w:p>
    <w:p w14:paraId="59402E44" w14:textId="77777777" w:rsidR="00C8215F" w:rsidRDefault="00C8215F" w:rsidP="00C8215F">
      <w:pPr>
        <w:pStyle w:val="ListParagraph"/>
        <w:ind w:left="465"/>
        <w:rPr>
          <w:rFonts w:ascii="Arial" w:eastAsia="Times New Roman" w:hAnsi="Arial" w:cs="Arial"/>
          <w:kern w:val="0"/>
          <w:lang w:eastAsia="en-GB"/>
          <w14:ligatures w14:val="none"/>
        </w:rPr>
      </w:pPr>
      <w:r w:rsidRPr="00C8215F">
        <w:rPr>
          <w:rFonts w:ascii="Arial" w:eastAsia="Times New Roman" w:hAnsi="Arial" w:cs="Arial"/>
          <w:kern w:val="0"/>
          <w:lang w:eastAsia="en-GB"/>
          <w14:ligatures w14:val="none"/>
        </w:rPr>
        <w:t xml:space="preserve">A bus architecture based on conformed dimensions is advised for a company the size and complexity of NHS England since it enables the prompt delivery of priority marts while maintaining a single version of the truth. </w:t>
      </w:r>
      <w:r w:rsidRPr="00C8215F">
        <w:rPr>
          <w:rFonts w:ascii="Arial" w:eastAsia="Times New Roman" w:hAnsi="Arial" w:cs="Arial"/>
          <w:kern w:val="0"/>
          <w:lang w:eastAsia="en-GB"/>
          <w14:ligatures w14:val="none"/>
        </w:rPr>
        <w:br/>
        <w:t>A strategic performance data mart would help the chief executive oversee operational efficiency across Integrated Care Systems (ICSs) without requiring in-depth clinical or financial knowledge by combining patient flow, bed occupancy, RTT compliance, and regional benchmarking measures into a small number of board-level KPIs.</w:t>
      </w:r>
    </w:p>
    <w:p w14:paraId="116D4AE2" w14:textId="77777777" w:rsidR="00C8215F" w:rsidRDefault="00C8215F" w:rsidP="00C8215F">
      <w:pPr>
        <w:pStyle w:val="ListParagraph"/>
        <w:ind w:left="465"/>
        <w:rPr>
          <w:rFonts w:ascii="Arial" w:eastAsia="Times New Roman" w:hAnsi="Arial" w:cs="Arial"/>
          <w:kern w:val="0"/>
          <w:lang w:eastAsia="en-GB"/>
          <w14:ligatures w14:val="none"/>
        </w:rPr>
      </w:pPr>
    </w:p>
    <w:p w14:paraId="59683A59" w14:textId="23C8FFD4" w:rsidR="00C8215F" w:rsidRPr="00C8215F" w:rsidRDefault="00C8215F" w:rsidP="00C8215F">
      <w:pPr>
        <w:pStyle w:val="ListParagraph"/>
        <w:ind w:left="465"/>
        <w:rPr>
          <w:rFonts w:ascii="Arial" w:eastAsia="Times New Roman" w:hAnsi="Arial" w:cs="Arial"/>
          <w:kern w:val="0"/>
          <w:lang w:eastAsia="en-GB"/>
          <w14:ligatures w14:val="none"/>
        </w:rPr>
      </w:pPr>
      <w:r w:rsidRPr="00C8215F">
        <w:rPr>
          <w:rFonts w:ascii="Arial" w:eastAsia="Times New Roman" w:hAnsi="Arial" w:cs="Arial"/>
          <w:kern w:val="0"/>
          <w:lang w:eastAsia="en-GB"/>
          <w14:ligatures w14:val="none"/>
        </w:rPr>
        <w:lastRenderedPageBreak/>
        <w:t xml:space="preserve">A finance data mart would allow the Finance Director to examine financial sustainability at the service-line, site, and regional levels by utilising cost-per-episode, national tariff income, budget vs actual expenditure, and workforce cost data, including agency staffing. </w:t>
      </w:r>
      <w:r w:rsidRPr="00C8215F">
        <w:rPr>
          <w:rFonts w:ascii="Arial" w:eastAsia="Times New Roman" w:hAnsi="Arial" w:cs="Arial"/>
          <w:kern w:val="0"/>
          <w:lang w:eastAsia="en-GB"/>
          <w14:ligatures w14:val="none"/>
        </w:rPr>
        <w:br/>
        <w:t>To assist clinical governance, CQC compliance, and service improvement, a clinical quality data mart for the Medical Director would concentrate on readmission rates, mortality indicators, patient safety issues, and patient satisfaction scores.</w:t>
      </w:r>
    </w:p>
    <w:p w14:paraId="709943F1" w14:textId="77777777" w:rsidR="00C8215F" w:rsidRPr="00C8215F" w:rsidRDefault="00C8215F" w:rsidP="00C8215F">
      <w:pPr>
        <w:pStyle w:val="ListParagraph"/>
        <w:ind w:left="465"/>
        <w:rPr>
          <w:rFonts w:ascii="Arial" w:eastAsia="Times New Roman" w:hAnsi="Arial" w:cs="Arial"/>
          <w:kern w:val="0"/>
          <w:lang w:eastAsia="en-GB"/>
          <w14:ligatures w14:val="none"/>
        </w:rPr>
      </w:pPr>
      <w:r w:rsidRPr="00C8215F">
        <w:rPr>
          <w:rFonts w:ascii="Arial" w:eastAsia="Times New Roman" w:hAnsi="Arial" w:cs="Arial"/>
          <w:kern w:val="0"/>
          <w:lang w:eastAsia="en-GB"/>
          <w14:ligatures w14:val="none"/>
        </w:rPr>
        <w:t>A KPI reported to the Chief Executive will always reconcile with the more detailed information available to the Finance and Medical Directors because all three marts are constructed using the same conformed Patient, Time, and Location dimensions [8]. This gives senior leadership confidence that decisions made across departments are based on a single, reliable set of data.</w:t>
      </w:r>
    </w:p>
    <w:p w14:paraId="371B317F" w14:textId="77777777" w:rsidR="00C8215F" w:rsidRDefault="00C8215F" w:rsidP="00C8215F">
      <w:pPr>
        <w:pStyle w:val="ListParagraph"/>
        <w:ind w:left="465"/>
        <w:rPr>
          <w:rFonts w:ascii="Arial" w:eastAsia="Times New Roman" w:hAnsi="Arial" w:cs="Arial"/>
          <w:kern w:val="0"/>
          <w:lang w:eastAsia="en-GB"/>
          <w14:ligatures w14:val="none"/>
        </w:rPr>
      </w:pPr>
      <w:r w:rsidRPr="00C8215F">
        <w:rPr>
          <w:rFonts w:ascii="Arial" w:eastAsia="Times New Roman" w:hAnsi="Arial" w:cs="Arial"/>
          <w:kern w:val="0"/>
          <w:lang w:eastAsia="en-GB"/>
          <w14:ligatures w14:val="none"/>
        </w:rPr>
        <w:t>It is also possible to implement each data mart as a smaller star schema that is limited to the fact and dimension tables that its consumers require. This makes each audience's queries quick and enables access controls to be implemented at the mart level. For instance, the Finance Director's team can have complete access to the finance mart while being prohibited from accessing identifiable clinical information stored elsewhere in the warehouse.</w:t>
      </w:r>
    </w:p>
    <w:p w14:paraId="7F7830CA" w14:textId="77777777" w:rsidR="00C8215F" w:rsidRDefault="00C8215F" w:rsidP="00C8215F">
      <w:pPr>
        <w:pStyle w:val="ListParagraph"/>
        <w:ind w:left="465"/>
        <w:rPr>
          <w:rFonts w:ascii="Arial" w:eastAsia="Times New Roman" w:hAnsi="Arial" w:cs="Arial"/>
          <w:kern w:val="0"/>
          <w:lang w:eastAsia="en-GB"/>
          <w14:ligatures w14:val="none"/>
        </w:rPr>
      </w:pPr>
    </w:p>
    <w:p w14:paraId="08375E09" w14:textId="73146B51" w:rsidR="00C8215F" w:rsidRDefault="00E61181" w:rsidP="00E61181">
      <w:pPr>
        <w:pStyle w:val="Heading2"/>
        <w:numPr>
          <w:ilvl w:val="1"/>
          <w:numId w:val="1"/>
        </w:numPr>
        <w:rPr>
          <w:rFonts w:eastAsia="Times New Roman"/>
          <w:lang w:eastAsia="en-GB"/>
        </w:rPr>
      </w:pPr>
      <w:bookmarkStart w:id="6" w:name="_Toc235988268"/>
      <w:r>
        <w:rPr>
          <w:rFonts w:eastAsia="Times New Roman"/>
          <w:lang w:eastAsia="en-GB"/>
        </w:rPr>
        <w:t>OLTP Normalisation and Dimensional Modelling</w:t>
      </w:r>
      <w:bookmarkEnd w:id="6"/>
      <w:r>
        <w:rPr>
          <w:rFonts w:eastAsia="Times New Roman"/>
          <w:lang w:eastAsia="en-GB"/>
        </w:rPr>
        <w:t xml:space="preserve"> </w:t>
      </w:r>
    </w:p>
    <w:p w14:paraId="7AD445BB" w14:textId="2446F7EF" w:rsidR="00E9263B" w:rsidRDefault="00E9263B" w:rsidP="00E9263B">
      <w:pPr>
        <w:pStyle w:val="ListParagraph"/>
        <w:spacing w:after="0" w:line="240" w:lineRule="auto"/>
        <w:ind w:left="465"/>
        <w:rPr>
          <w:rFonts w:ascii="Arial" w:eastAsia="Times New Roman" w:hAnsi="Arial" w:cs="Arial"/>
          <w:kern w:val="0"/>
          <w:lang w:eastAsia="en-GB"/>
          <w14:ligatures w14:val="none"/>
        </w:rPr>
      </w:pPr>
      <w:r w:rsidRPr="00E9263B">
        <w:rPr>
          <w:rFonts w:ascii="Arial" w:eastAsia="Times New Roman" w:hAnsi="Arial" w:cs="Arial"/>
          <w:kern w:val="0"/>
          <w:lang w:eastAsia="en-GB"/>
          <w14:ligatures w14:val="none"/>
        </w:rPr>
        <w:t>To reduce redundancy and safeguard update integrity, NHS England's OLTP systems, including PAS, adopt normalised relational design, usually to Third Normal Form (3NF), in which patient, address, GP, and ward details are kept in distinct linked tables [1]. Ad hoc reporting is slow and challenging for non-technical people to create because this approach is effective for capturing individual transactions but necessitates numerous joins to answer analytical enquiries.</w:t>
      </w:r>
    </w:p>
    <w:p w14:paraId="2E4D61CD" w14:textId="77777777" w:rsidR="00E9263B" w:rsidRPr="00E9263B" w:rsidRDefault="00E9263B" w:rsidP="00E9263B">
      <w:pPr>
        <w:pStyle w:val="ListParagraph"/>
        <w:ind w:left="465"/>
        <w:rPr>
          <w:rFonts w:ascii="Arial" w:eastAsia="Times New Roman" w:hAnsi="Arial" w:cs="Arial"/>
          <w:kern w:val="0"/>
          <w:lang w:eastAsia="en-GB"/>
          <w14:ligatures w14:val="none"/>
        </w:rPr>
      </w:pPr>
      <w:r w:rsidRPr="00E9263B">
        <w:rPr>
          <w:rFonts w:ascii="Arial" w:eastAsia="Times New Roman" w:hAnsi="Arial" w:cs="Arial"/>
          <w:kern w:val="0"/>
          <w:lang w:eastAsia="en-GB"/>
          <w14:ligatures w14:val="none"/>
        </w:rPr>
        <w:t>Instead, data warehouses employ dimensional modelling, most frequently a star architecture, where a few denormalised dimension tables are directly connected to a core fact table that contains numerical measures [3]. A star schema for NHS patient activities is shown in Figure 2: FACT_PATIENT_ACTIVITY is associated with DIM_PATIENT, DIM_TIME, DIM_TREATMENT (which contains ICD-10/OPCS-4 codes), and DIM_LOCATION. It contains metrics like duration of stay, RTT wait days, and episode cost. Most analytical queries only need one join between the fact table and each pertinent dimension since dimension tables are purposefully denormalised, as opposed to the numerous joins required in a normalised OLTP schema [9]. This</w:t>
      </w:r>
      <w:r>
        <w:rPr>
          <w:rFonts w:ascii="Arial" w:eastAsia="Times New Roman" w:hAnsi="Arial" w:cs="Arial"/>
          <w:kern w:val="0"/>
          <w:lang w:eastAsia="en-GB"/>
          <w14:ligatures w14:val="none"/>
        </w:rPr>
        <w:t xml:space="preserve"> </w:t>
      </w:r>
      <w:r w:rsidRPr="00E9263B">
        <w:rPr>
          <w:rFonts w:ascii="Arial" w:eastAsia="Times New Roman" w:hAnsi="Arial" w:cs="Arial"/>
          <w:kern w:val="0"/>
          <w:lang w:eastAsia="en-GB"/>
          <w14:ligatures w14:val="none"/>
        </w:rPr>
        <w:t xml:space="preserve">allows the IT Director's team and eventually business analysts to create reports without having to fully comprehend the intricacy of the underlying OLTP data model by trading a certain amount of storage redundancy for far easier, faster, and more intuitive queries. A pure star schema is advised for simplicity and query speed because NHS England's structures are not so complicated as to necessitate further normalisation into a </w:t>
      </w:r>
      <w:r w:rsidRPr="00E9263B">
        <w:rPr>
          <w:rFonts w:ascii="Arial" w:eastAsia="Times New Roman" w:hAnsi="Arial" w:cs="Arial"/>
          <w:kern w:val="0"/>
          <w:lang w:eastAsia="en-GB"/>
          <w14:ligatures w14:val="none"/>
        </w:rPr>
        <w:lastRenderedPageBreak/>
        <w:t>"snowflake" schema when a dimension itself has a large internal hierarchy, such as Location breaking down into ward, site, region, and ICS area.</w:t>
      </w:r>
    </w:p>
    <w:p w14:paraId="0065FC6D" w14:textId="68D1C3AC" w:rsidR="00E9263B" w:rsidRDefault="00E9263B" w:rsidP="00E9263B">
      <w:pPr>
        <w:pStyle w:val="Heading3"/>
        <w:rPr>
          <w:rFonts w:ascii="Arial" w:hAnsi="Arial" w:cs="Arial"/>
          <w:iCs/>
          <w:sz w:val="24"/>
          <w:szCs w:val="36"/>
        </w:rPr>
      </w:pPr>
      <w:bookmarkStart w:id="7" w:name="_Toc235988269"/>
      <w:r w:rsidRPr="00E9263B">
        <w:rPr>
          <w:rFonts w:ascii="Arial" w:eastAsia="Times New Roman" w:hAnsi="Arial" w:cs="Arial"/>
          <w:sz w:val="24"/>
          <w:szCs w:val="24"/>
          <w:lang w:eastAsia="en-GB"/>
        </w:rPr>
        <w:t xml:space="preserve">Fig 2: </w:t>
      </w:r>
      <w:r w:rsidRPr="00E9263B">
        <w:rPr>
          <w:rFonts w:ascii="Arial" w:hAnsi="Arial" w:cs="Arial"/>
          <w:iCs/>
          <w:sz w:val="24"/>
          <w:szCs w:val="36"/>
        </w:rPr>
        <w:t>Star schema for NHS patient activity</w:t>
      </w:r>
      <w:bookmarkEnd w:id="7"/>
    </w:p>
    <w:p w14:paraId="1F5E61F3" w14:textId="0C1D84D3" w:rsidR="00E9263B" w:rsidRDefault="00E9263B" w:rsidP="00E9263B">
      <w:r>
        <w:rPr>
          <w:noProof/>
        </w:rPr>
        <w:drawing>
          <wp:inline distT="0" distB="0" distL="0" distR="0" wp14:anchorId="637D4B39" wp14:editId="21867C2F">
            <wp:extent cx="3117396" cy="2257425"/>
            <wp:effectExtent l="0" t="0" r="6985" b="0"/>
            <wp:docPr id="5194332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433295" name="Picture 519433295"/>
                    <pic:cNvPicPr/>
                  </pic:nvPicPr>
                  <pic:blipFill>
                    <a:blip r:embed="rId8">
                      <a:extLst>
                        <a:ext uri="{28A0092B-C50C-407E-A947-70E740481C1C}">
                          <a14:useLocalDpi xmlns:a14="http://schemas.microsoft.com/office/drawing/2010/main" val="0"/>
                        </a:ext>
                      </a:extLst>
                    </a:blip>
                    <a:stretch>
                      <a:fillRect/>
                    </a:stretch>
                  </pic:blipFill>
                  <pic:spPr>
                    <a:xfrm>
                      <a:off x="0" y="0"/>
                      <a:ext cx="3122440" cy="2261078"/>
                    </a:xfrm>
                    <a:prstGeom prst="rect">
                      <a:avLst/>
                    </a:prstGeom>
                  </pic:spPr>
                </pic:pic>
              </a:graphicData>
            </a:graphic>
          </wp:inline>
        </w:drawing>
      </w:r>
    </w:p>
    <w:p w14:paraId="006BABFA" w14:textId="77777777" w:rsidR="00E9263B" w:rsidRDefault="00E9263B" w:rsidP="00E9263B"/>
    <w:p w14:paraId="52E5F658" w14:textId="15D2B0D4" w:rsidR="00E9263B" w:rsidRDefault="00E9263B" w:rsidP="00E9263B">
      <w:pPr>
        <w:pStyle w:val="Heading2"/>
        <w:rPr>
          <w:rFonts w:ascii="Arial" w:hAnsi="Arial" w:cs="Arial"/>
        </w:rPr>
      </w:pPr>
      <w:bookmarkStart w:id="8" w:name="_Toc235988270"/>
      <w:r>
        <w:rPr>
          <w:rFonts w:ascii="Arial" w:hAnsi="Arial" w:cs="Arial"/>
        </w:rPr>
        <w:t>Task 2:</w:t>
      </w:r>
      <w:r>
        <w:t xml:space="preserve"> </w:t>
      </w:r>
      <w:r w:rsidRPr="00E9263B">
        <w:rPr>
          <w:rFonts w:ascii="Arial" w:hAnsi="Arial" w:cs="Arial"/>
        </w:rPr>
        <w:t>Star Schema Design and Implementation Plan</w:t>
      </w:r>
      <w:bookmarkEnd w:id="8"/>
    </w:p>
    <w:p w14:paraId="7537A727" w14:textId="50127193" w:rsidR="00E61181" w:rsidRDefault="00E9263B" w:rsidP="00E9263B">
      <w:pPr>
        <w:pStyle w:val="Heading3"/>
        <w:rPr>
          <w:rFonts w:ascii="Arial" w:hAnsi="Arial" w:cs="Arial"/>
        </w:rPr>
      </w:pPr>
      <w:bookmarkStart w:id="9" w:name="_Toc235988271"/>
      <w:r>
        <w:rPr>
          <w:rFonts w:ascii="Arial" w:hAnsi="Arial" w:cs="Arial"/>
        </w:rPr>
        <w:t>2.1 Source System Identification</w:t>
      </w:r>
      <w:bookmarkEnd w:id="9"/>
    </w:p>
    <w:p w14:paraId="5510993A" w14:textId="22760725" w:rsidR="00E9263B" w:rsidRDefault="00E9263B" w:rsidP="00E9263B">
      <w:pPr>
        <w:rPr>
          <w:rFonts w:ascii="Arial" w:hAnsi="Arial" w:cs="Arial"/>
          <w:lang w:eastAsia="en-GB"/>
        </w:rPr>
      </w:pPr>
      <w:r w:rsidRPr="00E9263B">
        <w:rPr>
          <w:rFonts w:ascii="Arial" w:hAnsi="Arial" w:cs="Arial"/>
          <w:lang w:eastAsia="en-GB"/>
        </w:rPr>
        <w:t>Both internal and external sources will supply data to NHS England's data warehouse. Internal sources include the ESR workforce system, which contains staff, shift, and absence data; the EPR and PAS, which contain patient demographics, admissions, discharges, and waiting-list data; clinical systems covering pathology, radiology, and theatre management; and the finance and costing ledger, which contains tariff income, budgets, and expenditure [10], [11]. GP clinical systems, the national Secondary Uses Service (SUS), Hospital Episode Statistics (HES), inspection results from the Care Quality Commission (CQC), and the Office for National Statistics (ONS) are examples of external sources</w:t>
      </w:r>
      <w:r>
        <w:rPr>
          <w:rFonts w:ascii="Arial" w:hAnsi="Arial" w:cs="Arial"/>
          <w:lang w:eastAsia="en-GB"/>
        </w:rPr>
        <w:t>,</w:t>
      </w:r>
      <w:r w:rsidRPr="00E9263B">
        <w:rPr>
          <w:rFonts w:ascii="Arial" w:hAnsi="Arial" w:cs="Arial"/>
          <w:lang w:eastAsia="en-GB"/>
        </w:rPr>
        <w:t xml:space="preserve"> demographic information, which collectively offer standardised population and activity data to support NHS England's internal operational records. At this point, separating transactional and reference data from master data (personnel, patients) guarantees that each source is mapped to the appropriate dimension or fact table during design.</w:t>
      </w:r>
    </w:p>
    <w:p w14:paraId="12ACB918" w14:textId="740A1BE4" w:rsidR="00E9263B" w:rsidRDefault="00F465A3" w:rsidP="00F465A3">
      <w:pPr>
        <w:pStyle w:val="Heading3"/>
        <w:rPr>
          <w:rFonts w:ascii="Arial" w:hAnsi="Arial" w:cs="Arial"/>
          <w:lang w:eastAsia="en-GB"/>
        </w:rPr>
      </w:pPr>
      <w:bookmarkStart w:id="10" w:name="_Toc235988272"/>
      <w:r w:rsidRPr="00F465A3">
        <w:rPr>
          <w:rFonts w:ascii="Arial" w:hAnsi="Arial" w:cs="Arial"/>
          <w:lang w:eastAsia="en-GB"/>
        </w:rPr>
        <w:t xml:space="preserve">2.2 </w:t>
      </w:r>
      <w:r>
        <w:rPr>
          <w:rFonts w:ascii="Arial" w:hAnsi="Arial" w:cs="Arial"/>
          <w:lang w:eastAsia="en-GB"/>
        </w:rPr>
        <w:t>Star Schema Design</w:t>
      </w:r>
      <w:bookmarkEnd w:id="10"/>
      <w:r>
        <w:rPr>
          <w:rFonts w:ascii="Arial" w:hAnsi="Arial" w:cs="Arial"/>
          <w:lang w:eastAsia="en-GB"/>
        </w:rPr>
        <w:t xml:space="preserve"> </w:t>
      </w:r>
    </w:p>
    <w:p w14:paraId="0BA33599" w14:textId="77777777" w:rsidR="006F293D" w:rsidRPr="006F293D" w:rsidRDefault="006F293D" w:rsidP="006F293D">
      <w:pPr>
        <w:rPr>
          <w:rFonts w:ascii="Arial" w:hAnsi="Arial" w:cs="Arial"/>
          <w:lang w:eastAsia="en-GB"/>
        </w:rPr>
      </w:pPr>
      <w:r w:rsidRPr="006F293D">
        <w:rPr>
          <w:rFonts w:ascii="Arial" w:hAnsi="Arial" w:cs="Arial"/>
          <w:lang w:eastAsia="en-GB"/>
        </w:rPr>
        <w:t xml:space="preserve">A fact constellation (galaxy) schema is suggested for NHS England based on Kimball and Ross's four-step dimensional design process: choosing the business process, declaring the grain, identifying the dimensions, and identifying the facts [3]. In this schema, several fact tables share a common set of conformed dimensions, as shown in Figure 3 [12]. </w:t>
      </w:r>
      <w:r w:rsidRPr="006F293D">
        <w:rPr>
          <w:rFonts w:ascii="Arial" w:hAnsi="Arial" w:cs="Arial"/>
          <w:lang w:eastAsia="en-GB"/>
        </w:rPr>
        <w:br/>
        <w:t xml:space="preserve">The master and metadata foundation of the warehouse consists of four conforming dimensions. Maintained as a Slowly Changing Dimension Type 2, DIM_PATIENT contains master patient data (NHS number, demographics, GP practice) and </w:t>
      </w:r>
      <w:r w:rsidRPr="006F293D">
        <w:rPr>
          <w:rFonts w:ascii="Arial" w:hAnsi="Arial" w:cs="Arial"/>
          <w:lang w:eastAsia="en-GB"/>
        </w:rPr>
        <w:lastRenderedPageBreak/>
        <w:t>preserves a complete history of modifications like</w:t>
      </w:r>
      <w:r>
        <w:rPr>
          <w:rFonts w:ascii="Arial" w:hAnsi="Arial" w:cs="Arial"/>
          <w:lang w:eastAsia="en-GB"/>
        </w:rPr>
        <w:t xml:space="preserve"> </w:t>
      </w:r>
      <w:r w:rsidRPr="006F293D">
        <w:rPr>
          <w:rFonts w:ascii="Arial" w:hAnsi="Arial" w:cs="Arial"/>
          <w:lang w:eastAsia="en-GB"/>
        </w:rPr>
        <w:t>a patient switching to a new general practitioner. Master workforce data is also stored in DIM_STAFF, which is received from ESR. DIM_LOCATION offers a hierarchy of ward, hospital site, region, and Integrated Care System (ICS) area, whereas DIM_TIME offers a standard calendar that includes the NHS fiscal year (April–March). DIM_SERVICE_TYPE, DIM_DIAGNOSIS (ICD-10), and DIM_PROCEDURE (OPCS-4) are additional metadata dimension groups that use nationally defined codes to categorise each episode by clinical service line, diagnosis, and procedure.</w:t>
      </w:r>
    </w:p>
    <w:p w14:paraId="055A1B7B" w14:textId="743ED680" w:rsidR="006F293D" w:rsidRPr="006F293D" w:rsidRDefault="006F293D" w:rsidP="006F293D">
      <w:pPr>
        <w:rPr>
          <w:rFonts w:ascii="Arial" w:hAnsi="Arial" w:cs="Arial"/>
          <w:lang w:eastAsia="en-GB"/>
        </w:rPr>
      </w:pPr>
      <w:r w:rsidRPr="006F293D">
        <w:rPr>
          <w:rFonts w:ascii="Arial" w:hAnsi="Arial" w:cs="Arial"/>
          <w:lang w:eastAsia="en-GB"/>
        </w:rPr>
        <w:t xml:space="preserve">At a coarser grain of one row per hospital site each month, a fourth aggregate fact table called FACT_MONTHLY_PERFORMANCE is suggested. </w:t>
      </w:r>
      <w:r w:rsidRPr="006F293D">
        <w:rPr>
          <w:rFonts w:ascii="Arial" w:hAnsi="Arial" w:cs="Arial"/>
          <w:lang w:eastAsia="en-GB"/>
        </w:rPr>
        <w:t>Its</w:t>
      </w:r>
      <w:r w:rsidRPr="006F293D">
        <w:rPr>
          <w:rFonts w:ascii="Arial" w:hAnsi="Arial" w:cs="Arial"/>
          <w:lang w:eastAsia="en-GB"/>
        </w:rPr>
        <w:t xml:space="preserve"> pre-computes metrics like average bed occupancy %, average RTT compliance percentage, and total readmissions. Pre-aggregating this data avoids scanning millions of rows in the base fact tables each time a report is refreshed, which significantly improves dashboard performance without duplicating the detailed data still available in the base facts for drill-down analysis because board-level dashboards frequently query the same high-level summaries [13], [14].</w:t>
      </w:r>
      <w:r w:rsidRPr="006F293D">
        <w:rPr>
          <w:rFonts w:ascii="Times New Roman" w:eastAsia="Times New Roman" w:hAnsi="Times New Roman" w:cs="Times New Roman"/>
          <w:kern w:val="0"/>
          <w:lang w:eastAsia="en-GB"/>
          <w14:ligatures w14:val="none"/>
        </w:rPr>
        <w:t xml:space="preserve"> </w:t>
      </w:r>
      <w:r w:rsidRPr="006F293D">
        <w:rPr>
          <w:rFonts w:ascii="Arial" w:hAnsi="Arial" w:cs="Arial"/>
          <w:lang w:eastAsia="en-GB"/>
        </w:rPr>
        <w:t>While the shared conformed dimension bus ensures that a patient, location, time period, or service line means exactly the same thing regardless of which fact table, data mart, or report it appears in, this constellation design enables the three subject areas that matter most to NHS England's senior leadership—patient activity, finance, and workforce—to be modelled independently at the grain appropriate to each business process.</w:t>
      </w:r>
    </w:p>
    <w:p w14:paraId="5AC68518" w14:textId="6CDCF8BA" w:rsidR="006F293D" w:rsidRPr="006F293D" w:rsidRDefault="006F293D" w:rsidP="006F293D">
      <w:pPr>
        <w:rPr>
          <w:rFonts w:ascii="Arial" w:hAnsi="Arial" w:cs="Arial"/>
          <w:lang w:eastAsia="en-GB"/>
        </w:rPr>
      </w:pPr>
    </w:p>
    <w:p w14:paraId="51C8FE2C" w14:textId="0F4BE475" w:rsidR="006F293D" w:rsidRPr="006F293D" w:rsidRDefault="006F293D" w:rsidP="006F293D">
      <w:pPr>
        <w:rPr>
          <w:rFonts w:ascii="Arial" w:hAnsi="Arial" w:cs="Arial"/>
          <w:lang w:eastAsia="en-GB"/>
        </w:rPr>
      </w:pPr>
    </w:p>
    <w:p w14:paraId="6671930F" w14:textId="77777777" w:rsidR="006F293D" w:rsidRDefault="006F293D" w:rsidP="006F293D">
      <w:pPr>
        <w:rPr>
          <w:rFonts w:ascii="Arial" w:hAnsi="Arial" w:cs="Arial"/>
          <w:lang w:eastAsia="en-GB"/>
        </w:rPr>
      </w:pPr>
      <w:r w:rsidRPr="006F293D">
        <w:rPr>
          <w:rFonts w:ascii="Arial" w:hAnsi="Arial" w:cs="Arial"/>
          <w:lang w:eastAsia="en-GB"/>
        </w:rPr>
        <w:t>Every dimension uses surrogate integer keys instead of natural keys like the NHS number or staff ID. This allows DIM_PATIENT to store multiple historical versions of the same patient under Type 2 tracking, protects the warehouse from changes to source-system identifiers, and provides each fact table with a compact, consistently structured set of foreign keys—the key design discipline that keeps a constellation schema of this size manageable and extensible as new NHS operational systems are added in the future.</w:t>
      </w:r>
    </w:p>
    <w:p w14:paraId="41653512" w14:textId="77777777" w:rsidR="006F293D" w:rsidRPr="006F293D" w:rsidRDefault="006F293D" w:rsidP="006F293D">
      <w:pPr>
        <w:rPr>
          <w:rFonts w:ascii="Arial" w:hAnsi="Arial" w:cs="Arial"/>
          <w:sz w:val="28"/>
          <w:szCs w:val="28"/>
          <w:lang w:eastAsia="en-GB"/>
        </w:rPr>
      </w:pPr>
    </w:p>
    <w:p w14:paraId="76103A26" w14:textId="77777777" w:rsidR="006F293D" w:rsidRDefault="006F293D" w:rsidP="006F293D">
      <w:pPr>
        <w:pStyle w:val="Heading3"/>
        <w:rPr>
          <w:rFonts w:ascii="Arial" w:hAnsi="Arial" w:cs="Arial"/>
          <w:sz w:val="24"/>
          <w:szCs w:val="24"/>
          <w:lang w:eastAsia="en-GB"/>
        </w:rPr>
      </w:pPr>
      <w:bookmarkStart w:id="11" w:name="_Toc235988273"/>
      <w:r w:rsidRPr="006F293D">
        <w:rPr>
          <w:rFonts w:ascii="Arial" w:hAnsi="Arial" w:cs="Arial"/>
          <w:sz w:val="24"/>
          <w:szCs w:val="24"/>
          <w:lang w:eastAsia="en-GB"/>
        </w:rPr>
        <w:t xml:space="preserve">Fig 3: </w:t>
      </w:r>
      <w:r w:rsidRPr="006F293D">
        <w:rPr>
          <w:rFonts w:ascii="Arial" w:hAnsi="Arial" w:cs="Arial"/>
          <w:sz w:val="24"/>
          <w:szCs w:val="24"/>
          <w:lang w:eastAsia="en-GB"/>
        </w:rPr>
        <w:t>Fact constellation schema with conformed dimension bus in the NHS England data warehouse.</w:t>
      </w:r>
      <w:bookmarkEnd w:id="11"/>
    </w:p>
    <w:p w14:paraId="232A9512" w14:textId="77777777" w:rsidR="006F293D" w:rsidRDefault="006F293D" w:rsidP="006F293D">
      <w:pPr>
        <w:rPr>
          <w:lang w:eastAsia="en-GB"/>
        </w:rPr>
      </w:pPr>
    </w:p>
    <w:p w14:paraId="5B79C464" w14:textId="4C1D3105" w:rsidR="006F293D" w:rsidRPr="006F293D" w:rsidRDefault="006F293D" w:rsidP="006F293D">
      <w:pPr>
        <w:rPr>
          <w:lang w:eastAsia="en-GB"/>
        </w:rPr>
      </w:pPr>
      <w:r>
        <w:rPr>
          <w:noProof/>
          <w:lang w:eastAsia="en-GB"/>
        </w:rPr>
        <w:lastRenderedPageBreak/>
        <w:drawing>
          <wp:inline distT="0" distB="0" distL="0" distR="0" wp14:anchorId="0BF07C41" wp14:editId="34160727">
            <wp:extent cx="5658640" cy="3010320"/>
            <wp:effectExtent l="0" t="0" r="0" b="0"/>
            <wp:docPr id="1791157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157129" name="Picture 1791157129"/>
                    <pic:cNvPicPr/>
                  </pic:nvPicPr>
                  <pic:blipFill>
                    <a:blip r:embed="rId9">
                      <a:extLst>
                        <a:ext uri="{28A0092B-C50C-407E-A947-70E740481C1C}">
                          <a14:useLocalDpi xmlns:a14="http://schemas.microsoft.com/office/drawing/2010/main" val="0"/>
                        </a:ext>
                      </a:extLst>
                    </a:blip>
                    <a:stretch>
                      <a:fillRect/>
                    </a:stretch>
                  </pic:blipFill>
                  <pic:spPr>
                    <a:xfrm>
                      <a:off x="0" y="0"/>
                      <a:ext cx="5658640" cy="3010320"/>
                    </a:xfrm>
                    <a:prstGeom prst="rect">
                      <a:avLst/>
                    </a:prstGeom>
                  </pic:spPr>
                </pic:pic>
              </a:graphicData>
            </a:graphic>
          </wp:inline>
        </w:drawing>
      </w:r>
    </w:p>
    <w:p w14:paraId="301AF18E" w14:textId="77777777" w:rsidR="00F465A3" w:rsidRPr="00F465A3" w:rsidRDefault="00F465A3" w:rsidP="00F465A3">
      <w:pPr>
        <w:rPr>
          <w:rFonts w:ascii="Arial" w:hAnsi="Arial" w:cs="Arial"/>
          <w:lang w:eastAsia="en-GB"/>
        </w:rPr>
      </w:pPr>
    </w:p>
    <w:p w14:paraId="6FC1CA2D" w14:textId="6EF7BF6F" w:rsidR="00E9263B" w:rsidRDefault="006F293D" w:rsidP="006F293D">
      <w:pPr>
        <w:pStyle w:val="Heading2"/>
        <w:rPr>
          <w:rFonts w:ascii="Arial" w:hAnsi="Arial" w:cs="Arial"/>
          <w:lang w:eastAsia="en-GB"/>
        </w:rPr>
      </w:pPr>
      <w:bookmarkStart w:id="12" w:name="_Toc235988274"/>
      <w:r>
        <w:rPr>
          <w:rFonts w:ascii="Arial" w:hAnsi="Arial" w:cs="Arial"/>
          <w:lang w:eastAsia="en-GB"/>
        </w:rPr>
        <w:t>2.3 Data Marts and Schema</w:t>
      </w:r>
      <w:bookmarkEnd w:id="12"/>
    </w:p>
    <w:p w14:paraId="50C110E8" w14:textId="4647D95E" w:rsidR="006F293D" w:rsidRDefault="006F293D" w:rsidP="006F293D">
      <w:pPr>
        <w:rPr>
          <w:rFonts w:ascii="Arial" w:hAnsi="Arial" w:cs="Arial"/>
          <w:lang w:eastAsia="en-GB"/>
        </w:rPr>
      </w:pPr>
      <w:r w:rsidRPr="006F293D">
        <w:rPr>
          <w:rFonts w:ascii="Arial" w:hAnsi="Arial" w:cs="Arial"/>
          <w:lang w:eastAsia="en-GB"/>
        </w:rPr>
        <w:t xml:space="preserve">Three departmental data marts are suggested, each of which reuses the conformed dimension bus to ensure that statistics provided in one mart reconcile with those published in another, building on the constellation architecture shown in Figure 3 [7]. </w:t>
      </w:r>
      <w:r w:rsidRPr="006F293D">
        <w:rPr>
          <w:rFonts w:ascii="Arial" w:hAnsi="Arial" w:cs="Arial"/>
          <w:lang w:eastAsia="en-GB"/>
        </w:rPr>
        <w:br/>
      </w:r>
      <w:r w:rsidRPr="006F293D">
        <w:rPr>
          <w:rFonts w:ascii="Arial" w:hAnsi="Arial" w:cs="Arial"/>
          <w:lang w:eastAsia="en-GB"/>
        </w:rPr>
        <w:t>To</w:t>
      </w:r>
      <w:r w:rsidRPr="006F293D">
        <w:rPr>
          <w:rFonts w:ascii="Arial" w:hAnsi="Arial" w:cs="Arial"/>
          <w:lang w:eastAsia="en-GB"/>
        </w:rPr>
        <w:t xml:space="preserve"> facilitate budget monitoring, cost-per-episode analysis, and income reconciliation against the national tariff at the service-line, site, and regional levels, the Finance data mart combines FACT_FINANCE with DIM_TIME, DIM_LOCATION, and DIM_SERVICE_TYPE.</w:t>
      </w:r>
    </w:p>
    <w:p w14:paraId="12002783" w14:textId="77777777" w:rsidR="006F293D" w:rsidRPr="006F293D" w:rsidRDefault="006F293D" w:rsidP="006F293D">
      <w:pPr>
        <w:rPr>
          <w:rFonts w:ascii="Arial" w:hAnsi="Arial" w:cs="Arial"/>
          <w:lang w:eastAsia="en-GB"/>
        </w:rPr>
      </w:pPr>
    </w:p>
    <w:p w14:paraId="61A19E95" w14:textId="77777777" w:rsidR="006F293D" w:rsidRPr="006F293D" w:rsidRDefault="006F293D" w:rsidP="006F293D">
      <w:pPr>
        <w:rPr>
          <w:rFonts w:ascii="Arial" w:hAnsi="Arial" w:cs="Arial"/>
          <w:lang w:eastAsia="en-GB"/>
        </w:rPr>
      </w:pPr>
    </w:p>
    <w:p w14:paraId="48007839" w14:textId="77777777" w:rsidR="006F293D" w:rsidRPr="006F293D" w:rsidRDefault="006F293D" w:rsidP="006F293D">
      <w:pPr>
        <w:pStyle w:val="ListParagraph"/>
        <w:ind w:left="465"/>
        <w:rPr>
          <w:rFonts w:ascii="Arial" w:eastAsia="Times New Roman" w:hAnsi="Arial" w:cs="Arial"/>
          <w:kern w:val="0"/>
          <w:lang w:eastAsia="en-GB"/>
          <w14:ligatures w14:val="none"/>
        </w:rPr>
      </w:pPr>
      <w:r w:rsidRPr="006F293D">
        <w:rPr>
          <w:rFonts w:ascii="Arial" w:eastAsia="Times New Roman" w:hAnsi="Arial" w:cs="Arial"/>
          <w:kern w:val="0"/>
          <w:lang w:eastAsia="en-GB"/>
          <w14:ligatures w14:val="none"/>
        </w:rPr>
        <w:t xml:space="preserve">The Operations data mart facilitates the tracking of bed occupancy, patient flow, and RTT compliance across regions and care pathways by combining FACT_PATIENT_ACTIVITY and the aggregate FACT_MONTHLY_PERFORMANCE with DIM_LOCATION, DIM_TIME, and DIM_SERVICE_TYPE. </w:t>
      </w:r>
      <w:r w:rsidRPr="006F293D">
        <w:rPr>
          <w:rFonts w:ascii="Arial" w:eastAsia="Times New Roman" w:hAnsi="Arial" w:cs="Arial"/>
          <w:kern w:val="0"/>
          <w:lang w:eastAsia="en-GB"/>
          <w14:ligatures w14:val="none"/>
        </w:rPr>
        <w:br/>
        <w:t>The Clinical Quality data mart supports clinical audit, CQC compliance reporting, and patient safety monitoring by utilising FACT_PATIENT_ACTIVITY's readmission and outcome metrics in conjunction with DIM_DIAGNOSIS, DIM_PROCEDURE, and DIM_STAFF.</w:t>
      </w:r>
    </w:p>
    <w:p w14:paraId="2394B225" w14:textId="77777777" w:rsidR="006F293D" w:rsidRPr="006F293D" w:rsidRDefault="006F293D" w:rsidP="006F293D">
      <w:pPr>
        <w:pStyle w:val="ListParagraph"/>
        <w:ind w:left="465"/>
        <w:rPr>
          <w:rFonts w:ascii="Arial" w:eastAsia="Times New Roman" w:hAnsi="Arial" w:cs="Arial"/>
          <w:kern w:val="0"/>
          <w:lang w:eastAsia="en-GB"/>
          <w14:ligatures w14:val="none"/>
        </w:rPr>
      </w:pPr>
      <w:r w:rsidRPr="006F293D">
        <w:rPr>
          <w:rFonts w:ascii="Arial" w:eastAsia="Times New Roman" w:hAnsi="Arial" w:cs="Arial"/>
          <w:kern w:val="0"/>
          <w:lang w:eastAsia="en-GB"/>
          <w14:ligatures w14:val="none"/>
        </w:rPr>
        <w:t xml:space="preserve">Information governance is also supported by limiting each mart to the facts and dimensions pertinent to its department. This is because all three marts remain completely consistent because they rely on the same underlying conformed dimensions and fact tables, and Finance users do not need access to identifiable clinical details, and clinical users do not need to see individual staff </w:t>
      </w:r>
      <w:r w:rsidRPr="006F293D">
        <w:rPr>
          <w:rFonts w:ascii="Arial" w:eastAsia="Times New Roman" w:hAnsi="Arial" w:cs="Arial"/>
          <w:kern w:val="0"/>
          <w:lang w:eastAsia="en-GB"/>
          <w14:ligatures w14:val="none"/>
        </w:rPr>
        <w:lastRenderedPageBreak/>
        <w:t xml:space="preserve">costing data [8]. </w:t>
      </w:r>
      <w:r w:rsidRPr="006F293D">
        <w:rPr>
          <w:rFonts w:ascii="Arial" w:eastAsia="Times New Roman" w:hAnsi="Arial" w:cs="Arial"/>
          <w:kern w:val="0"/>
          <w:lang w:eastAsia="en-GB"/>
          <w14:ligatures w14:val="none"/>
        </w:rPr>
        <w:br/>
        <w:t>In accordance with the requirement that the warehouse serve both technical analysts and non-specialist decision-makers, each mart would normally be surfaced through a departmental BI dashboard rather than direct database access, allowing the Finance Director, Medical Director, and their respective teams to interact with familiar visual reports and self-service filters rather than having to write queries themselves.</w:t>
      </w:r>
    </w:p>
    <w:p w14:paraId="1E524199" w14:textId="551EE198" w:rsidR="00C8215F" w:rsidRDefault="006F293D" w:rsidP="006F293D">
      <w:pPr>
        <w:pStyle w:val="Heading2"/>
        <w:rPr>
          <w:rFonts w:ascii="Arial" w:eastAsia="Times New Roman" w:hAnsi="Arial" w:cs="Arial"/>
          <w:sz w:val="28"/>
          <w:szCs w:val="28"/>
          <w:lang w:eastAsia="en-GB"/>
        </w:rPr>
      </w:pPr>
      <w:bookmarkStart w:id="13" w:name="_Toc235988275"/>
      <w:r w:rsidRPr="006F293D">
        <w:rPr>
          <w:rFonts w:ascii="Arial" w:eastAsia="Times New Roman" w:hAnsi="Arial" w:cs="Arial"/>
          <w:sz w:val="28"/>
          <w:szCs w:val="28"/>
          <w:lang w:eastAsia="en-GB"/>
        </w:rPr>
        <w:t xml:space="preserve">2.4 ETL </w:t>
      </w:r>
      <w:r>
        <w:rPr>
          <w:rFonts w:ascii="Arial" w:eastAsia="Times New Roman" w:hAnsi="Arial" w:cs="Arial"/>
          <w:sz w:val="28"/>
          <w:szCs w:val="28"/>
          <w:lang w:eastAsia="en-GB"/>
        </w:rPr>
        <w:t>Plan</w:t>
      </w:r>
      <w:bookmarkEnd w:id="13"/>
      <w:r>
        <w:rPr>
          <w:rFonts w:ascii="Arial" w:eastAsia="Times New Roman" w:hAnsi="Arial" w:cs="Arial"/>
          <w:sz w:val="28"/>
          <w:szCs w:val="28"/>
          <w:lang w:eastAsia="en-GB"/>
        </w:rPr>
        <w:t xml:space="preserve"> </w:t>
      </w:r>
    </w:p>
    <w:p w14:paraId="149EE9E8" w14:textId="77777777" w:rsidR="006F293D" w:rsidRPr="006F293D" w:rsidRDefault="006F293D" w:rsidP="006F293D">
      <w:pPr>
        <w:rPr>
          <w:rFonts w:ascii="Arial" w:hAnsi="Arial" w:cs="Arial"/>
          <w:lang w:eastAsia="en-GB"/>
        </w:rPr>
      </w:pPr>
      <w:r w:rsidRPr="006F293D">
        <w:rPr>
          <w:rFonts w:ascii="Arial" w:hAnsi="Arial" w:cs="Arial"/>
          <w:lang w:eastAsia="en-GB"/>
        </w:rPr>
        <w:t xml:space="preserve">A simplified ETL plan for the main warehouse tables is summarised in Table 1. After an initial one-time historical load, all extracts are incremental delta loads scheduled in an overnight batch window outside of peak clinical hours, minimising any possibility of interference with live operational systems [3], [6]. Before any unsuccessful or incomplete extract reaches the fact and dimension tables that the Board's dashboards rely on, it is highlighted for review since each load is </w:t>
      </w:r>
      <w:proofErr w:type="gramStart"/>
      <w:r w:rsidRPr="006F293D">
        <w:rPr>
          <w:rFonts w:ascii="Arial" w:hAnsi="Arial" w:cs="Arial"/>
          <w:lang w:eastAsia="en-GB"/>
        </w:rPr>
        <w:t>recorded</w:t>
      </w:r>
      <w:proofErr w:type="gramEnd"/>
      <w:r w:rsidRPr="006F293D">
        <w:rPr>
          <w:rFonts w:ascii="Arial" w:hAnsi="Arial" w:cs="Arial"/>
          <w:lang w:eastAsia="en-GB"/>
        </w:rPr>
        <w:t xml:space="preserve"> and row counts are reconciled against the source system.</w:t>
      </w:r>
    </w:p>
    <w:tbl>
      <w:tblPr>
        <w:tblStyle w:val="LightGrid-Accent1"/>
        <w:tblW w:w="0" w:type="auto"/>
        <w:jc w:val="center"/>
        <w:tblLook w:val="04A0" w:firstRow="1" w:lastRow="0" w:firstColumn="1" w:lastColumn="0" w:noHBand="0" w:noVBand="1"/>
      </w:tblPr>
      <w:tblGrid>
        <w:gridCol w:w="1605"/>
        <w:gridCol w:w="1446"/>
        <w:gridCol w:w="2911"/>
        <w:gridCol w:w="3044"/>
      </w:tblGrid>
      <w:tr w:rsidR="006F293D" w14:paraId="5589FA59" w14:textId="77777777" w:rsidTr="00F6252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2" w:type="dxa"/>
          </w:tcPr>
          <w:p w14:paraId="6F2835A7" w14:textId="77777777" w:rsidR="006F293D" w:rsidRDefault="006F293D" w:rsidP="00F6252B">
            <w:r>
              <w:rPr>
                <w:sz w:val="19"/>
              </w:rPr>
              <w:t>Source System</w:t>
            </w:r>
          </w:p>
        </w:tc>
        <w:tc>
          <w:tcPr>
            <w:tcW w:w="1584" w:type="dxa"/>
          </w:tcPr>
          <w:p w14:paraId="749F464B" w14:textId="77777777" w:rsidR="006F293D" w:rsidRDefault="006F293D" w:rsidP="00F6252B">
            <w:pPr>
              <w:cnfStyle w:val="100000000000" w:firstRow="1" w:lastRow="0" w:firstColumn="0" w:lastColumn="0" w:oddVBand="0" w:evenVBand="0" w:oddHBand="0" w:evenHBand="0" w:firstRowFirstColumn="0" w:firstRowLastColumn="0" w:lastRowFirstColumn="0" w:lastRowLastColumn="0"/>
            </w:pPr>
            <w:r>
              <w:rPr>
                <w:sz w:val="19"/>
              </w:rPr>
              <w:t>Staging Table</w:t>
            </w:r>
          </w:p>
        </w:tc>
        <w:tc>
          <w:tcPr>
            <w:tcW w:w="3744" w:type="dxa"/>
          </w:tcPr>
          <w:p w14:paraId="1D58AA8D" w14:textId="77777777" w:rsidR="006F293D" w:rsidRDefault="006F293D" w:rsidP="00F6252B">
            <w:pPr>
              <w:cnfStyle w:val="100000000000" w:firstRow="1" w:lastRow="0" w:firstColumn="0" w:lastColumn="0" w:oddVBand="0" w:evenVBand="0" w:oddHBand="0" w:evenHBand="0" w:firstRowFirstColumn="0" w:firstRowLastColumn="0" w:lastRowFirstColumn="0" w:lastRowLastColumn="0"/>
            </w:pPr>
            <w:r>
              <w:rPr>
                <w:sz w:val="19"/>
              </w:rPr>
              <w:t>Key Transformations</w:t>
            </w:r>
          </w:p>
        </w:tc>
        <w:tc>
          <w:tcPr>
            <w:tcW w:w="2448" w:type="dxa"/>
          </w:tcPr>
          <w:p w14:paraId="6D93AE13" w14:textId="77777777" w:rsidR="006F293D" w:rsidRDefault="006F293D" w:rsidP="00F6252B">
            <w:pPr>
              <w:cnfStyle w:val="100000000000" w:firstRow="1" w:lastRow="0" w:firstColumn="0" w:lastColumn="0" w:oddVBand="0" w:evenVBand="0" w:oddHBand="0" w:evenHBand="0" w:firstRowFirstColumn="0" w:firstRowLastColumn="0" w:lastRowFirstColumn="0" w:lastRowLastColumn="0"/>
            </w:pPr>
            <w:r>
              <w:rPr>
                <w:sz w:val="19"/>
              </w:rPr>
              <w:t>Target Warehouse Table(s)</w:t>
            </w:r>
          </w:p>
        </w:tc>
      </w:tr>
      <w:tr w:rsidR="006F293D" w14:paraId="47390EA8" w14:textId="77777777" w:rsidTr="00F625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2" w:type="dxa"/>
          </w:tcPr>
          <w:p w14:paraId="29561475" w14:textId="77777777" w:rsidR="006F293D" w:rsidRDefault="006F293D" w:rsidP="00F6252B">
            <w:r>
              <w:rPr>
                <w:sz w:val="19"/>
              </w:rPr>
              <w:t>EPR / PAS</w:t>
            </w:r>
          </w:p>
        </w:tc>
        <w:tc>
          <w:tcPr>
            <w:tcW w:w="1584" w:type="dxa"/>
          </w:tcPr>
          <w:p w14:paraId="665B8419" w14:textId="77777777" w:rsidR="006F293D" w:rsidRDefault="006F293D" w:rsidP="00F6252B">
            <w:pPr>
              <w:cnfStyle w:val="000000100000" w:firstRow="0" w:lastRow="0" w:firstColumn="0" w:lastColumn="0" w:oddVBand="0" w:evenVBand="0" w:oddHBand="1" w:evenHBand="0" w:firstRowFirstColumn="0" w:firstRowLastColumn="0" w:lastRowFirstColumn="0" w:lastRowLastColumn="0"/>
            </w:pPr>
            <w:proofErr w:type="spellStart"/>
            <w:r>
              <w:rPr>
                <w:sz w:val="19"/>
              </w:rPr>
              <w:t>stg_patient</w:t>
            </w:r>
            <w:proofErr w:type="spellEnd"/>
          </w:p>
        </w:tc>
        <w:tc>
          <w:tcPr>
            <w:tcW w:w="3744" w:type="dxa"/>
          </w:tcPr>
          <w:p w14:paraId="5FE7AABE" w14:textId="77777777" w:rsidR="006F293D" w:rsidRDefault="006F293D" w:rsidP="00F6252B">
            <w:pPr>
              <w:cnfStyle w:val="000000100000" w:firstRow="0" w:lastRow="0" w:firstColumn="0" w:lastColumn="0" w:oddVBand="0" w:evenVBand="0" w:oddHBand="1" w:evenHBand="0" w:firstRowFirstColumn="0" w:firstRowLastColumn="0" w:lastRowFirstColumn="0" w:lastRowLastColumn="0"/>
            </w:pPr>
            <w:r>
              <w:rPr>
                <w:sz w:val="19"/>
              </w:rPr>
              <w:t xml:space="preserve">De-duplicate NHS number; </w:t>
            </w:r>
            <w:proofErr w:type="spellStart"/>
            <w:r>
              <w:rPr>
                <w:sz w:val="19"/>
              </w:rPr>
              <w:t>standardise</w:t>
            </w:r>
            <w:proofErr w:type="spellEnd"/>
            <w:r>
              <w:rPr>
                <w:sz w:val="19"/>
              </w:rPr>
              <w:t xml:space="preserve"> date formats; map local codes to ICD-10 / OPCS-4</w:t>
            </w:r>
          </w:p>
        </w:tc>
        <w:tc>
          <w:tcPr>
            <w:tcW w:w="2448" w:type="dxa"/>
          </w:tcPr>
          <w:p w14:paraId="558E17EF" w14:textId="77777777" w:rsidR="006F293D" w:rsidRDefault="006F293D" w:rsidP="00F6252B">
            <w:pPr>
              <w:cnfStyle w:val="000000100000" w:firstRow="0" w:lastRow="0" w:firstColumn="0" w:lastColumn="0" w:oddVBand="0" w:evenVBand="0" w:oddHBand="1" w:evenHBand="0" w:firstRowFirstColumn="0" w:firstRowLastColumn="0" w:lastRowFirstColumn="0" w:lastRowLastColumn="0"/>
            </w:pPr>
            <w:r>
              <w:rPr>
                <w:sz w:val="19"/>
              </w:rPr>
              <w:t>DIM_PATIENT (SCD2), FACT_PATIENT_ACTIVITY</w:t>
            </w:r>
          </w:p>
        </w:tc>
      </w:tr>
      <w:tr w:rsidR="006F293D" w14:paraId="0F10D20E" w14:textId="77777777" w:rsidTr="00F6252B">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2" w:type="dxa"/>
          </w:tcPr>
          <w:p w14:paraId="72F40CE8" w14:textId="77777777" w:rsidR="006F293D" w:rsidRDefault="006F293D" w:rsidP="00F6252B">
            <w:r>
              <w:rPr>
                <w:sz w:val="19"/>
              </w:rPr>
              <w:t>ESR (workforce)</w:t>
            </w:r>
          </w:p>
        </w:tc>
        <w:tc>
          <w:tcPr>
            <w:tcW w:w="1584" w:type="dxa"/>
          </w:tcPr>
          <w:p w14:paraId="17A0243C" w14:textId="77777777" w:rsidR="006F293D" w:rsidRDefault="006F293D" w:rsidP="00F6252B">
            <w:pPr>
              <w:cnfStyle w:val="000000010000" w:firstRow="0" w:lastRow="0" w:firstColumn="0" w:lastColumn="0" w:oddVBand="0" w:evenVBand="0" w:oddHBand="0" w:evenHBand="1" w:firstRowFirstColumn="0" w:firstRowLastColumn="0" w:lastRowFirstColumn="0" w:lastRowLastColumn="0"/>
            </w:pPr>
            <w:proofErr w:type="spellStart"/>
            <w:r>
              <w:rPr>
                <w:sz w:val="19"/>
              </w:rPr>
              <w:t>stg_staff</w:t>
            </w:r>
            <w:proofErr w:type="spellEnd"/>
          </w:p>
        </w:tc>
        <w:tc>
          <w:tcPr>
            <w:tcW w:w="3744" w:type="dxa"/>
          </w:tcPr>
          <w:p w14:paraId="759AC053" w14:textId="77777777" w:rsidR="006F293D" w:rsidRDefault="006F293D" w:rsidP="00F6252B">
            <w:pPr>
              <w:cnfStyle w:val="000000010000" w:firstRow="0" w:lastRow="0" w:firstColumn="0" w:lastColumn="0" w:oddVBand="0" w:evenVBand="0" w:oddHBand="0" w:evenHBand="1" w:firstRowFirstColumn="0" w:firstRowLastColumn="0" w:lastRowFirstColumn="0" w:lastRowLastColumn="0"/>
            </w:pPr>
            <w:proofErr w:type="spellStart"/>
            <w:r>
              <w:rPr>
                <w:sz w:val="19"/>
              </w:rPr>
              <w:t>Standardise</w:t>
            </w:r>
            <w:proofErr w:type="spellEnd"/>
            <w:r>
              <w:rPr>
                <w:sz w:val="19"/>
              </w:rPr>
              <w:t xml:space="preserve"> role/grade codes; calculate hours, overtime and sickness days</w:t>
            </w:r>
          </w:p>
        </w:tc>
        <w:tc>
          <w:tcPr>
            <w:tcW w:w="2448" w:type="dxa"/>
          </w:tcPr>
          <w:p w14:paraId="4CD128A3" w14:textId="77777777" w:rsidR="006F293D" w:rsidRDefault="006F293D" w:rsidP="00F6252B">
            <w:pPr>
              <w:cnfStyle w:val="000000010000" w:firstRow="0" w:lastRow="0" w:firstColumn="0" w:lastColumn="0" w:oddVBand="0" w:evenVBand="0" w:oddHBand="0" w:evenHBand="1" w:firstRowFirstColumn="0" w:firstRowLastColumn="0" w:lastRowFirstColumn="0" w:lastRowLastColumn="0"/>
            </w:pPr>
            <w:r>
              <w:rPr>
                <w:sz w:val="19"/>
              </w:rPr>
              <w:t>DIM_STAFF, FACT_WORKFORCE</w:t>
            </w:r>
          </w:p>
        </w:tc>
      </w:tr>
      <w:tr w:rsidR="006F293D" w14:paraId="41786139" w14:textId="77777777" w:rsidTr="00F625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2" w:type="dxa"/>
          </w:tcPr>
          <w:p w14:paraId="13571896" w14:textId="77777777" w:rsidR="006F293D" w:rsidRDefault="006F293D" w:rsidP="00F6252B">
            <w:r>
              <w:rPr>
                <w:sz w:val="19"/>
              </w:rPr>
              <w:t>Finance / costing ledger</w:t>
            </w:r>
          </w:p>
        </w:tc>
        <w:tc>
          <w:tcPr>
            <w:tcW w:w="1584" w:type="dxa"/>
          </w:tcPr>
          <w:p w14:paraId="0F57007F" w14:textId="77777777" w:rsidR="006F293D" w:rsidRDefault="006F293D" w:rsidP="00F6252B">
            <w:pPr>
              <w:cnfStyle w:val="000000100000" w:firstRow="0" w:lastRow="0" w:firstColumn="0" w:lastColumn="0" w:oddVBand="0" w:evenVBand="0" w:oddHBand="1" w:evenHBand="0" w:firstRowFirstColumn="0" w:firstRowLastColumn="0" w:lastRowFirstColumn="0" w:lastRowLastColumn="0"/>
            </w:pPr>
            <w:proofErr w:type="spellStart"/>
            <w:r>
              <w:rPr>
                <w:sz w:val="19"/>
              </w:rPr>
              <w:t>stg_finance</w:t>
            </w:r>
            <w:proofErr w:type="spellEnd"/>
          </w:p>
        </w:tc>
        <w:tc>
          <w:tcPr>
            <w:tcW w:w="3744" w:type="dxa"/>
          </w:tcPr>
          <w:p w14:paraId="17BABEFD" w14:textId="77777777" w:rsidR="006F293D" w:rsidRDefault="006F293D" w:rsidP="00F6252B">
            <w:pPr>
              <w:cnfStyle w:val="000000100000" w:firstRow="0" w:lastRow="0" w:firstColumn="0" w:lastColumn="0" w:oddVBand="0" w:evenVBand="0" w:oddHBand="1" w:evenHBand="0" w:firstRowFirstColumn="0" w:firstRowLastColumn="0" w:lastRowFirstColumn="0" w:lastRowLastColumn="0"/>
            </w:pPr>
            <w:proofErr w:type="spellStart"/>
            <w:r>
              <w:rPr>
                <w:sz w:val="19"/>
              </w:rPr>
              <w:t>Standardise</w:t>
            </w:r>
            <w:proofErr w:type="spellEnd"/>
            <w:r>
              <w:rPr>
                <w:sz w:val="19"/>
              </w:rPr>
              <w:t xml:space="preserve"> cost </w:t>
            </w:r>
            <w:proofErr w:type="spellStart"/>
            <w:r>
              <w:rPr>
                <w:sz w:val="19"/>
              </w:rPr>
              <w:t>centres</w:t>
            </w:r>
            <w:proofErr w:type="spellEnd"/>
            <w:r>
              <w:rPr>
                <w:sz w:val="19"/>
              </w:rPr>
              <w:t>; apportion costs to episodes; reconcile against national tariff</w:t>
            </w:r>
          </w:p>
        </w:tc>
        <w:tc>
          <w:tcPr>
            <w:tcW w:w="2448" w:type="dxa"/>
          </w:tcPr>
          <w:p w14:paraId="723DA1E2" w14:textId="77777777" w:rsidR="006F293D" w:rsidRDefault="006F293D" w:rsidP="00F6252B">
            <w:pPr>
              <w:cnfStyle w:val="000000100000" w:firstRow="0" w:lastRow="0" w:firstColumn="0" w:lastColumn="0" w:oddVBand="0" w:evenVBand="0" w:oddHBand="1" w:evenHBand="0" w:firstRowFirstColumn="0" w:firstRowLastColumn="0" w:lastRowFirstColumn="0" w:lastRowLastColumn="0"/>
            </w:pPr>
            <w:r>
              <w:rPr>
                <w:sz w:val="19"/>
              </w:rPr>
              <w:t>FACT_FINANCE</w:t>
            </w:r>
          </w:p>
        </w:tc>
      </w:tr>
      <w:tr w:rsidR="006F293D" w14:paraId="1EAA1891" w14:textId="77777777" w:rsidTr="00F6252B">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72" w:type="dxa"/>
          </w:tcPr>
          <w:p w14:paraId="4236A6F1" w14:textId="77777777" w:rsidR="006F293D" w:rsidRDefault="006F293D" w:rsidP="00F6252B">
            <w:r>
              <w:rPr>
                <w:sz w:val="19"/>
              </w:rPr>
              <w:t>SUS / HES (external)</w:t>
            </w:r>
          </w:p>
        </w:tc>
        <w:tc>
          <w:tcPr>
            <w:tcW w:w="1584" w:type="dxa"/>
          </w:tcPr>
          <w:p w14:paraId="45AF4038" w14:textId="77777777" w:rsidR="006F293D" w:rsidRDefault="006F293D" w:rsidP="00F6252B">
            <w:pPr>
              <w:cnfStyle w:val="000000010000" w:firstRow="0" w:lastRow="0" w:firstColumn="0" w:lastColumn="0" w:oddVBand="0" w:evenVBand="0" w:oddHBand="0" w:evenHBand="1" w:firstRowFirstColumn="0" w:firstRowLastColumn="0" w:lastRowFirstColumn="0" w:lastRowLastColumn="0"/>
            </w:pPr>
            <w:proofErr w:type="spellStart"/>
            <w:r>
              <w:rPr>
                <w:sz w:val="19"/>
              </w:rPr>
              <w:t>stg_national</w:t>
            </w:r>
            <w:proofErr w:type="spellEnd"/>
          </w:p>
        </w:tc>
        <w:tc>
          <w:tcPr>
            <w:tcW w:w="3744" w:type="dxa"/>
          </w:tcPr>
          <w:p w14:paraId="6F3F87EC" w14:textId="77777777" w:rsidR="006F293D" w:rsidRDefault="006F293D" w:rsidP="00F6252B">
            <w:pPr>
              <w:cnfStyle w:val="000000010000" w:firstRow="0" w:lastRow="0" w:firstColumn="0" w:lastColumn="0" w:oddVBand="0" w:evenVBand="0" w:oddHBand="0" w:evenHBand="1" w:firstRowFirstColumn="0" w:firstRowLastColumn="0" w:lastRowFirstColumn="0" w:lastRowLastColumn="0"/>
            </w:pPr>
            <w:r>
              <w:rPr>
                <w:sz w:val="19"/>
              </w:rPr>
              <w:t>Validate against national data standards; aggregate to site/month grain</w:t>
            </w:r>
          </w:p>
        </w:tc>
        <w:tc>
          <w:tcPr>
            <w:tcW w:w="2448" w:type="dxa"/>
          </w:tcPr>
          <w:p w14:paraId="734E51EE" w14:textId="77777777" w:rsidR="006F293D" w:rsidRDefault="006F293D" w:rsidP="00F6252B">
            <w:pPr>
              <w:cnfStyle w:val="000000010000" w:firstRow="0" w:lastRow="0" w:firstColumn="0" w:lastColumn="0" w:oddVBand="0" w:evenVBand="0" w:oddHBand="0" w:evenHBand="1" w:firstRowFirstColumn="0" w:firstRowLastColumn="0" w:lastRowFirstColumn="0" w:lastRowLastColumn="0"/>
            </w:pPr>
            <w:r>
              <w:rPr>
                <w:sz w:val="19"/>
              </w:rPr>
              <w:t>FACT_MONTHLY_PERFORMANCE, DIM_SERVICE_TYPE</w:t>
            </w:r>
          </w:p>
        </w:tc>
      </w:tr>
    </w:tbl>
    <w:p w14:paraId="45166B05" w14:textId="77777777" w:rsidR="006F293D" w:rsidRDefault="006F293D" w:rsidP="006F293D">
      <w:pPr>
        <w:rPr>
          <w:rFonts w:ascii="Arial" w:hAnsi="Arial" w:cs="Arial"/>
          <w:lang w:eastAsia="en-GB"/>
        </w:rPr>
      </w:pPr>
    </w:p>
    <w:p w14:paraId="1AD65D73" w14:textId="58B18B12" w:rsidR="006F293D" w:rsidRDefault="006F293D" w:rsidP="006F293D">
      <w:pPr>
        <w:pStyle w:val="Heading2"/>
        <w:rPr>
          <w:rFonts w:ascii="Arial" w:hAnsi="Arial" w:cs="Arial"/>
          <w:sz w:val="28"/>
          <w:szCs w:val="28"/>
          <w:lang w:eastAsia="en-GB"/>
        </w:rPr>
      </w:pPr>
      <w:bookmarkStart w:id="14" w:name="_Toc235988276"/>
      <w:r>
        <w:rPr>
          <w:rFonts w:ascii="Arial" w:hAnsi="Arial" w:cs="Arial"/>
          <w:sz w:val="28"/>
          <w:szCs w:val="28"/>
          <w:lang w:eastAsia="en-GB"/>
        </w:rPr>
        <w:t>2.5 Data Quality and Governance</w:t>
      </w:r>
      <w:bookmarkEnd w:id="14"/>
      <w:r>
        <w:rPr>
          <w:rFonts w:ascii="Arial" w:hAnsi="Arial" w:cs="Arial"/>
          <w:sz w:val="28"/>
          <w:szCs w:val="28"/>
          <w:lang w:eastAsia="en-GB"/>
        </w:rPr>
        <w:t xml:space="preserve"> </w:t>
      </w:r>
    </w:p>
    <w:p w14:paraId="14BCE7F9" w14:textId="77777777" w:rsidR="006F293D" w:rsidRPr="006F293D" w:rsidRDefault="006F293D" w:rsidP="006F293D">
      <w:pPr>
        <w:rPr>
          <w:rFonts w:ascii="Arial" w:hAnsi="Arial" w:cs="Arial"/>
          <w:lang w:eastAsia="en-GB"/>
        </w:rPr>
      </w:pPr>
      <w:r w:rsidRPr="006F293D">
        <w:rPr>
          <w:rFonts w:ascii="Arial" w:hAnsi="Arial" w:cs="Arial"/>
          <w:lang w:eastAsia="en-GB"/>
        </w:rPr>
        <w:t>Data quality must be protected during ETL and continuing operations by applying validation rules at load time (e.g., rejecting invalid NHS numbers), enforcing consistency through conformed dimensions and master data management, and reconciling completeness checks with source record counts. Governance must guarantee adherence to the NHS Data Security and Protection Toolkit, role-based access control that limits sensitive clinical and financial data to authorised users, full audit logging, and compliance with the UK Data Protection Act 2018 and Caldicott principles for patient confidentiality [15], [16].</w:t>
      </w:r>
    </w:p>
    <w:p w14:paraId="2BADCCFB" w14:textId="5D0D34DE" w:rsidR="006F293D" w:rsidRDefault="006F293D" w:rsidP="006F293D">
      <w:pPr>
        <w:pStyle w:val="Heading2"/>
        <w:rPr>
          <w:rFonts w:ascii="Arial" w:hAnsi="Arial" w:cs="Arial"/>
          <w:lang w:eastAsia="en-GB"/>
        </w:rPr>
      </w:pPr>
      <w:bookmarkStart w:id="15" w:name="_Toc235988277"/>
      <w:r>
        <w:rPr>
          <w:rFonts w:ascii="Arial" w:hAnsi="Arial" w:cs="Arial"/>
          <w:lang w:eastAsia="en-GB"/>
        </w:rPr>
        <w:t>3. Conclusion:</w:t>
      </w:r>
      <w:bookmarkEnd w:id="15"/>
    </w:p>
    <w:p w14:paraId="33A0F01D" w14:textId="77777777" w:rsidR="006F293D" w:rsidRDefault="006F293D" w:rsidP="006F293D">
      <w:pPr>
        <w:rPr>
          <w:rFonts w:ascii="Arial" w:hAnsi="Arial" w:cs="Arial"/>
          <w:lang w:eastAsia="en-GB"/>
        </w:rPr>
      </w:pPr>
      <w:r w:rsidRPr="006F293D">
        <w:rPr>
          <w:rFonts w:ascii="Arial" w:hAnsi="Arial" w:cs="Arial"/>
          <w:lang w:eastAsia="en-GB"/>
        </w:rPr>
        <w:t xml:space="preserve">In conclusion, NHS England's senior leadership will have a consolidated, historical, and reliable view of patient activity, finance, and workforce performance by moving from siloed OLTP reporting to a dimensionally modelled data warehouse without interfering with the daily operational systems that clinicians depend on. The Finance, </w:t>
      </w:r>
      <w:r w:rsidRPr="006F293D">
        <w:rPr>
          <w:rFonts w:ascii="Arial" w:hAnsi="Arial" w:cs="Arial"/>
          <w:lang w:eastAsia="en-GB"/>
        </w:rPr>
        <w:lastRenderedPageBreak/>
        <w:t>Operations, and Clinical Quality data marts can be given gradually from the fact constellation schema suggested in Task 2, which is based on conformed patient, time, location, staff, and clinical dimensions. A thorough technical design and phased build, starting with the most important Operations and Finance data marts, are the suggested next steps, subject to Board approval.</w:t>
      </w:r>
    </w:p>
    <w:p w14:paraId="40FE4CBA" w14:textId="77777777" w:rsidR="006F293D" w:rsidRDefault="006F293D" w:rsidP="006F293D">
      <w:pPr>
        <w:rPr>
          <w:rFonts w:ascii="Arial" w:hAnsi="Arial" w:cs="Arial"/>
          <w:lang w:eastAsia="en-GB"/>
        </w:rPr>
      </w:pPr>
    </w:p>
    <w:p w14:paraId="0073942E" w14:textId="2663CB01" w:rsidR="006F293D" w:rsidRDefault="006F293D" w:rsidP="006F293D">
      <w:pPr>
        <w:pStyle w:val="Heading2"/>
        <w:rPr>
          <w:rFonts w:ascii="Arial" w:hAnsi="Arial" w:cs="Arial"/>
          <w:lang w:eastAsia="en-GB"/>
        </w:rPr>
      </w:pPr>
      <w:bookmarkStart w:id="16" w:name="_Toc235988278"/>
      <w:r>
        <w:rPr>
          <w:rFonts w:ascii="Arial" w:hAnsi="Arial" w:cs="Arial"/>
          <w:lang w:eastAsia="en-GB"/>
        </w:rPr>
        <w:t>References:</w:t>
      </w:r>
      <w:bookmarkEnd w:id="16"/>
      <w:r>
        <w:rPr>
          <w:rFonts w:ascii="Arial" w:hAnsi="Arial" w:cs="Arial"/>
          <w:lang w:eastAsia="en-GB"/>
        </w:rPr>
        <w:t xml:space="preserve"> </w:t>
      </w:r>
    </w:p>
    <w:p w14:paraId="0A286192" w14:textId="140ABCC6" w:rsidR="006F293D" w:rsidRPr="006F293D" w:rsidRDefault="006F293D" w:rsidP="006F293D">
      <w:pPr>
        <w:ind w:left="567" w:hanging="567"/>
        <w:rPr>
          <w:rFonts w:ascii="Arial" w:hAnsi="Arial" w:cs="Arial"/>
          <w:sz w:val="28"/>
          <w:szCs w:val="28"/>
        </w:rPr>
      </w:pPr>
      <w:r w:rsidRPr="006F293D">
        <w:rPr>
          <w:rFonts w:ascii="Arial" w:hAnsi="Arial" w:cs="Arial"/>
          <w:szCs w:val="28"/>
        </w:rPr>
        <w:tab/>
        <w:t>W. H. Inmon, Building the Data Warehouse, 4th ed. Indianapolis, IN, USA: Wiley, 2005.</w:t>
      </w:r>
    </w:p>
    <w:p w14:paraId="4A33E465" w14:textId="7AF8C6FA" w:rsidR="006F293D" w:rsidRPr="006F293D" w:rsidRDefault="006F293D" w:rsidP="006F293D">
      <w:pPr>
        <w:ind w:left="567" w:hanging="567"/>
        <w:rPr>
          <w:rFonts w:ascii="Arial" w:hAnsi="Arial" w:cs="Arial"/>
          <w:sz w:val="28"/>
          <w:szCs w:val="28"/>
        </w:rPr>
      </w:pPr>
      <w:r w:rsidRPr="006F293D">
        <w:rPr>
          <w:rFonts w:ascii="Arial" w:hAnsi="Arial" w:cs="Arial"/>
          <w:szCs w:val="28"/>
        </w:rPr>
        <w:tab/>
        <w:t>S. Chaudhuri and U. Dayal, "An overview of data warehousing and OLAP technology," ACM SIGMOD Record, vol. 26, no. 1, pp. 65–74, Mar. 1997.</w:t>
      </w:r>
    </w:p>
    <w:p w14:paraId="43CDE609" w14:textId="185C428C" w:rsidR="006F293D" w:rsidRPr="006F293D" w:rsidRDefault="006F293D" w:rsidP="006F293D">
      <w:pPr>
        <w:ind w:left="567" w:hanging="567"/>
        <w:rPr>
          <w:rFonts w:ascii="Arial" w:hAnsi="Arial" w:cs="Arial"/>
          <w:sz w:val="28"/>
          <w:szCs w:val="28"/>
        </w:rPr>
      </w:pPr>
      <w:r w:rsidRPr="006F293D">
        <w:rPr>
          <w:rFonts w:ascii="Arial" w:hAnsi="Arial" w:cs="Arial"/>
          <w:szCs w:val="28"/>
        </w:rPr>
        <w:tab/>
        <w:t xml:space="preserve">R. Kimball and M. Ross, The Data Warehouse Toolkit: The Definitive Guide to Dimensional </w:t>
      </w:r>
      <w:proofErr w:type="spellStart"/>
      <w:r w:rsidRPr="006F293D">
        <w:rPr>
          <w:rFonts w:ascii="Arial" w:hAnsi="Arial" w:cs="Arial"/>
          <w:szCs w:val="28"/>
        </w:rPr>
        <w:t>Modeling</w:t>
      </w:r>
      <w:proofErr w:type="spellEnd"/>
      <w:r w:rsidRPr="006F293D">
        <w:rPr>
          <w:rFonts w:ascii="Arial" w:hAnsi="Arial" w:cs="Arial"/>
          <w:szCs w:val="28"/>
        </w:rPr>
        <w:t>, 3rd ed. Indianapolis, IN, USA: Wiley, 2013.</w:t>
      </w:r>
    </w:p>
    <w:p w14:paraId="4CFEBDF6" w14:textId="7F631CFE" w:rsidR="006F293D" w:rsidRPr="006F293D" w:rsidRDefault="006F293D" w:rsidP="006F293D">
      <w:pPr>
        <w:ind w:left="567" w:hanging="567"/>
        <w:rPr>
          <w:rFonts w:ascii="Arial" w:hAnsi="Arial" w:cs="Arial"/>
          <w:sz w:val="28"/>
          <w:szCs w:val="28"/>
        </w:rPr>
      </w:pPr>
      <w:r w:rsidRPr="006F293D">
        <w:rPr>
          <w:rFonts w:ascii="Arial" w:hAnsi="Arial" w:cs="Arial"/>
          <w:szCs w:val="28"/>
        </w:rPr>
        <w:tab/>
        <w:t xml:space="preserve">M. </w:t>
      </w:r>
      <w:proofErr w:type="spellStart"/>
      <w:r w:rsidRPr="006F293D">
        <w:rPr>
          <w:rFonts w:ascii="Arial" w:hAnsi="Arial" w:cs="Arial"/>
          <w:szCs w:val="28"/>
        </w:rPr>
        <w:t>Golfarelli</w:t>
      </w:r>
      <w:proofErr w:type="spellEnd"/>
      <w:r w:rsidRPr="006F293D">
        <w:rPr>
          <w:rFonts w:ascii="Arial" w:hAnsi="Arial" w:cs="Arial"/>
          <w:szCs w:val="28"/>
        </w:rPr>
        <w:t xml:space="preserve"> and S. Rizzi, Data Warehouse Design: Modern Principles and Methodologies. New York, NY, USA: McGraw-Hill, 2009.</w:t>
      </w:r>
    </w:p>
    <w:p w14:paraId="63CA6646" w14:textId="34F656DD" w:rsidR="006F293D" w:rsidRPr="006F293D" w:rsidRDefault="006F293D" w:rsidP="006F293D">
      <w:pPr>
        <w:ind w:left="567" w:hanging="567"/>
        <w:rPr>
          <w:rFonts w:ascii="Arial" w:hAnsi="Arial" w:cs="Arial"/>
          <w:sz w:val="28"/>
          <w:szCs w:val="28"/>
        </w:rPr>
      </w:pPr>
      <w:r w:rsidRPr="006F293D">
        <w:rPr>
          <w:rFonts w:ascii="Arial" w:hAnsi="Arial" w:cs="Arial"/>
          <w:szCs w:val="28"/>
        </w:rPr>
        <w:tab/>
        <w:t>NHS England, "Data Saves Lives: Reshaping Health and Social Care with Data," NHS England, London, U.K., 2022.</w:t>
      </w:r>
    </w:p>
    <w:p w14:paraId="66C27873" w14:textId="696F2171" w:rsidR="006F293D" w:rsidRPr="006F293D" w:rsidRDefault="006F293D" w:rsidP="006F293D">
      <w:pPr>
        <w:ind w:left="567" w:hanging="567"/>
        <w:rPr>
          <w:rFonts w:ascii="Arial" w:hAnsi="Arial" w:cs="Arial"/>
          <w:sz w:val="28"/>
          <w:szCs w:val="28"/>
        </w:rPr>
      </w:pPr>
      <w:r w:rsidRPr="006F293D">
        <w:rPr>
          <w:rFonts w:ascii="Arial" w:hAnsi="Arial" w:cs="Arial"/>
          <w:szCs w:val="28"/>
        </w:rPr>
        <w:tab/>
        <w:t>A. Vaisman and E. Zimányi, Data Warehouse Systems: Design and Implementation. Berlin, Germany: Springer, 2014.</w:t>
      </w:r>
    </w:p>
    <w:p w14:paraId="4D93B8A1" w14:textId="6762DEFD" w:rsidR="006F293D" w:rsidRPr="006F293D" w:rsidRDefault="006F293D" w:rsidP="006F293D">
      <w:pPr>
        <w:ind w:left="567" w:hanging="567"/>
        <w:rPr>
          <w:rFonts w:ascii="Arial" w:hAnsi="Arial" w:cs="Arial"/>
          <w:sz w:val="28"/>
          <w:szCs w:val="28"/>
        </w:rPr>
      </w:pPr>
      <w:r w:rsidRPr="006F293D">
        <w:rPr>
          <w:rFonts w:ascii="Arial" w:hAnsi="Arial" w:cs="Arial"/>
          <w:szCs w:val="28"/>
        </w:rPr>
        <w:tab/>
        <w:t>P. Ponniah, Data Warehousing Fundamentals for IT Professionals, 2nd ed. Hoboken, NJ, USA: Wiley, 2010.</w:t>
      </w:r>
    </w:p>
    <w:p w14:paraId="371EE50F" w14:textId="5711822D" w:rsidR="006F293D" w:rsidRPr="006F293D" w:rsidRDefault="006F293D" w:rsidP="006F293D">
      <w:pPr>
        <w:ind w:left="567" w:hanging="567"/>
        <w:rPr>
          <w:rFonts w:ascii="Arial" w:hAnsi="Arial" w:cs="Arial"/>
          <w:sz w:val="28"/>
          <w:szCs w:val="28"/>
        </w:rPr>
      </w:pPr>
      <w:r w:rsidRPr="006F293D">
        <w:rPr>
          <w:rFonts w:ascii="Arial" w:hAnsi="Arial" w:cs="Arial"/>
          <w:szCs w:val="28"/>
        </w:rPr>
        <w:tab/>
        <w:t xml:space="preserve">NHS England, "What Good Looks Like Framework," NHS England, London, U.K., 2021. </w:t>
      </w:r>
    </w:p>
    <w:p w14:paraId="374651DB" w14:textId="55BBD243" w:rsidR="006F293D" w:rsidRPr="006F293D" w:rsidRDefault="006F293D" w:rsidP="006F293D">
      <w:pPr>
        <w:ind w:left="567" w:hanging="567"/>
        <w:rPr>
          <w:rFonts w:ascii="Arial" w:hAnsi="Arial" w:cs="Arial"/>
          <w:sz w:val="28"/>
          <w:szCs w:val="28"/>
        </w:rPr>
      </w:pPr>
      <w:r w:rsidRPr="006F293D">
        <w:rPr>
          <w:rFonts w:ascii="Arial" w:hAnsi="Arial" w:cs="Arial"/>
          <w:szCs w:val="28"/>
        </w:rPr>
        <w:tab/>
        <w:t>J. Han, J. Pei, and M. Kamber, Data Mining: Concepts and Techniques, 3rd ed. Waltham, MA, USA: Morgan Kaufmann, 2012.</w:t>
      </w:r>
    </w:p>
    <w:p w14:paraId="1FBF1D7F" w14:textId="0DAEFC17" w:rsidR="006F293D" w:rsidRPr="006F293D" w:rsidRDefault="006F293D" w:rsidP="006F293D">
      <w:pPr>
        <w:ind w:left="567" w:hanging="567"/>
        <w:rPr>
          <w:rFonts w:ascii="Arial" w:hAnsi="Arial" w:cs="Arial"/>
          <w:sz w:val="28"/>
          <w:szCs w:val="28"/>
        </w:rPr>
      </w:pPr>
      <w:r w:rsidRPr="006F293D">
        <w:rPr>
          <w:rFonts w:ascii="Arial" w:hAnsi="Arial" w:cs="Arial"/>
          <w:szCs w:val="28"/>
        </w:rPr>
        <w:tab/>
        <w:t xml:space="preserve">K. Häyrinen, K. </w:t>
      </w:r>
      <w:proofErr w:type="spellStart"/>
      <w:r w:rsidRPr="006F293D">
        <w:rPr>
          <w:rFonts w:ascii="Arial" w:hAnsi="Arial" w:cs="Arial"/>
          <w:szCs w:val="28"/>
        </w:rPr>
        <w:t>Saranto</w:t>
      </w:r>
      <w:proofErr w:type="spellEnd"/>
      <w:r w:rsidRPr="006F293D">
        <w:rPr>
          <w:rFonts w:ascii="Arial" w:hAnsi="Arial" w:cs="Arial"/>
          <w:szCs w:val="28"/>
        </w:rPr>
        <w:t>, and P. Nykänen, "Definition, structure, content, use and impacts of electronic health records: A review of the research literature," Int. J. Med. Inform., vol. 77, no. 5, pp. 291–304, May 2008.</w:t>
      </w:r>
    </w:p>
    <w:p w14:paraId="01DB49F0" w14:textId="4925DC79" w:rsidR="006F293D" w:rsidRPr="006F293D" w:rsidRDefault="006F293D" w:rsidP="006F293D">
      <w:pPr>
        <w:ind w:left="567" w:hanging="567"/>
        <w:rPr>
          <w:rFonts w:ascii="Arial" w:hAnsi="Arial" w:cs="Arial"/>
          <w:sz w:val="28"/>
          <w:szCs w:val="28"/>
        </w:rPr>
      </w:pPr>
      <w:r w:rsidRPr="006F293D">
        <w:rPr>
          <w:rFonts w:ascii="Arial" w:hAnsi="Arial" w:cs="Arial"/>
          <w:szCs w:val="28"/>
        </w:rPr>
        <w:tab/>
        <w:t xml:space="preserve">N. </w:t>
      </w:r>
      <w:proofErr w:type="spellStart"/>
      <w:r w:rsidRPr="006F293D">
        <w:rPr>
          <w:rFonts w:ascii="Arial" w:hAnsi="Arial" w:cs="Arial"/>
          <w:szCs w:val="28"/>
        </w:rPr>
        <w:t>Menachemi</w:t>
      </w:r>
      <w:proofErr w:type="spellEnd"/>
      <w:r w:rsidRPr="006F293D">
        <w:rPr>
          <w:rFonts w:ascii="Arial" w:hAnsi="Arial" w:cs="Arial"/>
          <w:szCs w:val="28"/>
        </w:rPr>
        <w:t xml:space="preserve"> and T. H. Collum, "Benefits and drawbacks of electronic health record systems," Risk Manag. </w:t>
      </w:r>
      <w:proofErr w:type="spellStart"/>
      <w:r w:rsidRPr="006F293D">
        <w:rPr>
          <w:rFonts w:ascii="Arial" w:hAnsi="Arial" w:cs="Arial"/>
          <w:szCs w:val="28"/>
        </w:rPr>
        <w:t>Healthc</w:t>
      </w:r>
      <w:proofErr w:type="spellEnd"/>
      <w:r w:rsidRPr="006F293D">
        <w:rPr>
          <w:rFonts w:ascii="Arial" w:hAnsi="Arial" w:cs="Arial"/>
          <w:szCs w:val="28"/>
        </w:rPr>
        <w:t>. Policy, vol. 4, pp. 47–55, 2011.</w:t>
      </w:r>
    </w:p>
    <w:p w14:paraId="54B02386" w14:textId="4C87DCA2" w:rsidR="006F293D" w:rsidRPr="006F293D" w:rsidRDefault="006F293D" w:rsidP="006F293D">
      <w:pPr>
        <w:ind w:left="567" w:hanging="567"/>
        <w:rPr>
          <w:rFonts w:ascii="Arial" w:hAnsi="Arial" w:cs="Arial"/>
          <w:sz w:val="28"/>
          <w:szCs w:val="28"/>
        </w:rPr>
      </w:pPr>
      <w:r w:rsidRPr="006F293D">
        <w:rPr>
          <w:rFonts w:ascii="Arial" w:hAnsi="Arial" w:cs="Arial"/>
          <w:szCs w:val="28"/>
        </w:rPr>
        <w:tab/>
        <w:t>R. Kimball, M. Ross, W. Thornthwaite, J. Mundy, and B. Becker, The Data Warehouse Lifecycle Toolkit, 2nd ed. Indianapolis, IN, USA: Wiley, 2008.</w:t>
      </w:r>
    </w:p>
    <w:p w14:paraId="044FB363" w14:textId="1328020E" w:rsidR="006F293D" w:rsidRPr="006F293D" w:rsidRDefault="006F293D" w:rsidP="006F293D">
      <w:pPr>
        <w:ind w:left="567" w:hanging="567"/>
        <w:rPr>
          <w:rFonts w:ascii="Arial" w:hAnsi="Arial" w:cs="Arial"/>
          <w:sz w:val="28"/>
          <w:szCs w:val="28"/>
        </w:rPr>
      </w:pPr>
      <w:r w:rsidRPr="006F293D">
        <w:rPr>
          <w:rFonts w:ascii="Arial" w:hAnsi="Arial" w:cs="Arial"/>
          <w:szCs w:val="28"/>
        </w:rPr>
        <w:tab/>
        <w:t>B. Devlin, Data Warehouse: From Architecture to Implementation. Reading, MA, USA: Addison-Wesley, 1997.</w:t>
      </w:r>
    </w:p>
    <w:p w14:paraId="00A19012" w14:textId="00E38657" w:rsidR="006F293D" w:rsidRPr="006F293D" w:rsidRDefault="006F293D" w:rsidP="006F293D">
      <w:pPr>
        <w:ind w:left="567" w:hanging="567"/>
        <w:rPr>
          <w:rFonts w:ascii="Arial" w:hAnsi="Arial" w:cs="Arial"/>
          <w:sz w:val="28"/>
          <w:szCs w:val="28"/>
        </w:rPr>
      </w:pPr>
      <w:r w:rsidRPr="006F293D">
        <w:rPr>
          <w:rFonts w:ascii="Arial" w:hAnsi="Arial" w:cs="Arial"/>
          <w:szCs w:val="28"/>
        </w:rPr>
        <w:lastRenderedPageBreak/>
        <w:tab/>
        <w:t>H. J. Watson and B. H. Wixom, "The current state of business intelligence," Computer, vol. 40, no. 9, pp. 96–99, Sep. 2007.</w:t>
      </w:r>
    </w:p>
    <w:p w14:paraId="5120B15E" w14:textId="33A57460" w:rsidR="006F293D" w:rsidRPr="006F293D" w:rsidRDefault="006F293D" w:rsidP="006F293D">
      <w:pPr>
        <w:ind w:left="567" w:hanging="567"/>
        <w:rPr>
          <w:rFonts w:ascii="Arial" w:hAnsi="Arial" w:cs="Arial"/>
          <w:sz w:val="28"/>
          <w:szCs w:val="28"/>
        </w:rPr>
      </w:pPr>
      <w:r w:rsidRPr="006F293D">
        <w:rPr>
          <w:rFonts w:ascii="Arial" w:hAnsi="Arial" w:cs="Arial"/>
          <w:szCs w:val="28"/>
        </w:rPr>
        <w:tab/>
        <w:t>U.K. Government, Data Protection Act 2018. London, U.K.: The Stationery Office, 2018.</w:t>
      </w:r>
    </w:p>
    <w:p w14:paraId="6E415124" w14:textId="3A8A774E" w:rsidR="006F293D" w:rsidRPr="006F293D" w:rsidRDefault="006F293D" w:rsidP="006F293D">
      <w:pPr>
        <w:ind w:left="567" w:hanging="567"/>
        <w:rPr>
          <w:rFonts w:ascii="Arial" w:hAnsi="Arial" w:cs="Arial"/>
          <w:sz w:val="28"/>
          <w:szCs w:val="28"/>
        </w:rPr>
      </w:pPr>
      <w:r w:rsidRPr="006F293D">
        <w:rPr>
          <w:rFonts w:ascii="Arial" w:hAnsi="Arial" w:cs="Arial"/>
          <w:szCs w:val="28"/>
        </w:rPr>
        <w:tab/>
        <w:t xml:space="preserve">NHS Digital, "Data Security and Protection Toolkit," NHS Digital, Leeds, U.K., 2023. </w:t>
      </w:r>
    </w:p>
    <w:p w14:paraId="1DCE5BB4" w14:textId="77777777" w:rsidR="006F293D" w:rsidRPr="006F293D" w:rsidRDefault="006F293D" w:rsidP="006F293D">
      <w:pPr>
        <w:rPr>
          <w:rFonts w:ascii="Arial" w:hAnsi="Arial" w:cs="Arial"/>
          <w:lang w:eastAsia="en-GB"/>
        </w:rPr>
      </w:pPr>
    </w:p>
    <w:p w14:paraId="21EC1ECF" w14:textId="77777777" w:rsidR="006F293D" w:rsidRPr="006F293D" w:rsidRDefault="006F293D" w:rsidP="006F293D">
      <w:pPr>
        <w:rPr>
          <w:rFonts w:ascii="Arial" w:hAnsi="Arial" w:cs="Arial"/>
          <w:lang w:eastAsia="en-GB"/>
        </w:rPr>
      </w:pPr>
    </w:p>
    <w:p w14:paraId="4622B92B" w14:textId="77777777" w:rsidR="00C8215F" w:rsidRPr="00C8215F" w:rsidRDefault="00C8215F" w:rsidP="00C8215F">
      <w:pPr>
        <w:rPr>
          <w:rFonts w:ascii="Arial" w:hAnsi="Arial" w:cs="Arial"/>
        </w:rPr>
      </w:pPr>
    </w:p>
    <w:p w14:paraId="5304FA70" w14:textId="62243350" w:rsidR="00A71877" w:rsidRPr="00A71877" w:rsidRDefault="00A71877" w:rsidP="00A71877">
      <w:pPr>
        <w:rPr>
          <w:lang w:eastAsia="en-GB"/>
        </w:rPr>
      </w:pPr>
    </w:p>
    <w:p w14:paraId="4469D8C8" w14:textId="77777777" w:rsidR="00A71877" w:rsidRDefault="00A71877" w:rsidP="00A71877">
      <w:pPr>
        <w:pStyle w:val="ListParagraph"/>
        <w:spacing w:after="0" w:line="240" w:lineRule="auto"/>
        <w:ind w:left="465"/>
        <w:rPr>
          <w:rFonts w:ascii="Arial" w:eastAsia="Times New Roman" w:hAnsi="Arial" w:cs="Arial"/>
          <w:kern w:val="0"/>
          <w:lang w:eastAsia="en-GB"/>
          <w14:ligatures w14:val="none"/>
        </w:rPr>
      </w:pPr>
    </w:p>
    <w:p w14:paraId="120CBAB7" w14:textId="77777777" w:rsidR="00A71877" w:rsidRPr="00A71877" w:rsidRDefault="00A71877" w:rsidP="00A71877">
      <w:pPr>
        <w:pStyle w:val="ListParagraph"/>
        <w:spacing w:after="0" w:line="240" w:lineRule="auto"/>
        <w:ind w:left="465"/>
        <w:rPr>
          <w:rFonts w:ascii="Arial" w:eastAsia="Times New Roman" w:hAnsi="Arial" w:cs="Arial"/>
          <w:kern w:val="0"/>
          <w:lang w:eastAsia="en-GB"/>
          <w14:ligatures w14:val="none"/>
        </w:rPr>
      </w:pPr>
    </w:p>
    <w:p w14:paraId="546DD0C5" w14:textId="77777777" w:rsidR="00A71877" w:rsidRPr="00A71877" w:rsidRDefault="00A71877" w:rsidP="00A71877"/>
    <w:p w14:paraId="6F42046B" w14:textId="77777777" w:rsidR="00A71877" w:rsidRDefault="00A71877" w:rsidP="00A71877"/>
    <w:p w14:paraId="573F7922" w14:textId="77777777" w:rsidR="00A71877" w:rsidRPr="00A71877" w:rsidRDefault="00A71877" w:rsidP="00A71877"/>
    <w:sectPr w:rsidR="00A71877" w:rsidRPr="00A71877" w:rsidSect="00A718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0905BA"/>
    <w:multiLevelType w:val="multilevel"/>
    <w:tmpl w:val="ADC4D450"/>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62781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877"/>
    <w:rsid w:val="0022531F"/>
    <w:rsid w:val="003147A8"/>
    <w:rsid w:val="006F293D"/>
    <w:rsid w:val="008449E3"/>
    <w:rsid w:val="00A71877"/>
    <w:rsid w:val="00C8215F"/>
    <w:rsid w:val="00E61181"/>
    <w:rsid w:val="00E9263B"/>
    <w:rsid w:val="00F46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0837"/>
  <w15:chartTrackingRefBased/>
  <w15:docId w15:val="{8617EEEA-5F11-45B2-8CA7-ADC4006B3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8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18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18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8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8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8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8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8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8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8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18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18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8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8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8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8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8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877"/>
    <w:rPr>
      <w:rFonts w:eastAsiaTheme="majorEastAsia" w:cstheme="majorBidi"/>
      <w:color w:val="272727" w:themeColor="text1" w:themeTint="D8"/>
    </w:rPr>
  </w:style>
  <w:style w:type="paragraph" w:styleId="Title">
    <w:name w:val="Title"/>
    <w:basedOn w:val="Normal"/>
    <w:next w:val="Normal"/>
    <w:link w:val="TitleChar"/>
    <w:uiPriority w:val="10"/>
    <w:qFormat/>
    <w:rsid w:val="00A718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8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8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8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877"/>
    <w:pPr>
      <w:spacing w:before="160"/>
      <w:jc w:val="center"/>
    </w:pPr>
    <w:rPr>
      <w:i/>
      <w:iCs/>
      <w:color w:val="404040" w:themeColor="text1" w:themeTint="BF"/>
    </w:rPr>
  </w:style>
  <w:style w:type="character" w:customStyle="1" w:styleId="QuoteChar">
    <w:name w:val="Quote Char"/>
    <w:basedOn w:val="DefaultParagraphFont"/>
    <w:link w:val="Quote"/>
    <w:uiPriority w:val="29"/>
    <w:rsid w:val="00A71877"/>
    <w:rPr>
      <w:i/>
      <w:iCs/>
      <w:color w:val="404040" w:themeColor="text1" w:themeTint="BF"/>
    </w:rPr>
  </w:style>
  <w:style w:type="paragraph" w:styleId="ListParagraph">
    <w:name w:val="List Paragraph"/>
    <w:basedOn w:val="Normal"/>
    <w:uiPriority w:val="34"/>
    <w:qFormat/>
    <w:rsid w:val="00A71877"/>
    <w:pPr>
      <w:ind w:left="720"/>
      <w:contextualSpacing/>
    </w:pPr>
  </w:style>
  <w:style w:type="character" w:styleId="IntenseEmphasis">
    <w:name w:val="Intense Emphasis"/>
    <w:basedOn w:val="DefaultParagraphFont"/>
    <w:uiPriority w:val="21"/>
    <w:qFormat/>
    <w:rsid w:val="00A71877"/>
    <w:rPr>
      <w:i/>
      <w:iCs/>
      <w:color w:val="0F4761" w:themeColor="accent1" w:themeShade="BF"/>
    </w:rPr>
  </w:style>
  <w:style w:type="paragraph" w:styleId="IntenseQuote">
    <w:name w:val="Intense Quote"/>
    <w:basedOn w:val="Normal"/>
    <w:next w:val="Normal"/>
    <w:link w:val="IntenseQuoteChar"/>
    <w:uiPriority w:val="30"/>
    <w:qFormat/>
    <w:rsid w:val="00A718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877"/>
    <w:rPr>
      <w:i/>
      <w:iCs/>
      <w:color w:val="0F4761" w:themeColor="accent1" w:themeShade="BF"/>
    </w:rPr>
  </w:style>
  <w:style w:type="character" w:styleId="IntenseReference">
    <w:name w:val="Intense Reference"/>
    <w:basedOn w:val="DefaultParagraphFont"/>
    <w:uiPriority w:val="32"/>
    <w:qFormat/>
    <w:rsid w:val="00A71877"/>
    <w:rPr>
      <w:b/>
      <w:bCs/>
      <w:smallCaps/>
      <w:color w:val="0F4761" w:themeColor="accent1" w:themeShade="BF"/>
      <w:spacing w:val="5"/>
    </w:rPr>
  </w:style>
  <w:style w:type="paragraph" w:styleId="NoSpacing">
    <w:name w:val="No Spacing"/>
    <w:link w:val="NoSpacingChar"/>
    <w:uiPriority w:val="1"/>
    <w:qFormat/>
    <w:rsid w:val="00A7187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71877"/>
    <w:rPr>
      <w:rFonts w:eastAsiaTheme="minorEastAsia"/>
      <w:kern w:val="0"/>
      <w:sz w:val="22"/>
      <w:szCs w:val="22"/>
      <w:lang w:val="en-US"/>
      <w14:ligatures w14:val="none"/>
    </w:rPr>
  </w:style>
  <w:style w:type="table" w:styleId="LightGrid-Accent1">
    <w:name w:val="Light Grid Accent 1"/>
    <w:basedOn w:val="TableNormal"/>
    <w:uiPriority w:val="62"/>
    <w:rsid w:val="006F293D"/>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paragraph" w:styleId="TOCHeading">
    <w:name w:val="TOC Heading"/>
    <w:basedOn w:val="Heading1"/>
    <w:next w:val="Normal"/>
    <w:uiPriority w:val="39"/>
    <w:unhideWhenUsed/>
    <w:qFormat/>
    <w:rsid w:val="006F293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F293D"/>
    <w:pPr>
      <w:spacing w:after="100"/>
    </w:pPr>
  </w:style>
  <w:style w:type="paragraph" w:styleId="TOC2">
    <w:name w:val="toc 2"/>
    <w:basedOn w:val="Normal"/>
    <w:next w:val="Normal"/>
    <w:autoRedefine/>
    <w:uiPriority w:val="39"/>
    <w:unhideWhenUsed/>
    <w:rsid w:val="006F293D"/>
    <w:pPr>
      <w:spacing w:after="100"/>
      <w:ind w:left="240"/>
    </w:pPr>
  </w:style>
  <w:style w:type="paragraph" w:styleId="TOC3">
    <w:name w:val="toc 3"/>
    <w:basedOn w:val="Normal"/>
    <w:next w:val="Normal"/>
    <w:autoRedefine/>
    <w:uiPriority w:val="39"/>
    <w:unhideWhenUsed/>
    <w:rsid w:val="006F293D"/>
    <w:pPr>
      <w:spacing w:after="100"/>
      <w:ind w:left="480"/>
    </w:pPr>
  </w:style>
  <w:style w:type="character" w:styleId="Hyperlink">
    <w:name w:val="Hyperlink"/>
    <w:basedOn w:val="DefaultParagraphFont"/>
    <w:uiPriority w:val="99"/>
    <w:unhideWhenUsed/>
    <w:rsid w:val="006F293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64594945BF4DF8A49F7208C39ACCF8"/>
        <w:category>
          <w:name w:val="General"/>
          <w:gallery w:val="placeholder"/>
        </w:category>
        <w:types>
          <w:type w:val="bbPlcHdr"/>
        </w:types>
        <w:behaviors>
          <w:behavior w:val="content"/>
        </w:behaviors>
        <w:guid w:val="{62FF4915-4AD0-4FED-BBD9-EED2B47421BB}"/>
      </w:docPartPr>
      <w:docPartBody>
        <w:p w:rsidR="00DF003C" w:rsidRDefault="00BE5D00" w:rsidP="00BE5D00">
          <w:pPr>
            <w:pStyle w:val="F164594945BF4DF8A49F7208C39ACCF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D00"/>
    <w:rsid w:val="0022531F"/>
    <w:rsid w:val="003F53CF"/>
    <w:rsid w:val="00BE5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64594945BF4DF8A49F7208C39ACCF8">
    <w:name w:val="F164594945BF4DF8A49F7208C39ACCF8"/>
    <w:rsid w:val="00BE5D00"/>
  </w:style>
  <w:style w:type="paragraph" w:customStyle="1" w:styleId="83833BBAB1E94B3996847758A02A617A">
    <w:name w:val="83833BBAB1E94B3996847758A02A617A"/>
    <w:rsid w:val="00BE5D00"/>
  </w:style>
  <w:style w:type="paragraph" w:customStyle="1" w:styleId="A0F5C935A0D2425399B23F2278AD6BFA">
    <w:name w:val="A0F5C935A0D2425399B23F2278AD6B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3E1A8-92DC-4F8E-AFA2-A99455DBE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12</Pages>
  <Words>3267</Words>
  <Characters>18622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Data Warehousing Solution for NHS England: Consolidating Operational, Clinical, Workforce and Financial Data</dc:title>
  <dc:subject/>
  <dc:creator>Alexandra Craciun</dc:creator>
  <cp:keywords/>
  <dc:description/>
  <cp:lastModifiedBy>Alexandra Craciun</cp:lastModifiedBy>
  <cp:revision>1</cp:revision>
  <dcterms:created xsi:type="dcterms:W3CDTF">2026-07-25T07:29:00Z</dcterms:created>
  <dcterms:modified xsi:type="dcterms:W3CDTF">2026-07-26T19:09:00Z</dcterms:modified>
</cp:coreProperties>
</file>