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AC1A7" w14:textId="0CCC7527" w:rsidR="0002400F" w:rsidRDefault="0002400F">
      <w:r>
        <w:t xml:space="preserve">Sojourners and </w:t>
      </w:r>
      <w:r w:rsidR="001E3C72">
        <w:t>C</w:t>
      </w:r>
      <w:r>
        <w:t xml:space="preserve">ulture </w:t>
      </w:r>
      <w:r w:rsidR="001E3C72">
        <w:t>S</w:t>
      </w:r>
      <w:r>
        <w:t>hock</w:t>
      </w:r>
      <w:r w:rsidR="001E3C72">
        <w:t>:</w:t>
      </w:r>
      <w:r>
        <w:t xml:space="preserve"> Fitting into the </w:t>
      </w:r>
      <w:r w:rsidR="001E3C72">
        <w:t>W</w:t>
      </w:r>
      <w:r>
        <w:t xml:space="preserve">orld of </w:t>
      </w:r>
      <w:r w:rsidR="001E3C72">
        <w:t>O</w:t>
      </w:r>
      <w:r>
        <w:t>thers</w:t>
      </w:r>
      <w:r w:rsidR="00C63E6B">
        <w:t xml:space="preserve"> in a Business and a Student Setting.</w:t>
      </w:r>
    </w:p>
    <w:p w14:paraId="678F28B8" w14:textId="35E700C8" w:rsidR="000B0E0B" w:rsidRPr="00671278" w:rsidRDefault="00671278" w:rsidP="0002400F">
      <w:pPr>
        <w:rPr>
          <w:rFonts w:cstheme="minorHAnsi"/>
          <w:u w:val="single"/>
        </w:rPr>
      </w:pPr>
      <w:r w:rsidRPr="00671278">
        <w:rPr>
          <w:rFonts w:cstheme="minorHAnsi"/>
          <w:u w:val="single"/>
        </w:rPr>
        <w:t>Abstract</w:t>
      </w:r>
    </w:p>
    <w:p w14:paraId="4AFA8BAA" w14:textId="7742AFA9" w:rsidR="0003116C" w:rsidRDefault="00C63E6B" w:rsidP="0002400F">
      <w:pPr>
        <w:rPr>
          <w:rFonts w:cstheme="minorHAnsi"/>
        </w:rPr>
      </w:pPr>
      <w:r>
        <w:rPr>
          <w:rFonts w:cstheme="minorHAnsi"/>
        </w:rPr>
        <w:t xml:space="preserve">My research will look at the way in which individuals within a business and student setting interact within their environments whilst they were overseas. I hope to explore the ways in which these two groups of sojourners feel during their stay in a foreign environment and how this differed or correlated with their original expectations of the ordeal. During my research I am hoping to conclude that despite the fact that these two groups are both travelling to a foreign country to conduct work it is the students who feel the </w:t>
      </w:r>
      <w:r w:rsidR="00C31789">
        <w:rPr>
          <w:rFonts w:cstheme="minorHAnsi"/>
        </w:rPr>
        <w:t>effect</w:t>
      </w:r>
      <w:r>
        <w:rPr>
          <w:rFonts w:cstheme="minorHAnsi"/>
        </w:rPr>
        <w:t xml:space="preserve"> of this shift</w:t>
      </w:r>
      <w:r w:rsidR="00C31789">
        <w:rPr>
          <w:rFonts w:cstheme="minorHAnsi"/>
        </w:rPr>
        <w:t xml:space="preserve"> (culture shock)</w:t>
      </w:r>
      <w:r>
        <w:rPr>
          <w:rFonts w:cstheme="minorHAnsi"/>
        </w:rPr>
        <w:t xml:space="preserve"> more drastically due to the social aspect of life as a student rather than the closed off, work orientated environment of the corporate sphere.</w:t>
      </w:r>
    </w:p>
    <w:p w14:paraId="5459CD6C" w14:textId="77777777" w:rsidR="0058149D" w:rsidRDefault="0058149D" w:rsidP="0002400F">
      <w:pPr>
        <w:rPr>
          <w:rFonts w:cstheme="minorHAnsi"/>
        </w:rPr>
      </w:pPr>
    </w:p>
    <w:p w14:paraId="45E8753A" w14:textId="57D2C92F" w:rsidR="00671278" w:rsidRDefault="00671278" w:rsidP="0002400F">
      <w:pPr>
        <w:rPr>
          <w:rFonts w:cstheme="minorHAnsi"/>
        </w:rPr>
      </w:pPr>
      <w:r>
        <w:rPr>
          <w:rFonts w:cstheme="minorHAnsi"/>
          <w:u w:val="single"/>
        </w:rPr>
        <w:t>Context</w:t>
      </w:r>
    </w:p>
    <w:p w14:paraId="4C7CF9DF" w14:textId="725E5646" w:rsidR="00671278" w:rsidRDefault="00C63E6B" w:rsidP="0002400F">
      <w:pPr>
        <w:rPr>
          <w:rFonts w:cstheme="minorHAnsi"/>
        </w:rPr>
      </w:pPr>
      <w:r>
        <w:rPr>
          <w:rFonts w:cstheme="minorHAnsi"/>
        </w:rPr>
        <w:t xml:space="preserve">By doing this research, I hope to highlight the effects of </w:t>
      </w:r>
      <w:r w:rsidR="00C1678C">
        <w:rPr>
          <w:rFonts w:cstheme="minorHAnsi"/>
        </w:rPr>
        <w:t>being abroad for business or educational reasons</w:t>
      </w:r>
      <w:r>
        <w:rPr>
          <w:rFonts w:cstheme="minorHAnsi"/>
        </w:rPr>
        <w:t xml:space="preserve"> to these groups of people – </w:t>
      </w:r>
      <w:r w:rsidR="00C1678C">
        <w:rPr>
          <w:rFonts w:cstheme="minorHAnsi"/>
        </w:rPr>
        <w:t>on</w:t>
      </w:r>
      <w:r>
        <w:rPr>
          <w:rFonts w:cstheme="minorHAnsi"/>
        </w:rPr>
        <w:t xml:space="preserve"> both mental health and physical health. </w:t>
      </w:r>
      <w:r w:rsidR="007439EC">
        <w:rPr>
          <w:rFonts w:cstheme="minorHAnsi"/>
        </w:rPr>
        <w:t xml:space="preserve">I also want to confirm or deny whether the corporate verses educational sphere for sojourners effects the way that the individual socialises with local people. </w:t>
      </w:r>
    </w:p>
    <w:p w14:paraId="214D91D9" w14:textId="77777777" w:rsidR="0003116C" w:rsidRDefault="0003116C" w:rsidP="0002400F">
      <w:pPr>
        <w:rPr>
          <w:rFonts w:cstheme="minorHAnsi"/>
        </w:rPr>
      </w:pPr>
    </w:p>
    <w:p w14:paraId="74C6124F" w14:textId="6EF40ACA" w:rsidR="00671278" w:rsidRDefault="00671278" w:rsidP="0002400F">
      <w:pPr>
        <w:rPr>
          <w:rFonts w:cstheme="minorHAnsi"/>
          <w:u w:val="single"/>
        </w:rPr>
      </w:pPr>
      <w:r>
        <w:rPr>
          <w:rFonts w:cstheme="minorHAnsi"/>
          <w:u w:val="single"/>
        </w:rPr>
        <w:t>Questions Raised by Research Topic</w:t>
      </w:r>
    </w:p>
    <w:p w14:paraId="1DE4F0DC" w14:textId="0DEA83A5" w:rsidR="00671278" w:rsidRPr="007439EC" w:rsidRDefault="007439EC" w:rsidP="007439EC">
      <w:pPr>
        <w:pStyle w:val="ListParagraph"/>
        <w:numPr>
          <w:ilvl w:val="0"/>
          <w:numId w:val="4"/>
        </w:numPr>
        <w:rPr>
          <w:rFonts w:cstheme="minorHAnsi"/>
        </w:rPr>
      </w:pPr>
      <w:r w:rsidRPr="007439EC">
        <w:rPr>
          <w:rFonts w:cstheme="minorHAnsi"/>
        </w:rPr>
        <w:t>Due to the nature of the corporate lifestyle, do business figures feel as if they are cut off from the country which they have been temporarily placed in?</w:t>
      </w:r>
    </w:p>
    <w:p w14:paraId="78C90F21" w14:textId="4B1D8EFD" w:rsidR="007439EC" w:rsidRDefault="007439EC" w:rsidP="007439EC">
      <w:pPr>
        <w:pStyle w:val="ListParagraph"/>
        <w:numPr>
          <w:ilvl w:val="0"/>
          <w:numId w:val="4"/>
        </w:numPr>
        <w:rPr>
          <w:rFonts w:cstheme="minorHAnsi"/>
        </w:rPr>
      </w:pPr>
      <w:r w:rsidRPr="007439EC">
        <w:rPr>
          <w:rFonts w:cstheme="minorHAnsi"/>
        </w:rPr>
        <w:t>How segrega</w:t>
      </w:r>
      <w:r>
        <w:rPr>
          <w:rFonts w:cstheme="minorHAnsi"/>
        </w:rPr>
        <w:t>ted from local society and culture do the sojourners feel?</w:t>
      </w:r>
    </w:p>
    <w:p w14:paraId="480362BE" w14:textId="79933221" w:rsidR="007439EC" w:rsidRDefault="007439EC" w:rsidP="007439EC">
      <w:pPr>
        <w:pStyle w:val="ListParagraph"/>
        <w:numPr>
          <w:ilvl w:val="0"/>
          <w:numId w:val="4"/>
        </w:numPr>
        <w:rPr>
          <w:rFonts w:cstheme="minorHAnsi"/>
        </w:rPr>
      </w:pPr>
      <w:r>
        <w:rPr>
          <w:rFonts w:cstheme="minorHAnsi"/>
        </w:rPr>
        <w:t>How many issues d</w:t>
      </w:r>
      <w:r w:rsidR="00EE2C4C">
        <w:rPr>
          <w:rFonts w:cstheme="minorHAnsi"/>
        </w:rPr>
        <w:t>oes</w:t>
      </w:r>
      <w:r>
        <w:rPr>
          <w:rFonts w:cstheme="minorHAnsi"/>
        </w:rPr>
        <w:t xml:space="preserve"> </w:t>
      </w:r>
      <w:r w:rsidR="00EE2C4C">
        <w:rPr>
          <w:rFonts w:cstheme="minorHAnsi"/>
        </w:rPr>
        <w:t>staying</w:t>
      </w:r>
      <w:r>
        <w:rPr>
          <w:rFonts w:cstheme="minorHAnsi"/>
        </w:rPr>
        <w:t xml:space="preserve"> in the foreign environment create for the individual? Both on a personal and </w:t>
      </w:r>
      <w:r w:rsidR="005346FF">
        <w:rPr>
          <w:rFonts w:cstheme="minorHAnsi"/>
        </w:rPr>
        <w:t>work-related</w:t>
      </w:r>
      <w:r>
        <w:rPr>
          <w:rFonts w:cstheme="minorHAnsi"/>
        </w:rPr>
        <w:t xml:space="preserve"> front.</w:t>
      </w:r>
    </w:p>
    <w:p w14:paraId="1EF71D3E" w14:textId="1E04DEE7" w:rsidR="00EE2C4C" w:rsidRDefault="00EE2C4C" w:rsidP="007439EC">
      <w:pPr>
        <w:pStyle w:val="ListParagraph"/>
        <w:numPr>
          <w:ilvl w:val="0"/>
          <w:numId w:val="4"/>
        </w:numPr>
        <w:rPr>
          <w:rFonts w:cstheme="minorHAnsi"/>
        </w:rPr>
      </w:pPr>
      <w:r>
        <w:rPr>
          <w:rFonts w:cstheme="minorHAnsi"/>
        </w:rPr>
        <w:t>Does working in a foreign environment affect an individual’s mental state and productivity?</w:t>
      </w:r>
    </w:p>
    <w:p w14:paraId="3BE7FBE4" w14:textId="2820C1EE" w:rsidR="00EE2C4C" w:rsidRDefault="00EE2C4C" w:rsidP="007439EC">
      <w:pPr>
        <w:pStyle w:val="ListParagraph"/>
        <w:numPr>
          <w:ilvl w:val="0"/>
          <w:numId w:val="4"/>
        </w:numPr>
        <w:rPr>
          <w:rFonts w:cstheme="minorHAnsi"/>
        </w:rPr>
      </w:pPr>
      <w:r>
        <w:rPr>
          <w:rFonts w:cstheme="minorHAnsi"/>
        </w:rPr>
        <w:t>Level of satisfaction that came from living abroad.</w:t>
      </w:r>
    </w:p>
    <w:p w14:paraId="0BBC7CBD" w14:textId="476A2F8B" w:rsidR="00C1678C" w:rsidRDefault="00C1678C" w:rsidP="007439EC">
      <w:pPr>
        <w:pStyle w:val="ListParagraph"/>
        <w:numPr>
          <w:ilvl w:val="0"/>
          <w:numId w:val="4"/>
        </w:numPr>
        <w:rPr>
          <w:rFonts w:cstheme="minorHAnsi"/>
        </w:rPr>
      </w:pPr>
      <w:r>
        <w:rPr>
          <w:rFonts w:cstheme="minorHAnsi"/>
        </w:rPr>
        <w:t>Whether the groups fit into a W-curve or U-curve model of adaptation. If so, how long did the time frames last.</w:t>
      </w:r>
    </w:p>
    <w:p w14:paraId="4FAEB618" w14:textId="7EE85AC0" w:rsidR="00C1678C" w:rsidRDefault="00C1678C" w:rsidP="007439EC">
      <w:pPr>
        <w:pStyle w:val="ListParagraph"/>
        <w:numPr>
          <w:ilvl w:val="0"/>
          <w:numId w:val="4"/>
        </w:numPr>
        <w:rPr>
          <w:rFonts w:cstheme="minorHAnsi"/>
        </w:rPr>
      </w:pPr>
      <w:r>
        <w:rPr>
          <w:rFonts w:cstheme="minorHAnsi"/>
        </w:rPr>
        <w:t>Did the time spent abroad effect which curve model they fit into? Does it also have to do with the social sphere?</w:t>
      </w:r>
    </w:p>
    <w:p w14:paraId="32EE745B" w14:textId="6CFCEE36" w:rsidR="002A0824" w:rsidRDefault="002A0824" w:rsidP="007439EC">
      <w:pPr>
        <w:pStyle w:val="ListParagraph"/>
        <w:numPr>
          <w:ilvl w:val="0"/>
          <w:numId w:val="4"/>
        </w:numPr>
        <w:rPr>
          <w:rFonts w:cstheme="minorHAnsi"/>
        </w:rPr>
      </w:pPr>
      <w:r>
        <w:rPr>
          <w:rFonts w:cstheme="minorHAnsi"/>
        </w:rPr>
        <w:t>Does having a more dominant or extraverted personality help when dealing with acculturation?</w:t>
      </w:r>
    </w:p>
    <w:p w14:paraId="3E4B7851" w14:textId="1282365A" w:rsidR="00853FA6" w:rsidRDefault="00853FA6" w:rsidP="007439EC">
      <w:pPr>
        <w:pStyle w:val="ListParagraph"/>
        <w:numPr>
          <w:ilvl w:val="0"/>
          <w:numId w:val="4"/>
        </w:numPr>
        <w:rPr>
          <w:rFonts w:cstheme="minorHAnsi"/>
        </w:rPr>
      </w:pPr>
      <w:r>
        <w:rPr>
          <w:rFonts w:cstheme="minorHAnsi"/>
        </w:rPr>
        <w:t>Does the place that the individual sojourned in matter to their adaptation and behavioural shifts?</w:t>
      </w:r>
    </w:p>
    <w:p w14:paraId="086BDB7B" w14:textId="67D18DA5" w:rsidR="00853FA6" w:rsidRDefault="00853FA6" w:rsidP="00853FA6">
      <w:pPr>
        <w:pStyle w:val="ListParagraph"/>
        <w:numPr>
          <w:ilvl w:val="0"/>
          <w:numId w:val="4"/>
        </w:numPr>
        <w:rPr>
          <w:rFonts w:cstheme="minorHAnsi"/>
        </w:rPr>
      </w:pPr>
      <w:r>
        <w:rPr>
          <w:rFonts w:cstheme="minorHAnsi"/>
        </w:rPr>
        <w:t>Does the time that the individual sojourned for matter in terms of their adaptation and behavioural shifts?</w:t>
      </w:r>
    </w:p>
    <w:p w14:paraId="6D33E7AD" w14:textId="27A145E1" w:rsidR="00853FA6" w:rsidRPr="00853FA6" w:rsidRDefault="00853FA6" w:rsidP="00853FA6">
      <w:pPr>
        <w:pStyle w:val="ListParagraph"/>
        <w:numPr>
          <w:ilvl w:val="0"/>
          <w:numId w:val="4"/>
        </w:numPr>
        <w:rPr>
          <w:rFonts w:cstheme="minorHAnsi"/>
        </w:rPr>
      </w:pPr>
      <w:r>
        <w:rPr>
          <w:rFonts w:cstheme="minorHAnsi"/>
        </w:rPr>
        <w:t>Do those who are spending a shorter period sojourning happen to spend more of their time alone?</w:t>
      </w:r>
    </w:p>
    <w:p w14:paraId="00698CA1" w14:textId="22C04D06" w:rsidR="0003116C" w:rsidRDefault="0003116C" w:rsidP="0002400F">
      <w:pPr>
        <w:rPr>
          <w:rFonts w:cstheme="minorHAnsi"/>
          <w:u w:val="single"/>
        </w:rPr>
      </w:pPr>
    </w:p>
    <w:p w14:paraId="4657B738" w14:textId="2E1CC998" w:rsidR="0058149D" w:rsidRDefault="0058149D" w:rsidP="0002400F">
      <w:pPr>
        <w:rPr>
          <w:rFonts w:cstheme="minorHAnsi"/>
          <w:u w:val="single"/>
        </w:rPr>
      </w:pPr>
    </w:p>
    <w:p w14:paraId="216E956D" w14:textId="2A673BD5" w:rsidR="0058149D" w:rsidRDefault="0058149D" w:rsidP="0002400F">
      <w:pPr>
        <w:rPr>
          <w:rFonts w:cstheme="minorHAnsi"/>
          <w:u w:val="single"/>
        </w:rPr>
      </w:pPr>
    </w:p>
    <w:p w14:paraId="556F2DEC" w14:textId="2541A4E2" w:rsidR="0058149D" w:rsidRDefault="0058149D" w:rsidP="0002400F">
      <w:pPr>
        <w:rPr>
          <w:rFonts w:cstheme="minorHAnsi"/>
          <w:u w:val="single"/>
        </w:rPr>
      </w:pPr>
    </w:p>
    <w:p w14:paraId="625F2606" w14:textId="77777777" w:rsidR="0058149D" w:rsidRDefault="0058149D" w:rsidP="0002400F">
      <w:pPr>
        <w:rPr>
          <w:rFonts w:cstheme="minorHAnsi"/>
          <w:u w:val="single"/>
        </w:rPr>
      </w:pPr>
    </w:p>
    <w:p w14:paraId="234ED109" w14:textId="13F44AC4" w:rsidR="00671278" w:rsidRDefault="00671278" w:rsidP="0002400F">
      <w:pPr>
        <w:rPr>
          <w:rFonts w:cstheme="minorHAnsi"/>
          <w:u w:val="single"/>
        </w:rPr>
      </w:pPr>
      <w:r>
        <w:rPr>
          <w:rFonts w:cstheme="minorHAnsi"/>
          <w:u w:val="single"/>
        </w:rPr>
        <w:t>Research Methods?</w:t>
      </w:r>
    </w:p>
    <w:p w14:paraId="50B824FE" w14:textId="77777777" w:rsidR="0003116C" w:rsidRPr="0003116C" w:rsidRDefault="0003116C" w:rsidP="0002400F">
      <w:pPr>
        <w:rPr>
          <w:rFonts w:cstheme="minorHAnsi"/>
          <w:b/>
          <w:bCs/>
        </w:rPr>
      </w:pPr>
      <w:r w:rsidRPr="0003116C">
        <w:rPr>
          <w:rFonts w:cstheme="minorHAnsi"/>
          <w:b/>
          <w:bCs/>
        </w:rPr>
        <w:t>Primary:</w:t>
      </w:r>
    </w:p>
    <w:p w14:paraId="39978258" w14:textId="5E070375" w:rsidR="00B50AE3" w:rsidRDefault="0003116C" w:rsidP="0002400F">
      <w:pPr>
        <w:rPr>
          <w:rFonts w:cstheme="minorHAnsi"/>
        </w:rPr>
      </w:pPr>
      <w:r w:rsidRPr="0003116C">
        <w:rPr>
          <w:rFonts w:cstheme="minorHAnsi"/>
        </w:rPr>
        <w:t>Anonymous</w:t>
      </w:r>
      <w:r>
        <w:rPr>
          <w:rFonts w:cstheme="minorHAnsi"/>
        </w:rPr>
        <w:t xml:space="preserve"> answers to questions presented</w:t>
      </w:r>
      <w:r w:rsidR="00C31789">
        <w:rPr>
          <w:rFonts w:cstheme="minorHAnsi"/>
        </w:rPr>
        <w:t xml:space="preserve">, sorted into groups – Students and Business. The qualitative data gained from </w:t>
      </w:r>
      <w:r w:rsidR="00D06C0D">
        <w:rPr>
          <w:rFonts w:cstheme="minorHAnsi"/>
        </w:rPr>
        <w:t>these anonymous interviews</w:t>
      </w:r>
      <w:r w:rsidR="00C31789">
        <w:rPr>
          <w:rFonts w:cstheme="minorHAnsi"/>
        </w:rPr>
        <w:t xml:space="preserve"> will be integral to my understanding of these two different types of sojourners. By using an </w:t>
      </w:r>
      <w:r w:rsidR="00D06C0D">
        <w:rPr>
          <w:rFonts w:cstheme="minorHAnsi"/>
        </w:rPr>
        <w:t>anonymous interview</w:t>
      </w:r>
      <w:r w:rsidR="00C31789">
        <w:rPr>
          <w:rFonts w:cstheme="minorHAnsi"/>
        </w:rPr>
        <w:t xml:space="preserve"> that collect this type of experience related data, the ethical standpoint is somewhat relaxed</w:t>
      </w:r>
      <w:r w:rsidR="00AD35F6">
        <w:rPr>
          <w:rFonts w:cstheme="minorHAnsi"/>
        </w:rPr>
        <w:t xml:space="preserve"> [Evans, Robling and Maggs Rapport </w:t>
      </w:r>
      <w:r w:rsidR="00AD35F6">
        <w:rPr>
          <w:rFonts w:cstheme="minorHAnsi"/>
          <w:i/>
          <w:iCs/>
        </w:rPr>
        <w:t>et al</w:t>
      </w:r>
      <w:r w:rsidR="00AD35F6">
        <w:rPr>
          <w:rFonts w:cstheme="minorHAnsi"/>
        </w:rPr>
        <w:t>. 2002. Pg. 41]</w:t>
      </w:r>
      <w:r w:rsidR="00C31789">
        <w:rPr>
          <w:rFonts w:cstheme="minorHAnsi"/>
        </w:rPr>
        <w:t xml:space="preserve">. Moreover, participants will be made well aware of how and in what way the data will be used. If a question proves to be too invasive for an individual then they are free to skip that question [Evans, Robling and Maggs Rapport </w:t>
      </w:r>
      <w:r w:rsidR="00C31789">
        <w:rPr>
          <w:rFonts w:cstheme="minorHAnsi"/>
          <w:i/>
          <w:iCs/>
        </w:rPr>
        <w:t>et al</w:t>
      </w:r>
      <w:r w:rsidR="00C31789">
        <w:rPr>
          <w:rFonts w:cstheme="minorHAnsi"/>
        </w:rPr>
        <w:t xml:space="preserve">. 2002. Pg. 41]. By asking participants to elaborate in a question rather than using harsh imperatives, I can hope for a more relaxed approach to the </w:t>
      </w:r>
      <w:r w:rsidR="00AD35F6">
        <w:rPr>
          <w:rFonts w:cstheme="minorHAnsi"/>
        </w:rPr>
        <w:t>interview</w:t>
      </w:r>
      <w:r w:rsidR="00C31789">
        <w:rPr>
          <w:rFonts w:cstheme="minorHAnsi"/>
        </w:rPr>
        <w:t xml:space="preserve"> by the participants. It also appears less invasive [Evans, Robling and Maggs Rapport </w:t>
      </w:r>
      <w:r w:rsidR="00C31789">
        <w:rPr>
          <w:rFonts w:cstheme="minorHAnsi"/>
          <w:i/>
          <w:iCs/>
        </w:rPr>
        <w:t>et al</w:t>
      </w:r>
      <w:r w:rsidR="00C31789">
        <w:rPr>
          <w:rFonts w:cstheme="minorHAnsi"/>
        </w:rPr>
        <w:t xml:space="preserve">. 2002. Pg. 41-42]. </w:t>
      </w:r>
      <w:r w:rsidR="00B50AE3">
        <w:rPr>
          <w:rFonts w:cstheme="minorHAnsi"/>
        </w:rPr>
        <w:t xml:space="preserve">To find students in which to interview I will ask the permission of </w:t>
      </w:r>
      <w:r w:rsidR="0058149D">
        <w:rPr>
          <w:rFonts w:cstheme="minorHAnsi"/>
        </w:rPr>
        <w:t>universities</w:t>
      </w:r>
      <w:r w:rsidR="00B50AE3">
        <w:rPr>
          <w:rFonts w:cstheme="minorHAnsi"/>
        </w:rPr>
        <w:t xml:space="preserve"> to interview students who have studied abroad or are currently doing so in the case of those who are studying in the UK. For those in the business sphere I will also be able to use lecturers who have taught abroad – which will give me a very different outlook from the classic business person</w:t>
      </w:r>
      <w:r w:rsidR="0058149D">
        <w:rPr>
          <w:rFonts w:cstheme="minorHAnsi"/>
        </w:rPr>
        <w:t>. For those within a more corporate sphere, I personally have contacts who have travelled abroad for work, those are who I shall primarily work with, since I am more likely to get open and confident answers. These contacts will also provide me with others who I can interview for my research.</w:t>
      </w:r>
      <w:r w:rsidR="00B50AE3">
        <w:rPr>
          <w:rFonts w:cstheme="minorHAnsi"/>
        </w:rPr>
        <w:t xml:space="preserve"> I wish to do this face to face so as to create a more personal connection with my participants</w:t>
      </w:r>
      <w:r w:rsidR="0058149D">
        <w:rPr>
          <w:rFonts w:cstheme="minorHAnsi"/>
        </w:rPr>
        <w:t xml:space="preserve"> and to more accurately gauge their reactions to each question</w:t>
      </w:r>
      <w:r w:rsidR="00B50AE3">
        <w:rPr>
          <w:rFonts w:cstheme="minorHAnsi"/>
        </w:rPr>
        <w:t>.</w:t>
      </w:r>
    </w:p>
    <w:p w14:paraId="2F767030" w14:textId="04C2A097" w:rsidR="00337251" w:rsidRPr="00B50AE3" w:rsidRDefault="00C31789" w:rsidP="0002400F">
      <w:pPr>
        <w:rPr>
          <w:rFonts w:cstheme="minorHAnsi"/>
        </w:rPr>
      </w:pPr>
      <w:r>
        <w:rPr>
          <w:rFonts w:cstheme="minorHAnsi"/>
        </w:rPr>
        <w:t xml:space="preserve">Ideally, I am aiming for </w:t>
      </w:r>
      <w:r w:rsidR="00AD35F6">
        <w:rPr>
          <w:rFonts w:cstheme="minorHAnsi"/>
        </w:rPr>
        <w:t>30</w:t>
      </w:r>
      <w:r>
        <w:rPr>
          <w:rFonts w:cstheme="minorHAnsi"/>
        </w:rPr>
        <w:t xml:space="preserve"> participants per group for this study so as to gain a range of data to work from and a collection of experiences</w:t>
      </w:r>
      <w:r w:rsidR="00AD35F6">
        <w:rPr>
          <w:rFonts w:cstheme="minorHAnsi"/>
        </w:rPr>
        <w:t xml:space="preserve"> – also any gaps given created by some of the participants can be made up for with other people’s data</w:t>
      </w:r>
      <w:r>
        <w:rPr>
          <w:rFonts w:cstheme="minorHAnsi"/>
        </w:rPr>
        <w:t xml:space="preserve"> </w:t>
      </w:r>
      <w:r w:rsidRPr="00C31789">
        <w:rPr>
          <w:rFonts w:cstheme="minorHAnsi"/>
          <w:color w:val="222222"/>
          <w:shd w:val="clear" w:color="auto" w:fill="FFFFFF"/>
        </w:rPr>
        <w:t>[</w:t>
      </w:r>
      <w:r>
        <w:rPr>
          <w:rFonts w:cstheme="minorHAnsi"/>
          <w:color w:val="222222"/>
          <w:shd w:val="clear" w:color="auto" w:fill="FFFFFF"/>
        </w:rPr>
        <w:t xml:space="preserve">Vasileiou, Barnett and Thorpe </w:t>
      </w:r>
      <w:r>
        <w:rPr>
          <w:rFonts w:cstheme="minorHAnsi"/>
          <w:i/>
          <w:iCs/>
          <w:color w:val="222222"/>
          <w:shd w:val="clear" w:color="auto" w:fill="FFFFFF"/>
        </w:rPr>
        <w:t>et al</w:t>
      </w:r>
      <w:r>
        <w:rPr>
          <w:rFonts w:cstheme="minorHAnsi"/>
          <w:color w:val="222222"/>
          <w:shd w:val="clear" w:color="auto" w:fill="FFFFFF"/>
        </w:rPr>
        <w:t>. 2018</w:t>
      </w:r>
      <w:r w:rsidRPr="00C31789">
        <w:rPr>
          <w:rFonts w:cstheme="minorHAnsi"/>
          <w:color w:val="222222"/>
          <w:shd w:val="clear" w:color="auto" w:fill="FFFFFF"/>
        </w:rPr>
        <w:t>]</w:t>
      </w:r>
      <w:r>
        <w:rPr>
          <w:rFonts w:cstheme="minorHAnsi"/>
          <w:color w:val="222222"/>
          <w:shd w:val="clear" w:color="auto" w:fill="FFFFFF"/>
        </w:rPr>
        <w:t xml:space="preserve">. </w:t>
      </w:r>
      <w:r w:rsidR="00AD35F6">
        <w:rPr>
          <w:rFonts w:cstheme="minorHAnsi"/>
          <w:color w:val="222222"/>
          <w:shd w:val="clear" w:color="auto" w:fill="FFFFFF"/>
        </w:rPr>
        <w:t xml:space="preserve">Before the interview begins, I will ask them if it is ok to record just their voices so that I can focus on engaging with the participant rather than focusing on writing as well. This will ensure that </w:t>
      </w:r>
      <w:r w:rsidR="00D06C0D">
        <w:rPr>
          <w:rFonts w:cstheme="minorHAnsi"/>
          <w:color w:val="222222"/>
          <w:shd w:val="clear" w:color="auto" w:fill="FFFFFF"/>
        </w:rPr>
        <w:t>there is a more relaxed environment for them to open up about their experiences in. However, if they are not ok with their voice being recorded – even when made aware that the files will be deleted after the experiment and this is all that the recordings will be used for – then I will simply take notes whilst the interview is happening</w:t>
      </w:r>
      <w:r w:rsidR="00D06C0D">
        <w:rPr>
          <w:rFonts w:cstheme="minorHAnsi"/>
        </w:rPr>
        <w:t xml:space="preserve"> [Evans, Robling and Maggs Rapport </w:t>
      </w:r>
      <w:r w:rsidR="00D06C0D">
        <w:rPr>
          <w:rFonts w:cstheme="minorHAnsi"/>
          <w:i/>
          <w:iCs/>
        </w:rPr>
        <w:t>et al</w:t>
      </w:r>
      <w:r w:rsidR="00D06C0D">
        <w:rPr>
          <w:rFonts w:cstheme="minorHAnsi"/>
        </w:rPr>
        <w:t>. 2002. Pg. 41].</w:t>
      </w:r>
    </w:p>
    <w:p w14:paraId="1D76989A" w14:textId="7A49FBB3" w:rsidR="005346FF" w:rsidRDefault="005346FF" w:rsidP="0002400F">
      <w:pPr>
        <w:rPr>
          <w:rFonts w:cstheme="minorHAnsi"/>
        </w:rPr>
      </w:pPr>
      <w:r>
        <w:rPr>
          <w:rFonts w:cstheme="minorHAnsi"/>
          <w:color w:val="222222"/>
          <w:shd w:val="clear" w:color="auto" w:fill="FFFFFF"/>
        </w:rPr>
        <w:t>Proposed Questions:</w:t>
      </w:r>
    </w:p>
    <w:p w14:paraId="1C43262D" w14:textId="671C6AE3" w:rsidR="00C31789" w:rsidRDefault="00C31789" w:rsidP="00C31789">
      <w:pPr>
        <w:pStyle w:val="ListParagraph"/>
        <w:numPr>
          <w:ilvl w:val="0"/>
          <w:numId w:val="3"/>
        </w:numPr>
        <w:rPr>
          <w:rFonts w:cstheme="minorHAnsi"/>
        </w:rPr>
      </w:pPr>
      <w:r w:rsidRPr="00C31789">
        <w:rPr>
          <w:rFonts w:cstheme="minorHAnsi"/>
        </w:rPr>
        <w:t>What did you expect from your time spent abroad?</w:t>
      </w:r>
    </w:p>
    <w:p w14:paraId="483D664C" w14:textId="51138D97" w:rsidR="00E32702" w:rsidRDefault="00E32702" w:rsidP="00C31789">
      <w:pPr>
        <w:pStyle w:val="ListParagraph"/>
        <w:numPr>
          <w:ilvl w:val="0"/>
          <w:numId w:val="3"/>
        </w:numPr>
        <w:rPr>
          <w:rFonts w:cstheme="minorHAnsi"/>
        </w:rPr>
      </w:pPr>
      <w:r>
        <w:rPr>
          <w:rFonts w:cstheme="minorHAnsi"/>
        </w:rPr>
        <w:t>Where did you go?</w:t>
      </w:r>
    </w:p>
    <w:p w14:paraId="7BB57A36" w14:textId="6D761BFB" w:rsidR="00E32702" w:rsidRPr="00E32702" w:rsidRDefault="00E32702" w:rsidP="00E32702">
      <w:pPr>
        <w:pStyle w:val="ListParagraph"/>
        <w:numPr>
          <w:ilvl w:val="0"/>
          <w:numId w:val="3"/>
        </w:numPr>
        <w:rPr>
          <w:rFonts w:cstheme="minorHAnsi"/>
        </w:rPr>
      </w:pPr>
      <w:r>
        <w:rPr>
          <w:rFonts w:cstheme="minorHAnsi"/>
        </w:rPr>
        <w:t>How long did you spend there?</w:t>
      </w:r>
    </w:p>
    <w:p w14:paraId="5642737D" w14:textId="3BF89754" w:rsidR="00C31789" w:rsidRDefault="00C31789" w:rsidP="00C31789">
      <w:pPr>
        <w:pStyle w:val="ListParagraph"/>
        <w:numPr>
          <w:ilvl w:val="0"/>
          <w:numId w:val="3"/>
        </w:numPr>
        <w:rPr>
          <w:rFonts w:cstheme="minorHAnsi"/>
        </w:rPr>
      </w:pPr>
      <w:r w:rsidRPr="00C31789">
        <w:rPr>
          <w:rFonts w:cstheme="minorHAnsi"/>
        </w:rPr>
        <w:t xml:space="preserve">On average how many hours did you spend in </w:t>
      </w:r>
      <w:r>
        <w:rPr>
          <w:rFonts w:cstheme="minorHAnsi"/>
        </w:rPr>
        <w:t>public spaces per week?</w:t>
      </w:r>
    </w:p>
    <w:p w14:paraId="015C3C49" w14:textId="77777777" w:rsidR="00C31789" w:rsidRDefault="00C31789" w:rsidP="00C31789">
      <w:pPr>
        <w:pStyle w:val="ListParagraph"/>
        <w:numPr>
          <w:ilvl w:val="0"/>
          <w:numId w:val="3"/>
        </w:numPr>
        <w:rPr>
          <w:rFonts w:cstheme="minorHAnsi"/>
        </w:rPr>
      </w:pPr>
      <w:r>
        <w:rPr>
          <w:rFonts w:cstheme="minorHAnsi"/>
        </w:rPr>
        <w:t>On average how many of those hours were spent interacting with locals from the area?</w:t>
      </w:r>
    </w:p>
    <w:p w14:paraId="4740A40D" w14:textId="77777777" w:rsidR="00C31789" w:rsidRDefault="00C31789" w:rsidP="00C31789">
      <w:pPr>
        <w:pStyle w:val="ListParagraph"/>
        <w:numPr>
          <w:ilvl w:val="0"/>
          <w:numId w:val="3"/>
        </w:numPr>
        <w:rPr>
          <w:rFonts w:cstheme="minorHAnsi"/>
        </w:rPr>
      </w:pPr>
      <w:r>
        <w:rPr>
          <w:rFonts w:cstheme="minorHAnsi"/>
        </w:rPr>
        <w:t xml:space="preserve">How much time was spent alone per week? </w:t>
      </w:r>
    </w:p>
    <w:p w14:paraId="47A111FC" w14:textId="68CB2E46" w:rsidR="00C31789" w:rsidRDefault="00C31789" w:rsidP="00C31789">
      <w:pPr>
        <w:pStyle w:val="ListParagraph"/>
        <w:numPr>
          <w:ilvl w:val="0"/>
          <w:numId w:val="3"/>
        </w:numPr>
        <w:rPr>
          <w:rFonts w:cstheme="minorHAnsi"/>
        </w:rPr>
      </w:pPr>
      <w:r>
        <w:rPr>
          <w:rFonts w:cstheme="minorHAnsi"/>
        </w:rPr>
        <w:t>Did you favour time alone or in public? Can you tell me why?</w:t>
      </w:r>
    </w:p>
    <w:p w14:paraId="33E5A8A4" w14:textId="7477ACB0" w:rsidR="00C31789" w:rsidRDefault="00C31789" w:rsidP="00C31789">
      <w:pPr>
        <w:pStyle w:val="ListParagraph"/>
        <w:numPr>
          <w:ilvl w:val="0"/>
          <w:numId w:val="3"/>
        </w:numPr>
        <w:rPr>
          <w:rFonts w:cstheme="minorHAnsi"/>
        </w:rPr>
      </w:pPr>
      <w:r>
        <w:rPr>
          <w:rFonts w:cstheme="minorHAnsi"/>
        </w:rPr>
        <w:t>Did you spend time with people you previously knew prior to staying abroad? If so, how many hours per week?</w:t>
      </w:r>
    </w:p>
    <w:p w14:paraId="4EE68227" w14:textId="3FF7FC54" w:rsidR="00C31789" w:rsidRDefault="00C31789" w:rsidP="00C31789">
      <w:pPr>
        <w:pStyle w:val="ListParagraph"/>
        <w:numPr>
          <w:ilvl w:val="0"/>
          <w:numId w:val="3"/>
        </w:numPr>
        <w:rPr>
          <w:rFonts w:cstheme="minorHAnsi"/>
        </w:rPr>
      </w:pPr>
      <w:r>
        <w:rPr>
          <w:rFonts w:cstheme="minorHAnsi"/>
        </w:rPr>
        <w:t>Did you spend more time with people from your country than local inhabitants?</w:t>
      </w:r>
    </w:p>
    <w:p w14:paraId="2797E80D" w14:textId="1868BEDC" w:rsidR="00C31789" w:rsidRDefault="00C31789" w:rsidP="00C31789">
      <w:pPr>
        <w:pStyle w:val="ListParagraph"/>
        <w:numPr>
          <w:ilvl w:val="0"/>
          <w:numId w:val="3"/>
        </w:numPr>
        <w:rPr>
          <w:rFonts w:cstheme="minorHAnsi"/>
        </w:rPr>
      </w:pPr>
      <w:r>
        <w:rPr>
          <w:rFonts w:cstheme="minorHAnsi"/>
        </w:rPr>
        <w:t>What accommodation did you stay at? (</w:t>
      </w:r>
      <w:r w:rsidR="008C5764">
        <w:rPr>
          <w:rFonts w:cstheme="minorHAnsi"/>
        </w:rPr>
        <w:t>e.g.</w:t>
      </w:r>
      <w:r>
        <w:rPr>
          <w:rFonts w:cstheme="minorHAnsi"/>
        </w:rPr>
        <w:t xml:space="preserve"> Hotel, on site accommodation, house/flat share)</w:t>
      </w:r>
    </w:p>
    <w:p w14:paraId="0769D641" w14:textId="26934F59" w:rsidR="00C31789" w:rsidRDefault="00C31789" w:rsidP="00C31789">
      <w:pPr>
        <w:pStyle w:val="ListParagraph"/>
        <w:numPr>
          <w:ilvl w:val="0"/>
          <w:numId w:val="3"/>
        </w:numPr>
        <w:rPr>
          <w:rFonts w:cstheme="minorHAnsi"/>
        </w:rPr>
      </w:pPr>
      <w:r>
        <w:rPr>
          <w:rFonts w:cstheme="minorHAnsi"/>
        </w:rPr>
        <w:t>Did any part of your experience with the locals of the area make you feel out of your comfort zone? If so, can you explain why?</w:t>
      </w:r>
    </w:p>
    <w:p w14:paraId="7C57D0A9" w14:textId="74440C8A" w:rsidR="00C31789" w:rsidRDefault="00C31789" w:rsidP="00C31789">
      <w:pPr>
        <w:pStyle w:val="ListParagraph"/>
        <w:numPr>
          <w:ilvl w:val="0"/>
          <w:numId w:val="3"/>
        </w:numPr>
        <w:rPr>
          <w:rFonts w:cstheme="minorHAnsi"/>
        </w:rPr>
      </w:pPr>
      <w:r>
        <w:rPr>
          <w:rFonts w:cstheme="minorHAnsi"/>
        </w:rPr>
        <w:lastRenderedPageBreak/>
        <w:t>How unfamiliar to your home country did this new place feel?</w:t>
      </w:r>
    </w:p>
    <w:p w14:paraId="3DC4950D" w14:textId="3E0B0FBA" w:rsidR="00C31789" w:rsidRDefault="00C31789" w:rsidP="00C31789">
      <w:pPr>
        <w:pStyle w:val="ListParagraph"/>
        <w:numPr>
          <w:ilvl w:val="0"/>
          <w:numId w:val="3"/>
        </w:numPr>
        <w:rPr>
          <w:rFonts w:cstheme="minorHAnsi"/>
        </w:rPr>
      </w:pPr>
      <w:r>
        <w:rPr>
          <w:rFonts w:cstheme="minorHAnsi"/>
        </w:rPr>
        <w:t>Was being there difficult for you due to the unfamiliar people and places?</w:t>
      </w:r>
    </w:p>
    <w:p w14:paraId="4967376C" w14:textId="5B43B0F9" w:rsidR="00C31789" w:rsidRDefault="00C31789" w:rsidP="00C31789">
      <w:pPr>
        <w:pStyle w:val="ListParagraph"/>
        <w:numPr>
          <w:ilvl w:val="0"/>
          <w:numId w:val="3"/>
        </w:numPr>
        <w:rPr>
          <w:rFonts w:cstheme="minorHAnsi"/>
        </w:rPr>
      </w:pPr>
      <w:r>
        <w:rPr>
          <w:rFonts w:cstheme="minorHAnsi"/>
        </w:rPr>
        <w:t>Did you work harder in this environment than your home environment?</w:t>
      </w:r>
    </w:p>
    <w:p w14:paraId="4EE92B4E" w14:textId="534AFA5D" w:rsidR="00C31789" w:rsidRDefault="00C31789" w:rsidP="00C31789">
      <w:pPr>
        <w:pStyle w:val="ListParagraph"/>
        <w:numPr>
          <w:ilvl w:val="0"/>
          <w:numId w:val="3"/>
        </w:numPr>
        <w:rPr>
          <w:rFonts w:cstheme="minorHAnsi"/>
        </w:rPr>
      </w:pPr>
      <w:r>
        <w:rPr>
          <w:rFonts w:cstheme="minorHAnsi"/>
        </w:rPr>
        <w:t>Did you feel your work was a better quality?</w:t>
      </w:r>
    </w:p>
    <w:p w14:paraId="7E73A2BE" w14:textId="0CC85F7A" w:rsidR="00C31789" w:rsidRDefault="00C31789" w:rsidP="00C31789">
      <w:pPr>
        <w:pStyle w:val="ListParagraph"/>
        <w:numPr>
          <w:ilvl w:val="0"/>
          <w:numId w:val="3"/>
        </w:numPr>
        <w:rPr>
          <w:rFonts w:cstheme="minorHAnsi"/>
        </w:rPr>
      </w:pPr>
      <w:r>
        <w:rPr>
          <w:rFonts w:cstheme="minorHAnsi"/>
        </w:rPr>
        <w:t>Did you spend more hours on projects/assignments than you would have in your home country? Can you tell me why?</w:t>
      </w:r>
    </w:p>
    <w:p w14:paraId="7E038A2F" w14:textId="1396CF6D" w:rsidR="00C31789" w:rsidRDefault="00C31789" w:rsidP="00C31789">
      <w:pPr>
        <w:pStyle w:val="ListParagraph"/>
        <w:numPr>
          <w:ilvl w:val="0"/>
          <w:numId w:val="3"/>
        </w:numPr>
        <w:rPr>
          <w:rFonts w:cstheme="minorHAnsi"/>
        </w:rPr>
      </w:pPr>
      <w:r>
        <w:rPr>
          <w:rFonts w:cstheme="minorHAnsi"/>
        </w:rPr>
        <w:t>Did you notice a change in mood or mental health during your stay?</w:t>
      </w:r>
    </w:p>
    <w:p w14:paraId="7F7E3C6D" w14:textId="0596FBD3" w:rsidR="00E72F80" w:rsidRDefault="00E72F80" w:rsidP="00C31789">
      <w:pPr>
        <w:pStyle w:val="ListParagraph"/>
        <w:numPr>
          <w:ilvl w:val="0"/>
          <w:numId w:val="3"/>
        </w:numPr>
        <w:rPr>
          <w:rFonts w:cstheme="minorHAnsi"/>
        </w:rPr>
      </w:pPr>
      <w:r>
        <w:rPr>
          <w:rFonts w:cstheme="minorHAnsi"/>
        </w:rPr>
        <w:t xml:space="preserve">Would you consider yourself to be introverted or extraverted? </w:t>
      </w:r>
      <w:r w:rsidR="002A0824">
        <w:rPr>
          <w:rFonts w:cstheme="minorHAnsi"/>
        </w:rPr>
        <w:t>Do you know your MBTI type?</w:t>
      </w:r>
    </w:p>
    <w:p w14:paraId="0C478A6C" w14:textId="38A21BC0" w:rsidR="00242F76" w:rsidRDefault="00242F76" w:rsidP="00C31789">
      <w:pPr>
        <w:pStyle w:val="ListParagraph"/>
        <w:numPr>
          <w:ilvl w:val="0"/>
          <w:numId w:val="3"/>
        </w:numPr>
        <w:rPr>
          <w:rFonts w:cstheme="minorHAnsi"/>
        </w:rPr>
      </w:pPr>
      <w:r>
        <w:rPr>
          <w:rFonts w:cstheme="minorHAnsi"/>
        </w:rPr>
        <w:t>Do you consider yourself a more active or passive force? Does this influence how confident you are in projects/work/class?</w:t>
      </w:r>
    </w:p>
    <w:p w14:paraId="27C7AA9C" w14:textId="099D329C" w:rsidR="002A0824" w:rsidRDefault="002A0824" w:rsidP="00C31789">
      <w:pPr>
        <w:pStyle w:val="ListParagraph"/>
        <w:numPr>
          <w:ilvl w:val="0"/>
          <w:numId w:val="3"/>
        </w:numPr>
        <w:rPr>
          <w:rFonts w:cstheme="minorHAnsi"/>
        </w:rPr>
      </w:pPr>
      <w:r>
        <w:rPr>
          <w:rFonts w:cstheme="minorHAnsi"/>
        </w:rPr>
        <w:t>Had you travelled often before your time working/studying abroad?</w:t>
      </w:r>
    </w:p>
    <w:p w14:paraId="6EAB51ED" w14:textId="4E67ACD3" w:rsidR="008D3925" w:rsidRDefault="008D3925" w:rsidP="00C31789">
      <w:pPr>
        <w:pStyle w:val="ListParagraph"/>
        <w:numPr>
          <w:ilvl w:val="0"/>
          <w:numId w:val="3"/>
        </w:numPr>
        <w:rPr>
          <w:rFonts w:cstheme="minorHAnsi"/>
        </w:rPr>
      </w:pPr>
      <w:r>
        <w:rPr>
          <w:rFonts w:cstheme="minorHAnsi"/>
        </w:rPr>
        <w:t>Do you feel like you underwent any personality shifts whilst away?</w:t>
      </w:r>
    </w:p>
    <w:p w14:paraId="7A5DF58A" w14:textId="6E7FD03F" w:rsidR="008D3925" w:rsidRDefault="008D3925" w:rsidP="00C31789">
      <w:pPr>
        <w:pStyle w:val="ListParagraph"/>
        <w:numPr>
          <w:ilvl w:val="0"/>
          <w:numId w:val="3"/>
        </w:numPr>
        <w:rPr>
          <w:rFonts w:cstheme="minorHAnsi"/>
        </w:rPr>
      </w:pPr>
      <w:r>
        <w:rPr>
          <w:rFonts w:cstheme="minorHAnsi"/>
        </w:rPr>
        <w:t>Have any of the habits of the local culture been integrated into your daily life?</w:t>
      </w:r>
    </w:p>
    <w:p w14:paraId="3CA2C073" w14:textId="4ABDC548" w:rsidR="00242F76" w:rsidRDefault="00242F76" w:rsidP="00242F76">
      <w:pPr>
        <w:pStyle w:val="ListParagraph"/>
        <w:numPr>
          <w:ilvl w:val="0"/>
          <w:numId w:val="3"/>
        </w:numPr>
        <w:rPr>
          <w:rFonts w:cstheme="minorHAnsi"/>
        </w:rPr>
      </w:pPr>
      <w:r>
        <w:rPr>
          <w:rFonts w:cstheme="minorHAnsi"/>
        </w:rPr>
        <w:t xml:space="preserve">How did your expectations differ from your actual experiences? </w:t>
      </w:r>
    </w:p>
    <w:p w14:paraId="776DB57B" w14:textId="7C2B76FA" w:rsidR="00DF5306" w:rsidRPr="00DF5306" w:rsidRDefault="00DF5306" w:rsidP="00DF5306">
      <w:pPr>
        <w:pStyle w:val="ListParagraph"/>
        <w:numPr>
          <w:ilvl w:val="0"/>
          <w:numId w:val="3"/>
        </w:numPr>
        <w:rPr>
          <w:rFonts w:cstheme="minorHAnsi"/>
        </w:rPr>
      </w:pPr>
      <w:r>
        <w:rPr>
          <w:rFonts w:cstheme="minorHAnsi"/>
        </w:rPr>
        <w:t>Student only: Which level of study were you during this time abroad?</w:t>
      </w:r>
    </w:p>
    <w:p w14:paraId="3C68749C" w14:textId="77777777" w:rsidR="0058149D" w:rsidRDefault="0058149D" w:rsidP="0002400F">
      <w:pPr>
        <w:rPr>
          <w:rFonts w:cstheme="minorHAnsi"/>
          <w:b/>
          <w:bCs/>
        </w:rPr>
      </w:pPr>
    </w:p>
    <w:p w14:paraId="1BFAAF82" w14:textId="142A78C9" w:rsidR="00671278" w:rsidRPr="0003116C" w:rsidRDefault="0003116C" w:rsidP="0002400F">
      <w:pPr>
        <w:rPr>
          <w:rFonts w:cstheme="minorHAnsi"/>
          <w:b/>
          <w:bCs/>
        </w:rPr>
      </w:pPr>
      <w:r w:rsidRPr="0003116C">
        <w:rPr>
          <w:rFonts w:cstheme="minorHAnsi"/>
          <w:b/>
          <w:bCs/>
        </w:rPr>
        <w:t>Secondary</w:t>
      </w:r>
      <w:r>
        <w:rPr>
          <w:rFonts w:cstheme="minorHAnsi"/>
          <w:b/>
          <w:bCs/>
        </w:rPr>
        <w:t>:</w:t>
      </w:r>
    </w:p>
    <w:p w14:paraId="210BC2E4" w14:textId="343E2D06" w:rsidR="00C31789" w:rsidRDefault="00C31789" w:rsidP="0002400F">
      <w:pPr>
        <w:rPr>
          <w:rFonts w:cstheme="minorHAnsi"/>
        </w:rPr>
      </w:pPr>
      <w:r>
        <w:rPr>
          <w:rFonts w:cstheme="minorHAnsi"/>
        </w:rPr>
        <w:t xml:space="preserve">Articles, journals and studies which will have already covered aspects of this topic. The usage of this secondary research will aid in furthering the knowledge gained from my primary research. </w:t>
      </w:r>
      <w:r w:rsidR="007439EC">
        <w:rPr>
          <w:rFonts w:cstheme="minorHAnsi"/>
        </w:rPr>
        <w:t>Where my primary research lacks – either due to the fact that certain information was not divulged or because it was not applicable to the participant, I can use the observations and knowledge from secondary sources. In this way, I can also use other people’s work to supplement my own.</w:t>
      </w:r>
      <w:r w:rsidR="00B50AE3">
        <w:rPr>
          <w:rFonts w:cstheme="minorHAnsi"/>
        </w:rPr>
        <w:t xml:space="preserve"> These works – mostly articles and journals but there are also sections of books that have been uploaded for use by those within the institution – have been located and acquired through the UWTSD library database. They are appropriate, largely peer-reviewed, online resources.</w:t>
      </w:r>
    </w:p>
    <w:p w14:paraId="505215DF" w14:textId="77777777" w:rsidR="00282C9E" w:rsidRDefault="00282C9E" w:rsidP="0002400F">
      <w:pPr>
        <w:rPr>
          <w:rFonts w:cstheme="minorHAnsi"/>
        </w:rPr>
      </w:pPr>
    </w:p>
    <w:p w14:paraId="649E5D43" w14:textId="6E25BCAD" w:rsidR="00C1678C" w:rsidRDefault="00C1678C" w:rsidP="0002400F">
      <w:pPr>
        <w:rPr>
          <w:rFonts w:cstheme="minorHAnsi"/>
        </w:rPr>
      </w:pPr>
      <w:r>
        <w:rPr>
          <w:rFonts w:cstheme="minorHAnsi"/>
        </w:rPr>
        <w:t>List of key works</w:t>
      </w:r>
      <w:r w:rsidR="00AD35F6">
        <w:rPr>
          <w:rFonts w:cstheme="minorHAnsi"/>
        </w:rPr>
        <w:t xml:space="preserve"> that will be referenced and why I have chosen them</w:t>
      </w:r>
      <w:r>
        <w:rPr>
          <w:rFonts w:cstheme="minorHAnsi"/>
        </w:rPr>
        <w:t>:</w:t>
      </w:r>
    </w:p>
    <w:p w14:paraId="059531A0" w14:textId="4A4971BA" w:rsidR="0003116C" w:rsidRDefault="00C63E6B" w:rsidP="0002400F">
      <w:pPr>
        <w:rPr>
          <w:rFonts w:cstheme="minorHAnsi"/>
        </w:rPr>
      </w:pPr>
      <w:r w:rsidRPr="000B0E0B">
        <w:rPr>
          <w:rFonts w:cstheme="minorHAnsi"/>
        </w:rPr>
        <w:t>Dunbar, E. and Ehrlich, M. H., 1993</w:t>
      </w:r>
      <w:r>
        <w:rPr>
          <w:rFonts w:cstheme="minorHAnsi"/>
        </w:rPr>
        <w:t xml:space="preserve"> – This journal goes into detail about the way in which staff are treated when working aboard. </w:t>
      </w:r>
      <w:r w:rsidR="00EE2C4C">
        <w:rPr>
          <w:rFonts w:cstheme="minorHAnsi"/>
        </w:rPr>
        <w:t xml:space="preserve">This journal was influential to some of my own proposal papers for they raised the question of satisfaction among participants whilst abroad. </w:t>
      </w:r>
      <w:r w:rsidR="00DF5306">
        <w:rPr>
          <w:rFonts w:cstheme="minorHAnsi"/>
        </w:rPr>
        <w:t>The satisfaction aspect being linked to the position of the employee is what drove me to contemplate if students of different levels/years of study also felt different about studying abroad</w:t>
      </w:r>
      <w:r w:rsidR="00294573">
        <w:rPr>
          <w:rFonts w:cstheme="minorHAnsi"/>
        </w:rPr>
        <w:t xml:space="preserve"> [Dunbar and Ehrlich. 1993. Pg. 19 – 20]</w:t>
      </w:r>
      <w:r w:rsidR="00DF5306">
        <w:rPr>
          <w:rFonts w:cstheme="minorHAnsi"/>
        </w:rPr>
        <w:t>.</w:t>
      </w:r>
    </w:p>
    <w:p w14:paraId="1592F83A" w14:textId="5ED7C802" w:rsidR="00DF5306" w:rsidRDefault="00DF5306" w:rsidP="0002400F">
      <w:pPr>
        <w:rPr>
          <w:rFonts w:cstheme="minorHAnsi"/>
        </w:rPr>
      </w:pPr>
      <w:r>
        <w:rPr>
          <w:rFonts w:cstheme="minorHAnsi"/>
        </w:rPr>
        <w:t xml:space="preserve">Michael Winkelman’s work on ‘Cultural Shock and Adaptation’, whilst based on immigrants, gave me a good amount of basic knowledge on which to base some of my primary research questions regarding experience for the individual and how they react to certain stressors, like being overseas. His article presents an </w:t>
      </w:r>
      <w:r w:rsidR="008C5764">
        <w:rPr>
          <w:rFonts w:cstheme="minorHAnsi"/>
        </w:rPr>
        <w:t>in-depth</w:t>
      </w:r>
      <w:r>
        <w:rPr>
          <w:rFonts w:cstheme="minorHAnsi"/>
        </w:rPr>
        <w:t xml:space="preserve"> discussion upon the topic of culture shock and how it effects a person</w:t>
      </w:r>
      <w:r w:rsidR="00294573">
        <w:rPr>
          <w:rFonts w:cstheme="minorHAnsi"/>
        </w:rPr>
        <w:t>’s life</w:t>
      </w:r>
      <w:r>
        <w:rPr>
          <w:rFonts w:cstheme="minorHAnsi"/>
        </w:rPr>
        <w:t xml:space="preserve"> [Winkelman. 1994. Pg. 121 - 123]. </w:t>
      </w:r>
    </w:p>
    <w:p w14:paraId="5D38758D" w14:textId="5E4B8982" w:rsidR="00294573" w:rsidRDefault="00294573" w:rsidP="0002400F">
      <w:pPr>
        <w:rPr>
          <w:rFonts w:cstheme="minorHAnsi"/>
        </w:rPr>
      </w:pPr>
      <w:r>
        <w:rPr>
          <w:rFonts w:cstheme="minorHAnsi"/>
        </w:rPr>
        <w:t xml:space="preserve">The work by Kali Demes and Nicolas Geeraert on sojourners adapting to their life abroad has been incredibly informative when it comes to laying out the disadvantages to studying abroad due to the stress which the individual feels which they label as </w:t>
      </w:r>
      <w:r w:rsidR="008937E9">
        <w:rPr>
          <w:rFonts w:cstheme="minorHAnsi"/>
        </w:rPr>
        <w:t>“acculturative stress,” which causes these adverse effects in students [Demes and Geeraert. 2015. Pg. 316 – 317].</w:t>
      </w:r>
    </w:p>
    <w:p w14:paraId="197DCFE8" w14:textId="1720E50C" w:rsidR="005346FF" w:rsidRDefault="00AD35F6" w:rsidP="0002400F">
      <w:pPr>
        <w:rPr>
          <w:rFonts w:cstheme="minorHAnsi"/>
        </w:rPr>
      </w:pPr>
      <w:r>
        <w:rPr>
          <w:rFonts w:cstheme="minorHAnsi"/>
        </w:rPr>
        <w:lastRenderedPageBreak/>
        <w:t xml:space="preserve">John Berry gives two very useful </w:t>
      </w:r>
      <w:r w:rsidR="00D718B0">
        <w:rPr>
          <w:rFonts w:cstheme="minorHAnsi"/>
        </w:rPr>
        <w:t>texts on the effects of acculturation on a person</w:t>
      </w:r>
      <w:r w:rsidR="00853FA6">
        <w:rPr>
          <w:rFonts w:cstheme="minorHAnsi"/>
        </w:rPr>
        <w:t xml:space="preserve"> [Berry. 2005 Pg. 700-701; Berry. 2013. Pg. 309]</w:t>
      </w:r>
      <w:r w:rsidR="00D718B0">
        <w:rPr>
          <w:rFonts w:cstheme="minorHAnsi"/>
        </w:rPr>
        <w:t xml:space="preserve">. Berry’s 2013 work on acculturation is more of an introduction to the topic, something that has aided my understanding of the phenomenon and given me an </w:t>
      </w:r>
      <w:r w:rsidR="00516954">
        <w:rPr>
          <w:rFonts w:cstheme="minorHAnsi"/>
        </w:rPr>
        <w:t>in-depth</w:t>
      </w:r>
      <w:r w:rsidR="00D718B0">
        <w:rPr>
          <w:rFonts w:cstheme="minorHAnsi"/>
        </w:rPr>
        <w:t xml:space="preserve"> </w:t>
      </w:r>
      <w:r w:rsidR="00516954">
        <w:rPr>
          <w:rFonts w:cstheme="minorHAnsi"/>
        </w:rPr>
        <w:t>explanation</w:t>
      </w:r>
      <w:r w:rsidR="00D718B0">
        <w:rPr>
          <w:rFonts w:cstheme="minorHAnsi"/>
        </w:rPr>
        <w:t xml:space="preserve"> of what acculturation actually is [Berry. 2013. Pg. 309].</w:t>
      </w:r>
      <w:r w:rsidR="00516954">
        <w:rPr>
          <w:rFonts w:cstheme="minorHAnsi"/>
        </w:rPr>
        <w:t xml:space="preserve"> Something that stood out from his definition of acculturation </w:t>
      </w:r>
      <w:r w:rsidR="0046477B">
        <w:rPr>
          <w:rFonts w:cstheme="minorHAnsi"/>
        </w:rPr>
        <w:t>is the fact that psychology has been more focused on individual acculturation and adaptation rather than group acculturation – which is more focused on by anthropologists [Berry. 2013. Pg. 309].</w:t>
      </w:r>
      <w:r w:rsidR="0037714E">
        <w:rPr>
          <w:rFonts w:cstheme="minorHAnsi"/>
        </w:rPr>
        <w:t xml:space="preserve"> Learning this means that the project I am proposing takes on a more psychological background than an anthropological because of my own focus on the individual. </w:t>
      </w:r>
      <w:r w:rsidR="00091E22">
        <w:rPr>
          <w:rFonts w:cstheme="minorHAnsi"/>
        </w:rPr>
        <w:t>The frame work for acculturation which Berry presents shows an informative way of understanding the adaptation of both the group and an individual and the focus on the reasoning for these adaptations – well-being and self-esteem etc. – appear crucial to not only understanding the individual personality of a person but also the way in which they handle</w:t>
      </w:r>
      <w:r w:rsidR="00E72F80">
        <w:rPr>
          <w:rFonts w:cstheme="minorHAnsi"/>
        </w:rPr>
        <w:t xml:space="preserve"> these</w:t>
      </w:r>
      <w:r w:rsidR="00091E22">
        <w:rPr>
          <w:rFonts w:cstheme="minorHAnsi"/>
        </w:rPr>
        <w:t xml:space="preserve"> shifts and stress [Berry. 2013. Pg.312-313]. </w:t>
      </w:r>
      <w:r w:rsidR="00E72F80">
        <w:rPr>
          <w:rFonts w:cstheme="minorHAnsi"/>
        </w:rPr>
        <w:t xml:space="preserve">In my own interviews, I hope to unfurl this idea further by interacting with different personalities. I propose that those with more extroverted or dominant personality traits will have adapted and dealt with these stressors better than introverted or weaker personalities, this is based off of Berry’s text </w:t>
      </w:r>
      <w:r w:rsidR="002A0824">
        <w:rPr>
          <w:rFonts w:cstheme="minorHAnsi"/>
        </w:rPr>
        <w:t>an</w:t>
      </w:r>
      <w:r w:rsidR="008C5764">
        <w:rPr>
          <w:rFonts w:cstheme="minorHAnsi"/>
        </w:rPr>
        <w:t>d</w:t>
      </w:r>
      <w:r w:rsidR="002A0824">
        <w:rPr>
          <w:rFonts w:cstheme="minorHAnsi"/>
        </w:rPr>
        <w:t xml:space="preserve"> his concerns with mental health and acculturative stress [Berry. 2013. Pg. 313]. </w:t>
      </w:r>
      <w:r w:rsidR="006B05D5">
        <w:rPr>
          <w:rFonts w:cstheme="minorHAnsi"/>
        </w:rPr>
        <w:t xml:space="preserve">Berry’s work from 2005 goes a little more into the fact that acculturation on an individual level and its involvement with the behaviour changes [Berry. 2005. Pg. 699-700]. However, he highlights that cultural changes are only long-term once they have been ingrained into an individual or group over a longer period [Berry. 2005. Pg. 699]. I would like to see how this lines up with my interviewees and if there was any lasting take-aways from their sojourning. </w:t>
      </w:r>
      <w:r w:rsidR="008D3925">
        <w:rPr>
          <w:rFonts w:cstheme="minorHAnsi"/>
        </w:rPr>
        <w:t xml:space="preserve">I hypothesise that this kind of shift in behaviour will apply more to students than those who travelled for business. However, this may be dependant on the length of time that they were away and where they took their lodgings. </w:t>
      </w:r>
      <w:r w:rsidR="00853FA6">
        <w:rPr>
          <w:rFonts w:cstheme="minorHAnsi"/>
        </w:rPr>
        <w:t>It also might be affected by the culture that they are interacting with and how similar or different it is to their own. Overall, Berry’s work has become something that is integral to my understanding of acculturation and has shaped many of my questions surrounding personality, exposure and mental health.</w:t>
      </w:r>
    </w:p>
    <w:p w14:paraId="6A9DEC45" w14:textId="781DEBEB" w:rsidR="0058149D" w:rsidRPr="00282C9E" w:rsidRDefault="00853FA6" w:rsidP="0002400F">
      <w:pPr>
        <w:rPr>
          <w:rFonts w:cstheme="minorHAnsi"/>
        </w:rPr>
      </w:pPr>
      <w:r>
        <w:rPr>
          <w:rFonts w:cstheme="minorHAnsi"/>
        </w:rPr>
        <w:t>Yuko Nippoda has written a</w:t>
      </w:r>
      <w:r w:rsidR="00B76F65">
        <w:rPr>
          <w:rFonts w:cstheme="minorHAnsi"/>
        </w:rPr>
        <w:t>n article on the difficulties and experiences of Japanese students studying in the UK [Nippoda. 2012]. Nippoda outlines several issues that Japanese students in England would face [Nippoda. 2012. Pg. 2-5]. Some of these issues seem rather obvious and universal of those travelling to foreign countries</w:t>
      </w:r>
      <w:r w:rsidR="00704AA8">
        <w:rPr>
          <w:rFonts w:cstheme="minorHAnsi"/>
        </w:rPr>
        <w:t>, such as a language barrier but Nippoda delves deeper into the psychological damages that some Japanese students face due to this issue – having only been taught basic and not conversational English [Nippoda. 2012. Pg.2]. She goes into detail about the expectations of some students believing that they will be able to develop their skills in English with the local residents but becoming disappointed when either their own skill level or the closed off nature of some English peers means that they cannot form these bonds [Nippoda. 2012. Pg.3]. Nippoda also outlines how the styles of communication, teaching and a desire to succeed damages the student’s mental health [Nippoda. 2012. Pg. 3-5]. Due to the vast differences in western and east-</w:t>
      </w:r>
      <w:r w:rsidR="00BC50C4">
        <w:rPr>
          <w:rFonts w:cstheme="minorHAnsi"/>
        </w:rPr>
        <w:t>A</w:t>
      </w:r>
      <w:r w:rsidR="00704AA8">
        <w:rPr>
          <w:rFonts w:cstheme="minorHAnsi"/>
        </w:rPr>
        <w:t>sian teaching styles</w:t>
      </w:r>
      <w:r w:rsidR="00BC50C4">
        <w:rPr>
          <w:rFonts w:cstheme="minorHAnsi"/>
        </w:rPr>
        <w:t xml:space="preserve">, the students are perceived as “passive” within the classroom and will not engage in class like many of the western students would and so, whilst they are driven to perform well, they will not ask questions within class to better their knowledge and understanding [Nippoda. 2012. Pg. 3-5]. This kind of difference in cultural norms, especially within and educational sense, will help me better understand how difference cultures approach sojourning. Whilst many of my interviewees will be English, travelling to meet people sojourning in the UK will give me a better insight into these issues with Nippoda raises. I would like to see how any one that I can find sojourning in the UK feels about their experiences and if they take on a more passive approach as Nippoda suggest that Japanese students do [Nippoda. 2012. </w:t>
      </w:r>
      <w:r w:rsidR="00242F76">
        <w:rPr>
          <w:rFonts w:cstheme="minorHAnsi"/>
        </w:rPr>
        <w:t>Pg. 3].</w:t>
      </w:r>
      <w:bookmarkStart w:id="0" w:name="_GoBack"/>
      <w:bookmarkEnd w:id="0"/>
    </w:p>
    <w:p w14:paraId="6D84DAFC" w14:textId="395E3D77" w:rsidR="0003116C" w:rsidRDefault="00671278" w:rsidP="0002400F">
      <w:pPr>
        <w:rPr>
          <w:rFonts w:cstheme="minorHAnsi"/>
        </w:rPr>
      </w:pPr>
      <w:r>
        <w:rPr>
          <w:rFonts w:cstheme="minorHAnsi"/>
          <w:u w:val="single"/>
        </w:rPr>
        <w:lastRenderedPageBreak/>
        <w:t>Time Management</w:t>
      </w:r>
    </w:p>
    <w:p w14:paraId="46B25EA3" w14:textId="575F7405" w:rsidR="00AD35F6" w:rsidRDefault="00AD35F6" w:rsidP="0002400F">
      <w:pPr>
        <w:rPr>
          <w:rFonts w:cstheme="minorHAnsi"/>
        </w:rPr>
      </w:pPr>
      <w:r>
        <w:rPr>
          <w:noProof/>
        </w:rPr>
        <w:drawing>
          <wp:inline distT="0" distB="0" distL="0" distR="0" wp14:anchorId="03F2D423" wp14:editId="52500027">
            <wp:extent cx="6267019" cy="2005012"/>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994" t="33977" r="4027" b="16388"/>
                    <a:stretch/>
                  </pic:blipFill>
                  <pic:spPr bwMode="auto">
                    <a:xfrm>
                      <a:off x="0" y="0"/>
                      <a:ext cx="6281981" cy="2009799"/>
                    </a:xfrm>
                    <a:prstGeom prst="rect">
                      <a:avLst/>
                    </a:prstGeom>
                    <a:ln>
                      <a:noFill/>
                    </a:ln>
                    <a:extLst>
                      <a:ext uri="{53640926-AAD7-44D8-BBD7-CCE9431645EC}">
                        <a14:shadowObscured xmlns:a14="http://schemas.microsoft.com/office/drawing/2010/main"/>
                      </a:ext>
                    </a:extLst>
                  </pic:spPr>
                </pic:pic>
              </a:graphicData>
            </a:graphic>
          </wp:inline>
        </w:drawing>
      </w:r>
    </w:p>
    <w:p w14:paraId="68F9AFC1" w14:textId="77777777" w:rsidR="0058149D" w:rsidRDefault="0058149D" w:rsidP="0002400F">
      <w:pPr>
        <w:rPr>
          <w:rFonts w:cstheme="minorHAnsi"/>
        </w:rPr>
      </w:pPr>
    </w:p>
    <w:p w14:paraId="20386007" w14:textId="3FC44E39" w:rsidR="007439EC" w:rsidRPr="00671278" w:rsidRDefault="007439EC" w:rsidP="0002400F">
      <w:pPr>
        <w:rPr>
          <w:rFonts w:cstheme="minorHAnsi"/>
        </w:rPr>
      </w:pPr>
      <w:r>
        <w:rPr>
          <w:rFonts w:cstheme="minorHAnsi"/>
        </w:rPr>
        <w:t>Word</w:t>
      </w:r>
      <w:r w:rsidR="0058149D">
        <w:rPr>
          <w:rFonts w:cstheme="minorHAnsi"/>
        </w:rPr>
        <w:t xml:space="preserve"> Count</w:t>
      </w:r>
      <w:r>
        <w:rPr>
          <w:rFonts w:cstheme="minorHAnsi"/>
        </w:rPr>
        <w:t xml:space="preserve">: </w:t>
      </w:r>
      <w:r w:rsidR="0058149D">
        <w:rPr>
          <w:rFonts w:cstheme="minorHAnsi"/>
        </w:rPr>
        <w:t>2342</w:t>
      </w:r>
    </w:p>
    <w:p w14:paraId="0379D08B" w14:textId="77777777" w:rsidR="0058149D" w:rsidRDefault="0058149D" w:rsidP="0002400F">
      <w:pPr>
        <w:rPr>
          <w:rFonts w:cstheme="minorHAnsi"/>
          <w:u w:val="single"/>
        </w:rPr>
      </w:pPr>
    </w:p>
    <w:p w14:paraId="4B4AC9DC" w14:textId="77777777" w:rsidR="0058149D" w:rsidRDefault="0058149D" w:rsidP="0002400F">
      <w:pPr>
        <w:rPr>
          <w:rFonts w:cstheme="minorHAnsi"/>
          <w:u w:val="single"/>
        </w:rPr>
      </w:pPr>
    </w:p>
    <w:p w14:paraId="12DAC98D" w14:textId="77777777" w:rsidR="0058149D" w:rsidRDefault="0058149D" w:rsidP="0002400F">
      <w:pPr>
        <w:rPr>
          <w:rFonts w:cstheme="minorHAnsi"/>
          <w:u w:val="single"/>
        </w:rPr>
      </w:pPr>
    </w:p>
    <w:p w14:paraId="463643C9" w14:textId="77777777" w:rsidR="0058149D" w:rsidRDefault="0058149D" w:rsidP="0002400F">
      <w:pPr>
        <w:rPr>
          <w:rFonts w:cstheme="minorHAnsi"/>
          <w:u w:val="single"/>
        </w:rPr>
      </w:pPr>
    </w:p>
    <w:p w14:paraId="09C7E449" w14:textId="77777777" w:rsidR="0058149D" w:rsidRDefault="0058149D" w:rsidP="0002400F">
      <w:pPr>
        <w:rPr>
          <w:rFonts w:cstheme="minorHAnsi"/>
          <w:u w:val="single"/>
        </w:rPr>
      </w:pPr>
    </w:p>
    <w:p w14:paraId="51109104" w14:textId="77777777" w:rsidR="0058149D" w:rsidRDefault="0058149D" w:rsidP="0002400F">
      <w:pPr>
        <w:rPr>
          <w:rFonts w:cstheme="minorHAnsi"/>
          <w:u w:val="single"/>
        </w:rPr>
      </w:pPr>
    </w:p>
    <w:p w14:paraId="00439617" w14:textId="77777777" w:rsidR="0058149D" w:rsidRDefault="0058149D" w:rsidP="0002400F">
      <w:pPr>
        <w:rPr>
          <w:rFonts w:cstheme="minorHAnsi"/>
          <w:u w:val="single"/>
        </w:rPr>
      </w:pPr>
    </w:p>
    <w:p w14:paraId="5C6D9BFF" w14:textId="77777777" w:rsidR="0058149D" w:rsidRDefault="0058149D" w:rsidP="0002400F">
      <w:pPr>
        <w:rPr>
          <w:rFonts w:cstheme="minorHAnsi"/>
          <w:u w:val="single"/>
        </w:rPr>
      </w:pPr>
    </w:p>
    <w:p w14:paraId="35BD03A5" w14:textId="77777777" w:rsidR="0058149D" w:rsidRDefault="0058149D" w:rsidP="0002400F">
      <w:pPr>
        <w:rPr>
          <w:rFonts w:cstheme="minorHAnsi"/>
          <w:u w:val="single"/>
        </w:rPr>
      </w:pPr>
    </w:p>
    <w:p w14:paraId="04E59078" w14:textId="77777777" w:rsidR="0058149D" w:rsidRDefault="0058149D" w:rsidP="0002400F">
      <w:pPr>
        <w:rPr>
          <w:rFonts w:cstheme="minorHAnsi"/>
          <w:u w:val="single"/>
        </w:rPr>
      </w:pPr>
    </w:p>
    <w:p w14:paraId="492FCB05" w14:textId="77777777" w:rsidR="0058149D" w:rsidRDefault="0058149D" w:rsidP="0002400F">
      <w:pPr>
        <w:rPr>
          <w:rFonts w:cstheme="minorHAnsi"/>
          <w:u w:val="single"/>
        </w:rPr>
      </w:pPr>
    </w:p>
    <w:p w14:paraId="25B99328" w14:textId="77777777" w:rsidR="0058149D" w:rsidRDefault="0058149D" w:rsidP="0002400F">
      <w:pPr>
        <w:rPr>
          <w:rFonts w:cstheme="minorHAnsi"/>
          <w:u w:val="single"/>
        </w:rPr>
      </w:pPr>
    </w:p>
    <w:p w14:paraId="08114A47" w14:textId="77777777" w:rsidR="0058149D" w:rsidRDefault="0058149D" w:rsidP="0002400F">
      <w:pPr>
        <w:rPr>
          <w:rFonts w:cstheme="minorHAnsi"/>
          <w:u w:val="single"/>
        </w:rPr>
      </w:pPr>
    </w:p>
    <w:p w14:paraId="37B3E91F" w14:textId="77777777" w:rsidR="0058149D" w:rsidRDefault="0058149D" w:rsidP="0002400F">
      <w:pPr>
        <w:rPr>
          <w:rFonts w:cstheme="minorHAnsi"/>
          <w:u w:val="single"/>
        </w:rPr>
      </w:pPr>
    </w:p>
    <w:p w14:paraId="6C56B01A" w14:textId="77777777" w:rsidR="0058149D" w:rsidRDefault="0058149D" w:rsidP="0002400F">
      <w:pPr>
        <w:rPr>
          <w:rFonts w:cstheme="minorHAnsi"/>
          <w:u w:val="single"/>
        </w:rPr>
      </w:pPr>
    </w:p>
    <w:p w14:paraId="509DA631" w14:textId="77777777" w:rsidR="0058149D" w:rsidRDefault="0058149D" w:rsidP="0002400F">
      <w:pPr>
        <w:rPr>
          <w:rFonts w:cstheme="minorHAnsi"/>
          <w:u w:val="single"/>
        </w:rPr>
      </w:pPr>
    </w:p>
    <w:p w14:paraId="7A7B23B8" w14:textId="77777777" w:rsidR="0058149D" w:rsidRDefault="0058149D" w:rsidP="0002400F">
      <w:pPr>
        <w:rPr>
          <w:rFonts w:cstheme="minorHAnsi"/>
          <w:u w:val="single"/>
        </w:rPr>
      </w:pPr>
    </w:p>
    <w:p w14:paraId="3073D0E7" w14:textId="77777777" w:rsidR="0058149D" w:rsidRDefault="0058149D" w:rsidP="0002400F">
      <w:pPr>
        <w:rPr>
          <w:rFonts w:cstheme="minorHAnsi"/>
          <w:u w:val="single"/>
        </w:rPr>
      </w:pPr>
    </w:p>
    <w:p w14:paraId="3F3AB58F" w14:textId="77777777" w:rsidR="0058149D" w:rsidRDefault="0058149D" w:rsidP="0002400F">
      <w:pPr>
        <w:rPr>
          <w:rFonts w:cstheme="minorHAnsi"/>
          <w:u w:val="single"/>
        </w:rPr>
      </w:pPr>
    </w:p>
    <w:p w14:paraId="71C7FC64" w14:textId="77777777" w:rsidR="0058149D" w:rsidRDefault="0058149D" w:rsidP="0002400F">
      <w:pPr>
        <w:rPr>
          <w:rFonts w:cstheme="minorHAnsi"/>
          <w:u w:val="single"/>
        </w:rPr>
      </w:pPr>
    </w:p>
    <w:p w14:paraId="3C3B1B97" w14:textId="202A7C52" w:rsidR="000B0E0B" w:rsidRPr="000B0E0B" w:rsidRDefault="00C31789" w:rsidP="0002400F">
      <w:pPr>
        <w:rPr>
          <w:rFonts w:cstheme="minorHAnsi"/>
          <w:u w:val="single"/>
        </w:rPr>
      </w:pPr>
      <w:r>
        <w:rPr>
          <w:rFonts w:cstheme="minorHAnsi"/>
          <w:u w:val="single"/>
        </w:rPr>
        <w:t xml:space="preserve">Proposed </w:t>
      </w:r>
      <w:r w:rsidR="000B0E0B">
        <w:rPr>
          <w:rFonts w:cstheme="minorHAnsi"/>
          <w:u w:val="single"/>
        </w:rPr>
        <w:t>Bibliography</w:t>
      </w:r>
    </w:p>
    <w:p w14:paraId="485C80F6" w14:textId="6C0D2DF9" w:rsidR="00C63E6B" w:rsidRDefault="00C63E6B" w:rsidP="0002400F">
      <w:r>
        <w:lastRenderedPageBreak/>
        <w:t xml:space="preserve">Berry, J.W., 2005. Acculturation: Living Successfully in Two Cultures. </w:t>
      </w:r>
      <w:r w:rsidRPr="00C63E6B">
        <w:rPr>
          <w:i/>
          <w:iCs/>
        </w:rPr>
        <w:t>International Journal of Intercultural Relations 29</w:t>
      </w:r>
      <w:r>
        <w:t>. Pp. 697–712.</w:t>
      </w:r>
    </w:p>
    <w:p w14:paraId="50A9943B" w14:textId="2D71099D" w:rsidR="00C63E6B" w:rsidRDefault="00C63E6B" w:rsidP="0002400F">
      <w:pPr>
        <w:rPr>
          <w:rFonts w:cstheme="minorHAnsi"/>
        </w:rPr>
      </w:pPr>
      <w:r>
        <w:t>Berry, J.W., 2013. Acculturation. Cross-cultural psychology: research and applications Cambridge University Press. Pp. 307-335.</w:t>
      </w:r>
    </w:p>
    <w:p w14:paraId="53F5B9B2" w14:textId="3F4B572F" w:rsidR="000B0E0B" w:rsidRPr="000B0E0B" w:rsidRDefault="000B0E0B" w:rsidP="0002400F">
      <w:pPr>
        <w:rPr>
          <w:rFonts w:cstheme="minorHAnsi"/>
        </w:rPr>
      </w:pPr>
      <w:r w:rsidRPr="000B0E0B">
        <w:rPr>
          <w:rFonts w:cstheme="minorHAnsi"/>
        </w:rPr>
        <w:t>Brein, M. and David, K. H., 1971. Intercultural communication and the adjustment of the Sojourner. </w:t>
      </w:r>
      <w:r w:rsidRPr="000B0E0B">
        <w:rPr>
          <w:rFonts w:cstheme="minorHAnsi"/>
          <w:i/>
          <w:iCs/>
        </w:rPr>
        <w:t>Psychological Bulletin</w:t>
      </w:r>
      <w:r w:rsidRPr="000B0E0B">
        <w:rPr>
          <w:rFonts w:cstheme="minorHAnsi"/>
        </w:rPr>
        <w:t>, 76(3), pp. 215–230. doi: 10.1037/h0031441.</w:t>
      </w:r>
    </w:p>
    <w:p w14:paraId="14E1B211" w14:textId="77777777" w:rsidR="000B0E0B" w:rsidRPr="000B0E0B" w:rsidRDefault="000B0E0B" w:rsidP="0002400F">
      <w:pPr>
        <w:rPr>
          <w:rFonts w:cstheme="minorHAnsi"/>
        </w:rPr>
      </w:pPr>
      <w:r w:rsidRPr="000B0E0B">
        <w:rPr>
          <w:rFonts w:cstheme="minorHAnsi"/>
        </w:rPr>
        <w:t xml:space="preserve">Briody, E. and Chrisman, J., 1991. Cultural Adaptation on Overseas Assignments. </w:t>
      </w:r>
      <w:r w:rsidRPr="000B0E0B">
        <w:rPr>
          <w:rFonts w:cstheme="minorHAnsi"/>
          <w:i/>
          <w:iCs/>
        </w:rPr>
        <w:t>Human Organization</w:t>
      </w:r>
      <w:r w:rsidRPr="000B0E0B">
        <w:rPr>
          <w:rFonts w:cstheme="minorHAnsi"/>
        </w:rPr>
        <w:t xml:space="preserve">: Fall 1991, Vol. 50, No. 3, pp. 264-282. </w:t>
      </w:r>
      <w:hyperlink r:id="rId6" w:history="1">
        <w:r w:rsidRPr="000B0E0B">
          <w:rPr>
            <w:rStyle w:val="Hyperlink"/>
            <w:rFonts w:cstheme="minorHAnsi"/>
          </w:rPr>
          <w:t>https://doi.org/10.17730/humo.50.3.22555451v6206444</w:t>
        </w:r>
      </w:hyperlink>
    </w:p>
    <w:p w14:paraId="3178E5D5" w14:textId="366E9BA5" w:rsidR="000B0E0B" w:rsidRPr="000B0E0B" w:rsidRDefault="000B0E0B" w:rsidP="0002400F">
      <w:pPr>
        <w:rPr>
          <w:rFonts w:cstheme="minorHAnsi"/>
        </w:rPr>
      </w:pPr>
      <w:r w:rsidRPr="000B0E0B">
        <w:rPr>
          <w:rFonts w:cstheme="minorHAnsi"/>
        </w:rPr>
        <w:t>Constantine, M. G. et al., 2005. Examining the Cultural Adjustment Experiences of African International College Students: A Qualitative Analysis. </w:t>
      </w:r>
      <w:r w:rsidRPr="000B0E0B">
        <w:rPr>
          <w:rFonts w:cstheme="minorHAnsi"/>
          <w:i/>
          <w:iCs/>
        </w:rPr>
        <w:t xml:space="preserve">Journal of </w:t>
      </w:r>
      <w:r w:rsidR="0058149D" w:rsidRPr="000B0E0B">
        <w:rPr>
          <w:rFonts w:cstheme="minorHAnsi"/>
          <w:i/>
          <w:iCs/>
        </w:rPr>
        <w:t>Counselling</w:t>
      </w:r>
      <w:r w:rsidRPr="000B0E0B">
        <w:rPr>
          <w:rFonts w:cstheme="minorHAnsi"/>
          <w:i/>
          <w:iCs/>
        </w:rPr>
        <w:t xml:space="preserve"> Psychology</w:t>
      </w:r>
      <w:r w:rsidRPr="000B0E0B">
        <w:rPr>
          <w:rFonts w:cstheme="minorHAnsi"/>
        </w:rPr>
        <w:t>, 52(1), pp. 57–66. doi: 10.1037/0022-0167.52.1.57.</w:t>
      </w:r>
    </w:p>
    <w:p w14:paraId="0615E3F0" w14:textId="77777777" w:rsidR="000B0E0B" w:rsidRPr="000B0E0B" w:rsidRDefault="000B0E0B" w:rsidP="0002400F">
      <w:pPr>
        <w:rPr>
          <w:rFonts w:cstheme="minorHAnsi"/>
        </w:rPr>
      </w:pPr>
      <w:r w:rsidRPr="000B0E0B">
        <w:rPr>
          <w:rFonts w:cstheme="minorHAnsi"/>
        </w:rPr>
        <w:t>Demes, K. A. and Geeraert, N., 2015. The highs and lows of a cultural transition: A longitudinal analysis of sojourner stress and adaptation across 50 countries.</w:t>
      </w:r>
      <w:r w:rsidRPr="000B0E0B">
        <w:rPr>
          <w:rFonts w:cstheme="minorHAnsi"/>
          <w:i/>
          <w:iCs/>
        </w:rPr>
        <w:t> Journal of Personality and Social Psychology</w:t>
      </w:r>
      <w:r w:rsidRPr="000B0E0B">
        <w:rPr>
          <w:rFonts w:cstheme="minorHAnsi"/>
        </w:rPr>
        <w:t>, 109(2), pp. 316–337. doi: 10.1037/pspp0000046.</w:t>
      </w:r>
    </w:p>
    <w:p w14:paraId="10D63393" w14:textId="77777777" w:rsidR="000B0E0B" w:rsidRPr="000B0E0B" w:rsidRDefault="000B0E0B" w:rsidP="0002400F">
      <w:pPr>
        <w:rPr>
          <w:rFonts w:cstheme="minorHAnsi"/>
        </w:rPr>
      </w:pPr>
      <w:r w:rsidRPr="000B0E0B">
        <w:rPr>
          <w:rFonts w:cstheme="minorHAnsi"/>
        </w:rPr>
        <w:t>Downie, M. et al., 2007. The relations of parental autonomy support to cultural internalization and well-being of immigrants and sojourners. </w:t>
      </w:r>
      <w:r w:rsidRPr="000B0E0B">
        <w:rPr>
          <w:rFonts w:cstheme="minorHAnsi"/>
          <w:i/>
          <w:iCs/>
        </w:rPr>
        <w:t>Cultural Diversity and Ethnic Minority Psychology</w:t>
      </w:r>
      <w:r w:rsidRPr="000B0E0B">
        <w:rPr>
          <w:rFonts w:cstheme="minorHAnsi"/>
        </w:rPr>
        <w:t>, 13(3), pp. 241–249. doi: 10.1037/1099-9809.13.3.241.</w:t>
      </w:r>
    </w:p>
    <w:p w14:paraId="04854986" w14:textId="77777777" w:rsidR="000B0E0B" w:rsidRPr="000B0E0B" w:rsidRDefault="000B0E0B" w:rsidP="0002400F">
      <w:pPr>
        <w:rPr>
          <w:rFonts w:cstheme="minorHAnsi"/>
        </w:rPr>
      </w:pPr>
      <w:r w:rsidRPr="000B0E0B">
        <w:rPr>
          <w:rFonts w:cstheme="minorHAnsi"/>
        </w:rPr>
        <w:t>Dunbar, E. and Ehrlich, M. H., 1993. Preparation of the international employee: Career and consultation needs. </w:t>
      </w:r>
      <w:r w:rsidRPr="000B0E0B">
        <w:rPr>
          <w:rFonts w:cstheme="minorHAnsi"/>
          <w:i/>
          <w:iCs/>
        </w:rPr>
        <w:t>Consulting Psychology Journal: Practice and Research</w:t>
      </w:r>
      <w:r w:rsidRPr="000B0E0B">
        <w:rPr>
          <w:rFonts w:cstheme="minorHAnsi"/>
        </w:rPr>
        <w:t>, 45(1), pp. 18–24. doi: 10.1037/1061-4087.45.1.18.</w:t>
      </w:r>
    </w:p>
    <w:p w14:paraId="08625939" w14:textId="04390C20" w:rsidR="000B0E0B" w:rsidRDefault="000B0E0B" w:rsidP="0002400F">
      <w:pPr>
        <w:rPr>
          <w:rFonts w:cstheme="minorHAnsi"/>
          <w:color w:val="333333"/>
          <w:shd w:val="clear" w:color="auto" w:fill="FFFFFF"/>
        </w:rPr>
      </w:pPr>
      <w:r w:rsidRPr="000B0E0B">
        <w:rPr>
          <w:rFonts w:cstheme="minorHAnsi"/>
          <w:color w:val="333333"/>
          <w:shd w:val="clear" w:color="auto" w:fill="FFFFFF"/>
        </w:rPr>
        <w:t>Einbeck, K., 2002. Using Literature to Promote Cultural Fluency in Study Abroad Programs. </w:t>
      </w:r>
      <w:r w:rsidRPr="000B0E0B">
        <w:rPr>
          <w:rFonts w:cstheme="minorHAnsi"/>
          <w:i/>
          <w:iCs/>
          <w:color w:val="333333"/>
          <w:shd w:val="clear" w:color="auto" w:fill="FFFFFF"/>
        </w:rPr>
        <w:t>Die Unterrichtspraxis / Teaching German,</w:t>
      </w:r>
      <w:r w:rsidRPr="000B0E0B">
        <w:rPr>
          <w:rFonts w:cstheme="minorHAnsi"/>
          <w:color w:val="333333"/>
          <w:shd w:val="clear" w:color="auto" w:fill="FFFFFF"/>
        </w:rPr>
        <w:t> </w:t>
      </w:r>
      <w:r w:rsidRPr="000B0E0B">
        <w:rPr>
          <w:rFonts w:cstheme="minorHAnsi"/>
          <w:i/>
          <w:iCs/>
          <w:color w:val="333333"/>
          <w:shd w:val="clear" w:color="auto" w:fill="FFFFFF"/>
        </w:rPr>
        <w:t>35</w:t>
      </w:r>
      <w:r w:rsidRPr="000B0E0B">
        <w:rPr>
          <w:rFonts w:cstheme="minorHAnsi"/>
          <w:color w:val="333333"/>
          <w:shd w:val="clear" w:color="auto" w:fill="FFFFFF"/>
        </w:rPr>
        <w:t>(1), 59-67. doi:10.2307/3531954</w:t>
      </w:r>
    </w:p>
    <w:p w14:paraId="1B92CB4B" w14:textId="38A0A332" w:rsidR="00C31789" w:rsidRDefault="00C31789" w:rsidP="00C31789">
      <w:pPr>
        <w:shd w:val="clear" w:color="auto" w:fill="FFFFFF"/>
        <w:spacing w:after="0" w:line="240" w:lineRule="auto"/>
        <w:rPr>
          <w:rFonts w:eastAsia="Times New Roman" w:cstheme="minorHAnsi"/>
          <w:color w:val="333333"/>
          <w:lang w:eastAsia="en-GB"/>
        </w:rPr>
      </w:pPr>
      <w:r w:rsidRPr="00C31789">
        <w:rPr>
          <w:rFonts w:eastAsia="Times New Roman" w:cstheme="minorHAnsi"/>
          <w:color w:val="333333"/>
          <w:lang w:eastAsia="en-GB"/>
        </w:rPr>
        <w:t>Evans</w:t>
      </w:r>
      <w:r>
        <w:rPr>
          <w:rFonts w:eastAsia="Times New Roman" w:cstheme="minorHAnsi"/>
          <w:color w:val="333333"/>
          <w:lang w:eastAsia="en-GB"/>
        </w:rPr>
        <w:t>,</w:t>
      </w:r>
      <w:r w:rsidRPr="00C31789">
        <w:rPr>
          <w:rFonts w:eastAsia="Times New Roman" w:cstheme="minorHAnsi"/>
          <w:color w:val="333333"/>
          <w:lang w:eastAsia="en-GB"/>
        </w:rPr>
        <w:t> M</w:t>
      </w:r>
      <w:r>
        <w:rPr>
          <w:rFonts w:eastAsia="Times New Roman" w:cstheme="minorHAnsi"/>
          <w:color w:val="333333"/>
          <w:lang w:eastAsia="en-GB"/>
        </w:rPr>
        <w:t>.</w:t>
      </w:r>
      <w:r w:rsidRPr="00C31789">
        <w:rPr>
          <w:rFonts w:eastAsia="Times New Roman" w:cstheme="minorHAnsi"/>
          <w:color w:val="333333"/>
          <w:lang w:eastAsia="en-GB"/>
        </w:rPr>
        <w:t>, Robling</w:t>
      </w:r>
      <w:r>
        <w:rPr>
          <w:rFonts w:eastAsia="Times New Roman" w:cstheme="minorHAnsi"/>
          <w:color w:val="333333"/>
          <w:lang w:eastAsia="en-GB"/>
        </w:rPr>
        <w:t>,</w:t>
      </w:r>
      <w:r w:rsidRPr="00C31789">
        <w:rPr>
          <w:rFonts w:eastAsia="Times New Roman" w:cstheme="minorHAnsi"/>
          <w:color w:val="333333"/>
          <w:lang w:eastAsia="en-GB"/>
        </w:rPr>
        <w:t> M</w:t>
      </w:r>
      <w:r>
        <w:rPr>
          <w:rFonts w:eastAsia="Times New Roman" w:cstheme="minorHAnsi"/>
          <w:color w:val="333333"/>
          <w:lang w:eastAsia="en-GB"/>
        </w:rPr>
        <w:t>.</w:t>
      </w:r>
      <w:r w:rsidRPr="00C31789">
        <w:rPr>
          <w:rFonts w:eastAsia="Times New Roman" w:cstheme="minorHAnsi"/>
          <w:color w:val="333333"/>
          <w:lang w:eastAsia="en-GB"/>
        </w:rPr>
        <w:t>, Maggs Rapport</w:t>
      </w:r>
      <w:r>
        <w:rPr>
          <w:rFonts w:eastAsia="Times New Roman" w:cstheme="minorHAnsi"/>
          <w:color w:val="333333"/>
          <w:lang w:eastAsia="en-GB"/>
        </w:rPr>
        <w:t>,</w:t>
      </w:r>
      <w:r w:rsidRPr="00C31789">
        <w:rPr>
          <w:rFonts w:eastAsia="Times New Roman" w:cstheme="minorHAnsi"/>
          <w:color w:val="333333"/>
          <w:lang w:eastAsia="en-GB"/>
        </w:rPr>
        <w:t> F</w:t>
      </w:r>
      <w:r>
        <w:rPr>
          <w:rFonts w:eastAsia="Times New Roman" w:cstheme="minorHAnsi"/>
          <w:color w:val="333333"/>
          <w:lang w:eastAsia="en-GB"/>
        </w:rPr>
        <w:t>.</w:t>
      </w:r>
      <w:r w:rsidRPr="00C31789">
        <w:rPr>
          <w:rFonts w:eastAsia="Times New Roman" w:cstheme="minorHAnsi"/>
          <w:i/>
          <w:iCs/>
          <w:color w:val="333333"/>
          <w:lang w:eastAsia="en-GB"/>
        </w:rPr>
        <w:t>, et al</w:t>
      </w:r>
      <w:r>
        <w:rPr>
          <w:rFonts w:eastAsia="Times New Roman" w:cstheme="minorHAnsi"/>
          <w:color w:val="333333"/>
          <w:lang w:eastAsia="en-GB"/>
        </w:rPr>
        <w:t xml:space="preserve">, 2002. </w:t>
      </w:r>
      <w:r w:rsidRPr="00C31789">
        <w:rPr>
          <w:rFonts w:eastAsia="Times New Roman" w:cstheme="minorHAnsi"/>
          <w:color w:val="333333"/>
          <w:lang w:eastAsia="en-GB"/>
        </w:rPr>
        <w:t>It doesn't cost anything just to ask, does it?</w:t>
      </w:r>
      <w:r>
        <w:rPr>
          <w:rFonts w:eastAsia="Times New Roman" w:cstheme="minorHAnsi"/>
          <w:color w:val="333333"/>
          <w:lang w:eastAsia="en-GB"/>
        </w:rPr>
        <w:t xml:space="preserve"> </w:t>
      </w:r>
      <w:r w:rsidRPr="00C31789">
        <w:rPr>
          <w:rFonts w:eastAsia="Times New Roman" w:cstheme="minorHAnsi"/>
          <w:color w:val="333333"/>
          <w:lang w:eastAsia="en-GB"/>
        </w:rPr>
        <w:t>The ethics of questionnaire-based research</w:t>
      </w:r>
      <w:r>
        <w:rPr>
          <w:rFonts w:eastAsia="Times New Roman" w:cstheme="minorHAnsi"/>
          <w:color w:val="333333"/>
          <w:lang w:eastAsia="en-GB"/>
        </w:rPr>
        <w:t xml:space="preserve">. </w:t>
      </w:r>
      <w:r w:rsidRPr="00C31789">
        <w:rPr>
          <w:rFonts w:eastAsia="Times New Roman" w:cstheme="minorHAnsi"/>
          <w:i/>
          <w:iCs/>
          <w:color w:val="333333"/>
          <w:lang w:eastAsia="en-GB"/>
        </w:rPr>
        <w:t>Journal of Medical Ethics </w:t>
      </w:r>
      <w:r w:rsidRPr="00C31789">
        <w:rPr>
          <w:rFonts w:eastAsia="Times New Roman" w:cstheme="minorHAnsi"/>
          <w:color w:val="333333"/>
          <w:lang w:eastAsia="en-GB"/>
        </w:rPr>
        <w:t>2002;28</w:t>
      </w:r>
      <w:r w:rsidRPr="00C31789">
        <w:rPr>
          <w:rFonts w:eastAsia="Times New Roman" w:cstheme="minorHAnsi"/>
          <w:b/>
          <w:bCs/>
          <w:color w:val="333333"/>
          <w:lang w:eastAsia="en-GB"/>
        </w:rPr>
        <w:t>:</w:t>
      </w:r>
      <w:r w:rsidRPr="00C31789">
        <w:rPr>
          <w:rFonts w:eastAsia="Times New Roman" w:cstheme="minorHAnsi"/>
          <w:color w:val="333333"/>
          <w:lang w:eastAsia="en-GB"/>
        </w:rPr>
        <w:t>41-44.</w:t>
      </w:r>
    </w:p>
    <w:p w14:paraId="05A180D8" w14:textId="77777777" w:rsidR="00C31789" w:rsidRPr="00C31789" w:rsidRDefault="00C31789" w:rsidP="00C31789">
      <w:pPr>
        <w:shd w:val="clear" w:color="auto" w:fill="FFFFFF"/>
        <w:spacing w:after="0" w:line="240" w:lineRule="auto"/>
        <w:rPr>
          <w:rFonts w:eastAsia="Times New Roman" w:cstheme="minorHAnsi"/>
          <w:color w:val="333333"/>
          <w:lang w:eastAsia="en-GB"/>
        </w:rPr>
      </w:pPr>
    </w:p>
    <w:p w14:paraId="40059462" w14:textId="77777777" w:rsidR="000B0E0B" w:rsidRDefault="000B0E0B" w:rsidP="000B0E0B">
      <w:pPr>
        <w:rPr>
          <w:rFonts w:cstheme="minorHAnsi"/>
        </w:rPr>
      </w:pPr>
      <w:r w:rsidRPr="000B0E0B">
        <w:rPr>
          <w:rFonts w:cstheme="minorHAnsi"/>
        </w:rPr>
        <w:t>Fernández-Olmos,</w:t>
      </w:r>
      <w:r>
        <w:rPr>
          <w:rFonts w:cstheme="minorHAnsi"/>
        </w:rPr>
        <w:t xml:space="preserve"> M.,</w:t>
      </w:r>
      <w:r w:rsidRPr="000B0E0B">
        <w:rPr>
          <w:rFonts w:cstheme="minorHAnsi"/>
        </w:rPr>
        <w:t xml:space="preserve"> Gargallo-Castel,</w:t>
      </w:r>
      <w:r>
        <w:rPr>
          <w:rFonts w:cstheme="minorHAnsi"/>
        </w:rPr>
        <w:t xml:space="preserve"> A. and</w:t>
      </w:r>
      <w:r w:rsidRPr="000B0E0B">
        <w:rPr>
          <w:rFonts w:cstheme="minorHAnsi"/>
        </w:rPr>
        <w:t xml:space="preserve"> Giner-Bagües,</w:t>
      </w:r>
      <w:r>
        <w:rPr>
          <w:rFonts w:cstheme="minorHAnsi"/>
        </w:rPr>
        <w:t xml:space="preserve"> E., 2016. </w:t>
      </w:r>
      <w:r w:rsidRPr="000B0E0B">
        <w:rPr>
          <w:rFonts w:cstheme="minorHAnsi"/>
        </w:rPr>
        <w:t>Internationalisation and performance in Spanish family SMES: The W-curve</w:t>
      </w:r>
      <w:r>
        <w:rPr>
          <w:rFonts w:cstheme="minorHAnsi"/>
        </w:rPr>
        <w:t xml:space="preserve">. </w:t>
      </w:r>
      <w:r w:rsidRPr="000B0E0B">
        <w:rPr>
          <w:rFonts w:cstheme="minorHAnsi"/>
          <w:i/>
          <w:iCs/>
        </w:rPr>
        <w:t>BRQ Business Research Quarterly</w:t>
      </w:r>
      <w:r w:rsidRPr="000B0E0B">
        <w:rPr>
          <w:rFonts w:cstheme="minorHAnsi"/>
        </w:rPr>
        <w:t>,</w:t>
      </w:r>
      <w:r>
        <w:rPr>
          <w:rFonts w:cstheme="minorHAnsi"/>
        </w:rPr>
        <w:t xml:space="preserve"> </w:t>
      </w:r>
      <w:r w:rsidRPr="000B0E0B">
        <w:rPr>
          <w:rFonts w:cstheme="minorHAnsi"/>
        </w:rPr>
        <w:t>Volume 19, Issue 2</w:t>
      </w:r>
      <w:r>
        <w:rPr>
          <w:rFonts w:cstheme="minorHAnsi"/>
        </w:rPr>
        <w:t xml:space="preserve">. </w:t>
      </w:r>
      <w:r w:rsidRPr="000B0E0B">
        <w:rPr>
          <w:rFonts w:cstheme="minorHAnsi"/>
        </w:rPr>
        <w:t>Pages 122-136</w:t>
      </w:r>
      <w:r>
        <w:rPr>
          <w:rFonts w:cstheme="minorHAnsi"/>
        </w:rPr>
        <w:t xml:space="preserve">. </w:t>
      </w:r>
      <w:r w:rsidRPr="000B0E0B">
        <w:rPr>
          <w:rFonts w:cstheme="minorHAnsi"/>
        </w:rPr>
        <w:t>ISSN 2340-9436</w:t>
      </w:r>
      <w:r>
        <w:rPr>
          <w:rFonts w:cstheme="minorHAnsi"/>
        </w:rPr>
        <w:t xml:space="preserve">. </w:t>
      </w:r>
      <w:hyperlink r:id="rId7" w:history="1">
        <w:r w:rsidRPr="007348F3">
          <w:rPr>
            <w:rStyle w:val="Hyperlink"/>
            <w:rFonts w:cstheme="minorHAnsi"/>
          </w:rPr>
          <w:t>https://doi.org/10.1016/j.brq.2015.07.001</w:t>
        </w:r>
      </w:hyperlink>
      <w:r w:rsidRPr="000B0E0B">
        <w:rPr>
          <w:rFonts w:cstheme="minorHAnsi"/>
        </w:rPr>
        <w:t>.</w:t>
      </w:r>
    </w:p>
    <w:p w14:paraId="311A41AE" w14:textId="77777777" w:rsidR="000B0E0B" w:rsidRPr="000B0E0B" w:rsidRDefault="000B0E0B" w:rsidP="0002400F">
      <w:pPr>
        <w:rPr>
          <w:rFonts w:cstheme="minorHAnsi"/>
        </w:rPr>
      </w:pPr>
      <w:r w:rsidRPr="000B0E0B">
        <w:rPr>
          <w:rFonts w:cstheme="minorHAnsi"/>
        </w:rPr>
        <w:t>Gonsalves, C. J., 1992. Psychological stages of the refugee process: A model for therapeutic interventions. </w:t>
      </w:r>
      <w:r w:rsidRPr="000B0E0B">
        <w:rPr>
          <w:rFonts w:cstheme="minorHAnsi"/>
          <w:i/>
          <w:iCs/>
        </w:rPr>
        <w:t>Professional Psychology: Research and Practice</w:t>
      </w:r>
      <w:r w:rsidRPr="000B0E0B">
        <w:rPr>
          <w:rFonts w:cstheme="minorHAnsi"/>
        </w:rPr>
        <w:t>, 23(5), pp. 382–389. doi: 10.1037/0735-7028.23.5.382.</w:t>
      </w:r>
    </w:p>
    <w:p w14:paraId="57566E07" w14:textId="77777777" w:rsidR="000B0E0B" w:rsidRPr="0002400F" w:rsidRDefault="000B0E0B" w:rsidP="0002400F">
      <w:pPr>
        <w:shd w:val="clear" w:color="auto" w:fill="FFFFFF"/>
        <w:spacing w:line="240" w:lineRule="auto"/>
        <w:rPr>
          <w:rFonts w:eastAsia="Times New Roman" w:cstheme="minorHAnsi"/>
          <w:color w:val="000000"/>
          <w:lang w:eastAsia="en-GB"/>
        </w:rPr>
      </w:pPr>
      <w:r w:rsidRPr="0002400F">
        <w:rPr>
          <w:rFonts w:eastAsia="Times New Roman" w:cstheme="minorHAnsi"/>
          <w:color w:val="000000"/>
          <w:lang w:eastAsia="en-GB"/>
        </w:rPr>
        <w:t>Maretzki</w:t>
      </w:r>
      <w:r w:rsidRPr="000B0E0B">
        <w:rPr>
          <w:rFonts w:eastAsia="Times New Roman" w:cstheme="minorHAnsi"/>
          <w:color w:val="000000"/>
          <w:lang w:eastAsia="en-GB"/>
        </w:rPr>
        <w:t>. T.,</w:t>
      </w:r>
      <w:r w:rsidRPr="0002400F">
        <w:rPr>
          <w:rFonts w:eastAsia="Times New Roman" w:cstheme="minorHAnsi"/>
          <w:color w:val="000000"/>
          <w:lang w:eastAsia="en-GB"/>
        </w:rPr>
        <w:t> 1965</w:t>
      </w:r>
      <w:r w:rsidRPr="000B0E0B">
        <w:rPr>
          <w:rFonts w:eastAsia="Times New Roman" w:cstheme="minorHAnsi"/>
          <w:color w:val="000000"/>
          <w:lang w:eastAsia="en-GB"/>
        </w:rPr>
        <w:t>.</w:t>
      </w:r>
      <w:r w:rsidRPr="0002400F">
        <w:rPr>
          <w:rFonts w:eastAsia="Times New Roman" w:cstheme="minorHAnsi"/>
          <w:color w:val="000000"/>
          <w:lang w:eastAsia="en-GB"/>
        </w:rPr>
        <w:t xml:space="preserve"> Transition Training: A Theoretical Approach. </w:t>
      </w:r>
      <w:r w:rsidRPr="0002400F">
        <w:rPr>
          <w:rFonts w:eastAsia="Times New Roman" w:cstheme="minorHAnsi"/>
          <w:i/>
          <w:iCs/>
          <w:color w:val="000000"/>
          <w:lang w:eastAsia="en-GB"/>
        </w:rPr>
        <w:t>Human Organization</w:t>
      </w:r>
      <w:r w:rsidRPr="0002400F">
        <w:rPr>
          <w:rFonts w:eastAsia="Times New Roman" w:cstheme="minorHAnsi"/>
          <w:color w:val="000000"/>
          <w:lang w:eastAsia="en-GB"/>
        </w:rPr>
        <w:t>: Summer 1965, Vol. 24, No. 2, pp. 128-134.</w:t>
      </w:r>
      <w:r w:rsidRPr="000B0E0B">
        <w:rPr>
          <w:rFonts w:eastAsia="Times New Roman" w:cstheme="minorHAnsi"/>
          <w:color w:val="000000"/>
          <w:lang w:eastAsia="en-GB"/>
        </w:rPr>
        <w:t xml:space="preserve"> </w:t>
      </w:r>
      <w:hyperlink r:id="rId8" w:history="1">
        <w:r w:rsidRPr="0002400F">
          <w:rPr>
            <w:rStyle w:val="Hyperlink"/>
            <w:rFonts w:eastAsia="Times New Roman" w:cstheme="minorHAnsi"/>
            <w:lang w:eastAsia="en-GB"/>
          </w:rPr>
          <w:t>https://doi.org/10.17730/humo.24.2.p9w0143274x45126</w:t>
        </w:r>
      </w:hyperlink>
    </w:p>
    <w:p w14:paraId="29C7D6C4" w14:textId="77777777" w:rsidR="000B0E0B" w:rsidRPr="000B0E0B" w:rsidRDefault="000B0E0B" w:rsidP="0002400F">
      <w:pPr>
        <w:rPr>
          <w:rFonts w:cstheme="minorHAnsi"/>
          <w:color w:val="333333"/>
          <w:shd w:val="clear" w:color="auto" w:fill="FFFFFF"/>
        </w:rPr>
      </w:pPr>
      <w:r w:rsidRPr="000B0E0B">
        <w:rPr>
          <w:rFonts w:cstheme="minorHAnsi"/>
          <w:color w:val="333333"/>
          <w:shd w:val="clear" w:color="auto" w:fill="FFFFFF"/>
        </w:rPr>
        <w:t>Meintel, D., 1973. Strangers, Homecomers and Ordinary Men. </w:t>
      </w:r>
      <w:r w:rsidRPr="000B0E0B">
        <w:rPr>
          <w:rFonts w:cstheme="minorHAnsi"/>
          <w:i/>
          <w:iCs/>
          <w:color w:val="333333"/>
          <w:shd w:val="clear" w:color="auto" w:fill="FFFFFF"/>
        </w:rPr>
        <w:t>Anthropological Quarterly,</w:t>
      </w:r>
      <w:r w:rsidRPr="000B0E0B">
        <w:rPr>
          <w:rFonts w:cstheme="minorHAnsi"/>
          <w:color w:val="333333"/>
          <w:shd w:val="clear" w:color="auto" w:fill="FFFFFF"/>
        </w:rPr>
        <w:t> </w:t>
      </w:r>
      <w:r w:rsidRPr="000B0E0B">
        <w:rPr>
          <w:rFonts w:cstheme="minorHAnsi"/>
          <w:i/>
          <w:iCs/>
          <w:color w:val="333333"/>
          <w:shd w:val="clear" w:color="auto" w:fill="FFFFFF"/>
        </w:rPr>
        <w:t>46</w:t>
      </w:r>
      <w:r w:rsidRPr="000B0E0B">
        <w:rPr>
          <w:rFonts w:cstheme="minorHAnsi"/>
          <w:color w:val="333333"/>
          <w:shd w:val="clear" w:color="auto" w:fill="FFFFFF"/>
        </w:rPr>
        <w:t xml:space="preserve">(1), 47-58. Retrieved February 20, 2020, from </w:t>
      </w:r>
      <w:hyperlink r:id="rId9" w:history="1">
        <w:r w:rsidRPr="000B0E0B">
          <w:rPr>
            <w:rStyle w:val="Hyperlink"/>
            <w:rFonts w:cstheme="minorHAnsi"/>
            <w:shd w:val="clear" w:color="auto" w:fill="FFFFFF"/>
          </w:rPr>
          <w:t>www.jstor.org/stable/3694294</w:t>
        </w:r>
      </w:hyperlink>
    </w:p>
    <w:p w14:paraId="7286D6F8" w14:textId="635E7531" w:rsidR="000B0E0B" w:rsidRDefault="000B0E0B" w:rsidP="0002400F">
      <w:pPr>
        <w:rPr>
          <w:rFonts w:cstheme="minorHAnsi"/>
          <w:shd w:val="clear" w:color="auto" w:fill="FFFFFF"/>
        </w:rPr>
      </w:pPr>
      <w:r w:rsidRPr="000B0E0B">
        <w:rPr>
          <w:rFonts w:cstheme="minorHAnsi"/>
        </w:rPr>
        <w:t xml:space="preserve">Mizuno, Y., 2012. Culture Shock: Reexamining the Concept and the W-Curve Model of the Adaptation Process through Sokourner Experiences of International Students. </w:t>
      </w:r>
      <w:r w:rsidRPr="000B0E0B">
        <w:rPr>
          <w:rFonts w:cstheme="minorHAnsi"/>
          <w:shd w:val="clear" w:color="auto" w:fill="FFFFFF"/>
        </w:rPr>
        <w:t xml:space="preserve">The University of Leeds. School of Modern Language and culture. </w:t>
      </w:r>
      <w:hyperlink r:id="rId10" w:history="1">
        <w:r w:rsidRPr="000B0E0B">
          <w:rPr>
            <w:rStyle w:val="Hyperlink"/>
            <w:rFonts w:cstheme="minorHAnsi"/>
            <w:shd w:val="clear" w:color="auto" w:fill="FFFFFF"/>
          </w:rPr>
          <w:t>https://resources.library.leeds.ac.uk/final-chapter/dissertations/lcs-tpg/example2.pdf</w:t>
        </w:r>
      </w:hyperlink>
    </w:p>
    <w:p w14:paraId="39C2CD8A" w14:textId="3981B00B" w:rsidR="00C63E6B" w:rsidRPr="000B0E0B" w:rsidRDefault="00C63E6B" w:rsidP="0002400F">
      <w:pPr>
        <w:rPr>
          <w:rFonts w:cstheme="minorHAnsi"/>
          <w:shd w:val="clear" w:color="auto" w:fill="FFFFFF"/>
        </w:rPr>
      </w:pPr>
      <w:r>
        <w:lastRenderedPageBreak/>
        <w:t>Nippoda, Y. (2012). Japanese Students' Experience of Adaptation and Acculturation of the United Kingdom. Online Readings in Psychology and Culture, 8(1). https://doi.org/10.9707/ 2307-0919.1071</w:t>
      </w:r>
    </w:p>
    <w:p w14:paraId="39F1EA05" w14:textId="77777777" w:rsidR="000B0E0B" w:rsidRPr="000B0E0B" w:rsidRDefault="000B0E0B" w:rsidP="0002400F">
      <w:pPr>
        <w:rPr>
          <w:rFonts w:cstheme="minorHAnsi"/>
        </w:rPr>
      </w:pPr>
      <w:r w:rsidRPr="000B0E0B">
        <w:rPr>
          <w:rFonts w:cstheme="minorHAnsi"/>
        </w:rPr>
        <w:t>Poyrazli, S. and Isaiah, J., 2018. International students’ journeys from academic probation to academic success. </w:t>
      </w:r>
      <w:r w:rsidRPr="000B0E0B">
        <w:rPr>
          <w:rFonts w:cstheme="minorHAnsi"/>
          <w:i/>
          <w:iCs/>
        </w:rPr>
        <w:t>International Perspectives in Psychology: Research, Practice, Consultation</w:t>
      </w:r>
      <w:r w:rsidRPr="000B0E0B">
        <w:rPr>
          <w:rFonts w:cstheme="minorHAnsi"/>
        </w:rPr>
        <w:t>, 7(2), pp. 62–75. doi: 10.1037/ipp0000083.</w:t>
      </w:r>
    </w:p>
    <w:p w14:paraId="10AB9A76" w14:textId="77777777" w:rsidR="000B0E0B" w:rsidRPr="000B0E0B" w:rsidRDefault="000B0E0B" w:rsidP="0002400F">
      <w:pPr>
        <w:rPr>
          <w:rFonts w:cstheme="minorHAnsi"/>
        </w:rPr>
      </w:pPr>
      <w:r w:rsidRPr="000B0E0B">
        <w:rPr>
          <w:rFonts w:cstheme="minorHAnsi"/>
        </w:rPr>
        <w:t>Sakamoto, I., 2006. When family enters the picture: The model of cultural negotiation and gendered experiences of Japanese academic sojourners in the United States. </w:t>
      </w:r>
      <w:r w:rsidRPr="000B0E0B">
        <w:rPr>
          <w:rFonts w:cstheme="minorHAnsi"/>
          <w:i/>
          <w:iCs/>
        </w:rPr>
        <w:t>Cultural Diversity and Ethnic Minority Psychology</w:t>
      </w:r>
      <w:r w:rsidRPr="000B0E0B">
        <w:rPr>
          <w:rFonts w:cstheme="minorHAnsi"/>
        </w:rPr>
        <w:t>, 12(3), pp. 558–577. doi: 10.1037/1099-9809.12.3.558.</w:t>
      </w:r>
    </w:p>
    <w:p w14:paraId="22514FC6" w14:textId="77777777" w:rsidR="000B0E0B" w:rsidRPr="000B0E0B" w:rsidRDefault="000B0E0B" w:rsidP="0002400F">
      <w:pPr>
        <w:rPr>
          <w:rFonts w:cstheme="minorHAnsi"/>
        </w:rPr>
      </w:pPr>
      <w:r w:rsidRPr="000B0E0B">
        <w:rPr>
          <w:rFonts w:cstheme="minorHAnsi"/>
        </w:rPr>
        <w:t>Sato, T. and Hodge, S. R., 2009. Asian international doctoral students’ experiences at two American universities: Assimilation, accommodation, and resistance. </w:t>
      </w:r>
      <w:r w:rsidRPr="000B0E0B">
        <w:rPr>
          <w:rFonts w:cstheme="minorHAnsi"/>
          <w:i/>
          <w:iCs/>
        </w:rPr>
        <w:t>Journal of Diversity in Higher Education</w:t>
      </w:r>
      <w:r w:rsidRPr="000B0E0B">
        <w:rPr>
          <w:rFonts w:cstheme="minorHAnsi"/>
        </w:rPr>
        <w:t>, 2(3), pp. 136–148. doi: 10.1037/a0015912.</w:t>
      </w:r>
    </w:p>
    <w:p w14:paraId="246E2D88" w14:textId="756714A0" w:rsidR="000B0E0B" w:rsidRDefault="000B0E0B" w:rsidP="0002400F">
      <w:pPr>
        <w:rPr>
          <w:rFonts w:cstheme="minorHAnsi"/>
          <w:shd w:val="clear" w:color="auto" w:fill="FFFFFF"/>
        </w:rPr>
      </w:pPr>
      <w:r w:rsidRPr="000B0E0B">
        <w:rPr>
          <w:rFonts w:cstheme="minorHAnsi"/>
          <w:shd w:val="clear" w:color="auto" w:fill="FFFFFF"/>
        </w:rPr>
        <w:t>Stening, B. W., and Hammer M. R., 1992. Cultural Baggage and the Adaption of Expatriate American and. 1992. </w:t>
      </w:r>
      <w:r w:rsidRPr="000B0E0B">
        <w:rPr>
          <w:rFonts w:cstheme="minorHAnsi"/>
          <w:i/>
          <w:iCs/>
          <w:shd w:val="clear" w:color="auto" w:fill="FFFFFF"/>
        </w:rPr>
        <w:t>Management International Review, </w:t>
      </w:r>
      <w:r w:rsidRPr="000B0E0B">
        <w:rPr>
          <w:rFonts w:cstheme="minorHAnsi"/>
          <w:shd w:val="clear" w:color="auto" w:fill="FFFFFF"/>
        </w:rPr>
        <w:t>32(1), pp. 77</w:t>
      </w:r>
    </w:p>
    <w:p w14:paraId="0E8F2D8C" w14:textId="648A9DDB" w:rsidR="00C63E6B" w:rsidRPr="00C63E6B" w:rsidRDefault="00C63E6B" w:rsidP="0002400F">
      <w:pPr>
        <w:rPr>
          <w:rFonts w:cstheme="minorHAnsi"/>
        </w:rPr>
      </w:pPr>
      <w:bookmarkStart w:id="1" w:name="Sussman"/>
      <w:r w:rsidRPr="00C63E6B">
        <w:rPr>
          <w:rFonts w:cstheme="minorHAnsi"/>
        </w:rPr>
        <w:t>Sussman</w:t>
      </w:r>
      <w:bookmarkEnd w:id="1"/>
      <w:r w:rsidRPr="00C63E6B">
        <w:rPr>
          <w:rFonts w:cstheme="minorHAnsi"/>
        </w:rPr>
        <w:t xml:space="preserve">, N. M. (2002). Sojourners to another country: The psychological roller-coaster of cultural transitions. In W. J. Lonner, D. L. Dinnel, S. A. Hayes, &amp; D. N. Sattler (Eds.), </w:t>
      </w:r>
      <w:r w:rsidRPr="00C63E6B">
        <w:rPr>
          <w:rFonts w:cstheme="minorHAnsi"/>
          <w:i/>
          <w:iCs/>
        </w:rPr>
        <w:t>Online Readings in Psychology and Culture</w:t>
      </w:r>
      <w:r w:rsidRPr="00C63E6B">
        <w:rPr>
          <w:rFonts w:cstheme="minorHAnsi"/>
        </w:rPr>
        <w:t xml:space="preserve"> (Unit 8, Chapter 1), (</w:t>
      </w:r>
      <w:hyperlink r:id="rId11" w:history="1">
        <w:r w:rsidRPr="00C63E6B">
          <w:rPr>
            <w:rStyle w:val="Hyperlink"/>
            <w:rFonts w:cstheme="minorHAnsi"/>
          </w:rPr>
          <w:t>http://www.wwu.edu/~culture</w:t>
        </w:r>
      </w:hyperlink>
      <w:r w:rsidRPr="00C63E6B">
        <w:rPr>
          <w:rFonts w:cstheme="minorHAnsi"/>
        </w:rPr>
        <w:t xml:space="preserve">), Center for Cross-Cultural Research, Western Washington University, Bellingham, Washington USA. </w:t>
      </w:r>
    </w:p>
    <w:p w14:paraId="31D582A3" w14:textId="07827936" w:rsidR="000B0E0B" w:rsidRDefault="000B0E0B" w:rsidP="0002400F">
      <w:pPr>
        <w:rPr>
          <w:rFonts w:cstheme="minorHAnsi"/>
        </w:rPr>
      </w:pPr>
      <w:r w:rsidRPr="000B0E0B">
        <w:rPr>
          <w:rFonts w:cstheme="minorHAnsi"/>
        </w:rPr>
        <w:t>Swagler, M. A. and Jome, L. M., 2005. The Effects of Personality and Acculturation on the Adjustment of North American Sojourners in Taiwan. </w:t>
      </w:r>
      <w:r w:rsidRPr="000B0E0B">
        <w:rPr>
          <w:rFonts w:cstheme="minorHAnsi"/>
          <w:i/>
          <w:iCs/>
        </w:rPr>
        <w:t>Journal of Counseling Psychology</w:t>
      </w:r>
      <w:r w:rsidRPr="000B0E0B">
        <w:rPr>
          <w:rFonts w:cstheme="minorHAnsi"/>
        </w:rPr>
        <w:t>, 52(4), pp. 527–536. doi: 10.1037/0022-0167.52.4.527.</w:t>
      </w:r>
    </w:p>
    <w:p w14:paraId="3370C21E" w14:textId="2C21742C" w:rsidR="00C31789" w:rsidRPr="00C31789" w:rsidRDefault="00C31789" w:rsidP="0002400F">
      <w:pPr>
        <w:rPr>
          <w:rFonts w:cstheme="minorHAnsi"/>
        </w:rPr>
      </w:pPr>
      <w:r w:rsidRPr="00C31789">
        <w:rPr>
          <w:rFonts w:cstheme="minorHAnsi"/>
          <w:color w:val="333333"/>
          <w:shd w:val="clear" w:color="auto" w:fill="FFFFFF"/>
        </w:rPr>
        <w:t>Vasileiou, K., Barnett, J., Thorpe, S. </w:t>
      </w:r>
      <w:r w:rsidRPr="00C31789">
        <w:rPr>
          <w:rFonts w:cstheme="minorHAnsi"/>
          <w:i/>
          <w:iCs/>
          <w:color w:val="333333"/>
          <w:shd w:val="clear" w:color="auto" w:fill="FFFFFF"/>
        </w:rPr>
        <w:t>et al.</w:t>
      </w:r>
      <w:r w:rsidRPr="00C31789">
        <w:rPr>
          <w:rFonts w:cstheme="minorHAnsi"/>
          <w:color w:val="333333"/>
          <w:shd w:val="clear" w:color="auto" w:fill="FFFFFF"/>
        </w:rPr>
        <w:t> Characterising and justifying sample size sufficiency in interview-based studies: systematic analysis of qualitative health research over a 15-year period. </w:t>
      </w:r>
      <w:r w:rsidRPr="00C31789">
        <w:rPr>
          <w:rFonts w:cstheme="minorHAnsi"/>
          <w:i/>
          <w:iCs/>
          <w:color w:val="333333"/>
          <w:shd w:val="clear" w:color="auto" w:fill="FFFFFF"/>
        </w:rPr>
        <w:t>BMC Med Res Methodol</w:t>
      </w:r>
      <w:r w:rsidRPr="00C31789">
        <w:rPr>
          <w:rFonts w:cstheme="minorHAnsi"/>
          <w:color w:val="333333"/>
          <w:shd w:val="clear" w:color="auto" w:fill="FFFFFF"/>
        </w:rPr>
        <w:t> </w:t>
      </w:r>
      <w:r w:rsidRPr="00C31789">
        <w:rPr>
          <w:rFonts w:cstheme="minorHAnsi"/>
          <w:b/>
          <w:bCs/>
          <w:color w:val="333333"/>
          <w:shd w:val="clear" w:color="auto" w:fill="FFFFFF"/>
        </w:rPr>
        <w:t>18, </w:t>
      </w:r>
      <w:r w:rsidRPr="00C31789">
        <w:rPr>
          <w:rFonts w:cstheme="minorHAnsi"/>
          <w:color w:val="333333"/>
          <w:shd w:val="clear" w:color="auto" w:fill="FFFFFF"/>
        </w:rPr>
        <w:t>148 (2018). https://doi.org/10.1186/s12874-018-0594-7</w:t>
      </w:r>
    </w:p>
    <w:p w14:paraId="2DD8E773" w14:textId="7EDC21F0" w:rsidR="00C63E6B" w:rsidRPr="00C63E6B" w:rsidRDefault="00C63E6B" w:rsidP="0002400F">
      <w:pPr>
        <w:rPr>
          <w:rFonts w:cstheme="minorHAnsi"/>
        </w:rPr>
      </w:pPr>
      <w:r w:rsidRPr="00C63E6B">
        <w:rPr>
          <w:rFonts w:cstheme="minorHAnsi"/>
          <w:color w:val="3A3A3A"/>
          <w:shd w:val="clear" w:color="auto" w:fill="FFFFFF"/>
        </w:rPr>
        <w:t>Winkelman, M</w:t>
      </w:r>
      <w:r>
        <w:rPr>
          <w:rFonts w:cstheme="minorHAnsi"/>
          <w:color w:val="3A3A3A"/>
          <w:shd w:val="clear" w:color="auto" w:fill="FFFFFF"/>
        </w:rPr>
        <w:t>.</w:t>
      </w:r>
      <w:r w:rsidRPr="00C63E6B">
        <w:rPr>
          <w:rFonts w:cstheme="minorHAnsi"/>
          <w:color w:val="3A3A3A"/>
          <w:shd w:val="clear" w:color="auto" w:fill="FFFFFF"/>
        </w:rPr>
        <w:t>, 1994. Cultural shock and adaptation. </w:t>
      </w:r>
      <w:r w:rsidRPr="00C63E6B">
        <w:rPr>
          <w:rFonts w:cstheme="minorHAnsi"/>
          <w:i/>
          <w:iCs/>
          <w:color w:val="3A3A3A"/>
          <w:shd w:val="clear" w:color="auto" w:fill="FFFFFF"/>
        </w:rPr>
        <w:t>Journal of Counseling &amp; Development</w:t>
      </w:r>
      <w:r w:rsidRPr="00C63E6B">
        <w:rPr>
          <w:rFonts w:cstheme="minorHAnsi"/>
          <w:color w:val="3A3A3A"/>
          <w:shd w:val="clear" w:color="auto" w:fill="FFFFFF"/>
        </w:rPr>
        <w:t>, 73, pp.121–127.</w:t>
      </w:r>
    </w:p>
    <w:p w14:paraId="201FAE8A" w14:textId="77777777" w:rsidR="000B0E0B" w:rsidRPr="0002400F" w:rsidRDefault="000B0E0B" w:rsidP="000B0E0B">
      <w:pPr>
        <w:rPr>
          <w:rFonts w:cstheme="minorHAnsi"/>
        </w:rPr>
      </w:pPr>
    </w:p>
    <w:sectPr w:rsidR="000B0E0B" w:rsidRPr="000240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D30ED"/>
    <w:multiLevelType w:val="hybridMultilevel"/>
    <w:tmpl w:val="7B7E0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83107"/>
    <w:multiLevelType w:val="multilevel"/>
    <w:tmpl w:val="3BCA0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507A1C"/>
    <w:multiLevelType w:val="multilevel"/>
    <w:tmpl w:val="B046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551016"/>
    <w:multiLevelType w:val="hybridMultilevel"/>
    <w:tmpl w:val="A84C1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00F"/>
    <w:rsid w:val="0002400F"/>
    <w:rsid w:val="000265D5"/>
    <w:rsid w:val="0003116C"/>
    <w:rsid w:val="0003340D"/>
    <w:rsid w:val="00091E22"/>
    <w:rsid w:val="000B0E0B"/>
    <w:rsid w:val="001E3C72"/>
    <w:rsid w:val="00242F76"/>
    <w:rsid w:val="00282C9E"/>
    <w:rsid w:val="00294573"/>
    <w:rsid w:val="002A0824"/>
    <w:rsid w:val="00337251"/>
    <w:rsid w:val="0037714E"/>
    <w:rsid w:val="0046477B"/>
    <w:rsid w:val="00516954"/>
    <w:rsid w:val="005346FF"/>
    <w:rsid w:val="0058149D"/>
    <w:rsid w:val="00671278"/>
    <w:rsid w:val="006B05D5"/>
    <w:rsid w:val="00704AA8"/>
    <w:rsid w:val="007439EC"/>
    <w:rsid w:val="00853FA6"/>
    <w:rsid w:val="008937E9"/>
    <w:rsid w:val="008C5764"/>
    <w:rsid w:val="008D3925"/>
    <w:rsid w:val="00AD35F6"/>
    <w:rsid w:val="00B50AE3"/>
    <w:rsid w:val="00B76F65"/>
    <w:rsid w:val="00BC50C4"/>
    <w:rsid w:val="00C1678C"/>
    <w:rsid w:val="00C31789"/>
    <w:rsid w:val="00C63E6B"/>
    <w:rsid w:val="00D06C0D"/>
    <w:rsid w:val="00D718B0"/>
    <w:rsid w:val="00DF5306"/>
    <w:rsid w:val="00E32702"/>
    <w:rsid w:val="00E72F80"/>
    <w:rsid w:val="00EE2C4C"/>
    <w:rsid w:val="00F00D9D"/>
    <w:rsid w:val="00FF6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5711"/>
  <w15:chartTrackingRefBased/>
  <w15:docId w15:val="{81A98929-48C3-40EF-B316-ABBB94FC1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400F"/>
    <w:rPr>
      <w:color w:val="0000FF"/>
      <w:u w:val="single"/>
    </w:rPr>
  </w:style>
  <w:style w:type="paragraph" w:customStyle="1" w:styleId="divider">
    <w:name w:val="divider"/>
    <w:basedOn w:val="Normal"/>
    <w:rsid w:val="00024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string-name">
    <w:name w:val="nlm_string-name"/>
    <w:basedOn w:val="DefaultParagraphFont"/>
    <w:rsid w:val="0002400F"/>
  </w:style>
  <w:style w:type="character" w:styleId="UnresolvedMention">
    <w:name w:val="Unresolved Mention"/>
    <w:basedOn w:val="DefaultParagraphFont"/>
    <w:uiPriority w:val="99"/>
    <w:semiHidden/>
    <w:unhideWhenUsed/>
    <w:rsid w:val="0002400F"/>
    <w:rPr>
      <w:color w:val="605E5C"/>
      <w:shd w:val="clear" w:color="auto" w:fill="E1DFDD"/>
    </w:rPr>
  </w:style>
  <w:style w:type="paragraph" w:styleId="ListParagraph">
    <w:name w:val="List Paragraph"/>
    <w:basedOn w:val="Normal"/>
    <w:uiPriority w:val="34"/>
    <w:qFormat/>
    <w:rsid w:val="00C31789"/>
    <w:pPr>
      <w:ind w:left="720"/>
      <w:contextualSpacing/>
    </w:pPr>
  </w:style>
  <w:style w:type="character" w:customStyle="1" w:styleId="highwire-citation-authors">
    <w:name w:val="highwire-citation-authors"/>
    <w:basedOn w:val="DefaultParagraphFont"/>
    <w:rsid w:val="00C31789"/>
  </w:style>
  <w:style w:type="character" w:customStyle="1" w:styleId="highwire-citation-author">
    <w:name w:val="highwire-citation-author"/>
    <w:basedOn w:val="DefaultParagraphFont"/>
    <w:rsid w:val="00C31789"/>
  </w:style>
  <w:style w:type="character" w:customStyle="1" w:styleId="nlm-surname">
    <w:name w:val="nlm-surname"/>
    <w:basedOn w:val="DefaultParagraphFont"/>
    <w:rsid w:val="00C31789"/>
  </w:style>
  <w:style w:type="character" w:customStyle="1" w:styleId="citation-et">
    <w:name w:val="citation-et"/>
    <w:basedOn w:val="DefaultParagraphFont"/>
    <w:rsid w:val="00C31789"/>
  </w:style>
  <w:style w:type="character" w:customStyle="1" w:styleId="highwire-cite-metadata-journal">
    <w:name w:val="highwire-cite-metadata-journal"/>
    <w:basedOn w:val="DefaultParagraphFont"/>
    <w:rsid w:val="00C31789"/>
  </w:style>
  <w:style w:type="character" w:customStyle="1" w:styleId="highwire-cite-metadata-year">
    <w:name w:val="highwire-cite-metadata-year"/>
    <w:basedOn w:val="DefaultParagraphFont"/>
    <w:rsid w:val="00C31789"/>
  </w:style>
  <w:style w:type="character" w:customStyle="1" w:styleId="highwire-cite-metadata-volume">
    <w:name w:val="highwire-cite-metadata-volume"/>
    <w:basedOn w:val="DefaultParagraphFont"/>
    <w:rsid w:val="00C31789"/>
  </w:style>
  <w:style w:type="character" w:customStyle="1" w:styleId="highwire-cite-metadata-pages">
    <w:name w:val="highwire-cite-metadata-pages"/>
    <w:basedOn w:val="DefaultParagraphFont"/>
    <w:rsid w:val="00C31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591179">
      <w:bodyDiv w:val="1"/>
      <w:marLeft w:val="0"/>
      <w:marRight w:val="0"/>
      <w:marTop w:val="0"/>
      <w:marBottom w:val="0"/>
      <w:divBdr>
        <w:top w:val="none" w:sz="0" w:space="0" w:color="auto"/>
        <w:left w:val="none" w:sz="0" w:space="0" w:color="auto"/>
        <w:bottom w:val="none" w:sz="0" w:space="0" w:color="auto"/>
        <w:right w:val="none" w:sz="0" w:space="0" w:color="auto"/>
      </w:divBdr>
      <w:divsChild>
        <w:div w:id="834609935">
          <w:marLeft w:val="0"/>
          <w:marRight w:val="0"/>
          <w:marTop w:val="0"/>
          <w:marBottom w:val="0"/>
          <w:divBdr>
            <w:top w:val="none" w:sz="0" w:space="0" w:color="auto"/>
            <w:left w:val="none" w:sz="0" w:space="0" w:color="auto"/>
            <w:bottom w:val="none" w:sz="0" w:space="0" w:color="auto"/>
            <w:right w:val="none" w:sz="0" w:space="0" w:color="auto"/>
          </w:divBdr>
        </w:div>
        <w:div w:id="379402206">
          <w:marLeft w:val="0"/>
          <w:marRight w:val="0"/>
          <w:marTop w:val="0"/>
          <w:marBottom w:val="0"/>
          <w:divBdr>
            <w:top w:val="none" w:sz="0" w:space="0" w:color="auto"/>
            <w:left w:val="none" w:sz="0" w:space="0" w:color="auto"/>
            <w:bottom w:val="none" w:sz="0" w:space="0" w:color="auto"/>
            <w:right w:val="none" w:sz="0" w:space="0" w:color="auto"/>
          </w:divBdr>
        </w:div>
        <w:div w:id="1257861726">
          <w:marLeft w:val="0"/>
          <w:marRight w:val="0"/>
          <w:marTop w:val="0"/>
          <w:marBottom w:val="0"/>
          <w:divBdr>
            <w:top w:val="none" w:sz="0" w:space="0" w:color="auto"/>
            <w:left w:val="none" w:sz="0" w:space="0" w:color="auto"/>
            <w:bottom w:val="none" w:sz="0" w:space="0" w:color="auto"/>
            <w:right w:val="none" w:sz="0" w:space="0" w:color="auto"/>
          </w:divBdr>
        </w:div>
      </w:divsChild>
    </w:div>
    <w:div w:id="997876893">
      <w:bodyDiv w:val="1"/>
      <w:marLeft w:val="0"/>
      <w:marRight w:val="0"/>
      <w:marTop w:val="0"/>
      <w:marBottom w:val="0"/>
      <w:divBdr>
        <w:top w:val="none" w:sz="0" w:space="0" w:color="auto"/>
        <w:left w:val="none" w:sz="0" w:space="0" w:color="auto"/>
        <w:bottom w:val="none" w:sz="0" w:space="0" w:color="auto"/>
        <w:right w:val="none" w:sz="0" w:space="0" w:color="auto"/>
      </w:divBdr>
      <w:divsChild>
        <w:div w:id="259216708">
          <w:marLeft w:val="0"/>
          <w:marRight w:val="120"/>
          <w:marTop w:val="0"/>
          <w:marBottom w:val="0"/>
          <w:divBdr>
            <w:top w:val="none" w:sz="0" w:space="0" w:color="auto"/>
            <w:left w:val="none" w:sz="0" w:space="0" w:color="auto"/>
            <w:bottom w:val="none" w:sz="0" w:space="0" w:color="auto"/>
            <w:right w:val="none" w:sz="0" w:space="0" w:color="auto"/>
          </w:divBdr>
          <w:divsChild>
            <w:div w:id="885410152">
              <w:marLeft w:val="0"/>
              <w:marRight w:val="0"/>
              <w:marTop w:val="0"/>
              <w:marBottom w:val="240"/>
              <w:divBdr>
                <w:top w:val="none" w:sz="0" w:space="0" w:color="auto"/>
                <w:left w:val="none" w:sz="0" w:space="0" w:color="auto"/>
                <w:bottom w:val="none" w:sz="0" w:space="0" w:color="auto"/>
                <w:right w:val="none" w:sz="0" w:space="0" w:color="auto"/>
              </w:divBdr>
            </w:div>
          </w:divsChild>
        </w:div>
        <w:div w:id="798063968">
          <w:marLeft w:val="0"/>
          <w:marRight w:val="0"/>
          <w:marTop w:val="0"/>
          <w:marBottom w:val="240"/>
          <w:divBdr>
            <w:top w:val="none" w:sz="0" w:space="0" w:color="auto"/>
            <w:left w:val="none" w:sz="0" w:space="0" w:color="auto"/>
            <w:bottom w:val="none" w:sz="0" w:space="0" w:color="auto"/>
            <w:right w:val="none" w:sz="0" w:space="0" w:color="auto"/>
          </w:divBdr>
          <w:divsChild>
            <w:div w:id="378749771">
              <w:marLeft w:val="0"/>
              <w:marRight w:val="0"/>
              <w:marTop w:val="0"/>
              <w:marBottom w:val="0"/>
              <w:divBdr>
                <w:top w:val="none" w:sz="0" w:space="0" w:color="auto"/>
                <w:left w:val="none" w:sz="0" w:space="0" w:color="auto"/>
                <w:bottom w:val="none" w:sz="0" w:space="0" w:color="auto"/>
                <w:right w:val="none" w:sz="0" w:space="0" w:color="auto"/>
              </w:divBdr>
            </w:div>
          </w:divsChild>
        </w:div>
        <w:div w:id="120000151">
          <w:marLeft w:val="0"/>
          <w:marRight w:val="0"/>
          <w:marTop w:val="0"/>
          <w:marBottom w:val="240"/>
          <w:divBdr>
            <w:top w:val="none" w:sz="0" w:space="0" w:color="auto"/>
            <w:left w:val="none" w:sz="0" w:space="0" w:color="auto"/>
            <w:bottom w:val="none" w:sz="0" w:space="0" w:color="auto"/>
            <w:right w:val="none" w:sz="0" w:space="0" w:color="auto"/>
          </w:divBdr>
        </w:div>
      </w:divsChild>
    </w:div>
    <w:div w:id="1052390704">
      <w:bodyDiv w:val="1"/>
      <w:marLeft w:val="0"/>
      <w:marRight w:val="0"/>
      <w:marTop w:val="0"/>
      <w:marBottom w:val="0"/>
      <w:divBdr>
        <w:top w:val="none" w:sz="0" w:space="0" w:color="auto"/>
        <w:left w:val="none" w:sz="0" w:space="0" w:color="auto"/>
        <w:bottom w:val="none" w:sz="0" w:space="0" w:color="auto"/>
        <w:right w:val="none" w:sz="0" w:space="0" w:color="auto"/>
      </w:divBdr>
      <w:divsChild>
        <w:div w:id="175272756">
          <w:marLeft w:val="0"/>
          <w:marRight w:val="0"/>
          <w:marTop w:val="0"/>
          <w:marBottom w:val="240"/>
          <w:divBdr>
            <w:top w:val="none" w:sz="0" w:space="0" w:color="auto"/>
            <w:left w:val="none" w:sz="0" w:space="0" w:color="auto"/>
            <w:bottom w:val="none" w:sz="0" w:space="0" w:color="auto"/>
            <w:right w:val="none" w:sz="0" w:space="0" w:color="auto"/>
          </w:divBdr>
        </w:div>
        <w:div w:id="1045759185">
          <w:marLeft w:val="0"/>
          <w:marRight w:val="0"/>
          <w:marTop w:val="0"/>
          <w:marBottom w:val="240"/>
          <w:divBdr>
            <w:top w:val="none" w:sz="0" w:space="0" w:color="auto"/>
            <w:left w:val="none" w:sz="0" w:space="0" w:color="auto"/>
            <w:bottom w:val="none" w:sz="0" w:space="0" w:color="auto"/>
            <w:right w:val="none" w:sz="0" w:space="0" w:color="auto"/>
          </w:divBdr>
        </w:div>
      </w:divsChild>
    </w:div>
    <w:div w:id="165086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730/humo.24.2.p9w0143274x4512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brq.2015.07.00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7730/humo.50.3.22555451v6206444" TargetMode="External"/><Relationship Id="rId11" Type="http://schemas.openxmlformats.org/officeDocument/2006/relationships/hyperlink" Target="http://www.ac.wwu.edu/~culture/index-cc.htm" TargetMode="External"/><Relationship Id="rId5" Type="http://schemas.openxmlformats.org/officeDocument/2006/relationships/image" Target="media/image1.png"/><Relationship Id="rId10" Type="http://schemas.openxmlformats.org/officeDocument/2006/relationships/hyperlink" Target="https://resources.library.leeds.ac.uk/final-chapter/dissertations/lcs-tpg/example2.pdf" TargetMode="External"/><Relationship Id="rId4" Type="http://schemas.openxmlformats.org/officeDocument/2006/relationships/webSettings" Target="webSettings.xml"/><Relationship Id="rId9" Type="http://schemas.openxmlformats.org/officeDocument/2006/relationships/hyperlink" Target="http://www.jstor.org/stable/36942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16425</TotalTime>
  <Pages>7</Pages>
  <Words>2834</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Carter</dc:creator>
  <cp:keywords/>
  <dc:description/>
  <cp:lastModifiedBy>Hazel Carter</cp:lastModifiedBy>
  <cp:revision>21</cp:revision>
  <dcterms:created xsi:type="dcterms:W3CDTF">2020-02-20T10:00:00Z</dcterms:created>
  <dcterms:modified xsi:type="dcterms:W3CDTF">2020-03-02T20:14:00Z</dcterms:modified>
</cp:coreProperties>
</file>