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15316B" w14:textId="77777777" w:rsidR="00493693" w:rsidRDefault="00493693" w:rsidP="004D02A0">
      <w:pPr>
        <w:rPr>
          <w:rFonts w:ascii="Comic Sans MS" w:hAnsi="Comic Sans MS" w:cs="Arial"/>
          <w:b/>
          <w:bCs/>
          <w:sz w:val="28"/>
          <w:szCs w:val="28"/>
          <w:u w:val="single"/>
        </w:rPr>
      </w:pPr>
      <w:bookmarkStart w:id="0" w:name="_Hlk33179691"/>
      <w:bookmarkEnd w:id="0"/>
    </w:p>
    <w:p w14:paraId="5147A7AF" w14:textId="25E7DC86" w:rsidR="00493693" w:rsidRDefault="00BD7DB9" w:rsidP="00493693">
      <w:pPr>
        <w:rPr>
          <w:rFonts w:ascii="Comic Sans MS" w:hAnsi="Comic Sans MS" w:cs="Arial"/>
          <w:b/>
          <w:bCs/>
          <w:sz w:val="28"/>
          <w:szCs w:val="28"/>
          <w:u w:val="single"/>
        </w:rPr>
      </w:pPr>
      <w:r>
        <w:rPr>
          <w:rFonts w:ascii="Comic Sans MS" w:hAnsi="Comic Sans MS" w:cs="Comic Sans MS"/>
          <w:b/>
          <w:bCs/>
          <w:sz w:val="28"/>
          <w:szCs w:val="28"/>
          <w:u w:val="single"/>
        </w:rPr>
        <w:t>Prosiect Ymchwil: ECAD6010-7004-C Ymchwilio i'r Dysgu: beth, sut a pham ydw i'n addysgu?</w:t>
      </w:r>
    </w:p>
    <w:p w14:paraId="4F5EAD05" w14:textId="4F39D3E5" w:rsidR="00493693" w:rsidRDefault="00493693" w:rsidP="004D02A0">
      <w:pPr>
        <w:rPr>
          <w:rFonts w:ascii="Comic Sans MS" w:hAnsi="Comic Sans MS" w:cs="Arial"/>
          <w:b/>
          <w:bCs/>
          <w:sz w:val="28"/>
          <w:szCs w:val="28"/>
          <w:u w:val="single"/>
        </w:rPr>
      </w:pPr>
    </w:p>
    <w:p w14:paraId="3C3D7B54" w14:textId="50FB9225" w:rsidR="00493693" w:rsidRDefault="00493693" w:rsidP="004D02A0">
      <w:pPr>
        <w:rPr>
          <w:rFonts w:ascii="Comic Sans MS" w:hAnsi="Comic Sans MS" w:cs="Arial"/>
          <w:b/>
          <w:bCs/>
          <w:sz w:val="28"/>
          <w:szCs w:val="28"/>
          <w:u w:val="single"/>
        </w:rPr>
      </w:pPr>
      <w:r>
        <w:rPr>
          <w:rFonts w:ascii="Comic Sans MS" w:hAnsi="Comic Sans MS" w:cs="Arial"/>
          <w:b/>
          <w:bCs/>
          <w:sz w:val="28"/>
          <w:szCs w:val="28"/>
          <w:u w:val="single"/>
        </w:rPr>
        <w:t>Teitl: Beth yw effaith y strategaeth ‘Bodiau i fyny’ a dulliau eraill o AGD er mwyn asesu dealltwriaeth disgyblion yn y C</w:t>
      </w:r>
      <w:r w:rsidR="00BF07A4">
        <w:rPr>
          <w:rFonts w:ascii="Comic Sans MS" w:hAnsi="Comic Sans MS" w:cs="Arial"/>
          <w:b/>
          <w:bCs/>
          <w:sz w:val="28"/>
          <w:szCs w:val="28"/>
          <w:u w:val="single"/>
        </w:rPr>
        <w:t>yf</w:t>
      </w:r>
      <w:r>
        <w:rPr>
          <w:rFonts w:ascii="Comic Sans MS" w:hAnsi="Comic Sans MS" w:cs="Arial"/>
          <w:b/>
          <w:bCs/>
          <w:sz w:val="28"/>
          <w:szCs w:val="28"/>
          <w:u w:val="single"/>
        </w:rPr>
        <w:t>nod Sylfaen a Chyfnod Allweddol 2?</w:t>
      </w:r>
    </w:p>
    <w:p w14:paraId="2BF35B6D" w14:textId="30232A50" w:rsidR="00493693" w:rsidRDefault="00493693" w:rsidP="004D02A0">
      <w:pPr>
        <w:rPr>
          <w:rFonts w:ascii="Comic Sans MS" w:hAnsi="Comic Sans MS" w:cs="Arial"/>
          <w:b/>
          <w:bCs/>
          <w:sz w:val="28"/>
          <w:szCs w:val="28"/>
          <w:u w:val="single"/>
        </w:rPr>
      </w:pPr>
      <w:r w:rsidRPr="00493693">
        <w:rPr>
          <w:noProof/>
        </w:rPr>
        <w:drawing>
          <wp:anchor distT="0" distB="0" distL="114300" distR="114300" simplePos="0" relativeHeight="251676672" behindDoc="1" locked="0" layoutInCell="1" allowOverlap="1" wp14:anchorId="2346A2DA" wp14:editId="1BA123E9">
            <wp:simplePos x="0" y="0"/>
            <wp:positionH relativeFrom="column">
              <wp:posOffset>2451370</wp:posOffset>
            </wp:positionH>
            <wp:positionV relativeFrom="paragraph">
              <wp:posOffset>223818</wp:posOffset>
            </wp:positionV>
            <wp:extent cx="4416357" cy="2684911"/>
            <wp:effectExtent l="0" t="0" r="3810" b="1270"/>
            <wp:wrapTight wrapText="bothSides">
              <wp:wrapPolygon edited="0">
                <wp:start x="0" y="0"/>
                <wp:lineTo x="0" y="21457"/>
                <wp:lineTo x="21525" y="21457"/>
                <wp:lineTo x="2152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416357" cy="2684911"/>
                    </a:xfrm>
                    <a:prstGeom prst="rect">
                      <a:avLst/>
                    </a:prstGeom>
                  </pic:spPr>
                </pic:pic>
              </a:graphicData>
            </a:graphic>
          </wp:anchor>
        </w:drawing>
      </w:r>
    </w:p>
    <w:p w14:paraId="58DC786A" w14:textId="0DA9DAC2" w:rsidR="00493693" w:rsidRDefault="00493693" w:rsidP="004D02A0">
      <w:pPr>
        <w:rPr>
          <w:rFonts w:ascii="Comic Sans MS" w:hAnsi="Comic Sans MS" w:cs="Arial"/>
          <w:b/>
          <w:bCs/>
          <w:sz w:val="28"/>
          <w:szCs w:val="28"/>
          <w:u w:val="single"/>
        </w:rPr>
      </w:pPr>
    </w:p>
    <w:p w14:paraId="49F6AE13" w14:textId="2EC3FF3A" w:rsidR="00493693" w:rsidRDefault="00493693" w:rsidP="004D02A0">
      <w:pPr>
        <w:rPr>
          <w:rFonts w:ascii="Comic Sans MS" w:hAnsi="Comic Sans MS" w:cs="Arial"/>
          <w:b/>
          <w:bCs/>
          <w:sz w:val="28"/>
          <w:szCs w:val="28"/>
          <w:u w:val="single"/>
        </w:rPr>
      </w:pPr>
    </w:p>
    <w:p w14:paraId="45BE6618" w14:textId="77777777" w:rsidR="00493693" w:rsidRDefault="00493693" w:rsidP="004D02A0">
      <w:pPr>
        <w:rPr>
          <w:rFonts w:ascii="Comic Sans MS" w:hAnsi="Comic Sans MS" w:cs="Arial"/>
          <w:b/>
          <w:bCs/>
          <w:sz w:val="28"/>
          <w:szCs w:val="28"/>
          <w:u w:val="single"/>
        </w:rPr>
      </w:pPr>
    </w:p>
    <w:p w14:paraId="4F6938E5" w14:textId="77777777" w:rsidR="00493693" w:rsidRDefault="00493693" w:rsidP="004D02A0">
      <w:pPr>
        <w:rPr>
          <w:rFonts w:ascii="Comic Sans MS" w:hAnsi="Comic Sans MS" w:cs="Arial"/>
          <w:b/>
          <w:bCs/>
          <w:sz w:val="28"/>
          <w:szCs w:val="28"/>
          <w:u w:val="single"/>
        </w:rPr>
      </w:pPr>
    </w:p>
    <w:p w14:paraId="4DD7C0F0" w14:textId="77777777" w:rsidR="00493693" w:rsidRDefault="00493693" w:rsidP="004D02A0">
      <w:pPr>
        <w:rPr>
          <w:rFonts w:ascii="Comic Sans MS" w:hAnsi="Comic Sans MS" w:cs="Arial"/>
          <w:b/>
          <w:bCs/>
          <w:sz w:val="28"/>
          <w:szCs w:val="28"/>
          <w:u w:val="single"/>
        </w:rPr>
      </w:pPr>
    </w:p>
    <w:p w14:paraId="61269486" w14:textId="77777777" w:rsidR="00493693" w:rsidRDefault="00493693" w:rsidP="004D02A0">
      <w:pPr>
        <w:rPr>
          <w:rFonts w:ascii="Comic Sans MS" w:hAnsi="Comic Sans MS" w:cs="Arial"/>
          <w:b/>
          <w:bCs/>
          <w:sz w:val="28"/>
          <w:szCs w:val="28"/>
          <w:u w:val="single"/>
        </w:rPr>
      </w:pPr>
    </w:p>
    <w:p w14:paraId="0C20FA24" w14:textId="77777777" w:rsidR="00493693" w:rsidRDefault="00493693" w:rsidP="004D02A0">
      <w:pPr>
        <w:rPr>
          <w:rFonts w:ascii="Comic Sans MS" w:hAnsi="Comic Sans MS" w:cs="Arial"/>
          <w:b/>
          <w:bCs/>
          <w:sz w:val="28"/>
          <w:szCs w:val="28"/>
          <w:u w:val="single"/>
        </w:rPr>
      </w:pPr>
    </w:p>
    <w:p w14:paraId="061F8B3A" w14:textId="1DABF0AC" w:rsidR="00493693" w:rsidRDefault="00493693" w:rsidP="004D02A0">
      <w:pPr>
        <w:rPr>
          <w:rFonts w:ascii="Comic Sans MS" w:hAnsi="Comic Sans MS" w:cs="Arial"/>
          <w:b/>
          <w:bCs/>
          <w:sz w:val="28"/>
          <w:szCs w:val="28"/>
          <w:u w:val="single"/>
        </w:rPr>
      </w:pPr>
    </w:p>
    <w:p w14:paraId="6A399984" w14:textId="683CC276" w:rsidR="00493693" w:rsidRDefault="00A20A8F" w:rsidP="004D02A0">
      <w:pPr>
        <w:rPr>
          <w:rFonts w:ascii="Comic Sans MS" w:hAnsi="Comic Sans MS" w:cs="Arial"/>
          <w:b/>
          <w:bCs/>
          <w:sz w:val="28"/>
          <w:szCs w:val="28"/>
          <w:u w:val="single"/>
        </w:rPr>
      </w:pPr>
      <w:r>
        <w:rPr>
          <w:noProof/>
        </w:rPr>
        <w:drawing>
          <wp:anchor distT="0" distB="0" distL="114300" distR="114300" simplePos="0" relativeHeight="251675648" behindDoc="1" locked="0" layoutInCell="1" allowOverlap="1" wp14:anchorId="71FF353F" wp14:editId="18987616">
            <wp:simplePos x="0" y="0"/>
            <wp:positionH relativeFrom="column">
              <wp:posOffset>1838419</wp:posOffset>
            </wp:positionH>
            <wp:positionV relativeFrom="paragraph">
              <wp:posOffset>43680</wp:posOffset>
            </wp:positionV>
            <wp:extent cx="5816600" cy="1371600"/>
            <wp:effectExtent l="0" t="0" r="0" b="0"/>
            <wp:wrapTight wrapText="bothSides">
              <wp:wrapPolygon edited="0">
                <wp:start x="0" y="0"/>
                <wp:lineTo x="0" y="21300"/>
                <wp:lineTo x="21506" y="21300"/>
                <wp:lineTo x="21506" y="0"/>
                <wp:lineTo x="0" y="0"/>
              </wp:wrapPolygon>
            </wp:wrapTight>
            <wp:docPr id="4" name="Picture 4" descr="Image result for yr athro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yr athrof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6600" cy="1371600"/>
                    </a:xfrm>
                    <a:prstGeom prst="rect">
                      <a:avLst/>
                    </a:prstGeom>
                    <a:noFill/>
                    <a:ln>
                      <a:noFill/>
                    </a:ln>
                  </pic:spPr>
                </pic:pic>
              </a:graphicData>
            </a:graphic>
            <wp14:sizeRelH relativeFrom="margin">
              <wp14:pctWidth>0</wp14:pctWidth>
            </wp14:sizeRelH>
          </wp:anchor>
        </w:drawing>
      </w:r>
    </w:p>
    <w:p w14:paraId="3FECD17F" w14:textId="77777777" w:rsidR="00A20A8F" w:rsidRDefault="00A20A8F" w:rsidP="004D02A0">
      <w:pPr>
        <w:rPr>
          <w:rFonts w:ascii="Comic Sans MS" w:hAnsi="Comic Sans MS" w:cs="Arial"/>
          <w:b/>
          <w:bCs/>
          <w:sz w:val="28"/>
          <w:szCs w:val="28"/>
          <w:u w:val="single"/>
        </w:rPr>
      </w:pPr>
    </w:p>
    <w:p w14:paraId="27A39BE8" w14:textId="77777777" w:rsidR="00A20A8F" w:rsidRDefault="00A20A8F" w:rsidP="004D02A0">
      <w:pPr>
        <w:rPr>
          <w:rFonts w:ascii="Comic Sans MS" w:hAnsi="Comic Sans MS" w:cs="Arial"/>
          <w:b/>
          <w:bCs/>
          <w:sz w:val="28"/>
          <w:szCs w:val="28"/>
          <w:u w:val="single"/>
        </w:rPr>
      </w:pPr>
    </w:p>
    <w:p w14:paraId="19CF9A48" w14:textId="77777777" w:rsidR="00A20A8F" w:rsidRDefault="00A20A8F" w:rsidP="004D02A0">
      <w:pPr>
        <w:rPr>
          <w:rFonts w:ascii="Comic Sans MS" w:hAnsi="Comic Sans MS" w:cs="Arial"/>
          <w:b/>
          <w:bCs/>
          <w:sz w:val="28"/>
          <w:szCs w:val="28"/>
          <w:u w:val="single"/>
        </w:rPr>
      </w:pPr>
    </w:p>
    <w:p w14:paraId="53AB4F11" w14:textId="1A3980E3" w:rsidR="00B327E8" w:rsidRPr="00B327E8" w:rsidRDefault="00B327E8" w:rsidP="00B327E8">
      <w:pPr>
        <w:rPr>
          <w:rFonts w:ascii="Arial" w:hAnsi="Arial" w:cs="Arial"/>
          <w:sz w:val="28"/>
          <w:szCs w:val="28"/>
        </w:rPr>
      </w:pPr>
    </w:p>
    <w:p w14:paraId="5494E083" w14:textId="00B357E1" w:rsidR="00B327E8" w:rsidRPr="00B327E8" w:rsidRDefault="00B327E8" w:rsidP="00B327E8">
      <w:pPr>
        <w:rPr>
          <w:rFonts w:ascii="Arial" w:hAnsi="Arial" w:cs="Arial"/>
          <w:sz w:val="28"/>
          <w:szCs w:val="28"/>
        </w:rPr>
      </w:pPr>
    </w:p>
    <w:p w14:paraId="3C3BC7F1" w14:textId="2B1239D1" w:rsidR="00B327E8" w:rsidRPr="00B327E8" w:rsidRDefault="004A7350" w:rsidP="00B327E8">
      <w:pPr>
        <w:rPr>
          <w:rFonts w:ascii="Arial" w:hAnsi="Arial" w:cs="Arial"/>
          <w:sz w:val="28"/>
          <w:szCs w:val="28"/>
        </w:rPr>
      </w:pPr>
      <w:r>
        <w:rPr>
          <w:noProof/>
        </w:rPr>
        <w:drawing>
          <wp:anchor distT="0" distB="0" distL="114300" distR="114300" simplePos="0" relativeHeight="251695104" behindDoc="1" locked="0" layoutInCell="1" allowOverlap="1" wp14:anchorId="0B790696" wp14:editId="2E890782">
            <wp:simplePos x="0" y="0"/>
            <wp:positionH relativeFrom="column">
              <wp:posOffset>-87549</wp:posOffset>
            </wp:positionH>
            <wp:positionV relativeFrom="paragraph">
              <wp:posOffset>252325</wp:posOffset>
            </wp:positionV>
            <wp:extent cx="10016477" cy="4523362"/>
            <wp:effectExtent l="0" t="0" r="4445" b="0"/>
            <wp:wrapTight wrapText="bothSides">
              <wp:wrapPolygon edited="0">
                <wp:start x="0" y="0"/>
                <wp:lineTo x="0" y="21470"/>
                <wp:lineTo x="21569" y="21470"/>
                <wp:lineTo x="21569"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3633" t="32019" r="11736" b="24121"/>
                    <a:stretch/>
                  </pic:blipFill>
                  <pic:spPr bwMode="auto">
                    <a:xfrm>
                      <a:off x="0" y="0"/>
                      <a:ext cx="10016477" cy="4523362"/>
                    </a:xfrm>
                    <a:prstGeom prst="rect">
                      <a:avLst/>
                    </a:prstGeom>
                    <a:ln>
                      <a:noFill/>
                    </a:ln>
                    <a:extLst>
                      <a:ext uri="{53640926-AAD7-44D8-BBD7-CCE9431645EC}">
                        <a14:shadowObscured xmlns:a14="http://schemas.microsoft.com/office/drawing/2010/main"/>
                      </a:ext>
                    </a:extLst>
                  </pic:spPr>
                </pic:pic>
              </a:graphicData>
            </a:graphic>
          </wp:anchor>
        </w:drawing>
      </w:r>
    </w:p>
    <w:p w14:paraId="12E9BC10" w14:textId="77777777" w:rsidR="004D02A0" w:rsidRDefault="004D02A0" w:rsidP="00B327E8">
      <w:pPr>
        <w:rPr>
          <w:rFonts w:ascii="Arial" w:hAnsi="Arial" w:cs="Arial"/>
          <w:sz w:val="28"/>
          <w:szCs w:val="28"/>
        </w:rPr>
        <w:sectPr w:rsidR="004D02A0" w:rsidSect="004D02A0">
          <w:headerReference w:type="default" r:id="rId12"/>
          <w:pgSz w:w="16838" w:h="11906" w:orient="landscape"/>
          <w:pgMar w:top="720" w:right="720" w:bottom="720" w:left="720" w:header="709" w:footer="709" w:gutter="0"/>
          <w:cols w:space="708"/>
          <w:docGrid w:linePitch="360"/>
        </w:sectPr>
      </w:pPr>
    </w:p>
    <w:p w14:paraId="12362343" w14:textId="6F885600" w:rsidR="00B327E8" w:rsidRPr="004D02A0" w:rsidRDefault="00B327E8" w:rsidP="004D02A0">
      <w:pPr>
        <w:tabs>
          <w:tab w:val="left" w:pos="1188"/>
        </w:tabs>
        <w:rPr>
          <w:rFonts w:ascii="Arial" w:hAnsi="Arial" w:cs="Arial"/>
          <w:sz w:val="28"/>
          <w:szCs w:val="28"/>
        </w:rPr>
      </w:pPr>
      <w:r w:rsidRPr="00DE4AF7">
        <w:rPr>
          <w:rFonts w:ascii="Arial" w:hAnsi="Arial" w:cs="Arial"/>
          <w:b/>
          <w:bCs/>
          <w:sz w:val="28"/>
          <w:szCs w:val="28"/>
        </w:rPr>
        <w:lastRenderedPageBreak/>
        <w:t>Nod ac Amcanion</w:t>
      </w:r>
    </w:p>
    <w:p w14:paraId="3881F402" w14:textId="0EA90C3F" w:rsidR="00B327E8" w:rsidRDefault="00BD7DB9" w:rsidP="00EC565D">
      <w:pPr>
        <w:tabs>
          <w:tab w:val="left" w:pos="1188"/>
        </w:tabs>
        <w:spacing w:line="360" w:lineRule="auto"/>
        <w:rPr>
          <w:rFonts w:ascii="Arial" w:hAnsi="Arial" w:cs="Arial"/>
        </w:rPr>
      </w:pPr>
      <w:r>
        <w:rPr>
          <w:rFonts w:ascii="Arial" w:hAnsi="Arial" w:cs="Arial"/>
        </w:rPr>
        <w:t>Yn ystod fy mhrofiad addysgu proffesiynol cyntaf (PAP) cefais brofiad amrywiol y tu fewn i ddosbarth Cyfnod Sylfaen (CS) a dosbarth Cyfnod Allweddol 2 (CA2). Dyma oedd dosbarth Blwyddyn 2 (Gallu Uwch) a dosbarth Blwyddyn 6 (Gallu Uwch).  Yn ystod y lleoliad, a thrwy brofiadau yn y gorffennol o weithio mewn ysgolion fel cynorthwyydd, daeth y defnydd o ‘Bodiau i fyny’ fel dull Asesu ar Gyfer Dysgu (AGD) i'm sylw. Mabwysiadais y dull sawl gwaith yn ystod y lleoliad cyntaf. Nid yn unig ar gyfer asesu dealltwriaeth yn unionyrchol, yn ogystal â hyn, sefydlais y dull fel elfen reolaidd i fy sesiynau cloi. Wrth fwrw golwg nol, roeddwn i'n defnyddio'r dull yma o AGD yn bennaf ym mlwyddyn 6, fodd bynnag, fe wnes i hefyd ei ddefnyddio sawl gwaith ym mlwyddyn 2. Wrth glywed ein bod ni’n cynnal prosiect ymchwil, fy meddyliau cychwynnol oedd ymchwilio i effaith y dull yma o AGD i atgyfnerthu ar ddysgu'r disgyblion. Felly, roedd fy mhartner ymchwil a minnau am ymchwilio i ddarganfod a fyddai'r dull yn eu helpu i ddod yn ddysgwyr mwy annibynnol.</w:t>
      </w:r>
    </w:p>
    <w:p w14:paraId="37690D11" w14:textId="506E4A40" w:rsidR="00DE4AF7" w:rsidRPr="00DE4AF7" w:rsidRDefault="00DE4AF7" w:rsidP="00EC565D">
      <w:pPr>
        <w:tabs>
          <w:tab w:val="left" w:pos="1188"/>
        </w:tabs>
        <w:spacing w:line="360" w:lineRule="auto"/>
        <w:rPr>
          <w:rFonts w:ascii="Arial" w:hAnsi="Arial" w:cs="Arial"/>
          <w:b/>
          <w:bCs/>
          <w:sz w:val="28"/>
          <w:szCs w:val="28"/>
        </w:rPr>
      </w:pPr>
      <w:r>
        <w:rPr>
          <w:rFonts w:ascii="Arial" w:hAnsi="Arial" w:cs="Arial"/>
          <w:b/>
          <w:bCs/>
          <w:sz w:val="28"/>
          <w:szCs w:val="28"/>
        </w:rPr>
        <w:t>Cyd-destun yr Ymchwil</w:t>
      </w:r>
    </w:p>
    <w:p w14:paraId="6C19DE10" w14:textId="6248716D" w:rsidR="00DE4AF7" w:rsidRDefault="00BD7DB9" w:rsidP="00EC565D">
      <w:pPr>
        <w:tabs>
          <w:tab w:val="left" w:pos="1188"/>
        </w:tabs>
        <w:spacing w:line="360" w:lineRule="auto"/>
        <w:rPr>
          <w:rFonts w:ascii="Arial" w:hAnsi="Arial" w:cs="Arial"/>
        </w:rPr>
      </w:pPr>
      <w:r>
        <w:rPr>
          <w:rFonts w:ascii="Arial" w:hAnsi="Arial" w:cs="Arial"/>
        </w:rPr>
        <w:t xml:space="preserve">Tu fewn i’r ddau ddosbarth ar gyfer lleoliadau PAP1 a thrwy gydol fy mhrofiad fel cynorthwyydd, defnyddiwyd y dull yma o AGD yn gyson ac mae'r gwerth i’r dull yn amlwg ymysg athrawon. Cymerir yn ganiataol felly mai dull buddiol wrth addysgu yw’r cysyniad. Fel arfer, o’m mhrofiad i, mae'r defnydd o'r dull yn cael ei gyflwyno ar ddechrau'r wers i adalw gwybodaeth ac wedyn wrth grynhoi’r cyflwyniad. Serch hynny, mae yna fodd i ragweld a fydd yn wers lwyddiannus. Wrth drafod gyda fy mhartner ymchwil, roedd gan y ddau ohonom ddiddordeb cynyddol o fuddion ‘Bodiau i fyny’ a pham y caiff ei weithredu ar lawr y dosbarth yn rheolaidd gan athrawon. Fe wnaethon ni ystyried a thrafod pam mae’r dull yn cael eu gwerthfawrogi sylweddol yn yr ystafell ddosbarth. Gwnaethom gwestiynu a oedd athrawon yn ei ddefnyddio oherwydd polisïau’r ysgol, er mwyn codi canlyniadau'r wers, neu a oeddent yn ei ddefnyddio er lles a chymorth i’r dysgwyr. Ar ôl derbyn yr aseiniad o gyflwyno prosiect ymchwil, ac ar ôl trafodaethau yn tynnu sylw at ein diddordebau, daeth fy mhartner ymchwil a minnau i’r casgliad y byddem yn ymchwilio i beth yw effaith ‘Bodiau i fyny’ a’r gallu yr athro i fesur dealltwriaeth dysgwyr y CS a CA2. Eto i gyd, bydd y cysyniad o asesu yn ffurfiannol i fesur dealltwriaeth ar draws y papur yma yn gyffredinol. Felly byddwn yn ystyried yr effaith sydd i’r dulliau yma ar fyfyriwr mewn amgylchedd ystafell ddosbarth, gan ystyried os yw’n cynorthwyo dysgwyr i weithio'n fwy annibynnol. Am fod yr athro </w:t>
      </w:r>
      <w:proofErr w:type="spellStart"/>
      <w:r>
        <w:rPr>
          <w:rFonts w:ascii="Arial" w:hAnsi="Arial" w:cs="Arial"/>
        </w:rPr>
        <w:t>Donaldson</w:t>
      </w:r>
      <w:proofErr w:type="spellEnd"/>
      <w:r>
        <w:rPr>
          <w:rFonts w:ascii="Arial" w:hAnsi="Arial" w:cs="Arial"/>
        </w:rPr>
        <w:t xml:space="preserve"> (2015) yn hyrwyddo dysgu annibynnol fel cydran allweddol i hyrwyddo dysgu gydol oes, mae hyn yn cydymffurfio â phrif egwyddorion y cwricwlwm drafft. Pwynt arall i’w ystyried gan </w:t>
      </w:r>
      <w:proofErr w:type="spellStart"/>
      <w:r>
        <w:rPr>
          <w:rFonts w:ascii="Arial" w:hAnsi="Arial" w:cs="Arial"/>
        </w:rPr>
        <w:t>Donaldson</w:t>
      </w:r>
      <w:proofErr w:type="spellEnd"/>
      <w:r>
        <w:rPr>
          <w:rFonts w:ascii="Arial" w:hAnsi="Arial" w:cs="Arial"/>
        </w:rPr>
        <w:t xml:space="preserve"> yw pwysigrwydd datblygu Asesu ar gyfer Dysgu (AGD) o fewn addysg o fewn y deuddeg egwyddor </w:t>
      </w:r>
      <w:proofErr w:type="spellStart"/>
      <w:r>
        <w:rPr>
          <w:rFonts w:ascii="Arial" w:hAnsi="Arial" w:cs="Arial"/>
        </w:rPr>
        <w:t>addysgegol</w:t>
      </w:r>
      <w:proofErr w:type="spellEnd"/>
      <w:r>
        <w:rPr>
          <w:rFonts w:ascii="Arial" w:hAnsi="Arial" w:cs="Arial"/>
        </w:rPr>
        <w:t>. Felly, roedd yr agwedd annatod hon ar ddysgu yn elfen ddiddorol i ymchwilio. Yn ystod y prosiect ymchwil, byddaf i a fy mhartner yn cylchdroi o Gyfnod Allweddol 2 i'r Cyfnod Sylfaen. Golygir bydd y dosbarthiadau hyn yn flaenllaw yn ein helpu i gasglu ein hymchwil ar gyfer yr astudiaeth. Nesaf, cawn wers lle bydd fy mhartner ymchwil yn dod i arsylwi gwers ac yna'n cyfweld â rhai o'r disgyblion. Yna fydd y rolau'n cyfnewid.</w:t>
      </w:r>
    </w:p>
    <w:p w14:paraId="35F41FA5" w14:textId="716EDF78" w:rsidR="008D7BF0" w:rsidRPr="00EC565D" w:rsidRDefault="008D7BF0" w:rsidP="00EC565D">
      <w:pPr>
        <w:spacing w:line="360" w:lineRule="auto"/>
        <w:rPr>
          <w:rFonts w:ascii="Arial" w:hAnsi="Arial" w:cs="Arial"/>
          <w:b/>
          <w:bCs/>
          <w:sz w:val="28"/>
          <w:szCs w:val="28"/>
        </w:rPr>
      </w:pPr>
    </w:p>
    <w:p w14:paraId="3778BE55" w14:textId="77777777" w:rsidR="005801F9" w:rsidRDefault="005801F9" w:rsidP="00EC565D">
      <w:pPr>
        <w:spacing w:line="360" w:lineRule="auto"/>
        <w:rPr>
          <w:rFonts w:ascii="Arial" w:hAnsi="Arial" w:cs="Arial"/>
          <w:b/>
          <w:bCs/>
          <w:sz w:val="28"/>
          <w:szCs w:val="28"/>
        </w:rPr>
      </w:pPr>
    </w:p>
    <w:p w14:paraId="457FF954" w14:textId="51D019C0" w:rsidR="008D7BF0" w:rsidRDefault="00EC565D" w:rsidP="00EC565D">
      <w:pPr>
        <w:spacing w:line="360" w:lineRule="auto"/>
        <w:rPr>
          <w:rFonts w:ascii="Arial" w:hAnsi="Arial" w:cs="Arial"/>
          <w:b/>
          <w:bCs/>
          <w:sz w:val="28"/>
          <w:szCs w:val="28"/>
        </w:rPr>
      </w:pPr>
      <w:r w:rsidRPr="00EC565D">
        <w:rPr>
          <w:rFonts w:ascii="Arial" w:hAnsi="Arial" w:cs="Arial"/>
          <w:b/>
          <w:bCs/>
          <w:sz w:val="28"/>
          <w:szCs w:val="28"/>
        </w:rPr>
        <w:lastRenderedPageBreak/>
        <w:t>Adolygiad Llenyddol</w:t>
      </w:r>
    </w:p>
    <w:p w14:paraId="0D32163F" w14:textId="590BCE41" w:rsidR="005936B8" w:rsidRDefault="00BD7DB9" w:rsidP="00C01FF3">
      <w:pPr>
        <w:spacing w:line="360" w:lineRule="auto"/>
        <w:rPr>
          <w:rFonts w:ascii="Arial" w:hAnsi="Arial" w:cs="Arial"/>
        </w:rPr>
      </w:pPr>
      <w:r>
        <w:rPr>
          <w:rFonts w:ascii="Arial" w:hAnsi="Arial" w:cs="Arial"/>
        </w:rPr>
        <w:t xml:space="preserve">Gellid dilyn gwreiddiau asesu ffurfiannol nol i’r 60au pan gafodd y cysyniad ei godi gan </w:t>
      </w:r>
      <w:proofErr w:type="spellStart"/>
      <w:r>
        <w:rPr>
          <w:rFonts w:ascii="Arial" w:hAnsi="Arial" w:cs="Arial"/>
        </w:rPr>
        <w:t>Scriven</w:t>
      </w:r>
      <w:proofErr w:type="spellEnd"/>
      <w:r>
        <w:rPr>
          <w:rFonts w:ascii="Arial" w:hAnsi="Arial" w:cs="Arial"/>
        </w:rPr>
        <w:t xml:space="preserve"> (1967). Awgryma ganddo  Nid ar un llaw'r proses o drosglwyddo gwybodaeth yw swydd yr athro, ac ar y llaw arall ni ddylid athro hwyluso'r proses chwaith (William, 2011). Yn gyffredinol, y flaenoriaeth gyntaf sydd i athro neu athrawes effeithiol yw peiriannu amgylchedd dysgu effeithiol sy'n sicrhau ymrwymiad dysgwyr. Yr unig ffordd i sicrhau y gosodiadau yma yw sefydlu system reolaidd o AGD ar lawr y dosbarth. Ysgrifenna gan William (2011) mai dyma yw'r pont rhwng addysgu a dysgu. Y farn gyffredinol heddiw tuag at addysgeg ymysg athrawon cyfoes yw priodweddau megis, hwyluso, </w:t>
      </w:r>
      <w:proofErr w:type="spellStart"/>
      <w:r>
        <w:rPr>
          <w:rFonts w:ascii="Arial" w:hAnsi="Arial" w:cs="Arial"/>
        </w:rPr>
        <w:t>scaffoldio</w:t>
      </w:r>
      <w:proofErr w:type="spellEnd"/>
      <w:r>
        <w:rPr>
          <w:rFonts w:ascii="Arial" w:hAnsi="Arial" w:cs="Arial"/>
        </w:rPr>
        <w:t xml:space="preserve">, ac arloesi. Eisoes mae yna ymdrech enfawr i gwrdd â’r gofynion yma. Ar y llaw arall, pe bawn ni’n ystyried beth yr elfennau confensiynol sy’n dringo tuag at frig blaenoriaethau ysgolion, dyma ein ffocws ar ddata yn hytrach na chreu amgylchedd holistaidd i ddysgwyr. I gyrraedd y gofynion tuag at ddata, mae Wallace (2009) yn dadlau mae’r flaenoriaeth yn eistedd ar drosglwyddo gwybodaeth benodol yn hytrach na chodi sgiliau. Dyma un o brif egwyddorion </w:t>
      </w:r>
      <w:proofErr w:type="spellStart"/>
      <w:r>
        <w:rPr>
          <w:rFonts w:ascii="Arial" w:hAnsi="Arial" w:cs="Arial"/>
        </w:rPr>
        <w:t>Donaldson</w:t>
      </w:r>
      <w:proofErr w:type="spellEnd"/>
      <w:r>
        <w:rPr>
          <w:rFonts w:ascii="Arial" w:hAnsi="Arial" w:cs="Arial"/>
        </w:rPr>
        <w:t xml:space="preserve"> (2015) sydd at ganol y cwricwlwm drafft. Yn ogystal â ni, mae adrannau fel llais y disgybl a’r cyfle i gyfrannu at gynnwys y wers yn diflannu. O ganlyniad i’r agwedd o ‘</w:t>
      </w:r>
      <w:proofErr w:type="spellStart"/>
      <w:r>
        <w:rPr>
          <w:rFonts w:ascii="Arial" w:hAnsi="Arial" w:cs="Arial"/>
        </w:rPr>
        <w:t>teaching</w:t>
      </w:r>
      <w:proofErr w:type="spellEnd"/>
      <w:r>
        <w:rPr>
          <w:rFonts w:ascii="Arial" w:hAnsi="Arial" w:cs="Arial"/>
        </w:rPr>
        <w:t xml:space="preserve"> to the </w:t>
      </w:r>
      <w:proofErr w:type="spellStart"/>
      <w:r>
        <w:rPr>
          <w:rFonts w:ascii="Arial" w:hAnsi="Arial" w:cs="Arial"/>
        </w:rPr>
        <w:t>test</w:t>
      </w:r>
      <w:proofErr w:type="spellEnd"/>
      <w:r>
        <w:rPr>
          <w:rFonts w:ascii="Arial" w:hAnsi="Arial" w:cs="Arial"/>
        </w:rPr>
        <w:t xml:space="preserve">’ mae yna gyfyngiadau i siwrne dysgu yr unigolyn. Cefnogodd yr ymchwil yma ein cwestiwn ymchwil drwy godi ymwybyddiaeth o bwysigrwydd sicrhau llais y plentyn gyda chyfleoedd AGD trwy gydol gwersi. Yn benodol, noda Black a William (2004) mai asesiad ffurfiannol yn hyrwyddo ymatebion gwell yng nghyrhaeddiad myfyrwyr. Mae’r ymchwil yma yn llwyddo i fireinio ein cwestiwn ymchwil ni trwy godi syniadau penodol am AGD o fewn sesiynau Mathemateg. Yn ôl yr ymchwil, mae ymchwiliadau penagored yn galw am wahanol ddulliau o asesiad ffurfiannol. Pwynt canolig arall i’r ymchwil oedd seilio’r ymchwil ar un gweithgaredd rhifedd penodol. Gellir deall y gwahaniaethau rhwng tasgau ffocws wrth ymchwilio. Ar un llaw mae tasgau “caeedig” gydag un canlyniad wedi'i ddiffinio'n dda; ar y llaw arall mae yna dasgau “agored” gydag ystod eang o ganlyniadau derbyniol (Black a William, 2004). Pe bawn ni’n ystyried yr astudiaethau, am fod ein ffocws ni ar briodweddau penodol o’r wers, roedd y dull o seilio’r ymchwil ar ffurf agored yn sicrhau allbwn gwell o ddata a chanfyddiadau. Ond dywed </w:t>
      </w:r>
      <w:proofErr w:type="spellStart"/>
      <w:r>
        <w:rPr>
          <w:rFonts w:ascii="Arial" w:hAnsi="Arial" w:cs="Arial"/>
        </w:rPr>
        <w:t>Kumar</w:t>
      </w:r>
      <w:proofErr w:type="spellEnd"/>
      <w:r>
        <w:rPr>
          <w:rFonts w:ascii="Arial" w:hAnsi="Arial" w:cs="Arial"/>
        </w:rPr>
        <w:t xml:space="preserve"> (2014) mae maint y sampl yn dibynnu ar natur y prosiect ymchwil. Os yw maint sampl yn cymharol fach fel yn ein hachos ni, ni fyddai profion ystadegol yn gallu nodi perthnasoedd sylweddol o fewn set o ddata.</w:t>
      </w:r>
    </w:p>
    <w:p w14:paraId="21DF63DD" w14:textId="18227FDD" w:rsidR="00547C4A" w:rsidRDefault="00BD7DB9" w:rsidP="00547C4A">
      <w:pPr>
        <w:spacing w:line="360" w:lineRule="auto"/>
        <w:rPr>
          <w:rFonts w:ascii="Arial" w:hAnsi="Arial" w:cs="Arial"/>
        </w:rPr>
      </w:pPr>
      <w:r>
        <w:rPr>
          <w:rFonts w:ascii="Arial" w:hAnsi="Arial" w:cs="Arial"/>
        </w:rPr>
        <w:t xml:space="preserve">Mae’r prosiect ymchwil wedi ei seilio ar sgiliau hunanasesu i raddau. Pwynt canolig i’r ddadl yma yw’r theori o </w:t>
      </w:r>
      <w:proofErr w:type="spellStart"/>
      <w:r>
        <w:rPr>
          <w:rFonts w:ascii="Arial" w:hAnsi="Arial" w:cs="Arial"/>
        </w:rPr>
        <w:t>fetawybyddiaeth</w:t>
      </w:r>
      <w:proofErr w:type="spellEnd"/>
      <w:r>
        <w:rPr>
          <w:rFonts w:ascii="Arial" w:hAnsi="Arial" w:cs="Arial"/>
        </w:rPr>
        <w:t xml:space="preserve">. Defnyddir y cysyniad yma i ddisgrifio’r proses o ‘meddwl am feddwl’ ac mae’n cefnogi’r syniad o hunanasesu. Yn ôl </w:t>
      </w:r>
      <w:proofErr w:type="spellStart"/>
      <w:r>
        <w:rPr>
          <w:rFonts w:ascii="Arial" w:hAnsi="Arial" w:cs="Arial"/>
        </w:rPr>
        <w:t>Muncaster</w:t>
      </w:r>
      <w:proofErr w:type="spellEnd"/>
      <w:r>
        <w:rPr>
          <w:rFonts w:ascii="Arial" w:hAnsi="Arial" w:cs="Arial"/>
        </w:rPr>
        <w:t xml:space="preserve"> a Clarke (2018) mae </w:t>
      </w:r>
      <w:proofErr w:type="spellStart"/>
      <w:r>
        <w:rPr>
          <w:rFonts w:ascii="Arial" w:hAnsi="Arial" w:cs="Arial"/>
        </w:rPr>
        <w:t>metawybyddiaeth</w:t>
      </w:r>
      <w:proofErr w:type="spellEnd"/>
      <w:r>
        <w:rPr>
          <w:rFonts w:ascii="Arial" w:hAnsi="Arial" w:cs="Arial"/>
        </w:rPr>
        <w:t xml:space="preserve"> gofyn i bob dysgwr i fyfyrio ar ei ddysgu ei hun. Yn ogystal â hyn, y syniad o ddealltwriaeth yn ôl sut maen nhw'n dysgu orau ac ail-ddehongli unrhyw wybodaeth, sgiliau a dealltwriaeth gysyniadol newydd maen nhw wedi'u caffael arni.</w:t>
      </w:r>
    </w:p>
    <w:p w14:paraId="7B956F08" w14:textId="08B4D364" w:rsidR="006D7E47" w:rsidRDefault="00BD7DB9" w:rsidP="00547C4A">
      <w:pPr>
        <w:spacing w:line="360" w:lineRule="auto"/>
        <w:rPr>
          <w:rFonts w:ascii="Arial" w:hAnsi="Arial" w:cs="Arial"/>
        </w:rPr>
      </w:pPr>
      <w:r>
        <w:rPr>
          <w:rFonts w:ascii="Arial" w:hAnsi="Arial" w:cs="Arial"/>
        </w:rPr>
        <w:t>Gellid cyfuno’r syniadau uchod ymhellach gyda Theori Priodoliad (</w:t>
      </w:r>
      <w:proofErr w:type="spellStart"/>
      <w:r>
        <w:rPr>
          <w:rFonts w:ascii="Arial" w:hAnsi="Arial" w:cs="Arial"/>
        </w:rPr>
        <w:t>Attributio</w:t>
      </w:r>
      <w:proofErr w:type="spellEnd"/>
      <w:r>
        <w:rPr>
          <w:rFonts w:ascii="Arial" w:hAnsi="Arial" w:cs="Arial"/>
        </w:rPr>
        <w:t xml:space="preserve"> </w:t>
      </w:r>
      <w:proofErr w:type="spellStart"/>
      <w:r>
        <w:rPr>
          <w:rFonts w:ascii="Arial" w:hAnsi="Arial" w:cs="Arial"/>
        </w:rPr>
        <w:t>Theory</w:t>
      </w:r>
      <w:proofErr w:type="spellEnd"/>
      <w:r>
        <w:rPr>
          <w:rFonts w:ascii="Arial" w:hAnsi="Arial" w:cs="Arial"/>
        </w:rPr>
        <w:t xml:space="preserve">). Awgryma gan Graham a </w:t>
      </w:r>
      <w:proofErr w:type="spellStart"/>
      <w:r>
        <w:rPr>
          <w:rFonts w:ascii="Arial" w:hAnsi="Arial" w:cs="Arial"/>
        </w:rPr>
        <w:t>Folkes</w:t>
      </w:r>
      <w:proofErr w:type="spellEnd"/>
      <w:r>
        <w:rPr>
          <w:rFonts w:ascii="Arial" w:hAnsi="Arial" w:cs="Arial"/>
        </w:rPr>
        <w:t xml:space="preserve"> (2014) mai'r cysyniad o allu dysgwr i egluro ei llwyddiant, neu gamau nesaf ei hun er mwyn sicrhau datblygiad. Cytuna Weiner (1974) gyda’r gosodiad uchod gyda’i waith ar gyflawniad disgyblion tu fewn i ysgol. Y consensws ar y pwnc yn ôl </w:t>
      </w:r>
      <w:proofErr w:type="spellStart"/>
      <w:r>
        <w:rPr>
          <w:rFonts w:ascii="Arial" w:hAnsi="Arial" w:cs="Arial"/>
        </w:rPr>
        <w:t>gweithydd</w:t>
      </w:r>
      <w:proofErr w:type="spellEnd"/>
      <w:r>
        <w:rPr>
          <w:rFonts w:ascii="Arial" w:hAnsi="Arial" w:cs="Arial"/>
        </w:rPr>
        <w:t xml:space="preserve"> Graham a </w:t>
      </w:r>
      <w:proofErr w:type="spellStart"/>
      <w:r>
        <w:rPr>
          <w:rFonts w:ascii="Arial" w:hAnsi="Arial" w:cs="Arial"/>
        </w:rPr>
        <w:t>Volkes</w:t>
      </w:r>
      <w:proofErr w:type="spellEnd"/>
      <w:r>
        <w:rPr>
          <w:rFonts w:ascii="Arial" w:hAnsi="Arial" w:cs="Arial"/>
        </w:rPr>
        <w:t xml:space="preserve"> (2014) a Weiner (1974) yw’r cysyniad o ddysgwyr sy'n cymryd rhan mewn hunanasesu (fel rhan o AFL) yn dysgu sut i weithredu methiannau i ffactorau y gellir eu rheoli. Esiampl o hyn fydd sut gallai dysgwr sy'n cwympo tu ôl ar agwedd </w:t>
      </w:r>
      <w:r>
        <w:rPr>
          <w:rFonts w:ascii="Arial" w:hAnsi="Arial" w:cs="Arial"/>
        </w:rPr>
        <w:lastRenderedPageBreak/>
        <w:t xml:space="preserve">o waith sylweddoli ei fod yn canolbwyntio ar y pwnc anghywir. Wrth osod y dewis o destun o fewn ymreolaeth y disgyblion, </w:t>
      </w:r>
      <w:proofErr w:type="spellStart"/>
      <w:r>
        <w:rPr>
          <w:rFonts w:ascii="Arial" w:hAnsi="Arial" w:cs="Arial"/>
        </w:rPr>
        <w:t>gallant</w:t>
      </w:r>
      <w:proofErr w:type="spellEnd"/>
      <w:r>
        <w:rPr>
          <w:rFonts w:ascii="Arial" w:hAnsi="Arial" w:cs="Arial"/>
        </w:rPr>
        <w:t xml:space="preserve"> adolygu, golygu a gwella'r gwaith. O ganlyniad i’r agwedd yma mae yna gynnydd o ran hyder a chyflawniad y dysgwr. Pwynt arall i’w ystyried pan fyddwch yn trafod o bwnc o godi hyder disgyblion gyda dulliau AGD yw ymchwil Gravells (2013). Ysgrifenna am y syniad o ddysgwyr sy’n derbyn graddau llai boddhaol ar gyfer prawf yn arwain at dynnu’n ôl o ddysgu. Yn ôl yr awdur mae’n well gan fyfyrwyr cael ei feddwl yn ‘ddiog’ yn hytrach na ‘dwp’. Serch hynny, wrth ddefnyddio dulliau o AGD  mae athrawon yn rhoi adborth sy’n benodol i’r dasg i ddysgwyr. O ganlyniad </w:t>
      </w:r>
      <w:proofErr w:type="spellStart"/>
      <w:r>
        <w:rPr>
          <w:rFonts w:ascii="Arial" w:hAnsi="Arial" w:cs="Arial"/>
        </w:rPr>
        <w:t>gallant</w:t>
      </w:r>
      <w:proofErr w:type="spellEnd"/>
      <w:r>
        <w:rPr>
          <w:rFonts w:ascii="Arial" w:hAnsi="Arial" w:cs="Arial"/>
        </w:rPr>
        <w:t xml:space="preserve"> ganolbwyntio ar y gwaith yn hytrach nag adborth sy'n canolbwyntio ar rinweddau personol y dysgwr. Mae hyn yn annog pob dysgwr i deimlo y </w:t>
      </w:r>
      <w:proofErr w:type="spellStart"/>
      <w:r>
        <w:rPr>
          <w:rFonts w:ascii="Arial" w:hAnsi="Arial" w:cs="Arial"/>
        </w:rPr>
        <w:t>gallant</w:t>
      </w:r>
      <w:proofErr w:type="spellEnd"/>
      <w:r>
        <w:rPr>
          <w:rFonts w:ascii="Arial" w:hAnsi="Arial" w:cs="Arial"/>
        </w:rPr>
        <w:t xml:space="preserve"> wella.</w:t>
      </w:r>
    </w:p>
    <w:p w14:paraId="5F929DB6" w14:textId="75FD3047" w:rsidR="008D7BF0" w:rsidRPr="00EC565D" w:rsidRDefault="00EC565D" w:rsidP="00EC565D">
      <w:pPr>
        <w:spacing w:line="360" w:lineRule="auto"/>
        <w:rPr>
          <w:rFonts w:ascii="Arial" w:hAnsi="Arial" w:cs="Arial"/>
          <w:b/>
          <w:bCs/>
          <w:sz w:val="28"/>
          <w:szCs w:val="28"/>
        </w:rPr>
      </w:pPr>
      <w:r w:rsidRPr="00EC565D">
        <w:rPr>
          <w:rFonts w:ascii="Arial" w:hAnsi="Arial" w:cs="Arial"/>
          <w:b/>
          <w:bCs/>
          <w:sz w:val="28"/>
          <w:szCs w:val="28"/>
        </w:rPr>
        <w:t>Esboniad o strwythur y wers</w:t>
      </w:r>
    </w:p>
    <w:p w14:paraId="14D11549" w14:textId="2B3DF644" w:rsidR="004B37BE" w:rsidRDefault="00BD7DB9" w:rsidP="004B37BE">
      <w:pPr>
        <w:spacing w:line="360" w:lineRule="auto"/>
        <w:rPr>
          <w:rFonts w:ascii="Arial" w:hAnsi="Arial" w:cs="Arial"/>
        </w:rPr>
      </w:pPr>
      <w:r>
        <w:rPr>
          <w:rFonts w:ascii="Arial" w:hAnsi="Arial" w:cs="Arial"/>
        </w:rPr>
        <w:t xml:space="preserve">Er mwyn sicrhau ein bod ni’n casglu data dibynadwy ar gyfer y prosiect hwn, byddaf i a fy mhartner yn cynnal astudiaeth wers. Nodir gan </w:t>
      </w:r>
      <w:proofErr w:type="spellStart"/>
      <w:r>
        <w:rPr>
          <w:rFonts w:ascii="Arial" w:hAnsi="Arial" w:cs="Arial"/>
        </w:rPr>
        <w:t>Cerbin</w:t>
      </w:r>
      <w:proofErr w:type="spellEnd"/>
      <w:r>
        <w:rPr>
          <w:rFonts w:ascii="Arial" w:hAnsi="Arial" w:cs="Arial"/>
        </w:rPr>
        <w:t xml:space="preserve"> a </w:t>
      </w:r>
      <w:proofErr w:type="spellStart"/>
      <w:r>
        <w:rPr>
          <w:rFonts w:ascii="Arial" w:hAnsi="Arial" w:cs="Arial"/>
        </w:rPr>
        <w:t>Kopp</w:t>
      </w:r>
      <w:proofErr w:type="spellEnd"/>
      <w:r>
        <w:rPr>
          <w:rFonts w:ascii="Arial" w:hAnsi="Arial" w:cs="Arial"/>
        </w:rPr>
        <w:t xml:space="preserve"> (2006) mai astudiaethau gwersi yn fodd i wella ymarfer dysgu athrawon trwy ddulliau gydweithredu a myfyrio adeiladol. Maent yn awgrymu mai addysgeg yn debyg ymysg athrawon, fodd bynnag, anaml yw’r cyfleoedd i fyfyrio a mynegi barn gyda chydweithiwr. Mae </w:t>
      </w:r>
      <w:proofErr w:type="spellStart"/>
      <w:r>
        <w:rPr>
          <w:rFonts w:ascii="Arial" w:hAnsi="Arial" w:cs="Arial"/>
        </w:rPr>
        <w:t>Hiebert</w:t>
      </w:r>
      <w:proofErr w:type="spellEnd"/>
      <w:r>
        <w:rPr>
          <w:rFonts w:ascii="Arial" w:hAnsi="Arial" w:cs="Arial"/>
        </w:rPr>
        <w:t xml:space="preserve"> </w:t>
      </w:r>
      <w:proofErr w:type="spellStart"/>
      <w:r>
        <w:rPr>
          <w:rFonts w:ascii="Arial" w:hAnsi="Arial" w:cs="Arial"/>
        </w:rPr>
        <w:t>et</w:t>
      </w:r>
      <w:proofErr w:type="spellEnd"/>
      <w:r>
        <w:rPr>
          <w:rFonts w:ascii="Arial" w:hAnsi="Arial" w:cs="Arial"/>
        </w:rPr>
        <w:t xml:space="preserve"> </w:t>
      </w:r>
      <w:proofErr w:type="spellStart"/>
      <w:r>
        <w:rPr>
          <w:rFonts w:ascii="Arial" w:hAnsi="Arial" w:cs="Arial"/>
        </w:rPr>
        <w:t>al</w:t>
      </w:r>
      <w:proofErr w:type="spellEnd"/>
      <w:r>
        <w:rPr>
          <w:rFonts w:ascii="Arial" w:hAnsi="Arial" w:cs="Arial"/>
        </w:rPr>
        <w:t xml:space="preserve"> (2002), Dudley (2014) a </w:t>
      </w:r>
      <w:proofErr w:type="spellStart"/>
      <w:r>
        <w:rPr>
          <w:rFonts w:ascii="Arial" w:hAnsi="Arial" w:cs="Arial"/>
        </w:rPr>
        <w:t>Cerbin</w:t>
      </w:r>
      <w:proofErr w:type="spellEnd"/>
      <w:r>
        <w:rPr>
          <w:rFonts w:ascii="Arial" w:hAnsi="Arial" w:cs="Arial"/>
        </w:rPr>
        <w:t xml:space="preserve"> a </w:t>
      </w:r>
      <w:proofErr w:type="spellStart"/>
      <w:r>
        <w:rPr>
          <w:rFonts w:ascii="Arial" w:hAnsi="Arial" w:cs="Arial"/>
        </w:rPr>
        <w:t>Kopp</w:t>
      </w:r>
      <w:proofErr w:type="spellEnd"/>
      <w:r>
        <w:rPr>
          <w:rFonts w:ascii="Arial" w:hAnsi="Arial" w:cs="Arial"/>
        </w:rPr>
        <w:t xml:space="preserve"> (2006) yn nodi mai astudiaethau gwersi yn deillio o gysyniadau o’r dwyrain pell megis De Corea a Siapan. Defnyddir y rhain ar gyfer datblygu addysgu a dysgu yn yr ystafell ddosbarth. O ganlyniad, mae astudiaethau gwersi yn y gwledydd yma yn cynnwys nifer o athrawon / cydweithwyr yn arsylwi ar yr addysgu a'r dysgu. Serch hynny, bu bwrpas yr astudiaeth wers yn newid yn ôl ffocws yr ymchwil yn ôl Dudley. Awgryma gan Dudley (2014) mai astudiaethau gwersi yn caniatáu manylder uwch na'r arfer o ran gosod syniad o ddysgu unigolyn. Yn yr astudiaeth wers y bydd fy mhartner ymchwil a minnau yn ei chynnal, bydd ychydig yn wahanol i ethos Siapan, oherwydd ni fesul pâr sydd yn hytrach na sawl arsylwr yn y dosbarth. Ffocws yr astudiaeth wers fydd arsylwi ar ddulliau AGD er mwyn galluogi i’r athro fesur dealltwriaeth. Am y rheswm hwn, bydd y ffocws yn cael ei bwysleisio'n bennaf ar y dysgu yn hytrach na'r addysgu.</w:t>
      </w:r>
    </w:p>
    <w:p w14:paraId="1795F7BA" w14:textId="31B129D0" w:rsidR="0098446E" w:rsidRDefault="00BD7DB9" w:rsidP="004B37BE">
      <w:pPr>
        <w:spacing w:line="360" w:lineRule="auto"/>
        <w:rPr>
          <w:rFonts w:ascii="Arial" w:hAnsi="Arial" w:cs="Arial"/>
        </w:rPr>
      </w:pPr>
      <w:r>
        <w:rPr>
          <w:rFonts w:ascii="Arial" w:hAnsi="Arial" w:cs="Arial"/>
        </w:rPr>
        <w:t xml:space="preserve">Y dull o gasglu data a ddewiswyd </w:t>
      </w:r>
      <w:proofErr w:type="spellStart"/>
      <w:r>
        <w:rPr>
          <w:rFonts w:ascii="Arial" w:hAnsi="Arial" w:cs="Arial"/>
        </w:rPr>
        <w:t>gandda</w:t>
      </w:r>
      <w:proofErr w:type="spellEnd"/>
      <w:r>
        <w:rPr>
          <w:rFonts w:ascii="Arial" w:hAnsi="Arial" w:cs="Arial"/>
        </w:rPr>
        <w:t xml:space="preserve"> i a fy mhartner ymchwil oedd arsylwi a chyfweliadau strwythuredig. Trwy gydol y cyfweliadau strwythuredig, bydd fy mhartner a </w:t>
      </w:r>
      <w:proofErr w:type="spellStart"/>
      <w:r>
        <w:rPr>
          <w:rFonts w:ascii="Arial" w:hAnsi="Arial" w:cs="Arial"/>
        </w:rPr>
        <w:t>minnau'n</w:t>
      </w:r>
      <w:proofErr w:type="spellEnd"/>
      <w:r>
        <w:rPr>
          <w:rFonts w:ascii="Arial" w:hAnsi="Arial" w:cs="Arial"/>
        </w:rPr>
        <w:t xml:space="preserve"> ceisio defnyddio cwestiynau penagored er mwyn galluogi i'r grŵp ffocws / plentyn fynegi eu hunain yn ystyrlon. Noda gan </w:t>
      </w:r>
      <w:proofErr w:type="spellStart"/>
      <w:r>
        <w:rPr>
          <w:rFonts w:ascii="Arial" w:hAnsi="Arial" w:cs="Arial"/>
        </w:rPr>
        <w:t>Cohen</w:t>
      </w:r>
      <w:proofErr w:type="spellEnd"/>
      <w:r>
        <w:rPr>
          <w:rFonts w:ascii="Arial" w:hAnsi="Arial" w:cs="Arial"/>
        </w:rPr>
        <w:t xml:space="preserve"> </w:t>
      </w:r>
      <w:proofErr w:type="spellStart"/>
      <w:r>
        <w:rPr>
          <w:rFonts w:ascii="Arial" w:hAnsi="Arial" w:cs="Arial"/>
        </w:rPr>
        <w:t>et</w:t>
      </w:r>
      <w:proofErr w:type="spellEnd"/>
      <w:r>
        <w:rPr>
          <w:rFonts w:ascii="Arial" w:hAnsi="Arial" w:cs="Arial"/>
        </w:rPr>
        <w:t xml:space="preserve"> </w:t>
      </w:r>
      <w:proofErr w:type="spellStart"/>
      <w:r>
        <w:rPr>
          <w:rFonts w:ascii="Arial" w:hAnsi="Arial" w:cs="Arial"/>
        </w:rPr>
        <w:t>al</w:t>
      </w:r>
      <w:proofErr w:type="spellEnd"/>
      <w:r>
        <w:rPr>
          <w:rFonts w:ascii="Arial" w:hAnsi="Arial" w:cs="Arial"/>
        </w:rPr>
        <w:t xml:space="preserve">. (2011) mai dull o gasglu data gan fod cyfle i'r ymchwilydd gasglu data dilys, ac ar unwaith, dyma felly oedd ein hysbrydoliaeth. Gellid hefyd defnyddio ymchwil Simpson a </w:t>
      </w:r>
      <w:proofErr w:type="spellStart"/>
      <w:r>
        <w:rPr>
          <w:rFonts w:ascii="Arial" w:hAnsi="Arial" w:cs="Arial"/>
        </w:rPr>
        <w:t>Tuson</w:t>
      </w:r>
      <w:proofErr w:type="spellEnd"/>
      <w:r>
        <w:rPr>
          <w:rFonts w:ascii="Arial" w:hAnsi="Arial" w:cs="Arial"/>
        </w:rPr>
        <w:t xml:space="preserve"> (2003) i nodi mai arsylwadau yn ffordd hyblyg iawn o gofnodi data ac i ddeall yr hyn y mae unigolyn yn ei feddwl. Y cysyniad yma o gofnodi’n craidd yw dadl mae </w:t>
      </w:r>
      <w:proofErr w:type="spellStart"/>
      <w:r>
        <w:rPr>
          <w:rFonts w:ascii="Arial" w:hAnsi="Arial" w:cs="Arial"/>
        </w:rPr>
        <w:t>Kothari</w:t>
      </w:r>
      <w:proofErr w:type="spellEnd"/>
      <w:r>
        <w:rPr>
          <w:rFonts w:ascii="Arial" w:hAnsi="Arial" w:cs="Arial"/>
        </w:rPr>
        <w:t xml:space="preserve"> (2004) yn gytûn efo hefyd. Noda gan </w:t>
      </w:r>
      <w:proofErr w:type="spellStart"/>
      <w:r>
        <w:rPr>
          <w:rFonts w:ascii="Arial" w:hAnsi="Arial" w:cs="Arial"/>
        </w:rPr>
        <w:t>LeCompete</w:t>
      </w:r>
      <w:proofErr w:type="spellEnd"/>
      <w:r>
        <w:rPr>
          <w:rFonts w:ascii="Arial" w:hAnsi="Arial" w:cs="Arial"/>
        </w:rPr>
        <w:t xml:space="preserve"> a </w:t>
      </w:r>
      <w:proofErr w:type="spellStart"/>
      <w:r>
        <w:rPr>
          <w:rFonts w:ascii="Arial" w:hAnsi="Arial" w:cs="Arial"/>
        </w:rPr>
        <w:t>Preissle</w:t>
      </w:r>
      <w:proofErr w:type="spellEnd"/>
      <w:r>
        <w:rPr>
          <w:rFonts w:ascii="Arial" w:hAnsi="Arial" w:cs="Arial"/>
        </w:rPr>
        <w:t xml:space="preserve"> (1993) mai chwe math gwahanol o gyfweliad. Y dull cyfweld y mae fy mhartner ymchwil a minnau wedi dewis yw cyfweliadau strwythuredig er mwyn sicrhau casgliad eang o ddata. Ar y llaw arall, ysgrifenna gan </w:t>
      </w:r>
      <w:proofErr w:type="spellStart"/>
      <w:r>
        <w:rPr>
          <w:rFonts w:ascii="Arial" w:hAnsi="Arial" w:cs="Arial"/>
        </w:rPr>
        <w:t>Kuada</w:t>
      </w:r>
      <w:proofErr w:type="spellEnd"/>
      <w:r>
        <w:rPr>
          <w:rFonts w:ascii="Arial" w:hAnsi="Arial" w:cs="Arial"/>
        </w:rPr>
        <w:t xml:space="preserve"> (2012) mai y dull hwn o gyfweliad yn wrthgynhyrchiol, gan nodi y gall fod yn anodd dadansoddi data ansoddol yn hytrach na ddata meintiol. Eto i gyd, mae Llywodraeth Cymru (2015) yn awgrymu y gall cyfweliad fod yn anfanteisiol os yw’r cwestiynau yn arweiniol; serch hynny gallai effeithio ar y canfyddiadau yn y pen draw. Yn ystod cyfnod arsylwad yr ymchwil, byddaf i a fy mhartner ymchwil yn ceisio cynnal technegau arsylwi naturiolaidd a chyfranogol. Mae </w:t>
      </w:r>
      <w:proofErr w:type="spellStart"/>
      <w:r>
        <w:rPr>
          <w:rFonts w:ascii="Arial" w:hAnsi="Arial" w:cs="Arial"/>
        </w:rPr>
        <w:t>Flick</w:t>
      </w:r>
      <w:proofErr w:type="spellEnd"/>
      <w:r>
        <w:rPr>
          <w:rFonts w:ascii="Arial" w:hAnsi="Arial" w:cs="Arial"/>
        </w:rPr>
        <w:t xml:space="preserve"> (2009) yn nodi bod arsylwadau naturiol yn digwydd </w:t>
      </w:r>
      <w:r>
        <w:rPr>
          <w:rFonts w:ascii="Arial" w:hAnsi="Arial" w:cs="Arial"/>
        </w:rPr>
        <w:lastRenderedPageBreak/>
        <w:t>pan fydd cyfranogwyr yn gyffyrddus ac o fewn amodau sy’n gyfarwydd iddynt. Am ein bod ni’n lleoli’r cyfweliad y tu fewn i’r ystafell dosbarth gallwn gytuno bydd y disgyblion yn gyffyrddus yn eu lleoliad, gan arwain at gasgliad data mwy trylwyr. Defnyddiwyd technegau arsylwi cyfranogol gan gynnwys yr ymchwilydd fel aelod o'r grŵp, sy'n arbennig o ddefnyddiol mewn grwpiau bach (</w:t>
      </w:r>
      <w:proofErr w:type="spellStart"/>
      <w:r>
        <w:rPr>
          <w:rFonts w:ascii="Arial" w:hAnsi="Arial" w:cs="Arial"/>
        </w:rPr>
        <w:t>Kawulich</w:t>
      </w:r>
      <w:proofErr w:type="spellEnd"/>
      <w:r>
        <w:rPr>
          <w:rFonts w:ascii="Arial" w:hAnsi="Arial" w:cs="Arial"/>
        </w:rPr>
        <w:t>, 2005). Dim ond pan fydd angen y gwneir hyn.</w:t>
      </w:r>
    </w:p>
    <w:p w14:paraId="63BC3038" w14:textId="26247A8C" w:rsidR="00207921" w:rsidRPr="004B37BE" w:rsidRDefault="00BD7DB9" w:rsidP="004B37BE">
      <w:pPr>
        <w:spacing w:line="360" w:lineRule="auto"/>
        <w:rPr>
          <w:rFonts w:ascii="Arial" w:hAnsi="Arial" w:cs="Arial"/>
        </w:rPr>
      </w:pPr>
      <w:r>
        <w:rPr>
          <w:rFonts w:ascii="Arial" w:hAnsi="Arial" w:cs="Arial"/>
        </w:rPr>
        <w:t xml:space="preserve">Wedi i’r data cyfan cael ei gasglu, ein bwriad oedd seilio’r data ar waith Brookfield (2005) a Gibbs (1988) er mwyn galluogi myfyrdod ansoddol ar ein canfyddiadau. Y </w:t>
      </w:r>
      <w:proofErr w:type="spellStart"/>
      <w:r>
        <w:rPr>
          <w:rFonts w:ascii="Arial" w:hAnsi="Arial" w:cs="Arial"/>
        </w:rPr>
        <w:t>ffilosoffeg</w:t>
      </w:r>
      <w:proofErr w:type="spellEnd"/>
      <w:r>
        <w:rPr>
          <w:rFonts w:ascii="Arial" w:hAnsi="Arial" w:cs="Arial"/>
        </w:rPr>
        <w:t xml:space="preserve"> sydd at ganol theori Brookfield (2005) yw i fyfyrio trwy bedwar safbwynt gwahanol neu lens. Er hynny, y modd cyffredinol o ddefnyddio damcaniaethau Brookfield yw i astudio’r ymchwil trwy bedwar lens wahanol. Teimlasant fod yr ymarfer gwreiddiol o’r theori oedd y dewis mwyaf addas ar gyfer ein hymchwil. Y pedwar y gwnaethom benderfynu eu defnyddio oedd; hunan-adfyfyriol, barn y myfyrwyr, y llenyddiaeth a chyfoedion. Byddai'r gwahanol lensys neu safbwyntiau hyn yn ein helpu i fyfyrio ar sut aeth yr ymchwil / gwers o ein safbwynt ni, yn ogystal â sut y gellid ei weld o safbwynt y myfyrwyr a'r hyn y mae llenyddiaeth yn ei ddweud o ynglŷn â’r pwnc. Mae Llywodraeth Cymru (2015) yn cydymffurfio â barn Brookfield (2005) wrth iddyn nhw hyrwyddo'r proses o </w:t>
      </w:r>
      <w:proofErr w:type="spellStart"/>
      <w:r>
        <w:rPr>
          <w:rFonts w:ascii="Arial" w:hAnsi="Arial" w:cs="Arial"/>
        </w:rPr>
        <w:t>ddriongli</w:t>
      </w:r>
      <w:proofErr w:type="spellEnd"/>
      <w:r>
        <w:rPr>
          <w:rFonts w:ascii="Arial" w:hAnsi="Arial" w:cs="Arial"/>
        </w:rPr>
        <w:t xml:space="preserve">. Awgryma y dylai’r ymchwilydd dadansoddi data o amrywiaeth o safbwyntiau. Serch hynny, fe oedd angen cefnogaeth o ddamcaniaeth arall i strwythuro ein myfyrdod, ac i ystyried persbectif gwahanol. O ganlyniad i hyn, penderfynir gennym ni i ddefnyddio damcaniaethau Gibbs (1988). Noda gan Gibbs (1988) mai chwech chylch myfyrio. Gellid sicrhau gwaith ymchwil strwythuredig ar gyfer gwaith ymchwil trwy ddefnyddio’r dull yma; dyma oherwydd yr ymdriniaeth fwy systematig o strwythuro ein myfyrdod. Caiff gwaith Gibbs (1988) ei feirniadu. Ar y llaw arall mae Johns (2002) yn dadlau mai strwythur clir ond nid yw'n galluogi dulliau atblyg a beirniadol am fod fformat </w:t>
      </w:r>
      <w:proofErr w:type="spellStart"/>
      <w:r>
        <w:rPr>
          <w:rFonts w:ascii="Arial" w:hAnsi="Arial" w:cs="Arial"/>
        </w:rPr>
        <w:t>gor</w:t>
      </w:r>
      <w:proofErr w:type="spellEnd"/>
      <w:r>
        <w:rPr>
          <w:rFonts w:ascii="Arial" w:hAnsi="Arial" w:cs="Arial"/>
        </w:rPr>
        <w:t>-syml. Fodd bynnag, roeddwn i a fy mhartner yn teimlo dyma ddull a fydd yn cyrraedd dibenion ein hymchwil.</w:t>
      </w:r>
    </w:p>
    <w:p w14:paraId="5C3664B4" w14:textId="2DC23910" w:rsidR="008D7BF0" w:rsidRPr="004B37BE" w:rsidRDefault="008D7BF0" w:rsidP="004B37BE">
      <w:pPr>
        <w:spacing w:line="360" w:lineRule="auto"/>
        <w:rPr>
          <w:rFonts w:ascii="Arial" w:hAnsi="Arial" w:cs="Arial"/>
        </w:rPr>
      </w:pPr>
    </w:p>
    <w:p w14:paraId="0A959737" w14:textId="594F2641" w:rsidR="001A1EEA" w:rsidRPr="00EE66D4" w:rsidRDefault="00BD7DB9" w:rsidP="00EC565D">
      <w:pPr>
        <w:spacing w:line="360" w:lineRule="auto"/>
        <w:rPr>
          <w:rFonts w:ascii="Arial" w:hAnsi="Arial" w:cs="Arial"/>
          <w:b/>
          <w:bCs/>
          <w:sz w:val="28"/>
          <w:szCs w:val="28"/>
        </w:rPr>
      </w:pPr>
      <w:r>
        <w:rPr>
          <w:rFonts w:ascii="Arial" w:hAnsi="Arial" w:cs="Arial"/>
          <w:b/>
          <w:bCs/>
          <w:sz w:val="28"/>
          <w:szCs w:val="28"/>
        </w:rPr>
        <w:t>Ystyriaethau Moesegol</w:t>
      </w:r>
    </w:p>
    <w:p w14:paraId="4ECE19A2" w14:textId="0A2993B9" w:rsidR="001A1EEA" w:rsidRPr="001A1EEA" w:rsidRDefault="00BD7DB9" w:rsidP="00EC565D">
      <w:pPr>
        <w:spacing w:line="360" w:lineRule="auto"/>
        <w:rPr>
          <w:rFonts w:ascii="Arial" w:hAnsi="Arial" w:cs="Arial"/>
        </w:rPr>
      </w:pPr>
      <w:r>
        <w:rPr>
          <w:rFonts w:ascii="Arial" w:hAnsi="Arial" w:cs="Arial"/>
        </w:rPr>
        <w:t>Gosodir gan ganllawiau BERA (2018) mai llawer o ystyriaethau moesegol i fod yn ymwybodol ohonynt wrth ymchwilio fel caniatâd, tryloywder, storio data a'r hawl i wrthod cymryd rhan. Nodir gan BERA (2018) y dylai pawb sy'n ymgymryd ag ymchwil weithredu o dan y canllawiau moesegol a chael eu trin â pharch moesegol. Am y rheswm hwn, trwy gydol y prosiect ymchwil, sicrheais ein bod yn dilyn canllawiau moesegol BERA (2018) i gynnal ein prosiect ymchwil. Mae BERA (2018) yn awgrymu y dylid hysbysu pob cyfranogwr mewn ymchwil am eu rôl yn y prosiect ymchwil. Serch hynny, rhoddodd fy mhartner ymchwil a minnau wybod i'r ysgol, yr athro dosbarth, y rhieni a'r plant am agweddau allweddol ein prosiect ymchwil. Rhoddwyd caniatâd gan bob parti cyn i ni gychwyn ar ddod o hyd i ymchwil. Pe na bai'r ysgol, rhieni na phlant wedi rhoi caniatâd yna ni fyddai'r ymchwil wedi'i gynnal. Pe bai caniatâd yn cael ei roi gan yr ysgol ond nid gan y rhieni neu'r plant, yna ni fyddent yn cymryd rhan yn y wers. Gosodwyd gan fy mhartner a minnau ffurflen foeseg a gymeradwywyd gan bwyllgor moeseg cyn y gellid cynnal ymchwil. Amlinellodd y ffurflen foeseg y dulliau y byddai ymchwil yn cael eu cynnal ynddynt, y gwahanol fathau o ddulliau a ddewiswyd a phwy fyddai'n mynd i fod yn bresennol wrth i’r data gael ei gasglu.</w:t>
      </w:r>
    </w:p>
    <w:p w14:paraId="12315C6B" w14:textId="15493A53" w:rsidR="00BA5030" w:rsidRDefault="00BD7DB9" w:rsidP="00EC565D">
      <w:pPr>
        <w:spacing w:line="360" w:lineRule="auto"/>
        <w:rPr>
          <w:rFonts w:ascii="Arial" w:hAnsi="Arial" w:cs="Arial"/>
        </w:rPr>
      </w:pPr>
      <w:r>
        <w:rPr>
          <w:rFonts w:ascii="Arial" w:hAnsi="Arial" w:cs="Arial"/>
        </w:rPr>
        <w:lastRenderedPageBreak/>
        <w:t>Gyda phob adeg o’r gwaith ymchwil fe oedd y plant bob amser yn ymwybodol o'u hawl i dynnu'n ôl o'r ymchwil. Roedd hyn yn cael ei adlewyrchu gyda gwybodaeth a ddarparwyd i'r rhieni. Rhoddwyd gwybodaeth iddyn nhw hefyd am hawl y plant i dynnu'n ôl. Dywedwyd wrth rieni y byddai gwybodaeth a gesglir yn cael ei rhannu rhwng partneriaid ymchwil a'i rhannu â'r brifysgol. Byddai angen i unrhyw berson arall ofyn am fynediad i'r data. Trwy gydol yr holl brosiect ymchwil, sicrhaodd fy mhartner ymchwil a minnau ein bod mor dryloyw â phosibl i'r holl bartïon dan sylw. Wedi i’r ymchwil cyrraedd terfyniad a chasgliadau priodol, fe fydd yr holl wybodaeth wedi’i throsglwyddo i’r brifysgol yn hytrach nag ein perchnogaeth fel myfyrwyr.</w:t>
      </w:r>
    </w:p>
    <w:p w14:paraId="26545B09" w14:textId="646CBE04" w:rsidR="00ED4444" w:rsidRPr="00E32857" w:rsidRDefault="00ED4444" w:rsidP="00EC565D">
      <w:pPr>
        <w:spacing w:line="360" w:lineRule="auto"/>
        <w:rPr>
          <w:rFonts w:ascii="Arial" w:hAnsi="Arial" w:cs="Arial"/>
          <w:b/>
          <w:bCs/>
          <w:sz w:val="24"/>
          <w:szCs w:val="24"/>
        </w:rPr>
      </w:pPr>
      <w:r w:rsidRPr="00E32857">
        <w:rPr>
          <w:rFonts w:ascii="Arial" w:hAnsi="Arial" w:cs="Arial"/>
          <w:b/>
          <w:bCs/>
          <w:sz w:val="24"/>
          <w:szCs w:val="24"/>
        </w:rPr>
        <w:t>Astudiaeth Gwers 1</w:t>
      </w:r>
      <w:r w:rsidR="0001270A">
        <w:rPr>
          <w:rFonts w:ascii="Arial" w:hAnsi="Arial" w:cs="Arial"/>
          <w:b/>
          <w:bCs/>
          <w:sz w:val="24"/>
          <w:szCs w:val="24"/>
        </w:rPr>
        <w:t xml:space="preserve"> – Ffigwr 3.2</w:t>
      </w:r>
    </w:p>
    <w:p w14:paraId="0C05461E" w14:textId="30D746F0" w:rsidR="00BA5030" w:rsidRDefault="00BD7DB9" w:rsidP="00EC565D">
      <w:pPr>
        <w:spacing w:line="360" w:lineRule="auto"/>
        <w:rPr>
          <w:rFonts w:ascii="Arial" w:hAnsi="Arial" w:cs="Arial"/>
        </w:rPr>
      </w:pPr>
      <w:r>
        <w:rPr>
          <w:rFonts w:ascii="Arial" w:hAnsi="Arial" w:cs="Arial"/>
        </w:rPr>
        <w:t>Am ein bod ni yn archwilio y tu fewn i’r un ysgol ar gyfer ein prosiect ymchwil, mae yna fodd cyflwyno’r manylion i gyd gyda’r astudiaeth yma. Ar gyfer ein sefydliad PAP1 rydyn ni wedi lleoli yn Ysgol S o fewn ardal wledig yn Sir Gaerfyrddin. Am rywfaint o gefndir, ymwelwyd ag Ysgol S gan Estyn yn Ionawr 2017. Ar y pryd cafodd ei berfformiad ei weld yn rhagorol gyda disgwyliadau rhagorol am y dyfodol hefyd. Mae gan yr ysgol 96% presenoldeb ar gyfartaledd gyda 295 o blant. Dim ond 3% o ddisgyblion yr ysgol sy’n derbyn prydau bwyd am ddim yn ôl adroddiad Estyn (2017). Y grwpiau oedran sydd o dan sylw yw’r oedrannau 3 a 11 mlwydd oed. Yn ogystal â ni, mae’r ysgol wedi cyrraedd y safle 98/100 ar gyfer faint maen nhw’n gwario ar bob disgybl, gyda throsiad o £3049 y flwyddyn ar ddisgybl. At ganol addysgeg Ysgol S yw AGD, mae’r proses yn hollol naturiol ar draws pob cyfnod yr ysgol, o ganlyniad mae disgyblion yn gwbl ymwybodol o ddisgwyliadau. O fewn canfyddiadau adroddiad Estyn, mae gallu'r disgyblion i hunanwerthuso ac i werthuso gwaith cyfoedion yn arbennig.</w:t>
      </w:r>
    </w:p>
    <w:p w14:paraId="0F386C0E" w14:textId="57234915" w:rsidR="00FF7402" w:rsidRDefault="00BD7DB9" w:rsidP="00EC565D">
      <w:pPr>
        <w:spacing w:line="360" w:lineRule="auto"/>
        <w:rPr>
          <w:rFonts w:ascii="Arial" w:hAnsi="Arial" w:cs="Arial"/>
        </w:rPr>
      </w:pPr>
      <w:r>
        <w:rPr>
          <w:rFonts w:ascii="Arial" w:hAnsi="Arial" w:cs="Arial"/>
        </w:rPr>
        <w:t xml:space="preserve">Ar gyfer ein hastudiaeth gwers gyntaf, dosbarthwyd tu fewn i’r wers Fathemateg (gallu 3/gallu isaf) ym mlwyddyn 5&amp;6. Gosodir tair tasg ffocws gyda phob grŵp tu fewn i’r dosbarth. Rhannwyd yr un dasg ffocws gan y ddau grŵp canolig. Cafodd y disgyblion eu grwpio mewn grwpiau cyrhaeddiad, dosbarthwyd gwaith yn briodol ar gyfer y grwpiau gwahaniaethol. Aseswyd un plentyn ym mhob grŵp yn ogystal â chasglu arsylwad cyffredinol o'r dosbarth. I ddechrau, amlinellwyd dau blentyn i gael eu harsylwi. Dechreuodd y wers trwy ofyn cwestiynau i'r dosbarth cyfan. Roedd y disgyblion wedi llwyddo i ymgysylltu'n fawr, gyda’r cysyniad newydd ar ein thema Data yn eu herio'n briodol. Wedi’r cyflwyniad, rhoddwyd cyfle iddyn nhw i rannu eu dealltwriaeth gyda’r dull AGD ‘Bodiau i fyny’. Cafwyd cyfle yma i ragweld unrhyw unigolion dan sylw i ganolbwyntio </w:t>
      </w:r>
      <w:proofErr w:type="spellStart"/>
      <w:r>
        <w:rPr>
          <w:rFonts w:ascii="Arial" w:hAnsi="Arial" w:cs="Arial"/>
        </w:rPr>
        <w:t>arno’n</w:t>
      </w:r>
      <w:proofErr w:type="spellEnd"/>
      <w:r>
        <w:rPr>
          <w:rFonts w:ascii="Arial" w:hAnsi="Arial" w:cs="Arial"/>
        </w:rPr>
        <w:t xml:space="preserve"> fwy. Mae'n ymddangos bod disgybl 1 a disgybl 2 yn gyffrous gyda'r cyfle i glywed eu llais a gallu cyfrannu fel rhan o'r dosbarth. Mae nodiadau arsylwi o'r wers hon i weld o fewn yr atodiadau sef ffigwr 3.1.</w:t>
      </w:r>
    </w:p>
    <w:p w14:paraId="39A0B2AE" w14:textId="163483DA" w:rsidR="00792F1C" w:rsidRDefault="00BD7DB9" w:rsidP="00792F1C">
      <w:pPr>
        <w:spacing w:line="360" w:lineRule="auto"/>
        <w:rPr>
          <w:rFonts w:ascii="Arial" w:hAnsi="Arial" w:cs="Arial"/>
        </w:rPr>
      </w:pPr>
      <w:r>
        <w:rPr>
          <w:rFonts w:ascii="Arial" w:hAnsi="Arial" w:cs="Arial"/>
        </w:rPr>
        <w:t xml:space="preserve">Wedi’i eglurhad o’r cysyniad newydd ar gyfer ein thema dan sylw o drin data, anfonwyd y disgyblion i weithio ar dasgau gwahanol. Cyn hynny, dyma oedd yr ail ddefnydd o’r dull AGD ‘Bodiau i fyny’. Yr achos nesaf o’r dull yw’r cyfnod o asesu’n ffurfiannol hanner ffordd trwy’r addysgu a dysgu craidd. Ar gyfer y grwpiau canolig, gosodir iddyn nhw dudalen waith ar graffiau llinell, ac i’r gallu is, graffiau bar. Astudiwyd yr agwedd yma gan y dosbarth am gyfnod estynedig, ond dyma’r cyflwyniad o graffiau llinell i’r grwpiau canolig. Roedd yr agweddau dadansoddi y tu fewn i’r tudalennau gwaith wedi eu haddasu’n briodol ar gyfer cyrhaeddiad. Ymddangoswyd ganddynt hyder wrth ymdrin â ffocws a chyflawni'r amcan dysgu. Gwelwyd </w:t>
      </w:r>
      <w:r>
        <w:rPr>
          <w:rFonts w:ascii="Arial" w:hAnsi="Arial" w:cs="Arial"/>
        </w:rPr>
        <w:lastRenderedPageBreak/>
        <w:t xml:space="preserve">ymateb i gwestiynau sy’n ymgysylltu â'r dasg trwy gydol y wers. Gellid sylwi ar ymdriniaeth uwch gyda’r cysyniad gan ddisgybl 1, a oedd â chyrhaeddiad is na disgybl 2. Defnyddir gan y disgyblion </w:t>
      </w:r>
      <w:proofErr w:type="spellStart"/>
      <w:r>
        <w:rPr>
          <w:rFonts w:ascii="Arial" w:hAnsi="Arial" w:cs="Arial"/>
        </w:rPr>
        <w:t>yma'r</w:t>
      </w:r>
      <w:proofErr w:type="spellEnd"/>
      <w:r>
        <w:rPr>
          <w:rFonts w:ascii="Arial" w:hAnsi="Arial" w:cs="Arial"/>
        </w:rPr>
        <w:t xml:space="preserve"> dull o asesu eu dealltwriaeth nhw yn aml trwy gydol y wers er mwyn sicrhau effeithlonrwydd wrth weithio. O safbwynt yr athro, yn ystod y wers yma fe oedd y dull yn arddangos yn glir safleoedd y disgyblion gyda'u gwaith. Gallwn sylwi felly ar arwyddion o weithio'n annibynnol trwy o ganlyniad i’r asesiad ffurfiannol parhaus. Gwelwn hefyd gan ddisgybl 1 defnyddio'r meini prawf llwyddiant a chafodd ei chyd-adeiladu i gydymffurfio â'r dull cywir o ddarllen a ffurfio graffiau llinell. Ar ôl i ddisgybl 1 ddefnyddio'r dull, roedd yn amlwg eu bod yn edrych ar broses flaenorol i gefnogi eu cwestiwn cyfredol. Roedd disgybl 2 yn amlwg yn ceisio defnyddio'r cyfle i adborth nol ei ddealltwriaeth wrth i ddisgybl 2 yn troi o gwmpas yn barhaus i edrych ar y cam nesaf ac i drafod gyda’r athro. Ar ddiwedd y wers rhoddwyd cyfle iddyn nhw i adborth eu dealltwriaeth gyffredinol o’r cysyniad newydd. O ran ein disgyblion dan sylw, roedden nhw’n hyderus gyda'u gafael ar y maes.</w:t>
      </w:r>
    </w:p>
    <w:p w14:paraId="6296A39C" w14:textId="6DA7AE1E" w:rsidR="00EC565D" w:rsidRPr="00E32857" w:rsidRDefault="00EC565D" w:rsidP="00EC565D">
      <w:pPr>
        <w:spacing w:line="360" w:lineRule="auto"/>
        <w:rPr>
          <w:rFonts w:ascii="Arial" w:hAnsi="Arial" w:cs="Arial"/>
          <w:b/>
          <w:bCs/>
          <w:sz w:val="24"/>
          <w:szCs w:val="24"/>
        </w:rPr>
      </w:pPr>
      <w:r w:rsidRPr="00E32857">
        <w:rPr>
          <w:rFonts w:ascii="Arial" w:hAnsi="Arial" w:cs="Arial"/>
          <w:b/>
          <w:bCs/>
          <w:sz w:val="24"/>
          <w:szCs w:val="24"/>
        </w:rPr>
        <w:t xml:space="preserve">Astudiaeth Gwers </w:t>
      </w:r>
      <w:r>
        <w:rPr>
          <w:rFonts w:ascii="Arial" w:hAnsi="Arial" w:cs="Arial"/>
          <w:b/>
          <w:bCs/>
          <w:sz w:val="24"/>
          <w:szCs w:val="24"/>
        </w:rPr>
        <w:t>2</w:t>
      </w:r>
      <w:r w:rsidR="0001270A">
        <w:rPr>
          <w:rFonts w:ascii="Arial" w:hAnsi="Arial" w:cs="Arial"/>
          <w:b/>
          <w:bCs/>
          <w:sz w:val="24"/>
          <w:szCs w:val="24"/>
        </w:rPr>
        <w:t xml:space="preserve"> – Ffigwr 3.0</w:t>
      </w:r>
    </w:p>
    <w:p w14:paraId="688F0A62" w14:textId="00B7D4C0" w:rsidR="004D02A0" w:rsidRPr="00355A8E" w:rsidRDefault="00BD7DB9" w:rsidP="00355A8E">
      <w:pPr>
        <w:spacing w:line="360" w:lineRule="auto"/>
        <w:rPr>
          <w:rFonts w:ascii="Arial" w:hAnsi="Arial" w:cs="Arial"/>
        </w:rPr>
      </w:pPr>
      <w:r>
        <w:rPr>
          <w:rFonts w:ascii="Arial" w:hAnsi="Arial" w:cs="Arial"/>
        </w:rPr>
        <w:t>Ar ddechrau'r wers, ymgasglodd yr holl ddisgyblion ar y carped ar gyfer cyflwyno'r wers. Roedd y cyflwyniad yn fyr a myfyriodd y dosbarth yn gyflym ar agweddau allweddol ar adar a thrafodwyd. Maent eisoes wedi treulio amser ar y cysyniad yma. Eisteddodd y disgyblion yn dda ar y carped ac roeddent yn cymryd rhan mewn ateb ac ad-alw ar yr agweddau a ddarllenwyd ar y diwrnod blaenorol. Defnyddiwyd ‘Bodiau i fyny’ i gychwyn er mwyn cael gafael ar bwy oedd yn gyfarwydd â’r eirfa a’r sgiliau rhifedd rydyn Gallwn sylwi ar y disgyblion yn ystyried eu dealltwriaeth am y thema pha atebion y gallent eu rhoi. Fel y trafodwyd cyn y wers, roeddwn i a fy mhartner ymchwil eisiau edrych ar elfen benodol o AGD ar gyfer y wers mewn grŵp yn hytrach na chael cyfranogiad dosbarth cyfan ar y carped, oherwydd efallai bod rhai plant yn cael eu hanwybyddu ac yn methu â rhannu eu meddyliau. Mae nodiadau arsylwi o'r wers hon yn i weld gydag atodiadau, sef ffigwr 3.2.</w:t>
      </w:r>
    </w:p>
    <w:p w14:paraId="392A1A68" w14:textId="3127D1F5" w:rsidR="004D02A0" w:rsidRDefault="00BD7DB9" w:rsidP="00355A8E">
      <w:pPr>
        <w:spacing w:line="360" w:lineRule="auto"/>
        <w:rPr>
          <w:rFonts w:ascii="Arial" w:hAnsi="Arial" w:cs="Arial"/>
        </w:rPr>
      </w:pPr>
      <w:r>
        <w:rPr>
          <w:rFonts w:ascii="Arial" w:hAnsi="Arial" w:cs="Arial"/>
        </w:rPr>
        <w:t xml:space="preserve">Aseswyd tri disgybl gwahanol gyda’r dasg ffocws yma. Unwaith eto, roedd y disgyblion o gyrhaeddiad cymysg er mwyn helpu i gasglu ystod ehangach o ymchwil a chryfhau'r dystiolaeth y gallwn ni ei chasglu. Rhoddwyd taflenni gwaith gwahaniaethol i'r plant yn unol â'u cyrhaeddiad. Unwaith eto, fel y trafodwyd yn flaenorol i'r wers, yn lle ysgrifennu'r meini prawf llwyddiant ar y bwrdd gwyn yn yr ystafell ddosbarth i'r holl blant eu rhannu, rhoesom wahanol </w:t>
      </w:r>
      <w:proofErr w:type="spellStart"/>
      <w:r>
        <w:rPr>
          <w:rFonts w:ascii="Arial" w:hAnsi="Arial" w:cs="Arial"/>
        </w:rPr>
        <w:t>fyrddau</w:t>
      </w:r>
      <w:proofErr w:type="spellEnd"/>
      <w:r>
        <w:rPr>
          <w:rFonts w:ascii="Arial" w:hAnsi="Arial" w:cs="Arial"/>
        </w:rPr>
        <w:t xml:space="preserve"> gwyn i'r pedwar plentyn y gallent eu defnyddio i'w helpu i wneud eu gwaith. Yna, cyn mynd ati gyda’r dasg, fe oedd cyfle i ddefnyddio ein dull AGD dan sylw. Yn debyg i'r wers gyntaf, gwelwyd bod yr holl ddisgyblion a arsylwyd yn mwynhau cymryd rhan mewn dangos ‘Bodiau i fyny’.</w:t>
      </w:r>
    </w:p>
    <w:p w14:paraId="2FF5B51A" w14:textId="3D110924" w:rsidR="00E5756C" w:rsidRPr="00E5756C" w:rsidRDefault="00BD7DB9" w:rsidP="00E5756C">
      <w:pPr>
        <w:spacing w:line="360" w:lineRule="auto"/>
        <w:rPr>
          <w:rFonts w:ascii="Arial" w:hAnsi="Arial" w:cs="Arial"/>
        </w:rPr>
      </w:pPr>
      <w:r>
        <w:rPr>
          <w:rFonts w:ascii="Arial" w:hAnsi="Arial" w:cs="Arial"/>
        </w:rPr>
        <w:t xml:space="preserve">Wrth astudio’r nodiadau ar yr ail astudiaeth gwers, gwelsom fod disgybl 1 yn edrych yn barhaus i’r athrawes wrth rannu ymatebion. Caniataodd hyn iddi weithio'n annibynnol a gwirio'r holl adrannau. Fel arfer, mae Disgybl 2 wedi arfer â rhannu dealltwriaeth gydag asesiadau ffurfiannol i helpu i symud ymlaen gam wrth gam. Fodd bynnag, roedd angen rhywfaint o gefnogaeth ar ddisgybl 2 yn ogystal â defnyddio'r meini prawf llwyddiant wedi'u cyd-adeiladu. Defnyddiodd disgybl 3, yn yr un modd â disgybl 1, y meini prawf llwyddiant i weithio'n annibynnol, gan wirio adrannau wrth iddynt eu cwblhau. Dyma oedd cyfle felly i ail asesu’n ffurfiannol, dangoswyd gan bawb eu bod nhw’n gadarn. Er hynny, bu angen cefnogaeth ar </w:t>
      </w:r>
      <w:r>
        <w:rPr>
          <w:rFonts w:ascii="Arial" w:hAnsi="Arial" w:cs="Arial"/>
        </w:rPr>
        <w:lastRenderedPageBreak/>
        <w:t xml:space="preserve">ddisgybl 4 i ddarllen y meini prawf llwyddiant. Mae hyn yn nodi mae’n rhaid i’r meini prawf llwyddiant ar y cyd fod yn addas i allu'r disgyblion. Roedd disgyblion 1 a 3 yn gallu cyrchu'r dasg heb unrhyw gymorth. Arweiniodd hyn at eu bod yn gallu gweithio'n annibynnol, gan dynnu sylw at gydberthynas rhwng meini prawf llwyddiant a dysgu annibynnol o ganlyniad i asesiad ffurfiannol parhaus. Fodd bynnag, gan nad oedd y meini prawf llwyddiant yn gwbl hygyrch i ddisgyblion 2 a 4, bu angen cefnogaeth arnynt, gan ddangos ei bod yn hanfodol i'r meini prawf llwyddiant ar y cyd fod yn hygyrch er mwyn i holl gyraeddiadau’r disgyblion er mwyn caniatáu iddynt  i ddysgu yn annibynnol. </w:t>
      </w:r>
      <w:proofErr w:type="spellStart"/>
      <w:r>
        <w:rPr>
          <w:rFonts w:ascii="Arial" w:hAnsi="Arial" w:cs="Arial"/>
        </w:rPr>
        <w:t>Defnyddwyd</w:t>
      </w:r>
      <w:proofErr w:type="spellEnd"/>
      <w:r>
        <w:rPr>
          <w:rFonts w:ascii="Arial" w:hAnsi="Arial" w:cs="Arial"/>
        </w:rPr>
        <w:t xml:space="preserve"> asesu ffurfiannol yn barhaus trwy gydol y wers er mwyn mesur dealltwriaeth ac i sicrhau bod yr athro yn ymwybodol o ble mae’r disgyblion yn sefyll.</w:t>
      </w:r>
    </w:p>
    <w:p w14:paraId="0566C9F4" w14:textId="4487AE09" w:rsidR="00E5756C" w:rsidRPr="00E5756C" w:rsidRDefault="00BD7DB9" w:rsidP="00E5756C">
      <w:pPr>
        <w:spacing w:line="360" w:lineRule="auto"/>
        <w:rPr>
          <w:rFonts w:ascii="Arial" w:hAnsi="Arial" w:cs="Arial"/>
        </w:rPr>
      </w:pPr>
      <w:r>
        <w:rPr>
          <w:rFonts w:ascii="Arial" w:hAnsi="Arial" w:cs="Arial"/>
        </w:rPr>
        <w:t>Pe bawn ni’n ystyried cynnwys y wers, credaf o ganlyniad i osod meini prawf llwyddiant fesul dosbarth i'r disgyblion mai yna elfen sy’n caniatáu ffocws i’r dasg, gan fod y meini prawf llwyddiant wrth eu hymyl. Nid oedd angen iddynt edrych i fyny ar y bwrdd gwyn yn barhaus o ganlyniad i’r cyfleoedd cyson o AGD a gosodwyd gan yr athro. Fel y dangosodd disgyblion 1 a 3 yn ystod yr arsylwi. Rhoddwyd ysgogiad gweledol effeithiol i'r dysgwyr. Pan oeddent wedi cyflawni agwedd ar y meini prawf llwyddiant, byddent naill ai'n rhoi tic wrth ymyl yr un yr oeddent wedi'i gyflawni. Yna fyddant yn ei sychu oddi ar eu bwrdd gwyn i ddangos eu bod wedi cwblhau'r gydran hon o'u gwaith. Serch hynny, pan fyddwn i a fy mhartner yn mynd ati i holi dealltwriaeth gyda’r dull ‘Bodiau i fyny’, fe oedd ymatebion cadarn am eu bod â rhestr weledol o’u cynnydd.</w:t>
      </w:r>
    </w:p>
    <w:p w14:paraId="5858850E" w14:textId="527D50A6" w:rsidR="00E5756C" w:rsidRPr="00355A8E" w:rsidRDefault="00BD7DB9" w:rsidP="00E5756C">
      <w:pPr>
        <w:spacing w:line="360" w:lineRule="auto"/>
        <w:rPr>
          <w:rFonts w:ascii="Arial" w:hAnsi="Arial" w:cs="Arial"/>
        </w:rPr>
      </w:pPr>
      <w:r>
        <w:rPr>
          <w:rFonts w:ascii="Arial" w:hAnsi="Arial" w:cs="Arial"/>
        </w:rPr>
        <w:t>Trwy arsylwi a chyfweld, roedd yn amlwg y gellid gwella'r cyfleoedd o asesiad ffurfiannol yn y wers, neu i osod mwy o amrywiaeth, gallwn sylwi ar yr adborth yma o fewn ffigwr 3.3. Ymhellach, nodir gan Black a Wiliam (1998) buddion hunanasesu fel strategaeth AGD, felly gall gynnwys asesiad ticio orfodol wella'r strategaeth hon ymhellach, ac felly wella'r addysgu a'r dysgu. Roedd disgybl 4, un o'r plant cyrhaeddiad is yn y grŵp yn ei chael hi'n anodd darllen y meini prawf llwyddiant ar ei phen ei hun, sy'n ffactor allweddol os yw'r bwriad y wers yw atgyfnerthu sgiliau dysgu annibynnol. Er mwyn gwella hyn, amlygodd fy mhartner ymchwil a minnau y gallwn ni defnyddio lluniau i weithredu fel ysgogiad gweledol i helpu gyda'r plentyn i gwblhau ei gwaith yn llwyddiannus. Wrth gyfweld â’r disgyblion nododd disgybl 3 hefyd y defnydd o ddulliau arall o AGD llwyddo i sicrhau syniad gwell o ddealltwriaeth y disgyblion.</w:t>
      </w:r>
    </w:p>
    <w:p w14:paraId="5E6E12E0" w14:textId="77777777" w:rsidR="00B97259" w:rsidRPr="00355A8E" w:rsidRDefault="00B97259" w:rsidP="00355A8E">
      <w:pPr>
        <w:spacing w:line="360" w:lineRule="auto"/>
        <w:rPr>
          <w:rFonts w:ascii="Arial" w:hAnsi="Arial" w:cs="Arial"/>
          <w:b/>
          <w:bCs/>
          <w:sz w:val="24"/>
          <w:szCs w:val="24"/>
        </w:rPr>
      </w:pPr>
    </w:p>
    <w:p w14:paraId="3810A80B" w14:textId="77777777" w:rsidR="00B97259" w:rsidRDefault="00B97259" w:rsidP="001A1EEA">
      <w:pPr>
        <w:rPr>
          <w:rFonts w:ascii="Arial" w:hAnsi="Arial" w:cs="Arial"/>
          <w:b/>
          <w:bCs/>
          <w:sz w:val="24"/>
          <w:szCs w:val="24"/>
        </w:rPr>
      </w:pPr>
    </w:p>
    <w:p w14:paraId="27CE88ED" w14:textId="2ADFFC77" w:rsidR="00EC565D" w:rsidRDefault="00EC565D" w:rsidP="00EC565D">
      <w:pPr>
        <w:spacing w:line="360" w:lineRule="auto"/>
        <w:rPr>
          <w:rFonts w:ascii="Arial" w:hAnsi="Arial" w:cs="Arial"/>
          <w:b/>
          <w:bCs/>
          <w:sz w:val="24"/>
          <w:szCs w:val="24"/>
        </w:rPr>
      </w:pPr>
      <w:r>
        <w:rPr>
          <w:rFonts w:ascii="Arial" w:hAnsi="Arial" w:cs="Arial"/>
          <w:b/>
          <w:bCs/>
          <w:sz w:val="24"/>
          <w:szCs w:val="24"/>
        </w:rPr>
        <w:t>Trafodaeth o’r gwersi</w:t>
      </w:r>
    </w:p>
    <w:p w14:paraId="7D6DA62F" w14:textId="1A9C2FCE" w:rsidR="00D161ED" w:rsidRDefault="00BD7DB9" w:rsidP="00EC565D">
      <w:pPr>
        <w:spacing w:line="360" w:lineRule="auto"/>
      </w:pPr>
      <w:r>
        <w:rPr>
          <w:rFonts w:ascii="Calibri" w:hAnsi="Calibri" w:cs="Calibri"/>
        </w:rPr>
        <w:t xml:space="preserve">Darganfyddai gyda’r ymchwil bod disgyblion yn hoff iawn o’r dull. Datgelwyd nifer helaeth ohonynt mae’r dull yn un fuddiol i’r disgyblion. Nid oedd adborth negyddol tuag at y dull. Wrth ofyn i aelodau o’r grwpiau cyfweliad eu safbwynt, cawn gonsensws unfrydol o fudd ‘Bodiau i fyny’ ar lawr y dosbarth. Roeddwn i’n awyddus i holi'r grwpiau cyfweliad os oedd achosion o ddangos ymateb positif yn hytrach na chodi problem i’r athro. Doedden nhw ddim yn cytuno eu bod nhw wedi gosod ymateb positif er mwyn i’r athro symud ymlaen. Daeth hyn fel syndod i fy mhartner a minnau. Ymhellach, datgelwyd ganddyn nhw mae’r dull yn hyrwyddo teimladau cadarnhaol iddyn nhw, yn enwedig o fewn achosion o ddealltwriaeth lwyr, ac felly, pe bawn ni’n ystyried y camau nesaf, gall y dull yma yn bendant cael ei ddefnyddio i hyrwyddo Iechyd a Lles y disgyblion ar draws y cwricwlwm. O ran yr ystyr sydd i’r ymchwil, gallwn yn bendant nodi dilysrwydd y dull i godi hyder ac i fesur dealltwriaeth. Pe bawn ni’n ystyried ein hymchwil o safbwynt </w:t>
      </w:r>
      <w:r>
        <w:rPr>
          <w:rFonts w:ascii="Calibri" w:hAnsi="Calibri" w:cs="Calibri"/>
        </w:rPr>
        <w:lastRenderedPageBreak/>
        <w:t>ansoddol, fe oedd 100% o’r grwpiau cyfweliad (3/3 a 4/4) yn unfryd o’r dull fel agwedd bositif o ymarfer athro neu athrawes y tu fewn i’r dosbarth.</w:t>
      </w:r>
    </w:p>
    <w:p w14:paraId="5252A734" w14:textId="44F75844" w:rsidR="000D762E" w:rsidRDefault="00BD7DB9" w:rsidP="00EC565D">
      <w:pPr>
        <w:spacing w:line="360" w:lineRule="auto"/>
      </w:pPr>
      <w:r>
        <w:rPr>
          <w:rFonts w:ascii="Calibri" w:hAnsi="Calibri" w:cs="Calibri"/>
        </w:rPr>
        <w:tab/>
        <w:t xml:space="preserve">Mae’n bwysig i godi sut gallwn wella ar y gwersi yma, eto fe fydd ffocws uwch ar y sbectrwm eang o ddulliau AGD i gael. Gan gyfeirio yn bendant at y rhai mae’r disgyblion wedi ymgyfarwyddo. Mae'n rhaid hefyd ychwanegu, nad oedd y cwestiynau yn addas ar gyfer y grŵp cyfweliad yn y cyd-dderbyn. Er ein hymdrechion gorau i symleiddio ac i ofyn cwestiynau penagored iddynt, nad oedd yr adborth yn ddigon graenus i seilio ein rhagdybiaethau blaenorol arni. O ganlyniad i hyn, dyma elfen a fydd yn cael ei addasu gyda phrosiectau ymchwil i ddod.  Pe bawn ni’n diwygio’r wers yma ar gyfer y dosbarth nesaf, fe fydd mwy o sylw at ddulliau arall o asesiad ffurfiannol. O fewn y gwersi yma, fe oedd pwyslais ar y meini prawf llwyddiant. Cafwyd pwyslais ychwanegol tuag at yr agwedd yma o fewn y wers Mathemateg yn y CA2. Wrth fwrw golwg nol, gallwn sylwi ar faes yma fel un y gall mwy o fanylder wedi llwyddo i atgyfnerthu ein brif ffocws. Gellid hefyd ystyried gwaith </w:t>
      </w:r>
      <w:proofErr w:type="spellStart"/>
      <w:r>
        <w:rPr>
          <w:rFonts w:ascii="Calibri" w:hAnsi="Calibri" w:cs="Calibri"/>
        </w:rPr>
        <w:t>Kang</w:t>
      </w:r>
      <w:proofErr w:type="spellEnd"/>
      <w:r>
        <w:rPr>
          <w:rFonts w:ascii="Calibri" w:hAnsi="Calibri" w:cs="Calibri"/>
        </w:rPr>
        <w:t xml:space="preserve"> (2018) ar wella gwaith ymchwil. Awgryma ganddo mai dulliau ailadroddus yw modd dibynadwy o gasglu data. Yn ogystal â hyn, awgryma ganddo mae'n hollbwysig i newid cyd-destun yr asesiad er mwyn cyfoethogi’r canfyddiadau. Yn yr achos yma fe fyddwn ni’n cyflwyno cysyniad arall i’r grwpiau ffocws sy’n hybu sgiliau meddwl uwch ar bwnc gwahanol.</w:t>
      </w:r>
    </w:p>
    <w:p w14:paraId="188C894E" w14:textId="6C72346C" w:rsidR="00EC565D" w:rsidRDefault="00807C4E" w:rsidP="00EC565D">
      <w:pPr>
        <w:spacing w:line="360" w:lineRule="auto"/>
        <w:rPr>
          <w:rFonts w:ascii="Arial" w:hAnsi="Arial" w:cs="Arial"/>
          <w:b/>
          <w:bCs/>
          <w:sz w:val="24"/>
          <w:szCs w:val="24"/>
        </w:rPr>
      </w:pPr>
      <w:r>
        <w:rPr>
          <w:rFonts w:ascii="Arial" w:hAnsi="Arial" w:cs="Arial"/>
          <w:b/>
          <w:bCs/>
          <w:sz w:val="24"/>
          <w:szCs w:val="24"/>
        </w:rPr>
        <w:t xml:space="preserve">Casgliad a </w:t>
      </w:r>
      <w:r w:rsidR="00EC565D">
        <w:rPr>
          <w:rFonts w:ascii="Arial" w:hAnsi="Arial" w:cs="Arial"/>
          <w:b/>
          <w:bCs/>
          <w:sz w:val="24"/>
          <w:szCs w:val="24"/>
        </w:rPr>
        <w:t>C</w:t>
      </w:r>
      <w:r>
        <w:rPr>
          <w:rFonts w:ascii="Arial" w:hAnsi="Arial" w:cs="Arial"/>
          <w:b/>
          <w:bCs/>
          <w:sz w:val="24"/>
          <w:szCs w:val="24"/>
        </w:rPr>
        <w:t>h</w:t>
      </w:r>
      <w:r w:rsidR="00EC565D">
        <w:rPr>
          <w:rFonts w:ascii="Arial" w:hAnsi="Arial" w:cs="Arial"/>
          <w:b/>
          <w:bCs/>
          <w:sz w:val="24"/>
          <w:szCs w:val="24"/>
        </w:rPr>
        <w:t>yfyngiadau’r astudiaeth</w:t>
      </w:r>
    </w:p>
    <w:p w14:paraId="1D9E8C9F" w14:textId="75C89969" w:rsidR="00EC565D" w:rsidRDefault="00807C4E" w:rsidP="00EC565D">
      <w:pPr>
        <w:spacing w:line="360" w:lineRule="auto"/>
      </w:pPr>
      <w:r>
        <w:t>Cryfderau a chyfyngiadau'r dulliau A wnes o beilota’r dulliau? A wnaeth hyn helpu? • Beth fyddaf yn ei wneud yn fy mhrofiad ysgol nesaf?</w:t>
      </w:r>
    </w:p>
    <w:p w14:paraId="395ABE45" w14:textId="0DE42AD0" w:rsidR="005367DE" w:rsidRPr="006753BF" w:rsidRDefault="00BD7DB9" w:rsidP="006753BF">
      <w:pPr>
        <w:spacing w:line="360" w:lineRule="auto"/>
      </w:pPr>
      <w:r>
        <w:rPr>
          <w:rFonts w:ascii="Calibri" w:hAnsi="Calibri" w:cs="Calibri"/>
        </w:rPr>
        <w:t>Credaf mai’r dulliau dan sylw ar gyfer yr astudiaethau wedi profi’n addas. Elfen hanfodol o’r ymchwil i gofio yw’r diffyg cynnal dros gyfnod hir. Dyma ymchwil dros un ddiwrnod. Gallwn felly dadlau mae’r casgliadau yn brin ar lefel ddyfnach o ddata. Dyma’r cysyniad o gasglu data ar ffurf ymchwil hydredol (</w:t>
      </w:r>
      <w:proofErr w:type="spellStart"/>
      <w:r>
        <w:rPr>
          <w:rFonts w:ascii="Calibri" w:hAnsi="Calibri" w:cs="Calibri"/>
        </w:rPr>
        <w:t>longitudinal</w:t>
      </w:r>
      <w:proofErr w:type="spellEnd"/>
      <w:r>
        <w:rPr>
          <w:rFonts w:ascii="Calibri" w:hAnsi="Calibri" w:cs="Calibri"/>
        </w:rPr>
        <w:t xml:space="preserve">). Mae cytûn felly rhwng </w:t>
      </w:r>
      <w:proofErr w:type="spellStart"/>
      <w:r>
        <w:rPr>
          <w:rFonts w:ascii="Calibri" w:hAnsi="Calibri" w:cs="Calibri"/>
        </w:rPr>
        <w:t>Kang</w:t>
      </w:r>
      <w:proofErr w:type="spellEnd"/>
      <w:r>
        <w:rPr>
          <w:rFonts w:ascii="Calibri" w:hAnsi="Calibri" w:cs="Calibri"/>
        </w:rPr>
        <w:t xml:space="preserve"> (2018) a </w:t>
      </w:r>
      <w:proofErr w:type="spellStart"/>
      <w:r>
        <w:rPr>
          <w:rFonts w:ascii="Calibri" w:hAnsi="Calibri" w:cs="Calibri"/>
        </w:rPr>
        <w:t>Menard</w:t>
      </w:r>
      <w:proofErr w:type="spellEnd"/>
      <w:r>
        <w:rPr>
          <w:rFonts w:ascii="Calibri" w:hAnsi="Calibri" w:cs="Calibri"/>
        </w:rPr>
        <w:t xml:space="preserve"> (1991) mai dyma'r dull mwyaf effeithiol o gasglu data dros dymor hir. Mae’n anodd felly i gyffredinoli’r canfyddiadau ar draws yr ysgol. Er ein bod ni wedi sicrhau lefel o drawstoriad effeithiol wrth ganolbwyntio ar y Cyfnod Sylfaen a CA2, mae yna eisoes llwyth o ardaloedd dydyn ni ddim wedi eu hystyried. Noda gan </w:t>
      </w:r>
      <w:proofErr w:type="spellStart"/>
      <w:r>
        <w:rPr>
          <w:rFonts w:ascii="Calibri" w:hAnsi="Calibri" w:cs="Calibri"/>
        </w:rPr>
        <w:t>Dweck</w:t>
      </w:r>
      <w:proofErr w:type="spellEnd"/>
      <w:r>
        <w:rPr>
          <w:rFonts w:ascii="Calibri" w:hAnsi="Calibri" w:cs="Calibri"/>
        </w:rPr>
        <w:t xml:space="preserve"> (2017) Mae astudio ar feddylfryd ymysg dysgwyr wedi helpu ymchwilwyr i ddeall pa mor ifanc gall pobl ddod yn ddibynnol ar ganmoliaeth, neu ofni heriau. Credaf fod yr ymchwil yma yn cefnogi ein rhagdybiaethau blaenorol am ei fod yn cyffwrdd ar natur y cysyniad er mwyn galluogi dysgwyr yn hytrach na thynnu lawr. Ar gyfer fy mhrofiad addysgu nesaf ar draws PAP2 fe fyddai’n ystyried yr egwyddorion yma yn ddyfnach. Er mwyn sicrhau cysondeb o ran triniaeth a’r ymchwil. Bydd y dulliau yn aros yr un peth. Er hynny, credaf bydd y cyflwyniad o fwy o bynciau ymchwil yn codi allbwn y wybodaeth. Eto i gyd, pe bawn ni’n ystyried AGD yn gyffredinol a chyd-cynllunio y meini prawf llwyddiant fel un agwedd, cawn allbwn triphlyg o ddata. Dyma oedd y prif gyfyngiad i’r ymchwil.</w:t>
      </w:r>
    </w:p>
    <w:p w14:paraId="26D825DA" w14:textId="79076A06" w:rsidR="00EC565D" w:rsidRPr="00E32857" w:rsidRDefault="00EC565D" w:rsidP="00EC565D">
      <w:pPr>
        <w:spacing w:line="360" w:lineRule="auto"/>
        <w:rPr>
          <w:rFonts w:ascii="Arial" w:hAnsi="Arial" w:cs="Arial"/>
          <w:b/>
          <w:bCs/>
          <w:sz w:val="24"/>
          <w:szCs w:val="24"/>
        </w:rPr>
      </w:pPr>
      <w:r>
        <w:rPr>
          <w:rFonts w:ascii="Arial" w:hAnsi="Arial" w:cs="Arial"/>
          <w:b/>
          <w:bCs/>
          <w:sz w:val="24"/>
          <w:szCs w:val="24"/>
        </w:rPr>
        <w:t>Argymhellion</w:t>
      </w:r>
    </w:p>
    <w:p w14:paraId="40E25D58" w14:textId="4466F903" w:rsidR="00B97259" w:rsidRPr="00A37022" w:rsidRDefault="00BD7DB9" w:rsidP="00A37022">
      <w:pPr>
        <w:spacing w:line="360" w:lineRule="auto"/>
        <w:rPr>
          <w:rFonts w:cstheme="minorHAnsi"/>
        </w:rPr>
      </w:pPr>
      <w:r>
        <w:rPr>
          <w:rFonts w:ascii="Calibri" w:hAnsi="Calibri" w:cs="Calibri"/>
        </w:rPr>
        <w:t xml:space="preserve">Pe bawn ni’n cynnal yr </w:t>
      </w:r>
      <w:proofErr w:type="spellStart"/>
      <w:r>
        <w:rPr>
          <w:rFonts w:ascii="Calibri" w:hAnsi="Calibri" w:cs="Calibri"/>
        </w:rPr>
        <w:t>ymwchil</w:t>
      </w:r>
      <w:proofErr w:type="spellEnd"/>
      <w:r>
        <w:rPr>
          <w:rFonts w:ascii="Calibri" w:hAnsi="Calibri" w:cs="Calibri"/>
        </w:rPr>
        <w:t xml:space="preserve"> eto, rydyn ni wedi darganfod y gallwn ni ffocysu yn fwy ar yr ystod eang o ddulliau AGD sydd ar waith ar lawr y dosbarth. Nid yn unig y rhai sydd wedi ei arwain gan athrawon, ond hefyd y rhai mae’r disgyblion yn gyfrifol drosti. Enghreifftiau o rhain bydd Asesu-Cyfoedion, y cysyniad o rannu gwaith ymysg ei gilydd a’i asesu, a chyd-cynllunio y meini prawf llwyddiant. Er mwyn datblygu’r atebion i lefel uwch, fe fyddwn ni’n seilio’r </w:t>
      </w:r>
      <w:r>
        <w:rPr>
          <w:rFonts w:ascii="Calibri" w:hAnsi="Calibri" w:cs="Calibri"/>
        </w:rPr>
        <w:lastRenderedPageBreak/>
        <w:t>cyfweliadau cyfan yn CA2 er mwyn caniatáu fwy ac atebion craidd ar y pynciau dan sylw. Mae’n bosib gafael ar yr ymchwil sydd gennym er mwyn ei ychwanegu at waith ymchwil ar lefel uwch. Hynny yw, gyda chynnwys ein gwaith ymchwil ni mae yna fodd cyfuno ag astudiaethau eraill ar draws y cyfnod o PAP2.  Gall ein canfyddiadau lywio ein hymchwil pellach ar y maes trwy osod y cyd-destun sydd ei hangen arnom wrth asesu’n ffurfiannol ar lawr y dosbarth. Credaf fod y canfyddiadau wedi codi ein hymwybyddiaeth o egwyddorion meddylfryd twf fel athro, yn ogystal â sut gallwn ni cyflwyno’r cysyniad i ddisgyblion</w:t>
      </w:r>
      <w:bookmarkStart w:id="1" w:name="_GoBack"/>
      <w:bookmarkEnd w:id="1"/>
      <w:r>
        <w:rPr>
          <w:rFonts w:ascii="Calibri" w:hAnsi="Calibri" w:cs="Calibri"/>
        </w:rPr>
        <w:t>. Un ddadl arall i’w ystyried yw pe bawn ni’n cynnal astudiaeth gwers arall bydd i sicrhau rhywfaint o dystiolaeth papur gan y disgyblion ar y ffordd allan yn hytrach nag adborth lleisiol yn unig. Er enghraifft, mi fydd y cyflwyniad o ‘</w:t>
      </w:r>
      <w:proofErr w:type="spellStart"/>
      <w:r>
        <w:rPr>
          <w:rFonts w:ascii="Calibri" w:hAnsi="Calibri" w:cs="Calibri"/>
        </w:rPr>
        <w:t>exit</w:t>
      </w:r>
      <w:proofErr w:type="spellEnd"/>
      <w:r>
        <w:rPr>
          <w:rFonts w:ascii="Calibri" w:hAnsi="Calibri" w:cs="Calibri"/>
        </w:rPr>
        <w:t xml:space="preserve"> </w:t>
      </w:r>
      <w:proofErr w:type="spellStart"/>
      <w:r>
        <w:rPr>
          <w:rFonts w:ascii="Calibri" w:hAnsi="Calibri" w:cs="Calibri"/>
        </w:rPr>
        <w:t>cards</w:t>
      </w:r>
      <w:proofErr w:type="spellEnd"/>
      <w:r>
        <w:rPr>
          <w:rFonts w:ascii="Calibri" w:hAnsi="Calibri" w:cs="Calibri"/>
        </w:rPr>
        <w:t>’ wedi atgyfnerthu’n ein data craidd yn uwch. Yn ogystal â ni, bydd yr adborth ddim wedi’i recordio o safbwynt arweiniol yr ymchwilydd; cawn adborth hollol ddiduedd y cyfranogwr. Yn bendant gallaf gyfeirio at adrannau o’r ymchwil y gall helpu’r sgiliau dan sylw ymlaen pan fyddai’n ymchwilio y tro nesaf. Hynny yw, cyfuno’r agweddau o lenyddiaeth gydag ein dulliau ni o ymchwilio. Credaf roedd y dewis o blethu damcaniaethau Gibbs (1998) a Brookfield (2004) yn addas ar gyfer ein hymchwil ni am ei fod yn gofyn am driniaeth strwythuredig.</w:t>
      </w:r>
    </w:p>
    <w:p w14:paraId="6E90FE2D" w14:textId="77777777" w:rsidR="00B97259" w:rsidRDefault="00B97259" w:rsidP="001A1EEA">
      <w:pPr>
        <w:rPr>
          <w:rFonts w:ascii="Arial" w:hAnsi="Arial" w:cs="Arial"/>
          <w:b/>
          <w:bCs/>
          <w:sz w:val="24"/>
          <w:szCs w:val="24"/>
        </w:rPr>
      </w:pPr>
    </w:p>
    <w:p w14:paraId="39AF0BB3" w14:textId="77777777" w:rsidR="00B97259" w:rsidRDefault="00B97259" w:rsidP="001A1EEA">
      <w:pPr>
        <w:rPr>
          <w:rFonts w:ascii="Arial" w:hAnsi="Arial" w:cs="Arial"/>
          <w:b/>
          <w:bCs/>
          <w:sz w:val="24"/>
          <w:szCs w:val="24"/>
        </w:rPr>
      </w:pPr>
    </w:p>
    <w:p w14:paraId="4527BF19" w14:textId="77777777" w:rsidR="000E7613" w:rsidRDefault="000E7613" w:rsidP="001A1EEA">
      <w:pPr>
        <w:rPr>
          <w:rFonts w:ascii="Arial" w:hAnsi="Arial" w:cs="Arial"/>
          <w:b/>
          <w:bCs/>
          <w:sz w:val="24"/>
          <w:szCs w:val="24"/>
        </w:rPr>
      </w:pPr>
    </w:p>
    <w:p w14:paraId="0E807893" w14:textId="77777777" w:rsidR="000E7613" w:rsidRDefault="000E7613" w:rsidP="001A1EEA">
      <w:pPr>
        <w:rPr>
          <w:rFonts w:ascii="Arial" w:hAnsi="Arial" w:cs="Arial"/>
          <w:b/>
          <w:bCs/>
          <w:sz w:val="24"/>
          <w:szCs w:val="24"/>
        </w:rPr>
      </w:pPr>
    </w:p>
    <w:p w14:paraId="60B360DC" w14:textId="77777777" w:rsidR="000E7613" w:rsidRDefault="000E7613" w:rsidP="001A1EEA">
      <w:pPr>
        <w:rPr>
          <w:rFonts w:ascii="Arial" w:hAnsi="Arial" w:cs="Arial"/>
          <w:b/>
          <w:bCs/>
          <w:sz w:val="24"/>
          <w:szCs w:val="24"/>
        </w:rPr>
      </w:pPr>
    </w:p>
    <w:p w14:paraId="437CCCA6" w14:textId="77777777" w:rsidR="000E7613" w:rsidRDefault="000E7613" w:rsidP="001A1EEA">
      <w:pPr>
        <w:rPr>
          <w:rFonts w:ascii="Arial" w:hAnsi="Arial" w:cs="Arial"/>
          <w:b/>
          <w:bCs/>
          <w:sz w:val="24"/>
          <w:szCs w:val="24"/>
        </w:rPr>
      </w:pPr>
    </w:p>
    <w:p w14:paraId="64C75D70" w14:textId="77777777" w:rsidR="000E7613" w:rsidRDefault="000E7613" w:rsidP="001A1EEA">
      <w:pPr>
        <w:rPr>
          <w:rFonts w:ascii="Arial" w:hAnsi="Arial" w:cs="Arial"/>
          <w:b/>
          <w:bCs/>
          <w:sz w:val="24"/>
          <w:szCs w:val="24"/>
        </w:rPr>
      </w:pPr>
    </w:p>
    <w:p w14:paraId="136EAEAD" w14:textId="77777777" w:rsidR="000E7613" w:rsidRDefault="000E7613" w:rsidP="001A1EEA">
      <w:pPr>
        <w:rPr>
          <w:rFonts w:ascii="Arial" w:hAnsi="Arial" w:cs="Arial"/>
          <w:b/>
          <w:bCs/>
          <w:sz w:val="24"/>
          <w:szCs w:val="24"/>
        </w:rPr>
      </w:pPr>
    </w:p>
    <w:p w14:paraId="7FE1ACF0" w14:textId="77777777" w:rsidR="000E7613" w:rsidRDefault="000E7613" w:rsidP="001A1EEA">
      <w:pPr>
        <w:rPr>
          <w:rFonts w:ascii="Arial" w:hAnsi="Arial" w:cs="Arial"/>
          <w:b/>
          <w:bCs/>
          <w:sz w:val="24"/>
          <w:szCs w:val="24"/>
        </w:rPr>
      </w:pPr>
    </w:p>
    <w:p w14:paraId="1A7C00E7" w14:textId="77777777" w:rsidR="000E7613" w:rsidRDefault="000E7613" w:rsidP="001A1EEA">
      <w:pPr>
        <w:rPr>
          <w:rFonts w:ascii="Arial" w:hAnsi="Arial" w:cs="Arial"/>
          <w:b/>
          <w:bCs/>
          <w:sz w:val="24"/>
          <w:szCs w:val="24"/>
        </w:rPr>
      </w:pPr>
    </w:p>
    <w:p w14:paraId="5B0CE613" w14:textId="77777777" w:rsidR="000E7613" w:rsidRDefault="000E7613" w:rsidP="001A1EEA">
      <w:pPr>
        <w:rPr>
          <w:rFonts w:ascii="Arial" w:hAnsi="Arial" w:cs="Arial"/>
          <w:b/>
          <w:bCs/>
          <w:sz w:val="24"/>
          <w:szCs w:val="24"/>
        </w:rPr>
      </w:pPr>
    </w:p>
    <w:p w14:paraId="6311D55B" w14:textId="77777777" w:rsidR="000E7613" w:rsidRDefault="000E7613" w:rsidP="001A1EEA">
      <w:pPr>
        <w:rPr>
          <w:rFonts w:ascii="Arial" w:hAnsi="Arial" w:cs="Arial"/>
          <w:b/>
          <w:bCs/>
          <w:sz w:val="24"/>
          <w:szCs w:val="24"/>
        </w:rPr>
      </w:pPr>
    </w:p>
    <w:p w14:paraId="41FBA0C5" w14:textId="77777777" w:rsidR="000E7613" w:rsidRDefault="000E7613" w:rsidP="001A1EEA">
      <w:pPr>
        <w:rPr>
          <w:rFonts w:ascii="Arial" w:hAnsi="Arial" w:cs="Arial"/>
          <w:b/>
          <w:bCs/>
          <w:sz w:val="24"/>
          <w:szCs w:val="24"/>
        </w:rPr>
      </w:pPr>
    </w:p>
    <w:p w14:paraId="34578C78" w14:textId="77777777" w:rsidR="000E7613" w:rsidRDefault="000E7613" w:rsidP="001A1EEA">
      <w:pPr>
        <w:rPr>
          <w:rFonts w:ascii="Arial" w:hAnsi="Arial" w:cs="Arial"/>
          <w:b/>
          <w:bCs/>
          <w:sz w:val="24"/>
          <w:szCs w:val="24"/>
        </w:rPr>
      </w:pPr>
    </w:p>
    <w:p w14:paraId="33AC732D" w14:textId="77777777" w:rsidR="000E7613" w:rsidRDefault="000E7613" w:rsidP="001A1EEA">
      <w:pPr>
        <w:rPr>
          <w:rFonts w:ascii="Arial" w:hAnsi="Arial" w:cs="Arial"/>
          <w:b/>
          <w:bCs/>
          <w:sz w:val="24"/>
          <w:szCs w:val="24"/>
        </w:rPr>
      </w:pPr>
    </w:p>
    <w:p w14:paraId="0826DC19" w14:textId="77777777" w:rsidR="000E7613" w:rsidRDefault="000E7613" w:rsidP="001A1EEA">
      <w:pPr>
        <w:rPr>
          <w:rFonts w:ascii="Arial" w:hAnsi="Arial" w:cs="Arial"/>
          <w:b/>
          <w:bCs/>
          <w:sz w:val="24"/>
          <w:szCs w:val="24"/>
        </w:rPr>
      </w:pPr>
    </w:p>
    <w:p w14:paraId="1D665512" w14:textId="77777777" w:rsidR="000E7613" w:rsidRDefault="000E7613" w:rsidP="001A1EEA">
      <w:pPr>
        <w:rPr>
          <w:rFonts w:ascii="Arial" w:hAnsi="Arial" w:cs="Arial"/>
          <w:b/>
          <w:bCs/>
          <w:sz w:val="24"/>
          <w:szCs w:val="24"/>
        </w:rPr>
      </w:pPr>
    </w:p>
    <w:p w14:paraId="4741E659" w14:textId="77777777" w:rsidR="000E7613" w:rsidRDefault="000E7613" w:rsidP="001A1EEA">
      <w:pPr>
        <w:rPr>
          <w:rFonts w:ascii="Arial" w:hAnsi="Arial" w:cs="Arial"/>
          <w:b/>
          <w:bCs/>
          <w:sz w:val="24"/>
          <w:szCs w:val="24"/>
        </w:rPr>
      </w:pPr>
    </w:p>
    <w:p w14:paraId="0995F76B" w14:textId="77777777" w:rsidR="000E7613" w:rsidRDefault="000E7613" w:rsidP="001A1EEA">
      <w:pPr>
        <w:rPr>
          <w:rFonts w:ascii="Arial" w:hAnsi="Arial" w:cs="Arial"/>
          <w:b/>
          <w:bCs/>
          <w:sz w:val="24"/>
          <w:szCs w:val="24"/>
        </w:rPr>
      </w:pPr>
    </w:p>
    <w:p w14:paraId="464D89C1" w14:textId="77777777" w:rsidR="002811A8" w:rsidRDefault="002811A8" w:rsidP="001A1EEA">
      <w:pPr>
        <w:rPr>
          <w:rFonts w:ascii="Arial" w:hAnsi="Arial" w:cs="Arial"/>
          <w:b/>
          <w:bCs/>
          <w:sz w:val="24"/>
          <w:szCs w:val="24"/>
        </w:rPr>
      </w:pPr>
    </w:p>
    <w:p w14:paraId="6F42FF14" w14:textId="14456C04" w:rsidR="00BA5030" w:rsidRPr="00B97259" w:rsidRDefault="00BA5030" w:rsidP="001A1EEA">
      <w:pPr>
        <w:rPr>
          <w:rFonts w:ascii="Arial" w:hAnsi="Arial" w:cs="Arial"/>
          <w:b/>
          <w:bCs/>
          <w:sz w:val="24"/>
          <w:szCs w:val="24"/>
        </w:rPr>
      </w:pPr>
      <w:r w:rsidRPr="00B97259">
        <w:rPr>
          <w:rFonts w:ascii="Arial" w:hAnsi="Arial" w:cs="Arial"/>
          <w:b/>
          <w:bCs/>
          <w:sz w:val="24"/>
          <w:szCs w:val="24"/>
        </w:rPr>
        <w:t>Cyfeiriadau</w:t>
      </w:r>
    </w:p>
    <w:p w14:paraId="4E05D6C3" w14:textId="5AD03A56" w:rsidR="00BA5030" w:rsidRPr="00BA5030" w:rsidRDefault="00BA5030" w:rsidP="00BA5030">
      <w:pPr>
        <w:spacing w:line="480" w:lineRule="auto"/>
        <w:contextualSpacing/>
        <w:rPr>
          <w:rFonts w:ascii="Arial" w:hAnsi="Arial" w:cs="Arial"/>
        </w:rPr>
      </w:pPr>
      <w:r w:rsidRPr="00BA5030">
        <w:rPr>
          <w:rFonts w:ascii="Arial" w:hAnsi="Arial" w:cs="Arial"/>
        </w:rPr>
        <w:lastRenderedPageBreak/>
        <w:t>BERA</w:t>
      </w:r>
      <w:r w:rsidR="005D0C91">
        <w:rPr>
          <w:rFonts w:ascii="Arial" w:hAnsi="Arial" w:cs="Arial"/>
        </w:rPr>
        <w:t>.</w:t>
      </w:r>
      <w:r w:rsidRPr="00BA5030">
        <w:rPr>
          <w:rFonts w:ascii="Arial" w:hAnsi="Arial" w:cs="Arial"/>
        </w:rPr>
        <w:t xml:space="preserve"> (2018) Ethical Guidelines for Educational Research. London: BERA.</w:t>
      </w:r>
    </w:p>
    <w:p w14:paraId="04D78FB9" w14:textId="35F7EC5E" w:rsidR="00BA5030" w:rsidRDefault="00BA5030" w:rsidP="00BA5030">
      <w:pPr>
        <w:spacing w:line="480" w:lineRule="auto"/>
        <w:contextualSpacing/>
        <w:rPr>
          <w:rFonts w:ascii="Arial" w:hAnsi="Arial" w:cs="Arial"/>
        </w:rPr>
      </w:pPr>
      <w:r w:rsidRPr="00BA5030">
        <w:rPr>
          <w:rFonts w:ascii="Arial" w:hAnsi="Arial" w:cs="Arial"/>
        </w:rPr>
        <w:t>Black, P. and William, D. (1998) Inside the Black Box: Raising Standards Through Classroom Assessment. King’s College London School of Education.</w:t>
      </w:r>
    </w:p>
    <w:p w14:paraId="0333B043" w14:textId="5DE1FCD3" w:rsidR="003370B9" w:rsidRDefault="003370B9" w:rsidP="00BA5030">
      <w:pPr>
        <w:spacing w:line="480" w:lineRule="auto"/>
        <w:contextualSpacing/>
        <w:rPr>
          <w:rFonts w:ascii="Arial" w:hAnsi="Arial" w:cs="Arial"/>
        </w:rPr>
      </w:pPr>
      <w:r>
        <w:rPr>
          <w:rFonts w:ascii="Arial" w:hAnsi="Arial" w:cs="Arial"/>
        </w:rPr>
        <w:t>Black, P. and William, D. (2004) Working inside the Black Box: Assessment for Learning in the Classroom. Published by GL Assessment, London.</w:t>
      </w:r>
    </w:p>
    <w:p w14:paraId="4481DD43" w14:textId="108E66B9" w:rsidR="00C5574E" w:rsidRPr="00BA5030" w:rsidRDefault="00C5574E" w:rsidP="00BA5030">
      <w:pPr>
        <w:spacing w:line="480" w:lineRule="auto"/>
        <w:contextualSpacing/>
        <w:rPr>
          <w:rFonts w:ascii="Arial" w:hAnsi="Arial" w:cs="Arial"/>
        </w:rPr>
      </w:pPr>
      <w:r w:rsidRPr="00C5574E">
        <w:rPr>
          <w:rFonts w:ascii="Arial" w:hAnsi="Arial" w:cs="Arial"/>
        </w:rPr>
        <w:t>Brookfield, S. (2005) Becoming a Critically Reflective Teacher. San Francisco. Jossey Bass.</w:t>
      </w:r>
    </w:p>
    <w:p w14:paraId="0BCB92B5" w14:textId="2263D00D" w:rsidR="00BA5030" w:rsidRDefault="00BA5030" w:rsidP="00BA5030">
      <w:pPr>
        <w:spacing w:line="480" w:lineRule="auto"/>
        <w:contextualSpacing/>
        <w:rPr>
          <w:rFonts w:ascii="Arial" w:hAnsi="Arial" w:cs="Arial"/>
        </w:rPr>
      </w:pPr>
      <w:r w:rsidRPr="00BA5030">
        <w:rPr>
          <w:rFonts w:ascii="Arial" w:hAnsi="Arial" w:cs="Arial"/>
        </w:rPr>
        <w:t>Cohen, L., Manion, L and Morrison, K. (2011) Research Methods in Education. Oxon: Routledge.</w:t>
      </w:r>
    </w:p>
    <w:p w14:paraId="6A313B4B" w14:textId="407A1A50" w:rsidR="002C641F" w:rsidRPr="00BA5030" w:rsidRDefault="002C641F" w:rsidP="00BA5030">
      <w:pPr>
        <w:spacing w:line="480" w:lineRule="auto"/>
        <w:contextualSpacing/>
        <w:rPr>
          <w:rFonts w:ascii="Arial" w:hAnsi="Arial" w:cs="Arial"/>
        </w:rPr>
      </w:pPr>
      <w:r w:rsidRPr="002C641F">
        <w:rPr>
          <w:rFonts w:ascii="Arial" w:hAnsi="Arial" w:cs="Arial"/>
        </w:rPr>
        <w:t>Cerbin, W. and Kopp, B. (2006) Lesson study as a model for Building Pedagogical Knowledge and Improving Teaching. International Journal of Teachnig and Learning in Higher Education.</w:t>
      </w:r>
    </w:p>
    <w:p w14:paraId="1D9E3C12" w14:textId="38C59D6B" w:rsidR="00BA5030" w:rsidRDefault="00BA5030" w:rsidP="00BA5030">
      <w:pPr>
        <w:spacing w:line="480" w:lineRule="auto"/>
        <w:contextualSpacing/>
        <w:rPr>
          <w:rFonts w:ascii="Arial" w:hAnsi="Arial" w:cs="Arial"/>
        </w:rPr>
      </w:pPr>
      <w:r w:rsidRPr="00BA5030">
        <w:rPr>
          <w:rFonts w:ascii="Arial" w:hAnsi="Arial" w:cs="Arial"/>
        </w:rPr>
        <w:t>Donaldson, G. (2015) Successful Futures. Cardiff: Welsh Government.</w:t>
      </w:r>
    </w:p>
    <w:p w14:paraId="1034E20C" w14:textId="192104C1" w:rsidR="008F41D7" w:rsidRDefault="008F41D7" w:rsidP="00BA5030">
      <w:pPr>
        <w:spacing w:line="480" w:lineRule="auto"/>
        <w:contextualSpacing/>
        <w:rPr>
          <w:rFonts w:ascii="Arial" w:hAnsi="Arial" w:cs="Arial"/>
        </w:rPr>
      </w:pPr>
      <w:r w:rsidRPr="008F41D7">
        <w:rPr>
          <w:rFonts w:ascii="Arial" w:hAnsi="Arial" w:cs="Arial"/>
        </w:rPr>
        <w:t>Dudley, P. (201</w:t>
      </w:r>
      <w:r>
        <w:rPr>
          <w:rFonts w:ascii="Arial" w:hAnsi="Arial" w:cs="Arial"/>
        </w:rPr>
        <w:t>4</w:t>
      </w:r>
      <w:r w:rsidRPr="008F41D7">
        <w:rPr>
          <w:rFonts w:ascii="Arial" w:hAnsi="Arial" w:cs="Arial"/>
        </w:rPr>
        <w:t>) How Lesson Study Works and why it creates excellent learning and teaching in Dudley, P. (Ed.) Lesson Study: Professional Learning for our time, London, Routledge,</w:t>
      </w:r>
    </w:p>
    <w:p w14:paraId="22C0237A" w14:textId="6B7580CF" w:rsidR="00D26BB7" w:rsidRDefault="00D26BB7" w:rsidP="00BA5030">
      <w:pPr>
        <w:spacing w:line="480" w:lineRule="auto"/>
        <w:contextualSpacing/>
        <w:rPr>
          <w:rFonts w:ascii="Arial" w:hAnsi="Arial" w:cs="Arial"/>
        </w:rPr>
      </w:pPr>
      <w:r w:rsidRPr="00D26BB7">
        <w:rPr>
          <w:rFonts w:ascii="Arial" w:hAnsi="Arial" w:cs="Arial"/>
        </w:rPr>
        <w:t>Dweck, C. (2017). Mindset: changing the way you think to fulfil your potential. Hachette UK.</w:t>
      </w:r>
    </w:p>
    <w:p w14:paraId="15DB87BB" w14:textId="0E4FDD7D" w:rsidR="00A90315" w:rsidRDefault="00A90315" w:rsidP="00BA5030">
      <w:pPr>
        <w:spacing w:line="480" w:lineRule="auto"/>
        <w:contextualSpacing/>
        <w:rPr>
          <w:rFonts w:ascii="Arial" w:hAnsi="Arial" w:cs="Arial"/>
        </w:rPr>
      </w:pPr>
      <w:r>
        <w:rPr>
          <w:rFonts w:ascii="Arial" w:hAnsi="Arial" w:cs="Arial"/>
        </w:rPr>
        <w:t xml:space="preserve">Dweck, C. (2006). </w:t>
      </w:r>
      <w:r w:rsidRPr="00A90315">
        <w:rPr>
          <w:rFonts w:ascii="Arial" w:hAnsi="Arial" w:cs="Arial"/>
        </w:rPr>
        <w:t>Mindset: The New Psychology of Success</w:t>
      </w:r>
      <w:r>
        <w:rPr>
          <w:rFonts w:ascii="Arial" w:hAnsi="Arial" w:cs="Arial"/>
        </w:rPr>
        <w:t>, New York. Random House.</w:t>
      </w:r>
    </w:p>
    <w:p w14:paraId="7A18BB26" w14:textId="6AE03535" w:rsidR="000512F6" w:rsidRDefault="000512F6" w:rsidP="00BA5030">
      <w:pPr>
        <w:spacing w:line="480" w:lineRule="auto"/>
        <w:contextualSpacing/>
        <w:rPr>
          <w:rFonts w:ascii="Arial" w:hAnsi="Arial" w:cs="Arial"/>
        </w:rPr>
      </w:pPr>
      <w:r w:rsidRPr="000512F6">
        <w:rPr>
          <w:rFonts w:ascii="Arial" w:hAnsi="Arial" w:cs="Arial"/>
        </w:rPr>
        <w:t xml:space="preserve">Estyn  (2018). Estyn: "A report on Ysgol Gynradd </w:t>
      </w:r>
      <w:r w:rsidRPr="000512F6">
        <w:rPr>
          <w:rFonts w:ascii="Arial" w:hAnsi="Arial" w:cs="Arial"/>
          <w:highlight w:val="black"/>
        </w:rPr>
        <w:t xml:space="preserve">Saron </w:t>
      </w:r>
      <w:r w:rsidRPr="005C3E73">
        <w:rPr>
          <w:rFonts w:ascii="Arial" w:hAnsi="Arial" w:cs="Arial"/>
          <w:highlight w:val="black"/>
        </w:rPr>
        <w:t>Saron Ammanford</w:t>
      </w:r>
      <w:r w:rsidRPr="000512F6">
        <w:rPr>
          <w:rFonts w:ascii="Arial" w:hAnsi="Arial" w:cs="Arial"/>
        </w:rPr>
        <w:t xml:space="preserve">". Available at: https://www.estyn.gov.wales/provider/ysgol-gynradd-saron. [Accessed </w:t>
      </w:r>
      <w:r w:rsidR="00360C6E">
        <w:rPr>
          <w:rFonts w:ascii="Arial" w:hAnsi="Arial" w:cs="Arial"/>
        </w:rPr>
        <w:t>14/02</w:t>
      </w:r>
      <w:r w:rsidRPr="000512F6">
        <w:rPr>
          <w:rFonts w:ascii="Arial" w:hAnsi="Arial" w:cs="Arial"/>
        </w:rPr>
        <w:t xml:space="preserve"> 20</w:t>
      </w:r>
      <w:r w:rsidR="00360C6E">
        <w:rPr>
          <w:rFonts w:ascii="Arial" w:hAnsi="Arial" w:cs="Arial"/>
        </w:rPr>
        <w:t>20</w:t>
      </w:r>
      <w:r w:rsidRPr="000512F6">
        <w:rPr>
          <w:rFonts w:ascii="Arial" w:hAnsi="Arial" w:cs="Arial"/>
        </w:rPr>
        <w:t>].</w:t>
      </w:r>
    </w:p>
    <w:p w14:paraId="71E72B13" w14:textId="7DA2706E" w:rsidR="00207921" w:rsidRPr="00BA5030" w:rsidRDefault="00207921" w:rsidP="00BA5030">
      <w:pPr>
        <w:spacing w:line="480" w:lineRule="auto"/>
        <w:contextualSpacing/>
        <w:rPr>
          <w:rFonts w:ascii="Arial" w:hAnsi="Arial" w:cs="Arial"/>
        </w:rPr>
      </w:pPr>
      <w:r w:rsidRPr="00207921">
        <w:rPr>
          <w:rFonts w:ascii="Arial" w:hAnsi="Arial" w:cs="Arial"/>
        </w:rPr>
        <w:t>Flick, U. (2009). An introduction to qualitative research (4th ed.). Sage Publications Ltd.</w:t>
      </w:r>
    </w:p>
    <w:p w14:paraId="1339EAD2" w14:textId="51B98356" w:rsidR="00BA5030" w:rsidRDefault="00BA5030" w:rsidP="00BA5030">
      <w:pPr>
        <w:spacing w:line="480" w:lineRule="auto"/>
        <w:contextualSpacing/>
        <w:rPr>
          <w:rFonts w:ascii="Arial" w:hAnsi="Arial" w:cs="Arial"/>
        </w:rPr>
      </w:pPr>
      <w:r w:rsidRPr="00BA5030">
        <w:rPr>
          <w:rFonts w:ascii="Arial" w:hAnsi="Arial" w:cs="Arial"/>
        </w:rPr>
        <w:t>Glasson , T. (2009)</w:t>
      </w:r>
      <w:r w:rsidR="002017B9">
        <w:rPr>
          <w:rFonts w:ascii="Arial" w:hAnsi="Arial" w:cs="Arial"/>
        </w:rPr>
        <w:t>.</w:t>
      </w:r>
      <w:r w:rsidRPr="00BA5030">
        <w:rPr>
          <w:rFonts w:ascii="Arial" w:hAnsi="Arial" w:cs="Arial"/>
        </w:rPr>
        <w:t xml:space="preserve"> Improving student Achievement: a practical guide to assessment for learning . Victoria: Curriculum Corporation.</w:t>
      </w:r>
    </w:p>
    <w:p w14:paraId="7D077B6F" w14:textId="38F6552F" w:rsidR="00207921" w:rsidRDefault="00C5574E" w:rsidP="00BA5030">
      <w:pPr>
        <w:spacing w:line="480" w:lineRule="auto"/>
        <w:contextualSpacing/>
        <w:rPr>
          <w:rFonts w:ascii="Arial" w:hAnsi="Arial" w:cs="Arial"/>
        </w:rPr>
      </w:pPr>
      <w:r w:rsidRPr="00C5574E">
        <w:rPr>
          <w:rFonts w:ascii="Arial" w:hAnsi="Arial" w:cs="Arial"/>
        </w:rPr>
        <w:t>Gibbs G (1988). Learning by Doing: A guide to teaching and learning methods. Further Education Unit. Oxford Polytechnic: Oxford.</w:t>
      </w:r>
    </w:p>
    <w:p w14:paraId="5D2ECF34" w14:textId="043269B1" w:rsidR="006D7E47" w:rsidRDefault="006D7E47" w:rsidP="00BA5030">
      <w:pPr>
        <w:spacing w:line="480" w:lineRule="auto"/>
        <w:contextualSpacing/>
        <w:rPr>
          <w:rFonts w:ascii="Arial" w:hAnsi="Arial" w:cs="Arial"/>
        </w:rPr>
      </w:pPr>
      <w:r w:rsidRPr="006D7E47">
        <w:rPr>
          <w:rFonts w:ascii="Arial" w:hAnsi="Arial" w:cs="Arial"/>
        </w:rPr>
        <w:t>Graham, S. and Folkes, V. (2014) Attribution Theory: Applications to Achievment, Mental Health, and Interpersonal Conflict. Psychology Press, New York &amp; London.</w:t>
      </w:r>
    </w:p>
    <w:p w14:paraId="1D0D4EAB" w14:textId="2A8CA1C3" w:rsidR="00385669" w:rsidRDefault="00385669" w:rsidP="00BA5030">
      <w:pPr>
        <w:spacing w:line="480" w:lineRule="auto"/>
        <w:contextualSpacing/>
        <w:rPr>
          <w:rFonts w:ascii="Arial" w:hAnsi="Arial" w:cs="Arial"/>
        </w:rPr>
      </w:pPr>
      <w:r>
        <w:rPr>
          <w:rFonts w:ascii="Arial" w:hAnsi="Arial" w:cs="Arial"/>
        </w:rPr>
        <w:t>Gravells, A. (2013) Passing Assessments for the Award in Education &amp; Training. Sage Publications. London.</w:t>
      </w:r>
    </w:p>
    <w:p w14:paraId="679E7B6E" w14:textId="4AA71AB2" w:rsidR="00BA5030" w:rsidRDefault="00BA5030" w:rsidP="00BA5030">
      <w:pPr>
        <w:spacing w:line="480" w:lineRule="auto"/>
        <w:contextualSpacing/>
        <w:rPr>
          <w:rFonts w:ascii="Arial" w:hAnsi="Arial" w:cs="Arial"/>
        </w:rPr>
      </w:pPr>
      <w:r w:rsidRPr="00BA5030">
        <w:rPr>
          <w:rFonts w:ascii="Arial" w:hAnsi="Arial" w:cs="Arial"/>
        </w:rPr>
        <w:t>Hattie, J. (2012) Visible Learning for Teachers: Minimizing impact on Learning. Routledge.</w:t>
      </w:r>
    </w:p>
    <w:p w14:paraId="07B7ED6B" w14:textId="54F06550" w:rsidR="004B37BE" w:rsidRDefault="004B37BE" w:rsidP="00BA5030">
      <w:pPr>
        <w:spacing w:line="480" w:lineRule="auto"/>
        <w:contextualSpacing/>
        <w:rPr>
          <w:rFonts w:ascii="Arial" w:hAnsi="Arial" w:cs="Arial"/>
        </w:rPr>
      </w:pPr>
      <w:r w:rsidRPr="004B37BE">
        <w:rPr>
          <w:rFonts w:ascii="Arial" w:hAnsi="Arial" w:cs="Arial"/>
        </w:rPr>
        <w:t>Hiebert, J., Gallimore, R., &amp; Stigler, J. (2002). A knowledge base for the teaching profession: What would it look like and how can we get one? Educational Researcher</w:t>
      </w:r>
      <w:r w:rsidR="002017B9">
        <w:rPr>
          <w:rFonts w:ascii="Arial" w:hAnsi="Arial" w:cs="Arial"/>
        </w:rPr>
        <w:t>.</w:t>
      </w:r>
    </w:p>
    <w:p w14:paraId="323DDF81" w14:textId="4F1E7A18" w:rsidR="004D1145" w:rsidRDefault="004D1145" w:rsidP="00BA5030">
      <w:pPr>
        <w:spacing w:line="480" w:lineRule="auto"/>
        <w:contextualSpacing/>
        <w:rPr>
          <w:rFonts w:ascii="Arial" w:hAnsi="Arial" w:cs="Arial"/>
        </w:rPr>
      </w:pPr>
      <w:r w:rsidRPr="004D1145">
        <w:rPr>
          <w:rFonts w:ascii="Arial" w:hAnsi="Arial" w:cs="Arial"/>
        </w:rPr>
        <w:t>Johns, C. (2002) Guided Reflection: Advancing Practice. Oxford: Blackwell Science.</w:t>
      </w:r>
    </w:p>
    <w:p w14:paraId="6DA98166" w14:textId="7061F1A7" w:rsidR="00BA5030" w:rsidRDefault="00BA5030" w:rsidP="00BA5030">
      <w:pPr>
        <w:spacing w:line="480" w:lineRule="auto"/>
        <w:contextualSpacing/>
        <w:rPr>
          <w:rFonts w:ascii="Arial" w:hAnsi="Arial" w:cs="Arial"/>
        </w:rPr>
      </w:pPr>
      <w:r w:rsidRPr="00BA5030">
        <w:rPr>
          <w:rFonts w:ascii="Arial" w:hAnsi="Arial" w:cs="Arial"/>
        </w:rPr>
        <w:lastRenderedPageBreak/>
        <w:t>Jolliffe, W. and Waugh, D. (2017) NQT: The Beginning Teacher’s Guide to Outstanding Practice. London: Sage Publications.</w:t>
      </w:r>
    </w:p>
    <w:p w14:paraId="78808D59" w14:textId="22A9C819" w:rsidR="0053574A" w:rsidRDefault="0053574A" w:rsidP="0053574A">
      <w:pPr>
        <w:spacing w:line="480" w:lineRule="auto"/>
        <w:contextualSpacing/>
        <w:rPr>
          <w:rFonts w:ascii="Arial" w:hAnsi="Arial" w:cs="Arial"/>
        </w:rPr>
      </w:pPr>
      <w:r w:rsidRPr="0053574A">
        <w:rPr>
          <w:rFonts w:ascii="Arial" w:hAnsi="Arial" w:cs="Arial"/>
        </w:rPr>
        <w:t>Kang, S. (2018) Spaced Repetition Promotes Efficient and</w:t>
      </w:r>
      <w:r>
        <w:rPr>
          <w:rFonts w:ascii="Arial" w:hAnsi="Arial" w:cs="Arial"/>
        </w:rPr>
        <w:t xml:space="preserve"> </w:t>
      </w:r>
      <w:r w:rsidRPr="0053574A">
        <w:rPr>
          <w:rFonts w:ascii="Arial" w:hAnsi="Arial" w:cs="Arial"/>
        </w:rPr>
        <w:t>Effective Learning: Policy Implications for Instruction. 3rd Edition. London Sage.</w:t>
      </w:r>
    </w:p>
    <w:p w14:paraId="6BCFB3A4" w14:textId="1F686CCF" w:rsidR="002077AD" w:rsidRDefault="002077AD" w:rsidP="002077AD">
      <w:pPr>
        <w:spacing w:line="480" w:lineRule="auto"/>
        <w:contextualSpacing/>
        <w:rPr>
          <w:rFonts w:ascii="Arial" w:hAnsi="Arial" w:cs="Arial"/>
        </w:rPr>
      </w:pPr>
      <w:r w:rsidRPr="002077AD">
        <w:rPr>
          <w:rFonts w:ascii="Arial" w:hAnsi="Arial" w:cs="Arial"/>
        </w:rPr>
        <w:t xml:space="preserve">Kothari, </w:t>
      </w:r>
      <w:r>
        <w:rPr>
          <w:rFonts w:ascii="Arial" w:hAnsi="Arial" w:cs="Arial"/>
        </w:rPr>
        <w:t xml:space="preserve">K. (2004) </w:t>
      </w:r>
      <w:r w:rsidRPr="002077AD">
        <w:rPr>
          <w:rFonts w:ascii="Arial" w:hAnsi="Arial" w:cs="Arial"/>
        </w:rPr>
        <w:t>Research Methodology Methods &amp; Techniques, Second Edition,</w:t>
      </w:r>
      <w:r>
        <w:rPr>
          <w:rFonts w:ascii="Arial" w:hAnsi="Arial" w:cs="Arial"/>
        </w:rPr>
        <w:t xml:space="preserve"> </w:t>
      </w:r>
      <w:r w:rsidRPr="002077AD">
        <w:rPr>
          <w:rFonts w:ascii="Arial" w:hAnsi="Arial" w:cs="Arial"/>
        </w:rPr>
        <w:t>New Delhi: New Age International publisher</w:t>
      </w:r>
    </w:p>
    <w:p w14:paraId="04230131" w14:textId="41DCF05F" w:rsidR="00AB4835" w:rsidRDefault="00AB4835" w:rsidP="002077AD">
      <w:pPr>
        <w:spacing w:line="480" w:lineRule="auto"/>
        <w:contextualSpacing/>
        <w:rPr>
          <w:rFonts w:ascii="Arial" w:hAnsi="Arial" w:cs="Arial"/>
        </w:rPr>
      </w:pPr>
      <w:r w:rsidRPr="00AB4835">
        <w:rPr>
          <w:rFonts w:ascii="Arial" w:hAnsi="Arial" w:cs="Arial"/>
        </w:rPr>
        <w:t>Kuada, J. (2012) Research Methodology. A Project Guide for University Students. 1st edition. Samfunds Literature, Copenhagen.</w:t>
      </w:r>
    </w:p>
    <w:p w14:paraId="53FE4334" w14:textId="285D3F85" w:rsidR="00B348FE" w:rsidRDefault="00B348FE" w:rsidP="002077AD">
      <w:pPr>
        <w:spacing w:line="480" w:lineRule="auto"/>
        <w:contextualSpacing/>
        <w:rPr>
          <w:rFonts w:ascii="Arial" w:hAnsi="Arial" w:cs="Arial"/>
        </w:rPr>
      </w:pPr>
      <w:r w:rsidRPr="00B348FE">
        <w:rPr>
          <w:rFonts w:ascii="Arial" w:hAnsi="Arial" w:cs="Arial"/>
        </w:rPr>
        <w:t>Kumar, R. (2014) Research Methodology. London: SAGE.</w:t>
      </w:r>
    </w:p>
    <w:p w14:paraId="6D4F0534" w14:textId="7835F21F" w:rsidR="00B5764C" w:rsidRDefault="00B5764C" w:rsidP="002077AD">
      <w:pPr>
        <w:spacing w:line="480" w:lineRule="auto"/>
        <w:contextualSpacing/>
        <w:rPr>
          <w:rFonts w:ascii="Arial" w:hAnsi="Arial" w:cs="Arial"/>
        </w:rPr>
      </w:pPr>
      <w:r w:rsidRPr="00B5764C">
        <w:rPr>
          <w:rFonts w:ascii="Arial" w:hAnsi="Arial" w:cs="Arial"/>
        </w:rPr>
        <w:t>LeCompte, M. and Preissle, J. (1993) Ethnography and Qualitative Design in Educational Research. London: Academic Press.</w:t>
      </w:r>
    </w:p>
    <w:p w14:paraId="37CADEF1" w14:textId="2A75C0D0" w:rsidR="00D20C15" w:rsidRDefault="00D20C15" w:rsidP="00BA5030">
      <w:pPr>
        <w:spacing w:line="480" w:lineRule="auto"/>
        <w:contextualSpacing/>
        <w:rPr>
          <w:rFonts w:ascii="Arial" w:hAnsi="Arial" w:cs="Arial"/>
        </w:rPr>
      </w:pPr>
      <w:r w:rsidRPr="00D20C15">
        <w:rPr>
          <w:rFonts w:ascii="Arial" w:hAnsi="Arial" w:cs="Arial"/>
        </w:rPr>
        <w:t>Menard, S. (1991) Longitudinal Research. Sage Publications. London.</w:t>
      </w:r>
    </w:p>
    <w:p w14:paraId="0272A988" w14:textId="49A41A2D" w:rsidR="000F6A8B" w:rsidRDefault="000F6A8B" w:rsidP="00BA5030">
      <w:pPr>
        <w:spacing w:line="480" w:lineRule="auto"/>
        <w:contextualSpacing/>
        <w:rPr>
          <w:rFonts w:ascii="Arial" w:hAnsi="Arial" w:cs="Arial"/>
        </w:rPr>
      </w:pPr>
      <w:r w:rsidRPr="000F6A8B">
        <w:rPr>
          <w:rFonts w:ascii="Arial" w:hAnsi="Arial" w:cs="Arial"/>
        </w:rPr>
        <w:t>Muncaster, K. and Clarke, S. (2018) Thinking Classrooms: Metacognition Lessons for Primary Schools. Hachette UK. London.</w:t>
      </w:r>
    </w:p>
    <w:p w14:paraId="2351FF39" w14:textId="357A819B" w:rsidR="005D0C91" w:rsidRDefault="005D0C91" w:rsidP="00BA5030">
      <w:pPr>
        <w:spacing w:line="480" w:lineRule="auto"/>
        <w:contextualSpacing/>
        <w:rPr>
          <w:rFonts w:ascii="Arial" w:hAnsi="Arial" w:cs="Arial"/>
        </w:rPr>
      </w:pPr>
      <w:r w:rsidRPr="005D0C91">
        <w:rPr>
          <w:rFonts w:ascii="Arial" w:hAnsi="Arial" w:cs="Arial"/>
        </w:rPr>
        <w:t>O’Donogue, G. (2017) Starting self-starters: Strategies to support independent learning. University of Sydney Papers in TESOL;</w:t>
      </w:r>
    </w:p>
    <w:p w14:paraId="49D52F34" w14:textId="23FEE5B7" w:rsidR="00C70432" w:rsidRDefault="00C70432" w:rsidP="00BA5030">
      <w:pPr>
        <w:spacing w:line="480" w:lineRule="auto"/>
        <w:contextualSpacing/>
        <w:rPr>
          <w:rFonts w:ascii="Arial" w:hAnsi="Arial" w:cs="Arial"/>
        </w:rPr>
      </w:pPr>
      <w:r w:rsidRPr="00C70432">
        <w:rPr>
          <w:rFonts w:ascii="Arial" w:hAnsi="Arial" w:cs="Arial"/>
        </w:rPr>
        <w:t xml:space="preserve">Scriven, M. (1967). The </w:t>
      </w:r>
      <w:r w:rsidR="002017B9">
        <w:rPr>
          <w:rFonts w:ascii="Arial" w:hAnsi="Arial" w:cs="Arial"/>
        </w:rPr>
        <w:t>M</w:t>
      </w:r>
      <w:r w:rsidRPr="00C70432">
        <w:rPr>
          <w:rFonts w:ascii="Arial" w:hAnsi="Arial" w:cs="Arial"/>
        </w:rPr>
        <w:t xml:space="preserve">ethodology of </w:t>
      </w:r>
      <w:r w:rsidR="002017B9">
        <w:rPr>
          <w:rFonts w:ascii="Arial" w:hAnsi="Arial" w:cs="Arial"/>
        </w:rPr>
        <w:t>E</w:t>
      </w:r>
      <w:r w:rsidRPr="00C70432">
        <w:rPr>
          <w:rFonts w:ascii="Arial" w:hAnsi="Arial" w:cs="Arial"/>
        </w:rPr>
        <w:t>valuation.</w:t>
      </w:r>
      <w:r>
        <w:rPr>
          <w:rFonts w:ascii="Arial" w:hAnsi="Arial" w:cs="Arial"/>
        </w:rPr>
        <w:t xml:space="preserve"> Rand McNally Publishers, Chicago, Illinois. </w:t>
      </w:r>
    </w:p>
    <w:p w14:paraId="089759A4" w14:textId="0918D2F0" w:rsidR="00B5764C" w:rsidRPr="00BA5030" w:rsidRDefault="00B5764C" w:rsidP="00BA5030">
      <w:pPr>
        <w:spacing w:line="480" w:lineRule="auto"/>
        <w:contextualSpacing/>
        <w:rPr>
          <w:rFonts w:ascii="Arial" w:hAnsi="Arial" w:cs="Arial"/>
        </w:rPr>
      </w:pPr>
      <w:r w:rsidRPr="00B5764C">
        <w:rPr>
          <w:rFonts w:ascii="Arial" w:hAnsi="Arial" w:cs="Arial"/>
        </w:rPr>
        <w:t>Simpson, M. and Tuson, J. (2003) Using Observation in a Small-Scale Research: A beginner’s Guide. Glasgow: Univeristy of Glasgow, the SCRE Centre.</w:t>
      </w:r>
    </w:p>
    <w:p w14:paraId="6B190B48" w14:textId="7C85A76A" w:rsidR="004C0E04" w:rsidRDefault="004C0E04" w:rsidP="00455883">
      <w:pPr>
        <w:spacing w:line="480" w:lineRule="auto"/>
        <w:contextualSpacing/>
        <w:rPr>
          <w:rFonts w:ascii="Arial" w:hAnsi="Arial" w:cs="Arial"/>
        </w:rPr>
      </w:pPr>
      <w:r w:rsidRPr="004C0E04">
        <w:rPr>
          <w:rFonts w:ascii="Arial" w:hAnsi="Arial" w:cs="Arial"/>
        </w:rPr>
        <w:t>Wallace, S. (2009). A Dictionary of Education. Oxford: Oxford University Press</w:t>
      </w:r>
    </w:p>
    <w:p w14:paraId="4F8C9595" w14:textId="7AD562D4" w:rsidR="00455883" w:rsidRDefault="00455883" w:rsidP="00455883">
      <w:pPr>
        <w:spacing w:line="480" w:lineRule="auto"/>
        <w:contextualSpacing/>
        <w:rPr>
          <w:rFonts w:ascii="Arial" w:hAnsi="Arial" w:cs="Arial"/>
        </w:rPr>
      </w:pPr>
      <w:r w:rsidRPr="00455883">
        <w:rPr>
          <w:rFonts w:ascii="Arial" w:hAnsi="Arial" w:cs="Arial"/>
        </w:rPr>
        <w:t>Welsh Government (2015) Effective use of data and research evidence. Cardiff: Welsh Government</w:t>
      </w:r>
    </w:p>
    <w:p w14:paraId="673D62D0" w14:textId="200862A4" w:rsidR="001277FA" w:rsidRPr="00455883" w:rsidRDefault="001277FA" w:rsidP="00455883">
      <w:pPr>
        <w:spacing w:line="480" w:lineRule="auto"/>
        <w:contextualSpacing/>
        <w:rPr>
          <w:rFonts w:ascii="Arial" w:hAnsi="Arial" w:cs="Arial"/>
        </w:rPr>
      </w:pPr>
      <w:r>
        <w:rPr>
          <w:rFonts w:ascii="Arial" w:hAnsi="Arial" w:cs="Arial"/>
        </w:rPr>
        <w:t xml:space="preserve">Weiner, B. (1974) </w:t>
      </w:r>
      <w:r w:rsidRPr="001277FA">
        <w:rPr>
          <w:rFonts w:ascii="Arial" w:hAnsi="Arial" w:cs="Arial"/>
        </w:rPr>
        <w:t>Achievement motivation and attribution theory</w:t>
      </w:r>
      <w:r>
        <w:rPr>
          <w:rFonts w:ascii="Arial" w:hAnsi="Arial" w:cs="Arial"/>
        </w:rPr>
        <w:t>. General Learning Press. New York.</w:t>
      </w:r>
    </w:p>
    <w:p w14:paraId="1AD56896" w14:textId="77777777" w:rsidR="00455883" w:rsidRPr="00455883" w:rsidRDefault="00455883" w:rsidP="00455883">
      <w:pPr>
        <w:spacing w:line="480" w:lineRule="auto"/>
        <w:contextualSpacing/>
        <w:rPr>
          <w:rFonts w:ascii="Arial" w:hAnsi="Arial" w:cs="Arial"/>
        </w:rPr>
      </w:pPr>
      <w:r w:rsidRPr="00455883">
        <w:rPr>
          <w:rFonts w:ascii="Arial" w:hAnsi="Arial" w:cs="Arial"/>
        </w:rPr>
        <w:t xml:space="preserve">Welsh Government, (2017) Education in Wales: Our National Mission. Cardiff: Welsh Government. </w:t>
      </w:r>
    </w:p>
    <w:p w14:paraId="1EA84E09" w14:textId="3ABF8318" w:rsidR="004D108B" w:rsidRDefault="004D108B" w:rsidP="00455883">
      <w:pPr>
        <w:spacing w:line="480" w:lineRule="auto"/>
        <w:contextualSpacing/>
        <w:rPr>
          <w:rFonts w:ascii="Arial" w:hAnsi="Arial" w:cs="Arial"/>
        </w:rPr>
      </w:pPr>
      <w:r w:rsidRPr="004D108B">
        <w:rPr>
          <w:rFonts w:ascii="Arial" w:hAnsi="Arial" w:cs="Arial"/>
        </w:rPr>
        <w:t>Wiliam, D. (2011) Embedded Formative Assessment. 1st Edition, S</w:t>
      </w:r>
      <w:r w:rsidR="00952E12">
        <w:rPr>
          <w:rFonts w:ascii="Arial" w:hAnsi="Arial" w:cs="Arial"/>
        </w:rPr>
        <w:t>o</w:t>
      </w:r>
      <w:r w:rsidRPr="004D108B">
        <w:rPr>
          <w:rFonts w:ascii="Arial" w:hAnsi="Arial" w:cs="Arial"/>
        </w:rPr>
        <w:t>lution Tree Press, London.</w:t>
      </w:r>
    </w:p>
    <w:p w14:paraId="02034964" w14:textId="64154296" w:rsidR="008D7BF0" w:rsidRDefault="00455883" w:rsidP="00455883">
      <w:pPr>
        <w:spacing w:line="480" w:lineRule="auto"/>
        <w:contextualSpacing/>
        <w:rPr>
          <w:rFonts w:ascii="Arial" w:hAnsi="Arial" w:cs="Arial"/>
        </w:rPr>
      </w:pPr>
      <w:r w:rsidRPr="00455883">
        <w:rPr>
          <w:rFonts w:ascii="Arial" w:hAnsi="Arial" w:cs="Arial"/>
        </w:rPr>
        <w:t>William, J. (2003) Promoting Independent Learning in The Primary Classroom. Buckingham: Open University Press.</w:t>
      </w:r>
      <w:r w:rsidR="008D7BF0">
        <w:rPr>
          <w:rFonts w:ascii="Arial" w:hAnsi="Arial" w:cs="Arial"/>
        </w:rPr>
        <w:br w:type="page"/>
      </w:r>
    </w:p>
    <w:p w14:paraId="5CD1ECA2" w14:textId="77777777" w:rsidR="008D7BF0" w:rsidRDefault="008D7BF0" w:rsidP="008D7BF0">
      <w:pPr>
        <w:rPr>
          <w:rFonts w:ascii="Arial" w:hAnsi="Arial" w:cs="Arial"/>
        </w:rPr>
        <w:sectPr w:rsidR="008D7BF0" w:rsidSect="006160F6">
          <w:pgSz w:w="11906" w:h="16838"/>
          <w:pgMar w:top="720" w:right="720" w:bottom="720" w:left="720" w:header="708" w:footer="708" w:gutter="0"/>
          <w:cols w:space="708"/>
          <w:docGrid w:linePitch="360"/>
        </w:sectPr>
      </w:pPr>
    </w:p>
    <w:p w14:paraId="504F7540" w14:textId="1C3949D3" w:rsidR="008D7BF0" w:rsidRPr="008A37C2" w:rsidRDefault="008D7BF0" w:rsidP="008D7BF0">
      <w:pPr>
        <w:rPr>
          <w:rFonts w:ascii="Arial" w:hAnsi="Arial" w:cs="Arial"/>
          <w:b/>
          <w:bCs/>
          <w:sz w:val="24"/>
          <w:szCs w:val="24"/>
        </w:rPr>
      </w:pPr>
    </w:p>
    <w:p w14:paraId="171182AE" w14:textId="7242ABA0" w:rsidR="002641AC" w:rsidRPr="002641AC" w:rsidRDefault="002641AC" w:rsidP="002641AC">
      <w:pPr>
        <w:tabs>
          <w:tab w:val="left" w:pos="5522"/>
        </w:tabs>
        <w:rPr>
          <w:rFonts w:ascii="Comic Sans MS" w:hAnsi="Comic Sans MS"/>
        </w:rPr>
      </w:pPr>
    </w:p>
    <w:sectPr w:rsidR="002641AC" w:rsidRPr="002641AC" w:rsidSect="008D7BF0">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89E047" w14:textId="77777777" w:rsidR="00DE1491" w:rsidRDefault="00DE1491" w:rsidP="00A26DC3">
      <w:pPr>
        <w:spacing w:after="0" w:line="240" w:lineRule="auto"/>
      </w:pPr>
      <w:r>
        <w:separator/>
      </w:r>
    </w:p>
  </w:endnote>
  <w:endnote w:type="continuationSeparator" w:id="0">
    <w:p w14:paraId="027435A6" w14:textId="77777777" w:rsidR="00DE1491" w:rsidRDefault="00DE1491" w:rsidP="00A26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C3E61D" w14:textId="77777777" w:rsidR="00DE1491" w:rsidRDefault="00DE1491" w:rsidP="00A26DC3">
      <w:pPr>
        <w:spacing w:after="0" w:line="240" w:lineRule="auto"/>
      </w:pPr>
      <w:r>
        <w:separator/>
      </w:r>
    </w:p>
  </w:footnote>
  <w:footnote w:type="continuationSeparator" w:id="0">
    <w:p w14:paraId="02C6072C" w14:textId="77777777" w:rsidR="00DE1491" w:rsidRDefault="00DE1491" w:rsidP="00A26D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A7BE6" w14:textId="281E4F08" w:rsidR="00591D67" w:rsidRDefault="00591D67">
    <w:pPr>
      <w:pStyle w:val="Header"/>
    </w:pPr>
    <w:r>
      <w:t>Aseiniad ECAD 6010-7004</w:t>
    </w:r>
    <w:r>
      <w:tab/>
      <w:t>Prosiect Ymwchil</w:t>
    </w:r>
    <w:r>
      <w:tab/>
      <w:t>1400352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DC3"/>
    <w:rsid w:val="0001270A"/>
    <w:rsid w:val="0003321D"/>
    <w:rsid w:val="00034EBD"/>
    <w:rsid w:val="0003648F"/>
    <w:rsid w:val="000512F6"/>
    <w:rsid w:val="000716B4"/>
    <w:rsid w:val="000D3C09"/>
    <w:rsid w:val="000D762E"/>
    <w:rsid w:val="000E2165"/>
    <w:rsid w:val="000E6ADF"/>
    <w:rsid w:val="000E7613"/>
    <w:rsid w:val="000F6A8B"/>
    <w:rsid w:val="001277FA"/>
    <w:rsid w:val="001A1EEA"/>
    <w:rsid w:val="001A2316"/>
    <w:rsid w:val="001B3040"/>
    <w:rsid w:val="001D1952"/>
    <w:rsid w:val="001E3307"/>
    <w:rsid w:val="002017B9"/>
    <w:rsid w:val="002077AD"/>
    <w:rsid w:val="00207921"/>
    <w:rsid w:val="00233D32"/>
    <w:rsid w:val="00236F55"/>
    <w:rsid w:val="002641AC"/>
    <w:rsid w:val="002811A8"/>
    <w:rsid w:val="002840D1"/>
    <w:rsid w:val="002C641F"/>
    <w:rsid w:val="003221B7"/>
    <w:rsid w:val="00322FCE"/>
    <w:rsid w:val="003370B9"/>
    <w:rsid w:val="003461BF"/>
    <w:rsid w:val="00353297"/>
    <w:rsid w:val="00355A8E"/>
    <w:rsid w:val="00360785"/>
    <w:rsid w:val="00360C6E"/>
    <w:rsid w:val="00383FED"/>
    <w:rsid w:val="00385291"/>
    <w:rsid w:val="00385669"/>
    <w:rsid w:val="003C34C5"/>
    <w:rsid w:val="003C58EB"/>
    <w:rsid w:val="003D5CF1"/>
    <w:rsid w:val="004131D1"/>
    <w:rsid w:val="0044677A"/>
    <w:rsid w:val="004503F6"/>
    <w:rsid w:val="00455883"/>
    <w:rsid w:val="00472F42"/>
    <w:rsid w:val="00493693"/>
    <w:rsid w:val="004978C9"/>
    <w:rsid w:val="004A7350"/>
    <w:rsid w:val="004B37BE"/>
    <w:rsid w:val="004C0E04"/>
    <w:rsid w:val="004D02A0"/>
    <w:rsid w:val="004D108B"/>
    <w:rsid w:val="004D1145"/>
    <w:rsid w:val="004D7E9E"/>
    <w:rsid w:val="004E32C4"/>
    <w:rsid w:val="00514B01"/>
    <w:rsid w:val="0053574A"/>
    <w:rsid w:val="005367DE"/>
    <w:rsid w:val="005424AA"/>
    <w:rsid w:val="00547C4A"/>
    <w:rsid w:val="005801F9"/>
    <w:rsid w:val="005905C2"/>
    <w:rsid w:val="00590FD3"/>
    <w:rsid w:val="00591D67"/>
    <w:rsid w:val="005936B8"/>
    <w:rsid w:val="00596682"/>
    <w:rsid w:val="005968B6"/>
    <w:rsid w:val="005C3752"/>
    <w:rsid w:val="005C3E73"/>
    <w:rsid w:val="005D0C91"/>
    <w:rsid w:val="005D16A3"/>
    <w:rsid w:val="005F5901"/>
    <w:rsid w:val="00602586"/>
    <w:rsid w:val="00603EE4"/>
    <w:rsid w:val="006160F6"/>
    <w:rsid w:val="00627F47"/>
    <w:rsid w:val="00663478"/>
    <w:rsid w:val="0066373C"/>
    <w:rsid w:val="006753BF"/>
    <w:rsid w:val="0068755B"/>
    <w:rsid w:val="006B0F90"/>
    <w:rsid w:val="006D0F1A"/>
    <w:rsid w:val="006D795E"/>
    <w:rsid w:val="006D7E47"/>
    <w:rsid w:val="006E51F0"/>
    <w:rsid w:val="007442ED"/>
    <w:rsid w:val="00767C79"/>
    <w:rsid w:val="00792F1C"/>
    <w:rsid w:val="007972A1"/>
    <w:rsid w:val="007A6196"/>
    <w:rsid w:val="007C27D6"/>
    <w:rsid w:val="007D34C0"/>
    <w:rsid w:val="00807C4E"/>
    <w:rsid w:val="00834086"/>
    <w:rsid w:val="00881944"/>
    <w:rsid w:val="008A37C2"/>
    <w:rsid w:val="008D7BF0"/>
    <w:rsid w:val="008F41D7"/>
    <w:rsid w:val="009056C1"/>
    <w:rsid w:val="00952E12"/>
    <w:rsid w:val="0098446E"/>
    <w:rsid w:val="00987D63"/>
    <w:rsid w:val="009C36DA"/>
    <w:rsid w:val="009D51B8"/>
    <w:rsid w:val="009E3053"/>
    <w:rsid w:val="00A034DB"/>
    <w:rsid w:val="00A05A8C"/>
    <w:rsid w:val="00A20A8F"/>
    <w:rsid w:val="00A26DC3"/>
    <w:rsid w:val="00A34D44"/>
    <w:rsid w:val="00A37022"/>
    <w:rsid w:val="00A6591D"/>
    <w:rsid w:val="00A90315"/>
    <w:rsid w:val="00A9098B"/>
    <w:rsid w:val="00AB13A9"/>
    <w:rsid w:val="00AB4835"/>
    <w:rsid w:val="00AE7D2B"/>
    <w:rsid w:val="00B029C6"/>
    <w:rsid w:val="00B327E8"/>
    <w:rsid w:val="00B348FE"/>
    <w:rsid w:val="00B5764C"/>
    <w:rsid w:val="00B77B15"/>
    <w:rsid w:val="00B97259"/>
    <w:rsid w:val="00BA5030"/>
    <w:rsid w:val="00BD7DB9"/>
    <w:rsid w:val="00BF07A4"/>
    <w:rsid w:val="00BF3A62"/>
    <w:rsid w:val="00C01FF3"/>
    <w:rsid w:val="00C0275E"/>
    <w:rsid w:val="00C5574E"/>
    <w:rsid w:val="00C70432"/>
    <w:rsid w:val="00C858A5"/>
    <w:rsid w:val="00C876DA"/>
    <w:rsid w:val="00CA5599"/>
    <w:rsid w:val="00CB4B4E"/>
    <w:rsid w:val="00CC6571"/>
    <w:rsid w:val="00CD4CD0"/>
    <w:rsid w:val="00D161ED"/>
    <w:rsid w:val="00D20C15"/>
    <w:rsid w:val="00D26BB7"/>
    <w:rsid w:val="00D43BCE"/>
    <w:rsid w:val="00D74DEA"/>
    <w:rsid w:val="00D90DA5"/>
    <w:rsid w:val="00D97B3F"/>
    <w:rsid w:val="00DB2725"/>
    <w:rsid w:val="00DD37B1"/>
    <w:rsid w:val="00DD4025"/>
    <w:rsid w:val="00DE1491"/>
    <w:rsid w:val="00DE4AF7"/>
    <w:rsid w:val="00E32857"/>
    <w:rsid w:val="00E5756C"/>
    <w:rsid w:val="00EB1A6F"/>
    <w:rsid w:val="00EC3D38"/>
    <w:rsid w:val="00EC565D"/>
    <w:rsid w:val="00ED4444"/>
    <w:rsid w:val="00EE66D4"/>
    <w:rsid w:val="00F6351E"/>
    <w:rsid w:val="00F63B55"/>
    <w:rsid w:val="00F84EEC"/>
    <w:rsid w:val="00FB405A"/>
    <w:rsid w:val="00FF7402"/>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0FD67D"/>
  <w15:chartTrackingRefBased/>
  <w15:docId w15:val="{66EB8580-9244-4294-AB01-8D7A30038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6D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DC3"/>
  </w:style>
  <w:style w:type="paragraph" w:styleId="Footer">
    <w:name w:val="footer"/>
    <w:basedOn w:val="Normal"/>
    <w:link w:val="FooterChar"/>
    <w:uiPriority w:val="99"/>
    <w:unhideWhenUsed/>
    <w:rsid w:val="00A26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DC3"/>
  </w:style>
  <w:style w:type="paragraph" w:styleId="NormalWeb">
    <w:name w:val="Normal (Web)"/>
    <w:basedOn w:val="Normal"/>
    <w:uiPriority w:val="99"/>
    <w:unhideWhenUsed/>
    <w:rsid w:val="008D7BF0"/>
    <w:pPr>
      <w:spacing w:before="100" w:beforeAutospacing="1" w:after="100" w:afterAutospacing="1" w:line="240" w:lineRule="auto"/>
    </w:pPr>
    <w:rPr>
      <w:rFonts w:ascii="Times New Roman" w:eastAsia="Times New Roman" w:hAnsi="Times New Roman" w:cs="Times New Roman"/>
      <w:sz w:val="24"/>
      <w:szCs w:val="24"/>
      <w:lang w:eastAsia="cy-GB"/>
    </w:rPr>
  </w:style>
  <w:style w:type="table" w:styleId="TableGrid">
    <w:name w:val="Table Grid"/>
    <w:basedOn w:val="TableNormal"/>
    <w:uiPriority w:val="39"/>
    <w:rsid w:val="004D0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F59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1385709">
      <w:bodyDiv w:val="1"/>
      <w:marLeft w:val="0"/>
      <w:marRight w:val="0"/>
      <w:marTop w:val="0"/>
      <w:marBottom w:val="0"/>
      <w:divBdr>
        <w:top w:val="none" w:sz="0" w:space="0" w:color="auto"/>
        <w:left w:val="none" w:sz="0" w:space="0" w:color="auto"/>
        <w:bottom w:val="none" w:sz="0" w:space="0" w:color="auto"/>
        <w:right w:val="none" w:sz="0" w:space="0" w:color="auto"/>
      </w:divBdr>
    </w:div>
    <w:div w:id="1827432934">
      <w:bodyDiv w:val="1"/>
      <w:marLeft w:val="0"/>
      <w:marRight w:val="0"/>
      <w:marTop w:val="0"/>
      <w:marBottom w:val="0"/>
      <w:divBdr>
        <w:top w:val="none" w:sz="0" w:space="0" w:color="auto"/>
        <w:left w:val="none" w:sz="0" w:space="0" w:color="auto"/>
        <w:bottom w:val="none" w:sz="0" w:space="0" w:color="auto"/>
        <w:right w:val="none" w:sz="0" w:space="0" w:color="auto"/>
      </w:divBdr>
      <w:divsChild>
        <w:div w:id="1661810981">
          <w:marLeft w:val="0"/>
          <w:marRight w:val="0"/>
          <w:marTop w:val="0"/>
          <w:marBottom w:val="0"/>
          <w:divBdr>
            <w:top w:val="none" w:sz="0" w:space="0" w:color="auto"/>
            <w:left w:val="none" w:sz="0" w:space="0" w:color="auto"/>
            <w:bottom w:val="none" w:sz="0" w:space="0" w:color="auto"/>
            <w:right w:val="none" w:sz="0" w:space="0" w:color="auto"/>
          </w:divBdr>
          <w:divsChild>
            <w:div w:id="1319768785">
              <w:marLeft w:val="0"/>
              <w:marRight w:val="0"/>
              <w:marTop w:val="0"/>
              <w:marBottom w:val="0"/>
              <w:divBdr>
                <w:top w:val="none" w:sz="0" w:space="0" w:color="auto"/>
                <w:left w:val="none" w:sz="0" w:space="0" w:color="auto"/>
                <w:bottom w:val="none" w:sz="0" w:space="0" w:color="auto"/>
                <w:right w:val="none" w:sz="0" w:space="0" w:color="auto"/>
              </w:divBdr>
              <w:divsChild>
                <w:div w:id="1696495776">
                  <w:marLeft w:val="0"/>
                  <w:marRight w:val="0"/>
                  <w:marTop w:val="0"/>
                  <w:marBottom w:val="0"/>
                  <w:divBdr>
                    <w:top w:val="none" w:sz="0" w:space="0" w:color="auto"/>
                    <w:left w:val="none" w:sz="0" w:space="0" w:color="auto"/>
                    <w:bottom w:val="none" w:sz="0" w:space="0" w:color="auto"/>
                    <w:right w:val="none" w:sz="0" w:space="0" w:color="auto"/>
                  </w:divBdr>
                  <w:divsChild>
                    <w:div w:id="179027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6554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10" ma:contentTypeDescription="Create a new document." ma:contentTypeScope="" ma:versionID="528129d29163c97b7d65a2f488af98d0">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f0aa148cf04f818be489abdf97f36269"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B9CB9B-106C-43D7-ACFF-B894349942C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8a49699-8251-46aa-85ce-476a66afaff0"/>
    <ds:schemaRef ds:uri="http://purl.org/dc/elements/1.1/"/>
    <ds:schemaRef ds:uri="http://schemas.microsoft.com/office/2006/metadata/properties"/>
    <ds:schemaRef ds:uri="9d807a4e-0c4f-4012-af74-dbfe5fab9fe5"/>
    <ds:schemaRef ds:uri="http://www.w3.org/XML/1998/namespace"/>
    <ds:schemaRef ds:uri="http://purl.org/dc/dcmitype/"/>
  </ds:schemaRefs>
</ds:datastoreItem>
</file>

<file path=customXml/itemProps2.xml><?xml version="1.0" encoding="utf-8"?>
<ds:datastoreItem xmlns:ds="http://schemas.openxmlformats.org/officeDocument/2006/customXml" ds:itemID="{95FACFA5-46F8-4441-9CF5-54B6F97B6AA4}">
  <ds:schemaRefs>
    <ds:schemaRef ds:uri="http://schemas.microsoft.com/sharepoint/v3/contenttype/forms"/>
  </ds:schemaRefs>
</ds:datastoreItem>
</file>

<file path=customXml/itemProps3.xml><?xml version="1.0" encoding="utf-8"?>
<ds:datastoreItem xmlns:ds="http://schemas.openxmlformats.org/officeDocument/2006/customXml" ds:itemID="{4FDD69B8-6028-4FB6-B077-5A34CF1286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5143</Words>
  <Characters>29318</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Smith (1400352)</dc:creator>
  <cp:keywords/>
  <dc:description/>
  <cp:lastModifiedBy>Ethan Smith (1400352)</cp:lastModifiedBy>
  <cp:revision>2</cp:revision>
  <dcterms:created xsi:type="dcterms:W3CDTF">2020-02-23T12:40:00Z</dcterms:created>
  <dcterms:modified xsi:type="dcterms:W3CDTF">2020-02-23T12:40:00Z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