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19EE3" w14:textId="03DE600D" w:rsidR="004260A9" w:rsidRPr="00BE7F8C" w:rsidRDefault="00BE7F8C" w:rsidP="008B6EB6">
      <w:pPr>
        <w:jc w:val="center"/>
        <w:rPr>
          <w:rFonts w:ascii="Arial" w:hAnsi="Arial" w:cs="Arial"/>
          <w:b/>
          <w:bCs/>
          <w:lang w:val="en-GB"/>
        </w:rPr>
      </w:pPr>
      <w:r w:rsidRPr="000716AB">
        <w:rPr>
          <w:rFonts w:ascii="Arial" w:hAnsi="Arial" w:cs="Arial"/>
          <w:noProof/>
          <w:lang w:val="en-GB"/>
        </w:rPr>
        <w:drawing>
          <wp:inline distT="0" distB="0" distL="0" distR="0" wp14:anchorId="41F3A860" wp14:editId="3B8F4F34">
            <wp:extent cx="2419350" cy="977900"/>
            <wp:effectExtent l="0" t="0" r="0" b="0"/>
            <wp:docPr id="977827975"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27975" name="Picture 1" descr="A close-up of black text&#10;&#10;AI-generated content may be incorrect."/>
                    <pic:cNvPicPr/>
                  </pic:nvPicPr>
                  <pic:blipFill>
                    <a:blip r:embed="rId8"/>
                    <a:stretch>
                      <a:fillRect/>
                    </a:stretch>
                  </pic:blipFill>
                  <pic:spPr>
                    <a:xfrm>
                      <a:off x="0" y="0"/>
                      <a:ext cx="2447238" cy="989172"/>
                    </a:xfrm>
                    <a:prstGeom prst="rect">
                      <a:avLst/>
                    </a:prstGeom>
                  </pic:spPr>
                </pic:pic>
              </a:graphicData>
            </a:graphic>
          </wp:inline>
        </w:drawing>
      </w:r>
    </w:p>
    <w:p w14:paraId="4748DD18" w14:textId="66F74949" w:rsidR="00BE7F8C" w:rsidRDefault="0083161F" w:rsidP="008B6EB6">
      <w:pPr>
        <w:jc w:val="center"/>
        <w:rPr>
          <w:rFonts w:ascii="Arial" w:hAnsi="Arial" w:cstheme="minorBidi"/>
          <w:b/>
          <w:bCs/>
          <w:szCs w:val="30"/>
          <w:lang w:val="en-GB" w:bidi="bn-BD"/>
        </w:rPr>
      </w:pPr>
      <w:r w:rsidRPr="00ED02F2">
        <w:rPr>
          <w:rFonts w:ascii="Arial" w:hAnsi="Arial" w:cs="Arial"/>
          <w:b/>
          <w:bCs/>
          <w:lang w:val="en-GB"/>
        </w:rPr>
        <w:t>Programme</w:t>
      </w:r>
      <w:r w:rsidR="00BE7F8C" w:rsidRPr="00ED02F2">
        <w:rPr>
          <w:rFonts w:ascii="Arial" w:hAnsi="Arial" w:cs="Arial"/>
          <w:b/>
          <w:bCs/>
          <w:cs/>
          <w:lang w:val="en-GB" w:bidi="bn-BD"/>
        </w:rPr>
        <w:t xml:space="preserve"> name</w:t>
      </w:r>
      <w:r w:rsidRPr="00ED02F2">
        <w:rPr>
          <w:rFonts w:ascii="Arial" w:hAnsi="Arial" w:cs="Arial"/>
          <w:b/>
          <w:bCs/>
          <w:lang w:val="en-GB"/>
        </w:rPr>
        <w:t>: Master of Business Administration</w:t>
      </w:r>
    </w:p>
    <w:p w14:paraId="3383E685" w14:textId="77777777" w:rsidR="00ED02F2" w:rsidRPr="00ED02F2" w:rsidRDefault="00ED02F2" w:rsidP="008B6EB6">
      <w:pPr>
        <w:jc w:val="center"/>
        <w:rPr>
          <w:rFonts w:ascii="Arial" w:hAnsi="Arial" w:cstheme="minorBidi"/>
          <w:b/>
          <w:bCs/>
          <w:szCs w:val="30"/>
          <w:lang w:val="en-GB" w:bidi="bn-BD"/>
        </w:rPr>
      </w:pPr>
    </w:p>
    <w:p w14:paraId="1D42763A" w14:textId="693C999A" w:rsidR="00BE7F8C" w:rsidRPr="00ED02F2" w:rsidRDefault="00BE7F8C" w:rsidP="00BE7F8C">
      <w:pPr>
        <w:jc w:val="center"/>
        <w:rPr>
          <w:rFonts w:ascii="Arial" w:hAnsi="Arial" w:cs="Arial"/>
          <w:b/>
          <w:bCs/>
          <w:lang w:val="en-GB" w:bidi="bn-BD"/>
        </w:rPr>
      </w:pPr>
      <w:r w:rsidRPr="00ED02F2">
        <w:rPr>
          <w:rFonts w:ascii="Arial" w:hAnsi="Arial" w:cs="Arial"/>
          <w:b/>
          <w:bCs/>
          <w:cs/>
          <w:lang w:val="en-GB" w:bidi="bn-BD"/>
        </w:rPr>
        <w:t>Assessment topic:</w:t>
      </w:r>
      <w:r w:rsidRPr="00ED02F2">
        <w:rPr>
          <w:rFonts w:ascii="Arial" w:hAnsi="Arial" w:cs="Arial"/>
          <w:b/>
          <w:bCs/>
          <w:lang w:val="en-GB"/>
        </w:rPr>
        <w:t xml:space="preserve"> </w:t>
      </w:r>
    </w:p>
    <w:p w14:paraId="4EC73567" w14:textId="4964F1B0" w:rsidR="008B6EB6" w:rsidRDefault="00BE7F8C" w:rsidP="00ED02F2">
      <w:pPr>
        <w:jc w:val="center"/>
        <w:rPr>
          <w:rFonts w:ascii="Arial" w:hAnsi="Arial" w:cs="Arial"/>
          <w:b/>
          <w:bCs/>
          <w:lang w:val="en-GB" w:bidi="bn-BD"/>
        </w:rPr>
      </w:pPr>
      <w:r w:rsidRPr="00ED02F2">
        <w:rPr>
          <w:rFonts w:ascii="Arial" w:hAnsi="Arial" w:cs="Arial"/>
          <w:b/>
          <w:bCs/>
          <w:lang w:val="en-GB"/>
        </w:rPr>
        <w:t>An Evaluation of IKEA's Market Entry Strategy into Algeria: Applying Bartlett and Ghoshal's International Strategy Framework and Dunning's OLI Paradigm</w:t>
      </w:r>
    </w:p>
    <w:p w14:paraId="4100071A" w14:textId="77777777" w:rsidR="00ED02F2" w:rsidRPr="00ED02F2" w:rsidRDefault="00ED02F2" w:rsidP="00ED02F2">
      <w:pPr>
        <w:jc w:val="center"/>
        <w:rPr>
          <w:rFonts w:ascii="Arial" w:hAnsi="Arial" w:cs="Arial"/>
          <w:b/>
          <w:bCs/>
          <w:lang w:val="en-GB" w:bidi="bn-BD"/>
        </w:rPr>
      </w:pPr>
    </w:p>
    <w:p w14:paraId="4A329A6F" w14:textId="77777777" w:rsidR="00BE7F8C" w:rsidRPr="00ED02F2" w:rsidRDefault="0083161F" w:rsidP="00BE7F8C">
      <w:pPr>
        <w:jc w:val="center"/>
        <w:rPr>
          <w:rFonts w:ascii="Arial" w:hAnsi="Arial" w:cs="Arial"/>
          <w:b/>
          <w:bCs/>
          <w:lang w:val="en-GB" w:bidi="bn-BD"/>
        </w:rPr>
      </w:pPr>
      <w:r w:rsidRPr="00ED02F2">
        <w:rPr>
          <w:rFonts w:ascii="Arial" w:hAnsi="Arial" w:cs="Arial"/>
          <w:b/>
          <w:bCs/>
          <w:lang w:val="en-GB"/>
        </w:rPr>
        <w:t>Module</w:t>
      </w:r>
      <w:r w:rsidR="00BE7F8C" w:rsidRPr="00ED02F2">
        <w:rPr>
          <w:rFonts w:ascii="Arial" w:hAnsi="Arial" w:cs="Arial"/>
          <w:b/>
          <w:bCs/>
          <w:cs/>
          <w:lang w:val="en-GB" w:bidi="bn-BD"/>
        </w:rPr>
        <w:t xml:space="preserve"> name:</w:t>
      </w:r>
    </w:p>
    <w:p w14:paraId="14D10468" w14:textId="2655F206" w:rsidR="004260A9" w:rsidRPr="00ED02F2" w:rsidRDefault="0083161F" w:rsidP="00BE7F8C">
      <w:pPr>
        <w:jc w:val="center"/>
        <w:rPr>
          <w:rFonts w:ascii="Arial" w:hAnsi="Arial" w:cs="Arial"/>
          <w:b/>
          <w:bCs/>
          <w:lang w:val="en-GB" w:bidi="bn-BD"/>
        </w:rPr>
      </w:pPr>
      <w:r w:rsidRPr="00ED02F2">
        <w:rPr>
          <w:rFonts w:ascii="Arial" w:hAnsi="Arial" w:cs="Arial"/>
          <w:b/>
          <w:bCs/>
          <w:lang w:val="en-GB"/>
        </w:rPr>
        <w:t xml:space="preserve">International Business Concepts </w:t>
      </w:r>
    </w:p>
    <w:p w14:paraId="64A692C1" w14:textId="1F2B0767" w:rsidR="00BE7F8C" w:rsidRPr="00ED02F2" w:rsidRDefault="0083161F" w:rsidP="00BE7F8C">
      <w:pPr>
        <w:jc w:val="center"/>
        <w:rPr>
          <w:rFonts w:ascii="Arial" w:hAnsi="Arial" w:cs="Arial"/>
          <w:b/>
          <w:bCs/>
          <w:lang w:val="en-GB" w:bidi="bn-BD"/>
        </w:rPr>
      </w:pPr>
      <w:r w:rsidRPr="00ED02F2">
        <w:rPr>
          <w:rFonts w:ascii="Arial" w:hAnsi="Arial" w:cs="Arial"/>
          <w:b/>
          <w:bCs/>
          <w:lang w:val="en-GB"/>
        </w:rPr>
        <w:t>Module code</w:t>
      </w:r>
      <w:r w:rsidR="00BE7F8C" w:rsidRPr="00ED02F2">
        <w:rPr>
          <w:rFonts w:ascii="Arial" w:hAnsi="Arial" w:cs="Arial"/>
          <w:b/>
          <w:bCs/>
          <w:cs/>
          <w:lang w:val="en-GB" w:bidi="bn-BD"/>
        </w:rPr>
        <w:t>:</w:t>
      </w:r>
    </w:p>
    <w:p w14:paraId="31A2D695" w14:textId="446EAB18" w:rsidR="004260A9" w:rsidRPr="00ED02F2" w:rsidRDefault="0083161F" w:rsidP="00BE7F8C">
      <w:pPr>
        <w:jc w:val="center"/>
        <w:rPr>
          <w:rFonts w:ascii="Arial" w:hAnsi="Arial" w:cs="Arial"/>
          <w:b/>
          <w:bCs/>
          <w:lang w:val="en-GB"/>
        </w:rPr>
      </w:pPr>
      <w:r w:rsidRPr="00ED02F2">
        <w:rPr>
          <w:rFonts w:ascii="Arial" w:hAnsi="Arial" w:cs="Arial"/>
          <w:b/>
          <w:bCs/>
          <w:lang w:val="en-GB"/>
        </w:rPr>
        <w:t>LCMB7034</w:t>
      </w:r>
    </w:p>
    <w:p w14:paraId="531242DA" w14:textId="77777777" w:rsidR="008B6EB6" w:rsidRPr="00ED02F2" w:rsidRDefault="00E51748" w:rsidP="00BE7F8C">
      <w:pPr>
        <w:jc w:val="center"/>
        <w:rPr>
          <w:rFonts w:ascii="Arial" w:hAnsi="Arial" w:cs="Arial"/>
          <w:b/>
          <w:bCs/>
          <w:lang w:val="en-GB" w:bidi="bn-BD"/>
        </w:rPr>
      </w:pPr>
      <w:r w:rsidRPr="00ED02F2">
        <w:rPr>
          <w:rFonts w:ascii="Arial" w:hAnsi="Arial" w:cs="Arial"/>
          <w:b/>
          <w:bCs/>
          <w:lang w:val="en-GB"/>
        </w:rPr>
        <w:t>Lecturer’s name:</w:t>
      </w:r>
      <w:r w:rsidR="008B6EB6" w:rsidRPr="00ED02F2">
        <w:rPr>
          <w:rFonts w:ascii="Arial" w:hAnsi="Arial" w:cs="Arial"/>
          <w:b/>
          <w:bCs/>
          <w:cs/>
          <w:lang w:val="en-GB" w:bidi="bn-BD"/>
        </w:rPr>
        <w:t xml:space="preserve"> </w:t>
      </w:r>
    </w:p>
    <w:p w14:paraId="5EB61DB7" w14:textId="77777777" w:rsidR="008B6EB6" w:rsidRPr="00ED02F2" w:rsidRDefault="008B6EB6" w:rsidP="008B6EB6">
      <w:pPr>
        <w:jc w:val="center"/>
        <w:rPr>
          <w:rFonts w:ascii="Arial" w:hAnsi="Arial" w:cs="Arial"/>
          <w:lang w:val="en-GB" w:bidi="bn-BD"/>
        </w:rPr>
      </w:pPr>
      <w:r w:rsidRPr="00ED02F2">
        <w:rPr>
          <w:rFonts w:ascii="Arial" w:hAnsi="Arial" w:cs="Arial"/>
          <w:b/>
          <w:bCs/>
          <w:cs/>
          <w:lang w:val="en-GB" w:bidi="bn-BD"/>
        </w:rPr>
        <w:t>Gladius Kulothungan</w:t>
      </w:r>
    </w:p>
    <w:p w14:paraId="202D8EDD" w14:textId="1FDF9078" w:rsidR="008B6EB6" w:rsidRPr="00ED02F2" w:rsidRDefault="00BE7F8C" w:rsidP="008B6EB6">
      <w:pPr>
        <w:jc w:val="center"/>
        <w:rPr>
          <w:rFonts w:ascii="Arial" w:hAnsi="Arial" w:cs="Arial"/>
          <w:lang w:val="en-GB" w:bidi="bn-BD"/>
        </w:rPr>
      </w:pPr>
      <w:r w:rsidRPr="00ED02F2">
        <w:rPr>
          <w:rFonts w:ascii="Arial" w:hAnsi="Arial" w:cs="Arial"/>
          <w:b/>
          <w:bCs/>
          <w:cs/>
          <w:lang w:val="en-GB" w:bidi="bn-BD"/>
        </w:rPr>
        <w:t>Student name:</w:t>
      </w:r>
    </w:p>
    <w:p w14:paraId="1167539E" w14:textId="3136D8F2" w:rsidR="00BE7F8C" w:rsidRPr="00ED02F2" w:rsidRDefault="00BE7F8C" w:rsidP="008B6EB6">
      <w:pPr>
        <w:jc w:val="center"/>
        <w:rPr>
          <w:rFonts w:ascii="Arial" w:hAnsi="Arial" w:cs="Arial"/>
          <w:b/>
          <w:bCs/>
          <w:lang w:val="en-GB" w:bidi="bn-BD"/>
        </w:rPr>
      </w:pPr>
      <w:r w:rsidRPr="00ED02F2">
        <w:rPr>
          <w:rFonts w:ascii="Arial" w:hAnsi="Arial" w:cs="Arial"/>
          <w:b/>
          <w:bCs/>
          <w:cs/>
          <w:lang w:val="en-GB" w:bidi="bn-BD"/>
        </w:rPr>
        <w:t>Pew Peakhom</w:t>
      </w:r>
    </w:p>
    <w:p w14:paraId="31659E8C" w14:textId="77777777" w:rsidR="00BE7F8C" w:rsidRPr="00ED02F2" w:rsidRDefault="00BE7F8C" w:rsidP="00BE7F8C">
      <w:pPr>
        <w:jc w:val="center"/>
        <w:rPr>
          <w:rFonts w:ascii="Arial" w:hAnsi="Arial" w:cs="Arial"/>
          <w:b/>
          <w:bCs/>
          <w:lang w:val="en-GB" w:bidi="bn-BD"/>
        </w:rPr>
      </w:pPr>
      <w:r w:rsidRPr="00ED02F2">
        <w:rPr>
          <w:rFonts w:ascii="Arial" w:hAnsi="Arial" w:cs="Arial"/>
          <w:b/>
          <w:bCs/>
          <w:cs/>
          <w:lang w:val="en-GB" w:bidi="bn-BD"/>
        </w:rPr>
        <w:t xml:space="preserve">Student ID: </w:t>
      </w:r>
    </w:p>
    <w:p w14:paraId="2A529911" w14:textId="2280286B" w:rsidR="00BE7F8C" w:rsidRPr="00ED02F2" w:rsidRDefault="00BE7F8C" w:rsidP="00BE7F8C">
      <w:pPr>
        <w:jc w:val="center"/>
        <w:rPr>
          <w:rFonts w:ascii="Arial" w:hAnsi="Arial" w:cs="Arial"/>
          <w:b/>
          <w:bCs/>
          <w:lang w:val="en-GB" w:bidi="bn-BD"/>
        </w:rPr>
      </w:pPr>
      <w:r w:rsidRPr="00ED02F2">
        <w:rPr>
          <w:rFonts w:ascii="Arial" w:hAnsi="Arial" w:cs="Arial"/>
          <w:b/>
          <w:bCs/>
          <w:cs/>
          <w:lang w:val="en-GB" w:bidi="bn-BD"/>
        </w:rPr>
        <w:t>2433833</w:t>
      </w:r>
    </w:p>
    <w:p w14:paraId="73B15356" w14:textId="79D23C7C" w:rsidR="00BE7F8C" w:rsidRPr="00ED02F2" w:rsidRDefault="00E51748" w:rsidP="00BE7F8C">
      <w:pPr>
        <w:jc w:val="center"/>
        <w:rPr>
          <w:rFonts w:ascii="Arial" w:hAnsi="Arial" w:cs="Arial"/>
          <w:b/>
          <w:bCs/>
          <w:lang w:val="en-GB" w:bidi="bn-BD"/>
        </w:rPr>
      </w:pPr>
      <w:r w:rsidRPr="00ED02F2">
        <w:rPr>
          <w:rFonts w:ascii="Arial" w:hAnsi="Arial" w:cs="Arial"/>
          <w:b/>
          <w:bCs/>
          <w:lang w:val="en-GB"/>
        </w:rPr>
        <w:t>Submission date:</w:t>
      </w:r>
      <w:r w:rsidR="00BE7F8C" w:rsidRPr="00ED02F2">
        <w:rPr>
          <w:rFonts w:ascii="Arial" w:hAnsi="Arial" w:cs="Arial"/>
          <w:b/>
          <w:bCs/>
          <w:cs/>
          <w:lang w:val="en-GB" w:bidi="bn-BD"/>
        </w:rPr>
        <w:t xml:space="preserve"> </w:t>
      </w:r>
    </w:p>
    <w:p w14:paraId="3A2169DA" w14:textId="40961360" w:rsidR="00BE7F8C" w:rsidRPr="00ED02F2" w:rsidRDefault="00BE7F8C" w:rsidP="00ED02F2">
      <w:pPr>
        <w:jc w:val="center"/>
        <w:rPr>
          <w:rFonts w:ascii="Arial" w:hAnsi="Arial" w:cs="Arial"/>
          <w:b/>
          <w:bCs/>
          <w:lang w:val="en-GB" w:bidi="bn-BD"/>
        </w:rPr>
      </w:pPr>
      <w:r w:rsidRPr="00ED02F2">
        <w:rPr>
          <w:rFonts w:ascii="Arial" w:hAnsi="Arial" w:cs="Arial"/>
          <w:b/>
          <w:bCs/>
          <w:cs/>
          <w:lang w:val="en-GB" w:bidi="bn-BD"/>
        </w:rPr>
        <w:t>10-07-2026</w:t>
      </w:r>
    </w:p>
    <w:p w14:paraId="0BDE3EE9" w14:textId="77777777" w:rsidR="008B6EB6" w:rsidRDefault="008B6EB6" w:rsidP="00F55AD0">
      <w:pPr>
        <w:rPr>
          <w:rFonts w:ascii="Arial" w:hAnsi="Arial" w:cstheme="minorBidi"/>
          <w:szCs w:val="30"/>
          <w:lang w:val="en-GB" w:bidi="bn-BD"/>
        </w:rPr>
      </w:pPr>
    </w:p>
    <w:p w14:paraId="2F74A246" w14:textId="77777777" w:rsidR="00ED02F2" w:rsidRPr="00BE7F8C" w:rsidRDefault="00ED02F2" w:rsidP="00F55AD0">
      <w:pPr>
        <w:rPr>
          <w:rFonts w:ascii="Arial" w:hAnsi="Arial" w:cstheme="minorBidi"/>
          <w:szCs w:val="30"/>
          <w:lang w:val="en-GB" w:bidi="bn-BD"/>
        </w:rPr>
      </w:pPr>
    </w:p>
    <w:p w14:paraId="21A9A3C8" w14:textId="4359BAFB" w:rsidR="00ED02F2" w:rsidRPr="00ED02F2" w:rsidRDefault="00ED02F2" w:rsidP="00ED02F2">
      <w:pPr>
        <w:pStyle w:val="TOCHeading"/>
        <w:spacing w:line="360" w:lineRule="auto"/>
        <w:jc w:val="center"/>
        <w:rPr>
          <w:rFonts w:ascii="Arial" w:eastAsia="Times New Roman" w:hAnsi="Arial" w:cstheme="minorBidi"/>
          <w:b/>
          <w:color w:val="auto"/>
          <w:sz w:val="28"/>
          <w:szCs w:val="24"/>
          <w:lang w:val="en-GB" w:eastAsia="en-IN" w:bidi="bn-BD"/>
        </w:rPr>
      </w:pPr>
      <w:r>
        <w:rPr>
          <w:rFonts w:ascii="Arial" w:eastAsia="Times New Roman" w:hAnsi="Arial" w:cstheme="minorBidi" w:hint="cs"/>
          <w:b/>
          <w:color w:val="auto"/>
          <w:sz w:val="28"/>
          <w:szCs w:val="24"/>
          <w:cs/>
          <w:lang w:val="en-GB" w:eastAsia="en-IN" w:bidi="bn-BD"/>
        </w:rPr>
        <w:t xml:space="preserve"> </w:t>
      </w:r>
      <w:r w:rsidR="00F768CD">
        <w:rPr>
          <w:rFonts w:ascii="Arial" w:eastAsia="Times New Roman" w:hAnsi="Arial" w:cs="Arial"/>
          <w:b/>
          <w:color w:val="auto"/>
          <w:sz w:val="28"/>
          <w:szCs w:val="24"/>
          <w:lang w:val="en-GB" w:eastAsia="en-IN"/>
        </w:rPr>
        <w:t xml:space="preserve">Acknowledgement </w:t>
      </w:r>
    </w:p>
    <w:p w14:paraId="470D15D6" w14:textId="7FBC499D" w:rsidR="00654116" w:rsidRDefault="00ED02F2" w:rsidP="00ED02F2">
      <w:pPr>
        <w:rPr>
          <w:sz w:val="20"/>
        </w:rPr>
      </w:pPr>
      <w:r>
        <w:rPr>
          <w:rFonts w:cstheme="minorBidi" w:hint="cs"/>
          <w:sz w:val="20"/>
          <w:cs/>
          <w:lang w:bidi="bn-BD"/>
        </w:rPr>
        <w:t xml:space="preserve">  </w:t>
      </w:r>
      <w:r w:rsidR="00654116">
        <w:rPr>
          <w:noProof/>
          <w:sz w:val="20"/>
        </w:rPr>
        <mc:AlternateContent>
          <mc:Choice Requires="wps">
            <w:drawing>
              <wp:inline distT="0" distB="0" distL="0" distR="0" wp14:anchorId="06E86A7B" wp14:editId="1D4999BF">
                <wp:extent cx="5575300" cy="304800"/>
                <wp:effectExtent l="9525" t="0" r="6350" b="9525"/>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300" cy="304800"/>
                        </a:xfrm>
                        <a:prstGeom prst="rect">
                          <a:avLst/>
                        </a:prstGeom>
                        <a:solidFill>
                          <a:srgbClr val="D8D8D8"/>
                        </a:solidFill>
                        <a:ln w="18288">
                          <a:solidFill>
                            <a:srgbClr val="000000"/>
                          </a:solidFill>
                          <a:prstDash val="solid"/>
                        </a:ln>
                      </wps:spPr>
                      <wps:txbx>
                        <w:txbxContent>
                          <w:p w14:paraId="265B1F6C" w14:textId="77777777" w:rsidR="00654116" w:rsidRDefault="00654116" w:rsidP="00654116">
                            <w:pPr>
                              <w:spacing w:before="19"/>
                              <w:ind w:left="758"/>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wps:txbx>
                      <wps:bodyPr wrap="square" lIns="0" tIns="0" rIns="0" bIns="0" rtlCol="0">
                        <a:noAutofit/>
                      </wps:bodyPr>
                    </wps:wsp>
                  </a:graphicData>
                </a:graphic>
              </wp:inline>
            </w:drawing>
          </mc:Choice>
          <mc:Fallback>
            <w:pict>
              <v:shapetype w14:anchorId="06E86A7B" id="_x0000_t202" coordsize="21600,21600" o:spt="202" path="m,l,21600r21600,l21600,xe">
                <v:stroke joinstyle="miter"/>
                <v:path gradientshapeok="t" o:connecttype="rect"/>
              </v:shapetype>
              <v:shape id="Textbox 5" o:spid="_x0000_s1026" type="#_x0000_t202" style="width:439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TywEAALMDAAAOAAAAZHJzL2Uyb0RvYy54bWysU9uO0zAQfUfiHyy/02S7FKKo6Qq2WoS0&#10;AqSFD3Adu7FwPMbjNunfM3bSlusLIpGcsWd8Zs6Zyfpu7C07qoAGXMNvFiVnyklojds3/MvnhxcV&#10;ZxiFa4UFpxp+UsjvNs+frQdfqyV0YFsVGIE4rAff8C5GXxcFyk71AhfglSOnhtCLSNuwL9ogBkLv&#10;bbEsy1fFAKH1AaRCpNPt5OSbjK+1kvGj1qgisw2n2mJeQ153aS02a1Hvg/CdkXMZ4h+q6IVxlPQC&#10;tRVRsEMwv0H1RgZA0HEhoS9AayNV5kBsbspf2Dx1wqvMhcRBf5EJ/x+s/HB88p8Ci+NbGKmBmQT6&#10;R5BfkbQpBo/1HJM0xRopOhEddejTlygwukjani56qjEySYer1evVbUkuSb7b8mVFdgK93vYB4zsF&#10;PUtGwwP1K1cgjo8Yp9BzSEqGYE37YKzNm7Df3dvAjoJ6u63SO6P/FGYdG4hYtayqidxfMcr8/Akj&#10;1bAV2E25MvwcZt0s0qRLUiiOu5FKT+YO2hOJO9B8NRy/HURQnNn3jhqYhvFshLOxOxsh2nvII5uY&#10;OnhziKBNVuSKO2emyciazlOcRu/HfY66/mub7wAAAP//AwBQSwMEFAAGAAgAAAAhAC0siHbZAAAA&#10;BAEAAA8AAABkcnMvZG93bnJldi54bWxMj0FLw0AQhe+C/2EZwZvdGERjzKZUQUF6kFbxPMmOm9js&#10;bMhu2/jvHb3oZYbHG958r1rOflAHmmIf2MDlIgNF3AbbszPw9vp4UYCKCdniEJgMfFGEZX16UmFp&#10;w5E3dNgmpySEY4kGupTGUuvYduQxLsJILN5HmDwmkZPTdsKjhPtB51l2rT32LB86HOmho3a33XsD&#10;a4fN+uUe8yd9G1x6Lt4/d6vcmPOzeXUHKtGc/o7hB1/QoRamJuzZRjUYkCLpd4pX3BQiGwNXsnVd&#10;6f/w9TcAAAD//wMAUEsBAi0AFAAGAAgAAAAhALaDOJL+AAAA4QEAABMAAAAAAAAAAAAAAAAAAAAA&#10;AFtDb250ZW50X1R5cGVzXS54bWxQSwECLQAUAAYACAAAACEAOP0h/9YAAACUAQAACwAAAAAAAAAA&#10;AAAAAAAvAQAAX3JlbHMvLnJlbHNQSwECLQAUAAYACAAAACEA/kRJU8sBAACzAwAADgAAAAAAAAAA&#10;AAAAAAAuAgAAZHJzL2Uyb0RvYy54bWxQSwECLQAUAAYACAAAACEALSyIdtkAAAAEAQAADwAAAAAA&#10;AAAAAAAAAAAlBAAAZHJzL2Rvd25yZXYueG1sUEsFBgAAAAAEAAQA8wAAACsFAAAAAA==&#10;" fillcolor="#d8d8d8" strokeweight="1.44pt">
                <v:path arrowok="t"/>
                <v:textbox inset="0,0,0,0">
                  <w:txbxContent>
                    <w:p w14:paraId="265B1F6C" w14:textId="77777777" w:rsidR="00654116" w:rsidRDefault="00654116" w:rsidP="00654116">
                      <w:pPr>
                        <w:spacing w:before="19"/>
                        <w:ind w:left="758"/>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v:textbox>
                <w10:anchorlock/>
              </v:shape>
            </w:pict>
          </mc:Fallback>
        </mc:AlternateContent>
      </w:r>
    </w:p>
    <w:tbl>
      <w:tblPr>
        <w:tblpPr w:leftFromText="180" w:rightFromText="180" w:vertAnchor="text" w:horzAnchor="margin" w:tblpY="-14"/>
        <w:tblW w:w="95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495"/>
        <w:gridCol w:w="5397"/>
        <w:gridCol w:w="1648"/>
      </w:tblGrid>
      <w:tr w:rsidR="00ED02F2" w14:paraId="14108F7E" w14:textId="77777777" w:rsidTr="00ED02F2">
        <w:trPr>
          <w:trHeight w:val="1235"/>
        </w:trPr>
        <w:tc>
          <w:tcPr>
            <w:tcW w:w="2495" w:type="dxa"/>
            <w:tcBorders>
              <w:bottom w:val="single" w:sz="4" w:space="0" w:color="000000"/>
              <w:right w:val="single" w:sz="4" w:space="0" w:color="000000"/>
            </w:tcBorders>
            <w:shd w:val="clear" w:color="auto" w:fill="91CF50"/>
          </w:tcPr>
          <w:p w14:paraId="7C16816A" w14:textId="77777777" w:rsidR="00ED02F2" w:rsidRDefault="00ED02F2" w:rsidP="00ED02F2">
            <w:pPr>
              <w:pStyle w:val="TableParagraph"/>
              <w:spacing w:line="253" w:lineRule="exact"/>
              <w:ind w:left="105"/>
            </w:pPr>
            <w:r>
              <w:rPr>
                <w:spacing w:val="-2"/>
              </w:rPr>
              <w:t>RESEARCH</w:t>
            </w:r>
          </w:p>
        </w:tc>
        <w:tc>
          <w:tcPr>
            <w:tcW w:w="5397" w:type="dxa"/>
            <w:tcBorders>
              <w:left w:val="single" w:sz="4" w:space="0" w:color="000000"/>
              <w:bottom w:val="single" w:sz="4" w:space="0" w:color="000000"/>
              <w:right w:val="single" w:sz="4" w:space="0" w:color="000000"/>
            </w:tcBorders>
            <w:shd w:val="clear" w:color="auto" w:fill="91CF50"/>
          </w:tcPr>
          <w:p w14:paraId="066FCD20" w14:textId="77777777" w:rsidR="00ED02F2" w:rsidRDefault="00ED02F2" w:rsidP="00ED02F2">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support you in research and data analysis.</w:t>
            </w:r>
          </w:p>
        </w:tc>
        <w:tc>
          <w:tcPr>
            <w:tcW w:w="1648" w:type="dxa"/>
            <w:tcBorders>
              <w:left w:val="single" w:sz="4" w:space="0" w:color="000000"/>
              <w:bottom w:val="single" w:sz="4" w:space="0" w:color="000000"/>
            </w:tcBorders>
            <w:shd w:val="clear" w:color="auto" w:fill="91CF50"/>
          </w:tcPr>
          <w:p w14:paraId="0A1D03CB" w14:textId="77777777" w:rsidR="00ED02F2" w:rsidRDefault="00ED02F2" w:rsidP="00ED02F2">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16273AF2" w14:textId="77777777" w:rsidR="00ED02F2" w:rsidRDefault="00ED02F2" w:rsidP="00ED02F2">
            <w:pPr>
              <w:pStyle w:val="TableParagraph"/>
              <w:ind w:left="0"/>
            </w:pPr>
          </w:p>
          <w:p w14:paraId="7A0D123A" w14:textId="77777777" w:rsidR="00ED02F2" w:rsidRDefault="00ED02F2" w:rsidP="00ED02F2">
            <w:pPr>
              <w:pStyle w:val="TableParagraph"/>
              <w:spacing w:before="18"/>
              <w:ind w:left="0"/>
            </w:pPr>
          </w:p>
          <w:p w14:paraId="628143BD" w14:textId="77777777" w:rsidR="00ED02F2" w:rsidRDefault="00ED02F2" w:rsidP="00ED02F2">
            <w:pPr>
              <w:pStyle w:val="TableParagraph"/>
              <w:ind w:left="111"/>
              <w:rPr>
                <w:rFonts w:ascii="SimSun-ExtB" w:hAnsi="SimSun-ExtB"/>
              </w:rPr>
            </w:pPr>
            <w:r>
              <w:t>No</w:t>
            </w:r>
            <w:r>
              <w:rPr>
                <w:spacing w:val="62"/>
              </w:rPr>
              <w:t xml:space="preserve"> </w:t>
            </w:r>
            <w:r>
              <w:rPr>
                <w:rFonts w:ascii="SimSun-ExtB" w:hAnsi="SimSun-ExtB"/>
                <w:spacing w:val="-10"/>
              </w:rPr>
              <w:t>☐</w:t>
            </w:r>
          </w:p>
        </w:tc>
      </w:tr>
      <w:tr w:rsidR="00ED02F2" w14:paraId="497DEB5C" w14:textId="77777777" w:rsidTr="00ED02F2">
        <w:trPr>
          <w:trHeight w:val="1516"/>
        </w:trPr>
        <w:tc>
          <w:tcPr>
            <w:tcW w:w="2495" w:type="dxa"/>
            <w:tcBorders>
              <w:top w:val="single" w:sz="4" w:space="0" w:color="000000"/>
              <w:bottom w:val="single" w:sz="4" w:space="0" w:color="000000"/>
              <w:right w:val="single" w:sz="4" w:space="0" w:color="000000"/>
            </w:tcBorders>
          </w:tcPr>
          <w:p w14:paraId="5A5D827A" w14:textId="77777777" w:rsidR="00ED02F2" w:rsidRDefault="00ED02F2" w:rsidP="00ED02F2">
            <w:pPr>
              <w:pStyle w:val="TableParagraph"/>
              <w:ind w:left="105"/>
            </w:pPr>
            <w:r>
              <w:rPr>
                <w:spacing w:val="-2"/>
              </w:rPr>
              <w:t>STRUCTURE</w:t>
            </w:r>
          </w:p>
        </w:tc>
        <w:tc>
          <w:tcPr>
            <w:tcW w:w="5397" w:type="dxa"/>
            <w:tcBorders>
              <w:top w:val="single" w:sz="4" w:space="0" w:color="000000"/>
              <w:left w:val="single" w:sz="4" w:space="0" w:color="000000"/>
              <w:bottom w:val="single" w:sz="4" w:space="0" w:color="000000"/>
              <w:right w:val="single" w:sz="4" w:space="0" w:color="000000"/>
            </w:tcBorders>
          </w:tcPr>
          <w:p w14:paraId="50637AE1" w14:textId="77777777" w:rsidR="00ED02F2" w:rsidRDefault="00ED02F2" w:rsidP="00ED02F2">
            <w:pPr>
              <w:pStyle w:val="TableParagraph"/>
              <w:spacing w:line="360" w:lineRule="auto"/>
              <w:ind w:hanging="1"/>
            </w:pPr>
            <w:r>
              <w:t>For this assessment, you can use Generative AI to support</w:t>
            </w:r>
            <w:r>
              <w:rPr>
                <w:spacing w:val="-8"/>
              </w:rPr>
              <w:t xml:space="preserve"> </w:t>
            </w:r>
            <w:r>
              <w:t>you</w:t>
            </w:r>
            <w:r>
              <w:rPr>
                <w:spacing w:val="-5"/>
              </w:rPr>
              <w:t xml:space="preserve"> </w:t>
            </w:r>
            <w:r>
              <w:t>in</w:t>
            </w:r>
            <w:r>
              <w:rPr>
                <w:spacing w:val="-8"/>
              </w:rPr>
              <w:t xml:space="preserve"> </w:t>
            </w:r>
            <w:r>
              <w:t>structuring</w:t>
            </w:r>
            <w:r>
              <w:rPr>
                <w:spacing w:val="-8"/>
              </w:rPr>
              <w:t xml:space="preserve"> </w:t>
            </w:r>
            <w:r>
              <w:t>your</w:t>
            </w:r>
            <w:r>
              <w:rPr>
                <w:spacing w:val="-8"/>
              </w:rPr>
              <w:t xml:space="preserve"> </w:t>
            </w:r>
            <w:r>
              <w:t>submission,</w:t>
            </w:r>
            <w:r>
              <w:rPr>
                <w:spacing w:val="-4"/>
              </w:rPr>
              <w:t xml:space="preserve"> </w:t>
            </w:r>
            <w:r>
              <w:t>including creating a draft argument structure, identifying parts</w:t>
            </w:r>
          </w:p>
          <w:p w14:paraId="136DED8C" w14:textId="77777777" w:rsidR="00ED02F2" w:rsidRDefault="00ED02F2" w:rsidP="00ED02F2">
            <w:pPr>
              <w:pStyle w:val="TableParagraph"/>
              <w:spacing w:line="252" w:lineRule="exact"/>
            </w:pPr>
            <w:r>
              <w:t>and</w:t>
            </w:r>
            <w:r>
              <w:rPr>
                <w:spacing w:val="-5"/>
              </w:rPr>
              <w:t xml:space="preserve"> </w:t>
            </w:r>
            <w:r>
              <w:t>headings,</w:t>
            </w:r>
            <w:r>
              <w:rPr>
                <w:spacing w:val="-2"/>
              </w:rPr>
              <w:t xml:space="preserve"> </w:t>
            </w:r>
            <w:r>
              <w:rPr>
                <w:spacing w:val="-4"/>
              </w:rPr>
              <w:t>etc.</w:t>
            </w:r>
          </w:p>
        </w:tc>
        <w:tc>
          <w:tcPr>
            <w:tcW w:w="1648" w:type="dxa"/>
            <w:tcBorders>
              <w:top w:val="single" w:sz="4" w:space="0" w:color="000000"/>
              <w:left w:val="single" w:sz="4" w:space="0" w:color="000000"/>
              <w:bottom w:val="single" w:sz="4" w:space="0" w:color="000000"/>
            </w:tcBorders>
          </w:tcPr>
          <w:p w14:paraId="7B3EC53C" w14:textId="77777777" w:rsidR="00ED02F2" w:rsidRDefault="00ED02F2" w:rsidP="00ED02F2">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32218389" w14:textId="77777777" w:rsidR="00ED02F2" w:rsidRDefault="00ED02F2" w:rsidP="00ED02F2">
            <w:pPr>
              <w:pStyle w:val="TableParagraph"/>
              <w:ind w:left="0"/>
            </w:pPr>
          </w:p>
          <w:p w14:paraId="4ABFF89C" w14:textId="77777777" w:rsidR="00ED02F2" w:rsidRDefault="00ED02F2" w:rsidP="00ED02F2">
            <w:pPr>
              <w:pStyle w:val="TableParagraph"/>
              <w:spacing w:before="18"/>
              <w:ind w:left="0"/>
            </w:pPr>
          </w:p>
          <w:p w14:paraId="41B14A58" w14:textId="77777777" w:rsidR="00ED02F2" w:rsidRDefault="00ED02F2" w:rsidP="00ED02F2">
            <w:pPr>
              <w:pStyle w:val="TableParagraph"/>
              <w:ind w:left="111"/>
              <w:rPr>
                <w:rFonts w:ascii="SimSun-ExtB" w:hAnsi="SimSun-ExtB"/>
              </w:rPr>
            </w:pPr>
            <w:r>
              <w:t>No</w:t>
            </w:r>
            <w:r>
              <w:rPr>
                <w:spacing w:val="62"/>
              </w:rPr>
              <w:t xml:space="preserve"> </w:t>
            </w:r>
            <w:r>
              <w:rPr>
                <w:rFonts w:ascii="SimSun-ExtB" w:hAnsi="SimSun-ExtB"/>
                <w:spacing w:val="-10"/>
              </w:rPr>
              <w:t>☒</w:t>
            </w:r>
          </w:p>
        </w:tc>
      </w:tr>
      <w:tr w:rsidR="00ED02F2" w14:paraId="15ABE37E" w14:textId="77777777" w:rsidTr="00ED02F2">
        <w:trPr>
          <w:trHeight w:val="1518"/>
        </w:trPr>
        <w:tc>
          <w:tcPr>
            <w:tcW w:w="2495" w:type="dxa"/>
            <w:tcBorders>
              <w:top w:val="single" w:sz="4" w:space="0" w:color="000000"/>
              <w:bottom w:val="single" w:sz="4" w:space="0" w:color="000000"/>
              <w:right w:val="single" w:sz="4" w:space="0" w:color="000000"/>
            </w:tcBorders>
            <w:shd w:val="clear" w:color="auto" w:fill="91CF50"/>
          </w:tcPr>
          <w:p w14:paraId="7EBAF6A5" w14:textId="77777777" w:rsidR="00ED02F2" w:rsidRDefault="00ED02F2" w:rsidP="00ED02F2">
            <w:pPr>
              <w:pStyle w:val="TableParagraph"/>
              <w:spacing w:before="2"/>
              <w:ind w:left="105"/>
            </w:pPr>
            <w:r>
              <w:rPr>
                <w:spacing w:val="-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65950A0E" w14:textId="77777777" w:rsidR="00ED02F2" w:rsidRDefault="00ED02F2" w:rsidP="00ED02F2">
            <w:pPr>
              <w:pStyle w:val="TableParagraph"/>
              <w:spacing w:before="2" w:line="360" w:lineRule="auto"/>
            </w:pPr>
            <w:r>
              <w:t>For this assessment, you can use Generative AI to check your own text/creation for grammatical and syntactical</w:t>
            </w:r>
            <w:r>
              <w:rPr>
                <w:spacing w:val="-7"/>
              </w:rPr>
              <w:t xml:space="preserve"> </w:t>
            </w:r>
            <w:r>
              <w:t>mistakes,</w:t>
            </w:r>
            <w:r>
              <w:rPr>
                <w:spacing w:val="-6"/>
              </w:rPr>
              <w:t xml:space="preserve"> </w:t>
            </w:r>
            <w:r>
              <w:t>including</w:t>
            </w:r>
            <w:r>
              <w:rPr>
                <w:spacing w:val="-6"/>
              </w:rPr>
              <w:t xml:space="preserve"> </w:t>
            </w:r>
            <w:r>
              <w:t>getting</w:t>
            </w:r>
            <w:r>
              <w:rPr>
                <w:spacing w:val="-9"/>
              </w:rPr>
              <w:t xml:space="preserve"> </w:t>
            </w:r>
            <w:r>
              <w:t>suggestions</w:t>
            </w:r>
            <w:r>
              <w:rPr>
                <w:spacing w:val="-7"/>
              </w:rPr>
              <w:t xml:space="preserve"> </w:t>
            </w:r>
            <w:r>
              <w:t>to</w:t>
            </w:r>
          </w:p>
          <w:p w14:paraId="21AFAD81" w14:textId="77777777" w:rsidR="00ED02F2" w:rsidRDefault="00ED02F2" w:rsidP="00ED02F2">
            <w:pPr>
              <w:pStyle w:val="TableParagraph"/>
              <w:spacing w:line="252" w:lineRule="exact"/>
            </w:pPr>
            <w:r>
              <w:t>rephrase</w:t>
            </w:r>
            <w:r>
              <w:rPr>
                <w:spacing w:val="-7"/>
              </w:rPr>
              <w:t xml:space="preserve"> </w:t>
            </w:r>
            <w:r>
              <w:t>your</w:t>
            </w:r>
            <w:r>
              <w:rPr>
                <w:spacing w:val="-1"/>
              </w:rPr>
              <w:t xml:space="preserve"> </w:t>
            </w:r>
            <w:r>
              <w:rPr>
                <w:spacing w:val="-4"/>
              </w:rPr>
              <w:t>work.</w:t>
            </w:r>
          </w:p>
        </w:tc>
        <w:tc>
          <w:tcPr>
            <w:tcW w:w="1648" w:type="dxa"/>
            <w:tcBorders>
              <w:top w:val="single" w:sz="4" w:space="0" w:color="000000"/>
              <w:left w:val="single" w:sz="4" w:space="0" w:color="000000"/>
              <w:bottom w:val="single" w:sz="4" w:space="0" w:color="000000"/>
            </w:tcBorders>
            <w:shd w:val="clear" w:color="auto" w:fill="91CF50"/>
          </w:tcPr>
          <w:p w14:paraId="6B9FEF59" w14:textId="77777777" w:rsidR="00ED02F2" w:rsidRDefault="00ED02F2" w:rsidP="00ED02F2">
            <w:pPr>
              <w:pStyle w:val="TableParagraph"/>
              <w:spacing w:before="5"/>
              <w:ind w:left="111"/>
              <w:rPr>
                <w:rFonts w:ascii="SimSun-ExtB" w:hAnsi="SimSun-ExtB"/>
              </w:rPr>
            </w:pPr>
            <w:r>
              <w:t>Yes</w:t>
            </w:r>
            <w:r>
              <w:rPr>
                <w:spacing w:val="-1"/>
              </w:rPr>
              <w:t xml:space="preserve"> </w:t>
            </w:r>
            <w:r>
              <w:rPr>
                <w:rFonts w:ascii="SimSun-ExtB" w:hAnsi="SimSun-ExtB"/>
                <w:spacing w:val="-10"/>
              </w:rPr>
              <w:t>☒</w:t>
            </w:r>
          </w:p>
          <w:p w14:paraId="71AE2017" w14:textId="77777777" w:rsidR="00ED02F2" w:rsidRDefault="00ED02F2" w:rsidP="00ED02F2">
            <w:pPr>
              <w:pStyle w:val="TableParagraph"/>
              <w:ind w:left="0"/>
            </w:pPr>
          </w:p>
          <w:p w14:paraId="40120ED0" w14:textId="77777777" w:rsidR="00ED02F2" w:rsidRDefault="00ED02F2" w:rsidP="00ED02F2">
            <w:pPr>
              <w:pStyle w:val="TableParagraph"/>
              <w:spacing w:before="18"/>
              <w:ind w:left="0"/>
            </w:pPr>
          </w:p>
          <w:p w14:paraId="0FCF102A" w14:textId="77777777" w:rsidR="00ED02F2" w:rsidRDefault="00ED02F2" w:rsidP="00ED02F2">
            <w:pPr>
              <w:pStyle w:val="TableParagraph"/>
              <w:spacing w:before="1"/>
              <w:ind w:left="111"/>
              <w:rPr>
                <w:rFonts w:ascii="SimSun-ExtB" w:hAnsi="SimSun-ExtB"/>
              </w:rPr>
            </w:pPr>
            <w:r>
              <w:t>No</w:t>
            </w:r>
            <w:r>
              <w:rPr>
                <w:spacing w:val="62"/>
              </w:rPr>
              <w:t xml:space="preserve"> </w:t>
            </w:r>
            <w:r>
              <w:rPr>
                <w:rFonts w:ascii="SimSun-ExtB" w:hAnsi="SimSun-ExtB"/>
                <w:spacing w:val="-10"/>
              </w:rPr>
              <w:t>☐</w:t>
            </w:r>
          </w:p>
        </w:tc>
      </w:tr>
      <w:tr w:rsidR="00ED02F2" w14:paraId="685E0135" w14:textId="77777777" w:rsidTr="00ED02F2">
        <w:trPr>
          <w:trHeight w:val="1235"/>
        </w:trPr>
        <w:tc>
          <w:tcPr>
            <w:tcW w:w="2495" w:type="dxa"/>
            <w:tcBorders>
              <w:top w:val="single" w:sz="4" w:space="0" w:color="000000"/>
              <w:bottom w:val="single" w:sz="4" w:space="0" w:color="000000"/>
              <w:right w:val="single" w:sz="4" w:space="0" w:color="000000"/>
            </w:tcBorders>
          </w:tcPr>
          <w:p w14:paraId="7E431024" w14:textId="77777777" w:rsidR="00ED02F2" w:rsidRDefault="00ED02F2" w:rsidP="00ED02F2">
            <w:pPr>
              <w:pStyle w:val="TableParagraph"/>
              <w:ind w:left="105"/>
            </w:pPr>
            <w:r>
              <w:rPr>
                <w:spacing w:val="-2"/>
              </w:rPr>
              <w:t>WRITING</w:t>
            </w:r>
          </w:p>
        </w:tc>
        <w:tc>
          <w:tcPr>
            <w:tcW w:w="5397" w:type="dxa"/>
            <w:tcBorders>
              <w:top w:val="single" w:sz="4" w:space="0" w:color="000000"/>
              <w:left w:val="single" w:sz="4" w:space="0" w:color="000000"/>
              <w:bottom w:val="single" w:sz="4" w:space="0" w:color="000000"/>
              <w:right w:val="single" w:sz="4" w:space="0" w:color="000000"/>
            </w:tcBorders>
          </w:tcPr>
          <w:p w14:paraId="6DCF3E32" w14:textId="77777777" w:rsidR="00ED02F2" w:rsidRDefault="00ED02F2" w:rsidP="00ED02F2">
            <w:pPr>
              <w:pStyle w:val="TableParagraph"/>
              <w:spacing w:line="360" w:lineRule="auto"/>
            </w:pPr>
            <w:r>
              <w:t>For</w:t>
            </w:r>
            <w:r>
              <w:rPr>
                <w:spacing w:val="-5"/>
              </w:rPr>
              <w:t xml:space="preserve"> </w:t>
            </w:r>
            <w:r>
              <w:t>this</w:t>
            </w:r>
            <w:r>
              <w:rPr>
                <w:spacing w:val="-5"/>
              </w:rPr>
              <w:t xml:space="preserve"> </w:t>
            </w:r>
            <w:r>
              <w:t>assessment,</w:t>
            </w:r>
            <w:r>
              <w:rPr>
                <w:spacing w:val="-4"/>
              </w:rPr>
              <w:t xml:space="preserve"> </w:t>
            </w:r>
            <w:r>
              <w:t>you</w:t>
            </w:r>
            <w:r>
              <w:rPr>
                <w:spacing w:val="-6"/>
              </w:rPr>
              <w:t xml:space="preserve"> </w:t>
            </w:r>
            <w:r>
              <w:t>can</w:t>
            </w:r>
            <w:r>
              <w:rPr>
                <w:spacing w:val="-5"/>
              </w:rPr>
              <w:t xml:space="preserve"> </w:t>
            </w:r>
            <w:r>
              <w:t>use</w:t>
            </w:r>
            <w:r>
              <w:rPr>
                <w:spacing w:val="-7"/>
              </w:rPr>
              <w:t xml:space="preserve"> </w:t>
            </w:r>
            <w:r>
              <w:t>Generative</w:t>
            </w:r>
            <w:r>
              <w:rPr>
                <w:spacing w:val="-5"/>
              </w:rPr>
              <w:t xml:space="preserve"> </w:t>
            </w:r>
            <w:r>
              <w:t>AI</w:t>
            </w:r>
            <w:r>
              <w:rPr>
                <w:spacing w:val="-7"/>
              </w:rPr>
              <w:t xml:space="preserve"> </w:t>
            </w:r>
            <w:r>
              <w:t>to create text for submission.</w:t>
            </w:r>
          </w:p>
        </w:tc>
        <w:tc>
          <w:tcPr>
            <w:tcW w:w="1648" w:type="dxa"/>
            <w:tcBorders>
              <w:top w:val="single" w:sz="4" w:space="0" w:color="000000"/>
              <w:left w:val="single" w:sz="4" w:space="0" w:color="000000"/>
              <w:bottom w:val="single" w:sz="4" w:space="0" w:color="000000"/>
            </w:tcBorders>
          </w:tcPr>
          <w:p w14:paraId="4291ED97" w14:textId="77777777" w:rsidR="00ED02F2" w:rsidRDefault="00ED02F2" w:rsidP="00ED02F2">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73548335" w14:textId="77777777" w:rsidR="00ED02F2" w:rsidRDefault="00ED02F2" w:rsidP="00ED02F2">
            <w:pPr>
              <w:pStyle w:val="TableParagraph"/>
              <w:ind w:left="0"/>
            </w:pPr>
          </w:p>
          <w:p w14:paraId="0C3A81CB" w14:textId="77777777" w:rsidR="00ED02F2" w:rsidRDefault="00ED02F2" w:rsidP="00ED02F2">
            <w:pPr>
              <w:pStyle w:val="TableParagraph"/>
              <w:spacing w:before="20"/>
              <w:ind w:left="0"/>
            </w:pPr>
          </w:p>
          <w:p w14:paraId="3B91EDD6" w14:textId="77777777" w:rsidR="00ED02F2" w:rsidRDefault="00ED02F2" w:rsidP="00ED02F2">
            <w:pPr>
              <w:pStyle w:val="TableParagraph"/>
              <w:spacing w:before="1"/>
              <w:ind w:left="111"/>
              <w:rPr>
                <w:rFonts w:ascii="SimSun-ExtB" w:hAnsi="SimSun-ExtB"/>
              </w:rPr>
            </w:pPr>
            <w:r>
              <w:t>No</w:t>
            </w:r>
            <w:r>
              <w:rPr>
                <w:spacing w:val="62"/>
              </w:rPr>
              <w:t xml:space="preserve"> </w:t>
            </w:r>
            <w:r>
              <w:rPr>
                <w:rFonts w:ascii="SimSun-ExtB" w:hAnsi="SimSun-ExtB"/>
                <w:spacing w:val="-10"/>
              </w:rPr>
              <w:t>☒</w:t>
            </w:r>
          </w:p>
        </w:tc>
      </w:tr>
      <w:tr w:rsidR="00ED02F2" w14:paraId="66419B62" w14:textId="77777777" w:rsidTr="00ED02F2">
        <w:trPr>
          <w:trHeight w:val="1235"/>
        </w:trPr>
        <w:tc>
          <w:tcPr>
            <w:tcW w:w="2495" w:type="dxa"/>
            <w:tcBorders>
              <w:top w:val="single" w:sz="4" w:space="0" w:color="000000"/>
              <w:bottom w:val="single" w:sz="4" w:space="0" w:color="000000"/>
              <w:right w:val="single" w:sz="4" w:space="0" w:color="000000"/>
            </w:tcBorders>
            <w:shd w:val="clear" w:color="auto" w:fill="91CF50"/>
          </w:tcPr>
          <w:p w14:paraId="79613F9E" w14:textId="77777777" w:rsidR="00ED02F2" w:rsidRDefault="00ED02F2" w:rsidP="00ED02F2">
            <w:pPr>
              <w:pStyle w:val="TableParagraph"/>
              <w:ind w:left="105"/>
            </w:pPr>
            <w:r>
              <w:rPr>
                <w:spacing w:val="-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22D289C9" w14:textId="77777777" w:rsidR="00ED02F2" w:rsidRDefault="00ED02F2" w:rsidP="00ED02F2">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create creative materials, such as images.</w:t>
            </w:r>
          </w:p>
        </w:tc>
        <w:tc>
          <w:tcPr>
            <w:tcW w:w="1648" w:type="dxa"/>
            <w:tcBorders>
              <w:top w:val="single" w:sz="4" w:space="0" w:color="000000"/>
              <w:left w:val="single" w:sz="4" w:space="0" w:color="000000"/>
              <w:bottom w:val="single" w:sz="4" w:space="0" w:color="000000"/>
            </w:tcBorders>
            <w:shd w:val="clear" w:color="auto" w:fill="91CF50"/>
          </w:tcPr>
          <w:p w14:paraId="01FCA164" w14:textId="77777777" w:rsidR="00ED02F2" w:rsidRDefault="00ED02F2" w:rsidP="00ED02F2">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53C823BD" w14:textId="77777777" w:rsidR="00ED02F2" w:rsidRDefault="00ED02F2" w:rsidP="00ED02F2">
            <w:pPr>
              <w:pStyle w:val="TableParagraph"/>
              <w:ind w:left="0"/>
            </w:pPr>
          </w:p>
          <w:p w14:paraId="400FDC29" w14:textId="77777777" w:rsidR="00ED02F2" w:rsidRDefault="00ED02F2" w:rsidP="00ED02F2">
            <w:pPr>
              <w:pStyle w:val="TableParagraph"/>
              <w:spacing w:before="20"/>
              <w:ind w:left="0"/>
            </w:pPr>
          </w:p>
          <w:p w14:paraId="3B7DDAD9" w14:textId="77777777" w:rsidR="00ED02F2" w:rsidRDefault="00ED02F2" w:rsidP="00ED02F2">
            <w:pPr>
              <w:pStyle w:val="TableParagraph"/>
              <w:spacing w:before="1"/>
              <w:ind w:left="111"/>
              <w:rPr>
                <w:rFonts w:ascii="SimSun-ExtB" w:hAnsi="SimSun-ExtB"/>
              </w:rPr>
            </w:pPr>
            <w:r>
              <w:t>No</w:t>
            </w:r>
            <w:r>
              <w:rPr>
                <w:spacing w:val="62"/>
              </w:rPr>
              <w:t xml:space="preserve"> </w:t>
            </w:r>
            <w:r>
              <w:rPr>
                <w:rFonts w:ascii="SimSun-ExtB" w:hAnsi="SimSun-ExtB"/>
                <w:spacing w:val="-10"/>
              </w:rPr>
              <w:t>☐</w:t>
            </w:r>
          </w:p>
        </w:tc>
      </w:tr>
      <w:tr w:rsidR="00ED02F2" w14:paraId="4C0407B9" w14:textId="77777777" w:rsidTr="00ED02F2">
        <w:trPr>
          <w:trHeight w:val="1235"/>
        </w:trPr>
        <w:tc>
          <w:tcPr>
            <w:tcW w:w="2495" w:type="dxa"/>
            <w:tcBorders>
              <w:top w:val="single" w:sz="4" w:space="0" w:color="000000"/>
              <w:bottom w:val="single" w:sz="4" w:space="0" w:color="000000"/>
              <w:right w:val="single" w:sz="4" w:space="0" w:color="000000"/>
            </w:tcBorders>
          </w:tcPr>
          <w:p w14:paraId="7DF2F5A9" w14:textId="77777777" w:rsidR="00ED02F2" w:rsidRDefault="00ED02F2" w:rsidP="00ED02F2">
            <w:pPr>
              <w:pStyle w:val="TableParagraph"/>
              <w:ind w:left="105"/>
            </w:pPr>
            <w:r>
              <w:rPr>
                <w:spacing w:val="-2"/>
              </w:rPr>
              <w:t>PROGRAMING</w:t>
            </w:r>
          </w:p>
        </w:tc>
        <w:tc>
          <w:tcPr>
            <w:tcW w:w="5397" w:type="dxa"/>
            <w:tcBorders>
              <w:top w:val="single" w:sz="4" w:space="0" w:color="000000"/>
              <w:left w:val="single" w:sz="4" w:space="0" w:color="000000"/>
              <w:bottom w:val="single" w:sz="4" w:space="0" w:color="000000"/>
              <w:right w:val="single" w:sz="4" w:space="0" w:color="000000"/>
            </w:tcBorders>
          </w:tcPr>
          <w:p w14:paraId="6CC74648" w14:textId="77777777" w:rsidR="00ED02F2" w:rsidRDefault="00ED02F2" w:rsidP="00ED02F2">
            <w:pPr>
              <w:pStyle w:val="TableParagraph"/>
              <w:spacing w:line="360" w:lineRule="auto"/>
              <w:ind w:hanging="1"/>
            </w:pPr>
            <w:r>
              <w:t>For</w:t>
            </w:r>
            <w:r>
              <w:rPr>
                <w:spacing w:val="-5"/>
              </w:rPr>
              <w:t xml:space="preserve"> </w:t>
            </w:r>
            <w:r>
              <w:t>this</w:t>
            </w:r>
            <w:r>
              <w:rPr>
                <w:spacing w:val="-5"/>
              </w:rPr>
              <w:t xml:space="preserve"> </w:t>
            </w:r>
            <w:r>
              <w:t>assessment,</w:t>
            </w:r>
            <w:r>
              <w:rPr>
                <w:spacing w:val="-4"/>
              </w:rPr>
              <w:t xml:space="preserve"> </w:t>
            </w:r>
            <w:r>
              <w:t>you</w:t>
            </w:r>
            <w:r>
              <w:rPr>
                <w:spacing w:val="-5"/>
              </w:rPr>
              <w:t xml:space="preserve"> </w:t>
            </w:r>
            <w:r>
              <w:t>can</w:t>
            </w:r>
            <w:r>
              <w:rPr>
                <w:spacing w:val="-5"/>
              </w:rPr>
              <w:t xml:space="preserve"> </w:t>
            </w:r>
            <w:r>
              <w:t>use</w:t>
            </w:r>
            <w:r>
              <w:rPr>
                <w:spacing w:val="-7"/>
              </w:rPr>
              <w:t xml:space="preserve"> </w:t>
            </w:r>
            <w:r>
              <w:t>Generative</w:t>
            </w:r>
            <w:r>
              <w:rPr>
                <w:spacing w:val="-5"/>
              </w:rPr>
              <w:t xml:space="preserve"> </w:t>
            </w:r>
            <w:r>
              <w:t>AI</w:t>
            </w:r>
            <w:r>
              <w:rPr>
                <w:spacing w:val="-6"/>
              </w:rPr>
              <w:t xml:space="preserve"> </w:t>
            </w:r>
            <w:r>
              <w:t>to create and check code.</w:t>
            </w:r>
          </w:p>
        </w:tc>
        <w:tc>
          <w:tcPr>
            <w:tcW w:w="1648" w:type="dxa"/>
            <w:tcBorders>
              <w:top w:val="single" w:sz="4" w:space="0" w:color="000000"/>
              <w:left w:val="single" w:sz="4" w:space="0" w:color="000000"/>
              <w:bottom w:val="single" w:sz="4" w:space="0" w:color="000000"/>
            </w:tcBorders>
          </w:tcPr>
          <w:p w14:paraId="33E03BF5" w14:textId="77777777" w:rsidR="00ED02F2" w:rsidRDefault="00ED02F2" w:rsidP="00ED02F2">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3C68ECF6" w14:textId="77777777" w:rsidR="00ED02F2" w:rsidRDefault="00ED02F2" w:rsidP="00ED02F2">
            <w:pPr>
              <w:pStyle w:val="TableParagraph"/>
              <w:ind w:left="0"/>
            </w:pPr>
          </w:p>
          <w:p w14:paraId="205773BC" w14:textId="77777777" w:rsidR="00ED02F2" w:rsidRDefault="00ED02F2" w:rsidP="00ED02F2">
            <w:pPr>
              <w:pStyle w:val="TableParagraph"/>
              <w:spacing w:before="18"/>
              <w:ind w:left="0"/>
            </w:pPr>
          </w:p>
          <w:p w14:paraId="55FFA905" w14:textId="77777777" w:rsidR="00ED02F2" w:rsidRDefault="00ED02F2" w:rsidP="00ED02F2">
            <w:pPr>
              <w:pStyle w:val="TableParagraph"/>
              <w:ind w:left="111"/>
              <w:rPr>
                <w:rFonts w:ascii="SimSun-ExtB" w:hAnsi="SimSun-ExtB"/>
              </w:rPr>
            </w:pPr>
            <w:r>
              <w:t>No</w:t>
            </w:r>
            <w:r>
              <w:rPr>
                <w:spacing w:val="62"/>
              </w:rPr>
              <w:t xml:space="preserve"> </w:t>
            </w:r>
            <w:r>
              <w:rPr>
                <w:rFonts w:ascii="SimSun-ExtB" w:hAnsi="SimSun-ExtB"/>
                <w:spacing w:val="-10"/>
              </w:rPr>
              <w:t>☒</w:t>
            </w:r>
          </w:p>
        </w:tc>
      </w:tr>
      <w:tr w:rsidR="00ED02F2" w14:paraId="2297B638" w14:textId="77777777" w:rsidTr="00ED02F2">
        <w:trPr>
          <w:trHeight w:val="1518"/>
        </w:trPr>
        <w:tc>
          <w:tcPr>
            <w:tcW w:w="2495" w:type="dxa"/>
            <w:tcBorders>
              <w:top w:val="single" w:sz="4" w:space="0" w:color="000000"/>
              <w:right w:val="single" w:sz="4" w:space="0" w:color="000000"/>
            </w:tcBorders>
          </w:tcPr>
          <w:p w14:paraId="51A9150E" w14:textId="77777777" w:rsidR="00ED02F2" w:rsidRDefault="00ED02F2" w:rsidP="00ED02F2">
            <w:pPr>
              <w:pStyle w:val="TableParagraph"/>
              <w:ind w:left="105"/>
            </w:pPr>
            <w:r>
              <w:rPr>
                <w:spacing w:val="-4"/>
              </w:rPr>
              <w:t>NONE</w:t>
            </w:r>
          </w:p>
        </w:tc>
        <w:tc>
          <w:tcPr>
            <w:tcW w:w="5397" w:type="dxa"/>
            <w:tcBorders>
              <w:top w:val="single" w:sz="4" w:space="0" w:color="000000"/>
              <w:left w:val="single" w:sz="4" w:space="0" w:color="000000"/>
              <w:right w:val="single" w:sz="4" w:space="0" w:color="000000"/>
            </w:tcBorders>
          </w:tcPr>
          <w:p w14:paraId="5E99938C" w14:textId="77777777" w:rsidR="00ED02F2" w:rsidRDefault="00ED02F2" w:rsidP="00ED02F2">
            <w:pPr>
              <w:pStyle w:val="TableParagraph"/>
              <w:spacing w:line="360" w:lineRule="auto"/>
              <w:ind w:right="89" w:hanging="1"/>
            </w:pPr>
            <w:r>
              <w:t xml:space="preserve">For this assessment, you are not allowed to use </w:t>
            </w:r>
            <w:r>
              <w:rPr>
                <w:rFonts w:ascii="Arial"/>
                <w:b/>
              </w:rPr>
              <w:t xml:space="preserve">any </w:t>
            </w:r>
            <w:r>
              <w:t>type</w:t>
            </w:r>
            <w:r>
              <w:rPr>
                <w:spacing w:val="-5"/>
              </w:rPr>
              <w:t xml:space="preserve"> </w:t>
            </w:r>
            <w:r>
              <w:t>of</w:t>
            </w:r>
            <w:r>
              <w:rPr>
                <w:spacing w:val="-5"/>
              </w:rPr>
              <w:t xml:space="preserve"> </w:t>
            </w:r>
            <w:r>
              <w:t>Generative</w:t>
            </w:r>
            <w:r>
              <w:rPr>
                <w:spacing w:val="-6"/>
              </w:rPr>
              <w:t xml:space="preserve"> </w:t>
            </w:r>
            <w:r>
              <w:t>AI</w:t>
            </w:r>
            <w:r>
              <w:rPr>
                <w:spacing w:val="-5"/>
              </w:rPr>
              <w:t xml:space="preserve"> </w:t>
            </w:r>
            <w:r>
              <w:t>support.</w:t>
            </w:r>
            <w:r>
              <w:rPr>
                <w:spacing w:val="-4"/>
              </w:rPr>
              <w:t xml:space="preserve"> </w:t>
            </w:r>
            <w:r>
              <w:t>This</w:t>
            </w:r>
            <w:r>
              <w:rPr>
                <w:spacing w:val="-5"/>
              </w:rPr>
              <w:t xml:space="preserve"> </w:t>
            </w:r>
            <w:r>
              <w:t>includes</w:t>
            </w:r>
            <w:r>
              <w:rPr>
                <w:spacing w:val="-7"/>
              </w:rPr>
              <w:t xml:space="preserve"> </w:t>
            </w:r>
            <w:r>
              <w:t>research support, structure support, writing/proofreading</w:t>
            </w:r>
          </w:p>
          <w:p w14:paraId="44BE5D6B" w14:textId="77777777" w:rsidR="00ED02F2" w:rsidRDefault="00ED02F2" w:rsidP="00ED02F2">
            <w:pPr>
              <w:pStyle w:val="TableParagraph"/>
              <w:spacing w:line="252" w:lineRule="exact"/>
            </w:pPr>
            <w:r>
              <w:t>support</w:t>
            </w:r>
            <w:r>
              <w:rPr>
                <w:spacing w:val="-6"/>
              </w:rPr>
              <w:t xml:space="preserve"> </w:t>
            </w:r>
            <w:r>
              <w:t>and</w:t>
            </w:r>
            <w:r>
              <w:rPr>
                <w:spacing w:val="-2"/>
              </w:rPr>
              <w:t xml:space="preserve"> </w:t>
            </w:r>
            <w:r>
              <w:t>creative</w:t>
            </w:r>
            <w:r>
              <w:rPr>
                <w:spacing w:val="-4"/>
              </w:rPr>
              <w:t xml:space="preserve"> </w:t>
            </w:r>
            <w:r>
              <w:rPr>
                <w:spacing w:val="-2"/>
              </w:rPr>
              <w:t>support.</w:t>
            </w:r>
          </w:p>
        </w:tc>
        <w:tc>
          <w:tcPr>
            <w:tcW w:w="1648" w:type="dxa"/>
            <w:tcBorders>
              <w:top w:val="single" w:sz="4" w:space="0" w:color="000000"/>
              <w:left w:val="single" w:sz="4" w:space="0" w:color="000000"/>
            </w:tcBorders>
          </w:tcPr>
          <w:p w14:paraId="56129980" w14:textId="77777777" w:rsidR="00ED02F2" w:rsidRDefault="00ED02F2" w:rsidP="00ED02F2">
            <w:pPr>
              <w:pStyle w:val="TableParagraph"/>
              <w:spacing w:before="3"/>
              <w:ind w:left="111"/>
              <w:rPr>
                <w:rFonts w:ascii="SimSun-ExtB" w:hAnsi="SimSun-ExtB"/>
              </w:rPr>
            </w:pPr>
            <w:r>
              <w:rPr>
                <w:rFonts w:ascii="SimSun-ExtB" w:hAnsi="SimSun-ExtB"/>
                <w:spacing w:val="-10"/>
              </w:rPr>
              <w:t>☐</w:t>
            </w:r>
          </w:p>
        </w:tc>
      </w:tr>
    </w:tbl>
    <w:p w14:paraId="5C0B7FB1" w14:textId="77777777" w:rsidR="00654116" w:rsidRDefault="00654116" w:rsidP="00654116">
      <w:pPr>
        <w:pStyle w:val="BodyText"/>
        <w:spacing w:before="201"/>
        <w:rPr>
          <w:sz w:val="20"/>
        </w:rPr>
      </w:pPr>
    </w:p>
    <w:p w14:paraId="35169B49" w14:textId="77777777" w:rsidR="00FF3CBF" w:rsidRDefault="00FF3CBF" w:rsidP="00FF3CBF">
      <w:pPr>
        <w:rPr>
          <w:rFonts w:ascii="Arial" w:hAnsi="Arial" w:cs="Arial"/>
          <w:lang w:val="en-GB" w:bidi="bn-BD"/>
        </w:rPr>
      </w:pPr>
    </w:p>
    <w:p w14:paraId="70A69631" w14:textId="2F5F130A" w:rsidR="00FF3CBF" w:rsidRPr="00FF3CBF" w:rsidRDefault="00FF3CBF" w:rsidP="00FF3CBF">
      <w:pPr>
        <w:rPr>
          <w:rFonts w:ascii="Arial" w:hAnsi="Arial" w:cs="Arial"/>
          <w:lang w:val="en-GB" w:bidi="bn-BD"/>
        </w:rPr>
      </w:pPr>
      <w:r w:rsidRPr="00FF3CBF">
        <w:rPr>
          <w:rFonts w:ascii="Arial" w:hAnsi="Arial" w:cs="Arial"/>
          <w:lang w:val="en-GB" w:bidi="bn-BD"/>
        </w:rPr>
        <w:t>I acknowledge the use of Grammarly (https://www.grammarly.com/) on 3rd August 2026 to check my work using the prompt(s):</w:t>
      </w:r>
    </w:p>
    <w:p w14:paraId="41DCD10F" w14:textId="77777777" w:rsidR="00FF3CBF" w:rsidRPr="00FF3CBF" w:rsidRDefault="00FF3CBF" w:rsidP="00FF3CBF">
      <w:pPr>
        <w:rPr>
          <w:rFonts w:ascii="Arial" w:hAnsi="Arial" w:cs="Arial"/>
          <w:lang w:val="en-GB" w:bidi="bn-BD"/>
        </w:rPr>
      </w:pPr>
      <w:r w:rsidRPr="00FF3CBF">
        <w:rPr>
          <w:rFonts w:ascii="Arial" w:hAnsi="Arial" w:cs="Arial"/>
          <w:lang w:val="en-GB" w:bidi="bn-BD"/>
        </w:rPr>
        <w:t>1.check the following text for readability, grammar and syntax.</w:t>
      </w:r>
    </w:p>
    <w:p w14:paraId="4F4CFEA5" w14:textId="77777777" w:rsidR="00FF3CBF" w:rsidRPr="00FF3CBF" w:rsidRDefault="00FF3CBF" w:rsidP="00FF3CBF">
      <w:pPr>
        <w:rPr>
          <w:rFonts w:ascii="Arial" w:hAnsi="Arial" w:cs="Arial"/>
          <w:lang w:val="en-GB" w:bidi="bn-BD"/>
        </w:rPr>
      </w:pPr>
      <w:r w:rsidRPr="00FF3CBF">
        <w:rPr>
          <w:rFonts w:ascii="Arial" w:hAnsi="Arial" w:cs="Arial"/>
          <w:lang w:val="en-GB" w:bidi="bn-BD"/>
        </w:rPr>
        <w:t>2. Review citation formatting and referencing consistency (Harvard style).</w:t>
      </w:r>
    </w:p>
    <w:p w14:paraId="57D1E3BF" w14:textId="77777777" w:rsidR="00FF3CBF" w:rsidRPr="00FF3CBF" w:rsidRDefault="00FF3CBF" w:rsidP="00FF3CBF">
      <w:pPr>
        <w:rPr>
          <w:rFonts w:ascii="Arial" w:hAnsi="Arial" w:cs="Arial"/>
          <w:lang w:val="en-GB" w:bidi="bn-BD"/>
        </w:rPr>
      </w:pPr>
      <w:r w:rsidRPr="00FF3CBF">
        <w:rPr>
          <w:rFonts w:ascii="Arial" w:hAnsi="Arial" w:cs="Arial"/>
          <w:lang w:val="en-GB" w:bidi="bn-BD"/>
        </w:rPr>
        <w:t>I confirm that I have not presented any Al generated text as my own work. I confirm I have copies of my drafts, notes, and other resources I used before, and after the use of Al tools which I may be asked to provide in evidence.</w:t>
      </w:r>
    </w:p>
    <w:p w14:paraId="2A1AEE21" w14:textId="77777777" w:rsidR="00FF3CBF" w:rsidRPr="00FF3CBF" w:rsidRDefault="00FF3CBF" w:rsidP="00FF3CBF">
      <w:pPr>
        <w:rPr>
          <w:rFonts w:ascii="Arial" w:hAnsi="Arial" w:cs="Arial"/>
          <w:lang w:val="en-GB" w:bidi="bn-BD"/>
        </w:rPr>
      </w:pPr>
      <w:r w:rsidRPr="00FF3CBF">
        <w:rPr>
          <w:rFonts w:ascii="Arial" w:hAnsi="Arial" w:cs="Arial"/>
          <w:lang w:val="en-GB" w:bidi="bn-BD"/>
        </w:rPr>
        <w:t>I acknowledge the use of Microsoft 365 Copilot (https://www.microsoft.com) on 3rd August 2026 to support my research using the prompt(s):</w:t>
      </w:r>
    </w:p>
    <w:p w14:paraId="662E365C" w14:textId="77777777" w:rsidR="00FF3CBF" w:rsidRPr="00FF3CBF" w:rsidRDefault="00FF3CBF" w:rsidP="00FF3CBF">
      <w:pPr>
        <w:rPr>
          <w:rFonts w:ascii="Arial" w:hAnsi="Arial" w:cs="Arial"/>
          <w:lang w:val="en-GB" w:bidi="bn-BD"/>
        </w:rPr>
      </w:pPr>
      <w:r w:rsidRPr="00FF3CBF">
        <w:rPr>
          <w:rFonts w:ascii="Arial" w:hAnsi="Arial" w:cs="Arial"/>
          <w:lang w:val="en-GB" w:bidi="bn-BD"/>
        </w:rPr>
        <w:t>1.Provide me with materials on Chanels.</w:t>
      </w:r>
    </w:p>
    <w:p w14:paraId="15E8677A" w14:textId="11784EED" w:rsidR="00FF3CBF" w:rsidRPr="00FF3CBF" w:rsidRDefault="00FF3CBF" w:rsidP="00FF3CBF">
      <w:pPr>
        <w:rPr>
          <w:rFonts w:ascii="Arial" w:hAnsi="Arial" w:cs="Arial"/>
          <w:lang w:val="en-GB" w:bidi="bn-BD"/>
        </w:rPr>
      </w:pPr>
      <w:r w:rsidRPr="00FF3CBF">
        <w:rPr>
          <w:rFonts w:ascii="Arial" w:hAnsi="Arial" w:cs="Arial"/>
          <w:lang w:val="en-GB" w:bidi="bn-BD"/>
        </w:rPr>
        <w:t>I confirm that I have not presented any Al generated text as my own work. I confirm that I have not presented any Al generated text as my own work. I confirm I have copies of my drafts, notes, and other resources I used before, and after the use of Al tools which I may be asked to provide in</w:t>
      </w:r>
      <w:r>
        <w:rPr>
          <w:rFonts w:ascii="Arial" w:hAnsi="Arial" w:cs="Arial" w:hint="cs"/>
          <w:cs/>
          <w:lang w:val="en-GB" w:bidi="bn-BD"/>
        </w:rPr>
        <w:t xml:space="preserve"> evidence.</w:t>
      </w:r>
    </w:p>
    <w:p w14:paraId="5A99B986" w14:textId="77777777" w:rsidR="00F768CD" w:rsidRPr="00BE7F8C" w:rsidRDefault="00F768CD" w:rsidP="00F768CD">
      <w:pPr>
        <w:rPr>
          <w:rFonts w:cstheme="minorBidi"/>
          <w:szCs w:val="30"/>
          <w:lang w:val="en-GB" w:bidi="bn-BD"/>
        </w:rPr>
      </w:pPr>
    </w:p>
    <w:p w14:paraId="5FF92CC1" w14:textId="77777777" w:rsidR="00F768CD" w:rsidRDefault="00F768CD" w:rsidP="00F55AD0">
      <w:pPr>
        <w:pStyle w:val="TOCHeading"/>
        <w:spacing w:line="360" w:lineRule="auto"/>
        <w:jc w:val="center"/>
        <w:rPr>
          <w:rFonts w:ascii="Arial" w:eastAsia="Times New Roman" w:hAnsi="Arial" w:cstheme="minorBidi"/>
          <w:b/>
          <w:color w:val="auto"/>
          <w:sz w:val="28"/>
          <w:szCs w:val="24"/>
          <w:lang w:val="en-GB" w:eastAsia="en-IN" w:bidi="bn-BD"/>
        </w:rPr>
      </w:pPr>
    </w:p>
    <w:p w14:paraId="5FE1A64E" w14:textId="77777777" w:rsidR="00FF3CBF" w:rsidRDefault="00FF3CBF" w:rsidP="00FF3CBF">
      <w:pPr>
        <w:rPr>
          <w:lang w:val="en-GB" w:bidi="bn-BD"/>
        </w:rPr>
      </w:pPr>
    </w:p>
    <w:p w14:paraId="526C59EC" w14:textId="77777777" w:rsidR="00FF3CBF" w:rsidRDefault="00FF3CBF" w:rsidP="00FF3CBF">
      <w:pPr>
        <w:rPr>
          <w:lang w:val="en-GB" w:bidi="bn-BD"/>
        </w:rPr>
      </w:pPr>
    </w:p>
    <w:p w14:paraId="4135A274" w14:textId="77777777" w:rsidR="00FF3CBF" w:rsidRDefault="00FF3CBF" w:rsidP="00FF3CBF">
      <w:pPr>
        <w:rPr>
          <w:lang w:val="en-GB" w:bidi="bn-BD"/>
        </w:rPr>
      </w:pPr>
    </w:p>
    <w:p w14:paraId="18E2EFAC" w14:textId="77777777" w:rsidR="00FF3CBF" w:rsidRDefault="00FF3CBF" w:rsidP="00FF3CBF">
      <w:pPr>
        <w:rPr>
          <w:lang w:val="en-GB" w:bidi="bn-BD"/>
        </w:rPr>
      </w:pPr>
    </w:p>
    <w:p w14:paraId="1623AFA0" w14:textId="77777777" w:rsidR="00FF3CBF" w:rsidRDefault="00FF3CBF" w:rsidP="00FF3CBF">
      <w:pPr>
        <w:rPr>
          <w:lang w:val="en-GB" w:bidi="bn-BD"/>
        </w:rPr>
      </w:pPr>
    </w:p>
    <w:p w14:paraId="35985764" w14:textId="77777777" w:rsidR="00FF3CBF" w:rsidRDefault="00FF3CBF" w:rsidP="00FF3CBF">
      <w:pPr>
        <w:rPr>
          <w:lang w:val="en-GB" w:bidi="bn-BD"/>
        </w:rPr>
      </w:pPr>
    </w:p>
    <w:p w14:paraId="0CC844EA" w14:textId="77777777" w:rsidR="00FF3CBF" w:rsidRPr="00FF3CBF" w:rsidRDefault="00FF3CBF" w:rsidP="00FF3CBF">
      <w:pPr>
        <w:rPr>
          <w:lang w:val="en-GB" w:bidi="bn-BD"/>
        </w:rPr>
      </w:pPr>
    </w:p>
    <w:sdt>
      <w:sdtPr>
        <w:rPr>
          <w:rFonts w:ascii="Arial" w:eastAsia="Times New Roman" w:hAnsi="Arial" w:cs="Arial"/>
          <w:b/>
          <w:color w:val="auto"/>
          <w:sz w:val="28"/>
          <w:szCs w:val="24"/>
          <w:lang w:val="en-GB" w:eastAsia="en-IN"/>
        </w:rPr>
        <w:id w:val="629362627"/>
        <w:docPartObj>
          <w:docPartGallery w:val="Table of Contents"/>
          <w:docPartUnique/>
        </w:docPartObj>
      </w:sdtPr>
      <w:sdtEndPr>
        <w:rPr>
          <w:bCs/>
          <w:noProof/>
          <w:sz w:val="24"/>
        </w:rPr>
      </w:sdtEndPr>
      <w:sdtContent>
        <w:p w14:paraId="625E626C" w14:textId="36DD39A4" w:rsidR="00774511" w:rsidRPr="000716AB" w:rsidRDefault="00774511" w:rsidP="00F55AD0">
          <w:pPr>
            <w:pStyle w:val="TOCHeading"/>
            <w:spacing w:line="360" w:lineRule="auto"/>
            <w:jc w:val="center"/>
            <w:rPr>
              <w:rFonts w:ascii="Arial" w:hAnsi="Arial" w:cs="Arial"/>
              <w:b/>
              <w:color w:val="auto"/>
              <w:sz w:val="28"/>
              <w:lang w:val="en-GB"/>
            </w:rPr>
          </w:pPr>
          <w:r w:rsidRPr="000716AB">
            <w:rPr>
              <w:rFonts w:ascii="Arial" w:hAnsi="Arial" w:cs="Arial"/>
              <w:b/>
              <w:color w:val="auto"/>
              <w:sz w:val="28"/>
              <w:lang w:val="en-GB"/>
            </w:rPr>
            <w:t>Table of Contents</w:t>
          </w:r>
        </w:p>
        <w:p w14:paraId="365E214C" w14:textId="2D3F5D36" w:rsidR="00F768CD" w:rsidRDefault="00774511">
          <w:pPr>
            <w:pStyle w:val="TOC1"/>
            <w:tabs>
              <w:tab w:val="right" w:leader="dot" w:pos="9350"/>
            </w:tabs>
            <w:rPr>
              <w:rFonts w:asciiTheme="minorHAnsi" w:eastAsiaTheme="minorEastAsia" w:hAnsiTheme="minorHAnsi" w:cstheme="minorBidi"/>
              <w:noProof/>
              <w:kern w:val="2"/>
              <w:lang w:val="en-IN" w:eastAsia="en-GB"/>
              <w14:ligatures w14:val="standardContextual"/>
            </w:rPr>
          </w:pPr>
          <w:r w:rsidRPr="000716AB">
            <w:rPr>
              <w:rFonts w:ascii="Arial" w:hAnsi="Arial" w:cs="Arial"/>
              <w:lang w:val="en-GB"/>
            </w:rPr>
            <w:fldChar w:fldCharType="begin"/>
          </w:r>
          <w:r w:rsidRPr="000716AB">
            <w:rPr>
              <w:rFonts w:ascii="Arial" w:hAnsi="Arial" w:cs="Arial"/>
              <w:lang w:val="en-GB"/>
            </w:rPr>
            <w:instrText xml:space="preserve"> TOC \o "1-3" \h \z \u </w:instrText>
          </w:r>
          <w:r w:rsidRPr="000716AB">
            <w:rPr>
              <w:rFonts w:ascii="Arial" w:hAnsi="Arial" w:cs="Arial"/>
              <w:lang w:val="en-GB"/>
            </w:rPr>
            <w:fldChar w:fldCharType="separate"/>
          </w:r>
          <w:hyperlink w:anchor="_Toc236753755" w:history="1">
            <w:r w:rsidR="00F768CD" w:rsidRPr="0056162E">
              <w:rPr>
                <w:rStyle w:val="Hyperlink"/>
                <w:rFonts w:ascii="Arial" w:hAnsi="Arial" w:cs="Arial"/>
                <w:noProof/>
                <w:lang w:val="en-GB"/>
              </w:rPr>
              <w:t>SECTION 1</w:t>
            </w:r>
            <w:r w:rsidR="00F768CD">
              <w:rPr>
                <w:noProof/>
                <w:webHidden/>
              </w:rPr>
              <w:tab/>
            </w:r>
            <w:r w:rsidR="00F768CD">
              <w:rPr>
                <w:noProof/>
                <w:webHidden/>
              </w:rPr>
              <w:fldChar w:fldCharType="begin"/>
            </w:r>
            <w:r w:rsidR="00F768CD">
              <w:rPr>
                <w:noProof/>
                <w:webHidden/>
              </w:rPr>
              <w:instrText xml:space="preserve"> PAGEREF _Toc236753755 \h </w:instrText>
            </w:r>
            <w:r w:rsidR="00F768CD">
              <w:rPr>
                <w:noProof/>
                <w:webHidden/>
              </w:rPr>
            </w:r>
            <w:r w:rsidR="00F768CD">
              <w:rPr>
                <w:noProof/>
                <w:webHidden/>
              </w:rPr>
              <w:fldChar w:fldCharType="separate"/>
            </w:r>
            <w:r w:rsidR="00F768CD">
              <w:rPr>
                <w:noProof/>
                <w:webHidden/>
              </w:rPr>
              <w:t>5</w:t>
            </w:r>
            <w:r w:rsidR="00F768CD">
              <w:rPr>
                <w:noProof/>
                <w:webHidden/>
              </w:rPr>
              <w:fldChar w:fldCharType="end"/>
            </w:r>
          </w:hyperlink>
        </w:p>
        <w:p w14:paraId="543035E0" w14:textId="3B9052B7" w:rsidR="00F768CD" w:rsidRDefault="00F768CD">
          <w:pPr>
            <w:pStyle w:val="TOC1"/>
            <w:tabs>
              <w:tab w:val="left" w:pos="480"/>
              <w:tab w:val="right" w:leader="dot" w:pos="9350"/>
            </w:tabs>
            <w:rPr>
              <w:rFonts w:asciiTheme="minorHAnsi" w:eastAsiaTheme="minorEastAsia" w:hAnsiTheme="minorHAnsi" w:cstheme="minorBidi"/>
              <w:noProof/>
              <w:kern w:val="2"/>
              <w:lang w:val="en-IN" w:eastAsia="en-GB"/>
              <w14:ligatures w14:val="standardContextual"/>
            </w:rPr>
          </w:pPr>
          <w:hyperlink w:anchor="_Toc236753756" w:history="1">
            <w:r w:rsidRPr="0056162E">
              <w:rPr>
                <w:rStyle w:val="Hyperlink"/>
                <w:rFonts w:ascii="Arial" w:hAnsi="Arial" w:cs="Arial"/>
                <w:noProof/>
                <w:lang w:val="en-GB"/>
              </w:rPr>
              <w:t>1.</w:t>
            </w:r>
            <w:r>
              <w:rPr>
                <w:rFonts w:asciiTheme="minorHAnsi" w:eastAsiaTheme="minorEastAsia" w:hAnsiTheme="minorHAnsi" w:cstheme="minorBidi"/>
                <w:noProof/>
                <w:kern w:val="2"/>
                <w:lang w:val="en-IN" w:eastAsia="en-GB"/>
                <w14:ligatures w14:val="standardContextual"/>
              </w:rPr>
              <w:tab/>
            </w:r>
            <w:r w:rsidRPr="0056162E">
              <w:rPr>
                <w:rStyle w:val="Hyperlink"/>
                <w:rFonts w:ascii="Arial" w:hAnsi="Arial" w:cs="Arial"/>
                <w:noProof/>
                <w:lang w:val="en-GB"/>
              </w:rPr>
              <w:t>ORGANISATIONAL CLASSIFICATION AND GLOBAL STRATEGY</w:t>
            </w:r>
            <w:r>
              <w:rPr>
                <w:noProof/>
                <w:webHidden/>
              </w:rPr>
              <w:tab/>
            </w:r>
            <w:r>
              <w:rPr>
                <w:noProof/>
                <w:webHidden/>
              </w:rPr>
              <w:fldChar w:fldCharType="begin"/>
            </w:r>
            <w:r>
              <w:rPr>
                <w:noProof/>
                <w:webHidden/>
              </w:rPr>
              <w:instrText xml:space="preserve"> PAGEREF _Toc236753756 \h </w:instrText>
            </w:r>
            <w:r>
              <w:rPr>
                <w:noProof/>
                <w:webHidden/>
              </w:rPr>
            </w:r>
            <w:r>
              <w:rPr>
                <w:noProof/>
                <w:webHidden/>
              </w:rPr>
              <w:fldChar w:fldCharType="separate"/>
            </w:r>
            <w:r>
              <w:rPr>
                <w:noProof/>
                <w:webHidden/>
              </w:rPr>
              <w:t>5</w:t>
            </w:r>
            <w:r>
              <w:rPr>
                <w:noProof/>
                <w:webHidden/>
              </w:rPr>
              <w:fldChar w:fldCharType="end"/>
            </w:r>
          </w:hyperlink>
        </w:p>
        <w:p w14:paraId="588FC756" w14:textId="71F8EB75"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57" w:history="1">
            <w:r w:rsidRPr="0056162E">
              <w:rPr>
                <w:rStyle w:val="Hyperlink"/>
                <w:rFonts w:ascii="Arial" w:hAnsi="Arial" w:cs="Arial"/>
                <w:noProof/>
                <w:lang w:val="en-GB"/>
              </w:rPr>
              <w:t>1.1 Organisational Overview</w:t>
            </w:r>
            <w:r>
              <w:rPr>
                <w:noProof/>
                <w:webHidden/>
              </w:rPr>
              <w:tab/>
            </w:r>
            <w:r>
              <w:rPr>
                <w:noProof/>
                <w:webHidden/>
              </w:rPr>
              <w:fldChar w:fldCharType="begin"/>
            </w:r>
            <w:r>
              <w:rPr>
                <w:noProof/>
                <w:webHidden/>
              </w:rPr>
              <w:instrText xml:space="preserve"> PAGEREF _Toc236753757 \h </w:instrText>
            </w:r>
            <w:r>
              <w:rPr>
                <w:noProof/>
                <w:webHidden/>
              </w:rPr>
            </w:r>
            <w:r>
              <w:rPr>
                <w:noProof/>
                <w:webHidden/>
              </w:rPr>
              <w:fldChar w:fldCharType="separate"/>
            </w:r>
            <w:r>
              <w:rPr>
                <w:noProof/>
                <w:webHidden/>
              </w:rPr>
              <w:t>5</w:t>
            </w:r>
            <w:r>
              <w:rPr>
                <w:noProof/>
                <w:webHidden/>
              </w:rPr>
              <w:fldChar w:fldCharType="end"/>
            </w:r>
          </w:hyperlink>
        </w:p>
        <w:p w14:paraId="1EDF1CD7" w14:textId="144D9D48"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58" w:history="1">
            <w:r w:rsidRPr="0056162E">
              <w:rPr>
                <w:rStyle w:val="Hyperlink"/>
                <w:rFonts w:ascii="Arial" w:hAnsi="Arial" w:cs="Arial"/>
                <w:noProof/>
                <w:lang w:val="en-GB"/>
              </w:rPr>
              <w:t>1.2 Strategic Categorisation using Bartlett and Ghoshal's Model</w:t>
            </w:r>
            <w:r>
              <w:rPr>
                <w:noProof/>
                <w:webHidden/>
              </w:rPr>
              <w:tab/>
            </w:r>
            <w:r>
              <w:rPr>
                <w:noProof/>
                <w:webHidden/>
              </w:rPr>
              <w:fldChar w:fldCharType="begin"/>
            </w:r>
            <w:r>
              <w:rPr>
                <w:noProof/>
                <w:webHidden/>
              </w:rPr>
              <w:instrText xml:space="preserve"> PAGEREF _Toc236753758 \h </w:instrText>
            </w:r>
            <w:r>
              <w:rPr>
                <w:noProof/>
                <w:webHidden/>
              </w:rPr>
            </w:r>
            <w:r>
              <w:rPr>
                <w:noProof/>
                <w:webHidden/>
              </w:rPr>
              <w:fldChar w:fldCharType="separate"/>
            </w:r>
            <w:r>
              <w:rPr>
                <w:noProof/>
                <w:webHidden/>
              </w:rPr>
              <w:t>5</w:t>
            </w:r>
            <w:r>
              <w:rPr>
                <w:noProof/>
                <w:webHidden/>
              </w:rPr>
              <w:fldChar w:fldCharType="end"/>
            </w:r>
          </w:hyperlink>
        </w:p>
        <w:p w14:paraId="70621B7A" w14:textId="4F0692AE"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59" w:history="1">
            <w:r w:rsidRPr="0056162E">
              <w:rPr>
                <w:rStyle w:val="Hyperlink"/>
                <w:rFonts w:ascii="Arial" w:hAnsi="Arial" w:cs="Arial"/>
                <w:noProof/>
                <w:lang w:val="en-GB"/>
              </w:rPr>
              <w:t>1.3 Global Configuration</w:t>
            </w:r>
            <w:r>
              <w:rPr>
                <w:noProof/>
                <w:webHidden/>
              </w:rPr>
              <w:tab/>
            </w:r>
            <w:r>
              <w:rPr>
                <w:noProof/>
                <w:webHidden/>
              </w:rPr>
              <w:fldChar w:fldCharType="begin"/>
            </w:r>
            <w:r>
              <w:rPr>
                <w:noProof/>
                <w:webHidden/>
              </w:rPr>
              <w:instrText xml:space="preserve"> PAGEREF _Toc236753759 \h </w:instrText>
            </w:r>
            <w:r>
              <w:rPr>
                <w:noProof/>
                <w:webHidden/>
              </w:rPr>
            </w:r>
            <w:r>
              <w:rPr>
                <w:noProof/>
                <w:webHidden/>
              </w:rPr>
              <w:fldChar w:fldCharType="separate"/>
            </w:r>
            <w:r>
              <w:rPr>
                <w:noProof/>
                <w:webHidden/>
              </w:rPr>
              <w:t>6</w:t>
            </w:r>
            <w:r>
              <w:rPr>
                <w:noProof/>
                <w:webHidden/>
              </w:rPr>
              <w:fldChar w:fldCharType="end"/>
            </w:r>
          </w:hyperlink>
        </w:p>
        <w:p w14:paraId="7EC4FA13" w14:textId="13D2052C" w:rsidR="00F768CD" w:rsidRDefault="00F768CD">
          <w:pPr>
            <w:pStyle w:val="TOC1"/>
            <w:tabs>
              <w:tab w:val="left" w:pos="480"/>
              <w:tab w:val="right" w:leader="dot" w:pos="9350"/>
            </w:tabs>
            <w:rPr>
              <w:rFonts w:asciiTheme="minorHAnsi" w:eastAsiaTheme="minorEastAsia" w:hAnsiTheme="minorHAnsi" w:cstheme="minorBidi"/>
              <w:noProof/>
              <w:kern w:val="2"/>
              <w:lang w:val="en-IN" w:eastAsia="en-GB"/>
              <w14:ligatures w14:val="standardContextual"/>
            </w:rPr>
          </w:pPr>
          <w:hyperlink w:anchor="_Toc236753760" w:history="1">
            <w:r w:rsidRPr="0056162E">
              <w:rPr>
                <w:rStyle w:val="Hyperlink"/>
                <w:rFonts w:ascii="Arial" w:hAnsi="Arial" w:cs="Arial"/>
                <w:noProof/>
                <w:lang w:val="en-GB"/>
              </w:rPr>
              <w:t>2.</w:t>
            </w:r>
            <w:r>
              <w:rPr>
                <w:rFonts w:asciiTheme="minorHAnsi" w:eastAsiaTheme="minorEastAsia" w:hAnsiTheme="minorHAnsi" w:cstheme="minorBidi"/>
                <w:noProof/>
                <w:kern w:val="2"/>
                <w:lang w:val="en-IN" w:eastAsia="en-GB"/>
                <w14:ligatures w14:val="standardContextual"/>
              </w:rPr>
              <w:tab/>
            </w:r>
            <w:r w:rsidRPr="0056162E">
              <w:rPr>
                <w:rStyle w:val="Hyperlink"/>
                <w:rFonts w:ascii="Arial" w:hAnsi="Arial" w:cs="Arial"/>
                <w:noProof/>
                <w:lang w:val="en-GB"/>
              </w:rPr>
              <w:t>MACRO-ENVIRONMENTAL APPRAISAL AND MARKET ATTRACTIVENESS</w:t>
            </w:r>
            <w:r>
              <w:rPr>
                <w:noProof/>
                <w:webHidden/>
              </w:rPr>
              <w:tab/>
            </w:r>
            <w:r>
              <w:rPr>
                <w:noProof/>
                <w:webHidden/>
              </w:rPr>
              <w:fldChar w:fldCharType="begin"/>
            </w:r>
            <w:r>
              <w:rPr>
                <w:noProof/>
                <w:webHidden/>
              </w:rPr>
              <w:instrText xml:space="preserve"> PAGEREF _Toc236753760 \h </w:instrText>
            </w:r>
            <w:r>
              <w:rPr>
                <w:noProof/>
                <w:webHidden/>
              </w:rPr>
            </w:r>
            <w:r>
              <w:rPr>
                <w:noProof/>
                <w:webHidden/>
              </w:rPr>
              <w:fldChar w:fldCharType="separate"/>
            </w:r>
            <w:r>
              <w:rPr>
                <w:noProof/>
                <w:webHidden/>
              </w:rPr>
              <w:t>7</w:t>
            </w:r>
            <w:r>
              <w:rPr>
                <w:noProof/>
                <w:webHidden/>
              </w:rPr>
              <w:fldChar w:fldCharType="end"/>
            </w:r>
          </w:hyperlink>
        </w:p>
        <w:p w14:paraId="65BA942D" w14:textId="2727490D"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61" w:history="1">
            <w:r w:rsidRPr="0056162E">
              <w:rPr>
                <w:rStyle w:val="Hyperlink"/>
                <w:rFonts w:ascii="Arial" w:hAnsi="Arial" w:cs="Arial"/>
                <w:noProof/>
                <w:lang w:val="en-GB"/>
              </w:rPr>
              <w:t>2.1 Political Environment</w:t>
            </w:r>
            <w:r>
              <w:rPr>
                <w:noProof/>
                <w:webHidden/>
              </w:rPr>
              <w:tab/>
            </w:r>
            <w:r>
              <w:rPr>
                <w:noProof/>
                <w:webHidden/>
              </w:rPr>
              <w:fldChar w:fldCharType="begin"/>
            </w:r>
            <w:r>
              <w:rPr>
                <w:noProof/>
                <w:webHidden/>
              </w:rPr>
              <w:instrText xml:space="preserve"> PAGEREF _Toc236753761 \h </w:instrText>
            </w:r>
            <w:r>
              <w:rPr>
                <w:noProof/>
                <w:webHidden/>
              </w:rPr>
            </w:r>
            <w:r>
              <w:rPr>
                <w:noProof/>
                <w:webHidden/>
              </w:rPr>
              <w:fldChar w:fldCharType="separate"/>
            </w:r>
            <w:r>
              <w:rPr>
                <w:noProof/>
                <w:webHidden/>
              </w:rPr>
              <w:t>7</w:t>
            </w:r>
            <w:r>
              <w:rPr>
                <w:noProof/>
                <w:webHidden/>
              </w:rPr>
              <w:fldChar w:fldCharType="end"/>
            </w:r>
          </w:hyperlink>
        </w:p>
        <w:p w14:paraId="41D36421" w14:textId="524C4F40"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62" w:history="1">
            <w:r w:rsidRPr="0056162E">
              <w:rPr>
                <w:rStyle w:val="Hyperlink"/>
                <w:rFonts w:ascii="Arial" w:hAnsi="Arial" w:cs="Arial"/>
                <w:noProof/>
                <w:lang w:val="en-GB"/>
              </w:rPr>
              <w:t>2.2 Economic Environment</w:t>
            </w:r>
            <w:r>
              <w:rPr>
                <w:noProof/>
                <w:webHidden/>
              </w:rPr>
              <w:tab/>
            </w:r>
            <w:r>
              <w:rPr>
                <w:noProof/>
                <w:webHidden/>
              </w:rPr>
              <w:fldChar w:fldCharType="begin"/>
            </w:r>
            <w:r>
              <w:rPr>
                <w:noProof/>
                <w:webHidden/>
              </w:rPr>
              <w:instrText xml:space="preserve"> PAGEREF _Toc236753762 \h </w:instrText>
            </w:r>
            <w:r>
              <w:rPr>
                <w:noProof/>
                <w:webHidden/>
              </w:rPr>
            </w:r>
            <w:r>
              <w:rPr>
                <w:noProof/>
                <w:webHidden/>
              </w:rPr>
              <w:fldChar w:fldCharType="separate"/>
            </w:r>
            <w:r>
              <w:rPr>
                <w:noProof/>
                <w:webHidden/>
              </w:rPr>
              <w:t>8</w:t>
            </w:r>
            <w:r>
              <w:rPr>
                <w:noProof/>
                <w:webHidden/>
              </w:rPr>
              <w:fldChar w:fldCharType="end"/>
            </w:r>
          </w:hyperlink>
        </w:p>
        <w:p w14:paraId="65B52166" w14:textId="2C7F54ED"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63" w:history="1">
            <w:r w:rsidRPr="0056162E">
              <w:rPr>
                <w:rStyle w:val="Hyperlink"/>
                <w:rFonts w:ascii="Arial" w:hAnsi="Arial" w:cs="Arial"/>
                <w:noProof/>
                <w:lang w:val="en-GB"/>
              </w:rPr>
              <w:t>2.3 Legal Environment</w:t>
            </w:r>
            <w:r>
              <w:rPr>
                <w:noProof/>
                <w:webHidden/>
              </w:rPr>
              <w:tab/>
            </w:r>
            <w:r>
              <w:rPr>
                <w:noProof/>
                <w:webHidden/>
              </w:rPr>
              <w:fldChar w:fldCharType="begin"/>
            </w:r>
            <w:r>
              <w:rPr>
                <w:noProof/>
                <w:webHidden/>
              </w:rPr>
              <w:instrText xml:space="preserve"> PAGEREF _Toc236753763 \h </w:instrText>
            </w:r>
            <w:r>
              <w:rPr>
                <w:noProof/>
                <w:webHidden/>
              </w:rPr>
            </w:r>
            <w:r>
              <w:rPr>
                <w:noProof/>
                <w:webHidden/>
              </w:rPr>
              <w:fldChar w:fldCharType="separate"/>
            </w:r>
            <w:r>
              <w:rPr>
                <w:noProof/>
                <w:webHidden/>
              </w:rPr>
              <w:t>8</w:t>
            </w:r>
            <w:r>
              <w:rPr>
                <w:noProof/>
                <w:webHidden/>
              </w:rPr>
              <w:fldChar w:fldCharType="end"/>
            </w:r>
          </w:hyperlink>
        </w:p>
        <w:p w14:paraId="70CF36F8" w14:textId="43296CEA"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64" w:history="1">
            <w:r w:rsidRPr="0056162E">
              <w:rPr>
                <w:rStyle w:val="Hyperlink"/>
                <w:rFonts w:ascii="Arial" w:eastAsia="Gungsuh" w:hAnsi="Arial" w:cs="Arial"/>
                <w:noProof/>
                <w:lang w:val="en-GB"/>
              </w:rPr>
              <w:t>2.4 Cultural Environment</w:t>
            </w:r>
            <w:r>
              <w:rPr>
                <w:noProof/>
                <w:webHidden/>
              </w:rPr>
              <w:tab/>
            </w:r>
            <w:r>
              <w:rPr>
                <w:noProof/>
                <w:webHidden/>
              </w:rPr>
              <w:fldChar w:fldCharType="begin"/>
            </w:r>
            <w:r>
              <w:rPr>
                <w:noProof/>
                <w:webHidden/>
              </w:rPr>
              <w:instrText xml:space="preserve"> PAGEREF _Toc236753764 \h </w:instrText>
            </w:r>
            <w:r>
              <w:rPr>
                <w:noProof/>
                <w:webHidden/>
              </w:rPr>
            </w:r>
            <w:r>
              <w:rPr>
                <w:noProof/>
                <w:webHidden/>
              </w:rPr>
              <w:fldChar w:fldCharType="separate"/>
            </w:r>
            <w:r>
              <w:rPr>
                <w:noProof/>
                <w:webHidden/>
              </w:rPr>
              <w:t>10</w:t>
            </w:r>
            <w:r>
              <w:rPr>
                <w:noProof/>
                <w:webHidden/>
              </w:rPr>
              <w:fldChar w:fldCharType="end"/>
            </w:r>
          </w:hyperlink>
        </w:p>
        <w:p w14:paraId="587CBE08" w14:textId="7F0B880C"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65" w:history="1">
            <w:r w:rsidRPr="0056162E">
              <w:rPr>
                <w:rStyle w:val="Hyperlink"/>
                <w:rFonts w:ascii="Arial" w:hAnsi="Arial" w:cs="Arial"/>
                <w:noProof/>
                <w:lang w:val="en-GB"/>
              </w:rPr>
              <w:t>2.5 Market Entry Analysis using Dunning's Eclectic (OLI) Paradigm</w:t>
            </w:r>
            <w:r>
              <w:rPr>
                <w:noProof/>
                <w:webHidden/>
              </w:rPr>
              <w:tab/>
            </w:r>
            <w:r>
              <w:rPr>
                <w:noProof/>
                <w:webHidden/>
              </w:rPr>
              <w:fldChar w:fldCharType="begin"/>
            </w:r>
            <w:r>
              <w:rPr>
                <w:noProof/>
                <w:webHidden/>
              </w:rPr>
              <w:instrText xml:space="preserve"> PAGEREF _Toc236753765 \h </w:instrText>
            </w:r>
            <w:r>
              <w:rPr>
                <w:noProof/>
                <w:webHidden/>
              </w:rPr>
            </w:r>
            <w:r>
              <w:rPr>
                <w:noProof/>
                <w:webHidden/>
              </w:rPr>
              <w:fldChar w:fldCharType="separate"/>
            </w:r>
            <w:r>
              <w:rPr>
                <w:noProof/>
                <w:webHidden/>
              </w:rPr>
              <w:t>12</w:t>
            </w:r>
            <w:r>
              <w:rPr>
                <w:noProof/>
                <w:webHidden/>
              </w:rPr>
              <w:fldChar w:fldCharType="end"/>
            </w:r>
          </w:hyperlink>
        </w:p>
        <w:p w14:paraId="44930F00" w14:textId="5F4B7285" w:rsidR="00F768CD" w:rsidRDefault="00F768CD">
          <w:pPr>
            <w:pStyle w:val="TOC3"/>
            <w:tabs>
              <w:tab w:val="left" w:pos="960"/>
              <w:tab w:val="right" w:leader="dot" w:pos="9350"/>
            </w:tabs>
            <w:rPr>
              <w:rFonts w:asciiTheme="minorHAnsi" w:eastAsiaTheme="minorEastAsia" w:hAnsiTheme="minorHAnsi" w:cstheme="minorBidi"/>
              <w:noProof/>
              <w:kern w:val="2"/>
              <w:lang w:val="en-IN" w:eastAsia="en-GB"/>
              <w14:ligatures w14:val="standardContextual"/>
            </w:rPr>
          </w:pPr>
          <w:hyperlink w:anchor="_Toc236753766" w:history="1">
            <w:r w:rsidRPr="0056162E">
              <w:rPr>
                <w:rStyle w:val="Hyperlink"/>
                <w:rFonts w:ascii="Arial" w:hAnsi="Arial" w:cs="Arial"/>
                <w:noProof/>
                <w:lang w:val="en-GB"/>
              </w:rPr>
              <w:t>a.</w:t>
            </w:r>
            <w:r>
              <w:rPr>
                <w:rFonts w:asciiTheme="minorHAnsi" w:eastAsiaTheme="minorEastAsia" w:hAnsiTheme="minorHAnsi" w:cstheme="minorBidi"/>
                <w:noProof/>
                <w:kern w:val="2"/>
                <w:lang w:val="en-IN" w:eastAsia="en-GB"/>
                <w14:ligatures w14:val="standardContextual"/>
              </w:rPr>
              <w:tab/>
            </w:r>
            <w:r w:rsidRPr="0056162E">
              <w:rPr>
                <w:rStyle w:val="Hyperlink"/>
                <w:rFonts w:ascii="Arial" w:hAnsi="Arial" w:cs="Arial"/>
                <w:noProof/>
                <w:lang w:val="en-GB"/>
              </w:rPr>
              <w:t>Ownership Advantages</w:t>
            </w:r>
            <w:r>
              <w:rPr>
                <w:noProof/>
                <w:webHidden/>
              </w:rPr>
              <w:tab/>
            </w:r>
            <w:r>
              <w:rPr>
                <w:noProof/>
                <w:webHidden/>
              </w:rPr>
              <w:fldChar w:fldCharType="begin"/>
            </w:r>
            <w:r>
              <w:rPr>
                <w:noProof/>
                <w:webHidden/>
              </w:rPr>
              <w:instrText xml:space="preserve"> PAGEREF _Toc236753766 \h </w:instrText>
            </w:r>
            <w:r>
              <w:rPr>
                <w:noProof/>
                <w:webHidden/>
              </w:rPr>
            </w:r>
            <w:r>
              <w:rPr>
                <w:noProof/>
                <w:webHidden/>
              </w:rPr>
              <w:fldChar w:fldCharType="separate"/>
            </w:r>
            <w:r>
              <w:rPr>
                <w:noProof/>
                <w:webHidden/>
              </w:rPr>
              <w:t>13</w:t>
            </w:r>
            <w:r>
              <w:rPr>
                <w:noProof/>
                <w:webHidden/>
              </w:rPr>
              <w:fldChar w:fldCharType="end"/>
            </w:r>
          </w:hyperlink>
        </w:p>
        <w:p w14:paraId="58B34186" w14:textId="6AA41113" w:rsidR="00F768CD" w:rsidRDefault="00F768CD">
          <w:pPr>
            <w:pStyle w:val="TOC3"/>
            <w:tabs>
              <w:tab w:val="left" w:pos="960"/>
              <w:tab w:val="right" w:leader="dot" w:pos="9350"/>
            </w:tabs>
            <w:rPr>
              <w:rFonts w:asciiTheme="minorHAnsi" w:eastAsiaTheme="minorEastAsia" w:hAnsiTheme="minorHAnsi" w:cstheme="minorBidi"/>
              <w:noProof/>
              <w:kern w:val="2"/>
              <w:lang w:val="en-IN" w:eastAsia="en-GB"/>
              <w14:ligatures w14:val="standardContextual"/>
            </w:rPr>
          </w:pPr>
          <w:hyperlink w:anchor="_Toc236753767" w:history="1">
            <w:r w:rsidRPr="0056162E">
              <w:rPr>
                <w:rStyle w:val="Hyperlink"/>
                <w:rFonts w:ascii="Arial" w:hAnsi="Arial" w:cs="Arial"/>
                <w:noProof/>
                <w:lang w:val="en-GB"/>
              </w:rPr>
              <w:t>b.</w:t>
            </w:r>
            <w:r>
              <w:rPr>
                <w:rFonts w:asciiTheme="minorHAnsi" w:eastAsiaTheme="minorEastAsia" w:hAnsiTheme="minorHAnsi" w:cstheme="minorBidi"/>
                <w:noProof/>
                <w:kern w:val="2"/>
                <w:lang w:val="en-IN" w:eastAsia="en-GB"/>
                <w14:ligatures w14:val="standardContextual"/>
              </w:rPr>
              <w:tab/>
            </w:r>
            <w:r w:rsidRPr="0056162E">
              <w:rPr>
                <w:rStyle w:val="Hyperlink"/>
                <w:rFonts w:ascii="Arial" w:hAnsi="Arial" w:cs="Arial"/>
                <w:noProof/>
                <w:lang w:val="en-GB"/>
              </w:rPr>
              <w:t>Location Advantages</w:t>
            </w:r>
            <w:r>
              <w:rPr>
                <w:noProof/>
                <w:webHidden/>
              </w:rPr>
              <w:tab/>
            </w:r>
            <w:r>
              <w:rPr>
                <w:noProof/>
                <w:webHidden/>
              </w:rPr>
              <w:fldChar w:fldCharType="begin"/>
            </w:r>
            <w:r>
              <w:rPr>
                <w:noProof/>
                <w:webHidden/>
              </w:rPr>
              <w:instrText xml:space="preserve"> PAGEREF _Toc236753767 \h </w:instrText>
            </w:r>
            <w:r>
              <w:rPr>
                <w:noProof/>
                <w:webHidden/>
              </w:rPr>
            </w:r>
            <w:r>
              <w:rPr>
                <w:noProof/>
                <w:webHidden/>
              </w:rPr>
              <w:fldChar w:fldCharType="separate"/>
            </w:r>
            <w:r>
              <w:rPr>
                <w:noProof/>
                <w:webHidden/>
              </w:rPr>
              <w:t>14</w:t>
            </w:r>
            <w:r>
              <w:rPr>
                <w:noProof/>
                <w:webHidden/>
              </w:rPr>
              <w:fldChar w:fldCharType="end"/>
            </w:r>
          </w:hyperlink>
        </w:p>
        <w:p w14:paraId="6FE5994E" w14:textId="536A16DC" w:rsidR="00F768CD" w:rsidRDefault="00F768CD">
          <w:pPr>
            <w:pStyle w:val="TOC3"/>
            <w:tabs>
              <w:tab w:val="left" w:pos="960"/>
              <w:tab w:val="right" w:leader="dot" w:pos="9350"/>
            </w:tabs>
            <w:rPr>
              <w:rFonts w:asciiTheme="minorHAnsi" w:eastAsiaTheme="minorEastAsia" w:hAnsiTheme="minorHAnsi" w:cstheme="minorBidi"/>
              <w:noProof/>
              <w:kern w:val="2"/>
              <w:lang w:val="en-IN" w:eastAsia="en-GB"/>
              <w14:ligatures w14:val="standardContextual"/>
            </w:rPr>
          </w:pPr>
          <w:hyperlink w:anchor="_Toc236753768" w:history="1">
            <w:r w:rsidRPr="0056162E">
              <w:rPr>
                <w:rStyle w:val="Hyperlink"/>
                <w:rFonts w:ascii="Arial" w:hAnsi="Arial" w:cs="Arial"/>
                <w:noProof/>
                <w:lang w:val="en-GB"/>
              </w:rPr>
              <w:t>c.</w:t>
            </w:r>
            <w:r>
              <w:rPr>
                <w:rFonts w:asciiTheme="minorHAnsi" w:eastAsiaTheme="minorEastAsia" w:hAnsiTheme="minorHAnsi" w:cstheme="minorBidi"/>
                <w:noProof/>
                <w:kern w:val="2"/>
                <w:lang w:val="en-IN" w:eastAsia="en-GB"/>
                <w14:ligatures w14:val="standardContextual"/>
              </w:rPr>
              <w:tab/>
            </w:r>
            <w:r w:rsidRPr="0056162E">
              <w:rPr>
                <w:rStyle w:val="Hyperlink"/>
                <w:rFonts w:ascii="Arial" w:hAnsi="Arial" w:cs="Arial"/>
                <w:noProof/>
                <w:lang w:val="en-GB"/>
              </w:rPr>
              <w:t>Internalisation Advantages</w:t>
            </w:r>
            <w:r>
              <w:rPr>
                <w:noProof/>
                <w:webHidden/>
              </w:rPr>
              <w:tab/>
            </w:r>
            <w:r>
              <w:rPr>
                <w:noProof/>
                <w:webHidden/>
              </w:rPr>
              <w:fldChar w:fldCharType="begin"/>
            </w:r>
            <w:r>
              <w:rPr>
                <w:noProof/>
                <w:webHidden/>
              </w:rPr>
              <w:instrText xml:space="preserve"> PAGEREF _Toc236753768 \h </w:instrText>
            </w:r>
            <w:r>
              <w:rPr>
                <w:noProof/>
                <w:webHidden/>
              </w:rPr>
            </w:r>
            <w:r>
              <w:rPr>
                <w:noProof/>
                <w:webHidden/>
              </w:rPr>
              <w:fldChar w:fldCharType="separate"/>
            </w:r>
            <w:r>
              <w:rPr>
                <w:noProof/>
                <w:webHidden/>
              </w:rPr>
              <w:t>15</w:t>
            </w:r>
            <w:r>
              <w:rPr>
                <w:noProof/>
                <w:webHidden/>
              </w:rPr>
              <w:fldChar w:fldCharType="end"/>
            </w:r>
          </w:hyperlink>
        </w:p>
        <w:p w14:paraId="56372731" w14:textId="04E7E04A" w:rsidR="00F768CD" w:rsidRDefault="00F768CD">
          <w:pPr>
            <w:pStyle w:val="TOC3"/>
            <w:tabs>
              <w:tab w:val="left" w:pos="960"/>
              <w:tab w:val="right" w:leader="dot" w:pos="9350"/>
            </w:tabs>
            <w:rPr>
              <w:rFonts w:asciiTheme="minorHAnsi" w:eastAsiaTheme="minorEastAsia" w:hAnsiTheme="minorHAnsi" w:cstheme="minorBidi"/>
              <w:noProof/>
              <w:kern w:val="2"/>
              <w:lang w:val="en-IN" w:eastAsia="en-GB"/>
              <w14:ligatures w14:val="standardContextual"/>
            </w:rPr>
          </w:pPr>
          <w:hyperlink w:anchor="_Toc236753769" w:history="1">
            <w:r w:rsidRPr="0056162E">
              <w:rPr>
                <w:rStyle w:val="Hyperlink"/>
                <w:rFonts w:ascii="Arial" w:hAnsi="Arial" w:cs="Arial"/>
                <w:noProof/>
                <w:lang w:val="en-GB"/>
              </w:rPr>
              <w:t>d.</w:t>
            </w:r>
            <w:r>
              <w:rPr>
                <w:rFonts w:asciiTheme="minorHAnsi" w:eastAsiaTheme="minorEastAsia" w:hAnsiTheme="minorHAnsi" w:cstheme="minorBidi"/>
                <w:noProof/>
                <w:kern w:val="2"/>
                <w:lang w:val="en-IN" w:eastAsia="en-GB"/>
                <w14:ligatures w14:val="standardContextual"/>
              </w:rPr>
              <w:tab/>
            </w:r>
            <w:r w:rsidRPr="0056162E">
              <w:rPr>
                <w:rStyle w:val="Hyperlink"/>
                <w:rFonts w:ascii="Arial" w:hAnsi="Arial" w:cs="Arial"/>
                <w:noProof/>
                <w:lang w:val="en-GB"/>
              </w:rPr>
              <w:t>Critical Synthesis</w:t>
            </w:r>
            <w:r>
              <w:rPr>
                <w:noProof/>
                <w:webHidden/>
              </w:rPr>
              <w:tab/>
            </w:r>
            <w:r>
              <w:rPr>
                <w:noProof/>
                <w:webHidden/>
              </w:rPr>
              <w:fldChar w:fldCharType="begin"/>
            </w:r>
            <w:r>
              <w:rPr>
                <w:noProof/>
                <w:webHidden/>
              </w:rPr>
              <w:instrText xml:space="preserve"> PAGEREF _Toc236753769 \h </w:instrText>
            </w:r>
            <w:r>
              <w:rPr>
                <w:noProof/>
                <w:webHidden/>
              </w:rPr>
            </w:r>
            <w:r>
              <w:rPr>
                <w:noProof/>
                <w:webHidden/>
              </w:rPr>
              <w:fldChar w:fldCharType="separate"/>
            </w:r>
            <w:r>
              <w:rPr>
                <w:noProof/>
                <w:webHidden/>
              </w:rPr>
              <w:t>15</w:t>
            </w:r>
            <w:r>
              <w:rPr>
                <w:noProof/>
                <w:webHidden/>
              </w:rPr>
              <w:fldChar w:fldCharType="end"/>
            </w:r>
          </w:hyperlink>
        </w:p>
        <w:p w14:paraId="1CE7652F" w14:textId="2380703C" w:rsidR="00F768CD" w:rsidRDefault="00F768CD">
          <w:pPr>
            <w:pStyle w:val="TOC1"/>
            <w:tabs>
              <w:tab w:val="right" w:leader="dot" w:pos="9350"/>
            </w:tabs>
            <w:rPr>
              <w:rFonts w:asciiTheme="minorHAnsi" w:eastAsiaTheme="minorEastAsia" w:hAnsiTheme="minorHAnsi" w:cstheme="minorBidi"/>
              <w:noProof/>
              <w:kern w:val="2"/>
              <w:lang w:val="en-IN" w:eastAsia="en-GB"/>
              <w14:ligatures w14:val="standardContextual"/>
            </w:rPr>
          </w:pPr>
          <w:hyperlink w:anchor="_Toc236753770" w:history="1">
            <w:r w:rsidRPr="0056162E">
              <w:rPr>
                <w:rStyle w:val="Hyperlink"/>
                <w:rFonts w:ascii="Arial" w:hAnsi="Arial" w:cs="Arial"/>
                <w:noProof/>
                <w:lang w:val="en-GB"/>
              </w:rPr>
              <w:t>3.  ENTRY MODE STRATEGY AND STRATEGIC SYNTHESIS</w:t>
            </w:r>
            <w:r>
              <w:rPr>
                <w:noProof/>
                <w:webHidden/>
              </w:rPr>
              <w:tab/>
            </w:r>
            <w:r>
              <w:rPr>
                <w:noProof/>
                <w:webHidden/>
              </w:rPr>
              <w:fldChar w:fldCharType="begin"/>
            </w:r>
            <w:r>
              <w:rPr>
                <w:noProof/>
                <w:webHidden/>
              </w:rPr>
              <w:instrText xml:space="preserve"> PAGEREF _Toc236753770 \h </w:instrText>
            </w:r>
            <w:r>
              <w:rPr>
                <w:noProof/>
                <w:webHidden/>
              </w:rPr>
            </w:r>
            <w:r>
              <w:rPr>
                <w:noProof/>
                <w:webHidden/>
              </w:rPr>
              <w:fldChar w:fldCharType="separate"/>
            </w:r>
            <w:r>
              <w:rPr>
                <w:noProof/>
                <w:webHidden/>
              </w:rPr>
              <w:t>16</w:t>
            </w:r>
            <w:r>
              <w:rPr>
                <w:noProof/>
                <w:webHidden/>
              </w:rPr>
              <w:fldChar w:fldCharType="end"/>
            </w:r>
          </w:hyperlink>
        </w:p>
        <w:p w14:paraId="74218281" w14:textId="71DF9163"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71" w:history="1">
            <w:r w:rsidRPr="0056162E">
              <w:rPr>
                <w:rStyle w:val="Hyperlink"/>
                <w:rFonts w:ascii="Arial" w:hAnsi="Arial" w:cs="Arial"/>
                <w:noProof/>
                <w:lang w:val="en-GB"/>
              </w:rPr>
              <w:t>3.1 Historical Pattern Recognition</w:t>
            </w:r>
            <w:r>
              <w:rPr>
                <w:noProof/>
                <w:webHidden/>
              </w:rPr>
              <w:tab/>
            </w:r>
            <w:r>
              <w:rPr>
                <w:noProof/>
                <w:webHidden/>
              </w:rPr>
              <w:fldChar w:fldCharType="begin"/>
            </w:r>
            <w:r>
              <w:rPr>
                <w:noProof/>
                <w:webHidden/>
              </w:rPr>
              <w:instrText xml:space="preserve"> PAGEREF _Toc236753771 \h </w:instrText>
            </w:r>
            <w:r>
              <w:rPr>
                <w:noProof/>
                <w:webHidden/>
              </w:rPr>
            </w:r>
            <w:r>
              <w:rPr>
                <w:noProof/>
                <w:webHidden/>
              </w:rPr>
              <w:fldChar w:fldCharType="separate"/>
            </w:r>
            <w:r>
              <w:rPr>
                <w:noProof/>
                <w:webHidden/>
              </w:rPr>
              <w:t>16</w:t>
            </w:r>
            <w:r>
              <w:rPr>
                <w:noProof/>
                <w:webHidden/>
              </w:rPr>
              <w:fldChar w:fldCharType="end"/>
            </w:r>
          </w:hyperlink>
        </w:p>
        <w:p w14:paraId="4498852D" w14:textId="370C0E19"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72" w:history="1">
            <w:r w:rsidRPr="0056162E">
              <w:rPr>
                <w:rStyle w:val="Hyperlink"/>
                <w:rFonts w:ascii="Arial" w:hAnsi="Arial" w:cs="Arial"/>
                <w:noProof/>
                <w:lang w:val="en-GB"/>
              </w:rPr>
              <w:t>3.2 Comparison and Justification of Entry Modes</w:t>
            </w:r>
            <w:r>
              <w:rPr>
                <w:noProof/>
                <w:webHidden/>
              </w:rPr>
              <w:tab/>
            </w:r>
            <w:r>
              <w:rPr>
                <w:noProof/>
                <w:webHidden/>
              </w:rPr>
              <w:fldChar w:fldCharType="begin"/>
            </w:r>
            <w:r>
              <w:rPr>
                <w:noProof/>
                <w:webHidden/>
              </w:rPr>
              <w:instrText xml:space="preserve"> PAGEREF _Toc236753772 \h </w:instrText>
            </w:r>
            <w:r>
              <w:rPr>
                <w:noProof/>
                <w:webHidden/>
              </w:rPr>
            </w:r>
            <w:r>
              <w:rPr>
                <w:noProof/>
                <w:webHidden/>
              </w:rPr>
              <w:fldChar w:fldCharType="separate"/>
            </w:r>
            <w:r>
              <w:rPr>
                <w:noProof/>
                <w:webHidden/>
              </w:rPr>
              <w:t>17</w:t>
            </w:r>
            <w:r>
              <w:rPr>
                <w:noProof/>
                <w:webHidden/>
              </w:rPr>
              <w:fldChar w:fldCharType="end"/>
            </w:r>
          </w:hyperlink>
        </w:p>
        <w:p w14:paraId="2A39E1FF" w14:textId="78607C39"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73" w:history="1">
            <w:r w:rsidRPr="0056162E">
              <w:rPr>
                <w:rStyle w:val="Hyperlink"/>
                <w:rFonts w:ascii="Arial" w:hAnsi="Arial" w:cs="Arial"/>
                <w:noProof/>
                <w:lang w:val="en-GB"/>
              </w:rPr>
              <w:t>3.3 Conclusion and Strategic Recommendations</w:t>
            </w:r>
            <w:r>
              <w:rPr>
                <w:noProof/>
                <w:webHidden/>
              </w:rPr>
              <w:tab/>
            </w:r>
            <w:r>
              <w:rPr>
                <w:noProof/>
                <w:webHidden/>
              </w:rPr>
              <w:fldChar w:fldCharType="begin"/>
            </w:r>
            <w:r>
              <w:rPr>
                <w:noProof/>
                <w:webHidden/>
              </w:rPr>
              <w:instrText xml:space="preserve"> PAGEREF _Toc236753773 \h </w:instrText>
            </w:r>
            <w:r>
              <w:rPr>
                <w:noProof/>
                <w:webHidden/>
              </w:rPr>
            </w:r>
            <w:r>
              <w:rPr>
                <w:noProof/>
                <w:webHidden/>
              </w:rPr>
              <w:fldChar w:fldCharType="separate"/>
            </w:r>
            <w:r>
              <w:rPr>
                <w:noProof/>
                <w:webHidden/>
              </w:rPr>
              <w:t>18</w:t>
            </w:r>
            <w:r>
              <w:rPr>
                <w:noProof/>
                <w:webHidden/>
              </w:rPr>
              <w:fldChar w:fldCharType="end"/>
            </w:r>
          </w:hyperlink>
        </w:p>
        <w:p w14:paraId="099FB487" w14:textId="6420449B" w:rsidR="00F768CD" w:rsidRDefault="00F768CD">
          <w:pPr>
            <w:pStyle w:val="TOC3"/>
            <w:tabs>
              <w:tab w:val="left" w:pos="960"/>
              <w:tab w:val="right" w:leader="dot" w:pos="9350"/>
            </w:tabs>
            <w:rPr>
              <w:rFonts w:asciiTheme="minorHAnsi" w:eastAsiaTheme="minorEastAsia" w:hAnsiTheme="minorHAnsi" w:cstheme="minorBidi"/>
              <w:noProof/>
              <w:kern w:val="2"/>
              <w:lang w:val="en-IN" w:eastAsia="en-GB"/>
              <w14:ligatures w14:val="standardContextual"/>
            </w:rPr>
          </w:pPr>
          <w:hyperlink w:anchor="_Toc236753774" w:history="1">
            <w:r w:rsidRPr="0056162E">
              <w:rPr>
                <w:rStyle w:val="Hyperlink"/>
                <w:rFonts w:ascii="Arial" w:hAnsi="Arial" w:cs="Arial"/>
                <w:noProof/>
                <w:lang w:val="en-GB"/>
              </w:rPr>
              <w:t>a.</w:t>
            </w:r>
            <w:r>
              <w:rPr>
                <w:rFonts w:asciiTheme="minorHAnsi" w:eastAsiaTheme="minorEastAsia" w:hAnsiTheme="minorHAnsi" w:cstheme="minorBidi"/>
                <w:noProof/>
                <w:kern w:val="2"/>
                <w:lang w:val="en-IN" w:eastAsia="en-GB"/>
                <w14:ligatures w14:val="standardContextual"/>
              </w:rPr>
              <w:tab/>
            </w:r>
            <w:r w:rsidRPr="0056162E">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_Toc236753774 \h </w:instrText>
            </w:r>
            <w:r>
              <w:rPr>
                <w:noProof/>
                <w:webHidden/>
              </w:rPr>
            </w:r>
            <w:r>
              <w:rPr>
                <w:noProof/>
                <w:webHidden/>
              </w:rPr>
              <w:fldChar w:fldCharType="separate"/>
            </w:r>
            <w:r>
              <w:rPr>
                <w:noProof/>
                <w:webHidden/>
              </w:rPr>
              <w:t>18</w:t>
            </w:r>
            <w:r>
              <w:rPr>
                <w:noProof/>
                <w:webHidden/>
              </w:rPr>
              <w:fldChar w:fldCharType="end"/>
            </w:r>
          </w:hyperlink>
        </w:p>
        <w:p w14:paraId="4EDD5E0F" w14:textId="7E58C3D8" w:rsidR="00F768CD" w:rsidRDefault="00F768CD">
          <w:pPr>
            <w:pStyle w:val="TOC3"/>
            <w:tabs>
              <w:tab w:val="left" w:pos="960"/>
              <w:tab w:val="right" w:leader="dot" w:pos="9350"/>
            </w:tabs>
            <w:rPr>
              <w:rFonts w:asciiTheme="minorHAnsi" w:eastAsiaTheme="minorEastAsia" w:hAnsiTheme="minorHAnsi" w:cstheme="minorBidi"/>
              <w:noProof/>
              <w:kern w:val="2"/>
              <w:lang w:val="en-IN" w:eastAsia="en-GB"/>
              <w14:ligatures w14:val="standardContextual"/>
            </w:rPr>
          </w:pPr>
          <w:hyperlink w:anchor="_Toc236753775" w:history="1">
            <w:r w:rsidRPr="0056162E">
              <w:rPr>
                <w:rStyle w:val="Hyperlink"/>
                <w:rFonts w:ascii="Arial" w:hAnsi="Arial" w:cs="Arial"/>
                <w:noProof/>
                <w:lang w:val="en-GB"/>
              </w:rPr>
              <w:t>b.</w:t>
            </w:r>
            <w:r>
              <w:rPr>
                <w:rFonts w:asciiTheme="minorHAnsi" w:eastAsiaTheme="minorEastAsia" w:hAnsiTheme="minorHAnsi" w:cstheme="minorBidi"/>
                <w:noProof/>
                <w:kern w:val="2"/>
                <w:lang w:val="en-IN" w:eastAsia="en-GB"/>
                <w14:ligatures w14:val="standardContextual"/>
              </w:rPr>
              <w:tab/>
            </w:r>
            <w:r w:rsidRPr="0056162E">
              <w:rPr>
                <w:rStyle w:val="Hyperlink"/>
                <w:rFonts w:ascii="Arial" w:hAnsi="Arial" w:cs="Arial"/>
                <w:noProof/>
                <w:lang w:val="en-GB"/>
              </w:rPr>
              <w:t>Strategic Recommendations</w:t>
            </w:r>
            <w:r>
              <w:rPr>
                <w:noProof/>
                <w:webHidden/>
              </w:rPr>
              <w:tab/>
            </w:r>
            <w:r>
              <w:rPr>
                <w:noProof/>
                <w:webHidden/>
              </w:rPr>
              <w:fldChar w:fldCharType="begin"/>
            </w:r>
            <w:r>
              <w:rPr>
                <w:noProof/>
                <w:webHidden/>
              </w:rPr>
              <w:instrText xml:space="preserve"> PAGEREF _Toc236753775 \h </w:instrText>
            </w:r>
            <w:r>
              <w:rPr>
                <w:noProof/>
                <w:webHidden/>
              </w:rPr>
            </w:r>
            <w:r>
              <w:rPr>
                <w:noProof/>
                <w:webHidden/>
              </w:rPr>
              <w:fldChar w:fldCharType="separate"/>
            </w:r>
            <w:r>
              <w:rPr>
                <w:noProof/>
                <w:webHidden/>
              </w:rPr>
              <w:t>19</w:t>
            </w:r>
            <w:r>
              <w:rPr>
                <w:noProof/>
                <w:webHidden/>
              </w:rPr>
              <w:fldChar w:fldCharType="end"/>
            </w:r>
          </w:hyperlink>
        </w:p>
        <w:p w14:paraId="1D6E3613" w14:textId="6D3B504E" w:rsidR="00F768CD" w:rsidRDefault="00F768CD">
          <w:pPr>
            <w:pStyle w:val="TOC1"/>
            <w:tabs>
              <w:tab w:val="right" w:leader="dot" w:pos="9350"/>
            </w:tabs>
            <w:rPr>
              <w:rFonts w:asciiTheme="minorHAnsi" w:eastAsiaTheme="minorEastAsia" w:hAnsiTheme="minorHAnsi" w:cstheme="minorBidi"/>
              <w:noProof/>
              <w:kern w:val="2"/>
              <w:lang w:val="en-IN" w:eastAsia="en-GB"/>
              <w14:ligatures w14:val="standardContextual"/>
            </w:rPr>
          </w:pPr>
          <w:hyperlink w:anchor="_Toc236753776" w:history="1">
            <w:r w:rsidRPr="0056162E">
              <w:rPr>
                <w:rStyle w:val="Hyperlink"/>
                <w:rFonts w:ascii="Arial" w:hAnsi="Arial" w:cs="Arial"/>
                <w:noProof/>
                <w:lang w:val="en-GB"/>
              </w:rPr>
              <w:t>SECTION 2: Reflective Account (Gibbs' Reflective Cycle)</w:t>
            </w:r>
            <w:r>
              <w:rPr>
                <w:noProof/>
                <w:webHidden/>
              </w:rPr>
              <w:tab/>
            </w:r>
            <w:r>
              <w:rPr>
                <w:noProof/>
                <w:webHidden/>
              </w:rPr>
              <w:fldChar w:fldCharType="begin"/>
            </w:r>
            <w:r>
              <w:rPr>
                <w:noProof/>
                <w:webHidden/>
              </w:rPr>
              <w:instrText xml:space="preserve"> PAGEREF _Toc236753776 \h </w:instrText>
            </w:r>
            <w:r>
              <w:rPr>
                <w:noProof/>
                <w:webHidden/>
              </w:rPr>
            </w:r>
            <w:r>
              <w:rPr>
                <w:noProof/>
                <w:webHidden/>
              </w:rPr>
              <w:fldChar w:fldCharType="separate"/>
            </w:r>
            <w:r>
              <w:rPr>
                <w:noProof/>
                <w:webHidden/>
              </w:rPr>
              <w:t>19</w:t>
            </w:r>
            <w:r>
              <w:rPr>
                <w:noProof/>
                <w:webHidden/>
              </w:rPr>
              <w:fldChar w:fldCharType="end"/>
            </w:r>
          </w:hyperlink>
        </w:p>
        <w:p w14:paraId="281D3B77" w14:textId="565A93AA"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77" w:history="1">
            <w:r w:rsidRPr="0056162E">
              <w:rPr>
                <w:rStyle w:val="Hyperlink"/>
                <w:rFonts w:ascii="Arial" w:hAnsi="Arial" w:cs="Arial"/>
                <w:noProof/>
                <w:lang w:val="en-GB"/>
              </w:rPr>
              <w:t>1. Description</w:t>
            </w:r>
            <w:r>
              <w:rPr>
                <w:noProof/>
                <w:webHidden/>
              </w:rPr>
              <w:tab/>
            </w:r>
            <w:r>
              <w:rPr>
                <w:noProof/>
                <w:webHidden/>
              </w:rPr>
              <w:fldChar w:fldCharType="begin"/>
            </w:r>
            <w:r>
              <w:rPr>
                <w:noProof/>
                <w:webHidden/>
              </w:rPr>
              <w:instrText xml:space="preserve"> PAGEREF _Toc236753777 \h </w:instrText>
            </w:r>
            <w:r>
              <w:rPr>
                <w:noProof/>
                <w:webHidden/>
              </w:rPr>
            </w:r>
            <w:r>
              <w:rPr>
                <w:noProof/>
                <w:webHidden/>
              </w:rPr>
              <w:fldChar w:fldCharType="separate"/>
            </w:r>
            <w:r>
              <w:rPr>
                <w:noProof/>
                <w:webHidden/>
              </w:rPr>
              <w:t>19</w:t>
            </w:r>
            <w:r>
              <w:rPr>
                <w:noProof/>
                <w:webHidden/>
              </w:rPr>
              <w:fldChar w:fldCharType="end"/>
            </w:r>
          </w:hyperlink>
        </w:p>
        <w:p w14:paraId="047EFF6E" w14:textId="01652CFE"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78" w:history="1">
            <w:r w:rsidRPr="0056162E">
              <w:rPr>
                <w:rStyle w:val="Hyperlink"/>
                <w:rFonts w:ascii="Arial" w:hAnsi="Arial" w:cs="Arial"/>
                <w:noProof/>
                <w:lang w:val="en-GB"/>
              </w:rPr>
              <w:t>2. Feelings</w:t>
            </w:r>
            <w:r>
              <w:rPr>
                <w:noProof/>
                <w:webHidden/>
              </w:rPr>
              <w:tab/>
            </w:r>
            <w:r>
              <w:rPr>
                <w:noProof/>
                <w:webHidden/>
              </w:rPr>
              <w:fldChar w:fldCharType="begin"/>
            </w:r>
            <w:r>
              <w:rPr>
                <w:noProof/>
                <w:webHidden/>
              </w:rPr>
              <w:instrText xml:space="preserve"> PAGEREF _Toc236753778 \h </w:instrText>
            </w:r>
            <w:r>
              <w:rPr>
                <w:noProof/>
                <w:webHidden/>
              </w:rPr>
            </w:r>
            <w:r>
              <w:rPr>
                <w:noProof/>
                <w:webHidden/>
              </w:rPr>
              <w:fldChar w:fldCharType="separate"/>
            </w:r>
            <w:r>
              <w:rPr>
                <w:noProof/>
                <w:webHidden/>
              </w:rPr>
              <w:t>20</w:t>
            </w:r>
            <w:r>
              <w:rPr>
                <w:noProof/>
                <w:webHidden/>
              </w:rPr>
              <w:fldChar w:fldCharType="end"/>
            </w:r>
          </w:hyperlink>
        </w:p>
        <w:p w14:paraId="1719BF1C" w14:textId="20479F27"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79" w:history="1">
            <w:r w:rsidRPr="0056162E">
              <w:rPr>
                <w:rStyle w:val="Hyperlink"/>
                <w:rFonts w:ascii="Arial" w:hAnsi="Arial" w:cs="Arial"/>
                <w:noProof/>
                <w:lang w:val="en-GB"/>
              </w:rPr>
              <w:t>3. Evaluation</w:t>
            </w:r>
            <w:r>
              <w:rPr>
                <w:noProof/>
                <w:webHidden/>
              </w:rPr>
              <w:tab/>
            </w:r>
            <w:r>
              <w:rPr>
                <w:noProof/>
                <w:webHidden/>
              </w:rPr>
              <w:fldChar w:fldCharType="begin"/>
            </w:r>
            <w:r>
              <w:rPr>
                <w:noProof/>
                <w:webHidden/>
              </w:rPr>
              <w:instrText xml:space="preserve"> PAGEREF _Toc236753779 \h </w:instrText>
            </w:r>
            <w:r>
              <w:rPr>
                <w:noProof/>
                <w:webHidden/>
              </w:rPr>
            </w:r>
            <w:r>
              <w:rPr>
                <w:noProof/>
                <w:webHidden/>
              </w:rPr>
              <w:fldChar w:fldCharType="separate"/>
            </w:r>
            <w:r>
              <w:rPr>
                <w:noProof/>
                <w:webHidden/>
              </w:rPr>
              <w:t>20</w:t>
            </w:r>
            <w:r>
              <w:rPr>
                <w:noProof/>
                <w:webHidden/>
              </w:rPr>
              <w:fldChar w:fldCharType="end"/>
            </w:r>
          </w:hyperlink>
        </w:p>
        <w:p w14:paraId="51C545BA" w14:textId="0FB63CEB"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80" w:history="1">
            <w:r w:rsidRPr="0056162E">
              <w:rPr>
                <w:rStyle w:val="Hyperlink"/>
                <w:rFonts w:ascii="Arial" w:hAnsi="Arial" w:cs="Arial"/>
                <w:noProof/>
                <w:lang w:val="en-GB"/>
              </w:rPr>
              <w:t>4. Analysis</w:t>
            </w:r>
            <w:r>
              <w:rPr>
                <w:noProof/>
                <w:webHidden/>
              </w:rPr>
              <w:tab/>
            </w:r>
            <w:r>
              <w:rPr>
                <w:noProof/>
                <w:webHidden/>
              </w:rPr>
              <w:fldChar w:fldCharType="begin"/>
            </w:r>
            <w:r>
              <w:rPr>
                <w:noProof/>
                <w:webHidden/>
              </w:rPr>
              <w:instrText xml:space="preserve"> PAGEREF _Toc236753780 \h </w:instrText>
            </w:r>
            <w:r>
              <w:rPr>
                <w:noProof/>
                <w:webHidden/>
              </w:rPr>
            </w:r>
            <w:r>
              <w:rPr>
                <w:noProof/>
                <w:webHidden/>
              </w:rPr>
              <w:fldChar w:fldCharType="separate"/>
            </w:r>
            <w:r>
              <w:rPr>
                <w:noProof/>
                <w:webHidden/>
              </w:rPr>
              <w:t>21</w:t>
            </w:r>
            <w:r>
              <w:rPr>
                <w:noProof/>
                <w:webHidden/>
              </w:rPr>
              <w:fldChar w:fldCharType="end"/>
            </w:r>
          </w:hyperlink>
        </w:p>
        <w:p w14:paraId="1810BF06" w14:textId="3B0EC763"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81" w:history="1">
            <w:r w:rsidRPr="0056162E">
              <w:rPr>
                <w:rStyle w:val="Hyperlink"/>
                <w:rFonts w:ascii="Arial" w:hAnsi="Arial" w:cs="Arial"/>
                <w:noProof/>
                <w:lang w:val="en-GB"/>
              </w:rPr>
              <w:t>5. Conclusion</w:t>
            </w:r>
            <w:r>
              <w:rPr>
                <w:noProof/>
                <w:webHidden/>
              </w:rPr>
              <w:tab/>
            </w:r>
            <w:r>
              <w:rPr>
                <w:noProof/>
                <w:webHidden/>
              </w:rPr>
              <w:fldChar w:fldCharType="begin"/>
            </w:r>
            <w:r>
              <w:rPr>
                <w:noProof/>
                <w:webHidden/>
              </w:rPr>
              <w:instrText xml:space="preserve"> PAGEREF _Toc236753781 \h </w:instrText>
            </w:r>
            <w:r>
              <w:rPr>
                <w:noProof/>
                <w:webHidden/>
              </w:rPr>
            </w:r>
            <w:r>
              <w:rPr>
                <w:noProof/>
                <w:webHidden/>
              </w:rPr>
              <w:fldChar w:fldCharType="separate"/>
            </w:r>
            <w:r>
              <w:rPr>
                <w:noProof/>
                <w:webHidden/>
              </w:rPr>
              <w:t>22</w:t>
            </w:r>
            <w:r>
              <w:rPr>
                <w:noProof/>
                <w:webHidden/>
              </w:rPr>
              <w:fldChar w:fldCharType="end"/>
            </w:r>
          </w:hyperlink>
        </w:p>
        <w:p w14:paraId="557D0379" w14:textId="4ED6983C" w:rsidR="00F768CD" w:rsidRDefault="00F768CD">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36753782" w:history="1">
            <w:r w:rsidRPr="0056162E">
              <w:rPr>
                <w:rStyle w:val="Hyperlink"/>
                <w:rFonts w:ascii="Arial" w:hAnsi="Arial" w:cs="Arial"/>
                <w:noProof/>
                <w:lang w:val="en-GB"/>
              </w:rPr>
              <w:t>6. Action Plan</w:t>
            </w:r>
            <w:r>
              <w:rPr>
                <w:noProof/>
                <w:webHidden/>
              </w:rPr>
              <w:tab/>
            </w:r>
            <w:r>
              <w:rPr>
                <w:noProof/>
                <w:webHidden/>
              </w:rPr>
              <w:fldChar w:fldCharType="begin"/>
            </w:r>
            <w:r>
              <w:rPr>
                <w:noProof/>
                <w:webHidden/>
              </w:rPr>
              <w:instrText xml:space="preserve"> PAGEREF _Toc236753782 \h </w:instrText>
            </w:r>
            <w:r>
              <w:rPr>
                <w:noProof/>
                <w:webHidden/>
              </w:rPr>
            </w:r>
            <w:r>
              <w:rPr>
                <w:noProof/>
                <w:webHidden/>
              </w:rPr>
              <w:fldChar w:fldCharType="separate"/>
            </w:r>
            <w:r>
              <w:rPr>
                <w:noProof/>
                <w:webHidden/>
              </w:rPr>
              <w:t>22</w:t>
            </w:r>
            <w:r>
              <w:rPr>
                <w:noProof/>
                <w:webHidden/>
              </w:rPr>
              <w:fldChar w:fldCharType="end"/>
            </w:r>
          </w:hyperlink>
        </w:p>
        <w:p w14:paraId="37FB1EEF" w14:textId="6CE76F8E" w:rsidR="00F768CD" w:rsidRDefault="00F768CD">
          <w:pPr>
            <w:pStyle w:val="TOC1"/>
            <w:tabs>
              <w:tab w:val="right" w:leader="dot" w:pos="9350"/>
            </w:tabs>
            <w:rPr>
              <w:rFonts w:asciiTheme="minorHAnsi" w:eastAsiaTheme="minorEastAsia" w:hAnsiTheme="minorHAnsi" w:cstheme="minorBidi"/>
              <w:noProof/>
              <w:kern w:val="2"/>
              <w:lang w:val="en-IN" w:eastAsia="en-GB"/>
              <w14:ligatures w14:val="standardContextual"/>
            </w:rPr>
          </w:pPr>
          <w:hyperlink w:anchor="_Toc236753783" w:history="1">
            <w:r w:rsidRPr="0056162E">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_Toc236753783 \h </w:instrText>
            </w:r>
            <w:r>
              <w:rPr>
                <w:noProof/>
                <w:webHidden/>
              </w:rPr>
            </w:r>
            <w:r>
              <w:rPr>
                <w:noProof/>
                <w:webHidden/>
              </w:rPr>
              <w:fldChar w:fldCharType="separate"/>
            </w:r>
            <w:r>
              <w:rPr>
                <w:noProof/>
                <w:webHidden/>
              </w:rPr>
              <w:t>24</w:t>
            </w:r>
            <w:r>
              <w:rPr>
                <w:noProof/>
                <w:webHidden/>
              </w:rPr>
              <w:fldChar w:fldCharType="end"/>
            </w:r>
          </w:hyperlink>
        </w:p>
        <w:p w14:paraId="4B5117CE" w14:textId="37DE98D5" w:rsidR="00774511" w:rsidRPr="000716AB" w:rsidRDefault="00774511" w:rsidP="00F55AD0">
          <w:pPr>
            <w:rPr>
              <w:rFonts w:ascii="Arial" w:hAnsi="Arial" w:cs="Arial"/>
              <w:lang w:val="en-GB"/>
            </w:rPr>
          </w:pPr>
          <w:r w:rsidRPr="000716AB">
            <w:rPr>
              <w:rFonts w:ascii="Arial" w:hAnsi="Arial" w:cs="Arial"/>
              <w:b/>
              <w:bCs/>
              <w:noProof/>
              <w:lang w:val="en-GB"/>
            </w:rPr>
            <w:fldChar w:fldCharType="end"/>
          </w:r>
        </w:p>
      </w:sdtContent>
    </w:sdt>
    <w:p w14:paraId="010B1D0C" w14:textId="77777777" w:rsidR="004260A9" w:rsidRPr="000716AB" w:rsidRDefault="004260A9" w:rsidP="00F55AD0">
      <w:pPr>
        <w:rPr>
          <w:rFonts w:ascii="Arial" w:hAnsi="Arial" w:cs="Arial"/>
          <w:lang w:val="en-GB"/>
        </w:rPr>
      </w:pPr>
    </w:p>
    <w:p w14:paraId="33D2BCE2" w14:textId="77777777" w:rsidR="00BE7F8C" w:rsidRDefault="00BE7F8C" w:rsidP="00F55AD0">
      <w:pPr>
        <w:pStyle w:val="Heading1"/>
        <w:rPr>
          <w:rFonts w:ascii="Arial" w:hAnsi="Arial" w:cstheme="minorBidi"/>
          <w:szCs w:val="30"/>
          <w:lang w:val="en-GB" w:bidi="bn-BD"/>
        </w:rPr>
      </w:pPr>
      <w:bookmarkStart w:id="0" w:name="_4tz8aeg1j3m3" w:colFirst="0" w:colLast="0"/>
      <w:bookmarkEnd w:id="0"/>
    </w:p>
    <w:p w14:paraId="2265F55B" w14:textId="6D1E05D5" w:rsidR="004260A9" w:rsidRPr="000716AB" w:rsidRDefault="0083161F" w:rsidP="00F55AD0">
      <w:pPr>
        <w:pStyle w:val="Heading1"/>
        <w:rPr>
          <w:rFonts w:ascii="Arial" w:hAnsi="Arial" w:cs="Arial"/>
          <w:lang w:val="en-GB"/>
        </w:rPr>
      </w:pPr>
      <w:r w:rsidRPr="000716AB">
        <w:rPr>
          <w:rFonts w:ascii="Arial" w:hAnsi="Arial" w:cs="Arial"/>
          <w:lang w:val="en-GB"/>
        </w:rPr>
        <w:br w:type="page"/>
      </w:r>
    </w:p>
    <w:p w14:paraId="70CC264B" w14:textId="77777777" w:rsidR="00BE7F8C" w:rsidRDefault="00BE7F8C" w:rsidP="00F55AD0">
      <w:pPr>
        <w:pStyle w:val="Heading1"/>
        <w:rPr>
          <w:rFonts w:ascii="Arial" w:hAnsi="Arial" w:cstheme="minorBidi"/>
          <w:szCs w:val="30"/>
          <w:lang w:val="en-GB" w:bidi="bn-BD"/>
        </w:rPr>
      </w:pPr>
      <w:bookmarkStart w:id="1" w:name="_tbg76z5g1aun" w:colFirst="0" w:colLast="0"/>
      <w:bookmarkStart w:id="2" w:name="_Toc236753755"/>
      <w:bookmarkEnd w:id="1"/>
    </w:p>
    <w:p w14:paraId="3C826D0A" w14:textId="36A4F15C" w:rsidR="004260A9" w:rsidRPr="000716AB" w:rsidRDefault="0083161F" w:rsidP="00F55AD0">
      <w:pPr>
        <w:pStyle w:val="Heading1"/>
        <w:rPr>
          <w:rFonts w:ascii="Arial" w:hAnsi="Arial" w:cs="Arial"/>
          <w:lang w:val="en-GB"/>
        </w:rPr>
      </w:pPr>
      <w:r w:rsidRPr="000716AB">
        <w:rPr>
          <w:rFonts w:ascii="Arial" w:hAnsi="Arial" w:cs="Arial"/>
          <w:lang w:val="en-GB"/>
        </w:rPr>
        <w:t>SECTION 1</w:t>
      </w:r>
      <w:bookmarkEnd w:id="2"/>
      <w:r w:rsidRPr="000716AB">
        <w:rPr>
          <w:rFonts w:ascii="Arial" w:hAnsi="Arial" w:cs="Arial"/>
          <w:lang w:val="en-GB"/>
        </w:rPr>
        <w:t xml:space="preserve"> </w:t>
      </w:r>
    </w:p>
    <w:p w14:paraId="729DFAD3" w14:textId="77777777" w:rsidR="004260A9" w:rsidRPr="000716AB" w:rsidRDefault="0083161F" w:rsidP="00F55AD0">
      <w:pPr>
        <w:pStyle w:val="Heading1"/>
        <w:numPr>
          <w:ilvl w:val="0"/>
          <w:numId w:val="3"/>
        </w:numPr>
        <w:rPr>
          <w:rFonts w:ascii="Arial" w:hAnsi="Arial" w:cs="Arial"/>
          <w:lang w:val="en-GB"/>
        </w:rPr>
      </w:pPr>
      <w:bookmarkStart w:id="3" w:name="_zb4b4fgalmla" w:colFirst="0" w:colLast="0"/>
      <w:bookmarkStart w:id="4" w:name="_Toc236753756"/>
      <w:bookmarkEnd w:id="3"/>
      <w:r w:rsidRPr="000716AB">
        <w:rPr>
          <w:rFonts w:ascii="Arial" w:hAnsi="Arial" w:cs="Arial"/>
          <w:lang w:val="en-GB"/>
        </w:rPr>
        <w:t>ORGANISATIONAL CLASSIFICATION AND GLOBAL STRATEGY</w:t>
      </w:r>
      <w:bookmarkEnd w:id="4"/>
      <w:r w:rsidRPr="000716AB">
        <w:rPr>
          <w:rFonts w:ascii="Arial" w:hAnsi="Arial" w:cs="Arial"/>
          <w:lang w:val="en-GB"/>
        </w:rPr>
        <w:t xml:space="preserve"> </w:t>
      </w:r>
    </w:p>
    <w:p w14:paraId="31AC5F3F" w14:textId="77777777" w:rsidR="004260A9" w:rsidRPr="000716AB" w:rsidRDefault="0083161F" w:rsidP="00F55AD0">
      <w:pPr>
        <w:pStyle w:val="Heading2"/>
        <w:rPr>
          <w:rFonts w:ascii="Arial" w:hAnsi="Arial" w:cs="Arial"/>
          <w:lang w:val="en-GB"/>
        </w:rPr>
      </w:pPr>
      <w:bookmarkStart w:id="5" w:name="_65nu3r2kxpyc" w:colFirst="0" w:colLast="0"/>
      <w:bookmarkStart w:id="6" w:name="_Toc236753757"/>
      <w:bookmarkEnd w:id="5"/>
      <w:r w:rsidRPr="000716AB">
        <w:rPr>
          <w:rFonts w:ascii="Arial" w:hAnsi="Arial" w:cs="Arial"/>
          <w:lang w:val="en-GB"/>
        </w:rPr>
        <w:t>1.1 Organisational Overview</w:t>
      </w:r>
      <w:bookmarkEnd w:id="6"/>
      <w:r w:rsidRPr="000716AB">
        <w:rPr>
          <w:rFonts w:ascii="Arial" w:hAnsi="Arial" w:cs="Arial"/>
          <w:lang w:val="en-GB"/>
        </w:rPr>
        <w:t xml:space="preserve"> </w:t>
      </w:r>
    </w:p>
    <w:p w14:paraId="3CCED19F" w14:textId="5999165D" w:rsidR="004260A9" w:rsidRDefault="00FD71F1" w:rsidP="00F55AD0">
      <w:pPr>
        <w:rPr>
          <w:rFonts w:ascii="Arial" w:hAnsi="Arial" w:cstheme="minorBidi"/>
          <w:szCs w:val="30"/>
          <w:lang w:val="en-GB" w:bidi="bn-BD"/>
        </w:rPr>
      </w:pPr>
      <w:r w:rsidRPr="000716AB">
        <w:rPr>
          <w:rFonts w:ascii="Arial" w:hAnsi="Arial" w:cs="Arial"/>
          <w:lang w:val="en-GB"/>
        </w:rPr>
        <w:t xml:space="preserve">This report examines the IKEA franchise system, although the majority of IKEA stores are run by independent franchisees, the IKEA concept is run by Inter IKEA Systems B.V. (IKEA franchisor). IKEA, with the support of the product development, sourcing and supply chain activities of Inter IKEA Group, offers home furnishings that are functional, low-cost and sustainable based on a business model that is globally standardised but is operated via a franchise. </w:t>
      </w:r>
      <w:r w:rsidR="00653136" w:rsidRPr="000716AB">
        <w:rPr>
          <w:rFonts w:ascii="Arial" w:hAnsi="Arial" w:cs="Arial"/>
          <w:lang w:val="en-GB"/>
        </w:rPr>
        <w:t>IKEA is currently present in more than 60 markets as of FY2025. At 1 June 2026, IKEA did not have any retail stores, e-commerce platform or franchise operations in Algeria, which is one of the few markets in North Africa where IKEA is not yet present (Inter IKEA Group, 2025).</w:t>
      </w:r>
    </w:p>
    <w:p w14:paraId="2C2FE519" w14:textId="77777777" w:rsidR="00BE7F8C" w:rsidRPr="00BE7F8C" w:rsidRDefault="00BE7F8C" w:rsidP="00F55AD0">
      <w:pPr>
        <w:rPr>
          <w:rFonts w:ascii="Arial" w:hAnsi="Arial" w:cstheme="minorBidi"/>
          <w:szCs w:val="30"/>
          <w:lang w:val="en-GB" w:bidi="bn-BD"/>
        </w:rPr>
      </w:pPr>
    </w:p>
    <w:p w14:paraId="654CA384" w14:textId="77777777" w:rsidR="004260A9" w:rsidRPr="000716AB" w:rsidRDefault="0083161F" w:rsidP="00F55AD0">
      <w:pPr>
        <w:pStyle w:val="Heading2"/>
        <w:rPr>
          <w:rFonts w:ascii="Arial" w:hAnsi="Arial" w:cs="Arial"/>
          <w:lang w:val="en-GB"/>
        </w:rPr>
      </w:pPr>
      <w:bookmarkStart w:id="7" w:name="_12g7feqbm02l" w:colFirst="0" w:colLast="0"/>
      <w:bookmarkStart w:id="8" w:name="_Toc236753758"/>
      <w:bookmarkEnd w:id="7"/>
      <w:r w:rsidRPr="000716AB">
        <w:rPr>
          <w:rFonts w:ascii="Arial" w:hAnsi="Arial" w:cs="Arial"/>
          <w:lang w:val="en-GB"/>
        </w:rPr>
        <w:t>1.2 Strategic Categorisation using Bartlett and Ghoshal's Model</w:t>
      </w:r>
      <w:bookmarkEnd w:id="8"/>
      <w:r w:rsidRPr="000716AB">
        <w:rPr>
          <w:rFonts w:ascii="Arial" w:hAnsi="Arial" w:cs="Arial"/>
          <w:lang w:val="en-GB"/>
        </w:rPr>
        <w:t xml:space="preserve"> </w:t>
      </w:r>
    </w:p>
    <w:p w14:paraId="0ABEDAC8" w14:textId="385BE5E7" w:rsidR="004260A9" w:rsidRDefault="0083161F" w:rsidP="00F55AD0">
      <w:pPr>
        <w:rPr>
          <w:rFonts w:ascii="Arial" w:hAnsi="Arial" w:cstheme="minorBidi"/>
          <w:szCs w:val="30"/>
          <w:lang w:val="en-GB" w:bidi="bn-BD"/>
        </w:rPr>
      </w:pPr>
      <w:r w:rsidRPr="000716AB">
        <w:rPr>
          <w:rFonts w:ascii="Arial" w:hAnsi="Arial" w:cs="Arial"/>
          <w:lang w:val="en-GB"/>
        </w:rPr>
        <w:t xml:space="preserve">Bartlett and Ghoshal (1989) framework suggests that multinational firms will become internationally competitive by balancing the forces for global integration and local responsiveness. IKEA's international strategy is most similar to the transnational strategy because it is based on the need to simultaneously pursue global efficiency and selectively meet local market needs. </w:t>
      </w:r>
      <w:r w:rsidR="003A5B6B" w:rsidRPr="000716AB">
        <w:rPr>
          <w:rFonts w:ascii="Arial" w:hAnsi="Arial" w:cs="Arial"/>
          <w:lang w:val="en-GB"/>
        </w:rPr>
        <w:t>IKEA is under a lot of pressure to be integrated globally, as the company benefits from economies of scale due to centralised product design, global sourcing, standardisation of stores and the same brand. It also experiences moderate local responsiveness pressures, which means that certain activities (product ranges, food products, digital services and marketing communications) need to be adapted to the local preferences and cultural expectations of consumers (Khan and Sarkar, 2024, p.2).</w:t>
      </w:r>
      <w:r w:rsidR="007A54F0" w:rsidRPr="000716AB">
        <w:rPr>
          <w:rFonts w:ascii="Arial" w:hAnsi="Arial" w:cs="Arial"/>
          <w:lang w:val="en-GB"/>
        </w:rPr>
        <w:t xml:space="preserve"> </w:t>
      </w:r>
      <w:r w:rsidR="003A5B6B" w:rsidRPr="000716AB">
        <w:rPr>
          <w:rFonts w:ascii="Arial" w:hAnsi="Arial" w:cs="Arial"/>
          <w:lang w:val="en-GB"/>
        </w:rPr>
        <w:t xml:space="preserve">The changes help to drive customer acceptance and ensure the firm continues to have a global operating model. In sum, IKEA can best be described as a transnational organisation rather than a global, international or multidomestic firm given that it is </w:t>
      </w:r>
      <w:r w:rsidR="003A5B6B" w:rsidRPr="000716AB">
        <w:rPr>
          <w:rFonts w:ascii="Arial" w:hAnsi="Arial" w:cs="Arial"/>
          <w:lang w:val="en-GB"/>
        </w:rPr>
        <w:lastRenderedPageBreak/>
        <w:t xml:space="preserve">globally integrated in terms of its design, sourcing and branding and yet selectively adapts to local markets. A purely global strategy would be lacking in local sensitivity, and a multidomestic and international strategy would diminish the global efficiencies and knowledge sharing that are key to IKEA's business. This method results in a high coordination cost across markets, but it best provides a trade-off between effectiveness and responsiveness on the local level, even in Algeria (Bartlett and Ghoshal, 1989). </w:t>
      </w:r>
      <w:r w:rsidRPr="000716AB">
        <w:rPr>
          <w:rFonts w:ascii="Arial" w:hAnsi="Arial" w:cs="Arial"/>
          <w:lang w:val="en-GB"/>
        </w:rPr>
        <w:t xml:space="preserve"> </w:t>
      </w:r>
    </w:p>
    <w:p w14:paraId="3CF6A780" w14:textId="77777777" w:rsidR="00BE7F8C" w:rsidRPr="00BE7F8C" w:rsidRDefault="00BE7F8C" w:rsidP="00F55AD0">
      <w:pPr>
        <w:rPr>
          <w:rFonts w:ascii="Arial" w:hAnsi="Arial" w:cstheme="minorBidi"/>
          <w:szCs w:val="30"/>
          <w:lang w:val="en-GB" w:bidi="bn-BD"/>
        </w:rPr>
      </w:pPr>
    </w:p>
    <w:p w14:paraId="56DBD8BC" w14:textId="77777777" w:rsidR="004260A9" w:rsidRPr="000716AB" w:rsidRDefault="0083161F" w:rsidP="00F55AD0">
      <w:pPr>
        <w:pStyle w:val="Heading2"/>
        <w:rPr>
          <w:rFonts w:ascii="Arial" w:hAnsi="Arial" w:cs="Arial"/>
          <w:lang w:val="en-GB"/>
        </w:rPr>
      </w:pPr>
      <w:bookmarkStart w:id="9" w:name="_n34bm1j54dj" w:colFirst="0" w:colLast="0"/>
      <w:bookmarkStart w:id="10" w:name="_Toc236753759"/>
      <w:bookmarkEnd w:id="9"/>
      <w:r w:rsidRPr="000716AB">
        <w:rPr>
          <w:rFonts w:ascii="Arial" w:hAnsi="Arial" w:cs="Arial"/>
          <w:lang w:val="en-GB"/>
        </w:rPr>
        <w:t>1.3 Global Configuration</w:t>
      </w:r>
      <w:bookmarkEnd w:id="10"/>
    </w:p>
    <w:p w14:paraId="4B169956" w14:textId="77777777" w:rsidR="004260A9" w:rsidRPr="000716AB" w:rsidRDefault="0083161F" w:rsidP="00F55AD0">
      <w:pPr>
        <w:jc w:val="center"/>
        <w:rPr>
          <w:rFonts w:ascii="Arial" w:hAnsi="Arial" w:cs="Arial"/>
          <w:lang w:val="en-GB"/>
        </w:rPr>
      </w:pPr>
      <w:r w:rsidRPr="000716AB">
        <w:rPr>
          <w:rFonts w:ascii="Arial" w:hAnsi="Arial" w:cs="Arial"/>
          <w:noProof/>
          <w:lang w:val="en-GB"/>
        </w:rPr>
        <w:drawing>
          <wp:inline distT="114300" distB="114300" distL="114300" distR="114300" wp14:anchorId="7A56604B" wp14:editId="5EB929BC">
            <wp:extent cx="5943600" cy="29464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2946400"/>
                    </a:xfrm>
                    <a:prstGeom prst="rect">
                      <a:avLst/>
                    </a:prstGeom>
                    <a:ln/>
                  </pic:spPr>
                </pic:pic>
              </a:graphicData>
            </a:graphic>
          </wp:inline>
        </w:drawing>
      </w:r>
    </w:p>
    <w:p w14:paraId="3D054771" w14:textId="77777777" w:rsidR="004260A9" w:rsidRPr="000716AB" w:rsidRDefault="0083161F" w:rsidP="00F55AD0">
      <w:pPr>
        <w:jc w:val="center"/>
        <w:rPr>
          <w:rFonts w:ascii="Arial" w:hAnsi="Arial" w:cs="Arial"/>
          <w:b/>
          <w:bCs/>
          <w:lang w:val="en-GB"/>
        </w:rPr>
      </w:pPr>
      <w:r w:rsidRPr="000716AB">
        <w:rPr>
          <w:rFonts w:ascii="Arial" w:hAnsi="Arial" w:cs="Arial"/>
          <w:b/>
          <w:bCs/>
          <w:lang w:val="en-GB"/>
        </w:rPr>
        <w:t>Figure 1: IKEA Global Presence</w:t>
      </w:r>
    </w:p>
    <w:p w14:paraId="0E9293AB" w14:textId="77777777" w:rsidR="004260A9" w:rsidRPr="000716AB" w:rsidRDefault="0083161F" w:rsidP="00F55AD0">
      <w:pPr>
        <w:jc w:val="center"/>
        <w:rPr>
          <w:rFonts w:ascii="Arial" w:hAnsi="Arial" w:cs="Arial"/>
          <w:lang w:val="en-GB"/>
        </w:rPr>
      </w:pPr>
      <w:r w:rsidRPr="000716AB">
        <w:rPr>
          <w:rFonts w:ascii="Arial" w:hAnsi="Arial" w:cs="Arial"/>
          <w:lang w:val="en-GB"/>
        </w:rPr>
        <w:t>(Source: Inter IKEA Group, 2025)</w:t>
      </w:r>
    </w:p>
    <w:p w14:paraId="2837C3E4" w14:textId="3E2B586C" w:rsidR="004260A9" w:rsidRDefault="008C2AE7" w:rsidP="00F55AD0">
      <w:pPr>
        <w:rPr>
          <w:rFonts w:ascii="Arial" w:hAnsi="Arial" w:cstheme="minorBidi"/>
          <w:szCs w:val="30"/>
          <w:lang w:val="en-GB" w:bidi="bn-BD"/>
        </w:rPr>
      </w:pPr>
      <w:r w:rsidRPr="000716AB">
        <w:rPr>
          <w:rFonts w:ascii="Arial" w:hAnsi="Arial" w:cs="Arial"/>
          <w:lang w:val="en-GB"/>
        </w:rPr>
        <w:t>The value chain of IKEA is coordinated globally, product design is primarily done in Sweden, sourcing is done via the IKEA global procurement offices, production is made in several countries through a combination of owned production units and external suppliers, distribution is coordinated through regional logistics networks and retail is done by either corporate entities or franchisees (Caballini and Benzi, 2023, p.2</w:t>
      </w:r>
      <w:r w:rsidR="009B43B2" w:rsidRPr="000716AB">
        <w:rPr>
          <w:rFonts w:ascii="Arial" w:hAnsi="Arial" w:cs="Arial"/>
          <w:lang w:val="en-GB"/>
        </w:rPr>
        <w:t>; Sampath and Harshitha, 2023</w:t>
      </w:r>
      <w:r w:rsidR="00DF6540" w:rsidRPr="000716AB">
        <w:rPr>
          <w:rFonts w:ascii="Arial" w:hAnsi="Arial" w:cs="Arial"/>
          <w:lang w:val="en-GB"/>
        </w:rPr>
        <w:t>, p.85</w:t>
      </w:r>
      <w:r w:rsidRPr="000716AB">
        <w:rPr>
          <w:rFonts w:ascii="Arial" w:hAnsi="Arial" w:cs="Arial"/>
          <w:lang w:val="en-GB"/>
        </w:rPr>
        <w:t xml:space="preserve">). This setup adds value by leveraging on economies of scale, efficient logistics, </w:t>
      </w:r>
      <w:r w:rsidR="00F75087" w:rsidRPr="000716AB">
        <w:rPr>
          <w:rFonts w:ascii="Arial" w:hAnsi="Arial" w:cs="Arial"/>
          <w:lang w:val="en-GB"/>
        </w:rPr>
        <w:t>and consistent</w:t>
      </w:r>
      <w:r w:rsidRPr="000716AB">
        <w:rPr>
          <w:rFonts w:ascii="Arial" w:hAnsi="Arial" w:cs="Arial"/>
          <w:lang w:val="en-GB"/>
        </w:rPr>
        <w:t xml:space="preserve"> Customer experience with selective local adaptations. In Algeria, </w:t>
      </w:r>
      <w:r w:rsidRPr="000716AB">
        <w:rPr>
          <w:rFonts w:ascii="Arial" w:hAnsi="Arial" w:cs="Arial"/>
          <w:lang w:val="en-GB"/>
        </w:rPr>
        <w:lastRenderedPageBreak/>
        <w:t>however, these benefits will rely on the logistics infrastructure, regulatory efficiency and the reliability of the supply chain (Arrouche and Boukhedimi, 2024, p.117).</w:t>
      </w:r>
    </w:p>
    <w:p w14:paraId="4489F94E" w14:textId="77777777" w:rsidR="00BE7F8C" w:rsidRPr="00BE7F8C" w:rsidRDefault="00BE7F8C" w:rsidP="00F55AD0">
      <w:pPr>
        <w:rPr>
          <w:rFonts w:ascii="Arial" w:hAnsi="Arial" w:cstheme="minorBidi"/>
          <w:szCs w:val="30"/>
          <w:lang w:val="en-GB" w:bidi="bn-BD"/>
        </w:rPr>
      </w:pPr>
    </w:p>
    <w:p w14:paraId="7E62C137" w14:textId="77777777" w:rsidR="004260A9" w:rsidRPr="000716AB" w:rsidRDefault="0083161F" w:rsidP="00F55AD0">
      <w:pPr>
        <w:pStyle w:val="Heading1"/>
        <w:numPr>
          <w:ilvl w:val="0"/>
          <w:numId w:val="3"/>
        </w:numPr>
        <w:rPr>
          <w:rFonts w:ascii="Arial" w:hAnsi="Arial" w:cs="Arial"/>
          <w:lang w:val="en-GB"/>
        </w:rPr>
      </w:pPr>
      <w:bookmarkStart w:id="11" w:name="_jb1s7nwot9n1" w:colFirst="0" w:colLast="0"/>
      <w:bookmarkStart w:id="12" w:name="_Toc236753760"/>
      <w:bookmarkEnd w:id="11"/>
      <w:r w:rsidRPr="000716AB">
        <w:rPr>
          <w:rFonts w:ascii="Arial" w:hAnsi="Arial" w:cs="Arial"/>
          <w:lang w:val="en-GB"/>
        </w:rPr>
        <w:t>MACRO-ENVIRONMENTAL APPRAISAL AND MARKET ATTRACTIVENESS</w:t>
      </w:r>
      <w:bookmarkEnd w:id="12"/>
    </w:p>
    <w:p w14:paraId="2D9B4E72" w14:textId="77777777" w:rsidR="004260A9" w:rsidRPr="000716AB" w:rsidRDefault="0083161F" w:rsidP="00F55AD0">
      <w:pPr>
        <w:pStyle w:val="Heading2"/>
        <w:rPr>
          <w:rFonts w:ascii="Arial" w:hAnsi="Arial" w:cs="Arial"/>
          <w:lang w:val="en-GB"/>
        </w:rPr>
      </w:pPr>
      <w:bookmarkStart w:id="13" w:name="_p5anhgebecpd" w:colFirst="0" w:colLast="0"/>
      <w:bookmarkStart w:id="14" w:name="_Toc236753761"/>
      <w:bookmarkEnd w:id="13"/>
      <w:r w:rsidRPr="000716AB">
        <w:rPr>
          <w:rFonts w:ascii="Arial" w:hAnsi="Arial" w:cs="Arial"/>
          <w:lang w:val="en-GB"/>
        </w:rPr>
        <w:t>2.1 Political Environment</w:t>
      </w:r>
      <w:bookmarkEnd w:id="14"/>
    </w:p>
    <w:p w14:paraId="3A1D41CF" w14:textId="1D2DAED6" w:rsidR="004260A9" w:rsidRPr="000716AB" w:rsidRDefault="0083161F" w:rsidP="00F55AD0">
      <w:pPr>
        <w:rPr>
          <w:rFonts w:ascii="Arial" w:hAnsi="Arial" w:cs="Arial"/>
          <w:lang w:val="en-GB"/>
        </w:rPr>
      </w:pPr>
      <w:r w:rsidRPr="000716AB">
        <w:rPr>
          <w:rFonts w:ascii="Arial" w:hAnsi="Arial" w:cs="Arial"/>
          <w:lang w:val="en-GB"/>
        </w:rPr>
        <w:t xml:space="preserve">Political continuity is a key element for the success of investment, but Algeria's political context is an optimistic one with caution. The Algerian government has aimed to make the investment climate more </w:t>
      </w:r>
      <w:r w:rsidR="008967D8" w:rsidRPr="000716AB">
        <w:rPr>
          <w:rFonts w:ascii="Arial" w:hAnsi="Arial" w:cs="Arial"/>
          <w:lang w:val="en-GB"/>
        </w:rPr>
        <w:t>favourable</w:t>
      </w:r>
      <w:r w:rsidRPr="000716AB">
        <w:rPr>
          <w:rFonts w:ascii="Arial" w:hAnsi="Arial" w:cs="Arial"/>
          <w:lang w:val="en-GB"/>
        </w:rPr>
        <w:t xml:space="preserve"> since the adoption of the 2022 Investment Law, which has facilitated administrative procedures, enhanced legal protections for investors and abolished the previous 51:49 foreign ownership ratio for the majority of non-strategic sectors (World Bank, 2025). </w:t>
      </w:r>
      <w:r w:rsidR="00F75087" w:rsidRPr="000716AB">
        <w:rPr>
          <w:rFonts w:ascii="Arial" w:hAnsi="Arial" w:cs="Arial"/>
          <w:lang w:val="en-GB"/>
        </w:rPr>
        <w:t>Ownership restrictions remain in certain industries, which has an impact on IKEA's managerial control, investment costs and choice of entry mode, but the reforms provide greater strategic flexibility.</w:t>
      </w:r>
    </w:p>
    <w:p w14:paraId="0F72663D" w14:textId="3BB8D162" w:rsidR="004260A9" w:rsidRPr="000716AB" w:rsidRDefault="00BE7F8C" w:rsidP="00F55AD0">
      <w:pPr>
        <w:rPr>
          <w:rFonts w:ascii="Arial" w:hAnsi="Arial" w:cs="Arial"/>
          <w:lang w:val="en-GB"/>
        </w:rPr>
      </w:pPr>
      <w:r w:rsidRPr="000716AB">
        <w:rPr>
          <w:rFonts w:ascii="Arial" w:hAnsi="Arial" w:cs="Arial"/>
          <w:lang w:val="en-GB"/>
        </w:rPr>
        <w:t>But</w:t>
      </w:r>
      <w:r w:rsidR="0083161F" w:rsidRPr="000716AB">
        <w:rPr>
          <w:rFonts w:ascii="Arial" w:hAnsi="Arial" w:cs="Arial"/>
          <w:lang w:val="en-GB"/>
        </w:rPr>
        <w:t xml:space="preserve"> legislative changes have not been enough to remove operational obstacles. Efficient planning approvals and secure customs processes as well as integrated supply chain coordination are the backbone of IKEA's business model. </w:t>
      </w:r>
      <w:r w:rsidR="00F75087" w:rsidRPr="000716AB">
        <w:rPr>
          <w:rFonts w:ascii="Arial" w:hAnsi="Arial" w:cs="Arial"/>
          <w:lang w:val="en-GB"/>
        </w:rPr>
        <w:t>The long-term investment environment is enhanced by banking and monetary law reforms and Algeria's presence in the AfCFTA, while bureaucratic delays drive up operating costs and regulatory uncertainty and implementation risk for retailers from abroad (World Bank, 2025).</w:t>
      </w:r>
    </w:p>
    <w:p w14:paraId="3A1EC87C" w14:textId="4A01AC4F" w:rsidR="004260A9" w:rsidRPr="000716AB" w:rsidRDefault="0083161F" w:rsidP="00F55AD0">
      <w:pPr>
        <w:rPr>
          <w:rFonts w:ascii="Arial" w:hAnsi="Arial" w:cs="Arial"/>
          <w:lang w:val="en-GB"/>
        </w:rPr>
      </w:pPr>
      <w:r w:rsidRPr="000716AB">
        <w:rPr>
          <w:rFonts w:ascii="Arial" w:hAnsi="Arial" w:cs="Arial"/>
          <w:lang w:val="en-GB"/>
        </w:rPr>
        <w:t xml:space="preserve">Political risk is also very much tied to the economic structure of Algeria. Despite having more political stability than some of its North African neighbours, government spending and policy orientations are still largely dependent on hydrocarbon revenues, with a share of 83% of total national exports in the period 2019–2023 (World Bank, 2025). </w:t>
      </w:r>
    </w:p>
    <w:p w14:paraId="4C703F13" w14:textId="0930ABEC" w:rsidR="008B6EB6" w:rsidRDefault="0083161F" w:rsidP="00F55AD0">
      <w:pPr>
        <w:rPr>
          <w:rFonts w:ascii="Arial" w:hAnsi="Arial" w:cstheme="minorBidi"/>
          <w:szCs w:val="30"/>
          <w:lang w:val="en-GB" w:bidi="bn-BD"/>
        </w:rPr>
      </w:pPr>
      <w:r w:rsidRPr="000716AB">
        <w:rPr>
          <w:rFonts w:ascii="Arial" w:hAnsi="Arial" w:cs="Arial"/>
          <w:lang w:val="en-GB"/>
        </w:rPr>
        <w:t>However, Algeria's growing focus on diversification of its economy is a strategic opportunity for IKEA. Government policy has shifted to focus on manufacturing, private investment and non-hydrocarbon growth to generate jobs and attract multinational enterprises (World Bank, 2025). IKEA's view on this policy direction is more important than the short-term political state of affairs (electoral and commodity cycle</w:t>
      </w:r>
      <w:r w:rsidR="00FD71F1" w:rsidRPr="000716AB">
        <w:rPr>
          <w:rFonts w:ascii="Arial" w:hAnsi="Arial" w:cs="Arial"/>
          <w:lang w:val="en-GB"/>
        </w:rPr>
        <w:t xml:space="preserve">s are over </w:t>
      </w:r>
      <w:r w:rsidR="00FD71F1" w:rsidRPr="000716AB">
        <w:rPr>
          <w:rFonts w:ascii="Arial" w:hAnsi="Arial" w:cs="Arial"/>
          <w:lang w:val="en-GB"/>
        </w:rPr>
        <w:lastRenderedPageBreak/>
        <w:t xml:space="preserve">decades, not years). </w:t>
      </w:r>
      <w:r w:rsidR="00E972AE" w:rsidRPr="000716AB">
        <w:rPr>
          <w:rFonts w:ascii="Arial" w:hAnsi="Arial" w:cs="Arial"/>
          <w:lang w:val="en-GB"/>
        </w:rPr>
        <w:t>Thus, whilst the regulatory architecture is improving, administrative complexity is continuing to raise the compliance costs and operational risk, which has resulted in a "cautious" approach to a sizeable market entry.</w:t>
      </w:r>
    </w:p>
    <w:p w14:paraId="5BB3D4B0" w14:textId="77777777" w:rsidR="008B6EB6" w:rsidRPr="008B6EB6" w:rsidRDefault="008B6EB6" w:rsidP="00F55AD0">
      <w:pPr>
        <w:rPr>
          <w:rFonts w:ascii="Arial" w:hAnsi="Arial" w:cstheme="minorBidi"/>
          <w:szCs w:val="30"/>
          <w:lang w:val="en-GB" w:bidi="bn-BD"/>
        </w:rPr>
      </w:pPr>
    </w:p>
    <w:p w14:paraId="3364D847" w14:textId="77777777" w:rsidR="004260A9" w:rsidRPr="000716AB" w:rsidRDefault="0083161F" w:rsidP="00F55AD0">
      <w:pPr>
        <w:pStyle w:val="Heading2"/>
        <w:rPr>
          <w:rFonts w:ascii="Arial" w:hAnsi="Arial" w:cs="Arial"/>
          <w:lang w:val="en-GB"/>
        </w:rPr>
      </w:pPr>
      <w:bookmarkStart w:id="15" w:name="_4klktg3e3nbc" w:colFirst="0" w:colLast="0"/>
      <w:bookmarkStart w:id="16" w:name="_Toc236753762"/>
      <w:bookmarkEnd w:id="15"/>
      <w:r w:rsidRPr="000716AB">
        <w:rPr>
          <w:rFonts w:ascii="Arial" w:hAnsi="Arial" w:cs="Arial"/>
          <w:lang w:val="en-GB"/>
        </w:rPr>
        <w:t>2.2 Economic Environment</w:t>
      </w:r>
      <w:bookmarkEnd w:id="16"/>
    </w:p>
    <w:p w14:paraId="3EC9DF9A" w14:textId="77777777" w:rsidR="004260A9" w:rsidRPr="000716AB" w:rsidRDefault="0083161F" w:rsidP="00F55AD0">
      <w:pPr>
        <w:rPr>
          <w:rFonts w:ascii="Arial" w:hAnsi="Arial" w:cs="Arial"/>
          <w:lang w:val="en-GB"/>
        </w:rPr>
      </w:pPr>
      <w:r w:rsidRPr="000716AB">
        <w:rPr>
          <w:rFonts w:ascii="Arial" w:hAnsi="Arial" w:cs="Arial"/>
          <w:lang w:val="en-GB"/>
        </w:rPr>
        <w:t>In Algeria, the macroeconomic situation is improving, which may make it more attractive for international retail investments, but market attractiveness is more dependent on the ability of household purchasing power to support IKEA's volume driven business model (Mohammed, 2023, p.78). In 2024, real GDP grew 3.7% and non-hydrocarbon GDP grew 4.8%, suggesting that economic activity is diversifying away from the energy sector (World Bank, 2025). This change is significant from a strategic perspective as IKEA's continued success is based on increasing consumer demand, not commodity economic cycles.</w:t>
      </w:r>
    </w:p>
    <w:p w14:paraId="3D92AF79" w14:textId="77777777" w:rsidR="004260A9" w:rsidRPr="000716AB" w:rsidRDefault="0083161F" w:rsidP="00F55AD0">
      <w:pPr>
        <w:rPr>
          <w:rFonts w:ascii="Arial" w:hAnsi="Arial" w:cs="Arial"/>
          <w:lang w:val="en-GB"/>
        </w:rPr>
      </w:pPr>
      <w:r w:rsidRPr="000716AB">
        <w:rPr>
          <w:rFonts w:ascii="Arial" w:hAnsi="Arial" w:cs="Arial"/>
          <w:lang w:val="en-GB"/>
        </w:rPr>
        <w:t>In 2024, inflation slowed down to 4.0%, with a positive impact on the stability of prices and uncertainty for inventory planning and long-term pricing (World Bank, 2025). However, enhancing macroeconomic stability has not yet led to an increase in the purchasing power of households. In 2024, Algeria's GDP per capita was around US$5,753, with 11.7% of its population unemployed, which restricts disposable income for a large share of the population (World Bank, 2025). Thus, IKEA's value proposition of low prices will appeal to the middle class, but sales of higher-end categories are likely to be limited in the early days of market entry.</w:t>
      </w:r>
    </w:p>
    <w:p w14:paraId="4074F7A8" w14:textId="4AE8F1C5" w:rsidR="004260A9" w:rsidRPr="000716AB" w:rsidRDefault="000716AB" w:rsidP="00F55AD0">
      <w:pPr>
        <w:rPr>
          <w:rFonts w:ascii="Arial" w:hAnsi="Arial" w:cs="Arial"/>
          <w:lang w:val="en-GB"/>
        </w:rPr>
      </w:pPr>
      <w:r w:rsidRPr="000716AB">
        <w:rPr>
          <w:rFonts w:ascii="Arial" w:hAnsi="Arial" w:cs="Arial"/>
          <w:lang w:val="en-GB"/>
        </w:rPr>
        <w:t>Algeria's population was over 47 million by 2025, offering a significant consumer market (World Bank, 2025). According to Statista (2025), the furniture market size in Algeria is estimated at the level of about US$1.2 billion, and is projected to grow by 3.8% CAGR (2025-2030). Despite this, the affordability of customers is still limited due to the GDP per capita at US$5,753 and unemployment rate at 11.7% (World Bank, 2025). The organised furniture retail sector is still underdeveloped with very few international competitors, providing a chance for IKEA to build an early competitive position in this market with its low price and large format retailing.</w:t>
      </w:r>
    </w:p>
    <w:p w14:paraId="624DBA4D" w14:textId="77777777" w:rsidR="004260A9" w:rsidRPr="000716AB" w:rsidRDefault="0083161F" w:rsidP="00F55AD0">
      <w:pPr>
        <w:pStyle w:val="Heading2"/>
        <w:rPr>
          <w:rFonts w:ascii="Arial" w:hAnsi="Arial" w:cs="Arial"/>
          <w:lang w:val="en-GB"/>
        </w:rPr>
      </w:pPr>
      <w:bookmarkStart w:id="17" w:name="_2vt7xkwjdu0y" w:colFirst="0" w:colLast="0"/>
      <w:bookmarkStart w:id="18" w:name="_Toc236753763"/>
      <w:bookmarkEnd w:id="17"/>
      <w:r w:rsidRPr="000716AB">
        <w:rPr>
          <w:rFonts w:ascii="Arial" w:hAnsi="Arial" w:cs="Arial"/>
          <w:lang w:val="en-GB"/>
        </w:rPr>
        <w:lastRenderedPageBreak/>
        <w:t>2.3 Legal Environment</w:t>
      </w:r>
      <w:bookmarkEnd w:id="18"/>
      <w:r w:rsidRPr="000716AB">
        <w:rPr>
          <w:rFonts w:ascii="Arial" w:hAnsi="Arial" w:cs="Arial"/>
          <w:lang w:val="en-GB"/>
        </w:rPr>
        <w:t xml:space="preserve"> </w:t>
      </w:r>
    </w:p>
    <w:p w14:paraId="5AF106BF" w14:textId="48AF7A36" w:rsidR="004260A9" w:rsidRPr="000716AB" w:rsidRDefault="0083161F" w:rsidP="00F55AD0">
      <w:pPr>
        <w:rPr>
          <w:rFonts w:ascii="Arial" w:hAnsi="Arial" w:cs="Arial"/>
          <w:lang w:val="en-GB"/>
        </w:rPr>
      </w:pPr>
      <w:r w:rsidRPr="000716AB">
        <w:rPr>
          <w:rFonts w:ascii="Arial" w:hAnsi="Arial" w:cs="Arial"/>
          <w:lang w:val="en-GB"/>
        </w:rPr>
        <w:t xml:space="preserve">The regulatory environment has been becoming more </w:t>
      </w:r>
      <w:r w:rsidR="008B6EB6" w:rsidRPr="000716AB">
        <w:rPr>
          <w:rFonts w:ascii="Arial" w:hAnsi="Arial" w:cs="Arial"/>
          <w:lang w:val="en-GB"/>
        </w:rPr>
        <w:t>favourable</w:t>
      </w:r>
      <w:r w:rsidRPr="000716AB">
        <w:rPr>
          <w:rFonts w:ascii="Arial" w:hAnsi="Arial" w:cs="Arial"/>
          <w:lang w:val="en-GB"/>
        </w:rPr>
        <w:t xml:space="preserve"> for foreign investment, but the effectiveness of the regulations is crucial to market attractiveness, more important than the regulations themselves. The cornerstone of the current investment regime is Law No. 22-18 of 24 July 2022 on Investment that has ensured equality of treatment between domestic and foreign investors, provided investment incentives and abolished the previous rule of 51:49 in most of non-strategic sectors (UNCTAD, 2022). </w:t>
      </w:r>
      <w:r w:rsidR="0059411F" w:rsidRPr="000716AB">
        <w:rPr>
          <w:rFonts w:ascii="Arial" w:hAnsi="Arial" w:cs="Arial"/>
          <w:lang w:val="en-GB"/>
        </w:rPr>
        <w:t>The reform aims to make foreign investors more strategic, but import-for-resale activities are still restricted in terms of ownership, and IKEA's retailing entry strategy would still have to adhere to such requirements.</w:t>
      </w:r>
    </w:p>
    <w:p w14:paraId="3D32B20C" w14:textId="058EAF2D" w:rsidR="00C134E5" w:rsidRPr="000716AB" w:rsidRDefault="00CD3A45" w:rsidP="00F55AD0">
      <w:pPr>
        <w:rPr>
          <w:rFonts w:ascii="Arial" w:hAnsi="Arial" w:cs="Arial"/>
          <w:lang w:val="en-GB"/>
        </w:rPr>
      </w:pPr>
      <w:r w:rsidRPr="000716AB">
        <w:rPr>
          <w:rFonts w:ascii="Arial" w:hAnsi="Arial" w:cs="Arial"/>
          <w:lang w:val="en-GB"/>
        </w:rPr>
        <w:t xml:space="preserve">Customs procedures and foreign exchange controls and import licensing requirements can also affect cross-border retail operations, </w:t>
      </w:r>
      <w:r w:rsidR="008B6EB6" w:rsidRPr="000716AB">
        <w:rPr>
          <w:rFonts w:ascii="Arial" w:hAnsi="Arial" w:cs="Arial"/>
          <w:lang w:val="en-GB"/>
        </w:rPr>
        <w:t>extend</w:t>
      </w:r>
      <w:r w:rsidRPr="000716AB">
        <w:rPr>
          <w:rFonts w:ascii="Arial" w:hAnsi="Arial" w:cs="Arial"/>
          <w:lang w:val="en-GB"/>
        </w:rPr>
        <w:t xml:space="preserve"> lead times and/or </w:t>
      </w:r>
      <w:r w:rsidR="008B6EB6" w:rsidRPr="000716AB">
        <w:rPr>
          <w:rFonts w:ascii="Arial" w:hAnsi="Arial" w:cs="Arial"/>
          <w:lang w:val="en-GB"/>
        </w:rPr>
        <w:t>raise</w:t>
      </w:r>
      <w:r w:rsidRPr="000716AB">
        <w:rPr>
          <w:rFonts w:ascii="Arial" w:hAnsi="Arial" w:cs="Arial"/>
          <w:lang w:val="en-GB"/>
        </w:rPr>
        <w:t xml:space="preserve"> operating costs for imported furniture. Foreign investors are also subject to product safety, warranty and consumer protection and e-commerce laws and product requirements and commercial property and profit repatriation must meet Algerian law requirements. These legal considerations underscore the importance of meticulous market entry planning and understanding the local regulatory landscape (World Bank, 2025; PwC, 2025).</w:t>
      </w:r>
    </w:p>
    <w:p w14:paraId="6B9CA101" w14:textId="6F9F8BE5" w:rsidR="004260A9" w:rsidRPr="000716AB" w:rsidRDefault="0083161F" w:rsidP="00F55AD0">
      <w:pPr>
        <w:rPr>
          <w:rFonts w:ascii="Arial" w:hAnsi="Arial" w:cs="Arial"/>
          <w:lang w:val="en-GB"/>
        </w:rPr>
      </w:pPr>
      <w:r w:rsidRPr="000716AB">
        <w:rPr>
          <w:rFonts w:ascii="Arial" w:hAnsi="Arial" w:cs="Arial"/>
          <w:lang w:val="en-GB"/>
        </w:rPr>
        <w:t xml:space="preserve">Even with these developments, regulatory compliance is still fairly complicated. The vital legislation regulating employment relations include Law No. 90-11 on Labour Relations which covers employment contracts, working hours, employee protection and collective labour rights (International Labour Organization, 2025). </w:t>
      </w:r>
      <w:r w:rsidR="00F613A6" w:rsidRPr="000716AB">
        <w:rPr>
          <w:rFonts w:ascii="Arial" w:hAnsi="Arial" w:cs="Arial"/>
          <w:lang w:val="en-GB"/>
        </w:rPr>
        <w:t>This implies that IKEA would have to review its Human Resource policies to align with Algerian labour laws, which would raise compliance costs, help to ensure legal compliance, and enhance workforce stability (International Labour Organization, 2025).</w:t>
      </w:r>
    </w:p>
    <w:p w14:paraId="20BB5691" w14:textId="115FC5EB" w:rsidR="004260A9" w:rsidRPr="000716AB" w:rsidRDefault="0083161F" w:rsidP="00F55AD0">
      <w:pPr>
        <w:rPr>
          <w:rFonts w:ascii="Arial" w:hAnsi="Arial" w:cs="Arial"/>
          <w:lang w:val="en-GB"/>
        </w:rPr>
      </w:pPr>
      <w:r w:rsidRPr="000716AB">
        <w:rPr>
          <w:rFonts w:ascii="Arial" w:hAnsi="Arial" w:cs="Arial"/>
          <w:lang w:val="en-GB"/>
        </w:rPr>
        <w:t xml:space="preserve">Another crucial factor to consider is consumer confidence. Product safety and consumer information and quality standards are included in the obligations of the Consumer Protection and Repression of Fraud Law No. 09-03 (Algerian Ministry of Commerce, 2025). </w:t>
      </w:r>
      <w:r w:rsidR="000716AB" w:rsidRPr="000716AB">
        <w:rPr>
          <w:rFonts w:ascii="Arial" w:hAnsi="Arial" w:cs="Arial"/>
          <w:lang w:val="en-GB"/>
        </w:rPr>
        <w:br/>
        <w:t xml:space="preserve">Algeria is a member state of the World Intellectual Property Organisation (WIPO) and a </w:t>
      </w:r>
      <w:r w:rsidR="000716AB" w:rsidRPr="000716AB">
        <w:rPr>
          <w:rFonts w:ascii="Arial" w:hAnsi="Arial" w:cs="Arial"/>
          <w:lang w:val="en-GB"/>
        </w:rPr>
        <w:lastRenderedPageBreak/>
        <w:t xml:space="preserve">contracting party of the Berne Convention and Paris Convention which are responsible for the protection of trademarks, industrial designs and copyright works (WIPO, 2025). </w:t>
      </w:r>
      <w:r w:rsidR="00F613A6" w:rsidRPr="000716AB">
        <w:rPr>
          <w:rFonts w:ascii="Arial" w:hAnsi="Arial" w:cs="Arial"/>
          <w:lang w:val="en-GB"/>
        </w:rPr>
        <w:t xml:space="preserve"> To ensure fair competition and to prevent anti-competitive practices, competition is regulated by Competition Ordinance No. 03-03 and its amendment by Law No. 08-12. This is especially crucial for IKEA, as product design and brand identity are essential competitive advantages </w:t>
      </w:r>
      <w:r w:rsidR="000C5155" w:rsidRPr="000716AB">
        <w:rPr>
          <w:rFonts w:ascii="Arial" w:hAnsi="Arial" w:cs="Arial"/>
          <w:lang w:val="en-GB"/>
        </w:rPr>
        <w:t>(WIPO, 2025)</w:t>
      </w:r>
      <w:r w:rsidR="00F613A6" w:rsidRPr="000716AB">
        <w:rPr>
          <w:rFonts w:ascii="Arial" w:hAnsi="Arial" w:cs="Arial"/>
          <w:lang w:val="en-GB"/>
        </w:rPr>
        <w:t>.</w:t>
      </w:r>
    </w:p>
    <w:p w14:paraId="4DF4AED9" w14:textId="77777777" w:rsidR="004260A9" w:rsidRDefault="0083161F" w:rsidP="00F55AD0">
      <w:pPr>
        <w:rPr>
          <w:rFonts w:ascii="Arial" w:hAnsi="Arial" w:cstheme="minorBidi"/>
          <w:szCs w:val="30"/>
          <w:lang w:val="en-GB" w:bidi="bn-BD"/>
        </w:rPr>
      </w:pPr>
      <w:r w:rsidRPr="000716AB">
        <w:rPr>
          <w:rFonts w:ascii="Arial" w:hAnsi="Arial" w:cs="Arial"/>
          <w:lang w:val="en-GB"/>
        </w:rPr>
        <w:t xml:space="preserve">However, it is still difficult for operations to be taxed. The corporate income tax rates in Algeria vary by business activity, and there is a general rate of Value Added Tax (VAT) of 19%, making financial planning crucial (PwC, 2025). Overall, Algeria's legal environment has become much more investment-friendly, but administrative complexity and implementation of laws and regulations continue to be the principal legal concerns (Chergui, 2026, p.2). Therefore, IKEA needs to go with an entry strategy that will allow it to stay within the law, whilst at the same time keeping sufficient flexibility in its operations to accommodate future regulatory changes. </w:t>
      </w:r>
    </w:p>
    <w:p w14:paraId="17937778" w14:textId="77777777" w:rsidR="008B6EB6" w:rsidRPr="008B6EB6" w:rsidRDefault="008B6EB6" w:rsidP="00F55AD0">
      <w:pPr>
        <w:rPr>
          <w:rFonts w:ascii="Arial" w:hAnsi="Arial" w:cstheme="minorBidi"/>
          <w:szCs w:val="30"/>
          <w:lang w:val="en-GB" w:bidi="bn-BD"/>
        </w:rPr>
      </w:pPr>
    </w:p>
    <w:p w14:paraId="3EE4A12F" w14:textId="77777777" w:rsidR="004260A9" w:rsidRPr="000716AB" w:rsidRDefault="0083161F" w:rsidP="00F55AD0">
      <w:pPr>
        <w:pStyle w:val="Heading2"/>
        <w:rPr>
          <w:rFonts w:ascii="Arial" w:hAnsi="Arial" w:cs="Arial"/>
          <w:lang w:val="en-GB"/>
        </w:rPr>
      </w:pPr>
      <w:bookmarkStart w:id="19" w:name="_i1ve8hmd467u" w:colFirst="0" w:colLast="0"/>
      <w:bookmarkStart w:id="20" w:name="_Toc236753764"/>
      <w:bookmarkEnd w:id="19"/>
      <w:r w:rsidRPr="000716AB">
        <w:rPr>
          <w:rFonts w:ascii="Arial" w:eastAsia="Gungsuh" w:hAnsi="Arial" w:cs="Arial"/>
          <w:lang w:val="en-GB"/>
        </w:rPr>
        <w:t>2.4 Cultural Environment</w:t>
      </w:r>
      <w:bookmarkEnd w:id="20"/>
    </w:p>
    <w:p w14:paraId="6408668F" w14:textId="77777777" w:rsidR="004260A9" w:rsidRPr="000716AB" w:rsidRDefault="0083161F" w:rsidP="00F55AD0">
      <w:pPr>
        <w:jc w:val="center"/>
        <w:rPr>
          <w:rFonts w:ascii="Arial" w:hAnsi="Arial" w:cs="Arial"/>
          <w:lang w:val="en-GB"/>
        </w:rPr>
      </w:pPr>
      <w:r w:rsidRPr="000716AB">
        <w:rPr>
          <w:rFonts w:ascii="Arial" w:hAnsi="Arial" w:cs="Arial"/>
          <w:noProof/>
          <w:lang w:val="en-GB"/>
        </w:rPr>
        <w:drawing>
          <wp:inline distT="114300" distB="114300" distL="114300" distR="114300" wp14:anchorId="21622CB6" wp14:editId="4A81D383">
            <wp:extent cx="5943600" cy="2351409"/>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10"/>
                    <a:srcRect t="23806"/>
                    <a:stretch/>
                  </pic:blipFill>
                  <pic:spPr bwMode="auto">
                    <a:xfrm>
                      <a:off x="0" y="0"/>
                      <a:ext cx="5943600" cy="2351409"/>
                    </a:xfrm>
                    <a:prstGeom prst="rect">
                      <a:avLst/>
                    </a:prstGeom>
                    <a:ln>
                      <a:noFill/>
                    </a:ln>
                    <a:extLst>
                      <a:ext uri="{53640926-AAD7-44D8-BBD7-CCE9431645EC}">
                        <a14:shadowObscured xmlns:a14="http://schemas.microsoft.com/office/drawing/2010/main"/>
                      </a:ext>
                    </a:extLst>
                  </pic:spPr>
                </pic:pic>
              </a:graphicData>
            </a:graphic>
          </wp:inline>
        </w:drawing>
      </w:r>
    </w:p>
    <w:p w14:paraId="315357AA" w14:textId="21BD651A" w:rsidR="004260A9" w:rsidRPr="000716AB" w:rsidRDefault="0083161F" w:rsidP="00F55AD0">
      <w:pPr>
        <w:jc w:val="center"/>
        <w:rPr>
          <w:rFonts w:ascii="Arial" w:hAnsi="Arial" w:cs="Arial"/>
          <w:b/>
          <w:bCs/>
          <w:lang w:val="en-GB"/>
        </w:rPr>
      </w:pPr>
      <w:r w:rsidRPr="000716AB">
        <w:rPr>
          <w:rFonts w:ascii="Arial" w:hAnsi="Arial" w:cs="Arial"/>
          <w:b/>
          <w:bCs/>
          <w:lang w:val="en-GB"/>
        </w:rPr>
        <w:t xml:space="preserve">Figure </w:t>
      </w:r>
      <w:r w:rsidR="000938C7" w:rsidRPr="000716AB">
        <w:rPr>
          <w:rFonts w:ascii="Arial" w:hAnsi="Arial" w:cs="Arial"/>
          <w:b/>
          <w:bCs/>
          <w:lang w:val="en-GB"/>
        </w:rPr>
        <w:t>2</w:t>
      </w:r>
      <w:r w:rsidRPr="000716AB">
        <w:rPr>
          <w:rFonts w:ascii="Arial" w:hAnsi="Arial" w:cs="Arial"/>
          <w:b/>
          <w:bCs/>
          <w:lang w:val="en-GB"/>
        </w:rPr>
        <w:t>: Comparison of Hofstede Cultural Dimensions: Sweden and Algeria</w:t>
      </w:r>
    </w:p>
    <w:p w14:paraId="6556D4D2" w14:textId="7833E5C7" w:rsidR="004260A9" w:rsidRPr="000716AB" w:rsidRDefault="0083161F" w:rsidP="00F55AD0">
      <w:pPr>
        <w:jc w:val="center"/>
        <w:rPr>
          <w:rFonts w:ascii="Arial" w:hAnsi="Arial" w:cs="Arial"/>
          <w:lang w:val="en-GB"/>
        </w:rPr>
      </w:pPr>
      <w:r w:rsidRPr="000716AB">
        <w:rPr>
          <w:rFonts w:ascii="Arial" w:hAnsi="Arial" w:cs="Arial"/>
          <w:lang w:val="en-GB"/>
        </w:rPr>
        <w:t xml:space="preserve">(Source: </w:t>
      </w:r>
      <w:r w:rsidR="00081BAA" w:rsidRPr="000716AB">
        <w:rPr>
          <w:rFonts w:ascii="Arial" w:hAnsi="Arial" w:cs="Arial"/>
          <w:lang w:val="en-GB"/>
        </w:rPr>
        <w:t>The Culture Factor</w:t>
      </w:r>
      <w:r w:rsidRPr="000716AB">
        <w:rPr>
          <w:rFonts w:ascii="Arial" w:hAnsi="Arial" w:cs="Arial"/>
          <w:lang w:val="en-GB"/>
        </w:rPr>
        <w:t>, n.d.)</w:t>
      </w:r>
    </w:p>
    <w:p w14:paraId="4F2F61BE" w14:textId="16F50767" w:rsidR="004260A9" w:rsidRPr="000716AB" w:rsidRDefault="0083161F" w:rsidP="00F55AD0">
      <w:pPr>
        <w:rPr>
          <w:rFonts w:ascii="Arial" w:hAnsi="Arial" w:cs="Arial"/>
          <w:lang w:val="en-GB"/>
        </w:rPr>
      </w:pPr>
      <w:r w:rsidRPr="000716AB">
        <w:rPr>
          <w:rFonts w:ascii="Arial" w:hAnsi="Arial" w:cs="Arial"/>
          <w:lang w:val="en-GB"/>
        </w:rPr>
        <w:lastRenderedPageBreak/>
        <w:t xml:space="preserve">As can be seen in Figure </w:t>
      </w:r>
      <w:r w:rsidR="000938C7" w:rsidRPr="000716AB">
        <w:rPr>
          <w:rFonts w:ascii="Arial" w:hAnsi="Arial" w:cs="Arial"/>
          <w:lang w:val="en-GB"/>
        </w:rPr>
        <w:t>2</w:t>
      </w:r>
      <w:r w:rsidRPr="000716AB">
        <w:rPr>
          <w:rFonts w:ascii="Arial" w:hAnsi="Arial" w:cs="Arial"/>
          <w:lang w:val="en-GB"/>
        </w:rPr>
        <w:t>, there are significant cultural differences between IKEA's home country of Sweden and Algeria with regard to Hofstede's cultural dimensions. These differences indicate that without adaptation, IKEA's standardised Scandinavian retail model would have a higher risk of resistance from the market even though the company has international experience.</w:t>
      </w:r>
    </w:p>
    <w:p w14:paraId="67C58D9D" w14:textId="12C835D0" w:rsidR="004260A9" w:rsidRPr="000716AB" w:rsidRDefault="0083161F" w:rsidP="00F55AD0">
      <w:pPr>
        <w:rPr>
          <w:rFonts w:ascii="Arial" w:hAnsi="Arial" w:cs="Arial"/>
          <w:lang w:val="en-GB"/>
        </w:rPr>
      </w:pPr>
      <w:r w:rsidRPr="000716AB">
        <w:rPr>
          <w:rFonts w:ascii="Arial" w:hAnsi="Arial" w:cs="Arial"/>
          <w:lang w:val="en-GB"/>
        </w:rPr>
        <w:t>Algeria has a Power Distance score of 80, whereas Sweden's score is 31 (</w:t>
      </w:r>
      <w:r w:rsidR="00081BAA" w:rsidRPr="000716AB">
        <w:rPr>
          <w:rFonts w:ascii="Arial" w:hAnsi="Arial" w:cs="Arial"/>
          <w:lang w:val="en-GB"/>
        </w:rPr>
        <w:t>The Culture Factor</w:t>
      </w:r>
      <w:r w:rsidRPr="000716AB">
        <w:rPr>
          <w:rFonts w:ascii="Arial" w:hAnsi="Arial" w:cs="Arial"/>
          <w:lang w:val="en-GB"/>
        </w:rPr>
        <w:t>, n.d.). This suggests that there is more acceptance of hierarchical relationships and centralised authority in organisations. Therefore, it would be necessary to increase the managerial structure, reporting relationships and leadership practices that are more directive in nature to meet the expectations of employees, as IKEA's management style is traditionally decentralised and informal.</w:t>
      </w:r>
    </w:p>
    <w:p w14:paraId="20D6A6D7" w14:textId="7E8251E5" w:rsidR="004260A9" w:rsidRPr="000716AB" w:rsidRDefault="0083161F" w:rsidP="00F55AD0">
      <w:pPr>
        <w:rPr>
          <w:rFonts w:ascii="Arial" w:hAnsi="Arial" w:cs="Arial"/>
          <w:lang w:val="en-GB"/>
        </w:rPr>
      </w:pPr>
      <w:r w:rsidRPr="000716AB">
        <w:rPr>
          <w:rFonts w:ascii="Arial" w:hAnsi="Arial" w:cs="Arial"/>
          <w:lang w:val="en-GB"/>
        </w:rPr>
        <w:t>The biggest cultural differences lie in Individualism with Algeria's score of 29 and Sweden's score of 87 (</w:t>
      </w:r>
      <w:r w:rsidR="00081BAA" w:rsidRPr="000716AB">
        <w:rPr>
          <w:rFonts w:ascii="Arial" w:hAnsi="Arial" w:cs="Arial"/>
          <w:lang w:val="en-GB"/>
        </w:rPr>
        <w:t>The Culture Factor</w:t>
      </w:r>
      <w:r w:rsidRPr="000716AB">
        <w:rPr>
          <w:rFonts w:ascii="Arial" w:hAnsi="Arial" w:cs="Arial"/>
          <w:lang w:val="en-GB"/>
        </w:rPr>
        <w:t>, n.d.). Thus, buying preferences may be more likely to align with family needs than with individual preferences. This difference impacts IKEA's marketing, product design and showroom configurations. Promotional campaigns should focus on family living, communal areas within the home and value to the family over the long term, rather than lifestyle expression.</w:t>
      </w:r>
    </w:p>
    <w:p w14:paraId="0F16F5C4" w14:textId="5920146C" w:rsidR="000B29BE" w:rsidRPr="000716AB" w:rsidRDefault="001D6EEB" w:rsidP="00F55AD0">
      <w:pPr>
        <w:rPr>
          <w:rFonts w:ascii="Arial" w:hAnsi="Arial" w:cs="Arial"/>
          <w:lang w:val="en-GB"/>
        </w:rPr>
      </w:pPr>
      <w:r w:rsidRPr="000716AB">
        <w:rPr>
          <w:rFonts w:ascii="Arial" w:hAnsi="Arial" w:cs="Arial"/>
          <w:lang w:val="en-GB"/>
        </w:rPr>
        <w:t xml:space="preserve">Hofstede's framework is a valuable one for comparing national cultures, but do not assume that everyone in a </w:t>
      </w:r>
      <w:r w:rsidR="008D4EEE" w:rsidRPr="000716AB">
        <w:rPr>
          <w:rFonts w:ascii="Arial" w:hAnsi="Arial" w:cs="Arial"/>
          <w:lang w:val="en-GB"/>
        </w:rPr>
        <w:t>country act</w:t>
      </w:r>
      <w:r w:rsidRPr="000716AB">
        <w:rPr>
          <w:rFonts w:ascii="Arial" w:hAnsi="Arial" w:cs="Arial"/>
          <w:lang w:val="en-GB"/>
        </w:rPr>
        <w:t xml:space="preserve"> according to the average for the country</w:t>
      </w:r>
      <w:r w:rsidR="008D4EEE" w:rsidRPr="000716AB">
        <w:rPr>
          <w:rFonts w:ascii="Arial" w:hAnsi="Arial" w:cs="Arial"/>
          <w:lang w:val="en-GB"/>
        </w:rPr>
        <w:t xml:space="preserve"> (Bartosik-Purgat </w:t>
      </w:r>
      <w:r w:rsidR="008D4EEE" w:rsidRPr="000716AB">
        <w:rPr>
          <w:rFonts w:ascii="Arial" w:hAnsi="Arial" w:cs="Arial"/>
          <w:i/>
          <w:iCs/>
          <w:lang w:val="en-GB"/>
        </w:rPr>
        <w:t xml:space="preserve">et al., </w:t>
      </w:r>
      <w:r w:rsidR="008D4EEE" w:rsidRPr="000716AB">
        <w:rPr>
          <w:rFonts w:ascii="Arial" w:hAnsi="Arial" w:cs="Arial"/>
          <w:lang w:val="en-GB"/>
        </w:rPr>
        <w:t>2026</w:t>
      </w:r>
      <w:r w:rsidR="003B54BE" w:rsidRPr="000716AB">
        <w:rPr>
          <w:rFonts w:ascii="Arial" w:hAnsi="Arial" w:cs="Arial"/>
          <w:lang w:val="en-GB"/>
        </w:rPr>
        <w:t>, p.155</w:t>
      </w:r>
      <w:r w:rsidR="008D4EEE" w:rsidRPr="000716AB">
        <w:rPr>
          <w:rFonts w:ascii="Arial" w:hAnsi="Arial" w:cs="Arial"/>
          <w:lang w:val="en-GB"/>
        </w:rPr>
        <w:t>)</w:t>
      </w:r>
      <w:r w:rsidRPr="000716AB">
        <w:rPr>
          <w:rFonts w:ascii="Arial" w:hAnsi="Arial" w:cs="Arial"/>
          <w:lang w:val="en-GB"/>
        </w:rPr>
        <w:t>. Because of the individual differences and the regional diversity and organisational culture, behaviour of managers and consumers should not be determined on the basis of the scores of cultural dimensions alone and should be verified by the local market research.</w:t>
      </w:r>
    </w:p>
    <w:p w14:paraId="65CB41AC" w14:textId="77777777" w:rsidR="004260A9" w:rsidRPr="000716AB" w:rsidRDefault="0083161F" w:rsidP="00F55AD0">
      <w:pPr>
        <w:rPr>
          <w:rFonts w:ascii="Arial" w:hAnsi="Arial" w:cs="Arial"/>
          <w:lang w:val="en-GB"/>
        </w:rPr>
      </w:pPr>
      <w:r w:rsidRPr="000716AB">
        <w:rPr>
          <w:rFonts w:ascii="Arial" w:hAnsi="Arial" w:cs="Arial"/>
          <w:lang w:val="en-GB"/>
        </w:rPr>
        <w:t xml:space="preserve">Selective localisation is further emphasised by religious and social values. Islam affects the way people live, their seasonal demand patterns and their consumer expectations on food services and promotional activities. Therefore, the restaurant menus, Ramadan opening hours and special products should be adjusted to the local culture, but not to the core of IKEA's standard retail concept. IKEA has successfully adapted to multiple markets </w:t>
      </w:r>
      <w:r w:rsidRPr="000716AB">
        <w:rPr>
          <w:rFonts w:ascii="Arial" w:hAnsi="Arial" w:cs="Arial"/>
          <w:lang w:val="en-GB"/>
        </w:rPr>
        <w:lastRenderedPageBreak/>
        <w:t>in the Middle East, showcasing how cultural sensitivity can enhance customer acceptance without compromising operational uniformity (IKEA, 2025).</w:t>
      </w:r>
    </w:p>
    <w:p w14:paraId="41A34CD5" w14:textId="2F5DB231" w:rsidR="004260A9" w:rsidRPr="000716AB" w:rsidRDefault="000716AB" w:rsidP="00F55AD0">
      <w:pPr>
        <w:rPr>
          <w:rFonts w:ascii="Arial" w:hAnsi="Arial" w:cs="Arial"/>
          <w:lang w:val="en-GB"/>
        </w:rPr>
      </w:pPr>
      <w:r w:rsidRPr="000716AB">
        <w:rPr>
          <w:rFonts w:ascii="Arial" w:hAnsi="Arial" w:cs="Arial"/>
          <w:lang w:val="en-GB"/>
        </w:rPr>
        <w:t>When considering foreign brands,</w:t>
      </w:r>
      <w:r w:rsidR="008B6EB6">
        <w:rPr>
          <w:rFonts w:ascii="Arial" w:hAnsi="Arial" w:cstheme="minorBidi" w:hint="cs"/>
          <w:szCs w:val="30"/>
          <w:cs/>
          <w:lang w:val="en-GB" w:bidi="bn-BD"/>
        </w:rPr>
        <w:t xml:space="preserve"> </w:t>
      </w:r>
      <w:r w:rsidRPr="000716AB">
        <w:rPr>
          <w:rFonts w:ascii="Arial" w:hAnsi="Arial" w:cs="Arial"/>
          <w:lang w:val="en-GB"/>
        </w:rPr>
        <w:t>Seguer</w:t>
      </w:r>
      <w:r w:rsidR="008B6EB6">
        <w:rPr>
          <w:rFonts w:ascii="Arial" w:hAnsi="Arial" w:cstheme="minorBidi" w:hint="cs"/>
          <w:szCs w:val="30"/>
          <w:cs/>
          <w:lang w:val="en-GB" w:bidi="bn-BD"/>
        </w:rPr>
        <w:t xml:space="preserve"> </w:t>
      </w:r>
      <w:r w:rsidRPr="000716AB">
        <w:rPr>
          <w:rFonts w:ascii="Arial" w:hAnsi="Arial" w:cs="Arial"/>
          <w:lang w:val="en-GB"/>
        </w:rPr>
        <w:t>(2024, p.146) mentions that Algerian consumers are concerned with quality, price and value. This is a good sign that IKEA's cost-effectiveness may have an impact on consumers, but there is still a need for more market proof when it comes to furniture</w:t>
      </w:r>
      <w:r w:rsidR="0083161F" w:rsidRPr="000716AB">
        <w:rPr>
          <w:rFonts w:ascii="Arial" w:hAnsi="Arial" w:cs="Arial"/>
          <w:lang w:val="en-GB"/>
        </w:rPr>
        <w:t>. Since the buying of household furniture is a high involvement decision and the choice is likely to involve more than one family member, showroom design should encourage the family to make a decision together, with larger showroom furniture and practical home solutions. Meanwhile, urbanisation and the rise of the middle class are creating opportunities for IKEA's low-cost offering to younger generations looking for modern and functional furniture (Statista, 2025).</w:t>
      </w:r>
    </w:p>
    <w:p w14:paraId="30C7700E" w14:textId="77777777" w:rsidR="004260A9" w:rsidRDefault="0083161F" w:rsidP="00F55AD0">
      <w:pPr>
        <w:rPr>
          <w:rFonts w:ascii="Arial" w:hAnsi="Arial" w:cstheme="minorBidi"/>
          <w:szCs w:val="30"/>
          <w:lang w:val="en-GB" w:bidi="bn-BD"/>
        </w:rPr>
      </w:pPr>
      <w:r w:rsidRPr="000716AB">
        <w:rPr>
          <w:rFonts w:ascii="Arial" w:hAnsi="Arial" w:cs="Arial"/>
          <w:lang w:val="en-GB"/>
        </w:rPr>
        <w:t>However, there is no need for extensive localisation, given these cultural differences. The competitive advantage of IKEA is the consistency of the products, supply chain and brand identity worldwide. Hence, the company should have a high level of global standardisation but adapt some of its customer-facing activities such as marketing communication, food services, product assortment and in-store experience locally, depending on the local cultural expectations. Such a balanced approach is in line with the transnational strategy mentioned above and will probably optimize operational efficiency and market acceptance.</w:t>
      </w:r>
    </w:p>
    <w:p w14:paraId="1B7CB719" w14:textId="77777777" w:rsidR="008B6EB6" w:rsidRPr="008B6EB6" w:rsidRDefault="008B6EB6" w:rsidP="00F55AD0">
      <w:pPr>
        <w:rPr>
          <w:rFonts w:ascii="Arial" w:hAnsi="Arial" w:cstheme="minorBidi"/>
          <w:szCs w:val="30"/>
          <w:lang w:val="en-GB" w:bidi="bn-BD"/>
        </w:rPr>
      </w:pPr>
    </w:p>
    <w:p w14:paraId="6E229968" w14:textId="77777777" w:rsidR="004260A9" w:rsidRPr="000716AB" w:rsidRDefault="0083161F" w:rsidP="00F55AD0">
      <w:pPr>
        <w:pStyle w:val="Heading2"/>
        <w:rPr>
          <w:rFonts w:ascii="Arial" w:hAnsi="Arial" w:cs="Arial"/>
          <w:lang w:val="en-GB"/>
        </w:rPr>
      </w:pPr>
      <w:bookmarkStart w:id="21" w:name="_yfl92hybolkx" w:colFirst="0" w:colLast="0"/>
      <w:bookmarkStart w:id="22" w:name="_Toc236753765"/>
      <w:bookmarkEnd w:id="21"/>
      <w:r w:rsidRPr="000716AB">
        <w:rPr>
          <w:rFonts w:ascii="Arial" w:hAnsi="Arial" w:cs="Arial"/>
          <w:lang w:val="en-GB"/>
        </w:rPr>
        <w:t>2.5 Market Entry Analysis using Dunning's Eclectic (OLI) Paradigm</w:t>
      </w:r>
      <w:bookmarkEnd w:id="22"/>
    </w:p>
    <w:p w14:paraId="40642032" w14:textId="2A7F72CB" w:rsidR="004260A9" w:rsidRDefault="00811459" w:rsidP="00F55AD0">
      <w:pPr>
        <w:rPr>
          <w:rFonts w:ascii="Arial" w:hAnsi="Arial" w:cstheme="minorBidi"/>
          <w:szCs w:val="30"/>
          <w:lang w:val="en-GB" w:bidi="bn-BD"/>
        </w:rPr>
      </w:pPr>
      <w:r w:rsidRPr="000716AB">
        <w:rPr>
          <w:rFonts w:ascii="Arial" w:hAnsi="Arial" w:cs="Arial"/>
          <w:lang w:val="en-GB"/>
        </w:rPr>
        <w:t xml:space="preserve">Firms will be more likely to invest abroad if they have Ownership (O), Location (L) and Internalisation (I) advantages, according to Dunning (1988, p.6). Based on the OLI framework, it is possible to assess whether Algeria offers conditions which justify IKEA's international expansion. </w:t>
      </w:r>
      <w:r w:rsidR="0083161F" w:rsidRPr="000716AB">
        <w:rPr>
          <w:rFonts w:ascii="Arial" w:hAnsi="Arial" w:cs="Arial"/>
          <w:lang w:val="en-GB"/>
        </w:rPr>
        <w:t xml:space="preserve">The OLI framework does not just focus on the macro-environmental qualities of Algeria, but it is about whether IKEA's firm specific resources will enable it to achieve sustainable competitive advantage in the Algerian market. From the above political, economic, legal and cultural analysis it is concluded that Algeria is a potential emerging market but market entry should only be considered if the proprietary </w:t>
      </w:r>
      <w:r w:rsidR="0083161F" w:rsidRPr="000716AB">
        <w:rPr>
          <w:rFonts w:ascii="Arial" w:hAnsi="Arial" w:cs="Arial"/>
          <w:lang w:val="en-GB"/>
        </w:rPr>
        <w:lastRenderedPageBreak/>
        <w:t>assets of IKEA are more significant than the institutional risks of Algeria's business environment.</w:t>
      </w:r>
    </w:p>
    <w:p w14:paraId="1413C158" w14:textId="77777777" w:rsidR="008B6EB6" w:rsidRPr="008B6EB6" w:rsidRDefault="008B6EB6" w:rsidP="00F55AD0">
      <w:pPr>
        <w:rPr>
          <w:rFonts w:ascii="Arial" w:hAnsi="Arial" w:cstheme="minorBidi"/>
          <w:szCs w:val="30"/>
          <w:lang w:val="en-GB" w:bidi="bn-BD"/>
        </w:rPr>
      </w:pPr>
    </w:p>
    <w:p w14:paraId="5C33E9EA" w14:textId="77777777" w:rsidR="004260A9" w:rsidRPr="000716AB" w:rsidRDefault="0083161F" w:rsidP="00F55AD0">
      <w:pPr>
        <w:jc w:val="center"/>
        <w:rPr>
          <w:rFonts w:ascii="Arial" w:hAnsi="Arial" w:cs="Arial"/>
          <w:b/>
          <w:bCs/>
          <w:lang w:val="en-GB"/>
        </w:rPr>
      </w:pPr>
      <w:r w:rsidRPr="000716AB">
        <w:rPr>
          <w:rFonts w:ascii="Arial" w:hAnsi="Arial" w:cs="Arial"/>
          <w:b/>
          <w:bCs/>
          <w:lang w:val="en-GB"/>
        </w:rPr>
        <w:t>Table 1: Dunning's OLI Paradigm to IKEA's Proposed Expansion into Algeria</w:t>
      </w:r>
    </w:p>
    <w:p w14:paraId="4EA1A859" w14:textId="354A5456" w:rsidR="004260A9" w:rsidRPr="000716AB" w:rsidRDefault="0083161F" w:rsidP="00F55AD0">
      <w:pPr>
        <w:jc w:val="center"/>
        <w:rPr>
          <w:rFonts w:ascii="Arial" w:hAnsi="Arial" w:cs="Arial"/>
          <w:lang w:val="en-GB"/>
        </w:rPr>
      </w:pPr>
      <w:r w:rsidRPr="000716AB">
        <w:rPr>
          <w:rFonts w:ascii="Arial" w:hAnsi="Arial" w:cs="Arial"/>
          <w:lang w:val="en-GB"/>
        </w:rPr>
        <w:t xml:space="preserve">(Source: </w:t>
      </w:r>
      <w:r w:rsidR="0025469F" w:rsidRPr="000716AB">
        <w:rPr>
          <w:rFonts w:ascii="Arial" w:hAnsi="Arial" w:cs="Arial"/>
          <w:lang w:val="en-GB"/>
        </w:rPr>
        <w:t>Inter IKEA Group, 2025; UNCTAD, 2022; World Bank, 2025</w:t>
      </w:r>
      <w:r w:rsidRPr="000716AB">
        <w:rPr>
          <w:rFonts w:ascii="Arial" w:hAnsi="Arial" w:cs="Arial"/>
          <w:lang w:val="en-GB"/>
        </w:rPr>
        <w:t>)</w:t>
      </w:r>
    </w:p>
    <w:tbl>
      <w:tblPr>
        <w:tblStyle w:val="a"/>
        <w:tblW w:w="889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10"/>
        <w:gridCol w:w="4095"/>
        <w:gridCol w:w="2790"/>
      </w:tblGrid>
      <w:tr w:rsidR="000716AB" w:rsidRPr="000716AB" w14:paraId="0A2E2786" w14:textId="77777777" w:rsidTr="00302FC5">
        <w:trPr>
          <w:trHeight w:val="285"/>
          <w:jc w:val="center"/>
        </w:trPr>
        <w:tc>
          <w:tcPr>
            <w:tcW w:w="2010" w:type="dxa"/>
            <w:tcBorders>
              <w:top w:val="nil"/>
              <w:left w:val="nil"/>
              <w:bottom w:val="single" w:sz="6" w:space="0" w:color="7F7F7F"/>
              <w:right w:val="nil"/>
            </w:tcBorders>
            <w:shd w:val="clear" w:color="auto" w:fill="FFFFFF"/>
            <w:tcMar>
              <w:top w:w="0" w:type="dxa"/>
              <w:left w:w="100" w:type="dxa"/>
              <w:bottom w:w="0" w:type="dxa"/>
              <w:right w:w="100" w:type="dxa"/>
            </w:tcMar>
          </w:tcPr>
          <w:p w14:paraId="2AC43F37" w14:textId="77777777" w:rsidR="004260A9" w:rsidRPr="000716AB" w:rsidRDefault="0083161F" w:rsidP="00F55AD0">
            <w:pPr>
              <w:spacing w:before="0" w:after="0"/>
              <w:jc w:val="center"/>
              <w:rPr>
                <w:rFonts w:ascii="Arial" w:hAnsi="Arial" w:cs="Arial"/>
                <w:b/>
                <w:bCs/>
                <w:i/>
                <w:iCs/>
                <w:lang w:val="en-GB"/>
              </w:rPr>
            </w:pPr>
            <w:r w:rsidRPr="000716AB">
              <w:rPr>
                <w:rFonts w:ascii="Arial" w:hAnsi="Arial" w:cs="Arial"/>
                <w:b/>
                <w:bCs/>
                <w:i/>
                <w:iCs/>
                <w:lang w:val="en-GB"/>
              </w:rPr>
              <w:t>OLI Component</w:t>
            </w:r>
          </w:p>
        </w:tc>
        <w:tc>
          <w:tcPr>
            <w:tcW w:w="4095" w:type="dxa"/>
            <w:tcBorders>
              <w:top w:val="nil"/>
              <w:left w:val="nil"/>
              <w:bottom w:val="single" w:sz="6" w:space="0" w:color="7F7F7F"/>
              <w:right w:val="nil"/>
            </w:tcBorders>
            <w:shd w:val="clear" w:color="auto" w:fill="FFFFFF"/>
            <w:tcMar>
              <w:top w:w="0" w:type="dxa"/>
              <w:left w:w="100" w:type="dxa"/>
              <w:bottom w:w="0" w:type="dxa"/>
              <w:right w:w="100" w:type="dxa"/>
            </w:tcMar>
          </w:tcPr>
          <w:p w14:paraId="45B9F580" w14:textId="77777777" w:rsidR="004260A9" w:rsidRPr="000716AB" w:rsidRDefault="0083161F" w:rsidP="00F55AD0">
            <w:pPr>
              <w:spacing w:before="0" w:after="0"/>
              <w:jc w:val="center"/>
              <w:rPr>
                <w:rFonts w:ascii="Arial" w:hAnsi="Arial" w:cs="Arial"/>
                <w:b/>
                <w:bCs/>
                <w:i/>
                <w:iCs/>
                <w:lang w:val="en-GB"/>
              </w:rPr>
            </w:pPr>
            <w:r w:rsidRPr="000716AB">
              <w:rPr>
                <w:rFonts w:ascii="Arial" w:hAnsi="Arial" w:cs="Arial"/>
                <w:b/>
                <w:bCs/>
                <w:i/>
                <w:iCs/>
                <w:lang w:val="en-GB"/>
              </w:rPr>
              <w:t>Key Evidence</w:t>
            </w:r>
          </w:p>
        </w:tc>
        <w:tc>
          <w:tcPr>
            <w:tcW w:w="2790" w:type="dxa"/>
            <w:tcBorders>
              <w:top w:val="nil"/>
              <w:left w:val="nil"/>
              <w:bottom w:val="single" w:sz="6" w:space="0" w:color="7F7F7F"/>
              <w:right w:val="nil"/>
            </w:tcBorders>
            <w:shd w:val="clear" w:color="auto" w:fill="FFFFFF"/>
            <w:tcMar>
              <w:top w:w="0" w:type="dxa"/>
              <w:left w:w="100" w:type="dxa"/>
              <w:bottom w:w="0" w:type="dxa"/>
              <w:right w:w="100" w:type="dxa"/>
            </w:tcMar>
          </w:tcPr>
          <w:p w14:paraId="0A0C0526" w14:textId="77777777" w:rsidR="004260A9" w:rsidRPr="000716AB" w:rsidRDefault="0083161F" w:rsidP="00F55AD0">
            <w:pPr>
              <w:spacing w:before="0" w:after="0"/>
              <w:jc w:val="center"/>
              <w:rPr>
                <w:rFonts w:ascii="Arial" w:hAnsi="Arial" w:cs="Arial"/>
                <w:b/>
                <w:bCs/>
                <w:i/>
                <w:iCs/>
                <w:lang w:val="en-GB"/>
              </w:rPr>
            </w:pPr>
            <w:r w:rsidRPr="000716AB">
              <w:rPr>
                <w:rFonts w:ascii="Arial" w:hAnsi="Arial" w:cs="Arial"/>
                <w:b/>
                <w:bCs/>
                <w:i/>
                <w:iCs/>
                <w:lang w:val="en-GB"/>
              </w:rPr>
              <w:t>Strategic Implication</w:t>
            </w:r>
          </w:p>
        </w:tc>
      </w:tr>
      <w:tr w:rsidR="000716AB" w:rsidRPr="000716AB" w14:paraId="1B1FDBDD" w14:textId="77777777" w:rsidTr="00302FC5">
        <w:trPr>
          <w:trHeight w:val="825"/>
          <w:jc w:val="center"/>
        </w:trPr>
        <w:tc>
          <w:tcPr>
            <w:tcW w:w="2010" w:type="dxa"/>
            <w:tcBorders>
              <w:top w:val="nil"/>
              <w:left w:val="nil"/>
              <w:bottom w:val="nil"/>
              <w:right w:val="single" w:sz="6" w:space="0" w:color="7F7F7F"/>
            </w:tcBorders>
            <w:shd w:val="clear" w:color="auto" w:fill="FFFFFF"/>
            <w:tcMar>
              <w:top w:w="0" w:type="dxa"/>
              <w:left w:w="100" w:type="dxa"/>
              <w:bottom w:w="0" w:type="dxa"/>
              <w:right w:w="100" w:type="dxa"/>
            </w:tcMar>
          </w:tcPr>
          <w:p w14:paraId="27AEF34F" w14:textId="77777777" w:rsidR="004260A9" w:rsidRPr="000716AB" w:rsidRDefault="0083161F" w:rsidP="00F55AD0">
            <w:pPr>
              <w:spacing w:before="0" w:after="0"/>
              <w:jc w:val="right"/>
              <w:rPr>
                <w:rFonts w:ascii="Arial" w:hAnsi="Arial" w:cs="Arial"/>
                <w:b/>
                <w:bCs/>
                <w:i/>
                <w:iCs/>
                <w:lang w:val="en-GB"/>
              </w:rPr>
            </w:pPr>
            <w:r w:rsidRPr="000716AB">
              <w:rPr>
                <w:rFonts w:ascii="Arial" w:hAnsi="Arial" w:cs="Arial"/>
                <w:b/>
                <w:bCs/>
                <w:i/>
                <w:iCs/>
                <w:lang w:val="en-GB"/>
              </w:rPr>
              <w:t>Ownership Advantages</w:t>
            </w:r>
          </w:p>
        </w:tc>
        <w:tc>
          <w:tcPr>
            <w:tcW w:w="4095" w:type="dxa"/>
            <w:tcBorders>
              <w:top w:val="nil"/>
              <w:left w:val="nil"/>
              <w:bottom w:val="nil"/>
              <w:right w:val="nil"/>
            </w:tcBorders>
            <w:shd w:val="clear" w:color="auto" w:fill="F2F2F2"/>
            <w:tcMar>
              <w:top w:w="0" w:type="dxa"/>
              <w:left w:w="100" w:type="dxa"/>
              <w:bottom w:w="0" w:type="dxa"/>
              <w:right w:w="100" w:type="dxa"/>
            </w:tcMar>
          </w:tcPr>
          <w:p w14:paraId="7DB8D6F1" w14:textId="5D16AAF1" w:rsidR="004260A9" w:rsidRPr="000716AB" w:rsidRDefault="00090D36" w:rsidP="00F55AD0">
            <w:pPr>
              <w:spacing w:before="0" w:after="0"/>
              <w:rPr>
                <w:rFonts w:ascii="Arial" w:hAnsi="Arial" w:cs="Arial"/>
                <w:lang w:val="en-GB"/>
              </w:rPr>
            </w:pPr>
            <w:r w:rsidRPr="000716AB">
              <w:rPr>
                <w:rFonts w:ascii="Arial" w:hAnsi="Arial" w:cs="Arial"/>
                <w:lang w:val="en-GB"/>
              </w:rPr>
              <w:t>The company has strong global brand, an integrated supply chain, design capabilities, innovation and economies of scale (Inter IKEA Group, 2025; IKEA, 2025).</w:t>
            </w:r>
          </w:p>
        </w:tc>
        <w:tc>
          <w:tcPr>
            <w:tcW w:w="2790" w:type="dxa"/>
            <w:tcBorders>
              <w:top w:val="nil"/>
              <w:left w:val="nil"/>
              <w:bottom w:val="nil"/>
              <w:right w:val="nil"/>
            </w:tcBorders>
            <w:shd w:val="clear" w:color="auto" w:fill="F2F2F2"/>
            <w:tcMar>
              <w:top w:w="0" w:type="dxa"/>
              <w:left w:w="100" w:type="dxa"/>
              <w:bottom w:w="0" w:type="dxa"/>
              <w:right w:w="100" w:type="dxa"/>
            </w:tcMar>
          </w:tcPr>
          <w:p w14:paraId="371AD310" w14:textId="77777777" w:rsidR="004260A9" w:rsidRPr="000716AB" w:rsidRDefault="0083161F" w:rsidP="00F55AD0">
            <w:pPr>
              <w:spacing w:before="0" w:after="0"/>
              <w:rPr>
                <w:rFonts w:ascii="Arial" w:hAnsi="Arial" w:cs="Arial"/>
                <w:lang w:val="en-GB"/>
              </w:rPr>
            </w:pPr>
            <w:r w:rsidRPr="000716AB">
              <w:rPr>
                <w:rFonts w:ascii="Arial" w:hAnsi="Arial" w:cs="Arial"/>
                <w:lang w:val="en-GB"/>
              </w:rPr>
              <w:t>Provides competitive advantage difficult for local retailers to replicate</w:t>
            </w:r>
          </w:p>
        </w:tc>
      </w:tr>
      <w:tr w:rsidR="000716AB" w:rsidRPr="000716AB" w14:paraId="3113A8E8" w14:textId="77777777" w:rsidTr="00302FC5">
        <w:trPr>
          <w:trHeight w:val="1080"/>
          <w:jc w:val="center"/>
        </w:trPr>
        <w:tc>
          <w:tcPr>
            <w:tcW w:w="2010" w:type="dxa"/>
            <w:tcBorders>
              <w:top w:val="nil"/>
              <w:left w:val="nil"/>
              <w:bottom w:val="nil"/>
              <w:right w:val="single" w:sz="6" w:space="0" w:color="7F7F7F"/>
            </w:tcBorders>
            <w:shd w:val="clear" w:color="auto" w:fill="FFFFFF"/>
            <w:tcMar>
              <w:top w:w="0" w:type="dxa"/>
              <w:left w:w="100" w:type="dxa"/>
              <w:bottom w:w="0" w:type="dxa"/>
              <w:right w:w="100" w:type="dxa"/>
            </w:tcMar>
          </w:tcPr>
          <w:p w14:paraId="304278F7" w14:textId="77777777" w:rsidR="004260A9" w:rsidRPr="000716AB" w:rsidRDefault="0083161F" w:rsidP="00F55AD0">
            <w:pPr>
              <w:spacing w:before="0" w:after="0"/>
              <w:jc w:val="right"/>
              <w:rPr>
                <w:rFonts w:ascii="Arial" w:hAnsi="Arial" w:cs="Arial"/>
                <w:b/>
                <w:bCs/>
                <w:i/>
                <w:iCs/>
                <w:lang w:val="en-GB"/>
              </w:rPr>
            </w:pPr>
            <w:r w:rsidRPr="000716AB">
              <w:rPr>
                <w:rFonts w:ascii="Arial" w:hAnsi="Arial" w:cs="Arial"/>
                <w:b/>
                <w:bCs/>
                <w:i/>
                <w:iCs/>
                <w:lang w:val="en-GB"/>
              </w:rPr>
              <w:t>Location Advantages</w:t>
            </w:r>
          </w:p>
        </w:tc>
        <w:tc>
          <w:tcPr>
            <w:tcW w:w="4095" w:type="dxa"/>
            <w:tcBorders>
              <w:top w:val="nil"/>
              <w:left w:val="nil"/>
              <w:bottom w:val="nil"/>
              <w:right w:val="nil"/>
            </w:tcBorders>
            <w:tcMar>
              <w:top w:w="0" w:type="dxa"/>
              <w:left w:w="100" w:type="dxa"/>
              <w:bottom w:w="0" w:type="dxa"/>
              <w:right w:w="100" w:type="dxa"/>
            </w:tcMar>
          </w:tcPr>
          <w:p w14:paraId="012760BE" w14:textId="74F8A924" w:rsidR="004260A9" w:rsidRPr="000716AB" w:rsidRDefault="00E374C0" w:rsidP="00F55AD0">
            <w:pPr>
              <w:spacing w:before="0" w:after="0"/>
              <w:rPr>
                <w:rFonts w:ascii="Arial" w:hAnsi="Arial" w:cs="Arial"/>
                <w:lang w:val="en-GB"/>
              </w:rPr>
            </w:pPr>
            <w:r w:rsidRPr="000716AB">
              <w:rPr>
                <w:rFonts w:ascii="Arial" w:hAnsi="Arial" w:cs="Arial"/>
                <w:lang w:val="en-GB"/>
              </w:rPr>
              <w:t>Large population, improving investment climate, strategic North African location, expanding non-hydrocarbon economy (World Bank, 2025; UNCTAD, 2022).</w:t>
            </w:r>
          </w:p>
        </w:tc>
        <w:tc>
          <w:tcPr>
            <w:tcW w:w="2790" w:type="dxa"/>
            <w:tcBorders>
              <w:top w:val="nil"/>
              <w:left w:val="nil"/>
              <w:bottom w:val="nil"/>
              <w:right w:val="nil"/>
            </w:tcBorders>
            <w:tcMar>
              <w:top w:w="0" w:type="dxa"/>
              <w:left w:w="100" w:type="dxa"/>
              <w:bottom w:w="0" w:type="dxa"/>
              <w:right w:w="100" w:type="dxa"/>
            </w:tcMar>
          </w:tcPr>
          <w:p w14:paraId="5EB717A9" w14:textId="77777777" w:rsidR="004260A9" w:rsidRPr="000716AB" w:rsidRDefault="0083161F" w:rsidP="00F55AD0">
            <w:pPr>
              <w:spacing w:before="0" w:after="0"/>
              <w:rPr>
                <w:rFonts w:ascii="Arial" w:hAnsi="Arial" w:cs="Arial"/>
                <w:lang w:val="en-GB"/>
              </w:rPr>
            </w:pPr>
            <w:r w:rsidRPr="000716AB">
              <w:rPr>
                <w:rFonts w:ascii="Arial" w:hAnsi="Arial" w:cs="Arial"/>
                <w:lang w:val="en-GB"/>
              </w:rPr>
              <w:t>Creates long-term market potential despite institutional risks</w:t>
            </w:r>
          </w:p>
        </w:tc>
      </w:tr>
      <w:tr w:rsidR="000716AB" w:rsidRPr="000716AB" w14:paraId="152167AA" w14:textId="77777777" w:rsidTr="00302FC5">
        <w:trPr>
          <w:trHeight w:val="810"/>
          <w:jc w:val="center"/>
        </w:trPr>
        <w:tc>
          <w:tcPr>
            <w:tcW w:w="2010" w:type="dxa"/>
            <w:tcBorders>
              <w:top w:val="nil"/>
              <w:left w:val="nil"/>
              <w:bottom w:val="nil"/>
              <w:right w:val="single" w:sz="6" w:space="0" w:color="7F7F7F"/>
            </w:tcBorders>
            <w:shd w:val="clear" w:color="auto" w:fill="FFFFFF"/>
            <w:tcMar>
              <w:top w:w="0" w:type="dxa"/>
              <w:left w:w="100" w:type="dxa"/>
              <w:bottom w:w="0" w:type="dxa"/>
              <w:right w:w="100" w:type="dxa"/>
            </w:tcMar>
          </w:tcPr>
          <w:p w14:paraId="5A438A8C" w14:textId="77777777" w:rsidR="004260A9" w:rsidRPr="000716AB" w:rsidRDefault="0083161F" w:rsidP="00F55AD0">
            <w:pPr>
              <w:spacing w:before="0" w:after="0"/>
              <w:jc w:val="right"/>
              <w:rPr>
                <w:rFonts w:ascii="Arial" w:hAnsi="Arial" w:cs="Arial"/>
                <w:b/>
                <w:bCs/>
                <w:i/>
                <w:iCs/>
                <w:lang w:val="en-GB"/>
              </w:rPr>
            </w:pPr>
            <w:r w:rsidRPr="000716AB">
              <w:rPr>
                <w:rFonts w:ascii="Arial" w:hAnsi="Arial" w:cs="Arial"/>
                <w:b/>
                <w:bCs/>
                <w:i/>
                <w:iCs/>
                <w:lang w:val="en-GB"/>
              </w:rPr>
              <w:t>Internalisation Advantages</w:t>
            </w:r>
          </w:p>
        </w:tc>
        <w:tc>
          <w:tcPr>
            <w:tcW w:w="4095" w:type="dxa"/>
            <w:tcBorders>
              <w:top w:val="nil"/>
              <w:left w:val="nil"/>
              <w:bottom w:val="nil"/>
              <w:right w:val="nil"/>
            </w:tcBorders>
            <w:shd w:val="clear" w:color="auto" w:fill="F2F2F2"/>
            <w:tcMar>
              <w:top w:w="0" w:type="dxa"/>
              <w:left w:w="100" w:type="dxa"/>
              <w:bottom w:w="0" w:type="dxa"/>
              <w:right w:w="100" w:type="dxa"/>
            </w:tcMar>
          </w:tcPr>
          <w:p w14:paraId="6C26F486" w14:textId="77777777" w:rsidR="004260A9" w:rsidRPr="000716AB" w:rsidRDefault="0083161F" w:rsidP="00F55AD0">
            <w:pPr>
              <w:spacing w:before="0" w:after="0"/>
              <w:rPr>
                <w:rFonts w:ascii="Arial" w:hAnsi="Arial" w:cs="Arial"/>
                <w:lang w:val="en-GB"/>
              </w:rPr>
            </w:pPr>
            <w:r w:rsidRPr="000716AB">
              <w:rPr>
                <w:rFonts w:ascii="Arial" w:hAnsi="Arial" w:cs="Arial"/>
                <w:lang w:val="en-GB"/>
              </w:rPr>
              <w:t>Greater quality control, protection of intellectual property, integrated logistics and customer experience</w:t>
            </w:r>
          </w:p>
        </w:tc>
        <w:tc>
          <w:tcPr>
            <w:tcW w:w="2790" w:type="dxa"/>
            <w:tcBorders>
              <w:top w:val="nil"/>
              <w:left w:val="nil"/>
              <w:bottom w:val="nil"/>
              <w:right w:val="nil"/>
            </w:tcBorders>
            <w:shd w:val="clear" w:color="auto" w:fill="F2F2F2"/>
            <w:tcMar>
              <w:top w:w="0" w:type="dxa"/>
              <w:left w:w="100" w:type="dxa"/>
              <w:bottom w:w="0" w:type="dxa"/>
              <w:right w:w="100" w:type="dxa"/>
            </w:tcMar>
          </w:tcPr>
          <w:p w14:paraId="2D7FA673" w14:textId="77777777" w:rsidR="004260A9" w:rsidRPr="000716AB" w:rsidRDefault="0083161F" w:rsidP="00F55AD0">
            <w:pPr>
              <w:spacing w:before="0" w:after="0"/>
              <w:rPr>
                <w:rFonts w:ascii="Arial" w:hAnsi="Arial" w:cs="Arial"/>
                <w:lang w:val="en-GB"/>
              </w:rPr>
            </w:pPr>
            <w:r w:rsidRPr="000716AB">
              <w:rPr>
                <w:rFonts w:ascii="Arial" w:hAnsi="Arial" w:cs="Arial"/>
                <w:lang w:val="en-GB"/>
              </w:rPr>
              <w:t>Supports retaining operational control rather than licensing</w:t>
            </w:r>
          </w:p>
        </w:tc>
      </w:tr>
    </w:tbl>
    <w:p w14:paraId="3D92AF16" w14:textId="7A9C16A0" w:rsidR="004260A9" w:rsidRPr="008B6EB6" w:rsidRDefault="0083161F" w:rsidP="008B6EB6">
      <w:pPr>
        <w:pStyle w:val="Heading3"/>
        <w:numPr>
          <w:ilvl w:val="0"/>
          <w:numId w:val="1"/>
        </w:numPr>
        <w:rPr>
          <w:rFonts w:ascii="Arial" w:hAnsi="Arial" w:cs="Arial"/>
          <w:lang w:val="en-GB"/>
        </w:rPr>
      </w:pPr>
      <w:bookmarkStart w:id="23" w:name="_s9timhaxwil" w:colFirst="0" w:colLast="0"/>
      <w:bookmarkStart w:id="24" w:name="_Toc236753766"/>
      <w:bookmarkEnd w:id="23"/>
      <w:r w:rsidRPr="008B6EB6">
        <w:rPr>
          <w:rFonts w:ascii="Arial" w:hAnsi="Arial" w:cs="Arial"/>
          <w:lang w:val="en-GB"/>
        </w:rPr>
        <w:t>Ownership Advantages</w:t>
      </w:r>
      <w:bookmarkEnd w:id="24"/>
    </w:p>
    <w:p w14:paraId="3F53C006" w14:textId="1087AFC7" w:rsidR="004260A9" w:rsidRPr="000716AB" w:rsidRDefault="0083161F" w:rsidP="00F55AD0">
      <w:pPr>
        <w:rPr>
          <w:rFonts w:ascii="Arial" w:hAnsi="Arial" w:cs="Arial"/>
          <w:lang w:val="en-GB"/>
        </w:rPr>
      </w:pPr>
      <w:r w:rsidRPr="000716AB">
        <w:rPr>
          <w:rFonts w:ascii="Arial" w:hAnsi="Arial" w:cs="Arial"/>
          <w:lang w:val="en-GB"/>
        </w:rPr>
        <w:t xml:space="preserve">IKEA has a number of ownership specific advantages that greatly lower the risks of entering an emerging market like Algeria. </w:t>
      </w:r>
      <w:r w:rsidR="000716AB" w:rsidRPr="000716AB">
        <w:rPr>
          <w:rFonts w:ascii="Arial" w:hAnsi="Arial" w:cs="Arial"/>
          <w:lang w:val="en-GB"/>
        </w:rPr>
        <w:t>The IKEA franchise system performed well in terms of its financial strength and organisation, with total global retail sales reaching €44.6 billion in FY2025 and IKEA has 504 stores operating in international markets, which is proof of the strength of the IKEA franchise network and its ability to expand internationally (IKEA, 2025).</w:t>
      </w:r>
      <w:r w:rsidRPr="000716AB">
        <w:rPr>
          <w:rFonts w:ascii="Arial" w:hAnsi="Arial" w:cs="Arial"/>
          <w:lang w:val="en-GB"/>
        </w:rPr>
        <w:t xml:space="preserve"> IKEA's approach to competition is through an integrated business model, where product design, sourcing, logistics and retailing are strategic assets that support each other, and not just functions of the business.</w:t>
      </w:r>
    </w:p>
    <w:p w14:paraId="0AFA88A4" w14:textId="77777777" w:rsidR="004260A9" w:rsidRPr="000716AB" w:rsidRDefault="0083161F" w:rsidP="00F55AD0">
      <w:pPr>
        <w:rPr>
          <w:rFonts w:ascii="Arial" w:hAnsi="Arial" w:cs="Arial"/>
          <w:lang w:val="en-GB"/>
        </w:rPr>
      </w:pPr>
      <w:r w:rsidRPr="000716AB">
        <w:rPr>
          <w:rFonts w:ascii="Arial" w:hAnsi="Arial" w:cs="Arial"/>
          <w:lang w:val="en-GB"/>
        </w:rPr>
        <w:lastRenderedPageBreak/>
        <w:t xml:space="preserve">One of the most powerful intangible resources of IKEA is its design capability. The standardisation of product development allows the company to produce furniture on a large scale without compromising the price, utility and sustainability of the product. This ability is backed by a wealth of customer understanding gained in markets both old and new, enabling IKEA to make selective adaptations without compromising operational efficiency (Statista, 2026). </w:t>
      </w:r>
    </w:p>
    <w:p w14:paraId="63E2F6A6" w14:textId="151D1766" w:rsidR="008B6EB6" w:rsidRPr="008B6EB6" w:rsidRDefault="0083161F" w:rsidP="00F55AD0">
      <w:pPr>
        <w:rPr>
          <w:rFonts w:ascii="Arial" w:hAnsi="Arial" w:cstheme="minorBidi"/>
          <w:szCs w:val="30"/>
          <w:lang w:val="en-GB" w:bidi="bn-BD"/>
        </w:rPr>
      </w:pPr>
      <w:r w:rsidRPr="000716AB">
        <w:rPr>
          <w:rFonts w:ascii="Arial" w:hAnsi="Arial" w:cs="Arial"/>
          <w:lang w:val="en-GB"/>
        </w:rPr>
        <w:t>What's also important is IKEA's worldwide integrated supply chain. Instead of vertical integration, the company works with a wide international supplier network, which is coordinated through a centralized procurement process and strict quality controls, establishing a level of economies of scale which is difficult to match by local competitors. These efficiencies help IKEA to fulfil its cost-leadership strategy, and to ensure product uniformity in geographically dispersed markets. Thus, IKEA's advantages as an owner are not just in the brand but also in the knowledge of the organisation, procurement expertise and operational capabilities, which all contribute to making it difficult for others to copy.</w:t>
      </w:r>
    </w:p>
    <w:p w14:paraId="0B63533B" w14:textId="77777777" w:rsidR="004260A9" w:rsidRPr="000716AB" w:rsidRDefault="0083161F" w:rsidP="00F55AD0">
      <w:pPr>
        <w:pStyle w:val="Heading3"/>
        <w:numPr>
          <w:ilvl w:val="0"/>
          <w:numId w:val="1"/>
        </w:numPr>
        <w:rPr>
          <w:rFonts w:ascii="Arial" w:hAnsi="Arial" w:cs="Arial"/>
          <w:lang w:val="en-GB"/>
        </w:rPr>
      </w:pPr>
      <w:bookmarkStart w:id="25" w:name="_u5yhba3r45oo" w:colFirst="0" w:colLast="0"/>
      <w:bookmarkStart w:id="26" w:name="_Toc236753767"/>
      <w:bookmarkEnd w:id="25"/>
      <w:r w:rsidRPr="000716AB">
        <w:rPr>
          <w:rFonts w:ascii="Arial" w:hAnsi="Arial" w:cs="Arial"/>
          <w:lang w:val="en-GB"/>
        </w:rPr>
        <w:t>Location Advantages</w:t>
      </w:r>
      <w:bookmarkEnd w:id="26"/>
    </w:p>
    <w:p w14:paraId="7C7CAB03" w14:textId="28505005" w:rsidR="004260A9" w:rsidRPr="000716AB" w:rsidRDefault="0083161F" w:rsidP="00F55AD0">
      <w:pPr>
        <w:rPr>
          <w:rFonts w:ascii="Arial" w:hAnsi="Arial" w:cs="Arial"/>
          <w:lang w:val="en-GB"/>
        </w:rPr>
      </w:pPr>
      <w:r w:rsidRPr="000716AB">
        <w:rPr>
          <w:rFonts w:ascii="Arial" w:hAnsi="Arial" w:cs="Arial"/>
          <w:lang w:val="en-GB"/>
        </w:rPr>
        <w:t xml:space="preserve">Algeria is an underpenetrated retail market, but has a number of location-specific strengths that make it an attractive market in the long-term. </w:t>
      </w:r>
      <w:r w:rsidR="007C5C3D" w:rsidRPr="000716AB">
        <w:rPr>
          <w:rFonts w:ascii="Arial" w:hAnsi="Arial" w:cs="Arial"/>
          <w:lang w:val="en-GB"/>
        </w:rPr>
        <w:t xml:space="preserve">The estimated population of the country in 2025 was 47.4 million, </w:t>
      </w:r>
      <w:r w:rsidR="00A855E4" w:rsidRPr="000716AB">
        <w:rPr>
          <w:rFonts w:ascii="Arial" w:hAnsi="Arial" w:cs="Arial"/>
          <w:lang w:val="en-GB"/>
        </w:rPr>
        <w:t xml:space="preserve">the largest population in the Maghreb </w:t>
      </w:r>
      <w:r w:rsidR="007C5C3D" w:rsidRPr="000716AB">
        <w:rPr>
          <w:rFonts w:ascii="Arial" w:hAnsi="Arial" w:cs="Arial"/>
          <w:lang w:val="en-GB"/>
        </w:rPr>
        <w:t xml:space="preserve">and it allows IKEA to benefit from a large potential customer base (World Bank, 2025). </w:t>
      </w:r>
      <w:r w:rsidRPr="000716AB">
        <w:rPr>
          <w:rFonts w:ascii="Arial" w:hAnsi="Arial" w:cs="Arial"/>
          <w:lang w:val="en-GB"/>
        </w:rPr>
        <w:t>Algeria, in contrast with the smaller regional markets, has the potential for large-format retail investment with adequate domestic demand, provided that purchasing power continues to rise.</w:t>
      </w:r>
    </w:p>
    <w:p w14:paraId="55B99537" w14:textId="77777777" w:rsidR="004260A9" w:rsidRPr="000716AB" w:rsidRDefault="0083161F" w:rsidP="00F55AD0">
      <w:pPr>
        <w:rPr>
          <w:rFonts w:ascii="Arial" w:hAnsi="Arial" w:cs="Arial"/>
          <w:lang w:val="en-GB"/>
        </w:rPr>
      </w:pPr>
      <w:r w:rsidRPr="000716AB">
        <w:rPr>
          <w:rFonts w:ascii="Arial" w:hAnsi="Arial" w:cs="Arial"/>
          <w:lang w:val="en-GB"/>
        </w:rPr>
        <w:t xml:space="preserve">Location attractiveness is further increased by economic diversification. GDP outside of the hydrocarbon sector grew by 4.8% in 2024, showing a gradual process of structural change beyond the energy sector (World Bank, 2025). At the same time, Law No. 22-18 of 2022 Relating to Investment has enhanced investor safeguards and also liberalised foreign investment in non-strategic sectors, which has lowered institutional barriers linked to market entry (UNCTAD, 2022). The developments make it more viable to long-term </w:t>
      </w:r>
      <w:r w:rsidRPr="000716AB">
        <w:rPr>
          <w:rFonts w:ascii="Arial" w:hAnsi="Arial" w:cs="Arial"/>
          <w:lang w:val="en-GB"/>
        </w:rPr>
        <w:lastRenderedPageBreak/>
        <w:t>foreign retail investment and help the government's goal of greater involvement of the private sector.</w:t>
      </w:r>
    </w:p>
    <w:p w14:paraId="525AB004" w14:textId="7C1F7A4B" w:rsidR="008B6EB6" w:rsidRPr="008B6EB6" w:rsidRDefault="0083161F" w:rsidP="00F55AD0">
      <w:pPr>
        <w:rPr>
          <w:rFonts w:ascii="Arial" w:hAnsi="Arial" w:cstheme="minorBidi"/>
          <w:szCs w:val="30"/>
          <w:lang w:val="en-GB" w:bidi="bn-BD"/>
        </w:rPr>
      </w:pPr>
      <w:r w:rsidRPr="000716AB">
        <w:rPr>
          <w:rFonts w:ascii="Arial" w:hAnsi="Arial" w:cs="Arial"/>
          <w:lang w:val="en-GB"/>
        </w:rPr>
        <w:t xml:space="preserve">The strategic importance of Algeria's geographical location is also noteworthy. The country is also on the Mediterranean, with direct access to European and African markets, and could be used by IKEA to improve its distribution network in the region as trade integration under the African Continental Free Trade Area (AfCFTA) continues to grow (Debrah </w:t>
      </w:r>
      <w:r w:rsidRPr="000716AB">
        <w:rPr>
          <w:rFonts w:ascii="Arial" w:hAnsi="Arial" w:cs="Arial"/>
          <w:i/>
          <w:iCs/>
          <w:lang w:val="en-GB"/>
        </w:rPr>
        <w:t xml:space="preserve">et al., </w:t>
      </w:r>
      <w:r w:rsidRPr="000716AB">
        <w:rPr>
          <w:rFonts w:ascii="Arial" w:hAnsi="Arial" w:cs="Arial"/>
          <w:lang w:val="en-GB"/>
        </w:rPr>
        <w:t>2024, p.2). These benefits are offset, however, by administrative inefficiencies, infrastructure differences in other major centres and relatively low household purchasing power outside of major centres. Consequently, the benefits of Algeria's location are good, but depend on continued economic reforms as well as improved institutional performance.</w:t>
      </w:r>
    </w:p>
    <w:p w14:paraId="0F3EAA3E" w14:textId="77777777" w:rsidR="004260A9" w:rsidRPr="000716AB" w:rsidRDefault="0083161F" w:rsidP="00F55AD0">
      <w:pPr>
        <w:pStyle w:val="Heading3"/>
        <w:numPr>
          <w:ilvl w:val="0"/>
          <w:numId w:val="1"/>
        </w:numPr>
        <w:rPr>
          <w:rFonts w:ascii="Arial" w:hAnsi="Arial" w:cs="Arial"/>
          <w:lang w:val="en-GB"/>
        </w:rPr>
      </w:pPr>
      <w:bookmarkStart w:id="27" w:name="_ufgj07i1whkw" w:colFirst="0" w:colLast="0"/>
      <w:bookmarkStart w:id="28" w:name="_Toc236753768"/>
      <w:bookmarkEnd w:id="27"/>
      <w:r w:rsidRPr="000716AB">
        <w:rPr>
          <w:rFonts w:ascii="Arial" w:hAnsi="Arial" w:cs="Arial"/>
          <w:lang w:val="en-GB"/>
        </w:rPr>
        <w:t>Internalisation Advantages</w:t>
      </w:r>
      <w:bookmarkEnd w:id="28"/>
    </w:p>
    <w:p w14:paraId="46AA5AB9" w14:textId="6DA55A36" w:rsidR="004260A9" w:rsidRDefault="00C80F65" w:rsidP="00F55AD0">
      <w:pPr>
        <w:rPr>
          <w:rFonts w:ascii="Arial" w:hAnsi="Arial" w:cstheme="minorBidi"/>
          <w:szCs w:val="30"/>
          <w:lang w:val="en-GB" w:bidi="bn-BD"/>
        </w:rPr>
      </w:pPr>
      <w:r w:rsidRPr="000716AB">
        <w:rPr>
          <w:rFonts w:ascii="Arial" w:hAnsi="Arial" w:cs="Arial"/>
          <w:lang w:val="en-GB"/>
        </w:rPr>
        <w:t xml:space="preserve">The brand and retail concept, along with the integrated operating model, is how IKEA has found to be competitive. While IKEA expands globally through franchising, the franchisees are bound by a highly specific franchise contract that ensures the quality of products, the design of the stores, and the experience and IP of customers. Thus, by having a robust governance and control over the IKEA concept, internalisation for IKEA does not necessarily mean that it needs to own every retail outlet (Inter IKEA Group, 2025; Sople, 2026). </w:t>
      </w:r>
      <w:r w:rsidR="0083161F" w:rsidRPr="000716AB">
        <w:rPr>
          <w:rFonts w:ascii="Arial" w:hAnsi="Arial" w:cs="Arial"/>
          <w:lang w:val="en-GB"/>
        </w:rPr>
        <w:t xml:space="preserve">In addition, the integrated procurement and logistics systems of IKEA require centralised decision making and transfer of knowledge between subsidiaries in different countries. Lack of flexibility in license could make it difficult for the firm to coordinate the management of inventory, sustainability standards and supplier relationships effectively (Tao </w:t>
      </w:r>
      <w:r w:rsidR="0083161F" w:rsidRPr="000716AB">
        <w:rPr>
          <w:rFonts w:ascii="Arial" w:hAnsi="Arial" w:cs="Arial"/>
          <w:i/>
          <w:iCs/>
          <w:lang w:val="en-GB"/>
        </w:rPr>
        <w:t xml:space="preserve">et al., </w:t>
      </w:r>
      <w:r w:rsidR="0083161F" w:rsidRPr="000716AB">
        <w:rPr>
          <w:rFonts w:ascii="Arial" w:hAnsi="Arial" w:cs="Arial"/>
          <w:lang w:val="en-GB"/>
        </w:rPr>
        <w:t>2025, p.4). As a result, IKEA would be able to maintain its global operating model, but adjust those activities facing the customer to the local market conditions.</w:t>
      </w:r>
    </w:p>
    <w:p w14:paraId="412DDE45" w14:textId="77777777" w:rsidR="008B6EB6" w:rsidRPr="008B6EB6" w:rsidRDefault="008B6EB6" w:rsidP="00F55AD0">
      <w:pPr>
        <w:rPr>
          <w:rFonts w:ascii="Arial" w:hAnsi="Arial" w:cstheme="minorBidi"/>
          <w:szCs w:val="30"/>
          <w:lang w:val="en-GB" w:bidi="bn-BD"/>
        </w:rPr>
      </w:pPr>
    </w:p>
    <w:p w14:paraId="10675888" w14:textId="77777777" w:rsidR="004260A9" w:rsidRPr="000716AB" w:rsidRDefault="0083161F" w:rsidP="00F55AD0">
      <w:pPr>
        <w:pStyle w:val="Heading3"/>
        <w:numPr>
          <w:ilvl w:val="0"/>
          <w:numId w:val="1"/>
        </w:numPr>
        <w:rPr>
          <w:rFonts w:ascii="Arial" w:hAnsi="Arial" w:cs="Arial"/>
          <w:lang w:val="en-GB"/>
        </w:rPr>
      </w:pPr>
      <w:bookmarkStart w:id="29" w:name="_jjbstwtdkeb0" w:colFirst="0" w:colLast="0"/>
      <w:bookmarkStart w:id="30" w:name="_Toc236753769"/>
      <w:bookmarkEnd w:id="29"/>
      <w:r w:rsidRPr="000716AB">
        <w:rPr>
          <w:rFonts w:ascii="Arial" w:hAnsi="Arial" w:cs="Arial"/>
          <w:lang w:val="en-GB"/>
        </w:rPr>
        <w:lastRenderedPageBreak/>
        <w:t>Critical Synthesis</w:t>
      </w:r>
      <w:bookmarkEnd w:id="30"/>
    </w:p>
    <w:p w14:paraId="67BC0D68" w14:textId="0EBE0C2A" w:rsidR="004260A9" w:rsidRDefault="0083161F" w:rsidP="00F55AD0">
      <w:pPr>
        <w:rPr>
          <w:rFonts w:ascii="Arial" w:hAnsi="Arial" w:cstheme="minorBidi"/>
          <w:szCs w:val="30"/>
          <w:lang w:val="en-GB" w:bidi="bn-BD"/>
        </w:rPr>
      </w:pPr>
      <w:r w:rsidRPr="000716AB">
        <w:rPr>
          <w:rFonts w:ascii="Arial" w:hAnsi="Arial" w:cs="Arial"/>
          <w:lang w:val="en-GB"/>
        </w:rPr>
        <w:t xml:space="preserve">From the above analysis it can be concluded that Algeria </w:t>
      </w:r>
      <w:r w:rsidR="00302FC5" w:rsidRPr="000716AB">
        <w:rPr>
          <w:rFonts w:ascii="Arial" w:hAnsi="Arial" w:cs="Arial"/>
          <w:lang w:val="en-GB"/>
        </w:rPr>
        <w:t>fulfils</w:t>
      </w:r>
      <w:r w:rsidRPr="000716AB">
        <w:rPr>
          <w:rFonts w:ascii="Arial" w:hAnsi="Arial" w:cs="Arial"/>
          <w:lang w:val="en-GB"/>
        </w:rPr>
        <w:t xml:space="preserve"> the essential conditions of the Dunning's OLI Paradigm, albeit with its limitations. IKEA has a lot of ownership advantages in terms of its internationally recognised brand, integrated supply chain, innovation capability and economies of scale. At the same time, Algeria has location advantages that are not negligible, such as market size, the improvement of the investment regulations and favourable demographic trends (Boubetra, 2025, p.8). However, due to institutional shortcomings, administrative cumbersomeness, and comparatively small purchasing power, large investments are not appealing. The benefits of internalisation ultimately reinforce the business case for expansion, as IKEA's competitive position is based on the fact that they have direct control over quality, operational processes and customer experience. </w:t>
      </w:r>
    </w:p>
    <w:p w14:paraId="0EF03C1B" w14:textId="77777777" w:rsidR="008B6EB6" w:rsidRPr="008B6EB6" w:rsidRDefault="008B6EB6" w:rsidP="00F55AD0">
      <w:pPr>
        <w:rPr>
          <w:rFonts w:ascii="Arial" w:hAnsi="Arial" w:cstheme="minorBidi"/>
          <w:szCs w:val="30"/>
          <w:lang w:val="en-GB" w:bidi="bn-BD"/>
        </w:rPr>
      </w:pPr>
    </w:p>
    <w:p w14:paraId="345B2ADF" w14:textId="77777777" w:rsidR="004260A9" w:rsidRPr="000716AB" w:rsidRDefault="0083161F" w:rsidP="00F55AD0">
      <w:pPr>
        <w:pStyle w:val="Heading1"/>
        <w:rPr>
          <w:rFonts w:ascii="Arial" w:hAnsi="Arial" w:cs="Arial"/>
          <w:lang w:val="en-GB"/>
        </w:rPr>
      </w:pPr>
      <w:bookmarkStart w:id="31" w:name="_z2mdtgoxoffs" w:colFirst="0" w:colLast="0"/>
      <w:bookmarkStart w:id="32" w:name="_Toc236753770"/>
      <w:bookmarkEnd w:id="31"/>
      <w:r w:rsidRPr="000716AB">
        <w:rPr>
          <w:rFonts w:ascii="Arial" w:hAnsi="Arial" w:cs="Arial"/>
          <w:lang w:val="en-GB"/>
        </w:rPr>
        <w:t>3.  ENTRY MODE STRATEGY AND STRATEGIC SYNTHESIS</w:t>
      </w:r>
      <w:bookmarkEnd w:id="32"/>
    </w:p>
    <w:p w14:paraId="2888698E" w14:textId="77777777" w:rsidR="004260A9" w:rsidRPr="000716AB" w:rsidRDefault="0083161F" w:rsidP="00F55AD0">
      <w:pPr>
        <w:pStyle w:val="Heading2"/>
        <w:rPr>
          <w:rFonts w:ascii="Arial" w:hAnsi="Arial" w:cs="Arial"/>
          <w:lang w:val="en-GB"/>
        </w:rPr>
      </w:pPr>
      <w:bookmarkStart w:id="33" w:name="_748x86wjfa22" w:colFirst="0" w:colLast="0"/>
      <w:bookmarkStart w:id="34" w:name="_Toc236753771"/>
      <w:bookmarkEnd w:id="33"/>
      <w:r w:rsidRPr="000716AB">
        <w:rPr>
          <w:rFonts w:ascii="Arial" w:hAnsi="Arial" w:cs="Arial"/>
          <w:lang w:val="en-GB"/>
        </w:rPr>
        <w:t>3.1 Historical Pattern Recognition</w:t>
      </w:r>
      <w:bookmarkEnd w:id="34"/>
      <w:r w:rsidRPr="000716AB">
        <w:rPr>
          <w:rFonts w:ascii="Arial" w:hAnsi="Arial" w:cs="Arial"/>
          <w:lang w:val="en-GB"/>
        </w:rPr>
        <w:t xml:space="preserve"> </w:t>
      </w:r>
    </w:p>
    <w:p w14:paraId="14463D70" w14:textId="77777777" w:rsidR="004260A9" w:rsidRPr="000716AB" w:rsidRDefault="0083161F" w:rsidP="00F55AD0">
      <w:pPr>
        <w:rPr>
          <w:rFonts w:ascii="Arial" w:hAnsi="Arial" w:cs="Arial"/>
          <w:lang w:val="en-GB"/>
        </w:rPr>
      </w:pPr>
      <w:r w:rsidRPr="000716AB">
        <w:rPr>
          <w:rFonts w:ascii="Arial" w:hAnsi="Arial" w:cs="Arial"/>
          <w:lang w:val="en-GB"/>
        </w:rPr>
        <w:t xml:space="preserve">As seen in IKEA's internationalisation, institutional conditions and regulatory frameworks as well as protecting firm-specific advantages are the determinants of entry mode selection and not a uniform internationalisation strategy. According to internalisation theory, multinational enterprises should prefer to hold onto their assets when they have competitive advantages that cannot be easily transferred through market contracts, such as knowledge, brand equity and organisational capabilities (Buckley and Casson, 2009; Rugman, 2010). </w:t>
      </w:r>
    </w:p>
    <w:p w14:paraId="65AFA4C9" w14:textId="77777777" w:rsidR="004260A9" w:rsidRPr="000716AB" w:rsidRDefault="0083161F" w:rsidP="00F55AD0">
      <w:pPr>
        <w:jc w:val="center"/>
        <w:rPr>
          <w:rFonts w:ascii="Arial" w:hAnsi="Arial" w:cs="Arial"/>
          <w:b/>
          <w:bCs/>
          <w:lang w:val="en-GB"/>
        </w:rPr>
      </w:pPr>
      <w:r w:rsidRPr="000716AB">
        <w:rPr>
          <w:rFonts w:ascii="Arial" w:hAnsi="Arial" w:cs="Arial"/>
          <w:b/>
          <w:bCs/>
          <w:lang w:val="en-GB"/>
        </w:rPr>
        <w:t>Table 2: Entry Modes</w:t>
      </w:r>
    </w:p>
    <w:p w14:paraId="1E51AE94" w14:textId="4CF5B931" w:rsidR="004260A9" w:rsidRPr="000716AB" w:rsidRDefault="0083161F" w:rsidP="00F55AD0">
      <w:pPr>
        <w:jc w:val="center"/>
        <w:rPr>
          <w:rFonts w:ascii="Arial" w:hAnsi="Arial" w:cs="Arial"/>
          <w:lang w:val="en-GB"/>
        </w:rPr>
      </w:pPr>
      <w:r w:rsidRPr="000716AB">
        <w:rPr>
          <w:rFonts w:ascii="Arial" w:hAnsi="Arial" w:cs="Arial"/>
          <w:lang w:val="en-GB"/>
        </w:rPr>
        <w:t xml:space="preserve">(Source: </w:t>
      </w:r>
      <w:r w:rsidR="004B115E" w:rsidRPr="000716AB">
        <w:rPr>
          <w:rFonts w:ascii="Arial" w:hAnsi="Arial" w:cs="Arial"/>
          <w:lang w:val="en-GB"/>
        </w:rPr>
        <w:t>Inter IKEA Group, 2025</w:t>
      </w:r>
      <w:r w:rsidR="00FA3677" w:rsidRPr="000716AB">
        <w:rPr>
          <w:rFonts w:ascii="Arial" w:hAnsi="Arial" w:cs="Arial"/>
          <w:lang w:val="en-GB"/>
        </w:rPr>
        <w:t>; IKEA, 2025</w:t>
      </w:r>
      <w:r w:rsidRPr="000716AB">
        <w:rPr>
          <w:rFonts w:ascii="Arial" w:hAnsi="Arial" w:cs="Arial"/>
          <w:lang w:val="en-GB"/>
        </w:rPr>
        <w:t>)</w:t>
      </w:r>
    </w:p>
    <w:tbl>
      <w:tblPr>
        <w:tblStyle w:val="PlainTable5"/>
        <w:tblW w:w="0" w:type="auto"/>
        <w:tblLook w:val="04A0" w:firstRow="1" w:lastRow="0" w:firstColumn="1" w:lastColumn="0" w:noHBand="0" w:noVBand="1"/>
      </w:tblPr>
      <w:tblGrid>
        <w:gridCol w:w="2205"/>
        <w:gridCol w:w="2064"/>
        <w:gridCol w:w="1863"/>
        <w:gridCol w:w="3228"/>
      </w:tblGrid>
      <w:tr w:rsidR="000716AB" w:rsidRPr="000716AB" w14:paraId="15B785E5" w14:textId="77777777" w:rsidTr="00E45FA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20B4244" w14:textId="77777777" w:rsidR="00E45FA5" w:rsidRPr="000716AB" w:rsidRDefault="00E45FA5" w:rsidP="00F55AD0">
            <w:pPr>
              <w:spacing w:after="200" w:line="360" w:lineRule="auto"/>
              <w:jc w:val="both"/>
              <w:rPr>
                <w:rFonts w:ascii="Arial" w:hAnsi="Arial" w:cs="Arial"/>
                <w:b/>
                <w:bCs/>
                <w:lang w:val="en-GB"/>
              </w:rPr>
            </w:pPr>
            <w:r w:rsidRPr="000716AB">
              <w:rPr>
                <w:rFonts w:ascii="Arial" w:hAnsi="Arial" w:cs="Arial"/>
                <w:b/>
                <w:bCs/>
                <w:lang w:val="en-GB"/>
              </w:rPr>
              <w:t>Market</w:t>
            </w:r>
          </w:p>
        </w:tc>
        <w:tc>
          <w:tcPr>
            <w:tcW w:w="0" w:type="auto"/>
            <w:hideMark/>
          </w:tcPr>
          <w:p w14:paraId="14FA0EBC" w14:textId="77777777" w:rsidR="00E45FA5" w:rsidRPr="000716AB" w:rsidRDefault="00E45FA5" w:rsidP="00F55AD0">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lang w:val="en-GB"/>
              </w:rPr>
            </w:pPr>
            <w:r w:rsidRPr="000716AB">
              <w:rPr>
                <w:rFonts w:ascii="Arial" w:hAnsi="Arial" w:cs="Arial"/>
                <w:b/>
                <w:bCs/>
                <w:lang w:val="en-GB"/>
              </w:rPr>
              <w:t>IKEA Entity / Franchisee</w:t>
            </w:r>
          </w:p>
        </w:tc>
        <w:tc>
          <w:tcPr>
            <w:tcW w:w="0" w:type="auto"/>
            <w:hideMark/>
          </w:tcPr>
          <w:p w14:paraId="58140894" w14:textId="77777777" w:rsidR="00E45FA5" w:rsidRPr="000716AB" w:rsidRDefault="00E45FA5" w:rsidP="00F55AD0">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lang w:val="en-GB"/>
              </w:rPr>
            </w:pPr>
            <w:r w:rsidRPr="000716AB">
              <w:rPr>
                <w:rFonts w:ascii="Arial" w:hAnsi="Arial" w:cs="Arial"/>
                <w:b/>
                <w:bCs/>
                <w:lang w:val="en-GB"/>
              </w:rPr>
              <w:t>Entry Mode</w:t>
            </w:r>
          </w:p>
        </w:tc>
        <w:tc>
          <w:tcPr>
            <w:tcW w:w="0" w:type="auto"/>
            <w:hideMark/>
          </w:tcPr>
          <w:p w14:paraId="1399FE25" w14:textId="77777777" w:rsidR="00E45FA5" w:rsidRPr="000716AB" w:rsidRDefault="00E45FA5" w:rsidP="00F55AD0">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lang w:val="en-GB"/>
              </w:rPr>
            </w:pPr>
            <w:r w:rsidRPr="000716AB">
              <w:rPr>
                <w:rFonts w:ascii="Arial" w:hAnsi="Arial" w:cs="Arial"/>
                <w:b/>
                <w:bCs/>
                <w:lang w:val="en-GB"/>
              </w:rPr>
              <w:t>Strategic Rationale</w:t>
            </w:r>
          </w:p>
        </w:tc>
      </w:tr>
      <w:tr w:rsidR="000716AB" w:rsidRPr="000716AB" w14:paraId="6DC9FC58" w14:textId="77777777" w:rsidTr="00E45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985B5D" w14:textId="77777777" w:rsidR="00E45FA5" w:rsidRPr="000716AB" w:rsidRDefault="00E45FA5" w:rsidP="00F55AD0">
            <w:pPr>
              <w:spacing w:after="200" w:line="360" w:lineRule="auto"/>
              <w:jc w:val="both"/>
              <w:rPr>
                <w:rFonts w:ascii="Arial" w:hAnsi="Arial" w:cs="Arial"/>
                <w:lang w:val="en-GB"/>
              </w:rPr>
            </w:pPr>
            <w:r w:rsidRPr="000716AB">
              <w:rPr>
                <w:rFonts w:ascii="Arial" w:hAnsi="Arial" w:cs="Arial"/>
                <w:lang w:val="en-GB"/>
              </w:rPr>
              <w:lastRenderedPageBreak/>
              <w:t>Sweden &amp; many European markets</w:t>
            </w:r>
          </w:p>
        </w:tc>
        <w:tc>
          <w:tcPr>
            <w:tcW w:w="0" w:type="auto"/>
            <w:hideMark/>
          </w:tcPr>
          <w:p w14:paraId="3BF5C8F7" w14:textId="77777777" w:rsidR="00E45FA5" w:rsidRPr="000716AB" w:rsidRDefault="00E45FA5" w:rsidP="00F55AD0">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b/>
                <w:bCs/>
                <w:lang w:val="en-GB"/>
              </w:rPr>
              <w:t>Ingka Group</w:t>
            </w:r>
          </w:p>
        </w:tc>
        <w:tc>
          <w:tcPr>
            <w:tcW w:w="0" w:type="auto"/>
            <w:hideMark/>
          </w:tcPr>
          <w:p w14:paraId="5F2B7ED3" w14:textId="77777777" w:rsidR="00E45FA5" w:rsidRPr="000716AB" w:rsidRDefault="00E45FA5" w:rsidP="00F55AD0">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Company-owned subsidiary</w:t>
            </w:r>
          </w:p>
        </w:tc>
        <w:tc>
          <w:tcPr>
            <w:tcW w:w="0" w:type="auto"/>
            <w:hideMark/>
          </w:tcPr>
          <w:p w14:paraId="22AD4F5A" w14:textId="77777777" w:rsidR="00E45FA5" w:rsidRPr="000716AB" w:rsidRDefault="00E45FA5" w:rsidP="00F55AD0">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High operational control in mature markets</w:t>
            </w:r>
          </w:p>
        </w:tc>
      </w:tr>
      <w:tr w:rsidR="000716AB" w:rsidRPr="000716AB" w14:paraId="53166F99" w14:textId="77777777" w:rsidTr="00E45FA5">
        <w:tc>
          <w:tcPr>
            <w:cnfStyle w:val="001000000000" w:firstRow="0" w:lastRow="0" w:firstColumn="1" w:lastColumn="0" w:oddVBand="0" w:evenVBand="0" w:oddHBand="0" w:evenHBand="0" w:firstRowFirstColumn="0" w:firstRowLastColumn="0" w:lastRowFirstColumn="0" w:lastRowLastColumn="0"/>
            <w:tcW w:w="0" w:type="auto"/>
            <w:hideMark/>
          </w:tcPr>
          <w:p w14:paraId="78E2B533" w14:textId="77777777" w:rsidR="00E45FA5" w:rsidRPr="000716AB" w:rsidRDefault="00E45FA5" w:rsidP="00F55AD0">
            <w:pPr>
              <w:spacing w:after="200" w:line="360" w:lineRule="auto"/>
              <w:jc w:val="both"/>
              <w:rPr>
                <w:rFonts w:ascii="Arial" w:hAnsi="Arial" w:cs="Arial"/>
                <w:lang w:val="en-GB"/>
              </w:rPr>
            </w:pPr>
            <w:r w:rsidRPr="000716AB">
              <w:rPr>
                <w:rFonts w:ascii="Arial" w:hAnsi="Arial" w:cs="Arial"/>
                <w:lang w:val="en-GB"/>
              </w:rPr>
              <w:t>China</w:t>
            </w:r>
          </w:p>
        </w:tc>
        <w:tc>
          <w:tcPr>
            <w:tcW w:w="0" w:type="auto"/>
            <w:hideMark/>
          </w:tcPr>
          <w:p w14:paraId="2C4E61D6" w14:textId="77777777" w:rsidR="00E45FA5" w:rsidRPr="000716AB" w:rsidRDefault="00E45FA5" w:rsidP="00F55AD0">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b/>
                <w:bCs/>
                <w:lang w:val="en-GB"/>
              </w:rPr>
              <w:t>Ingka Group</w:t>
            </w:r>
          </w:p>
        </w:tc>
        <w:tc>
          <w:tcPr>
            <w:tcW w:w="0" w:type="auto"/>
            <w:hideMark/>
          </w:tcPr>
          <w:p w14:paraId="560C0F67" w14:textId="77777777" w:rsidR="00E45FA5" w:rsidRPr="000716AB" w:rsidRDefault="00E45FA5" w:rsidP="00F55AD0">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Company-owned subsidiary</w:t>
            </w:r>
          </w:p>
        </w:tc>
        <w:tc>
          <w:tcPr>
            <w:tcW w:w="0" w:type="auto"/>
            <w:hideMark/>
          </w:tcPr>
          <w:p w14:paraId="27B7D942" w14:textId="77777777" w:rsidR="00E45FA5" w:rsidRPr="000716AB" w:rsidRDefault="00E45FA5" w:rsidP="00F55AD0">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High control with local adaptation</w:t>
            </w:r>
          </w:p>
        </w:tc>
      </w:tr>
      <w:tr w:rsidR="000716AB" w:rsidRPr="000716AB" w14:paraId="4C628677" w14:textId="77777777" w:rsidTr="00E45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C42A62" w14:textId="77777777" w:rsidR="00E45FA5" w:rsidRPr="000716AB" w:rsidRDefault="00E45FA5" w:rsidP="00F55AD0">
            <w:pPr>
              <w:spacing w:after="200" w:line="360" w:lineRule="auto"/>
              <w:jc w:val="both"/>
              <w:rPr>
                <w:rFonts w:ascii="Arial" w:hAnsi="Arial" w:cs="Arial"/>
                <w:lang w:val="en-GB"/>
              </w:rPr>
            </w:pPr>
            <w:r w:rsidRPr="000716AB">
              <w:rPr>
                <w:rFonts w:ascii="Arial" w:hAnsi="Arial" w:cs="Arial"/>
                <w:lang w:val="en-GB"/>
              </w:rPr>
              <w:t>India</w:t>
            </w:r>
          </w:p>
        </w:tc>
        <w:tc>
          <w:tcPr>
            <w:tcW w:w="0" w:type="auto"/>
            <w:hideMark/>
          </w:tcPr>
          <w:p w14:paraId="669AB75C" w14:textId="77777777" w:rsidR="00E45FA5" w:rsidRPr="000716AB" w:rsidRDefault="00E45FA5" w:rsidP="00F55AD0">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b/>
                <w:bCs/>
                <w:lang w:val="en-GB"/>
              </w:rPr>
              <w:t>Ingka Group</w:t>
            </w:r>
          </w:p>
        </w:tc>
        <w:tc>
          <w:tcPr>
            <w:tcW w:w="0" w:type="auto"/>
            <w:hideMark/>
          </w:tcPr>
          <w:p w14:paraId="58792261" w14:textId="77777777" w:rsidR="00E45FA5" w:rsidRPr="000716AB" w:rsidRDefault="00E45FA5" w:rsidP="00F55AD0">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Company-owned subsidiary</w:t>
            </w:r>
          </w:p>
        </w:tc>
        <w:tc>
          <w:tcPr>
            <w:tcW w:w="0" w:type="auto"/>
            <w:hideMark/>
          </w:tcPr>
          <w:p w14:paraId="3A28DAE6" w14:textId="77777777" w:rsidR="00E45FA5" w:rsidRPr="000716AB" w:rsidRDefault="00E45FA5" w:rsidP="00F55AD0">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Full ownership following FDI liberalisation</w:t>
            </w:r>
          </w:p>
        </w:tc>
      </w:tr>
      <w:tr w:rsidR="000716AB" w:rsidRPr="000716AB" w14:paraId="55A15074" w14:textId="77777777" w:rsidTr="00E45FA5">
        <w:tc>
          <w:tcPr>
            <w:cnfStyle w:val="001000000000" w:firstRow="0" w:lastRow="0" w:firstColumn="1" w:lastColumn="0" w:oddVBand="0" w:evenVBand="0" w:oddHBand="0" w:evenHBand="0" w:firstRowFirstColumn="0" w:firstRowLastColumn="0" w:lastRowFirstColumn="0" w:lastRowLastColumn="0"/>
            <w:tcW w:w="0" w:type="auto"/>
            <w:hideMark/>
          </w:tcPr>
          <w:p w14:paraId="7ACD660F" w14:textId="77777777" w:rsidR="00E45FA5" w:rsidRPr="000716AB" w:rsidRDefault="00E45FA5" w:rsidP="00F55AD0">
            <w:pPr>
              <w:spacing w:after="200" w:line="360" w:lineRule="auto"/>
              <w:jc w:val="both"/>
              <w:rPr>
                <w:rFonts w:ascii="Arial" w:hAnsi="Arial" w:cs="Arial"/>
                <w:lang w:val="en-GB"/>
              </w:rPr>
            </w:pPr>
            <w:r w:rsidRPr="000716AB">
              <w:rPr>
                <w:rFonts w:ascii="Arial" w:hAnsi="Arial" w:cs="Arial"/>
                <w:lang w:val="en-GB"/>
              </w:rPr>
              <w:t>UAE, Qatar, Egypt &amp; Oman</w:t>
            </w:r>
          </w:p>
        </w:tc>
        <w:tc>
          <w:tcPr>
            <w:tcW w:w="0" w:type="auto"/>
            <w:hideMark/>
          </w:tcPr>
          <w:p w14:paraId="34D13DB1" w14:textId="77777777" w:rsidR="00E45FA5" w:rsidRPr="000716AB" w:rsidRDefault="00E45FA5" w:rsidP="00F55AD0">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b/>
                <w:bCs/>
                <w:lang w:val="en-GB"/>
              </w:rPr>
              <w:t>Al-Futtaim IKEA</w:t>
            </w:r>
          </w:p>
        </w:tc>
        <w:tc>
          <w:tcPr>
            <w:tcW w:w="0" w:type="auto"/>
            <w:hideMark/>
          </w:tcPr>
          <w:p w14:paraId="5A388D09" w14:textId="77777777" w:rsidR="00E45FA5" w:rsidRPr="000716AB" w:rsidRDefault="00E45FA5" w:rsidP="00F55AD0">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Franchise</w:t>
            </w:r>
          </w:p>
        </w:tc>
        <w:tc>
          <w:tcPr>
            <w:tcW w:w="0" w:type="auto"/>
            <w:hideMark/>
          </w:tcPr>
          <w:p w14:paraId="46877506" w14:textId="77777777" w:rsidR="00E45FA5" w:rsidRPr="000716AB" w:rsidRDefault="00E45FA5" w:rsidP="00F55AD0">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Local market knowledge while maintaining IKEA's global standards</w:t>
            </w:r>
          </w:p>
        </w:tc>
      </w:tr>
    </w:tbl>
    <w:p w14:paraId="01A18622" w14:textId="77777777" w:rsidR="004260A9" w:rsidRPr="000716AB" w:rsidRDefault="0083161F" w:rsidP="00F55AD0">
      <w:pPr>
        <w:rPr>
          <w:rFonts w:ascii="Arial" w:hAnsi="Arial" w:cs="Arial"/>
          <w:lang w:val="en-GB"/>
        </w:rPr>
      </w:pPr>
      <w:r w:rsidRPr="000716AB">
        <w:rPr>
          <w:rFonts w:ascii="Arial" w:hAnsi="Arial" w:cs="Arial"/>
          <w:lang w:val="en-GB"/>
        </w:rPr>
        <w:t>In Europe, IKEA has mainly grown via 100% owned subsidiaries, where consumer markets are well developed, the legal systems are transparent and the institutions are stable. By having full ownership, IKEA can control its integrated value chain, from procurement to logistics and customer experience, safeguarding its competitive advantage (Inter IKEA Group, 2025). In China, IKEA kept ownership and adapted the price, store formats and product lines to the local consumer preferences. This is consistent with the transnational approach of Bartlett and Ghoshal (1989) in which companies integrate their operations globally while being responsive locally to enhance their competitiveness in a variety of institutional settings.</w:t>
      </w:r>
    </w:p>
    <w:p w14:paraId="5FE5B201" w14:textId="6C4E153F" w:rsidR="008B6EB6" w:rsidRDefault="0083161F" w:rsidP="00F55AD0">
      <w:pPr>
        <w:rPr>
          <w:rFonts w:ascii="Arial" w:hAnsi="Arial" w:cstheme="minorBidi"/>
          <w:szCs w:val="30"/>
          <w:lang w:val="en-GB" w:bidi="bn-BD"/>
        </w:rPr>
      </w:pPr>
      <w:r w:rsidRPr="000716AB">
        <w:rPr>
          <w:rFonts w:ascii="Arial" w:hAnsi="Arial" w:cs="Arial"/>
          <w:lang w:val="en-GB"/>
        </w:rPr>
        <w:t xml:space="preserve">In the same way, IKEA has entered India via a 100% subsidiary after liberalisation of the retail sector, and fulfils the local sourcing requirements and adapts its product range according to the demand in India (IKEA, 2025). By contrast, Middle East expansion has been mostly through franchise deals with the Al-Futtaim Group, allowing the company to </w:t>
      </w:r>
      <w:r w:rsidRPr="000716AB">
        <w:rPr>
          <w:rFonts w:ascii="Arial" w:hAnsi="Arial" w:cs="Arial"/>
          <w:lang w:val="en-GB"/>
        </w:rPr>
        <w:lastRenderedPageBreak/>
        <w:t xml:space="preserve">penetrate the market quickly with local knowledge and minimising institutional risk </w:t>
      </w:r>
      <w:r w:rsidR="007E685F" w:rsidRPr="000716AB">
        <w:rPr>
          <w:rFonts w:ascii="Arial" w:hAnsi="Arial" w:cs="Arial"/>
          <w:lang w:val="en-GB"/>
        </w:rPr>
        <w:t>(Inter IKEA Group, 2025)</w:t>
      </w:r>
      <w:r w:rsidR="006652B2" w:rsidRPr="000716AB">
        <w:rPr>
          <w:rFonts w:ascii="Arial" w:hAnsi="Arial" w:cs="Arial"/>
          <w:lang w:val="en-GB"/>
        </w:rPr>
        <w:t>.</w:t>
      </w:r>
    </w:p>
    <w:p w14:paraId="1D68B529" w14:textId="77777777" w:rsidR="008B6EB6" w:rsidRPr="008B6EB6" w:rsidRDefault="008B6EB6" w:rsidP="00F55AD0">
      <w:pPr>
        <w:rPr>
          <w:rFonts w:ascii="Arial" w:hAnsi="Arial" w:cstheme="minorBidi"/>
          <w:szCs w:val="30"/>
          <w:lang w:val="en-GB" w:bidi="bn-BD"/>
        </w:rPr>
      </w:pPr>
    </w:p>
    <w:p w14:paraId="182EF88D" w14:textId="533DF515" w:rsidR="004260A9" w:rsidRPr="000716AB" w:rsidRDefault="0083161F" w:rsidP="00F55AD0">
      <w:pPr>
        <w:pStyle w:val="Heading2"/>
        <w:rPr>
          <w:rFonts w:ascii="Arial" w:hAnsi="Arial" w:cs="Arial"/>
          <w:lang w:val="en-GB"/>
        </w:rPr>
      </w:pPr>
      <w:bookmarkStart w:id="35" w:name="_wvuhmx3pwybq" w:colFirst="0" w:colLast="0"/>
      <w:bookmarkStart w:id="36" w:name="_Toc236753772"/>
      <w:bookmarkEnd w:id="35"/>
      <w:r w:rsidRPr="000716AB">
        <w:rPr>
          <w:rFonts w:ascii="Arial" w:hAnsi="Arial" w:cs="Arial"/>
          <w:lang w:val="en-GB"/>
        </w:rPr>
        <w:t xml:space="preserve">3.2 </w:t>
      </w:r>
      <w:r w:rsidR="0011124A" w:rsidRPr="000716AB">
        <w:rPr>
          <w:rFonts w:ascii="Arial" w:hAnsi="Arial" w:cs="Arial"/>
          <w:lang w:val="en-GB"/>
        </w:rPr>
        <w:t>Comparison and Justification of Entry Modes</w:t>
      </w:r>
      <w:bookmarkEnd w:id="36"/>
    </w:p>
    <w:p w14:paraId="5D01FBA5" w14:textId="4FF572D7" w:rsidR="004260A9" w:rsidRPr="000716AB" w:rsidRDefault="0083161F" w:rsidP="00F55AD0">
      <w:pPr>
        <w:rPr>
          <w:rFonts w:ascii="Arial" w:hAnsi="Arial" w:cs="Arial"/>
          <w:lang w:val="en-GB"/>
        </w:rPr>
      </w:pPr>
      <w:r w:rsidRPr="000716AB">
        <w:rPr>
          <w:rFonts w:ascii="Arial" w:hAnsi="Arial" w:cs="Arial"/>
          <w:lang w:val="en-GB"/>
        </w:rPr>
        <w:t>The choice of entry mode into Algeria entails considering the opportunities and the institutional risks and maintaining the ownership-specific advantages of IKEA. The international business literature suggests that decisions on entry modes should be based on the balance between control, resource commitment, and political and operational risk (Hill</w:t>
      </w:r>
      <w:r w:rsidR="00D06952" w:rsidRPr="000716AB">
        <w:rPr>
          <w:rFonts w:ascii="Arial" w:hAnsi="Arial" w:cs="Arial"/>
          <w:i/>
          <w:iCs/>
          <w:lang w:val="en-GB"/>
        </w:rPr>
        <w:t>,</w:t>
      </w:r>
      <w:r w:rsidR="00D06952" w:rsidRPr="000716AB">
        <w:rPr>
          <w:rFonts w:ascii="Arial" w:hAnsi="Arial" w:cs="Arial"/>
          <w:iCs/>
          <w:lang w:val="en-GB"/>
        </w:rPr>
        <w:t xml:space="preserve"> 2008</w:t>
      </w:r>
      <w:r w:rsidRPr="000716AB">
        <w:rPr>
          <w:rFonts w:ascii="Arial" w:hAnsi="Arial" w:cs="Arial"/>
          <w:lang w:val="en-GB"/>
        </w:rPr>
        <w:t xml:space="preserve">). </w:t>
      </w:r>
    </w:p>
    <w:p w14:paraId="301FD6E6" w14:textId="76A3A0AA" w:rsidR="004260A9" w:rsidRPr="000716AB" w:rsidRDefault="0083161F" w:rsidP="00F55AD0">
      <w:pPr>
        <w:rPr>
          <w:rFonts w:ascii="Arial" w:hAnsi="Arial" w:cs="Arial"/>
          <w:lang w:val="en-GB"/>
        </w:rPr>
      </w:pPr>
      <w:r w:rsidRPr="000716AB">
        <w:rPr>
          <w:rFonts w:ascii="Arial" w:hAnsi="Arial" w:cs="Arial"/>
          <w:lang w:val="en-GB"/>
        </w:rPr>
        <w:t xml:space="preserve">Exporting involves the least financial investment and is the most flexible of the options. But it is not a good fit for IKEA, as its competitive edge is not just with the products, but with a holistic retail concept that includes large format stores, customer experience, logistics and after sales. </w:t>
      </w:r>
      <w:r w:rsidR="0091319A" w:rsidRPr="000716AB">
        <w:rPr>
          <w:rFonts w:ascii="Arial" w:hAnsi="Arial" w:cs="Arial"/>
          <w:lang w:val="en-GB"/>
        </w:rPr>
        <w:t>Exporting would thus limit IKEA's ability to respond effectively to local customer needs and sustain competitive advantage, reducing its market responsiveness (Miocevic et al., 2023, p. 497).</w:t>
      </w:r>
    </w:p>
    <w:p w14:paraId="46827B67" w14:textId="77777777" w:rsidR="00755209" w:rsidRPr="000716AB" w:rsidRDefault="00755209" w:rsidP="00F55AD0">
      <w:pPr>
        <w:rPr>
          <w:rFonts w:ascii="Arial" w:hAnsi="Arial" w:cs="Arial"/>
          <w:lang w:val="en-GB"/>
        </w:rPr>
      </w:pPr>
      <w:r w:rsidRPr="000716AB">
        <w:rPr>
          <w:rFonts w:ascii="Arial" w:hAnsi="Arial" w:cs="Arial"/>
          <w:lang w:val="en-GB"/>
        </w:rPr>
        <w:t>There are different strategic advantages of franchising, joint ventures and wholly owned subsidiaries. Franchising offers benefits of local knowledge, reduced financial commitment and, through robust franchise agreements, helps preserve the IKEA concept. Shared investment and regulatory support are provided through joint ventures, but there is a reduction in managerial control quality (Buckley and Casson, 2009; Rugman, 2010). Wholly-owned subsidiaries offer the strongest level of operational control, but come with the most significant financial investment and are subject to legal limitations for retail import-for-resale.</w:t>
      </w:r>
    </w:p>
    <w:p w14:paraId="75A2C39C" w14:textId="00EE9963" w:rsidR="004260A9" w:rsidRDefault="00365431" w:rsidP="00F55AD0">
      <w:pPr>
        <w:rPr>
          <w:rFonts w:ascii="Arial" w:hAnsi="Arial" w:cstheme="minorBidi"/>
          <w:szCs w:val="30"/>
          <w:lang w:val="en-GB" w:bidi="bn-BD"/>
        </w:rPr>
      </w:pPr>
      <w:r w:rsidRPr="000716AB">
        <w:rPr>
          <w:rFonts w:ascii="Arial" w:hAnsi="Arial" w:cs="Arial"/>
          <w:lang w:val="en-GB"/>
        </w:rPr>
        <w:t xml:space="preserve">A JV offers expertise in the local market, experience with regulations and shared investment costs. But there are disadvantages of shared ownership: The risk of loss of managerial control and possible delays in decision-making (Buckley and Casson, 2009; Rugman, 2010). Whilst a wholly owned subsidiary provides the greatest level of control, Algeria's import-for-resale restrictions limit its appeal to IKEA. To achieve that, a franchise </w:t>
      </w:r>
      <w:r w:rsidRPr="000716AB">
        <w:rPr>
          <w:rFonts w:ascii="Arial" w:hAnsi="Arial" w:cs="Arial"/>
          <w:lang w:val="en-GB"/>
        </w:rPr>
        <w:lastRenderedPageBreak/>
        <w:t>contract with an existing local partner would be the best entry mode, as it would allow IKEA to maintain the global standards while mitigating regulatory and operational risks consistent with Bartlett and Ghoshal's (1989) transnational strategy and IKEA's existing international franchise strategy (Inter IKEA Group, 2025; Abd Aziz et al., 2023).</w:t>
      </w:r>
    </w:p>
    <w:p w14:paraId="305E5AB5" w14:textId="77777777" w:rsidR="008B6EB6" w:rsidRPr="008B6EB6" w:rsidRDefault="008B6EB6" w:rsidP="00F55AD0">
      <w:pPr>
        <w:rPr>
          <w:rFonts w:ascii="Arial" w:hAnsi="Arial" w:cstheme="minorBidi"/>
          <w:szCs w:val="30"/>
          <w:lang w:val="en-GB" w:bidi="bn-BD"/>
        </w:rPr>
      </w:pPr>
    </w:p>
    <w:p w14:paraId="00373302" w14:textId="77777777" w:rsidR="004260A9" w:rsidRPr="000716AB" w:rsidRDefault="0083161F" w:rsidP="00F55AD0">
      <w:pPr>
        <w:pStyle w:val="Heading2"/>
        <w:rPr>
          <w:rFonts w:ascii="Arial" w:hAnsi="Arial" w:cs="Arial"/>
          <w:lang w:val="en-GB"/>
        </w:rPr>
      </w:pPr>
      <w:bookmarkStart w:id="37" w:name="_j6na326mm56z" w:colFirst="0" w:colLast="0"/>
      <w:bookmarkStart w:id="38" w:name="_Toc236753773"/>
      <w:bookmarkEnd w:id="37"/>
      <w:r w:rsidRPr="000716AB">
        <w:rPr>
          <w:rFonts w:ascii="Arial" w:hAnsi="Arial" w:cs="Arial"/>
          <w:lang w:val="en-GB"/>
        </w:rPr>
        <w:t>3.3 Conclusion and Strategic Recommendations</w:t>
      </w:r>
      <w:bookmarkEnd w:id="38"/>
    </w:p>
    <w:p w14:paraId="60AC869A" w14:textId="77777777" w:rsidR="004260A9" w:rsidRPr="000716AB" w:rsidRDefault="0083161F" w:rsidP="00F55AD0">
      <w:pPr>
        <w:pStyle w:val="Heading3"/>
        <w:numPr>
          <w:ilvl w:val="0"/>
          <w:numId w:val="2"/>
        </w:numPr>
        <w:rPr>
          <w:rFonts w:ascii="Arial" w:hAnsi="Arial" w:cs="Arial"/>
          <w:lang w:val="en-GB"/>
        </w:rPr>
      </w:pPr>
      <w:bookmarkStart w:id="39" w:name="_rpfs5wtusj60" w:colFirst="0" w:colLast="0"/>
      <w:bookmarkStart w:id="40" w:name="_Toc236753774"/>
      <w:bookmarkEnd w:id="39"/>
      <w:r w:rsidRPr="000716AB">
        <w:rPr>
          <w:rFonts w:ascii="Arial" w:hAnsi="Arial" w:cs="Arial"/>
          <w:lang w:val="en-GB"/>
        </w:rPr>
        <w:t>Conclusion</w:t>
      </w:r>
      <w:bookmarkEnd w:id="40"/>
      <w:r w:rsidRPr="000716AB">
        <w:rPr>
          <w:rFonts w:ascii="Arial" w:hAnsi="Arial" w:cs="Arial"/>
          <w:lang w:val="en-GB"/>
        </w:rPr>
        <w:t xml:space="preserve"> </w:t>
      </w:r>
    </w:p>
    <w:p w14:paraId="55B4A899" w14:textId="6532EA60" w:rsidR="004260A9" w:rsidRDefault="00B52EA8" w:rsidP="00F55AD0">
      <w:pPr>
        <w:rPr>
          <w:rFonts w:ascii="Arial" w:hAnsi="Arial" w:cstheme="minorBidi"/>
          <w:szCs w:val="30"/>
          <w:lang w:val="en-GB" w:bidi="bn-BD"/>
        </w:rPr>
      </w:pPr>
      <w:r w:rsidRPr="000716AB">
        <w:rPr>
          <w:rFonts w:ascii="Arial" w:hAnsi="Arial" w:cs="Arial"/>
          <w:lang w:val="en-GB"/>
        </w:rPr>
        <w:t>The analysis shows that Algeria has a long-term market potential due to its strategic position, high population and an improving investment climate, despite the institutional obstacles. The most suitable entry mode, based on the political, economic, legal and cultural analysis, together with Dunning's OLI Paradigm and Bartlett and Ghoshal's framework, is a franchise agreement with a capable local partner. Reducing regulatory and operational risk, this suggestion is in line with IKEA's existing international franchise system (Inter IKEA Group, 2025).</w:t>
      </w:r>
    </w:p>
    <w:p w14:paraId="712D5484" w14:textId="77777777" w:rsidR="008B6EB6" w:rsidRPr="008B6EB6" w:rsidRDefault="008B6EB6" w:rsidP="00F55AD0">
      <w:pPr>
        <w:rPr>
          <w:rFonts w:ascii="Arial" w:hAnsi="Arial" w:cstheme="minorBidi"/>
          <w:szCs w:val="30"/>
          <w:lang w:val="en-GB" w:bidi="bn-BD"/>
        </w:rPr>
      </w:pPr>
    </w:p>
    <w:p w14:paraId="0EB4D7F7" w14:textId="77777777" w:rsidR="004260A9" w:rsidRPr="000716AB" w:rsidRDefault="0083161F" w:rsidP="00F55AD0">
      <w:pPr>
        <w:pStyle w:val="Heading3"/>
        <w:numPr>
          <w:ilvl w:val="0"/>
          <w:numId w:val="2"/>
        </w:numPr>
        <w:rPr>
          <w:rFonts w:ascii="Arial" w:hAnsi="Arial" w:cs="Arial"/>
          <w:lang w:val="en-GB"/>
        </w:rPr>
      </w:pPr>
      <w:bookmarkStart w:id="41" w:name="_pr1wgkv7hmkm" w:colFirst="0" w:colLast="0"/>
      <w:bookmarkStart w:id="42" w:name="_Toc236753775"/>
      <w:bookmarkEnd w:id="41"/>
      <w:r w:rsidRPr="000716AB">
        <w:rPr>
          <w:rFonts w:ascii="Arial" w:hAnsi="Arial" w:cs="Arial"/>
          <w:lang w:val="en-GB"/>
        </w:rPr>
        <w:t>Strategic Recommendations</w:t>
      </w:r>
      <w:bookmarkEnd w:id="42"/>
      <w:r w:rsidRPr="000716AB">
        <w:rPr>
          <w:rFonts w:ascii="Arial" w:hAnsi="Arial" w:cs="Arial"/>
          <w:lang w:val="en-GB"/>
        </w:rPr>
        <w:t xml:space="preserve"> </w:t>
      </w:r>
    </w:p>
    <w:p w14:paraId="4ACDE52A" w14:textId="0D353F1A" w:rsidR="004260A9" w:rsidRPr="000716AB" w:rsidRDefault="0083161F" w:rsidP="00F55AD0">
      <w:pPr>
        <w:rPr>
          <w:rFonts w:ascii="Arial" w:hAnsi="Arial" w:cs="Arial"/>
          <w:lang w:val="en-GB"/>
        </w:rPr>
      </w:pPr>
      <w:r w:rsidRPr="000716AB">
        <w:rPr>
          <w:rFonts w:ascii="Arial" w:hAnsi="Arial" w:cs="Arial"/>
          <w:lang w:val="en-GB"/>
        </w:rPr>
        <w:t>To achieve the greatest chance of success, IKEA should forge strategic partnerships with local suppliers and logistics providers to ensure that distribution efficiency is maximised, while meeting the local sourcing requirements, and keeping control of the operations. The company should also gradually localize the supply chain, thereby decreasing the transportation cost and also increasing the responsiveness of inventory as the market demand emerges (Vaka, 2024, p.2). Moreover, IKEA must customize some of their products, store design and marketing messages in accordance with Algerian tastes and preferences while maintaining their international brand</w:t>
      </w:r>
      <w:r w:rsidR="002B53DD" w:rsidRPr="000716AB">
        <w:rPr>
          <w:rFonts w:ascii="Arial" w:hAnsi="Arial" w:cs="Arial"/>
          <w:lang w:val="en-GB"/>
        </w:rPr>
        <w:t>. It is recommended that the expansion strategy be phased, starting with the flagship store in Algiers, the capital and biggest urban market in Algeria, and then moving to other major cities, depending on the predefined targets for sales, customer demand, delivery cost and profitability (UNData, 2025).</w:t>
      </w:r>
      <w:r w:rsidR="006D27E6" w:rsidRPr="000716AB">
        <w:rPr>
          <w:rFonts w:ascii="Arial" w:hAnsi="Arial" w:cs="Arial"/>
          <w:lang w:val="en-GB"/>
        </w:rPr>
        <w:t xml:space="preserve"> </w:t>
      </w:r>
      <w:r w:rsidR="002B53DD" w:rsidRPr="000716AB">
        <w:rPr>
          <w:rFonts w:ascii="Arial" w:hAnsi="Arial" w:cs="Arial"/>
          <w:lang w:val="en-GB"/>
        </w:rPr>
        <w:t xml:space="preserve">Lastly, IKEA should have a robust risk management process by continuously </w:t>
      </w:r>
      <w:r w:rsidR="002B53DD" w:rsidRPr="000716AB">
        <w:rPr>
          <w:rFonts w:ascii="Arial" w:hAnsi="Arial" w:cs="Arial"/>
          <w:lang w:val="en-GB"/>
        </w:rPr>
        <w:lastRenderedPageBreak/>
        <w:t xml:space="preserve">monitoring regulatory requirements, diversifying suppliers and planning for contingencies to reduce operational disruptions and maintain sustainable growth </w:t>
      </w:r>
      <w:r w:rsidR="00834630" w:rsidRPr="000716AB">
        <w:rPr>
          <w:rFonts w:ascii="Arial" w:hAnsi="Arial" w:cs="Arial"/>
          <w:lang w:val="en-GB"/>
        </w:rPr>
        <w:t>(Inter IKEA Group, 2025)</w:t>
      </w:r>
      <w:r w:rsidRPr="000716AB">
        <w:rPr>
          <w:rFonts w:ascii="Arial" w:hAnsi="Arial" w:cs="Arial"/>
          <w:lang w:val="en-GB"/>
        </w:rPr>
        <w:t xml:space="preserve">. </w:t>
      </w:r>
    </w:p>
    <w:p w14:paraId="57DD4C35" w14:textId="27BADA42" w:rsidR="004260A9" w:rsidRPr="000716AB" w:rsidRDefault="0020072E" w:rsidP="00F55AD0">
      <w:pPr>
        <w:pStyle w:val="Heading1"/>
        <w:tabs>
          <w:tab w:val="left" w:pos="2040"/>
        </w:tabs>
        <w:rPr>
          <w:rFonts w:ascii="Arial" w:hAnsi="Arial" w:cs="Arial"/>
          <w:lang w:val="en-GB"/>
        </w:rPr>
      </w:pPr>
      <w:bookmarkStart w:id="43" w:name="_4i7yoy4wae1s" w:colFirst="0" w:colLast="0"/>
      <w:bookmarkStart w:id="44" w:name="_Toc236753776"/>
      <w:bookmarkEnd w:id="43"/>
      <w:r w:rsidRPr="000716AB">
        <w:rPr>
          <w:rFonts w:ascii="Arial" w:hAnsi="Arial" w:cs="Arial"/>
          <w:lang w:val="en-GB"/>
        </w:rPr>
        <w:t>SECTION 2: Reflective Account (Gibbs' Reflective Cycle)</w:t>
      </w:r>
      <w:bookmarkEnd w:id="44"/>
      <w:r w:rsidRPr="000716AB">
        <w:rPr>
          <w:rFonts w:ascii="Arial" w:hAnsi="Arial" w:cs="Arial"/>
          <w:lang w:val="en-GB"/>
        </w:rPr>
        <w:tab/>
      </w:r>
    </w:p>
    <w:p w14:paraId="5FC15FD3" w14:textId="49B9FACD" w:rsidR="004260A9" w:rsidRPr="000716AB" w:rsidRDefault="0083161F" w:rsidP="00F55AD0">
      <w:pPr>
        <w:pStyle w:val="Heading2"/>
        <w:rPr>
          <w:rFonts w:ascii="Arial" w:hAnsi="Arial" w:cs="Arial"/>
          <w:lang w:val="en-GB"/>
        </w:rPr>
      </w:pPr>
      <w:bookmarkStart w:id="45" w:name="_vai53j45r89" w:colFirst="0" w:colLast="0"/>
      <w:bookmarkStart w:id="46" w:name="_Toc236753777"/>
      <w:bookmarkEnd w:id="45"/>
      <w:r w:rsidRPr="000716AB">
        <w:rPr>
          <w:rFonts w:ascii="Arial" w:hAnsi="Arial" w:cs="Arial"/>
          <w:lang w:val="en-GB"/>
        </w:rPr>
        <w:t>1. Description</w:t>
      </w:r>
      <w:bookmarkEnd w:id="46"/>
    </w:p>
    <w:p w14:paraId="14C48951" w14:textId="7FB423E0" w:rsidR="008B6EB6" w:rsidRPr="008B6EB6" w:rsidRDefault="00212F8E" w:rsidP="00F55AD0">
      <w:pPr>
        <w:rPr>
          <w:rFonts w:ascii="Arial" w:hAnsi="Arial" w:cstheme="minorBidi"/>
          <w:szCs w:val="30"/>
          <w:lang w:val="en-GB" w:bidi="bn-BD"/>
        </w:rPr>
      </w:pPr>
      <w:r w:rsidRPr="000716AB">
        <w:rPr>
          <w:rFonts w:ascii="Arial" w:hAnsi="Arial" w:cs="Arial"/>
          <w:lang w:val="en-GB"/>
        </w:rPr>
        <w:t xml:space="preserve">This reflective account is based on Gibbs' (1988) Reflective cycle, a systematic framework to help reflection on experiences and facilitate ongoing learning. For this evaluation, I conducted a search in the academic databases Google Scholar and Scopus as well as official websites like the World Bank, UNCTAD, Inter IKEA Group and the International Labour Organization. Key word search phrases were used such as "IKEA internationalisation", "Algeria foreign direct investment", "Bartlett and Ghoshal international strategy", "Dunning OLI Paradigm" and "Algeria investment law". </w:t>
      </w:r>
      <w:r w:rsidR="009128A2" w:rsidRPr="000716AB">
        <w:rPr>
          <w:rFonts w:ascii="Arial" w:hAnsi="Arial" w:cs="Arial"/>
          <w:lang w:val="en-GB"/>
        </w:rPr>
        <w:t xml:space="preserve">I </w:t>
      </w:r>
      <w:r w:rsidR="00653136" w:rsidRPr="000716AB">
        <w:rPr>
          <w:rFonts w:ascii="Arial" w:hAnsi="Arial" w:cs="Arial"/>
          <w:lang w:val="en-GB"/>
        </w:rPr>
        <w:t>prioritized</w:t>
      </w:r>
      <w:r w:rsidR="009128A2" w:rsidRPr="000716AB">
        <w:rPr>
          <w:rFonts w:ascii="Arial" w:hAnsi="Arial" w:cs="Arial"/>
          <w:lang w:val="en-GB"/>
        </w:rPr>
        <w:t xml:space="preserve"> recent peer-reviewed journal articles and official institutional reports while also incorporating seminal theoretical literature, including Bartlett and Ghoshal (1989), Dunning (1988), Buckley and Casson (2009), and Rugman (2010), where these remained fundamental to international business theory. </w:t>
      </w:r>
      <w:r w:rsidRPr="000716AB">
        <w:rPr>
          <w:rFonts w:ascii="Arial" w:hAnsi="Arial" w:cs="Arial"/>
          <w:lang w:val="en-GB"/>
        </w:rPr>
        <w:t>Then I used the theories in international business, such as the International Strategy Framework of Bartlett and Ghoshal, OLI Paradigm of Dunning to analyze the environment of Algeria, compare alternative strategy available for IKEA and recommend an appropriate entry mode for the expansion in Algeria.</w:t>
      </w:r>
    </w:p>
    <w:p w14:paraId="68051752" w14:textId="77777777" w:rsidR="004260A9" w:rsidRPr="000716AB" w:rsidRDefault="0083161F" w:rsidP="00F55AD0">
      <w:pPr>
        <w:pStyle w:val="Heading2"/>
        <w:rPr>
          <w:rFonts w:ascii="Arial" w:hAnsi="Arial" w:cs="Arial"/>
          <w:lang w:val="en-GB"/>
        </w:rPr>
      </w:pPr>
      <w:bookmarkStart w:id="47" w:name="_gap4gt6itnys" w:colFirst="0" w:colLast="0"/>
      <w:bookmarkStart w:id="48" w:name="_Toc236753778"/>
      <w:bookmarkEnd w:id="47"/>
      <w:r w:rsidRPr="000716AB">
        <w:rPr>
          <w:rFonts w:ascii="Arial" w:hAnsi="Arial" w:cs="Arial"/>
          <w:lang w:val="en-GB"/>
        </w:rPr>
        <w:t>2. Feelings</w:t>
      </w:r>
      <w:bookmarkEnd w:id="48"/>
    </w:p>
    <w:p w14:paraId="3260ECFE" w14:textId="70FB9C9D" w:rsidR="008B6EB6" w:rsidRPr="008B6EB6" w:rsidRDefault="0083161F" w:rsidP="00F55AD0">
      <w:pPr>
        <w:rPr>
          <w:rFonts w:ascii="Arial" w:hAnsi="Arial" w:cstheme="minorBidi"/>
          <w:szCs w:val="30"/>
          <w:lang w:val="en-GB" w:bidi="bn-BD"/>
        </w:rPr>
      </w:pPr>
      <w:r w:rsidRPr="000716AB">
        <w:rPr>
          <w:rFonts w:ascii="Arial" w:hAnsi="Arial" w:cs="Arial"/>
          <w:lang w:val="en-GB"/>
        </w:rPr>
        <w:t>Initially, I was familiar with general concepts of international business but did not have much experience in using these concepts in a real business expansion scenario. At first, it was difficult for me to link theory with practice in the field of organisational decision making, as there seemed to be a number of entry modes that would work on the</w:t>
      </w:r>
      <w:r w:rsidR="003F557B" w:rsidRPr="000716AB">
        <w:rPr>
          <w:rFonts w:ascii="Arial" w:hAnsi="Arial" w:cs="Arial"/>
          <w:lang w:val="en-GB"/>
        </w:rPr>
        <w:t xml:space="preserve"> basis of differing assumptions</w:t>
      </w:r>
      <w:r w:rsidRPr="000716AB">
        <w:rPr>
          <w:rFonts w:ascii="Arial" w:hAnsi="Arial" w:cs="Arial"/>
          <w:lang w:val="en-GB"/>
        </w:rPr>
        <w:t xml:space="preserve">. Another difficulty was finding evidence from trustworthy international organisations that was reliable and current, instead of using general internet evidence. Through the research, I gained more confidence in critical assessment of </w:t>
      </w:r>
      <w:r w:rsidRPr="000716AB">
        <w:rPr>
          <w:rFonts w:ascii="Arial" w:hAnsi="Arial" w:cs="Arial"/>
          <w:lang w:val="en-GB"/>
        </w:rPr>
        <w:lastRenderedPageBreak/>
        <w:t>evidence, and in understanding how firms adjust international strategies to various institutional environments.</w:t>
      </w:r>
    </w:p>
    <w:p w14:paraId="49C28680" w14:textId="77777777" w:rsidR="004260A9" w:rsidRPr="000716AB" w:rsidRDefault="0083161F" w:rsidP="00F55AD0">
      <w:pPr>
        <w:pStyle w:val="Heading2"/>
        <w:rPr>
          <w:rFonts w:ascii="Arial" w:hAnsi="Arial" w:cs="Arial"/>
          <w:lang w:val="en-GB"/>
        </w:rPr>
      </w:pPr>
      <w:bookmarkStart w:id="49" w:name="_g7xm4a9u9eq0" w:colFirst="0" w:colLast="0"/>
      <w:bookmarkStart w:id="50" w:name="_Toc236753779"/>
      <w:bookmarkEnd w:id="49"/>
      <w:r w:rsidRPr="000716AB">
        <w:rPr>
          <w:rFonts w:ascii="Arial" w:hAnsi="Arial" w:cs="Arial"/>
          <w:lang w:val="en-GB"/>
        </w:rPr>
        <w:t>3. Evaluation</w:t>
      </w:r>
      <w:bookmarkEnd w:id="50"/>
    </w:p>
    <w:p w14:paraId="499816F1" w14:textId="61D2D9D5" w:rsidR="008B6EB6" w:rsidRPr="008B6EB6" w:rsidRDefault="0083161F" w:rsidP="00F55AD0">
      <w:pPr>
        <w:rPr>
          <w:rFonts w:ascii="Arial" w:hAnsi="Arial" w:cstheme="minorBidi"/>
          <w:szCs w:val="30"/>
          <w:lang w:val="en-GB" w:bidi="bn-BD"/>
        </w:rPr>
      </w:pPr>
      <w:r w:rsidRPr="000716AB">
        <w:rPr>
          <w:rFonts w:ascii="Arial" w:hAnsi="Arial" w:cs="Arial"/>
          <w:lang w:val="en-GB"/>
        </w:rPr>
        <w:t>The research process is one of the main strengths as credible secondary sources were used, such as international organisations, and IKEA's official publications, to increase the reliability of the analysis. In line with Dunning's eclectic paradigm and Bartlett and Ghoshal's international strategy framework, the market entry options could be looked at systematically and not from a subjective point of view. However, there were some problems in the research process. Algeria is a relatively small economy with a limited academic literature relative to other larger economies and, as a result, it is more challenging to find detailed country-specific evidence. Furthermore, the use of secondary data only limited the understanding of the present consumer preferences and operational problems from local stakeholders.</w:t>
      </w:r>
      <w:r w:rsidR="00DB4E31" w:rsidRPr="000716AB">
        <w:rPr>
          <w:rFonts w:ascii="Arial" w:hAnsi="Arial" w:cs="Arial"/>
          <w:lang w:val="en-GB"/>
        </w:rPr>
        <w:t xml:space="preserve"> </w:t>
      </w:r>
      <w:r w:rsidR="00DE017D" w:rsidRPr="000716AB">
        <w:rPr>
          <w:rFonts w:ascii="Arial" w:hAnsi="Arial" w:cs="Arial"/>
          <w:lang w:val="en-GB"/>
        </w:rPr>
        <w:t>Careful interpretation of evidence was needed because of these limitations. I considered information from diverse and peer-reviewed sources, such as the World Bank, UNCTAD and IKEA publications, and excluded unsupported or inconsistent claims, in order to enhance reliability. Despite the sparse country literature, the triangulation added to the overall credibility of the analysis.</w:t>
      </w:r>
    </w:p>
    <w:p w14:paraId="3614CA9C" w14:textId="77777777" w:rsidR="004260A9" w:rsidRPr="000716AB" w:rsidRDefault="0083161F" w:rsidP="00F55AD0">
      <w:pPr>
        <w:pStyle w:val="Heading2"/>
        <w:rPr>
          <w:rFonts w:ascii="Arial" w:hAnsi="Arial" w:cs="Arial"/>
          <w:lang w:val="en-GB"/>
        </w:rPr>
      </w:pPr>
      <w:bookmarkStart w:id="51" w:name="_3chdyhxg7v6o" w:colFirst="0" w:colLast="0"/>
      <w:bookmarkStart w:id="52" w:name="_Toc236753780"/>
      <w:bookmarkEnd w:id="51"/>
      <w:r w:rsidRPr="000716AB">
        <w:rPr>
          <w:rFonts w:ascii="Arial" w:hAnsi="Arial" w:cs="Arial"/>
          <w:lang w:val="en-GB"/>
        </w:rPr>
        <w:t>4. Analysis</w:t>
      </w:r>
      <w:bookmarkEnd w:id="52"/>
    </w:p>
    <w:p w14:paraId="21944F7D" w14:textId="495250F0" w:rsidR="00C119B0" w:rsidRPr="000716AB" w:rsidRDefault="00600277" w:rsidP="00F55AD0">
      <w:pPr>
        <w:rPr>
          <w:rFonts w:ascii="Arial" w:hAnsi="Arial" w:cs="Arial"/>
          <w:lang w:val="en-GB"/>
        </w:rPr>
      </w:pPr>
      <w:r w:rsidRPr="000716AB">
        <w:rPr>
          <w:rFonts w:ascii="Arial" w:hAnsi="Arial" w:cs="Arial"/>
          <w:lang w:val="en-GB"/>
        </w:rPr>
        <w:t>The completion of this assessment has been a great help to me when it comes to understanding international business strategy, as I had to put theory into practice rather than just conceptualising it. The module lecture on Bartlett and Ghoshal's International Strategy Framework and the subsequent classroom discussion on contrasting multinational entry strategies helped me appreciate the need for a firm to integrate itself globally and be responsive to local needs and not opt for a single international strategy across all market segments.</w:t>
      </w:r>
    </w:p>
    <w:p w14:paraId="6ED7DA6F" w14:textId="77777777" w:rsidR="00C119B0" w:rsidRPr="000716AB" w:rsidRDefault="00C119B0" w:rsidP="00F55AD0">
      <w:pPr>
        <w:rPr>
          <w:rFonts w:ascii="Arial" w:hAnsi="Arial" w:cs="Arial"/>
          <w:lang w:val="en-GB"/>
        </w:rPr>
      </w:pPr>
      <w:r w:rsidRPr="000716AB">
        <w:rPr>
          <w:rFonts w:ascii="Arial" w:hAnsi="Arial" w:cs="Arial"/>
          <w:lang w:val="en-GB"/>
        </w:rPr>
        <w:t xml:space="preserve">In the same vein, my view on international market entry decisions changed after studying Dunning's OLI Paradigm. Prior to doing this module, I thought of the selection of entry mode as a decision between exporting, and franchising or foreign direct investment. In implementing the OLI framework, it was found that firms need to assess ownership, </w:t>
      </w:r>
      <w:r w:rsidRPr="000716AB">
        <w:rPr>
          <w:rFonts w:ascii="Arial" w:hAnsi="Arial" w:cs="Arial"/>
          <w:lang w:val="en-GB"/>
        </w:rPr>
        <w:lastRenderedPageBreak/>
        <w:t xml:space="preserve">location and internalisation advantages in order to choose a suitable strategy. This made me realise that successful internationalisation can only be achieved by both sides of the equation in terms of the opportunities and constraints of the environment in the host country as well as the capabilities of the organisation (Bartlett and Ghoshal, 1989). </w:t>
      </w:r>
    </w:p>
    <w:p w14:paraId="46837148" w14:textId="69E3C038" w:rsidR="004260A9" w:rsidRPr="000716AB" w:rsidRDefault="0083161F" w:rsidP="00F55AD0">
      <w:pPr>
        <w:rPr>
          <w:rFonts w:ascii="Arial" w:hAnsi="Arial" w:cs="Arial"/>
          <w:lang w:val="en-GB"/>
        </w:rPr>
      </w:pPr>
      <w:r w:rsidRPr="000716AB">
        <w:rPr>
          <w:rFonts w:ascii="Arial" w:hAnsi="Arial" w:cs="Arial"/>
          <w:lang w:val="en-GB"/>
        </w:rPr>
        <w:t xml:space="preserve">Likewise, the application of Dunning's OLI Paradigm helped me to assess the ownership, location and internalisation advantages at the same time, when making decisions on foreign direct investment (Batschauer da Cruz </w:t>
      </w:r>
      <w:r w:rsidRPr="000716AB">
        <w:rPr>
          <w:rFonts w:ascii="Arial" w:hAnsi="Arial" w:cs="Arial"/>
          <w:i/>
          <w:iCs/>
          <w:lang w:val="en-GB"/>
        </w:rPr>
        <w:t xml:space="preserve">et al., </w:t>
      </w:r>
      <w:r w:rsidRPr="000716AB">
        <w:rPr>
          <w:rFonts w:ascii="Arial" w:hAnsi="Arial" w:cs="Arial"/>
          <w:lang w:val="en-GB"/>
        </w:rPr>
        <w:t>2022, p.146). I realised that entry mode is not a standalone decision, but rather is a function of the interplay between the characteristics of the host country and the company's resources.</w:t>
      </w:r>
    </w:p>
    <w:p w14:paraId="7DEAF6A7" w14:textId="2F9C4723" w:rsidR="008B6EB6" w:rsidRPr="008B6EB6" w:rsidRDefault="0083161F" w:rsidP="00F55AD0">
      <w:pPr>
        <w:rPr>
          <w:rFonts w:ascii="Arial" w:hAnsi="Arial" w:cstheme="minorBidi"/>
          <w:szCs w:val="30"/>
          <w:lang w:val="en-GB" w:bidi="bn-BD"/>
        </w:rPr>
      </w:pPr>
      <w:r w:rsidRPr="000716AB">
        <w:rPr>
          <w:rFonts w:ascii="Arial" w:hAnsi="Arial" w:cs="Arial"/>
          <w:lang w:val="en-GB"/>
        </w:rPr>
        <w:t>The assessment also helped me to develop country analysis abilities as it demanded the combination of political, economic and institutional evidence for strategic decision making. In addition, I developed my critical thinking skills by understanding the pros and cons of different market entry strategies and comparing them. Lastly, my academic research skills have been enhanced in finding peer-reviewed journal articles, assessing the credibility of international data and in combining information from various sources to form a strategic argument. These skills will help in future academic studies and professional decision making in international business.</w:t>
      </w:r>
    </w:p>
    <w:p w14:paraId="295FF20C" w14:textId="77777777" w:rsidR="004260A9" w:rsidRPr="000716AB" w:rsidRDefault="0083161F" w:rsidP="00F55AD0">
      <w:pPr>
        <w:pStyle w:val="Heading2"/>
        <w:rPr>
          <w:rFonts w:ascii="Arial" w:hAnsi="Arial" w:cs="Arial"/>
          <w:lang w:val="en-GB"/>
        </w:rPr>
      </w:pPr>
      <w:bookmarkStart w:id="53" w:name="_nlgp09zgm017" w:colFirst="0" w:colLast="0"/>
      <w:bookmarkStart w:id="54" w:name="_Toc236753781"/>
      <w:bookmarkEnd w:id="53"/>
      <w:r w:rsidRPr="000716AB">
        <w:rPr>
          <w:rFonts w:ascii="Arial" w:hAnsi="Arial" w:cs="Arial"/>
          <w:lang w:val="en-GB"/>
        </w:rPr>
        <w:t>5. Conclusion</w:t>
      </w:r>
      <w:bookmarkEnd w:id="54"/>
    </w:p>
    <w:p w14:paraId="19266615" w14:textId="51FE1AC5" w:rsidR="008B6EB6" w:rsidRPr="008B6EB6" w:rsidRDefault="00C80CB0" w:rsidP="00F55AD0">
      <w:pPr>
        <w:rPr>
          <w:rFonts w:ascii="Arial" w:hAnsi="Arial" w:cstheme="minorBidi"/>
          <w:szCs w:val="30"/>
          <w:lang w:val="en-GB" w:bidi="bn-BD"/>
        </w:rPr>
      </w:pPr>
      <w:r w:rsidRPr="000716AB">
        <w:rPr>
          <w:rFonts w:ascii="Arial" w:hAnsi="Arial" w:cs="Arial"/>
          <w:lang w:val="en-GB"/>
        </w:rPr>
        <w:t>Applying the Gibbs' Reflective Cycle allowed me to reflect on the strengths and limitations in my research process and academic performance. By completing this assessment, I was able to equip myself with the skills required to apply theories of international business and a real-life scenario of entering a foreign market; I also enhanced my research, critical analysis and evaluation of evidence skills. My review of academic literature will be more systematic in the future, and I will compare the various strategic options that are available and pick the best evidence to support my recommendations. These experiences will contribute to the creation of my more effective academic work and it will better equip me for my international business career in the future.</w:t>
      </w:r>
    </w:p>
    <w:p w14:paraId="7863903A" w14:textId="77777777" w:rsidR="004260A9" w:rsidRPr="000716AB" w:rsidRDefault="0083161F" w:rsidP="00F55AD0">
      <w:pPr>
        <w:pStyle w:val="Heading2"/>
        <w:rPr>
          <w:rFonts w:ascii="Arial" w:hAnsi="Arial" w:cs="Arial"/>
          <w:lang w:val="en-GB"/>
        </w:rPr>
      </w:pPr>
      <w:bookmarkStart w:id="55" w:name="_ut0fpyvsbmjf" w:colFirst="0" w:colLast="0"/>
      <w:bookmarkStart w:id="56" w:name="_Toc236753782"/>
      <w:bookmarkEnd w:id="55"/>
      <w:r w:rsidRPr="000716AB">
        <w:rPr>
          <w:rFonts w:ascii="Arial" w:hAnsi="Arial" w:cs="Arial"/>
          <w:lang w:val="en-GB"/>
        </w:rPr>
        <w:lastRenderedPageBreak/>
        <w:t>6. Action Plan</w:t>
      </w:r>
      <w:bookmarkEnd w:id="56"/>
    </w:p>
    <w:p w14:paraId="1EA0FD74" w14:textId="77777777" w:rsidR="004260A9" w:rsidRPr="000716AB" w:rsidRDefault="0083161F" w:rsidP="00F55AD0">
      <w:pPr>
        <w:jc w:val="center"/>
        <w:rPr>
          <w:rFonts w:ascii="Arial" w:hAnsi="Arial" w:cs="Arial"/>
          <w:b/>
          <w:bCs/>
          <w:lang w:val="en-GB"/>
        </w:rPr>
      </w:pPr>
      <w:r w:rsidRPr="000716AB">
        <w:rPr>
          <w:rFonts w:ascii="Arial" w:hAnsi="Arial" w:cs="Arial"/>
          <w:b/>
          <w:bCs/>
          <w:lang w:val="en-GB"/>
        </w:rPr>
        <w:t>Table 3: Action Plan for improvement</w:t>
      </w:r>
    </w:p>
    <w:p w14:paraId="212812B3" w14:textId="77777777" w:rsidR="004260A9" w:rsidRPr="000716AB" w:rsidRDefault="0083161F" w:rsidP="00F55AD0">
      <w:pPr>
        <w:jc w:val="center"/>
        <w:rPr>
          <w:rFonts w:ascii="Arial" w:hAnsi="Arial" w:cs="Arial"/>
          <w:lang w:val="en-GB"/>
        </w:rPr>
      </w:pPr>
      <w:r w:rsidRPr="000716AB">
        <w:rPr>
          <w:rFonts w:ascii="Arial" w:hAnsi="Arial" w:cs="Arial"/>
          <w:lang w:val="en-GB"/>
        </w:rPr>
        <w:t>(Source: Self-Created)</w:t>
      </w:r>
    </w:p>
    <w:tbl>
      <w:tblPr>
        <w:tblStyle w:val="GridTable5Dark-Accent6"/>
        <w:tblW w:w="0" w:type="auto"/>
        <w:tblLook w:val="04A0" w:firstRow="1" w:lastRow="0" w:firstColumn="1" w:lastColumn="0" w:noHBand="0" w:noVBand="1"/>
      </w:tblPr>
      <w:tblGrid>
        <w:gridCol w:w="1842"/>
        <w:gridCol w:w="3073"/>
        <w:gridCol w:w="1649"/>
        <w:gridCol w:w="2786"/>
      </w:tblGrid>
      <w:tr w:rsidR="000716AB" w:rsidRPr="000716AB" w14:paraId="181C7D91" w14:textId="77777777" w:rsidTr="006547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A19BBF" w14:textId="77777777" w:rsidR="00654710" w:rsidRPr="000716AB" w:rsidRDefault="00654710" w:rsidP="00F55AD0">
            <w:pPr>
              <w:spacing w:line="360" w:lineRule="auto"/>
              <w:jc w:val="center"/>
              <w:rPr>
                <w:rFonts w:ascii="Arial" w:hAnsi="Arial" w:cs="Arial"/>
                <w:color w:val="auto"/>
                <w:lang w:val="en-GB"/>
              </w:rPr>
            </w:pPr>
            <w:r w:rsidRPr="000716AB">
              <w:rPr>
                <w:rStyle w:val="Strong"/>
                <w:rFonts w:ascii="Arial" w:hAnsi="Arial" w:cs="Arial"/>
                <w:color w:val="auto"/>
                <w:lang w:val="en-GB"/>
              </w:rPr>
              <w:t>Area for Improvement</w:t>
            </w:r>
          </w:p>
        </w:tc>
        <w:tc>
          <w:tcPr>
            <w:tcW w:w="0" w:type="auto"/>
            <w:hideMark/>
          </w:tcPr>
          <w:p w14:paraId="6BE0ED9D" w14:textId="77777777" w:rsidR="00654710" w:rsidRPr="000716AB" w:rsidRDefault="00654710" w:rsidP="00F55AD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lang w:val="en-GB"/>
              </w:rPr>
            </w:pPr>
            <w:r w:rsidRPr="000716AB">
              <w:rPr>
                <w:rStyle w:val="Strong"/>
                <w:rFonts w:ascii="Arial" w:hAnsi="Arial" w:cs="Arial"/>
                <w:color w:val="auto"/>
                <w:lang w:val="en-GB"/>
              </w:rPr>
              <w:t>Action</w:t>
            </w:r>
          </w:p>
        </w:tc>
        <w:tc>
          <w:tcPr>
            <w:tcW w:w="0" w:type="auto"/>
            <w:hideMark/>
          </w:tcPr>
          <w:p w14:paraId="2F088A5C" w14:textId="77777777" w:rsidR="00654710" w:rsidRPr="000716AB" w:rsidRDefault="00654710" w:rsidP="00F55AD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lang w:val="en-GB"/>
              </w:rPr>
            </w:pPr>
            <w:r w:rsidRPr="000716AB">
              <w:rPr>
                <w:rStyle w:val="Strong"/>
                <w:rFonts w:ascii="Arial" w:hAnsi="Arial" w:cs="Arial"/>
                <w:color w:val="auto"/>
                <w:lang w:val="en-GB"/>
              </w:rPr>
              <w:t>Timescale</w:t>
            </w:r>
          </w:p>
        </w:tc>
        <w:tc>
          <w:tcPr>
            <w:tcW w:w="0" w:type="auto"/>
            <w:hideMark/>
          </w:tcPr>
          <w:p w14:paraId="75B0BBAB" w14:textId="77777777" w:rsidR="00654710" w:rsidRPr="000716AB" w:rsidRDefault="00654710" w:rsidP="00F55AD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lang w:val="en-GB"/>
              </w:rPr>
            </w:pPr>
            <w:r w:rsidRPr="000716AB">
              <w:rPr>
                <w:rStyle w:val="Strong"/>
                <w:rFonts w:ascii="Arial" w:hAnsi="Arial" w:cs="Arial"/>
                <w:color w:val="auto"/>
                <w:lang w:val="en-GB"/>
              </w:rPr>
              <w:t>Success Measure</w:t>
            </w:r>
          </w:p>
        </w:tc>
      </w:tr>
      <w:tr w:rsidR="000716AB" w:rsidRPr="000716AB" w14:paraId="2D0D56C2" w14:textId="77777777" w:rsidTr="00654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09F3A1" w14:textId="77777777" w:rsidR="00654710" w:rsidRPr="000716AB" w:rsidRDefault="00654710" w:rsidP="00F55AD0">
            <w:pPr>
              <w:spacing w:line="360" w:lineRule="auto"/>
              <w:jc w:val="left"/>
              <w:rPr>
                <w:rFonts w:ascii="Arial" w:hAnsi="Arial" w:cs="Arial"/>
                <w:b w:val="0"/>
                <w:bCs w:val="0"/>
                <w:color w:val="auto"/>
                <w:lang w:val="en-GB"/>
              </w:rPr>
            </w:pPr>
            <w:r w:rsidRPr="000716AB">
              <w:rPr>
                <w:rFonts w:ascii="Arial" w:hAnsi="Arial" w:cs="Arial"/>
                <w:color w:val="auto"/>
                <w:lang w:val="en-GB"/>
              </w:rPr>
              <w:t>Academic research skills</w:t>
            </w:r>
          </w:p>
        </w:tc>
        <w:tc>
          <w:tcPr>
            <w:tcW w:w="0" w:type="auto"/>
            <w:hideMark/>
          </w:tcPr>
          <w:p w14:paraId="50D413B2" w14:textId="7AAF1068" w:rsidR="00654710" w:rsidRPr="000716AB" w:rsidRDefault="00E71614" w:rsidP="00F55A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Use relevant, credible peer-reviewed literature and authoritative institutional reports that directly support the research argument.</w:t>
            </w:r>
          </w:p>
        </w:tc>
        <w:tc>
          <w:tcPr>
            <w:tcW w:w="0" w:type="auto"/>
            <w:hideMark/>
          </w:tcPr>
          <w:p w14:paraId="730473F2" w14:textId="77777777" w:rsidR="00654710" w:rsidRPr="000716AB" w:rsidRDefault="00654710" w:rsidP="00F55A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Next assignment</w:t>
            </w:r>
          </w:p>
        </w:tc>
        <w:tc>
          <w:tcPr>
            <w:tcW w:w="0" w:type="auto"/>
            <w:hideMark/>
          </w:tcPr>
          <w:p w14:paraId="0CE0F46B" w14:textId="3E18D69A" w:rsidR="00654710" w:rsidRPr="000716AB" w:rsidRDefault="0056629F" w:rsidP="00F55A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All references are relevant, credible and directly support the analysis and recommendations.</w:t>
            </w:r>
          </w:p>
        </w:tc>
      </w:tr>
      <w:tr w:rsidR="000716AB" w:rsidRPr="000716AB" w14:paraId="36227944" w14:textId="77777777" w:rsidTr="00654710">
        <w:tc>
          <w:tcPr>
            <w:cnfStyle w:val="001000000000" w:firstRow="0" w:lastRow="0" w:firstColumn="1" w:lastColumn="0" w:oddVBand="0" w:evenVBand="0" w:oddHBand="0" w:evenHBand="0" w:firstRowFirstColumn="0" w:firstRowLastColumn="0" w:lastRowFirstColumn="0" w:lastRowLastColumn="0"/>
            <w:tcW w:w="0" w:type="auto"/>
            <w:hideMark/>
          </w:tcPr>
          <w:p w14:paraId="73C6188E" w14:textId="77777777" w:rsidR="00654710" w:rsidRPr="000716AB" w:rsidRDefault="00654710" w:rsidP="00F55AD0">
            <w:pPr>
              <w:spacing w:line="360" w:lineRule="auto"/>
              <w:rPr>
                <w:rFonts w:ascii="Arial" w:hAnsi="Arial" w:cs="Arial"/>
                <w:color w:val="auto"/>
                <w:lang w:val="en-GB"/>
              </w:rPr>
            </w:pPr>
            <w:r w:rsidRPr="000716AB">
              <w:rPr>
                <w:rFonts w:ascii="Arial" w:hAnsi="Arial" w:cs="Arial"/>
                <w:color w:val="auto"/>
                <w:lang w:val="en-GB"/>
              </w:rPr>
              <w:t>Critical analysis</w:t>
            </w:r>
          </w:p>
        </w:tc>
        <w:tc>
          <w:tcPr>
            <w:tcW w:w="0" w:type="auto"/>
            <w:hideMark/>
          </w:tcPr>
          <w:p w14:paraId="11A8F5C0" w14:textId="77777777" w:rsidR="00654710" w:rsidRPr="000716AB" w:rsidRDefault="00654710" w:rsidP="00F55A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Critically compare at least three strategic alternatives before making recommendations.</w:t>
            </w:r>
          </w:p>
        </w:tc>
        <w:tc>
          <w:tcPr>
            <w:tcW w:w="0" w:type="auto"/>
            <w:hideMark/>
          </w:tcPr>
          <w:p w14:paraId="19E88B76" w14:textId="77777777" w:rsidR="00654710" w:rsidRPr="000716AB" w:rsidRDefault="00654710" w:rsidP="00F55A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Next assignment</w:t>
            </w:r>
          </w:p>
        </w:tc>
        <w:tc>
          <w:tcPr>
            <w:tcW w:w="0" w:type="auto"/>
            <w:hideMark/>
          </w:tcPr>
          <w:p w14:paraId="093AF700" w14:textId="77777777" w:rsidR="00654710" w:rsidRPr="000716AB" w:rsidRDefault="00654710" w:rsidP="00F55A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Every recommendation supported by comparative evaluation.</w:t>
            </w:r>
          </w:p>
        </w:tc>
      </w:tr>
      <w:tr w:rsidR="000716AB" w:rsidRPr="000716AB" w14:paraId="0ECF768E" w14:textId="77777777" w:rsidTr="00654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92FD5E" w14:textId="77777777" w:rsidR="00654710" w:rsidRPr="000716AB" w:rsidRDefault="00654710" w:rsidP="00F55AD0">
            <w:pPr>
              <w:spacing w:line="360" w:lineRule="auto"/>
              <w:rPr>
                <w:rFonts w:ascii="Arial" w:hAnsi="Arial" w:cs="Arial"/>
                <w:color w:val="auto"/>
                <w:lang w:val="en-GB"/>
              </w:rPr>
            </w:pPr>
            <w:r w:rsidRPr="000716AB">
              <w:rPr>
                <w:rFonts w:ascii="Arial" w:hAnsi="Arial" w:cs="Arial"/>
                <w:color w:val="auto"/>
                <w:lang w:val="en-GB"/>
              </w:rPr>
              <w:t>International business knowledge</w:t>
            </w:r>
          </w:p>
        </w:tc>
        <w:tc>
          <w:tcPr>
            <w:tcW w:w="0" w:type="auto"/>
            <w:hideMark/>
          </w:tcPr>
          <w:p w14:paraId="190EECEC" w14:textId="77777777" w:rsidR="00654710" w:rsidRPr="000716AB" w:rsidRDefault="00654710" w:rsidP="00F55A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Read one peer-reviewed international business journal article each week in addition to module materials.</w:t>
            </w:r>
          </w:p>
        </w:tc>
        <w:tc>
          <w:tcPr>
            <w:tcW w:w="0" w:type="auto"/>
            <w:hideMark/>
          </w:tcPr>
          <w:p w14:paraId="6CA3D12E" w14:textId="77777777" w:rsidR="00654710" w:rsidRPr="000716AB" w:rsidRDefault="00654710" w:rsidP="00F55A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Weekly for the next 8 weeks</w:t>
            </w:r>
          </w:p>
        </w:tc>
        <w:tc>
          <w:tcPr>
            <w:tcW w:w="0" w:type="auto"/>
            <w:hideMark/>
          </w:tcPr>
          <w:p w14:paraId="639CBB6F" w14:textId="77777777" w:rsidR="00654710" w:rsidRPr="000716AB" w:rsidRDefault="00654710" w:rsidP="00F55A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716AB">
              <w:rPr>
                <w:rFonts w:ascii="Arial" w:hAnsi="Arial" w:cs="Arial"/>
                <w:lang w:val="en-GB"/>
              </w:rPr>
              <w:t>Eight additional journal articles reviewed and summarised.</w:t>
            </w:r>
          </w:p>
        </w:tc>
      </w:tr>
      <w:tr w:rsidR="000716AB" w:rsidRPr="000716AB" w14:paraId="6358BCBD" w14:textId="77777777" w:rsidTr="00654710">
        <w:tc>
          <w:tcPr>
            <w:cnfStyle w:val="001000000000" w:firstRow="0" w:lastRow="0" w:firstColumn="1" w:lastColumn="0" w:oddVBand="0" w:evenVBand="0" w:oddHBand="0" w:evenHBand="0" w:firstRowFirstColumn="0" w:firstRowLastColumn="0" w:lastRowFirstColumn="0" w:lastRowLastColumn="0"/>
            <w:tcW w:w="0" w:type="auto"/>
            <w:hideMark/>
          </w:tcPr>
          <w:p w14:paraId="4803E846" w14:textId="77777777" w:rsidR="00654710" w:rsidRPr="000716AB" w:rsidRDefault="00654710" w:rsidP="00F55AD0">
            <w:pPr>
              <w:spacing w:line="360" w:lineRule="auto"/>
              <w:rPr>
                <w:rFonts w:ascii="Arial" w:hAnsi="Arial" w:cs="Arial"/>
                <w:color w:val="auto"/>
                <w:lang w:val="en-GB"/>
              </w:rPr>
            </w:pPr>
            <w:r w:rsidRPr="000716AB">
              <w:rPr>
                <w:rFonts w:ascii="Arial" w:hAnsi="Arial" w:cs="Arial"/>
                <w:color w:val="auto"/>
                <w:lang w:val="en-GB"/>
              </w:rPr>
              <w:t>Academic writing and referencing</w:t>
            </w:r>
          </w:p>
        </w:tc>
        <w:tc>
          <w:tcPr>
            <w:tcW w:w="0" w:type="auto"/>
            <w:hideMark/>
          </w:tcPr>
          <w:p w14:paraId="58F2923B" w14:textId="77777777" w:rsidR="00654710" w:rsidRPr="000716AB" w:rsidRDefault="00654710" w:rsidP="00F55A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Review Harvard referencing guidance and seek tutor feedback on one draft before submission.</w:t>
            </w:r>
          </w:p>
        </w:tc>
        <w:tc>
          <w:tcPr>
            <w:tcW w:w="0" w:type="auto"/>
            <w:hideMark/>
          </w:tcPr>
          <w:p w14:paraId="6CE0C23D" w14:textId="77777777" w:rsidR="00654710" w:rsidRPr="000716AB" w:rsidRDefault="00654710" w:rsidP="00F55A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Before every assignment submission</w:t>
            </w:r>
          </w:p>
        </w:tc>
        <w:tc>
          <w:tcPr>
            <w:tcW w:w="0" w:type="auto"/>
            <w:hideMark/>
          </w:tcPr>
          <w:p w14:paraId="05889214" w14:textId="77777777" w:rsidR="00654710" w:rsidRPr="000716AB" w:rsidRDefault="00654710" w:rsidP="00F55A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716AB">
              <w:rPr>
                <w:rFonts w:ascii="Arial" w:hAnsi="Arial" w:cs="Arial"/>
                <w:lang w:val="en-GB"/>
              </w:rPr>
              <w:t>Fewer referencing errors and improved academic feedback.</w:t>
            </w:r>
          </w:p>
        </w:tc>
      </w:tr>
    </w:tbl>
    <w:p w14:paraId="79646224" w14:textId="358ECB64" w:rsidR="004260A9" w:rsidRPr="000716AB" w:rsidRDefault="0083161F" w:rsidP="00F55AD0">
      <w:pPr>
        <w:rPr>
          <w:rFonts w:ascii="Arial" w:hAnsi="Arial" w:cs="Arial"/>
          <w:lang w:val="en-GB"/>
        </w:rPr>
      </w:pPr>
      <w:r w:rsidRPr="000716AB">
        <w:rPr>
          <w:rFonts w:ascii="Arial" w:hAnsi="Arial" w:cs="Arial"/>
          <w:lang w:val="en-GB"/>
        </w:rPr>
        <w:br w:type="page"/>
      </w:r>
    </w:p>
    <w:p w14:paraId="1B15F132" w14:textId="1961D6D2" w:rsidR="004260A9" w:rsidRPr="000716AB" w:rsidRDefault="0083161F" w:rsidP="008B6EB6">
      <w:pPr>
        <w:pStyle w:val="Heading1"/>
        <w:ind w:left="0" w:firstLine="0"/>
        <w:rPr>
          <w:rFonts w:ascii="Arial" w:hAnsi="Arial" w:cs="Arial"/>
          <w:lang w:val="en-GB"/>
        </w:rPr>
      </w:pPr>
      <w:bookmarkStart w:id="57" w:name="_u8kahym1p4it" w:colFirst="0" w:colLast="0"/>
      <w:bookmarkStart w:id="58" w:name="_Toc236753783"/>
      <w:bookmarkEnd w:id="57"/>
      <w:r w:rsidRPr="000716AB">
        <w:rPr>
          <w:rFonts w:ascii="Arial" w:hAnsi="Arial" w:cs="Arial"/>
          <w:lang w:val="en-GB"/>
        </w:rPr>
        <w:lastRenderedPageBreak/>
        <w:t>References</w:t>
      </w:r>
      <w:bookmarkEnd w:id="58"/>
    </w:p>
    <w:p w14:paraId="17A68B2C"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Abd Aziz, N.A., Ramdan, M.R., Abdul Aziz, K., Hasbollah, H.R., Abd Aziz, N.N., Nik Hussin, N.S. and Hasan, M.Z.M., (2023). Franchising for global distribution: A systematic review. </w:t>
      </w:r>
      <w:r w:rsidRPr="000716AB">
        <w:rPr>
          <w:rFonts w:ascii="Arial" w:hAnsi="Arial" w:cs="Arial"/>
          <w:i/>
          <w:iCs/>
          <w:lang w:val="en-GB"/>
        </w:rPr>
        <w:t>Journal of Distribution Science</w:t>
      </w:r>
      <w:r w:rsidRPr="000716AB">
        <w:rPr>
          <w:rFonts w:ascii="Arial" w:hAnsi="Arial" w:cs="Arial"/>
          <w:lang w:val="en-GB"/>
        </w:rPr>
        <w:t xml:space="preserve">, </w:t>
      </w:r>
      <w:r w:rsidRPr="000716AB">
        <w:rPr>
          <w:rFonts w:ascii="Arial" w:hAnsi="Arial" w:cs="Arial"/>
          <w:i/>
          <w:iCs/>
          <w:lang w:val="en-GB"/>
        </w:rPr>
        <w:t>21</w:t>
      </w:r>
      <w:r w:rsidRPr="000716AB">
        <w:rPr>
          <w:rFonts w:ascii="Arial" w:hAnsi="Arial" w:cs="Arial"/>
          <w:lang w:val="en-GB"/>
        </w:rPr>
        <w:t>(10), pp.39-49. Available at:</w:t>
      </w:r>
      <w:hyperlink r:id="rId11">
        <w:r w:rsidRPr="000716AB">
          <w:rPr>
            <w:rFonts w:ascii="Arial" w:hAnsi="Arial" w:cs="Arial"/>
            <w:lang w:val="en-GB"/>
          </w:rPr>
          <w:t xml:space="preserve"> </w:t>
        </w:r>
      </w:hyperlink>
      <w:hyperlink r:id="rId12">
        <w:r w:rsidRPr="000716AB">
          <w:rPr>
            <w:rFonts w:ascii="Arial" w:hAnsi="Arial" w:cs="Arial"/>
            <w:u w:val="single"/>
            <w:lang w:val="en-GB"/>
          </w:rPr>
          <w:t>http://dx.doi.org/10.15722/jds.21.10.202310.39</w:t>
        </w:r>
      </w:hyperlink>
    </w:p>
    <w:p w14:paraId="6B35C31D"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Algerian Ministry of Commerce (2025) </w:t>
      </w:r>
      <w:r w:rsidRPr="000716AB">
        <w:rPr>
          <w:rFonts w:ascii="Arial" w:hAnsi="Arial" w:cs="Arial"/>
          <w:i/>
          <w:iCs/>
          <w:lang w:val="en-GB"/>
        </w:rPr>
        <w:t>Law No. 09-03 on Consumer Protection and the Repression of Fraud</w:t>
      </w:r>
      <w:r w:rsidRPr="000716AB">
        <w:rPr>
          <w:rFonts w:ascii="Arial" w:hAnsi="Arial" w:cs="Arial"/>
          <w:lang w:val="en-GB"/>
        </w:rPr>
        <w:t>. Available at:</w:t>
      </w:r>
      <w:hyperlink r:id="rId13">
        <w:r w:rsidRPr="000716AB">
          <w:rPr>
            <w:rFonts w:ascii="Arial" w:hAnsi="Arial" w:cs="Arial"/>
            <w:lang w:val="en-GB"/>
          </w:rPr>
          <w:t xml:space="preserve"> </w:t>
        </w:r>
      </w:hyperlink>
      <w:r w:rsidRPr="000716AB">
        <w:rPr>
          <w:rFonts w:ascii="Arial" w:hAnsi="Arial" w:cs="Arial"/>
          <w:lang w:val="en-GB"/>
        </w:rPr>
        <w:t xml:space="preserve"> https://commerce.gov.dz/fr/reglementation/loi-n-deg-09-03-jo-n-deg-15-du-08-03-2009? (Accessed: 17 July 2026).</w:t>
      </w:r>
    </w:p>
    <w:p w14:paraId="088B2F37"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Arrouche, N. and Boukhedimi, C.E., (2024). Assessing the Algerian commercial logistics performance: analytical inquiry. </w:t>
      </w:r>
      <w:r w:rsidRPr="000716AB">
        <w:rPr>
          <w:rFonts w:ascii="Arial" w:hAnsi="Arial" w:cs="Arial"/>
          <w:i/>
          <w:iCs/>
          <w:lang w:val="en-GB"/>
        </w:rPr>
        <w:t>Management and Entrepreneurship: Trends of Development</w:t>
      </w:r>
      <w:r w:rsidRPr="000716AB">
        <w:rPr>
          <w:rFonts w:ascii="Arial" w:hAnsi="Arial" w:cs="Arial"/>
          <w:lang w:val="en-GB"/>
        </w:rPr>
        <w:t xml:space="preserve">, </w:t>
      </w:r>
      <w:r w:rsidRPr="000716AB">
        <w:rPr>
          <w:rFonts w:ascii="Arial" w:hAnsi="Arial" w:cs="Arial"/>
          <w:i/>
          <w:iCs/>
          <w:lang w:val="en-GB"/>
        </w:rPr>
        <w:t>2</w:t>
      </w:r>
      <w:r w:rsidRPr="000716AB">
        <w:rPr>
          <w:rFonts w:ascii="Arial" w:hAnsi="Arial" w:cs="Arial"/>
          <w:lang w:val="en-GB"/>
        </w:rPr>
        <w:t xml:space="preserve">(28), pp.116-129. Available at:  </w:t>
      </w:r>
      <w:hyperlink r:id="rId14">
        <w:r w:rsidRPr="000716AB">
          <w:rPr>
            <w:rFonts w:ascii="Arial" w:hAnsi="Arial" w:cs="Arial"/>
            <w:u w:val="single"/>
            <w:lang w:val="en-GB"/>
          </w:rPr>
          <w:t>https://doi.org/10.26661/2522-1566/2024-2/28-09</w:t>
        </w:r>
      </w:hyperlink>
    </w:p>
    <w:p w14:paraId="5E9F183C"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Bartlett, C.A. and Ghoshal, S. (1989) </w:t>
      </w:r>
      <w:r w:rsidRPr="000716AB">
        <w:rPr>
          <w:rFonts w:ascii="Arial" w:hAnsi="Arial" w:cs="Arial"/>
          <w:i/>
          <w:iCs/>
          <w:lang w:val="en-GB"/>
        </w:rPr>
        <w:t>Managing across borders: The transnational solution</w:t>
      </w:r>
      <w:r w:rsidRPr="000716AB">
        <w:rPr>
          <w:rFonts w:ascii="Arial" w:hAnsi="Arial" w:cs="Arial"/>
          <w:lang w:val="en-GB"/>
        </w:rPr>
        <w:t>. Boston, MA: Harvard Business School Press.</w:t>
      </w:r>
    </w:p>
    <w:p w14:paraId="1871AC09" w14:textId="77777777" w:rsidR="00910130" w:rsidRPr="000716AB" w:rsidRDefault="00910130" w:rsidP="00910130">
      <w:pPr>
        <w:ind w:left="720" w:hanging="720"/>
        <w:rPr>
          <w:rFonts w:ascii="Arial" w:hAnsi="Arial" w:cs="Arial"/>
          <w:lang w:val="en-GB"/>
        </w:rPr>
      </w:pPr>
      <w:r w:rsidRPr="000716AB">
        <w:rPr>
          <w:rFonts w:ascii="Arial" w:hAnsi="Arial" w:cs="Arial"/>
          <w:lang w:val="en-GB"/>
        </w:rPr>
        <w:t>Bartosik-Purgat, M., Rakowska, W. and Grzegorczyk, T., (2026). Young consumers in cultural context: A cross-national study of Hofstede’s value dimensions. </w:t>
      </w:r>
      <w:r w:rsidRPr="000716AB">
        <w:rPr>
          <w:rFonts w:ascii="Arial" w:hAnsi="Arial" w:cs="Arial"/>
          <w:i/>
          <w:iCs/>
          <w:lang w:val="en-GB"/>
        </w:rPr>
        <w:t>Entrepreneurial Business and Economics Review</w:t>
      </w:r>
      <w:r w:rsidRPr="000716AB">
        <w:rPr>
          <w:rFonts w:ascii="Arial" w:hAnsi="Arial" w:cs="Arial"/>
          <w:lang w:val="en-GB"/>
        </w:rPr>
        <w:t>, </w:t>
      </w:r>
      <w:r w:rsidRPr="000716AB">
        <w:rPr>
          <w:rFonts w:ascii="Arial" w:hAnsi="Arial" w:cs="Arial"/>
          <w:i/>
          <w:iCs/>
          <w:lang w:val="en-GB"/>
        </w:rPr>
        <w:t>14</w:t>
      </w:r>
      <w:r w:rsidRPr="000716AB">
        <w:rPr>
          <w:rFonts w:ascii="Arial" w:hAnsi="Arial" w:cs="Arial"/>
          <w:lang w:val="en-GB"/>
        </w:rPr>
        <w:t xml:space="preserve">(1), pp.155-175. </w:t>
      </w:r>
      <w:hyperlink r:id="rId15" w:history="1">
        <w:r w:rsidRPr="000716AB">
          <w:rPr>
            <w:rStyle w:val="Hyperlink"/>
            <w:rFonts w:ascii="Arial" w:hAnsi="Arial" w:cs="Arial"/>
            <w:color w:val="auto"/>
            <w:lang w:val="en-GB"/>
          </w:rPr>
          <w:t>https://doi.org/10.15678/EBER.2026.140109</w:t>
        </w:r>
      </w:hyperlink>
      <w:r w:rsidRPr="000716AB">
        <w:rPr>
          <w:rFonts w:ascii="Arial" w:hAnsi="Arial" w:cs="Arial"/>
          <w:lang w:val="en-GB"/>
        </w:rPr>
        <w:t xml:space="preserve"> </w:t>
      </w:r>
    </w:p>
    <w:p w14:paraId="5BE1A0DF"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Batschauer da Cruz, C.B., Eliete Floriani, D. and Amal, M., (2022). The OLI Paradigm as a comprehensive model of FDI determinants: a sub-national approach. </w:t>
      </w:r>
      <w:r w:rsidRPr="000716AB">
        <w:rPr>
          <w:rFonts w:ascii="Arial" w:hAnsi="Arial" w:cs="Arial"/>
          <w:i/>
          <w:iCs/>
          <w:lang w:val="en-GB"/>
        </w:rPr>
        <w:t>International Journal of Emerging Markets</w:t>
      </w:r>
      <w:r w:rsidRPr="000716AB">
        <w:rPr>
          <w:rFonts w:ascii="Arial" w:hAnsi="Arial" w:cs="Arial"/>
          <w:lang w:val="en-GB"/>
        </w:rPr>
        <w:t xml:space="preserve">, </w:t>
      </w:r>
      <w:r w:rsidRPr="000716AB">
        <w:rPr>
          <w:rFonts w:ascii="Arial" w:hAnsi="Arial" w:cs="Arial"/>
          <w:i/>
          <w:iCs/>
          <w:lang w:val="en-GB"/>
        </w:rPr>
        <w:t>17</w:t>
      </w:r>
      <w:r w:rsidRPr="000716AB">
        <w:rPr>
          <w:rFonts w:ascii="Arial" w:hAnsi="Arial" w:cs="Arial"/>
          <w:lang w:val="en-GB"/>
        </w:rPr>
        <w:t>(1), pp.145-176. Available at:</w:t>
      </w:r>
      <w:hyperlink r:id="rId16">
        <w:r w:rsidRPr="000716AB">
          <w:rPr>
            <w:rFonts w:ascii="Arial" w:hAnsi="Arial" w:cs="Arial"/>
            <w:lang w:val="en-GB"/>
          </w:rPr>
          <w:t xml:space="preserve"> </w:t>
        </w:r>
      </w:hyperlink>
      <w:hyperlink r:id="rId17">
        <w:r w:rsidRPr="000716AB">
          <w:rPr>
            <w:rFonts w:ascii="Arial" w:hAnsi="Arial" w:cs="Arial"/>
            <w:u w:val="single"/>
            <w:lang w:val="en-GB"/>
          </w:rPr>
          <w:t>https://doi.org/10.1108/IJOEM-07-2019-0517</w:t>
        </w:r>
      </w:hyperlink>
    </w:p>
    <w:p w14:paraId="79E56F6A" w14:textId="414AC500"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Boubetra, T., (2025). A New Approach to Investment in Algeria. </w:t>
      </w:r>
      <w:r w:rsidRPr="000716AB">
        <w:rPr>
          <w:rFonts w:ascii="Arial" w:hAnsi="Arial" w:cs="Arial"/>
          <w:i/>
          <w:iCs/>
          <w:lang w:val="en-GB"/>
        </w:rPr>
        <w:t xml:space="preserve">Revue des Sciences </w:t>
      </w:r>
      <w:r w:rsidR="008B6EB6" w:rsidRPr="000716AB">
        <w:rPr>
          <w:rFonts w:ascii="Arial" w:hAnsi="Arial" w:cs="Arial"/>
          <w:i/>
          <w:iCs/>
          <w:lang w:val="en-GB"/>
        </w:rPr>
        <w:t>Humanise</w:t>
      </w:r>
      <w:r w:rsidRPr="000716AB">
        <w:rPr>
          <w:rFonts w:ascii="Arial" w:hAnsi="Arial" w:cs="Arial"/>
          <w:lang w:val="en-GB"/>
        </w:rPr>
        <w:t xml:space="preserve">, </w:t>
      </w:r>
      <w:r w:rsidRPr="000716AB">
        <w:rPr>
          <w:rFonts w:ascii="Arial" w:hAnsi="Arial" w:cs="Arial"/>
          <w:i/>
          <w:iCs/>
          <w:lang w:val="en-GB"/>
        </w:rPr>
        <w:t>36</w:t>
      </w:r>
      <w:r w:rsidRPr="000716AB">
        <w:rPr>
          <w:rFonts w:ascii="Arial" w:hAnsi="Arial" w:cs="Arial"/>
          <w:lang w:val="en-GB"/>
        </w:rPr>
        <w:t xml:space="preserve">(2), pp.7-13. Available at:  </w:t>
      </w:r>
      <w:hyperlink r:id="rId18">
        <w:r w:rsidRPr="000716AB">
          <w:rPr>
            <w:rFonts w:ascii="Arial" w:hAnsi="Arial" w:cs="Arial"/>
            <w:u w:val="single"/>
            <w:lang w:val="en-GB"/>
          </w:rPr>
          <w:t>https://asjp.cerist.dz/en/downArticle/23/36/2/273398</w:t>
        </w:r>
      </w:hyperlink>
    </w:p>
    <w:p w14:paraId="71F01EA1"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Buckley, P.J. and Casson, M.C. (2009) ‘The internalisation theory of the multinational enterprise: A review of the progress of a research agenda after 30 years’, </w:t>
      </w:r>
      <w:r w:rsidRPr="000716AB">
        <w:rPr>
          <w:rFonts w:ascii="Arial" w:hAnsi="Arial" w:cs="Arial"/>
          <w:i/>
          <w:iCs/>
          <w:lang w:val="en-GB"/>
        </w:rPr>
        <w:t xml:space="preserve">Journal </w:t>
      </w:r>
      <w:r w:rsidRPr="000716AB">
        <w:rPr>
          <w:rFonts w:ascii="Arial" w:hAnsi="Arial" w:cs="Arial"/>
          <w:i/>
          <w:iCs/>
          <w:lang w:val="en-GB"/>
        </w:rPr>
        <w:lastRenderedPageBreak/>
        <w:t>of International Business Studies</w:t>
      </w:r>
      <w:r w:rsidRPr="000716AB">
        <w:rPr>
          <w:rFonts w:ascii="Arial" w:hAnsi="Arial" w:cs="Arial"/>
          <w:lang w:val="en-GB"/>
        </w:rPr>
        <w:t xml:space="preserve">, 40(9), pp. 1563–1580. </w:t>
      </w:r>
      <w:hyperlink r:id="rId19" w:history="1">
        <w:r w:rsidRPr="000716AB">
          <w:rPr>
            <w:rStyle w:val="Hyperlink"/>
            <w:rFonts w:ascii="Arial" w:hAnsi="Arial" w:cs="Arial"/>
            <w:color w:val="auto"/>
            <w:lang w:val="en-GB"/>
          </w:rPr>
          <w:t>https://doi.org/10.1057/jibs.2009.49</w:t>
        </w:r>
      </w:hyperlink>
    </w:p>
    <w:p w14:paraId="23D400B3"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Caballini, C. and Benzi, M., (2023). Fast Corridors: innovative customs processes and technology to increase supply chain competitiveness. The case of IKEA Italy. </w:t>
      </w:r>
      <w:r w:rsidRPr="000716AB">
        <w:rPr>
          <w:rFonts w:ascii="Arial" w:hAnsi="Arial" w:cs="Arial"/>
          <w:i/>
          <w:iCs/>
          <w:lang w:val="en-GB"/>
        </w:rPr>
        <w:t>Transportation Research Interdisciplinary Perspectives</w:t>
      </w:r>
      <w:r w:rsidRPr="000716AB">
        <w:rPr>
          <w:rFonts w:ascii="Arial" w:hAnsi="Arial" w:cs="Arial"/>
          <w:lang w:val="en-GB"/>
        </w:rPr>
        <w:t xml:space="preserve">, </w:t>
      </w:r>
      <w:r w:rsidRPr="000716AB">
        <w:rPr>
          <w:rFonts w:ascii="Arial" w:hAnsi="Arial" w:cs="Arial"/>
          <w:i/>
          <w:iCs/>
          <w:lang w:val="en-GB"/>
        </w:rPr>
        <w:t>21</w:t>
      </w:r>
      <w:r w:rsidRPr="000716AB">
        <w:rPr>
          <w:rFonts w:ascii="Arial" w:hAnsi="Arial" w:cs="Arial"/>
          <w:lang w:val="en-GB"/>
        </w:rPr>
        <w:t>, p.100909. Available at:</w:t>
      </w:r>
      <w:hyperlink r:id="rId20">
        <w:r w:rsidRPr="000716AB">
          <w:rPr>
            <w:rFonts w:ascii="Arial" w:hAnsi="Arial" w:cs="Arial"/>
            <w:lang w:val="en-GB"/>
          </w:rPr>
          <w:t xml:space="preserve"> </w:t>
        </w:r>
      </w:hyperlink>
      <w:hyperlink r:id="rId21">
        <w:r w:rsidRPr="000716AB">
          <w:rPr>
            <w:rFonts w:ascii="Arial" w:hAnsi="Arial" w:cs="Arial"/>
            <w:u w:val="single"/>
            <w:lang w:val="en-GB"/>
          </w:rPr>
          <w:t>https://doi.org/10.1016/j.trip.2023.100909</w:t>
        </w:r>
      </w:hyperlink>
    </w:p>
    <w:p w14:paraId="172B9065" w14:textId="77777777" w:rsidR="00910130" w:rsidRPr="000716AB" w:rsidRDefault="00910130" w:rsidP="00A675F1">
      <w:pPr>
        <w:spacing w:before="240" w:after="160"/>
        <w:ind w:left="720" w:hanging="720"/>
        <w:jc w:val="left"/>
        <w:rPr>
          <w:lang w:val="en-GB"/>
        </w:rPr>
      </w:pPr>
      <w:r w:rsidRPr="000716AB">
        <w:rPr>
          <w:rFonts w:ascii="Arial" w:hAnsi="Arial" w:cs="Arial"/>
          <w:lang w:val="en-GB"/>
        </w:rPr>
        <w:t xml:space="preserve">Chergui, S., (2026). Reconceptualizing the legal and institutional determinants of foreign investment attraction in Algeria: Stability, protection mechanisms, and incentive-based policy frameworks. </w:t>
      </w:r>
      <w:r w:rsidRPr="000716AB">
        <w:rPr>
          <w:rFonts w:ascii="Arial" w:hAnsi="Arial" w:cs="Arial"/>
          <w:i/>
          <w:iCs/>
          <w:lang w:val="en-GB"/>
        </w:rPr>
        <w:t>Journal of Life Economics</w:t>
      </w:r>
      <w:r w:rsidRPr="000716AB">
        <w:rPr>
          <w:rFonts w:ascii="Arial" w:hAnsi="Arial" w:cs="Arial"/>
          <w:lang w:val="en-GB"/>
        </w:rPr>
        <w:t xml:space="preserve">, </w:t>
      </w:r>
      <w:r w:rsidRPr="000716AB">
        <w:rPr>
          <w:rFonts w:ascii="Arial" w:hAnsi="Arial" w:cs="Arial"/>
          <w:i/>
          <w:iCs/>
          <w:lang w:val="en-GB"/>
        </w:rPr>
        <w:t>13</w:t>
      </w:r>
      <w:r w:rsidRPr="000716AB">
        <w:rPr>
          <w:rFonts w:ascii="Arial" w:hAnsi="Arial" w:cs="Arial"/>
          <w:lang w:val="en-GB"/>
        </w:rPr>
        <w:t>, pp.e3211-e3211. Available at:</w:t>
      </w:r>
      <w:hyperlink r:id="rId22">
        <w:r w:rsidRPr="000716AB">
          <w:rPr>
            <w:rFonts w:ascii="Arial" w:hAnsi="Arial" w:cs="Arial"/>
            <w:lang w:val="en-GB"/>
          </w:rPr>
          <w:t xml:space="preserve"> </w:t>
        </w:r>
      </w:hyperlink>
      <w:hyperlink r:id="rId23">
        <w:r w:rsidRPr="000716AB">
          <w:rPr>
            <w:rFonts w:ascii="Arial" w:hAnsi="Arial" w:cs="Arial"/>
            <w:u w:val="single"/>
            <w:lang w:val="en-GB"/>
          </w:rPr>
          <w:t>https://doi.org/10.15637/jlecon.3211</w:t>
        </w:r>
      </w:hyperlink>
    </w:p>
    <w:p w14:paraId="7D4F4376"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Debrah, Y.A., Olabode, O.E., Olan, F. and Nyuur, R.B., (2024). The African Continental Free Trade Area (AfCFTA): Taking stock and looking ahead for international business research. </w:t>
      </w:r>
      <w:r w:rsidRPr="000716AB">
        <w:rPr>
          <w:rFonts w:ascii="Arial" w:hAnsi="Arial" w:cs="Arial"/>
          <w:i/>
          <w:iCs/>
          <w:lang w:val="en-GB"/>
        </w:rPr>
        <w:t>Journal of International Management</w:t>
      </w:r>
      <w:r w:rsidRPr="000716AB">
        <w:rPr>
          <w:rFonts w:ascii="Arial" w:hAnsi="Arial" w:cs="Arial"/>
          <w:lang w:val="en-GB"/>
        </w:rPr>
        <w:t xml:space="preserve">, </w:t>
      </w:r>
      <w:r w:rsidRPr="000716AB">
        <w:rPr>
          <w:rFonts w:ascii="Arial" w:hAnsi="Arial" w:cs="Arial"/>
          <w:i/>
          <w:iCs/>
          <w:lang w:val="en-GB"/>
        </w:rPr>
        <w:t>30</w:t>
      </w:r>
      <w:r w:rsidRPr="000716AB">
        <w:rPr>
          <w:rFonts w:ascii="Arial" w:hAnsi="Arial" w:cs="Arial"/>
          <w:lang w:val="en-GB"/>
        </w:rPr>
        <w:t>(2), p.101120. Available at:</w:t>
      </w:r>
      <w:hyperlink r:id="rId24">
        <w:r w:rsidRPr="000716AB">
          <w:rPr>
            <w:rFonts w:ascii="Arial" w:hAnsi="Arial" w:cs="Arial"/>
            <w:lang w:val="en-GB"/>
          </w:rPr>
          <w:t xml:space="preserve"> </w:t>
        </w:r>
      </w:hyperlink>
      <w:hyperlink r:id="rId25">
        <w:r w:rsidRPr="000716AB">
          <w:rPr>
            <w:rFonts w:ascii="Arial" w:hAnsi="Arial" w:cs="Arial"/>
            <w:u w:val="single"/>
            <w:lang w:val="en-GB"/>
          </w:rPr>
          <w:t>https://doi.org/10.1016/j.intman.2024.101120</w:t>
        </w:r>
      </w:hyperlink>
    </w:p>
    <w:p w14:paraId="64DBFEB9" w14:textId="77777777" w:rsidR="00910130" w:rsidRPr="000716AB" w:rsidRDefault="00910130" w:rsidP="00A675F1">
      <w:pPr>
        <w:spacing w:before="240" w:after="160"/>
        <w:ind w:left="720" w:hanging="720"/>
        <w:jc w:val="left"/>
        <w:rPr>
          <w:rFonts w:ascii="Arial" w:hAnsi="Arial" w:cs="Arial"/>
          <w:lang w:val="en-GB"/>
        </w:rPr>
      </w:pPr>
      <w:r w:rsidRPr="000716AB">
        <w:rPr>
          <w:rFonts w:ascii="Arial" w:hAnsi="Arial" w:cs="Arial"/>
          <w:lang w:val="en-GB"/>
        </w:rPr>
        <w:t xml:space="preserve">Dunning, J.H. (1988) ‘The eclectic paradigm of international production: A restatement and some possible extensions’, </w:t>
      </w:r>
      <w:r w:rsidRPr="000716AB">
        <w:rPr>
          <w:rFonts w:ascii="Arial" w:hAnsi="Arial" w:cs="Arial"/>
          <w:i/>
          <w:iCs/>
          <w:lang w:val="en-GB"/>
        </w:rPr>
        <w:t>Journal of International Business Studies</w:t>
      </w:r>
      <w:r w:rsidRPr="000716AB">
        <w:rPr>
          <w:rFonts w:ascii="Arial" w:hAnsi="Arial" w:cs="Arial"/>
          <w:lang w:val="en-GB"/>
        </w:rPr>
        <w:t xml:space="preserve">, 19(1), pp. 1–31. Available at: </w:t>
      </w:r>
      <w:hyperlink r:id="rId26" w:tgtFrame="_new" w:history="1">
        <w:r w:rsidRPr="000716AB">
          <w:rPr>
            <w:rStyle w:val="Hyperlink"/>
            <w:rFonts w:ascii="Arial" w:hAnsi="Arial" w:cs="Arial"/>
            <w:color w:val="auto"/>
            <w:lang w:val="en-GB"/>
          </w:rPr>
          <w:t>https://doi.org/10.1057/palgrave.jibs.8490372</w:t>
        </w:r>
      </w:hyperlink>
      <w:r w:rsidRPr="000716AB">
        <w:rPr>
          <w:rFonts w:ascii="Arial" w:hAnsi="Arial" w:cs="Arial"/>
          <w:lang w:val="en-GB"/>
        </w:rPr>
        <w:t xml:space="preserve"> </w:t>
      </w:r>
    </w:p>
    <w:p w14:paraId="66C7FEF5"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Gibbs, G. (1988) </w:t>
      </w:r>
      <w:r w:rsidRPr="000716AB">
        <w:rPr>
          <w:rFonts w:ascii="Arial" w:hAnsi="Arial" w:cs="Arial"/>
          <w:i/>
          <w:iCs/>
          <w:lang w:val="en-GB"/>
        </w:rPr>
        <w:t>Learning by Doing: A Guide to Teaching and Learning Methods</w:t>
      </w:r>
      <w:r w:rsidRPr="000716AB">
        <w:rPr>
          <w:rFonts w:ascii="Arial" w:hAnsi="Arial" w:cs="Arial"/>
          <w:lang w:val="en-GB"/>
        </w:rPr>
        <w:t>. Oxford: Oxford Polytechnic.</w:t>
      </w:r>
    </w:p>
    <w:p w14:paraId="218CF198"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Hill, C.W.L. (2008) </w:t>
      </w:r>
      <w:r w:rsidRPr="000716AB">
        <w:rPr>
          <w:rFonts w:ascii="Arial" w:hAnsi="Arial" w:cs="Arial"/>
          <w:i/>
          <w:iCs/>
          <w:lang w:val="en-GB"/>
        </w:rPr>
        <w:t>International Business: Competing in the Global Marketplace</w:t>
      </w:r>
      <w:r w:rsidRPr="000716AB">
        <w:rPr>
          <w:rFonts w:ascii="Arial" w:hAnsi="Arial" w:cs="Arial"/>
          <w:lang w:val="en-GB"/>
        </w:rPr>
        <w:t>. 8th edn. New York: McGraw-Hill/Irwin.</w:t>
      </w:r>
    </w:p>
    <w:p w14:paraId="371D1FF9"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IKEA (2025) </w:t>
      </w:r>
      <w:r w:rsidRPr="000716AB">
        <w:rPr>
          <w:rFonts w:ascii="Arial" w:hAnsi="Arial" w:cs="Arial"/>
          <w:i/>
          <w:iCs/>
          <w:lang w:val="en-GB"/>
        </w:rPr>
        <w:t>Reports</w:t>
      </w:r>
      <w:r w:rsidRPr="000716AB">
        <w:rPr>
          <w:rFonts w:ascii="Arial" w:hAnsi="Arial" w:cs="Arial"/>
          <w:lang w:val="en-GB"/>
        </w:rPr>
        <w:t>. Available at:</w:t>
      </w:r>
      <w:hyperlink r:id="rId27">
        <w:r w:rsidRPr="000716AB">
          <w:rPr>
            <w:rFonts w:ascii="Arial" w:hAnsi="Arial" w:cs="Arial"/>
            <w:lang w:val="en-GB"/>
          </w:rPr>
          <w:t xml:space="preserve"> </w:t>
        </w:r>
      </w:hyperlink>
      <w:hyperlink r:id="rId28">
        <w:r w:rsidRPr="000716AB">
          <w:rPr>
            <w:rFonts w:ascii="Arial" w:hAnsi="Arial" w:cs="Arial"/>
            <w:u w:val="single"/>
            <w:lang w:val="en-GB"/>
          </w:rPr>
          <w:t>https://www.ikea.com/global/en/our-business/reports/?msockid=383806be36c36bd60bb7107e37696a64</w:t>
        </w:r>
      </w:hyperlink>
      <w:r w:rsidRPr="000716AB">
        <w:rPr>
          <w:rFonts w:ascii="Arial" w:hAnsi="Arial" w:cs="Arial"/>
          <w:lang w:val="en-GB"/>
        </w:rPr>
        <w:t xml:space="preserve"> (Accessed: 17 July 2026).</w:t>
      </w:r>
    </w:p>
    <w:p w14:paraId="73605F6E"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Inter IKEA Group (2025) </w:t>
      </w:r>
      <w:r w:rsidRPr="000716AB">
        <w:rPr>
          <w:rFonts w:ascii="Arial" w:hAnsi="Arial" w:cs="Arial"/>
          <w:i/>
          <w:iCs/>
          <w:lang w:val="en-GB"/>
        </w:rPr>
        <w:t>Annual Summary and Sustainability Report FY25</w:t>
      </w:r>
      <w:r w:rsidRPr="000716AB">
        <w:rPr>
          <w:rFonts w:ascii="Arial" w:hAnsi="Arial" w:cs="Arial"/>
          <w:lang w:val="en-GB"/>
        </w:rPr>
        <w:t>. Available at:</w:t>
      </w:r>
      <w:hyperlink r:id="rId29">
        <w:r w:rsidRPr="000716AB">
          <w:rPr>
            <w:rFonts w:ascii="Arial" w:hAnsi="Arial" w:cs="Arial"/>
            <w:lang w:val="en-GB"/>
          </w:rPr>
          <w:t xml:space="preserve"> </w:t>
        </w:r>
      </w:hyperlink>
      <w:hyperlink r:id="rId30">
        <w:r w:rsidRPr="000716AB">
          <w:rPr>
            <w:rFonts w:ascii="Arial" w:hAnsi="Arial" w:cs="Arial"/>
            <w:u w:val="single"/>
            <w:lang w:val="en-GB"/>
          </w:rPr>
          <w:t>https://www.ikea.com/global/en/our-business/how-we-work/year-in-review-fy25/</w:t>
        </w:r>
      </w:hyperlink>
      <w:r w:rsidRPr="000716AB">
        <w:rPr>
          <w:rFonts w:ascii="Arial" w:hAnsi="Arial" w:cs="Arial"/>
          <w:lang w:val="en-GB"/>
        </w:rPr>
        <w:t xml:space="preserve">  (Accessed: 17 July 2026).</w:t>
      </w:r>
    </w:p>
    <w:p w14:paraId="533A0635"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lastRenderedPageBreak/>
        <w:t xml:space="preserve">International Labour Organization (2025) </w:t>
      </w:r>
      <w:r w:rsidRPr="000716AB">
        <w:rPr>
          <w:rFonts w:ascii="Arial" w:hAnsi="Arial" w:cs="Arial"/>
          <w:i/>
          <w:iCs/>
          <w:lang w:val="en-GB"/>
        </w:rPr>
        <w:t>NATLEX: Algeria – Labour Relations Law No. 90-11</w:t>
      </w:r>
      <w:r w:rsidRPr="000716AB">
        <w:rPr>
          <w:rFonts w:ascii="Arial" w:hAnsi="Arial" w:cs="Arial"/>
          <w:lang w:val="en-GB"/>
        </w:rPr>
        <w:t>. Available at:</w:t>
      </w:r>
      <w:hyperlink r:id="rId31">
        <w:r w:rsidRPr="000716AB">
          <w:rPr>
            <w:rFonts w:ascii="Arial" w:hAnsi="Arial" w:cs="Arial"/>
            <w:lang w:val="en-GB"/>
          </w:rPr>
          <w:t xml:space="preserve"> </w:t>
        </w:r>
      </w:hyperlink>
      <w:hyperlink r:id="rId32">
        <w:r w:rsidRPr="000716AB">
          <w:rPr>
            <w:rFonts w:ascii="Arial" w:hAnsi="Arial" w:cs="Arial"/>
            <w:u w:val="single"/>
            <w:lang w:val="en-GB"/>
          </w:rPr>
          <w:t>https://natlex.ilo.org</w:t>
        </w:r>
      </w:hyperlink>
      <w:r w:rsidRPr="000716AB">
        <w:rPr>
          <w:rFonts w:ascii="Arial" w:hAnsi="Arial" w:cs="Arial"/>
          <w:lang w:val="en-GB"/>
        </w:rPr>
        <w:t xml:space="preserve"> (Accessed: 17 July 2026).</w:t>
      </w:r>
    </w:p>
    <w:p w14:paraId="740CF3D8"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Khan, M.R. and Sarkar, U., (2024). Business leadership in the digital age: IKEA’s story in the retail and consumer sector. </w:t>
      </w:r>
      <w:r w:rsidRPr="000716AB">
        <w:rPr>
          <w:rFonts w:ascii="Arial" w:hAnsi="Arial" w:cs="Arial"/>
          <w:i/>
          <w:iCs/>
          <w:lang w:val="en-GB"/>
        </w:rPr>
        <w:t>Green Technologies and Sustainability</w:t>
      </w:r>
      <w:r w:rsidRPr="000716AB">
        <w:rPr>
          <w:rFonts w:ascii="Arial" w:hAnsi="Arial" w:cs="Arial"/>
          <w:lang w:val="en-GB"/>
        </w:rPr>
        <w:t xml:space="preserve">, </w:t>
      </w:r>
      <w:r w:rsidRPr="000716AB">
        <w:rPr>
          <w:rFonts w:ascii="Arial" w:hAnsi="Arial" w:cs="Arial"/>
          <w:i/>
          <w:iCs/>
          <w:lang w:val="en-GB"/>
        </w:rPr>
        <w:t>2</w:t>
      </w:r>
      <w:r w:rsidRPr="000716AB">
        <w:rPr>
          <w:rFonts w:ascii="Arial" w:hAnsi="Arial" w:cs="Arial"/>
          <w:lang w:val="en-GB"/>
        </w:rPr>
        <w:t>(2), p.100081. Available at:</w:t>
      </w:r>
      <w:hyperlink r:id="rId33">
        <w:r w:rsidRPr="000716AB">
          <w:rPr>
            <w:rFonts w:ascii="Arial" w:hAnsi="Arial" w:cs="Arial"/>
            <w:lang w:val="en-GB"/>
          </w:rPr>
          <w:t xml:space="preserve"> </w:t>
        </w:r>
      </w:hyperlink>
      <w:hyperlink r:id="rId34">
        <w:r w:rsidRPr="000716AB">
          <w:rPr>
            <w:rFonts w:ascii="Arial" w:hAnsi="Arial" w:cs="Arial"/>
            <w:u w:val="single"/>
            <w:lang w:val="en-GB"/>
          </w:rPr>
          <w:t>https://doi.org/10.1016/j.grets.2024.100081</w:t>
        </w:r>
      </w:hyperlink>
    </w:p>
    <w:p w14:paraId="2FF3A872" w14:textId="4742422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Miocevic, D., Gnizy, I. and Cadogan, J.W., (2023). When does export customer responsiveness strategy contribute to export market competitive </w:t>
      </w:r>
      <w:r w:rsidR="008B6EB6" w:rsidRPr="000716AB">
        <w:rPr>
          <w:rFonts w:ascii="Arial" w:hAnsi="Arial" w:cs="Arial"/>
          <w:lang w:val="en-GB"/>
        </w:rPr>
        <w:t>advantage?</w:t>
      </w:r>
      <w:r w:rsidRPr="000716AB">
        <w:rPr>
          <w:rFonts w:ascii="Arial" w:hAnsi="Arial" w:cs="Arial"/>
          <w:lang w:val="en-GB"/>
        </w:rPr>
        <w:t xml:space="preserve"> </w:t>
      </w:r>
      <w:r w:rsidRPr="000716AB">
        <w:rPr>
          <w:rFonts w:ascii="Arial" w:hAnsi="Arial" w:cs="Arial"/>
          <w:i/>
          <w:iCs/>
          <w:lang w:val="en-GB"/>
        </w:rPr>
        <w:t>International Marketing Review</w:t>
      </w:r>
      <w:r w:rsidRPr="000716AB">
        <w:rPr>
          <w:rFonts w:ascii="Arial" w:hAnsi="Arial" w:cs="Arial"/>
          <w:lang w:val="en-GB"/>
        </w:rPr>
        <w:t xml:space="preserve">, </w:t>
      </w:r>
      <w:r w:rsidRPr="000716AB">
        <w:rPr>
          <w:rFonts w:ascii="Arial" w:hAnsi="Arial" w:cs="Arial"/>
          <w:i/>
          <w:iCs/>
          <w:lang w:val="en-GB"/>
        </w:rPr>
        <w:t>40</w:t>
      </w:r>
      <w:r w:rsidRPr="000716AB">
        <w:rPr>
          <w:rFonts w:ascii="Arial" w:hAnsi="Arial" w:cs="Arial"/>
          <w:lang w:val="en-GB"/>
        </w:rPr>
        <w:t>(3), pp.497-527. Available at:</w:t>
      </w:r>
      <w:hyperlink r:id="rId35">
        <w:r w:rsidRPr="000716AB">
          <w:rPr>
            <w:rFonts w:ascii="Arial" w:hAnsi="Arial" w:cs="Arial"/>
            <w:lang w:val="en-GB"/>
          </w:rPr>
          <w:t xml:space="preserve"> </w:t>
        </w:r>
      </w:hyperlink>
      <w:hyperlink r:id="rId36">
        <w:r w:rsidRPr="000716AB">
          <w:rPr>
            <w:rFonts w:ascii="Arial" w:hAnsi="Arial" w:cs="Arial"/>
            <w:u w:val="single"/>
            <w:lang w:val="en-GB"/>
          </w:rPr>
          <w:t>https://doi.org/10.1108/IMR-02-2022-0043</w:t>
        </w:r>
      </w:hyperlink>
    </w:p>
    <w:p w14:paraId="3191E45F"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Mohammed, D., (2023). Foreign direct investment in Algeria: A theoretical and applied study. </w:t>
      </w:r>
      <w:r w:rsidRPr="000716AB">
        <w:rPr>
          <w:rFonts w:ascii="Arial" w:hAnsi="Arial" w:cs="Arial"/>
          <w:i/>
          <w:iCs/>
          <w:lang w:val="en-GB"/>
        </w:rPr>
        <w:t>Review of Socio-Economic Perspectives</w:t>
      </w:r>
      <w:r w:rsidRPr="000716AB">
        <w:rPr>
          <w:rFonts w:ascii="Arial" w:hAnsi="Arial" w:cs="Arial"/>
          <w:lang w:val="en-GB"/>
        </w:rPr>
        <w:t xml:space="preserve">, </w:t>
      </w:r>
      <w:r w:rsidRPr="000716AB">
        <w:rPr>
          <w:rFonts w:ascii="Arial" w:hAnsi="Arial" w:cs="Arial"/>
          <w:i/>
          <w:iCs/>
          <w:lang w:val="en-GB"/>
        </w:rPr>
        <w:t>8</w:t>
      </w:r>
      <w:r w:rsidRPr="000716AB">
        <w:rPr>
          <w:rFonts w:ascii="Arial" w:hAnsi="Arial" w:cs="Arial"/>
          <w:lang w:val="en-GB"/>
        </w:rPr>
        <w:t>(1), pp.77-92. Available at:</w:t>
      </w:r>
      <w:hyperlink r:id="rId37">
        <w:r w:rsidRPr="000716AB">
          <w:rPr>
            <w:rFonts w:ascii="Arial" w:hAnsi="Arial" w:cs="Arial"/>
            <w:lang w:val="en-GB"/>
          </w:rPr>
          <w:t xml:space="preserve"> </w:t>
        </w:r>
      </w:hyperlink>
      <w:hyperlink r:id="rId38">
        <w:r w:rsidRPr="000716AB">
          <w:rPr>
            <w:rFonts w:ascii="Arial" w:hAnsi="Arial" w:cs="Arial"/>
            <w:u w:val="single"/>
            <w:lang w:val="en-GB"/>
          </w:rPr>
          <w:t>https://doi.org/10.19275/RSEP150</w:t>
        </w:r>
      </w:hyperlink>
    </w:p>
    <w:p w14:paraId="44F2EAE0"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PwC (2025) </w:t>
      </w:r>
      <w:r w:rsidRPr="000716AB">
        <w:rPr>
          <w:rFonts w:ascii="Arial" w:hAnsi="Arial" w:cs="Arial"/>
          <w:i/>
          <w:iCs/>
          <w:lang w:val="en-GB"/>
        </w:rPr>
        <w:t>Worldwide Tax Summaries: Algeria – Corporate Taxes</w:t>
      </w:r>
      <w:r w:rsidRPr="000716AB">
        <w:rPr>
          <w:rFonts w:ascii="Arial" w:hAnsi="Arial" w:cs="Arial"/>
          <w:lang w:val="en-GB"/>
        </w:rPr>
        <w:t>. Available at:</w:t>
      </w:r>
      <w:hyperlink r:id="rId39">
        <w:r w:rsidRPr="000716AB">
          <w:rPr>
            <w:rFonts w:ascii="Arial" w:hAnsi="Arial" w:cs="Arial"/>
            <w:lang w:val="en-GB"/>
          </w:rPr>
          <w:t xml:space="preserve"> </w:t>
        </w:r>
      </w:hyperlink>
      <w:hyperlink r:id="rId40">
        <w:r w:rsidRPr="000716AB">
          <w:rPr>
            <w:rFonts w:ascii="Arial" w:hAnsi="Arial" w:cs="Arial"/>
            <w:u w:val="single"/>
            <w:lang w:val="en-GB"/>
          </w:rPr>
          <w:t>https://taxsummaries.pwc.com/algeria/corporate</w:t>
        </w:r>
      </w:hyperlink>
      <w:r w:rsidRPr="000716AB">
        <w:rPr>
          <w:rFonts w:ascii="Arial" w:hAnsi="Arial" w:cs="Arial"/>
          <w:lang w:val="en-GB"/>
        </w:rPr>
        <w:t xml:space="preserve"> (Accessed: 17 July 2026).</w:t>
      </w:r>
    </w:p>
    <w:p w14:paraId="36296F76"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Rugman, A.M. (2010) ‘Reconciling internalization theory and the eclectic paradigm’, </w:t>
      </w:r>
      <w:r w:rsidRPr="000716AB">
        <w:rPr>
          <w:rFonts w:ascii="Arial" w:hAnsi="Arial" w:cs="Arial"/>
          <w:i/>
          <w:iCs/>
          <w:lang w:val="en-GB"/>
        </w:rPr>
        <w:t>Multinational Business Review</w:t>
      </w:r>
      <w:r w:rsidRPr="000716AB">
        <w:rPr>
          <w:rFonts w:ascii="Arial" w:hAnsi="Arial" w:cs="Arial"/>
          <w:lang w:val="en-GB"/>
        </w:rPr>
        <w:t>, 18(2), pp. 1–12.</w:t>
      </w:r>
    </w:p>
    <w:p w14:paraId="6EA5E4C5"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Sampath, B. and Harshitha, K.C., (2023). A Study on Inventory Management at IKEA. </w:t>
      </w:r>
      <w:r w:rsidRPr="000716AB">
        <w:rPr>
          <w:rFonts w:ascii="Arial" w:hAnsi="Arial" w:cs="Arial"/>
          <w:i/>
          <w:iCs/>
          <w:lang w:val="en-GB"/>
        </w:rPr>
        <w:t>New Trends in Products, Services &amp; Management</w:t>
      </w:r>
      <w:r w:rsidRPr="000716AB">
        <w:rPr>
          <w:rFonts w:ascii="Arial" w:hAnsi="Arial" w:cs="Arial"/>
          <w:lang w:val="en-GB"/>
        </w:rPr>
        <w:t>, p.85. Available at:</w:t>
      </w:r>
      <w:hyperlink r:id="rId41" w:anchor="page=89">
        <w:r w:rsidRPr="000716AB">
          <w:rPr>
            <w:rFonts w:ascii="Arial" w:hAnsi="Arial" w:cs="Arial"/>
            <w:lang w:val="en-GB"/>
          </w:rPr>
          <w:t xml:space="preserve"> </w:t>
        </w:r>
      </w:hyperlink>
      <w:hyperlink r:id="rId42" w:anchor="page=89">
        <w:r w:rsidRPr="000716AB">
          <w:rPr>
            <w:rFonts w:ascii="Arial" w:hAnsi="Arial" w:cs="Arial"/>
            <w:u w:val="single"/>
            <w:lang w:val="en-GB"/>
          </w:rPr>
          <w:t>https://www.scripown.com/docs/EBOOK_20230413_104938.pdf#page=89</w:t>
        </w:r>
      </w:hyperlink>
    </w:p>
    <w:p w14:paraId="6D4650C6" w14:textId="0EEBDB70"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Seguer, S., (2024). Turkish Brands According </w:t>
      </w:r>
      <w:r w:rsidR="008B6EB6" w:rsidRPr="000716AB">
        <w:rPr>
          <w:rFonts w:ascii="Arial" w:hAnsi="Arial" w:cs="Arial"/>
          <w:lang w:val="en-GB"/>
        </w:rPr>
        <w:t>to</w:t>
      </w:r>
      <w:r w:rsidRPr="000716AB">
        <w:rPr>
          <w:rFonts w:ascii="Arial" w:hAnsi="Arial" w:cs="Arial"/>
          <w:lang w:val="en-GB"/>
        </w:rPr>
        <w:t xml:space="preserve"> Algerian Consumers: Country </w:t>
      </w:r>
      <w:r w:rsidR="008B6EB6" w:rsidRPr="000716AB">
        <w:rPr>
          <w:rFonts w:ascii="Arial" w:hAnsi="Arial" w:cs="Arial"/>
          <w:lang w:val="en-GB"/>
        </w:rPr>
        <w:t>of</w:t>
      </w:r>
      <w:r w:rsidRPr="000716AB">
        <w:rPr>
          <w:rFonts w:ascii="Arial" w:hAnsi="Arial" w:cs="Arial"/>
          <w:lang w:val="en-GB"/>
        </w:rPr>
        <w:t xml:space="preserve"> Origin Effect. </w:t>
      </w:r>
      <w:r w:rsidRPr="000716AB">
        <w:rPr>
          <w:rFonts w:ascii="Arial" w:hAnsi="Arial" w:cs="Arial"/>
          <w:i/>
          <w:iCs/>
          <w:lang w:val="en-GB"/>
        </w:rPr>
        <w:t>Eurasian Academy of Sciences Social Sciences Journal</w:t>
      </w:r>
      <w:r w:rsidRPr="000716AB">
        <w:rPr>
          <w:rFonts w:ascii="Arial" w:hAnsi="Arial" w:cs="Arial"/>
          <w:lang w:val="en-GB"/>
        </w:rPr>
        <w:t>, (56), pp.143-170. Available at:</w:t>
      </w:r>
      <w:hyperlink r:id="rId43">
        <w:r w:rsidRPr="000716AB">
          <w:rPr>
            <w:rFonts w:ascii="Arial" w:hAnsi="Arial" w:cs="Arial"/>
            <w:lang w:val="en-GB"/>
          </w:rPr>
          <w:t xml:space="preserve"> </w:t>
        </w:r>
      </w:hyperlink>
      <w:hyperlink r:id="rId44">
        <w:r w:rsidRPr="000716AB">
          <w:rPr>
            <w:rFonts w:ascii="Arial" w:hAnsi="Arial" w:cs="Arial"/>
            <w:u w:val="single"/>
            <w:lang w:val="en-GB"/>
          </w:rPr>
          <w:t>https://www.eurasianacademy.org/index.php/socialsciences/article/download/1466/1525</w:t>
        </w:r>
      </w:hyperlink>
    </w:p>
    <w:p w14:paraId="3D95BBD5" w14:textId="77777777" w:rsidR="00910130" w:rsidRPr="000716AB" w:rsidRDefault="00910130" w:rsidP="00A675F1">
      <w:pPr>
        <w:spacing w:before="240" w:after="160"/>
        <w:ind w:left="720" w:hanging="720"/>
        <w:jc w:val="left"/>
        <w:rPr>
          <w:rFonts w:ascii="Arial" w:hAnsi="Arial" w:cs="Arial"/>
          <w:lang w:val="en-GB"/>
        </w:rPr>
      </w:pPr>
      <w:r w:rsidRPr="000716AB">
        <w:rPr>
          <w:rFonts w:ascii="Arial" w:hAnsi="Arial" w:cs="Arial"/>
          <w:lang w:val="en-GB"/>
        </w:rPr>
        <w:t xml:space="preserve">Sople, V.V., (2026). </w:t>
      </w:r>
      <w:r w:rsidRPr="000716AB">
        <w:rPr>
          <w:rFonts w:ascii="Arial" w:hAnsi="Arial" w:cs="Arial"/>
          <w:i/>
          <w:iCs/>
          <w:lang w:val="en-GB"/>
        </w:rPr>
        <w:t>Managing intellectual property: The strategic imperative</w:t>
      </w:r>
      <w:r w:rsidRPr="000716AB">
        <w:rPr>
          <w:rFonts w:ascii="Arial" w:hAnsi="Arial" w:cs="Arial"/>
          <w:lang w:val="en-GB"/>
        </w:rPr>
        <w:t>. PHI Learning Pvt. Ltd.</w:t>
      </w:r>
    </w:p>
    <w:p w14:paraId="3453B69E"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lastRenderedPageBreak/>
        <w:t xml:space="preserve">Statista (2025) </w:t>
      </w:r>
      <w:r w:rsidRPr="000716AB">
        <w:rPr>
          <w:rFonts w:ascii="Arial" w:hAnsi="Arial" w:cs="Arial"/>
          <w:i/>
          <w:iCs/>
          <w:lang w:val="en-GB"/>
        </w:rPr>
        <w:t>Furniture market in Algeria</w:t>
      </w:r>
      <w:r w:rsidRPr="000716AB">
        <w:rPr>
          <w:rFonts w:ascii="Arial" w:hAnsi="Arial" w:cs="Arial"/>
          <w:lang w:val="en-GB"/>
        </w:rPr>
        <w:t>. Available at:</w:t>
      </w:r>
      <w:hyperlink r:id="rId45" w:anchor="revenue">
        <w:r w:rsidRPr="000716AB">
          <w:rPr>
            <w:rFonts w:ascii="Arial" w:hAnsi="Arial" w:cs="Arial"/>
            <w:lang w:val="en-GB"/>
          </w:rPr>
          <w:t xml:space="preserve"> </w:t>
        </w:r>
      </w:hyperlink>
      <w:hyperlink r:id="rId46" w:anchor="revenue">
        <w:r w:rsidRPr="000716AB">
          <w:rPr>
            <w:rFonts w:ascii="Arial" w:hAnsi="Arial" w:cs="Arial"/>
            <w:u w:val="single"/>
            <w:lang w:val="en-GB"/>
          </w:rPr>
          <w:t>https://www.statista.com/outlook/cmo/furniture/algeria?srsltid=AfmBOoqIOxwM1LFZfEe5MbKJ6xaBH0ueHJ7lyvxueiPAP9a6qeqevRkX#revenue</w:t>
        </w:r>
      </w:hyperlink>
      <w:r w:rsidRPr="000716AB">
        <w:rPr>
          <w:rFonts w:ascii="Arial" w:hAnsi="Arial" w:cs="Arial"/>
          <w:lang w:val="en-GB"/>
        </w:rPr>
        <w:t xml:space="preserve"> (Accessed: 17 July 2026).</w:t>
      </w:r>
    </w:p>
    <w:p w14:paraId="0A9195E1"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bCs/>
          <w:lang w:val="en-GB"/>
        </w:rPr>
        <w:t>Statista (2025)</w:t>
      </w:r>
      <w:r w:rsidRPr="000716AB">
        <w:rPr>
          <w:rFonts w:ascii="Arial" w:hAnsi="Arial" w:cs="Arial"/>
          <w:i/>
          <w:iCs/>
          <w:lang w:val="en-GB"/>
        </w:rPr>
        <w:t>. Furniture market in Algeria.</w:t>
      </w:r>
      <w:r w:rsidRPr="000716AB">
        <w:rPr>
          <w:rFonts w:ascii="Arial" w:hAnsi="Arial" w:cs="Arial"/>
          <w:lang w:val="en-GB"/>
        </w:rPr>
        <w:t xml:space="preserve"> Available at: </w:t>
      </w:r>
      <w:hyperlink r:id="rId47" w:tgtFrame="_new" w:history="1">
        <w:r w:rsidRPr="000716AB">
          <w:rPr>
            <w:rStyle w:val="Hyperlink"/>
            <w:rFonts w:ascii="Arial" w:hAnsi="Arial" w:cs="Arial"/>
            <w:color w:val="auto"/>
            <w:lang w:val="en-GB"/>
          </w:rPr>
          <w:t>https://www.statista.com/outlook/cmo/furniture/algeria</w:t>
        </w:r>
      </w:hyperlink>
      <w:r w:rsidRPr="000716AB">
        <w:rPr>
          <w:rFonts w:ascii="Arial" w:hAnsi="Arial" w:cs="Arial"/>
          <w:lang w:val="en-GB"/>
        </w:rPr>
        <w:t xml:space="preserve"> (Accessed: 1 August 2026).</w:t>
      </w:r>
    </w:p>
    <w:p w14:paraId="0E2FA159"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Statista (2026) </w:t>
      </w:r>
      <w:r w:rsidRPr="000716AB">
        <w:rPr>
          <w:rFonts w:ascii="Arial" w:hAnsi="Arial" w:cs="Arial"/>
          <w:i/>
          <w:iCs/>
          <w:lang w:val="en-GB"/>
        </w:rPr>
        <w:t>IKEA statistics and facts</w:t>
      </w:r>
      <w:r w:rsidRPr="000716AB">
        <w:rPr>
          <w:rFonts w:ascii="Arial" w:hAnsi="Arial" w:cs="Arial"/>
          <w:lang w:val="en-GB"/>
        </w:rPr>
        <w:t>. Available at:</w:t>
      </w:r>
      <w:hyperlink r:id="rId48">
        <w:r w:rsidRPr="000716AB">
          <w:rPr>
            <w:rFonts w:ascii="Arial" w:hAnsi="Arial" w:cs="Arial"/>
            <w:lang w:val="en-GB"/>
          </w:rPr>
          <w:t xml:space="preserve"> </w:t>
        </w:r>
      </w:hyperlink>
      <w:hyperlink r:id="rId49">
        <w:r w:rsidRPr="000716AB">
          <w:rPr>
            <w:rFonts w:ascii="Arial" w:hAnsi="Arial" w:cs="Arial"/>
            <w:u w:val="single"/>
            <w:lang w:val="en-GB"/>
          </w:rPr>
          <w:t>https://www.statista.com/topics/1961/ikea/?srsltid=AfmBOopz_oCtUE8LTaDsmcdVS1ky3zGKpW1ItiXxjYVNVItZfaZib4vQ</w:t>
        </w:r>
      </w:hyperlink>
      <w:r w:rsidRPr="000716AB">
        <w:rPr>
          <w:rFonts w:ascii="Arial" w:hAnsi="Arial" w:cs="Arial"/>
          <w:lang w:val="en-GB"/>
        </w:rPr>
        <w:t xml:space="preserve"> (Accessed: 17 July 2026).</w:t>
      </w:r>
    </w:p>
    <w:p w14:paraId="544D872E"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Tao, J., Aamir, M., Shoaib, M., Yasir, N. and Babar, M., (2025). Bridging the gap between supply chain risk and organizational performance conditioning to demand uncertainty. </w:t>
      </w:r>
      <w:r w:rsidRPr="000716AB">
        <w:rPr>
          <w:rFonts w:ascii="Arial" w:hAnsi="Arial" w:cs="Arial"/>
          <w:i/>
          <w:iCs/>
          <w:lang w:val="en-GB"/>
        </w:rPr>
        <w:t>Sustainability</w:t>
      </w:r>
      <w:r w:rsidRPr="000716AB">
        <w:rPr>
          <w:rFonts w:ascii="Arial" w:hAnsi="Arial" w:cs="Arial"/>
          <w:lang w:val="en-GB"/>
        </w:rPr>
        <w:t xml:space="preserve">, </w:t>
      </w:r>
      <w:r w:rsidRPr="000716AB">
        <w:rPr>
          <w:rFonts w:ascii="Arial" w:hAnsi="Arial" w:cs="Arial"/>
          <w:i/>
          <w:iCs/>
          <w:lang w:val="en-GB"/>
        </w:rPr>
        <w:t>17</w:t>
      </w:r>
      <w:r w:rsidRPr="000716AB">
        <w:rPr>
          <w:rFonts w:ascii="Arial" w:hAnsi="Arial" w:cs="Arial"/>
          <w:lang w:val="en-GB"/>
        </w:rPr>
        <w:t>(6), p.2462. Available at:</w:t>
      </w:r>
      <w:hyperlink r:id="rId50">
        <w:r w:rsidRPr="000716AB">
          <w:rPr>
            <w:rFonts w:ascii="Arial" w:hAnsi="Arial" w:cs="Arial"/>
            <w:lang w:val="en-GB"/>
          </w:rPr>
          <w:t xml:space="preserve"> </w:t>
        </w:r>
      </w:hyperlink>
      <w:hyperlink r:id="rId51">
        <w:r w:rsidRPr="000716AB">
          <w:rPr>
            <w:rFonts w:ascii="Arial" w:hAnsi="Arial" w:cs="Arial"/>
            <w:u w:val="single"/>
            <w:lang w:val="en-GB"/>
          </w:rPr>
          <w:t>https://doi.org/10.3390/su17062462</w:t>
        </w:r>
      </w:hyperlink>
    </w:p>
    <w:p w14:paraId="3D47E43A"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The Culture Factor (n.d.) </w:t>
      </w:r>
      <w:r w:rsidRPr="000716AB">
        <w:rPr>
          <w:rFonts w:ascii="Arial" w:hAnsi="Arial" w:cs="Arial"/>
          <w:i/>
          <w:iCs/>
          <w:lang w:val="en-GB"/>
        </w:rPr>
        <w:t>Country comparison tool: Algeria and Sweden</w:t>
      </w:r>
      <w:r w:rsidRPr="000716AB">
        <w:rPr>
          <w:rFonts w:ascii="Arial" w:hAnsi="Arial" w:cs="Arial"/>
          <w:lang w:val="en-GB"/>
        </w:rPr>
        <w:t>. Available at:</w:t>
      </w:r>
      <w:hyperlink r:id="rId52">
        <w:r w:rsidRPr="000716AB">
          <w:rPr>
            <w:rFonts w:ascii="Arial" w:hAnsi="Arial" w:cs="Arial"/>
            <w:lang w:val="en-GB"/>
          </w:rPr>
          <w:t xml:space="preserve"> </w:t>
        </w:r>
      </w:hyperlink>
      <w:hyperlink r:id="rId53">
        <w:r w:rsidRPr="000716AB">
          <w:rPr>
            <w:rFonts w:ascii="Arial" w:hAnsi="Arial" w:cs="Arial"/>
            <w:u w:val="single"/>
            <w:lang w:val="en-GB"/>
          </w:rPr>
          <w:t>https://www.theculturefactor.com/country-comparison-tool?countries=algeria%2Csweden</w:t>
        </w:r>
      </w:hyperlink>
      <w:r w:rsidRPr="000716AB">
        <w:rPr>
          <w:rFonts w:ascii="Arial" w:hAnsi="Arial" w:cs="Arial"/>
          <w:lang w:val="en-GB"/>
        </w:rPr>
        <w:t xml:space="preserve"> (Accessed: 17 July 2026).</w:t>
      </w:r>
    </w:p>
    <w:p w14:paraId="0A0B49DC" w14:textId="77777777" w:rsidR="00910130" w:rsidRPr="000716AB" w:rsidRDefault="00910130" w:rsidP="00A675F1">
      <w:pPr>
        <w:ind w:left="720" w:hanging="720"/>
        <w:jc w:val="left"/>
        <w:rPr>
          <w:rFonts w:ascii="Arial" w:hAnsi="Arial" w:cs="Arial"/>
          <w:lang w:val="en-GB"/>
        </w:rPr>
      </w:pPr>
      <w:r w:rsidRPr="000716AB">
        <w:rPr>
          <w:rFonts w:ascii="Arial" w:hAnsi="Arial" w:cs="Arial"/>
          <w:iCs/>
          <w:lang w:val="en-GB"/>
        </w:rPr>
        <w:t>UNData</w:t>
      </w:r>
      <w:r w:rsidRPr="000716AB">
        <w:rPr>
          <w:rFonts w:ascii="Arial" w:hAnsi="Arial" w:cs="Arial"/>
          <w:lang w:val="en-GB"/>
        </w:rPr>
        <w:t xml:space="preserve"> (2025) </w:t>
      </w:r>
      <w:r w:rsidRPr="000716AB">
        <w:rPr>
          <w:rFonts w:ascii="Arial" w:hAnsi="Arial" w:cs="Arial"/>
          <w:i/>
          <w:iCs/>
          <w:lang w:val="en-GB"/>
        </w:rPr>
        <w:t>UNData: Algeria country profile</w:t>
      </w:r>
      <w:r w:rsidRPr="000716AB">
        <w:rPr>
          <w:rFonts w:ascii="Arial" w:hAnsi="Arial" w:cs="Arial"/>
          <w:lang w:val="en-GB"/>
        </w:rPr>
        <w:t xml:space="preserve">. Available at: </w:t>
      </w:r>
      <w:hyperlink r:id="rId54" w:tgtFrame="_new" w:history="1">
        <w:r w:rsidRPr="000716AB">
          <w:rPr>
            <w:rStyle w:val="Hyperlink"/>
            <w:rFonts w:ascii="Arial" w:hAnsi="Arial" w:cs="Arial"/>
            <w:color w:val="auto"/>
            <w:lang w:val="en-GB"/>
          </w:rPr>
          <w:t>https://data.un.org/en/iso/dz.html</w:t>
        </w:r>
      </w:hyperlink>
      <w:r w:rsidRPr="000716AB">
        <w:rPr>
          <w:rFonts w:ascii="Arial" w:hAnsi="Arial" w:cs="Arial"/>
          <w:lang w:val="en-GB"/>
        </w:rPr>
        <w:t xml:space="preserve"> (Accessed: 30 July 2026)</w:t>
      </w:r>
    </w:p>
    <w:p w14:paraId="6E1D26A8"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United Nations Conference on Trade and Development (UNCTAD) (2022) </w:t>
      </w:r>
      <w:r w:rsidRPr="000716AB">
        <w:rPr>
          <w:rFonts w:ascii="Arial" w:hAnsi="Arial" w:cs="Arial"/>
          <w:i/>
          <w:iCs/>
          <w:lang w:val="en-GB"/>
        </w:rPr>
        <w:t>Investment Policy Monitor: Algeria adopts new Investment Law (Law No. 22-18)</w:t>
      </w:r>
      <w:r w:rsidRPr="000716AB">
        <w:rPr>
          <w:rFonts w:ascii="Arial" w:hAnsi="Arial" w:cs="Arial"/>
          <w:lang w:val="en-GB"/>
        </w:rPr>
        <w:t>. Available at:</w:t>
      </w:r>
      <w:hyperlink r:id="rId55">
        <w:r w:rsidRPr="000716AB">
          <w:rPr>
            <w:rFonts w:ascii="Arial" w:hAnsi="Arial" w:cs="Arial"/>
            <w:lang w:val="en-GB"/>
          </w:rPr>
          <w:t xml:space="preserve"> </w:t>
        </w:r>
      </w:hyperlink>
      <w:hyperlink r:id="rId56">
        <w:r w:rsidRPr="000716AB">
          <w:rPr>
            <w:rFonts w:ascii="Arial" w:hAnsi="Arial" w:cs="Arial"/>
            <w:u w:val="single"/>
            <w:lang w:val="en-GB"/>
          </w:rPr>
          <w:t>https://investmentpolicy.unctad.org/country-navigator/4/algeria</w:t>
        </w:r>
      </w:hyperlink>
      <w:r w:rsidRPr="000716AB">
        <w:rPr>
          <w:rFonts w:ascii="Arial" w:hAnsi="Arial" w:cs="Arial"/>
          <w:lang w:val="en-GB"/>
        </w:rPr>
        <w:t xml:space="preserve"> (Accessed: 17 July 2026).</w:t>
      </w:r>
    </w:p>
    <w:p w14:paraId="6F60DB89" w14:textId="77777777" w:rsidR="00910130" w:rsidRPr="000716AB" w:rsidRDefault="00910130" w:rsidP="00A675F1">
      <w:pPr>
        <w:spacing w:before="240" w:after="160"/>
        <w:ind w:left="720" w:hanging="720"/>
        <w:jc w:val="left"/>
        <w:rPr>
          <w:rFonts w:ascii="Arial" w:hAnsi="Arial" w:cs="Arial"/>
          <w:u w:val="single"/>
          <w:lang w:val="en-GB"/>
        </w:rPr>
      </w:pPr>
      <w:r w:rsidRPr="000716AB">
        <w:rPr>
          <w:rFonts w:ascii="Arial" w:hAnsi="Arial" w:cs="Arial"/>
          <w:lang w:val="en-GB"/>
        </w:rPr>
        <w:t xml:space="preserve">Vaka, D.K., (2024). Integrating inventory management and distribution: A holistic supply chain strategy. </w:t>
      </w:r>
      <w:r w:rsidRPr="000716AB">
        <w:rPr>
          <w:rFonts w:ascii="Arial" w:hAnsi="Arial" w:cs="Arial"/>
          <w:i/>
          <w:iCs/>
          <w:lang w:val="en-GB"/>
        </w:rPr>
        <w:t>the International Journal of Managing Value and Supply Chains</w:t>
      </w:r>
      <w:r w:rsidRPr="000716AB">
        <w:rPr>
          <w:rFonts w:ascii="Arial" w:hAnsi="Arial" w:cs="Arial"/>
          <w:lang w:val="en-GB"/>
        </w:rPr>
        <w:t xml:space="preserve">, </w:t>
      </w:r>
      <w:r w:rsidRPr="000716AB">
        <w:rPr>
          <w:rFonts w:ascii="Arial" w:hAnsi="Arial" w:cs="Arial"/>
          <w:i/>
          <w:iCs/>
          <w:lang w:val="en-GB"/>
        </w:rPr>
        <w:t>15</w:t>
      </w:r>
      <w:r w:rsidRPr="000716AB">
        <w:rPr>
          <w:rFonts w:ascii="Arial" w:hAnsi="Arial" w:cs="Arial"/>
          <w:lang w:val="en-GB"/>
        </w:rPr>
        <w:t>(2), pp.13-23. Available at:</w:t>
      </w:r>
      <w:hyperlink r:id="rId57">
        <w:r w:rsidRPr="000716AB">
          <w:rPr>
            <w:rFonts w:ascii="Arial" w:hAnsi="Arial" w:cs="Arial"/>
            <w:lang w:val="en-GB"/>
          </w:rPr>
          <w:t xml:space="preserve"> </w:t>
        </w:r>
      </w:hyperlink>
      <w:hyperlink r:id="rId58">
        <w:r w:rsidRPr="000716AB">
          <w:rPr>
            <w:rFonts w:ascii="Arial" w:hAnsi="Arial" w:cs="Arial"/>
            <w:u w:val="single"/>
            <w:lang w:val="en-GB"/>
          </w:rPr>
          <w:t>https://doi.org/10.5121/ijmvsc.2024.15202</w:t>
        </w:r>
      </w:hyperlink>
    </w:p>
    <w:p w14:paraId="71D3152C"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lastRenderedPageBreak/>
        <w:t xml:space="preserve">World Bank (2025). </w:t>
      </w:r>
      <w:r w:rsidRPr="000716AB">
        <w:rPr>
          <w:rFonts w:ascii="Arial" w:hAnsi="Arial" w:cs="Arial"/>
          <w:i/>
          <w:iCs/>
          <w:lang w:val="en-GB"/>
        </w:rPr>
        <w:t>Algeria overview</w:t>
      </w:r>
      <w:r w:rsidRPr="000716AB">
        <w:rPr>
          <w:rFonts w:ascii="Arial" w:hAnsi="Arial" w:cs="Arial"/>
          <w:lang w:val="en-GB"/>
        </w:rPr>
        <w:t>. Available at:</w:t>
      </w:r>
      <w:hyperlink r:id="rId59">
        <w:r w:rsidRPr="000716AB">
          <w:rPr>
            <w:rFonts w:ascii="Arial" w:hAnsi="Arial" w:cs="Arial"/>
            <w:lang w:val="en-GB"/>
          </w:rPr>
          <w:t xml:space="preserve"> </w:t>
        </w:r>
      </w:hyperlink>
      <w:hyperlink r:id="rId60">
        <w:r w:rsidRPr="000716AB">
          <w:rPr>
            <w:rFonts w:ascii="Arial" w:hAnsi="Arial" w:cs="Arial"/>
            <w:u w:val="single"/>
            <w:lang w:val="en-GB"/>
          </w:rPr>
          <w:t>https://www.worldbank.org/ext/en/country/algeria</w:t>
        </w:r>
      </w:hyperlink>
      <w:r w:rsidRPr="000716AB">
        <w:rPr>
          <w:rFonts w:ascii="Arial" w:hAnsi="Arial" w:cs="Arial"/>
          <w:lang w:val="en-GB"/>
        </w:rPr>
        <w:t xml:space="preserve"> (Accessed: 17 July 2026).</w:t>
      </w:r>
    </w:p>
    <w:p w14:paraId="49E0234F" w14:textId="77777777" w:rsidR="00910130" w:rsidRPr="000716AB" w:rsidRDefault="00910130" w:rsidP="00A675F1">
      <w:pPr>
        <w:spacing w:after="160"/>
        <w:ind w:left="720" w:hanging="720"/>
        <w:jc w:val="left"/>
        <w:rPr>
          <w:rFonts w:ascii="Arial" w:hAnsi="Arial" w:cs="Arial"/>
          <w:lang w:val="en-GB"/>
        </w:rPr>
      </w:pPr>
      <w:r w:rsidRPr="000716AB">
        <w:rPr>
          <w:rFonts w:ascii="Arial" w:hAnsi="Arial" w:cs="Arial"/>
          <w:lang w:val="en-GB"/>
        </w:rPr>
        <w:t xml:space="preserve">World Intellectual Property Organization (WIPO) (2025). </w:t>
      </w:r>
      <w:r w:rsidRPr="000716AB">
        <w:rPr>
          <w:rFonts w:ascii="Arial" w:hAnsi="Arial" w:cs="Arial"/>
          <w:i/>
          <w:iCs/>
          <w:lang w:val="en-GB"/>
        </w:rPr>
        <w:t>WIPO Lex – Algeria</w:t>
      </w:r>
      <w:r w:rsidRPr="000716AB">
        <w:rPr>
          <w:rFonts w:ascii="Arial" w:hAnsi="Arial" w:cs="Arial"/>
          <w:lang w:val="en-GB"/>
        </w:rPr>
        <w:t>. Available at:</w:t>
      </w:r>
      <w:hyperlink r:id="rId61">
        <w:r w:rsidRPr="000716AB">
          <w:rPr>
            <w:rFonts w:ascii="Arial" w:hAnsi="Arial" w:cs="Arial"/>
            <w:lang w:val="en-GB"/>
          </w:rPr>
          <w:t xml:space="preserve"> </w:t>
        </w:r>
      </w:hyperlink>
      <w:hyperlink r:id="rId62">
        <w:r w:rsidRPr="000716AB">
          <w:rPr>
            <w:rFonts w:ascii="Arial" w:hAnsi="Arial" w:cs="Arial"/>
            <w:u w:val="single"/>
            <w:lang w:val="en-GB"/>
          </w:rPr>
          <w:t>https://www.wipo.int/wipolex/en/members/profile/DZ</w:t>
        </w:r>
      </w:hyperlink>
      <w:r w:rsidRPr="000716AB">
        <w:rPr>
          <w:rFonts w:ascii="Arial" w:hAnsi="Arial" w:cs="Arial"/>
          <w:lang w:val="en-GB"/>
        </w:rPr>
        <w:t xml:space="preserve"> (Accessed: 17 July 2026).</w:t>
      </w:r>
    </w:p>
    <w:sectPr w:rsidR="00910130" w:rsidRPr="000716AB">
      <w:footerReference w:type="default" r:id="rId6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6D000" w14:textId="77777777" w:rsidR="00485994" w:rsidRDefault="00485994">
      <w:pPr>
        <w:spacing w:before="0" w:after="0" w:line="240" w:lineRule="auto"/>
      </w:pPr>
      <w:r>
        <w:separator/>
      </w:r>
    </w:p>
  </w:endnote>
  <w:endnote w:type="continuationSeparator" w:id="0">
    <w:p w14:paraId="11236AF5" w14:textId="77777777" w:rsidR="00485994" w:rsidRDefault="004859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BAE916D-F331-4FC6-BA29-529DA9AEE82C}"/>
    <w:embedItalic r:id="rId2" w:fontKey="{FDF7A942-D021-46C4-B49E-A03A13B83FD2}"/>
  </w:font>
  <w:font w:name="Vrinda">
    <w:panose1 w:val="00000400000000000000"/>
    <w:charset w:val="00"/>
    <w:family w:val="swiss"/>
    <w:pitch w:val="variable"/>
    <w:sig w:usb0="00010003" w:usb1="00000000" w:usb2="00000000" w:usb3="00000000" w:csb0="00000001" w:csb1="00000000"/>
    <w:embedRegular r:id="rId3" w:fontKey="{24104909-D652-434B-8966-D354AF6CF5DA}"/>
    <w:embedBold r:id="rId4" w:fontKey="{9B110E3E-7641-4D2A-9D87-B5858483F1DF}"/>
    <w:embedItalic r:id="rId5" w:fontKey="{27A0A4B7-0979-46F3-9047-66FEED532493}"/>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embedRegular r:id="rId6" w:subsetted="1" w:fontKey="{9309C7B2-5A21-4E13-8691-2B4C7C81E5CF}"/>
  </w:font>
  <w:font w:name="Cambria">
    <w:panose1 w:val="02040503050406030204"/>
    <w:charset w:val="00"/>
    <w:family w:val="roman"/>
    <w:pitch w:val="variable"/>
    <w:sig w:usb0="E00006FF" w:usb1="420024FF" w:usb2="02000000" w:usb3="00000000" w:csb0="0000019F" w:csb1="00000000"/>
    <w:embedRegular r:id="rId7" w:fontKey="{7BAC6E37-10F7-4C27-A56E-E13E223DCC92}"/>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C96F1" w14:textId="77777777" w:rsidR="004260A9" w:rsidRDefault="0083161F">
    <w:pPr>
      <w:jc w:val="right"/>
      <w:rPr>
        <w:sz w:val="20"/>
        <w:szCs w:val="20"/>
      </w:rPr>
    </w:pPr>
    <w:r>
      <w:rPr>
        <w:sz w:val="20"/>
        <w:szCs w:val="20"/>
      </w:rPr>
      <w:fldChar w:fldCharType="begin"/>
    </w:r>
    <w:r>
      <w:rPr>
        <w:sz w:val="20"/>
        <w:szCs w:val="20"/>
      </w:rPr>
      <w:instrText>PAGE</w:instrText>
    </w:r>
    <w:r>
      <w:rPr>
        <w:sz w:val="20"/>
        <w:szCs w:val="20"/>
      </w:rPr>
      <w:fldChar w:fldCharType="separate"/>
    </w:r>
    <w:r w:rsidR="003036EB">
      <w:rPr>
        <w:noProof/>
        <w:sz w:val="20"/>
        <w:szCs w:val="20"/>
      </w:rPr>
      <w:t>21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6FA1E" w14:textId="77777777" w:rsidR="00485994" w:rsidRDefault="00485994">
      <w:pPr>
        <w:spacing w:before="0" w:after="0" w:line="240" w:lineRule="auto"/>
      </w:pPr>
      <w:r>
        <w:separator/>
      </w:r>
    </w:p>
  </w:footnote>
  <w:footnote w:type="continuationSeparator" w:id="0">
    <w:p w14:paraId="6AC800B6" w14:textId="77777777" w:rsidR="00485994" w:rsidRDefault="0048599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C0246"/>
    <w:multiLevelType w:val="hybridMultilevel"/>
    <w:tmpl w:val="EF424FD8"/>
    <w:lvl w:ilvl="0" w:tplc="4009000F">
      <w:start w:val="1"/>
      <w:numFmt w:val="decimal"/>
      <w:lvlText w:val="%1."/>
      <w:lvlJc w:val="left"/>
      <w:pPr>
        <w:ind w:left="630" w:hanging="360"/>
      </w:pPr>
    </w:lvl>
    <w:lvl w:ilvl="1" w:tplc="40090019" w:tentative="1">
      <w:start w:val="1"/>
      <w:numFmt w:val="lowerLetter"/>
      <w:lvlText w:val="%2."/>
      <w:lvlJc w:val="left"/>
      <w:pPr>
        <w:ind w:left="1350" w:hanging="360"/>
      </w:pPr>
    </w:lvl>
    <w:lvl w:ilvl="2" w:tplc="4009001B" w:tentative="1">
      <w:start w:val="1"/>
      <w:numFmt w:val="lowerRoman"/>
      <w:lvlText w:val="%3."/>
      <w:lvlJc w:val="right"/>
      <w:pPr>
        <w:ind w:left="2070" w:hanging="180"/>
      </w:pPr>
    </w:lvl>
    <w:lvl w:ilvl="3" w:tplc="4009000F" w:tentative="1">
      <w:start w:val="1"/>
      <w:numFmt w:val="decimal"/>
      <w:lvlText w:val="%4."/>
      <w:lvlJc w:val="left"/>
      <w:pPr>
        <w:ind w:left="2790" w:hanging="360"/>
      </w:pPr>
    </w:lvl>
    <w:lvl w:ilvl="4" w:tplc="40090019" w:tentative="1">
      <w:start w:val="1"/>
      <w:numFmt w:val="lowerLetter"/>
      <w:lvlText w:val="%5."/>
      <w:lvlJc w:val="left"/>
      <w:pPr>
        <w:ind w:left="3510" w:hanging="360"/>
      </w:pPr>
    </w:lvl>
    <w:lvl w:ilvl="5" w:tplc="4009001B" w:tentative="1">
      <w:start w:val="1"/>
      <w:numFmt w:val="lowerRoman"/>
      <w:lvlText w:val="%6."/>
      <w:lvlJc w:val="right"/>
      <w:pPr>
        <w:ind w:left="4230" w:hanging="180"/>
      </w:pPr>
    </w:lvl>
    <w:lvl w:ilvl="6" w:tplc="4009000F" w:tentative="1">
      <w:start w:val="1"/>
      <w:numFmt w:val="decimal"/>
      <w:lvlText w:val="%7."/>
      <w:lvlJc w:val="left"/>
      <w:pPr>
        <w:ind w:left="4950" w:hanging="360"/>
      </w:pPr>
    </w:lvl>
    <w:lvl w:ilvl="7" w:tplc="40090019" w:tentative="1">
      <w:start w:val="1"/>
      <w:numFmt w:val="lowerLetter"/>
      <w:lvlText w:val="%8."/>
      <w:lvlJc w:val="left"/>
      <w:pPr>
        <w:ind w:left="5670" w:hanging="360"/>
      </w:pPr>
    </w:lvl>
    <w:lvl w:ilvl="8" w:tplc="4009001B" w:tentative="1">
      <w:start w:val="1"/>
      <w:numFmt w:val="lowerRoman"/>
      <w:lvlText w:val="%9."/>
      <w:lvlJc w:val="right"/>
      <w:pPr>
        <w:ind w:left="6390" w:hanging="180"/>
      </w:pPr>
    </w:lvl>
  </w:abstractNum>
  <w:abstractNum w:abstractNumId="1" w15:restartNumberingAfterBreak="0">
    <w:nsid w:val="3D472039"/>
    <w:multiLevelType w:val="multilevel"/>
    <w:tmpl w:val="C27A5EE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433D445C"/>
    <w:multiLevelType w:val="multilevel"/>
    <w:tmpl w:val="6DD880B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557066E8"/>
    <w:multiLevelType w:val="multilevel"/>
    <w:tmpl w:val="25F8EE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CAE3C83"/>
    <w:multiLevelType w:val="hybridMultilevel"/>
    <w:tmpl w:val="608C31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16003546">
    <w:abstractNumId w:val="2"/>
  </w:num>
  <w:num w:numId="2" w16cid:durableId="907417463">
    <w:abstractNumId w:val="1"/>
  </w:num>
  <w:num w:numId="3" w16cid:durableId="535390583">
    <w:abstractNumId w:val="3"/>
  </w:num>
  <w:num w:numId="4" w16cid:durableId="434831388">
    <w:abstractNumId w:val="4"/>
  </w:num>
  <w:num w:numId="5" w16cid:durableId="215629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0A9"/>
    <w:rsid w:val="00015119"/>
    <w:rsid w:val="00046DDB"/>
    <w:rsid w:val="000716AB"/>
    <w:rsid w:val="00081BAA"/>
    <w:rsid w:val="00084656"/>
    <w:rsid w:val="00085F23"/>
    <w:rsid w:val="00090D36"/>
    <w:rsid w:val="000938C7"/>
    <w:rsid w:val="00096028"/>
    <w:rsid w:val="00097874"/>
    <w:rsid w:val="000A06E9"/>
    <w:rsid w:val="000A4F6B"/>
    <w:rsid w:val="000A6346"/>
    <w:rsid w:val="000B29BE"/>
    <w:rsid w:val="000B571C"/>
    <w:rsid w:val="000C5155"/>
    <w:rsid w:val="000D34D8"/>
    <w:rsid w:val="0011124A"/>
    <w:rsid w:val="00135BB2"/>
    <w:rsid w:val="00156E0E"/>
    <w:rsid w:val="0017098A"/>
    <w:rsid w:val="001716F1"/>
    <w:rsid w:val="001A2FC9"/>
    <w:rsid w:val="001D6EEB"/>
    <w:rsid w:val="001E29B4"/>
    <w:rsid w:val="001F3751"/>
    <w:rsid w:val="0020072E"/>
    <w:rsid w:val="00207F79"/>
    <w:rsid w:val="00212F8E"/>
    <w:rsid w:val="00240517"/>
    <w:rsid w:val="00245153"/>
    <w:rsid w:val="0025469F"/>
    <w:rsid w:val="00255464"/>
    <w:rsid w:val="00256470"/>
    <w:rsid w:val="002813FE"/>
    <w:rsid w:val="002B53DD"/>
    <w:rsid w:val="002C0AD4"/>
    <w:rsid w:val="002F5841"/>
    <w:rsid w:val="00302FC5"/>
    <w:rsid w:val="003036EB"/>
    <w:rsid w:val="003074F9"/>
    <w:rsid w:val="0033753B"/>
    <w:rsid w:val="0034701F"/>
    <w:rsid w:val="00365431"/>
    <w:rsid w:val="00372EA1"/>
    <w:rsid w:val="00374A2B"/>
    <w:rsid w:val="003A5B6B"/>
    <w:rsid w:val="003A5D72"/>
    <w:rsid w:val="003B2425"/>
    <w:rsid w:val="003B54BE"/>
    <w:rsid w:val="003C19DE"/>
    <w:rsid w:val="003D23F6"/>
    <w:rsid w:val="003D4523"/>
    <w:rsid w:val="003F557B"/>
    <w:rsid w:val="004009B9"/>
    <w:rsid w:val="004260A9"/>
    <w:rsid w:val="00471DA4"/>
    <w:rsid w:val="00485086"/>
    <w:rsid w:val="00485994"/>
    <w:rsid w:val="0049328E"/>
    <w:rsid w:val="004A0198"/>
    <w:rsid w:val="004A044F"/>
    <w:rsid w:val="004B115E"/>
    <w:rsid w:val="004C4B05"/>
    <w:rsid w:val="004D4560"/>
    <w:rsid w:val="004E30A2"/>
    <w:rsid w:val="004E6399"/>
    <w:rsid w:val="004E640B"/>
    <w:rsid w:val="00510FCE"/>
    <w:rsid w:val="00517570"/>
    <w:rsid w:val="00522645"/>
    <w:rsid w:val="00534B63"/>
    <w:rsid w:val="005503A6"/>
    <w:rsid w:val="0056629F"/>
    <w:rsid w:val="005813FD"/>
    <w:rsid w:val="0059253A"/>
    <w:rsid w:val="0059411F"/>
    <w:rsid w:val="005A4D7D"/>
    <w:rsid w:val="005B5E3D"/>
    <w:rsid w:val="005E5F7E"/>
    <w:rsid w:val="005E7EB4"/>
    <w:rsid w:val="00600277"/>
    <w:rsid w:val="006152DB"/>
    <w:rsid w:val="006448C1"/>
    <w:rsid w:val="00653136"/>
    <w:rsid w:val="00654116"/>
    <w:rsid w:val="00654710"/>
    <w:rsid w:val="00655AAB"/>
    <w:rsid w:val="006652B2"/>
    <w:rsid w:val="00696BD5"/>
    <w:rsid w:val="006B57DA"/>
    <w:rsid w:val="006C10E5"/>
    <w:rsid w:val="006D27E6"/>
    <w:rsid w:val="006F0FBE"/>
    <w:rsid w:val="00700E17"/>
    <w:rsid w:val="0071045F"/>
    <w:rsid w:val="00726F80"/>
    <w:rsid w:val="00755209"/>
    <w:rsid w:val="00774511"/>
    <w:rsid w:val="007823C4"/>
    <w:rsid w:val="007828AC"/>
    <w:rsid w:val="0078544A"/>
    <w:rsid w:val="007A2507"/>
    <w:rsid w:val="007A54F0"/>
    <w:rsid w:val="007C5C3D"/>
    <w:rsid w:val="007E273A"/>
    <w:rsid w:val="007E685F"/>
    <w:rsid w:val="007F1900"/>
    <w:rsid w:val="008025E7"/>
    <w:rsid w:val="00811459"/>
    <w:rsid w:val="0082668C"/>
    <w:rsid w:val="00831034"/>
    <w:rsid w:val="0083161F"/>
    <w:rsid w:val="00834630"/>
    <w:rsid w:val="00847FA5"/>
    <w:rsid w:val="008530E3"/>
    <w:rsid w:val="00855C9C"/>
    <w:rsid w:val="00857FF9"/>
    <w:rsid w:val="00891329"/>
    <w:rsid w:val="008967D8"/>
    <w:rsid w:val="008A0FA8"/>
    <w:rsid w:val="008A1EFD"/>
    <w:rsid w:val="008B2A74"/>
    <w:rsid w:val="008B6AA7"/>
    <w:rsid w:val="008B6EB6"/>
    <w:rsid w:val="008C1308"/>
    <w:rsid w:val="008C2AE7"/>
    <w:rsid w:val="008D119C"/>
    <w:rsid w:val="008D4EEE"/>
    <w:rsid w:val="0090680F"/>
    <w:rsid w:val="00910130"/>
    <w:rsid w:val="009128A2"/>
    <w:rsid w:val="0091319A"/>
    <w:rsid w:val="009451EC"/>
    <w:rsid w:val="009500ED"/>
    <w:rsid w:val="00971EC7"/>
    <w:rsid w:val="00977B6D"/>
    <w:rsid w:val="00980F04"/>
    <w:rsid w:val="00982066"/>
    <w:rsid w:val="009B43B2"/>
    <w:rsid w:val="009E322D"/>
    <w:rsid w:val="00A04177"/>
    <w:rsid w:val="00A43778"/>
    <w:rsid w:val="00A675F1"/>
    <w:rsid w:val="00A808B9"/>
    <w:rsid w:val="00A832BA"/>
    <w:rsid w:val="00A855E4"/>
    <w:rsid w:val="00AB2325"/>
    <w:rsid w:val="00B06EC9"/>
    <w:rsid w:val="00B44975"/>
    <w:rsid w:val="00B52EA8"/>
    <w:rsid w:val="00B53883"/>
    <w:rsid w:val="00B70B8C"/>
    <w:rsid w:val="00B7555E"/>
    <w:rsid w:val="00BB4A23"/>
    <w:rsid w:val="00BB4A3D"/>
    <w:rsid w:val="00BC1CD1"/>
    <w:rsid w:val="00BE7F8C"/>
    <w:rsid w:val="00BF0FDB"/>
    <w:rsid w:val="00C05ED9"/>
    <w:rsid w:val="00C119B0"/>
    <w:rsid w:val="00C134E5"/>
    <w:rsid w:val="00C264E4"/>
    <w:rsid w:val="00C33B6C"/>
    <w:rsid w:val="00C35513"/>
    <w:rsid w:val="00C53043"/>
    <w:rsid w:val="00C6438A"/>
    <w:rsid w:val="00C67080"/>
    <w:rsid w:val="00C80CB0"/>
    <w:rsid w:val="00C80F65"/>
    <w:rsid w:val="00C85ADF"/>
    <w:rsid w:val="00CC2B21"/>
    <w:rsid w:val="00CD2BA3"/>
    <w:rsid w:val="00CD3A45"/>
    <w:rsid w:val="00CD3AA0"/>
    <w:rsid w:val="00D06952"/>
    <w:rsid w:val="00D16ECB"/>
    <w:rsid w:val="00D27ADF"/>
    <w:rsid w:val="00D37DA3"/>
    <w:rsid w:val="00D42D5B"/>
    <w:rsid w:val="00D43A9C"/>
    <w:rsid w:val="00D66E44"/>
    <w:rsid w:val="00D674B9"/>
    <w:rsid w:val="00DA3B07"/>
    <w:rsid w:val="00DB4E31"/>
    <w:rsid w:val="00DD68E7"/>
    <w:rsid w:val="00DE017D"/>
    <w:rsid w:val="00DF6540"/>
    <w:rsid w:val="00E0233B"/>
    <w:rsid w:val="00E374C0"/>
    <w:rsid w:val="00E45FA5"/>
    <w:rsid w:val="00E51748"/>
    <w:rsid w:val="00E53A35"/>
    <w:rsid w:val="00E56CF6"/>
    <w:rsid w:val="00E71614"/>
    <w:rsid w:val="00E971FA"/>
    <w:rsid w:val="00E972AE"/>
    <w:rsid w:val="00ED02F2"/>
    <w:rsid w:val="00F0041E"/>
    <w:rsid w:val="00F0255B"/>
    <w:rsid w:val="00F04EC5"/>
    <w:rsid w:val="00F0706A"/>
    <w:rsid w:val="00F244A9"/>
    <w:rsid w:val="00F45868"/>
    <w:rsid w:val="00F55AD0"/>
    <w:rsid w:val="00F613A6"/>
    <w:rsid w:val="00F62599"/>
    <w:rsid w:val="00F75087"/>
    <w:rsid w:val="00F768CD"/>
    <w:rsid w:val="00FA3677"/>
    <w:rsid w:val="00FB5961"/>
    <w:rsid w:val="00FD71F1"/>
    <w:rsid w:val="00FE3D7D"/>
    <w:rsid w:val="00FE73A3"/>
    <w:rsid w:val="00FF3CBF"/>
    <w:rsid w:val="00FF76C4"/>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73AD1"/>
  <w15:docId w15:val="{DBB3A951-3F52-4593-8DAE-8DB23AED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720" w:hanging="360"/>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ind w:left="720" w:hanging="36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Heading">
    <w:name w:val="TOC Heading"/>
    <w:basedOn w:val="Heading1"/>
    <w:next w:val="Normal"/>
    <w:uiPriority w:val="39"/>
    <w:unhideWhenUsed/>
    <w:qFormat/>
    <w:rsid w:val="00774511"/>
    <w:pPr>
      <w:spacing w:before="240" w:after="0" w:line="259" w:lineRule="auto"/>
      <w:ind w:left="0" w:firstLine="0"/>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74511"/>
    <w:pPr>
      <w:spacing w:after="100"/>
    </w:pPr>
  </w:style>
  <w:style w:type="paragraph" w:styleId="TOC2">
    <w:name w:val="toc 2"/>
    <w:basedOn w:val="Normal"/>
    <w:next w:val="Normal"/>
    <w:autoRedefine/>
    <w:uiPriority w:val="39"/>
    <w:unhideWhenUsed/>
    <w:rsid w:val="00774511"/>
    <w:pPr>
      <w:spacing w:after="100"/>
      <w:ind w:left="240"/>
    </w:pPr>
  </w:style>
  <w:style w:type="paragraph" w:styleId="TOC3">
    <w:name w:val="toc 3"/>
    <w:basedOn w:val="Normal"/>
    <w:next w:val="Normal"/>
    <w:autoRedefine/>
    <w:uiPriority w:val="39"/>
    <w:unhideWhenUsed/>
    <w:rsid w:val="00774511"/>
    <w:pPr>
      <w:spacing w:after="100"/>
      <w:ind w:left="480"/>
    </w:pPr>
  </w:style>
  <w:style w:type="character" w:styleId="Hyperlink">
    <w:name w:val="Hyperlink"/>
    <w:basedOn w:val="DefaultParagraphFont"/>
    <w:uiPriority w:val="99"/>
    <w:unhideWhenUsed/>
    <w:rsid w:val="00774511"/>
    <w:rPr>
      <w:color w:val="0000FF" w:themeColor="hyperlink"/>
      <w:u w:val="single"/>
    </w:rPr>
  </w:style>
  <w:style w:type="table" w:styleId="PlainTable5">
    <w:name w:val="Plain Table 5"/>
    <w:basedOn w:val="TableNormal"/>
    <w:uiPriority w:val="45"/>
    <w:rsid w:val="00E45FA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654710"/>
    <w:rPr>
      <w:b/>
      <w:bCs/>
    </w:rPr>
  </w:style>
  <w:style w:type="table" w:styleId="GridTable5Dark-Accent6">
    <w:name w:val="Grid Table 5 Dark Accent 6"/>
    <w:basedOn w:val="TableNormal"/>
    <w:uiPriority w:val="50"/>
    <w:rsid w:val="0065471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ListParagraph">
    <w:name w:val="List Paragraph"/>
    <w:basedOn w:val="Normal"/>
    <w:uiPriority w:val="34"/>
    <w:qFormat/>
    <w:rsid w:val="008B2A74"/>
    <w:pPr>
      <w:ind w:left="720"/>
      <w:contextualSpacing/>
    </w:pPr>
  </w:style>
  <w:style w:type="character" w:styleId="UnresolvedMention">
    <w:name w:val="Unresolved Mention"/>
    <w:basedOn w:val="DefaultParagraphFont"/>
    <w:uiPriority w:val="99"/>
    <w:semiHidden/>
    <w:unhideWhenUsed/>
    <w:rsid w:val="00156E0E"/>
    <w:rPr>
      <w:color w:val="605E5C"/>
      <w:shd w:val="clear" w:color="auto" w:fill="E1DFDD"/>
    </w:rPr>
  </w:style>
  <w:style w:type="paragraph" w:styleId="BodyText">
    <w:name w:val="Body Text"/>
    <w:basedOn w:val="Normal"/>
    <w:link w:val="BodyTextChar"/>
    <w:uiPriority w:val="1"/>
    <w:qFormat/>
    <w:rsid w:val="00654116"/>
    <w:pPr>
      <w:widowControl w:val="0"/>
      <w:autoSpaceDE w:val="0"/>
      <w:autoSpaceDN w:val="0"/>
      <w:spacing w:before="0" w:after="0" w:line="240" w:lineRule="auto"/>
      <w:jc w:val="left"/>
    </w:pPr>
    <w:rPr>
      <w:rFonts w:ascii="Arial MT" w:eastAsia="Arial MT" w:hAnsi="Arial MT" w:cs="Arial MT"/>
      <w:sz w:val="22"/>
      <w:szCs w:val="22"/>
      <w:lang w:val="en-US" w:eastAsia="en-US"/>
    </w:rPr>
  </w:style>
  <w:style w:type="character" w:customStyle="1" w:styleId="BodyTextChar">
    <w:name w:val="Body Text Char"/>
    <w:basedOn w:val="DefaultParagraphFont"/>
    <w:link w:val="BodyText"/>
    <w:uiPriority w:val="1"/>
    <w:rsid w:val="00654116"/>
    <w:rPr>
      <w:rFonts w:ascii="Arial MT" w:eastAsia="Arial MT" w:hAnsi="Arial MT" w:cs="Arial MT"/>
      <w:sz w:val="22"/>
      <w:szCs w:val="22"/>
      <w:lang w:val="en-US" w:eastAsia="en-US"/>
    </w:rPr>
  </w:style>
  <w:style w:type="paragraph" w:customStyle="1" w:styleId="TableParagraph">
    <w:name w:val="Table Paragraph"/>
    <w:basedOn w:val="Normal"/>
    <w:uiPriority w:val="1"/>
    <w:qFormat/>
    <w:rsid w:val="00654116"/>
    <w:pPr>
      <w:widowControl w:val="0"/>
      <w:autoSpaceDE w:val="0"/>
      <w:autoSpaceDN w:val="0"/>
      <w:spacing w:before="0" w:after="0" w:line="240" w:lineRule="auto"/>
      <w:ind w:left="108"/>
      <w:jc w:val="left"/>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86707">
      <w:bodyDiv w:val="1"/>
      <w:marLeft w:val="0"/>
      <w:marRight w:val="0"/>
      <w:marTop w:val="0"/>
      <w:marBottom w:val="0"/>
      <w:divBdr>
        <w:top w:val="none" w:sz="0" w:space="0" w:color="auto"/>
        <w:left w:val="none" w:sz="0" w:space="0" w:color="auto"/>
        <w:bottom w:val="none" w:sz="0" w:space="0" w:color="auto"/>
        <w:right w:val="none" w:sz="0" w:space="0" w:color="auto"/>
      </w:divBdr>
      <w:divsChild>
        <w:div w:id="341519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61087">
      <w:bodyDiv w:val="1"/>
      <w:marLeft w:val="0"/>
      <w:marRight w:val="0"/>
      <w:marTop w:val="0"/>
      <w:marBottom w:val="0"/>
      <w:divBdr>
        <w:top w:val="none" w:sz="0" w:space="0" w:color="auto"/>
        <w:left w:val="none" w:sz="0" w:space="0" w:color="auto"/>
        <w:bottom w:val="none" w:sz="0" w:space="0" w:color="auto"/>
        <w:right w:val="none" w:sz="0" w:space="0" w:color="auto"/>
      </w:divBdr>
      <w:divsChild>
        <w:div w:id="374932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358430">
      <w:bodyDiv w:val="1"/>
      <w:marLeft w:val="0"/>
      <w:marRight w:val="0"/>
      <w:marTop w:val="0"/>
      <w:marBottom w:val="0"/>
      <w:divBdr>
        <w:top w:val="none" w:sz="0" w:space="0" w:color="auto"/>
        <w:left w:val="none" w:sz="0" w:space="0" w:color="auto"/>
        <w:bottom w:val="none" w:sz="0" w:space="0" w:color="auto"/>
        <w:right w:val="none" w:sz="0" w:space="0" w:color="auto"/>
      </w:divBdr>
      <w:divsChild>
        <w:div w:id="53478270">
          <w:marLeft w:val="0"/>
          <w:marRight w:val="0"/>
          <w:marTop w:val="0"/>
          <w:marBottom w:val="0"/>
          <w:divBdr>
            <w:top w:val="none" w:sz="0" w:space="0" w:color="auto"/>
            <w:left w:val="none" w:sz="0" w:space="0" w:color="auto"/>
            <w:bottom w:val="none" w:sz="0" w:space="0" w:color="auto"/>
            <w:right w:val="none" w:sz="0" w:space="0" w:color="auto"/>
          </w:divBdr>
          <w:divsChild>
            <w:div w:id="9087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475547">
      <w:bodyDiv w:val="1"/>
      <w:marLeft w:val="0"/>
      <w:marRight w:val="0"/>
      <w:marTop w:val="0"/>
      <w:marBottom w:val="0"/>
      <w:divBdr>
        <w:top w:val="none" w:sz="0" w:space="0" w:color="auto"/>
        <w:left w:val="none" w:sz="0" w:space="0" w:color="auto"/>
        <w:bottom w:val="none" w:sz="0" w:space="0" w:color="auto"/>
        <w:right w:val="none" w:sz="0" w:space="0" w:color="auto"/>
      </w:divBdr>
      <w:divsChild>
        <w:div w:id="780608491">
          <w:marLeft w:val="0"/>
          <w:marRight w:val="0"/>
          <w:marTop w:val="0"/>
          <w:marBottom w:val="0"/>
          <w:divBdr>
            <w:top w:val="none" w:sz="0" w:space="0" w:color="auto"/>
            <w:left w:val="none" w:sz="0" w:space="0" w:color="auto"/>
            <w:bottom w:val="none" w:sz="0" w:space="0" w:color="auto"/>
            <w:right w:val="none" w:sz="0" w:space="0" w:color="auto"/>
          </w:divBdr>
          <w:divsChild>
            <w:div w:id="528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759682">
      <w:bodyDiv w:val="1"/>
      <w:marLeft w:val="0"/>
      <w:marRight w:val="0"/>
      <w:marTop w:val="0"/>
      <w:marBottom w:val="0"/>
      <w:divBdr>
        <w:top w:val="none" w:sz="0" w:space="0" w:color="auto"/>
        <w:left w:val="none" w:sz="0" w:space="0" w:color="auto"/>
        <w:bottom w:val="none" w:sz="0" w:space="0" w:color="auto"/>
        <w:right w:val="none" w:sz="0" w:space="0" w:color="auto"/>
      </w:divBdr>
    </w:div>
    <w:div w:id="267663238">
      <w:bodyDiv w:val="1"/>
      <w:marLeft w:val="0"/>
      <w:marRight w:val="0"/>
      <w:marTop w:val="0"/>
      <w:marBottom w:val="0"/>
      <w:divBdr>
        <w:top w:val="none" w:sz="0" w:space="0" w:color="auto"/>
        <w:left w:val="none" w:sz="0" w:space="0" w:color="auto"/>
        <w:bottom w:val="none" w:sz="0" w:space="0" w:color="auto"/>
        <w:right w:val="none" w:sz="0" w:space="0" w:color="auto"/>
      </w:divBdr>
      <w:divsChild>
        <w:div w:id="15619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6329469">
      <w:bodyDiv w:val="1"/>
      <w:marLeft w:val="0"/>
      <w:marRight w:val="0"/>
      <w:marTop w:val="0"/>
      <w:marBottom w:val="0"/>
      <w:divBdr>
        <w:top w:val="none" w:sz="0" w:space="0" w:color="auto"/>
        <w:left w:val="none" w:sz="0" w:space="0" w:color="auto"/>
        <w:bottom w:val="none" w:sz="0" w:space="0" w:color="auto"/>
        <w:right w:val="none" w:sz="0" w:space="0" w:color="auto"/>
      </w:divBdr>
      <w:divsChild>
        <w:div w:id="280067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9810980">
      <w:bodyDiv w:val="1"/>
      <w:marLeft w:val="0"/>
      <w:marRight w:val="0"/>
      <w:marTop w:val="0"/>
      <w:marBottom w:val="0"/>
      <w:divBdr>
        <w:top w:val="none" w:sz="0" w:space="0" w:color="auto"/>
        <w:left w:val="none" w:sz="0" w:space="0" w:color="auto"/>
        <w:bottom w:val="none" w:sz="0" w:space="0" w:color="auto"/>
        <w:right w:val="none" w:sz="0" w:space="0" w:color="auto"/>
      </w:divBdr>
      <w:divsChild>
        <w:div w:id="1217738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5005772">
      <w:bodyDiv w:val="1"/>
      <w:marLeft w:val="0"/>
      <w:marRight w:val="0"/>
      <w:marTop w:val="0"/>
      <w:marBottom w:val="0"/>
      <w:divBdr>
        <w:top w:val="none" w:sz="0" w:space="0" w:color="auto"/>
        <w:left w:val="none" w:sz="0" w:space="0" w:color="auto"/>
        <w:bottom w:val="none" w:sz="0" w:space="0" w:color="auto"/>
        <w:right w:val="none" w:sz="0" w:space="0" w:color="auto"/>
      </w:divBdr>
      <w:divsChild>
        <w:div w:id="196085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7109612">
      <w:bodyDiv w:val="1"/>
      <w:marLeft w:val="0"/>
      <w:marRight w:val="0"/>
      <w:marTop w:val="0"/>
      <w:marBottom w:val="0"/>
      <w:divBdr>
        <w:top w:val="none" w:sz="0" w:space="0" w:color="auto"/>
        <w:left w:val="none" w:sz="0" w:space="0" w:color="auto"/>
        <w:bottom w:val="none" w:sz="0" w:space="0" w:color="auto"/>
        <w:right w:val="none" w:sz="0" w:space="0" w:color="auto"/>
      </w:divBdr>
      <w:divsChild>
        <w:div w:id="946043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61108">
      <w:bodyDiv w:val="1"/>
      <w:marLeft w:val="0"/>
      <w:marRight w:val="0"/>
      <w:marTop w:val="0"/>
      <w:marBottom w:val="0"/>
      <w:divBdr>
        <w:top w:val="none" w:sz="0" w:space="0" w:color="auto"/>
        <w:left w:val="none" w:sz="0" w:space="0" w:color="auto"/>
        <w:bottom w:val="none" w:sz="0" w:space="0" w:color="auto"/>
        <w:right w:val="none" w:sz="0" w:space="0" w:color="auto"/>
      </w:divBdr>
      <w:divsChild>
        <w:div w:id="970326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0885034">
      <w:bodyDiv w:val="1"/>
      <w:marLeft w:val="0"/>
      <w:marRight w:val="0"/>
      <w:marTop w:val="0"/>
      <w:marBottom w:val="0"/>
      <w:divBdr>
        <w:top w:val="none" w:sz="0" w:space="0" w:color="auto"/>
        <w:left w:val="none" w:sz="0" w:space="0" w:color="auto"/>
        <w:bottom w:val="none" w:sz="0" w:space="0" w:color="auto"/>
        <w:right w:val="none" w:sz="0" w:space="0" w:color="auto"/>
      </w:divBdr>
      <w:divsChild>
        <w:div w:id="536547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6152252">
      <w:bodyDiv w:val="1"/>
      <w:marLeft w:val="0"/>
      <w:marRight w:val="0"/>
      <w:marTop w:val="0"/>
      <w:marBottom w:val="0"/>
      <w:divBdr>
        <w:top w:val="none" w:sz="0" w:space="0" w:color="auto"/>
        <w:left w:val="none" w:sz="0" w:space="0" w:color="auto"/>
        <w:bottom w:val="none" w:sz="0" w:space="0" w:color="auto"/>
        <w:right w:val="none" w:sz="0" w:space="0" w:color="auto"/>
      </w:divBdr>
      <w:divsChild>
        <w:div w:id="1086615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1132596">
      <w:bodyDiv w:val="1"/>
      <w:marLeft w:val="0"/>
      <w:marRight w:val="0"/>
      <w:marTop w:val="0"/>
      <w:marBottom w:val="0"/>
      <w:divBdr>
        <w:top w:val="none" w:sz="0" w:space="0" w:color="auto"/>
        <w:left w:val="none" w:sz="0" w:space="0" w:color="auto"/>
        <w:bottom w:val="none" w:sz="0" w:space="0" w:color="auto"/>
        <w:right w:val="none" w:sz="0" w:space="0" w:color="auto"/>
      </w:divBdr>
    </w:div>
    <w:div w:id="755638912">
      <w:bodyDiv w:val="1"/>
      <w:marLeft w:val="0"/>
      <w:marRight w:val="0"/>
      <w:marTop w:val="0"/>
      <w:marBottom w:val="0"/>
      <w:divBdr>
        <w:top w:val="none" w:sz="0" w:space="0" w:color="auto"/>
        <w:left w:val="none" w:sz="0" w:space="0" w:color="auto"/>
        <w:bottom w:val="none" w:sz="0" w:space="0" w:color="auto"/>
        <w:right w:val="none" w:sz="0" w:space="0" w:color="auto"/>
      </w:divBdr>
      <w:divsChild>
        <w:div w:id="423188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6571965">
      <w:bodyDiv w:val="1"/>
      <w:marLeft w:val="0"/>
      <w:marRight w:val="0"/>
      <w:marTop w:val="0"/>
      <w:marBottom w:val="0"/>
      <w:divBdr>
        <w:top w:val="none" w:sz="0" w:space="0" w:color="auto"/>
        <w:left w:val="none" w:sz="0" w:space="0" w:color="auto"/>
        <w:bottom w:val="none" w:sz="0" w:space="0" w:color="auto"/>
        <w:right w:val="none" w:sz="0" w:space="0" w:color="auto"/>
      </w:divBdr>
      <w:divsChild>
        <w:div w:id="1681003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7865807">
      <w:bodyDiv w:val="1"/>
      <w:marLeft w:val="0"/>
      <w:marRight w:val="0"/>
      <w:marTop w:val="0"/>
      <w:marBottom w:val="0"/>
      <w:divBdr>
        <w:top w:val="none" w:sz="0" w:space="0" w:color="auto"/>
        <w:left w:val="none" w:sz="0" w:space="0" w:color="auto"/>
        <w:bottom w:val="none" w:sz="0" w:space="0" w:color="auto"/>
        <w:right w:val="none" w:sz="0" w:space="0" w:color="auto"/>
      </w:divBdr>
    </w:div>
    <w:div w:id="1321540056">
      <w:bodyDiv w:val="1"/>
      <w:marLeft w:val="0"/>
      <w:marRight w:val="0"/>
      <w:marTop w:val="0"/>
      <w:marBottom w:val="0"/>
      <w:divBdr>
        <w:top w:val="none" w:sz="0" w:space="0" w:color="auto"/>
        <w:left w:val="none" w:sz="0" w:space="0" w:color="auto"/>
        <w:bottom w:val="none" w:sz="0" w:space="0" w:color="auto"/>
        <w:right w:val="none" w:sz="0" w:space="0" w:color="auto"/>
      </w:divBdr>
      <w:divsChild>
        <w:div w:id="1851676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2721019">
      <w:bodyDiv w:val="1"/>
      <w:marLeft w:val="0"/>
      <w:marRight w:val="0"/>
      <w:marTop w:val="0"/>
      <w:marBottom w:val="0"/>
      <w:divBdr>
        <w:top w:val="none" w:sz="0" w:space="0" w:color="auto"/>
        <w:left w:val="none" w:sz="0" w:space="0" w:color="auto"/>
        <w:bottom w:val="none" w:sz="0" w:space="0" w:color="auto"/>
        <w:right w:val="none" w:sz="0" w:space="0" w:color="auto"/>
      </w:divBdr>
      <w:divsChild>
        <w:div w:id="1256742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923060">
      <w:bodyDiv w:val="1"/>
      <w:marLeft w:val="0"/>
      <w:marRight w:val="0"/>
      <w:marTop w:val="0"/>
      <w:marBottom w:val="0"/>
      <w:divBdr>
        <w:top w:val="none" w:sz="0" w:space="0" w:color="auto"/>
        <w:left w:val="none" w:sz="0" w:space="0" w:color="auto"/>
        <w:bottom w:val="none" w:sz="0" w:space="0" w:color="auto"/>
        <w:right w:val="none" w:sz="0" w:space="0" w:color="auto"/>
      </w:divBdr>
      <w:divsChild>
        <w:div w:id="17817558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2957495">
      <w:bodyDiv w:val="1"/>
      <w:marLeft w:val="0"/>
      <w:marRight w:val="0"/>
      <w:marTop w:val="0"/>
      <w:marBottom w:val="0"/>
      <w:divBdr>
        <w:top w:val="none" w:sz="0" w:space="0" w:color="auto"/>
        <w:left w:val="none" w:sz="0" w:space="0" w:color="auto"/>
        <w:bottom w:val="none" w:sz="0" w:space="0" w:color="auto"/>
        <w:right w:val="none" w:sz="0" w:space="0" w:color="auto"/>
      </w:divBdr>
      <w:divsChild>
        <w:div w:id="372734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3750629">
      <w:bodyDiv w:val="1"/>
      <w:marLeft w:val="0"/>
      <w:marRight w:val="0"/>
      <w:marTop w:val="0"/>
      <w:marBottom w:val="0"/>
      <w:divBdr>
        <w:top w:val="none" w:sz="0" w:space="0" w:color="auto"/>
        <w:left w:val="none" w:sz="0" w:space="0" w:color="auto"/>
        <w:bottom w:val="none" w:sz="0" w:space="0" w:color="auto"/>
        <w:right w:val="none" w:sz="0" w:space="0" w:color="auto"/>
      </w:divBdr>
      <w:divsChild>
        <w:div w:id="922110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3063911">
      <w:bodyDiv w:val="1"/>
      <w:marLeft w:val="0"/>
      <w:marRight w:val="0"/>
      <w:marTop w:val="0"/>
      <w:marBottom w:val="0"/>
      <w:divBdr>
        <w:top w:val="none" w:sz="0" w:space="0" w:color="auto"/>
        <w:left w:val="none" w:sz="0" w:space="0" w:color="auto"/>
        <w:bottom w:val="none" w:sz="0" w:space="0" w:color="auto"/>
        <w:right w:val="none" w:sz="0" w:space="0" w:color="auto"/>
      </w:divBdr>
      <w:divsChild>
        <w:div w:id="1764716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057/palgrave.jibs.8490372" TargetMode="External"/><Relationship Id="rId21" Type="http://schemas.openxmlformats.org/officeDocument/2006/relationships/hyperlink" Target="https://doi.org/10.1016/j.trip.2023.100909" TargetMode="External"/><Relationship Id="rId34" Type="http://schemas.openxmlformats.org/officeDocument/2006/relationships/hyperlink" Target="https://doi.org/10.1016/j.grets.2024.100081" TargetMode="External"/><Relationship Id="rId42" Type="http://schemas.openxmlformats.org/officeDocument/2006/relationships/hyperlink" Target="https://www.scripown.com/docs/EBOOK_20230413_104938.pdf" TargetMode="External"/><Relationship Id="rId47" Type="http://schemas.openxmlformats.org/officeDocument/2006/relationships/hyperlink" Target="https://www.statista.com/outlook/cmo/furniture/algeria" TargetMode="External"/><Relationship Id="rId50" Type="http://schemas.openxmlformats.org/officeDocument/2006/relationships/hyperlink" Target="https://doi.org/10.3390/su17062462" TargetMode="External"/><Relationship Id="rId55" Type="http://schemas.openxmlformats.org/officeDocument/2006/relationships/hyperlink" Target="https://investmentpolicy.unctad.org/country-navigator/4/algeria?utm_source=chatgpt.com"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IJOEM-07-2019-0517" TargetMode="External"/><Relationship Id="rId29" Type="http://schemas.openxmlformats.org/officeDocument/2006/relationships/hyperlink" Target="https://www.ingka.com/annual-summary-and-sustainability-report/" TargetMode="External"/><Relationship Id="rId11" Type="http://schemas.openxmlformats.org/officeDocument/2006/relationships/hyperlink" Target="http://dx.doi.org/10.15722/jds.21.10.202310.39" TargetMode="External"/><Relationship Id="rId24" Type="http://schemas.openxmlformats.org/officeDocument/2006/relationships/hyperlink" Target="https://doi.org/10.1016/j.intman.2024.101120" TargetMode="External"/><Relationship Id="rId32" Type="http://schemas.openxmlformats.org/officeDocument/2006/relationships/hyperlink" Target="https://natlex.ilo.org" TargetMode="External"/><Relationship Id="rId37" Type="http://schemas.openxmlformats.org/officeDocument/2006/relationships/hyperlink" Target="https://doi.org/10.19275/RSEP150" TargetMode="External"/><Relationship Id="rId40" Type="http://schemas.openxmlformats.org/officeDocument/2006/relationships/hyperlink" Target="https://taxsummaries.pwc.com/algeria/corporate" TargetMode="External"/><Relationship Id="rId45" Type="http://schemas.openxmlformats.org/officeDocument/2006/relationships/hyperlink" Target="https://www.statista.com/outlook/cmo/furniture/algeria?srsltid=AfmBOoqIOxwM1LFZfEe5MbKJ6xaBH0ueHJ7lyvxueiPAP9a6qeqevRkX" TargetMode="External"/><Relationship Id="rId53" Type="http://schemas.openxmlformats.org/officeDocument/2006/relationships/hyperlink" Target="https://www.theculturefactor.com/country-comparison-tool?countries=algeria%2Csweden" TargetMode="External"/><Relationship Id="rId58" Type="http://schemas.openxmlformats.org/officeDocument/2006/relationships/hyperlink" Target="https://doi.org/10.5121/ijmvsc.2024.15202" TargetMode="External"/><Relationship Id="rId5" Type="http://schemas.openxmlformats.org/officeDocument/2006/relationships/webSettings" Target="webSettings.xml"/><Relationship Id="rId61" Type="http://schemas.openxmlformats.org/officeDocument/2006/relationships/hyperlink" Target="https://www.wipo.int/wipolex/en/members/profile/DZ" TargetMode="External"/><Relationship Id="rId19" Type="http://schemas.openxmlformats.org/officeDocument/2006/relationships/hyperlink" Target="https://doi.org/10.1057/jibs.2009.49" TargetMode="External"/><Relationship Id="rId14" Type="http://schemas.openxmlformats.org/officeDocument/2006/relationships/hyperlink" Target="https://doi.org/10.26661/2522-1566/2024-2/28-09" TargetMode="External"/><Relationship Id="rId22" Type="http://schemas.openxmlformats.org/officeDocument/2006/relationships/hyperlink" Target="https://doi.org/10.15637/jlecon.3211" TargetMode="External"/><Relationship Id="rId27" Type="http://schemas.openxmlformats.org/officeDocument/2006/relationships/hyperlink" Target="https://www.ikea.com/global/en/our-business/reports/?msockid=383806be36c36bd60bb7107e37696a64" TargetMode="External"/><Relationship Id="rId30" Type="http://schemas.openxmlformats.org/officeDocument/2006/relationships/hyperlink" Target="https://www.ikea.com/global/en/our-business/how-we-work/year-in-review-fy25/" TargetMode="External"/><Relationship Id="rId35" Type="http://schemas.openxmlformats.org/officeDocument/2006/relationships/hyperlink" Target="https://doi.org/10.1108/IMR-02-2022-0043" TargetMode="External"/><Relationship Id="rId43" Type="http://schemas.openxmlformats.org/officeDocument/2006/relationships/hyperlink" Target="https://www.eurasianacademy.org/index.php/socialsciences/article/download/1466/1525" TargetMode="External"/><Relationship Id="rId48" Type="http://schemas.openxmlformats.org/officeDocument/2006/relationships/hyperlink" Target="https://www.statista.com/topics/1961/ikea/?srsltid=AfmBOopz_oCtUE8LTaDsmcdVS1ky3zGKpW1ItiXxjYVNVItZfaZib4vQ" TargetMode="External"/><Relationship Id="rId56" Type="http://schemas.openxmlformats.org/officeDocument/2006/relationships/hyperlink" Target="https://investmentpolicy.unctad.org/country-navigator/4/algeria?utm_source=chatgpt.com"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3390/su17062462" TargetMode="External"/><Relationship Id="rId3" Type="http://schemas.openxmlformats.org/officeDocument/2006/relationships/styles" Target="styles.xml"/><Relationship Id="rId12" Type="http://schemas.openxmlformats.org/officeDocument/2006/relationships/hyperlink" Target="http://dx.doi.org/10.15722/jds.21.10.202310.39" TargetMode="External"/><Relationship Id="rId17" Type="http://schemas.openxmlformats.org/officeDocument/2006/relationships/hyperlink" Target="https://doi.org/10.1108/IJOEM-07-2019-0517" TargetMode="External"/><Relationship Id="rId25" Type="http://schemas.openxmlformats.org/officeDocument/2006/relationships/hyperlink" Target="https://doi.org/10.1016/j.intman.2024.101120" TargetMode="External"/><Relationship Id="rId33" Type="http://schemas.openxmlformats.org/officeDocument/2006/relationships/hyperlink" Target="https://doi.org/10.1016/j.grets.2024.100081" TargetMode="External"/><Relationship Id="rId38" Type="http://schemas.openxmlformats.org/officeDocument/2006/relationships/hyperlink" Target="https://doi.org/10.19275/RSEP150" TargetMode="External"/><Relationship Id="rId46" Type="http://schemas.openxmlformats.org/officeDocument/2006/relationships/hyperlink" Target="https://www.statista.com/outlook/cmo/furniture/algeria?srsltid=AfmBOoqIOxwM1LFZfEe5MbKJ6xaBH0ueHJ7lyvxueiPAP9a6qeqevRkX" TargetMode="External"/><Relationship Id="rId59" Type="http://schemas.openxmlformats.org/officeDocument/2006/relationships/hyperlink" Target="https://www.worldbank.org/ext/en/country/algeria?utm_source=chatgpt.com" TargetMode="External"/><Relationship Id="rId20" Type="http://schemas.openxmlformats.org/officeDocument/2006/relationships/hyperlink" Target="https://doi.org/10.1016/j.trip.2023.100909" TargetMode="External"/><Relationship Id="rId41" Type="http://schemas.openxmlformats.org/officeDocument/2006/relationships/hyperlink" Target="https://www.scripown.com/docs/EBOOK_20230413_104938.pdf" TargetMode="External"/><Relationship Id="rId54" Type="http://schemas.openxmlformats.org/officeDocument/2006/relationships/hyperlink" Target="https://data.un.org/en/iso/dz.html" TargetMode="External"/><Relationship Id="rId62" Type="http://schemas.openxmlformats.org/officeDocument/2006/relationships/hyperlink" Target="https://www.wipo.int/wipolex/en/members/profile/DZ"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5678/EBER.2026.140109" TargetMode="External"/><Relationship Id="rId23" Type="http://schemas.openxmlformats.org/officeDocument/2006/relationships/hyperlink" Target="https://doi.org/10.15637/jlecon.3211" TargetMode="External"/><Relationship Id="rId28" Type="http://schemas.openxmlformats.org/officeDocument/2006/relationships/hyperlink" Target="https://www.ikea.com/global/en/our-business/reports/?msockid=383806be36c36bd60bb7107e37696a64" TargetMode="External"/><Relationship Id="rId36" Type="http://schemas.openxmlformats.org/officeDocument/2006/relationships/hyperlink" Target="https://doi.org/10.1108/IMR-02-2022-0043" TargetMode="External"/><Relationship Id="rId49" Type="http://schemas.openxmlformats.org/officeDocument/2006/relationships/hyperlink" Target="https://www.statista.com/topics/1961/ikea/?srsltid=AfmBOopz_oCtUE8LTaDsmcdVS1ky3zGKpW1ItiXxjYVNVItZfaZib4vQ" TargetMode="External"/><Relationship Id="rId57" Type="http://schemas.openxmlformats.org/officeDocument/2006/relationships/hyperlink" Target="https://doi.org/10.5121/ijmvsc.2024.15202" TargetMode="External"/><Relationship Id="rId10" Type="http://schemas.openxmlformats.org/officeDocument/2006/relationships/image" Target="media/image3.png"/><Relationship Id="rId31" Type="http://schemas.openxmlformats.org/officeDocument/2006/relationships/hyperlink" Target="https://natlex.ilo.org" TargetMode="External"/><Relationship Id="rId44" Type="http://schemas.openxmlformats.org/officeDocument/2006/relationships/hyperlink" Target="https://www.eurasianacademy.org/index.php/socialsciences/article/download/1466/1525" TargetMode="External"/><Relationship Id="rId52" Type="http://schemas.openxmlformats.org/officeDocument/2006/relationships/hyperlink" Target="https://www.theculturefactor.com/country-comparison-tool?countries=algeria%2Csweden" TargetMode="External"/><Relationship Id="rId60" Type="http://schemas.openxmlformats.org/officeDocument/2006/relationships/hyperlink" Target="https://www.worldbank.org/ext/en/country/algeria?utm_source=chatgpt.co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commerce.gov.dz" TargetMode="External"/><Relationship Id="rId18" Type="http://schemas.openxmlformats.org/officeDocument/2006/relationships/hyperlink" Target="https://asjp.cerist.dz/en/downArticle/23/36/2/273398" TargetMode="External"/><Relationship Id="rId39" Type="http://schemas.openxmlformats.org/officeDocument/2006/relationships/hyperlink" Target="https://taxsummaries.pwc.com/algeria/corporat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5EA4E-E853-4D8E-AC9C-12FA6C731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29</Pages>
  <Words>7859</Words>
  <Characters>44798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52552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PEW PEAKHOM</cp:lastModifiedBy>
  <cp:revision>8</cp:revision>
  <dcterms:created xsi:type="dcterms:W3CDTF">2026-07-18T09:47:00Z</dcterms:created>
  <dcterms:modified xsi:type="dcterms:W3CDTF">2026-08-12T06:39:00Z</dcterms:modified>
  <cp:category/>
</cp:coreProperties>
</file>