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2E70" w:rsidRPr="008F2E70" w:rsidRDefault="008F2E70" w:rsidP="00266B5D">
      <w:pPr>
        <w:jc w:val="center"/>
        <w:rPr>
          <w:sz w:val="28"/>
          <w:szCs w:val="28"/>
          <w:u w:val="single"/>
        </w:rPr>
      </w:pPr>
      <w:r w:rsidRPr="008F2E70">
        <w:rPr>
          <w:sz w:val="28"/>
          <w:szCs w:val="28"/>
          <w:u w:val="single"/>
        </w:rPr>
        <w:t xml:space="preserve">Sam </w:t>
      </w:r>
      <w:proofErr w:type="spellStart"/>
      <w:r w:rsidRPr="008F2E70">
        <w:rPr>
          <w:sz w:val="28"/>
          <w:szCs w:val="28"/>
          <w:u w:val="single"/>
        </w:rPr>
        <w:t>Gedrych</w:t>
      </w:r>
      <w:proofErr w:type="spellEnd"/>
      <w:r w:rsidRPr="008F2E70">
        <w:rPr>
          <w:sz w:val="28"/>
          <w:szCs w:val="28"/>
          <w:u w:val="single"/>
        </w:rPr>
        <w:t>, 1600772</w:t>
      </w:r>
    </w:p>
    <w:p w:rsidR="008F2E70" w:rsidRPr="008F2E70" w:rsidRDefault="008F2E70" w:rsidP="00266B5D">
      <w:pPr>
        <w:jc w:val="center"/>
        <w:rPr>
          <w:sz w:val="28"/>
          <w:szCs w:val="28"/>
          <w:u w:val="single"/>
        </w:rPr>
      </w:pPr>
      <w:r w:rsidRPr="008F2E70">
        <w:rPr>
          <w:sz w:val="28"/>
          <w:szCs w:val="28"/>
          <w:u w:val="single"/>
        </w:rPr>
        <w:t>Britain in the Western Roman Empire CLAH5010.</w:t>
      </w:r>
    </w:p>
    <w:p w:rsidR="008F2E70" w:rsidRPr="008F2E70" w:rsidRDefault="008F2E70" w:rsidP="008F2E70">
      <w:pPr>
        <w:jc w:val="center"/>
        <w:rPr>
          <w:sz w:val="28"/>
          <w:szCs w:val="28"/>
          <w:u w:val="single"/>
        </w:rPr>
      </w:pPr>
      <w:r w:rsidRPr="008F2E70">
        <w:rPr>
          <w:sz w:val="28"/>
          <w:szCs w:val="28"/>
          <w:u w:val="single"/>
        </w:rPr>
        <w:t>To what extent was the use of ‘client’ kings a failure in Britain? Critically discuss the purpose of ‘client kingdoms’ in Roman imperial policies in the 1st century AD and the evidence we have from Roman Britain.</w:t>
      </w:r>
    </w:p>
    <w:p w:rsidR="008F2E70" w:rsidRPr="008F2E70" w:rsidRDefault="008F2E70" w:rsidP="00266B5D">
      <w:pPr>
        <w:jc w:val="center"/>
        <w:rPr>
          <w:u w:val="single"/>
        </w:rPr>
      </w:pPr>
    </w:p>
    <w:p w:rsidR="00756067" w:rsidRPr="008F2E70" w:rsidRDefault="008F2E70">
      <w:pPr>
        <w:rPr>
          <w:u w:val="single"/>
        </w:rPr>
      </w:pPr>
      <w:r w:rsidRPr="008F2E70">
        <w:rPr>
          <w:u w:val="single"/>
        </w:rPr>
        <w:br w:type="page"/>
      </w:r>
    </w:p>
    <w:p w:rsidR="00407795" w:rsidRPr="008F2E70" w:rsidRDefault="00C03E99" w:rsidP="008F2E70">
      <w:pPr>
        <w:spacing w:line="480" w:lineRule="auto"/>
      </w:pPr>
      <w:proofErr w:type="gramStart"/>
      <w:r w:rsidRPr="008F2E70">
        <w:lastRenderedPageBreak/>
        <w:t>In order to</w:t>
      </w:r>
      <w:proofErr w:type="gramEnd"/>
      <w:r w:rsidRPr="008F2E70">
        <w:t xml:space="preserve"> determine that ‘client kingdoms’ were a necessary tool within the Roman conquest of Britain over the 1</w:t>
      </w:r>
      <w:r w:rsidRPr="008F2E70">
        <w:rPr>
          <w:vertAlign w:val="superscript"/>
        </w:rPr>
        <w:t>st</w:t>
      </w:r>
      <w:r w:rsidRPr="008F2E70">
        <w:t xml:space="preserve"> century AD I must approach this question methodically and carefully. Firstly, I shall explore what a ‘client kingdom’</w:t>
      </w:r>
      <w:r w:rsidR="003305AF" w:rsidRPr="008F2E70">
        <w:t xml:space="preserve"> constitutes</w:t>
      </w:r>
      <w:r w:rsidRPr="008F2E70">
        <w:t xml:space="preserve"> in the context of Britain after the invasion of Caesar in 54BC, examining what </w:t>
      </w:r>
      <w:proofErr w:type="gramStart"/>
      <w:r w:rsidRPr="008F2E70">
        <w:t>state of affairs he</w:t>
      </w:r>
      <w:proofErr w:type="gramEnd"/>
      <w:r w:rsidRPr="008F2E70">
        <w:t xml:space="preserve"> left behind on the island and how this effected the situation presented to us by the turn of the century and further into the focus period: the 1</w:t>
      </w:r>
      <w:r w:rsidRPr="008F2E70">
        <w:rPr>
          <w:vertAlign w:val="superscript"/>
        </w:rPr>
        <w:t>st</w:t>
      </w:r>
      <w:r w:rsidRPr="008F2E70">
        <w:t xml:space="preserve"> century AD. Next</w:t>
      </w:r>
      <w:r w:rsidR="00721D0A" w:rsidRPr="008F2E70">
        <w:t>,</w:t>
      </w:r>
      <w:r w:rsidRPr="008F2E70">
        <w:t xml:space="preserve"> I shall turn my attention to look at Roman imperial policy towards the remote island before the Claudian invasion of 43AD and the events that triggered this Roman expansion</w:t>
      </w:r>
      <w:r w:rsidR="00230C0D" w:rsidRPr="008F2E70">
        <w:t>;</w:t>
      </w:r>
      <w:r w:rsidRPr="008F2E70">
        <w:t xml:space="preserve"> this combined with a brief examination of how much influence Rome </w:t>
      </w:r>
      <w:r w:rsidR="001567D5" w:rsidRPr="008F2E70">
        <w:t>exerted</w:t>
      </w:r>
      <w:r w:rsidRPr="008F2E70">
        <w:t xml:space="preserve"> over Britain during this time </w:t>
      </w:r>
      <w:r w:rsidR="00DC1B94" w:rsidRPr="008F2E70">
        <w:t xml:space="preserve">will enable me to come to my conclusion about the purpose of these early ‘client kingdoms’. </w:t>
      </w:r>
      <w:r w:rsidR="007E6136" w:rsidRPr="008F2E70">
        <w:t>Finally,</w:t>
      </w:r>
      <w:r w:rsidR="00DC1B94" w:rsidRPr="008F2E70">
        <w:t xml:space="preserve"> I shall examine the differences and similarities in the mechanisms of ‘client kingdoms’ set up after the Claudian invasion </w:t>
      </w:r>
      <w:r w:rsidR="001567D5" w:rsidRPr="008F2E70">
        <w:t>to</w:t>
      </w:r>
      <w:r w:rsidR="00DC1B94" w:rsidRPr="008F2E70">
        <w:t xml:space="preserve"> find commonalities in their purpose and thus determine to what extent these states failed. </w:t>
      </w:r>
      <w:r w:rsidR="00992CB5" w:rsidRPr="008F2E70">
        <w:t xml:space="preserve">I have elected to divide my response into this format of two halves as I believe that the purposes of both sets of ‘client kingdoms’ differ and can therefore only be assessed in turn. </w:t>
      </w:r>
      <w:r w:rsidR="00DC1B94" w:rsidRPr="008F2E70">
        <w:t xml:space="preserve">Throughout my response I will be drawing on both ancient and modern authors to aid my investigation, furthermore I will also </w:t>
      </w:r>
      <w:r w:rsidR="00230C0D" w:rsidRPr="008F2E70">
        <w:t>draw</w:t>
      </w:r>
      <w:r w:rsidR="00DC1B94" w:rsidRPr="008F2E70">
        <w:t xml:space="preserve"> on the rich numismatic evidence available to me from this period.</w:t>
      </w:r>
    </w:p>
    <w:p w:rsidR="00407795" w:rsidRPr="008F2E70" w:rsidRDefault="005A7E28" w:rsidP="008F2E70">
      <w:pPr>
        <w:spacing w:line="480" w:lineRule="auto"/>
      </w:pPr>
      <w:proofErr w:type="gramStart"/>
      <w:r w:rsidRPr="008F2E70">
        <w:t>In order to</w:t>
      </w:r>
      <w:proofErr w:type="gramEnd"/>
      <w:r w:rsidRPr="008F2E70">
        <w:t xml:space="preserve"> talk about client kingdoms within the context of 1</w:t>
      </w:r>
      <w:r w:rsidRPr="008F2E70">
        <w:rPr>
          <w:vertAlign w:val="superscript"/>
        </w:rPr>
        <w:t>st</w:t>
      </w:r>
      <w:r w:rsidRPr="008F2E70">
        <w:t xml:space="preserve"> century Britain one must first define the understanding and parameters of what, and indeed what does not, constitute a so-called “client kingdom”. The Oxford referencing service defines a client kingdom as:</w:t>
      </w:r>
    </w:p>
    <w:p w:rsidR="005A7E28" w:rsidRPr="008F2E70" w:rsidRDefault="005A7E28" w:rsidP="008F2E70">
      <w:pPr>
        <w:spacing w:line="480" w:lineRule="auto"/>
        <w:rPr>
          <w:i/>
        </w:rPr>
      </w:pPr>
      <w:r w:rsidRPr="008F2E70">
        <w:rPr>
          <w:i/>
        </w:rPr>
        <w:t>“A superficially autonomous political unit tied through alliances and what Tacitus called ‘instruments of servitude’ to a more powerful system in an unequal relationship.”</w:t>
      </w:r>
    </w:p>
    <w:p w:rsidR="00992CB5" w:rsidRPr="008F2E70" w:rsidRDefault="00933AD7" w:rsidP="008F2E70">
      <w:pPr>
        <w:spacing w:line="480" w:lineRule="auto"/>
      </w:pPr>
      <w:r w:rsidRPr="008F2E70">
        <w:t xml:space="preserve">The quote from Tacitus is referring to the presenting of several </w:t>
      </w:r>
      <w:r w:rsidRPr="008F2E70">
        <w:rPr>
          <w:i/>
        </w:rPr>
        <w:t xml:space="preserve">civitates </w:t>
      </w:r>
      <w:r w:rsidRPr="008F2E70">
        <w:t>to the indigenous King Togidubnus</w:t>
      </w:r>
      <w:r w:rsidRPr="008F2E70">
        <w:rPr>
          <w:rStyle w:val="FootnoteReference"/>
        </w:rPr>
        <w:footnoteReference w:id="1"/>
      </w:r>
      <w:r w:rsidRPr="008F2E70">
        <w:t xml:space="preserve"> by the emperor Claudius after the successful invasion of the southern part of the island in 43AD. </w:t>
      </w:r>
      <w:r w:rsidR="00992CB5" w:rsidRPr="008F2E70">
        <w:t>However,</w:t>
      </w:r>
      <w:r w:rsidR="00721D0A" w:rsidRPr="008F2E70">
        <w:t xml:space="preserve"> to understand the reasons behind the invasion and the subsequent setting up of </w:t>
      </w:r>
      <w:r w:rsidR="00721D0A" w:rsidRPr="008F2E70">
        <w:lastRenderedPageBreak/>
        <w:t>‘client kingdoms’ we must examine what institutions were left in Britain by Caesar after his invasion of 5</w:t>
      </w:r>
      <w:r w:rsidR="00DA3F48" w:rsidRPr="008F2E70">
        <w:t>4</w:t>
      </w:r>
      <w:r w:rsidR="00721D0A" w:rsidRPr="008F2E70">
        <w:t>BC</w:t>
      </w:r>
      <w:r w:rsidR="00DA3F48" w:rsidRPr="008F2E70">
        <w:t xml:space="preserve">. Creighton categorises the two client states in Britain as the </w:t>
      </w:r>
      <w:r w:rsidR="00F52EC0" w:rsidRPr="008F2E70">
        <w:t>‘</w:t>
      </w:r>
      <w:r w:rsidR="00DA3F48" w:rsidRPr="008F2E70">
        <w:t>Southern</w:t>
      </w:r>
      <w:r w:rsidR="00F52EC0" w:rsidRPr="008F2E70">
        <w:t>’</w:t>
      </w:r>
      <w:r w:rsidR="00DA3F48" w:rsidRPr="008F2E70">
        <w:t xml:space="preserve"> dynasty of Commius and his three sons: Tincomarus, Eppillus and Verica</w:t>
      </w:r>
      <w:r w:rsidR="00F52EC0" w:rsidRPr="008F2E70">
        <w:rPr>
          <w:rStyle w:val="FootnoteReference"/>
        </w:rPr>
        <w:footnoteReference w:id="2"/>
      </w:r>
      <w:r w:rsidR="00F52EC0" w:rsidRPr="008F2E70">
        <w:t xml:space="preserve">, alongside the ‘Eastern’ dynasty descending from the leader Tasciovanus. The </w:t>
      </w:r>
      <w:r w:rsidR="00C30CDD" w:rsidRPr="008F2E70">
        <w:t>S</w:t>
      </w:r>
      <w:r w:rsidR="00F52EC0" w:rsidRPr="008F2E70">
        <w:t>outhern dynasty was founded by Commius after his expulsion from Gaul by Mark Anthony</w:t>
      </w:r>
      <w:r w:rsidR="00C30CDD" w:rsidRPr="008F2E70">
        <w:rPr>
          <w:rStyle w:val="FootnoteReference"/>
        </w:rPr>
        <w:footnoteReference w:id="3"/>
      </w:r>
      <w:r w:rsidR="00C30CDD" w:rsidRPr="008F2E70">
        <w:t xml:space="preserve"> </w:t>
      </w:r>
      <w:r w:rsidR="002E128B" w:rsidRPr="008F2E70">
        <w:t xml:space="preserve">and the Eastern </w:t>
      </w:r>
      <w:r w:rsidR="00E97199" w:rsidRPr="008F2E70">
        <w:t>dynasty appears to be initiated by Tasciovanus</w:t>
      </w:r>
      <w:r w:rsidR="00E97199" w:rsidRPr="008F2E70">
        <w:rPr>
          <w:rStyle w:val="FootnoteReference"/>
        </w:rPr>
        <w:footnoteReference w:id="4"/>
      </w:r>
      <w:r w:rsidR="00E97199" w:rsidRPr="008F2E70">
        <w:t>, who Creighton believes to also be a Gallic implant in Britain</w:t>
      </w:r>
      <w:r w:rsidR="00E97199" w:rsidRPr="008F2E70">
        <w:rPr>
          <w:rStyle w:val="FootnoteReference"/>
        </w:rPr>
        <w:footnoteReference w:id="5"/>
      </w:r>
      <w:r w:rsidR="00E97199" w:rsidRPr="008F2E70">
        <w:t xml:space="preserve"> an argument that I support as it seems to be an older tradition that kings may rule areas in Britain from across the sea in Gaul</w:t>
      </w:r>
      <w:r w:rsidR="00E97199" w:rsidRPr="008F2E70">
        <w:rPr>
          <w:rStyle w:val="FootnoteReference"/>
        </w:rPr>
        <w:footnoteReference w:id="6"/>
      </w:r>
      <w:r w:rsidR="00E97199" w:rsidRPr="008F2E70">
        <w:t>.</w:t>
      </w:r>
      <w:r w:rsidR="00436F49" w:rsidRPr="008F2E70">
        <w:t xml:space="preserve"> Can we class these two rulers as </w:t>
      </w:r>
      <w:r w:rsidR="00346F78" w:rsidRPr="008F2E70">
        <w:t xml:space="preserve">‘Client’ </w:t>
      </w:r>
      <w:r w:rsidR="00436F49" w:rsidRPr="008F2E70">
        <w:t xml:space="preserve">kings though? </w:t>
      </w:r>
      <w:r w:rsidR="00346F78" w:rsidRPr="008F2E70">
        <w:t>Yes, they were set up through Roman interactions, however there is no reason to believe that either Commius or Tasciovanus paid any form of tribute to Rome directly</w:t>
      </w:r>
      <w:r w:rsidR="00346F78" w:rsidRPr="008F2E70">
        <w:rPr>
          <w:rStyle w:val="FootnoteReference"/>
        </w:rPr>
        <w:footnoteReference w:id="7"/>
      </w:r>
      <w:r w:rsidR="00B424DA" w:rsidRPr="008F2E70">
        <w:t xml:space="preserve"> and instead just traded </w:t>
      </w:r>
      <w:proofErr w:type="gramStart"/>
      <w:r w:rsidR="00B424DA" w:rsidRPr="008F2E70">
        <w:t>fairly extensively</w:t>
      </w:r>
      <w:proofErr w:type="gramEnd"/>
      <w:r w:rsidR="00B424DA" w:rsidRPr="008F2E70">
        <w:t xml:space="preserve"> with the Empire</w:t>
      </w:r>
      <w:r w:rsidR="00554C23" w:rsidRPr="008F2E70">
        <w:t xml:space="preserve"> assumedly paying the hefty imperial trade tariffs on the passage of goods</w:t>
      </w:r>
      <w:r w:rsidR="00554C23" w:rsidRPr="008F2E70">
        <w:rPr>
          <w:rStyle w:val="FootnoteReference"/>
        </w:rPr>
        <w:footnoteReference w:id="8"/>
      </w:r>
      <w:r w:rsidR="00554C23" w:rsidRPr="008F2E70">
        <w:t>.</w:t>
      </w:r>
      <w:r w:rsidR="00B424DA" w:rsidRPr="008F2E70">
        <w:t xml:space="preserve"> neither kings minted coins with the cognomen ‘</w:t>
      </w:r>
      <w:r w:rsidR="00B424DA" w:rsidRPr="008F2E70">
        <w:rPr>
          <w:i/>
        </w:rPr>
        <w:t xml:space="preserve">Rex’ </w:t>
      </w:r>
      <w:r w:rsidR="00B424DA" w:rsidRPr="008F2E70">
        <w:t>to indicate their position from Rome</w:t>
      </w:r>
      <w:r w:rsidR="00554C23" w:rsidRPr="008F2E70">
        <w:t xml:space="preserve"> which further indicate a lack of client status however this notion is in my opinion quelled by </w:t>
      </w:r>
      <w:proofErr w:type="spellStart"/>
      <w:r w:rsidR="00554C23" w:rsidRPr="008F2E70">
        <w:t>Salway</w:t>
      </w:r>
      <w:proofErr w:type="spellEnd"/>
      <w:r w:rsidR="00554C23" w:rsidRPr="008F2E70">
        <w:t xml:space="preserve"> who argues that “written Celtic is extremely rare, even in Gaul, [making] it more likely that, if titles needed to be written, they should have been translated into Latin”. </w:t>
      </w:r>
      <w:proofErr w:type="gramStart"/>
      <w:r w:rsidR="002E3826" w:rsidRPr="008F2E70">
        <w:t>Thus</w:t>
      </w:r>
      <w:proofErr w:type="gramEnd"/>
      <w:r w:rsidR="00554C23" w:rsidRPr="008F2E70">
        <w:t xml:space="preserve"> demonstrating that the lack or appearance of ‘Rex’ on coins may not have a bearing on whether or not the king is legitimised by Roman backing. Moving into the turn of the </w:t>
      </w:r>
      <w:r w:rsidR="003171B6" w:rsidRPr="008F2E70">
        <w:t>Century we have a new generation of leaders within our two dynasties and these seven men</w:t>
      </w:r>
      <w:r w:rsidR="003171B6" w:rsidRPr="008F2E70">
        <w:rPr>
          <w:rStyle w:val="FootnoteReference"/>
        </w:rPr>
        <w:footnoteReference w:id="9"/>
      </w:r>
      <w:r w:rsidR="003171B6" w:rsidRPr="008F2E70">
        <w:t xml:space="preserve"> shape a new understanding of what a client kingdom looks like in the pre-Claudian invasion era of the 1</w:t>
      </w:r>
      <w:r w:rsidR="003171B6" w:rsidRPr="008F2E70">
        <w:rPr>
          <w:vertAlign w:val="superscript"/>
        </w:rPr>
        <w:t>st</w:t>
      </w:r>
      <w:r w:rsidR="003171B6" w:rsidRPr="008F2E70">
        <w:t xml:space="preserve"> century AD. </w:t>
      </w:r>
      <w:r w:rsidR="004815BF" w:rsidRPr="008F2E70">
        <w:t>Focusing on the southern dynasty we have a ruler named Tincomarus is generally regarded as a son of Commius and some sort of co-regent alongside his two brothers Eppillus and Verica</w:t>
      </w:r>
      <w:r w:rsidR="004815BF" w:rsidRPr="008F2E70">
        <w:rPr>
          <w:rStyle w:val="FootnoteReference"/>
        </w:rPr>
        <w:footnoteReference w:id="10"/>
      </w:r>
      <w:r w:rsidR="004815BF" w:rsidRPr="008F2E70">
        <w:t xml:space="preserve">. There is </w:t>
      </w:r>
      <w:r w:rsidR="005C0A7F" w:rsidRPr="008F2E70">
        <w:t>compelling evidence</w:t>
      </w:r>
      <w:r w:rsidR="004815BF" w:rsidRPr="008F2E70">
        <w:t xml:space="preserve"> amongst the coinage they issued and </w:t>
      </w:r>
      <w:r w:rsidR="005C0A7F" w:rsidRPr="008F2E70">
        <w:t xml:space="preserve">ancient sources </w:t>
      </w:r>
      <w:r w:rsidR="004815BF" w:rsidRPr="008F2E70">
        <w:t xml:space="preserve">showing that these men </w:t>
      </w:r>
      <w:r w:rsidR="004815BF" w:rsidRPr="008F2E70">
        <w:lastRenderedPageBreak/>
        <w:t xml:space="preserve">were </w:t>
      </w:r>
      <w:r w:rsidR="005C0A7F" w:rsidRPr="008F2E70">
        <w:t>close</w:t>
      </w:r>
      <w:r w:rsidR="004815BF" w:rsidRPr="008F2E70">
        <w:t xml:space="preserve"> to Rome</w:t>
      </w:r>
      <w:r w:rsidR="005C0A7F" w:rsidRPr="008F2E70">
        <w:t xml:space="preserve"> and in some way reliant on her. Tincomarus appears to have </w:t>
      </w:r>
      <w:r w:rsidR="0039535A" w:rsidRPr="008F2E70">
        <w:t>co-ruled with Eppillus due to both their coinage bearing the inscription ‘COM.F’</w:t>
      </w:r>
      <w:r w:rsidR="0039535A" w:rsidRPr="008F2E70">
        <w:rPr>
          <w:rStyle w:val="FootnoteReference"/>
        </w:rPr>
        <w:footnoteReference w:id="11"/>
      </w:r>
      <w:r w:rsidR="0039535A" w:rsidRPr="008F2E70">
        <w:t xml:space="preserve">, this was until some point around 7AD where Tincomarus appears to have supplicated to Rome as he appears in the </w:t>
      </w:r>
      <w:r w:rsidR="0039535A" w:rsidRPr="008F2E70">
        <w:rPr>
          <w:i/>
        </w:rPr>
        <w:t>Res Gestae</w:t>
      </w:r>
      <w:r w:rsidR="0039535A" w:rsidRPr="008F2E70">
        <w:rPr>
          <w:rStyle w:val="FootnoteReference"/>
          <w:i/>
        </w:rPr>
        <w:footnoteReference w:id="12"/>
      </w:r>
      <w:r w:rsidR="0039535A" w:rsidRPr="008F2E70">
        <w:rPr>
          <w:i/>
        </w:rPr>
        <w:t xml:space="preserve"> </w:t>
      </w:r>
      <w:r w:rsidR="0039535A" w:rsidRPr="008F2E70">
        <w:t>as ‘Tim…’. After this there again appears to be a co-regency between Eppillus and Verica</w:t>
      </w:r>
      <w:r w:rsidR="00C1014F" w:rsidRPr="008F2E70">
        <w:rPr>
          <w:rStyle w:val="FootnoteReference"/>
        </w:rPr>
        <w:footnoteReference w:id="13"/>
      </w:r>
      <w:r w:rsidR="005C1E9B" w:rsidRPr="008F2E70">
        <w:t xml:space="preserve"> before the later appears to assume complete control over the ‘</w:t>
      </w:r>
      <w:proofErr w:type="spellStart"/>
      <w:r w:rsidR="005C1E9B" w:rsidRPr="008F2E70">
        <w:t>Atrebatian</w:t>
      </w:r>
      <w:proofErr w:type="spellEnd"/>
      <w:r w:rsidR="005C1E9B" w:rsidRPr="008F2E70">
        <w:t>’ kingdom</w:t>
      </w:r>
      <w:r w:rsidR="00291404" w:rsidRPr="008F2E70">
        <w:t xml:space="preserve"> until C. 40AD where he fled to Rome</w:t>
      </w:r>
      <w:r w:rsidR="00291404" w:rsidRPr="008F2E70">
        <w:rPr>
          <w:rStyle w:val="FootnoteReference"/>
        </w:rPr>
        <w:footnoteReference w:id="14"/>
      </w:r>
      <w:r w:rsidR="00291404" w:rsidRPr="008F2E70">
        <w:t xml:space="preserve"> and “persuaded Claudius to send a force”</w:t>
      </w:r>
      <w:r w:rsidR="00291404" w:rsidRPr="008F2E70">
        <w:rPr>
          <w:rStyle w:val="FootnoteReference"/>
        </w:rPr>
        <w:footnoteReference w:id="15"/>
      </w:r>
      <w:r w:rsidR="00291404" w:rsidRPr="008F2E70">
        <w:t xml:space="preserve">, hence initiating the </w:t>
      </w:r>
      <w:r w:rsidR="008D1705" w:rsidRPr="008F2E70">
        <w:t>Roman invasion of 43AD.</w:t>
      </w:r>
      <w:r w:rsidR="007F3781" w:rsidRPr="008F2E70">
        <w:t xml:space="preserve"> </w:t>
      </w:r>
    </w:p>
    <w:p w:rsidR="00C835C2" w:rsidRPr="008F2E70" w:rsidRDefault="007F3781" w:rsidP="008F2E70">
      <w:pPr>
        <w:spacing w:line="480" w:lineRule="auto"/>
      </w:pPr>
      <w:r w:rsidRPr="008F2E70">
        <w:t>During this period of roughly the first half of the 1</w:t>
      </w:r>
      <w:r w:rsidRPr="008F2E70">
        <w:rPr>
          <w:vertAlign w:val="superscript"/>
        </w:rPr>
        <w:t>st</w:t>
      </w:r>
      <w:r w:rsidRPr="008F2E70">
        <w:t xml:space="preserve"> century different emperors had different policies towards Britain and from these we can glean the purpose of the client kingdoms during this time. </w:t>
      </w:r>
      <w:r w:rsidR="008C3038" w:rsidRPr="008F2E70">
        <w:t xml:space="preserve">Augustus </w:t>
      </w:r>
      <w:r w:rsidR="00C455D1" w:rsidRPr="008F2E70">
        <w:t>clearly would have had an interest in Britain as in his search to gain legitimacy as sole ruler of the Roman world any action that could portray him as being like his father, Julius Caesar, surely would have seemed attractive.</w:t>
      </w:r>
      <w:r w:rsidR="00D85C76" w:rsidRPr="008F2E70">
        <w:t xml:space="preserve"> </w:t>
      </w:r>
      <w:proofErr w:type="gramStart"/>
      <w:r w:rsidR="00D85C76" w:rsidRPr="008F2E70">
        <w:t>Obviously</w:t>
      </w:r>
      <w:proofErr w:type="gramEnd"/>
      <w:r w:rsidR="00D85C76" w:rsidRPr="008F2E70">
        <w:t xml:space="preserve"> the British Isles had more to offer than just legitimacy to Augustus and in physical terms that meant </w:t>
      </w:r>
      <w:r w:rsidR="00F21E2A" w:rsidRPr="008F2E70">
        <w:t>gold, silver, slaves and hunting dogs</w:t>
      </w:r>
      <w:r w:rsidR="00F21E2A" w:rsidRPr="008F2E70">
        <w:rPr>
          <w:rStyle w:val="FootnoteReference"/>
        </w:rPr>
        <w:footnoteReference w:id="16"/>
      </w:r>
      <w:r w:rsidR="00F21E2A" w:rsidRPr="008F2E70">
        <w:t>.</w:t>
      </w:r>
      <w:r w:rsidR="00C455D1" w:rsidRPr="008F2E70">
        <w:t xml:space="preserve"> </w:t>
      </w:r>
      <w:r w:rsidR="00271F2C" w:rsidRPr="008F2E70">
        <w:t>However,</w:t>
      </w:r>
      <w:r w:rsidR="00C455D1" w:rsidRPr="008F2E70">
        <w:t xml:space="preserve"> </w:t>
      </w:r>
      <w:r w:rsidR="00D85C76" w:rsidRPr="008F2E70">
        <w:t xml:space="preserve">as </w:t>
      </w:r>
      <w:proofErr w:type="spellStart"/>
      <w:r w:rsidR="00D85C76" w:rsidRPr="008F2E70">
        <w:t>Salway</w:t>
      </w:r>
      <w:proofErr w:type="spellEnd"/>
      <w:r w:rsidR="00F21E2A" w:rsidRPr="008F2E70">
        <w:t xml:space="preserve"> also</w:t>
      </w:r>
      <w:r w:rsidR="00D85C76" w:rsidRPr="008F2E70">
        <w:t xml:space="preserve"> points out there were more likely reasons for imperial interest in Britain, chiefly that being Rome’s insatiable appetite for grain and as such </w:t>
      </w:r>
      <w:r w:rsidR="00F21E2A" w:rsidRPr="008F2E70">
        <w:t>he argues that there is n</w:t>
      </w:r>
      <w:r w:rsidR="00D85C76" w:rsidRPr="008F2E70">
        <w:t>o reason</w:t>
      </w:r>
      <w:r w:rsidR="00F21E2A" w:rsidRPr="008F2E70">
        <w:t xml:space="preserve"> to refute that some such client king as </w:t>
      </w:r>
      <w:proofErr w:type="spellStart"/>
      <w:r w:rsidR="00F21E2A" w:rsidRPr="008F2E70">
        <w:t>Cunobelinus</w:t>
      </w:r>
      <w:proofErr w:type="spellEnd"/>
      <w:r w:rsidR="00F21E2A" w:rsidRPr="008F2E70">
        <w:t xml:space="preserve"> could have been supplying his lavish lifestyle by “supplying the procurement agents of the Roman army”</w:t>
      </w:r>
      <w:r w:rsidR="00F21E2A" w:rsidRPr="008F2E70">
        <w:rPr>
          <w:rStyle w:val="FootnoteReference"/>
        </w:rPr>
        <w:footnoteReference w:id="17"/>
      </w:r>
      <w:r w:rsidR="00F21E2A" w:rsidRPr="008F2E70">
        <w:t xml:space="preserve">. So here we can envisage a both working and profitable relationship between the two powers, yet this the limit of how far Augustus would meddle in internal British politics is shown by his refusal to aid </w:t>
      </w:r>
      <w:proofErr w:type="spellStart"/>
      <w:r w:rsidR="00F21E2A" w:rsidRPr="008F2E70">
        <w:t>Dubnnovellaunus</w:t>
      </w:r>
      <w:proofErr w:type="spellEnd"/>
      <w:r w:rsidR="00F21E2A" w:rsidRPr="008F2E70">
        <w:t xml:space="preserve"> and Tincomarus, the two suppliant kings mentioned in the </w:t>
      </w:r>
      <w:r w:rsidR="00F21E2A" w:rsidRPr="008F2E70">
        <w:rPr>
          <w:i/>
        </w:rPr>
        <w:t>Res Gestae</w:t>
      </w:r>
      <w:r w:rsidR="00F21E2A" w:rsidRPr="008F2E70">
        <w:rPr>
          <w:rStyle w:val="FootnoteReference"/>
          <w:i/>
        </w:rPr>
        <w:footnoteReference w:id="18"/>
      </w:r>
      <w:r w:rsidR="00F21E2A" w:rsidRPr="008F2E70">
        <w:rPr>
          <w:i/>
        </w:rPr>
        <w:t xml:space="preserve">. </w:t>
      </w:r>
      <w:r w:rsidR="001B3F9F" w:rsidRPr="008F2E70">
        <w:t>However,</w:t>
      </w:r>
      <w:r w:rsidR="00F21E2A" w:rsidRPr="008F2E70">
        <w:t xml:space="preserve"> there are sure to have been external factors influencing this decision as it was around this time that </w:t>
      </w:r>
      <w:r w:rsidR="001B3F9F" w:rsidRPr="008F2E70">
        <w:t xml:space="preserve">Rome under Augustus </w:t>
      </w:r>
      <w:r w:rsidR="001B3F9F" w:rsidRPr="008F2E70">
        <w:lastRenderedPageBreak/>
        <w:t>suffered its massive defeat in Germania</w:t>
      </w:r>
      <w:r w:rsidR="001B3F9F" w:rsidRPr="008F2E70">
        <w:rPr>
          <w:rStyle w:val="FootnoteReference"/>
        </w:rPr>
        <w:footnoteReference w:id="19"/>
      </w:r>
      <w:r w:rsidR="001B3F9F" w:rsidRPr="008F2E70">
        <w:t xml:space="preserve"> (9AD) and that Rome had a custom of not interfering in favour of client kings that had been ousted by their own compatriots who continued to act in Roman interests</w:t>
      </w:r>
      <w:r w:rsidR="001B3F9F" w:rsidRPr="008F2E70">
        <w:rPr>
          <w:rStyle w:val="FootnoteReference"/>
        </w:rPr>
        <w:footnoteReference w:id="20"/>
      </w:r>
      <w:r w:rsidR="001B3F9F" w:rsidRPr="008F2E70">
        <w:t xml:space="preserve">. Here I believe that quite simply the timing was wrong and that had disaster not struck the Empire at </w:t>
      </w:r>
      <w:proofErr w:type="spellStart"/>
      <w:r w:rsidR="001B3F9F" w:rsidRPr="008F2E70">
        <w:t>Tuetoberger</w:t>
      </w:r>
      <w:proofErr w:type="spellEnd"/>
      <w:r w:rsidR="001B3F9F" w:rsidRPr="008F2E70">
        <w:t xml:space="preserve">, that Augustus would have had more of an interest in becoming a physical presence on the island. The nearest Britain would come to Roman invasion in the 29 years after Augustus’ death is during the reign of Caligula </w:t>
      </w:r>
      <w:r w:rsidR="005871C5" w:rsidRPr="008F2E70">
        <w:t xml:space="preserve">as </w:t>
      </w:r>
      <w:r w:rsidR="00C835C2" w:rsidRPr="008F2E70">
        <w:t>his predecessor, Emperor Tiberius, had a policy of static borders</w:t>
      </w:r>
      <w:r w:rsidR="00C835C2" w:rsidRPr="008F2E70">
        <w:rPr>
          <w:rStyle w:val="FootnoteReference"/>
        </w:rPr>
        <w:footnoteReference w:id="21"/>
      </w:r>
      <w:r w:rsidR="00C835C2" w:rsidRPr="008F2E70">
        <w:t xml:space="preserve"> after the tragedy at </w:t>
      </w:r>
      <w:proofErr w:type="spellStart"/>
      <w:r w:rsidR="00C835C2" w:rsidRPr="008F2E70">
        <w:t>Teutoberger</w:t>
      </w:r>
      <w:proofErr w:type="spellEnd"/>
      <w:r w:rsidR="00C835C2" w:rsidRPr="008F2E70">
        <w:t xml:space="preserve">. Caligula’s invasion attempt is generally considered, especially by ancient authors, to be a farce as the Emperor’s notorious erratic behaviour lead to not much more than what he considered a symbolic victory however it can be argued that despite the abortive nature of the intended campaign forces were still mobilised to the northern Gallic </w:t>
      </w:r>
      <w:r w:rsidR="00593499" w:rsidRPr="008F2E70">
        <w:t xml:space="preserve">coast </w:t>
      </w:r>
      <w:r w:rsidR="00271F2C" w:rsidRPr="008F2E70">
        <w:t xml:space="preserve">and that this was </w:t>
      </w:r>
      <w:proofErr w:type="gramStart"/>
      <w:r w:rsidR="00271F2C" w:rsidRPr="008F2E70">
        <w:t>in essence a</w:t>
      </w:r>
      <w:proofErr w:type="gramEnd"/>
      <w:r w:rsidR="00271F2C" w:rsidRPr="008F2E70">
        <w:t xml:space="preserve"> dress rehearsal for the real thing just three years later in 43AD under Claudius</w:t>
      </w:r>
      <w:r w:rsidR="00271F2C" w:rsidRPr="008F2E70">
        <w:rPr>
          <w:rStyle w:val="FootnoteReference"/>
        </w:rPr>
        <w:footnoteReference w:id="22"/>
      </w:r>
      <w:r w:rsidR="00271F2C" w:rsidRPr="008F2E70">
        <w:t>. Thus, we can see that over the course of the first forty-three years of the 1</w:t>
      </w:r>
      <w:r w:rsidR="00271F2C" w:rsidRPr="008F2E70">
        <w:rPr>
          <w:vertAlign w:val="superscript"/>
        </w:rPr>
        <w:t>st</w:t>
      </w:r>
      <w:r w:rsidR="00271F2C" w:rsidRPr="008F2E70">
        <w:t xml:space="preserve"> century AD that imperial Roman interest in Britain waxed and waned with the coming of each new emperor and when circumstances presented themselves. Taking this into consideration I believe that the purpose of the early client kingdoms can be simply put as being items of prestige for each successive Emperor to claim whilst simultaneously being </w:t>
      </w:r>
      <w:r w:rsidR="00992CB5" w:rsidRPr="008F2E70">
        <w:t xml:space="preserve">financially beneficial to both parties who can gain through international commerce. </w:t>
      </w:r>
    </w:p>
    <w:p w:rsidR="00992CB5" w:rsidRPr="008F2E70" w:rsidRDefault="00992CB5" w:rsidP="008F2E70">
      <w:pPr>
        <w:spacing w:line="480" w:lineRule="auto"/>
      </w:pPr>
    </w:p>
    <w:p w:rsidR="00B227D8" w:rsidRPr="008F2E70" w:rsidRDefault="000F57E9" w:rsidP="008F2E70">
      <w:pPr>
        <w:spacing w:line="480" w:lineRule="auto"/>
      </w:pPr>
      <w:r w:rsidRPr="008F2E70">
        <w:t xml:space="preserve">In the period following the Claudian invasion of 43AD there are three client kingdoms which I am to focus on: that of Togidubnus in the southern part of Britain known as </w:t>
      </w:r>
      <w:proofErr w:type="spellStart"/>
      <w:r w:rsidRPr="008F2E70">
        <w:t>Regni</w:t>
      </w:r>
      <w:proofErr w:type="spellEnd"/>
      <w:r w:rsidRPr="008F2E70">
        <w:t xml:space="preserve"> territory c.43AD-</w:t>
      </w:r>
      <w:r w:rsidRPr="008F2E70">
        <w:lastRenderedPageBreak/>
        <w:t>c.70AD</w:t>
      </w:r>
      <w:r w:rsidRPr="008F2E70">
        <w:rPr>
          <w:rStyle w:val="FootnoteReference"/>
        </w:rPr>
        <w:footnoteReference w:id="23"/>
      </w:r>
      <w:r w:rsidRPr="008F2E70">
        <w:t xml:space="preserve">, </w:t>
      </w:r>
      <w:proofErr w:type="spellStart"/>
      <w:r w:rsidRPr="008F2E70">
        <w:t>Prasutagus</w:t>
      </w:r>
      <w:proofErr w:type="spellEnd"/>
      <w:r w:rsidRPr="008F2E70">
        <w:t xml:space="preserve"> of the Iceni </w:t>
      </w:r>
      <w:proofErr w:type="spellStart"/>
      <w:r w:rsidRPr="008F2E70">
        <w:t>centered</w:t>
      </w:r>
      <w:proofErr w:type="spellEnd"/>
      <w:r w:rsidRPr="008F2E70">
        <w:t xml:space="preserve"> in Norfolk</w:t>
      </w:r>
      <w:r w:rsidR="00960C01" w:rsidRPr="008F2E70">
        <w:t xml:space="preserve"> c.47AD</w:t>
      </w:r>
      <w:r w:rsidR="00960C01" w:rsidRPr="008F2E70">
        <w:rPr>
          <w:rStyle w:val="FootnoteReference"/>
        </w:rPr>
        <w:footnoteReference w:id="24"/>
      </w:r>
      <w:r w:rsidR="00960C01" w:rsidRPr="008F2E70">
        <w:t>-60AD</w:t>
      </w:r>
      <w:r w:rsidR="00960C01" w:rsidRPr="008F2E70">
        <w:rPr>
          <w:rStyle w:val="FootnoteReference"/>
        </w:rPr>
        <w:footnoteReference w:id="25"/>
      </w:r>
      <w:r w:rsidR="00960C01" w:rsidRPr="008F2E70">
        <w:t xml:space="preserve"> and </w:t>
      </w:r>
      <w:proofErr w:type="spellStart"/>
      <w:r w:rsidR="00960C01" w:rsidRPr="008F2E70">
        <w:t>Cartimandua</w:t>
      </w:r>
      <w:proofErr w:type="spellEnd"/>
      <w:r w:rsidR="00960C01" w:rsidRPr="008F2E70">
        <w:t xml:space="preserve"> the </w:t>
      </w:r>
      <w:proofErr w:type="spellStart"/>
      <w:r w:rsidR="00960C01" w:rsidRPr="008F2E70">
        <w:t>Brigantian</w:t>
      </w:r>
      <w:proofErr w:type="spellEnd"/>
      <w:r w:rsidR="00960C01" w:rsidRPr="008F2E70">
        <w:t xml:space="preserve"> Queen</w:t>
      </w:r>
      <w:r w:rsidR="003079A2" w:rsidRPr="008F2E70">
        <w:rPr>
          <w:rStyle w:val="FootnoteReference"/>
        </w:rPr>
        <w:footnoteReference w:id="26"/>
      </w:r>
      <w:r w:rsidR="00960C01" w:rsidRPr="008F2E70">
        <w:t xml:space="preserve"> in the north c.43AD-C.69</w:t>
      </w:r>
      <w:r w:rsidR="00960C01" w:rsidRPr="008F2E70">
        <w:rPr>
          <w:rStyle w:val="FootnoteReference"/>
        </w:rPr>
        <w:footnoteReference w:id="27"/>
      </w:r>
      <w:r w:rsidR="00EA16BC" w:rsidRPr="008F2E70">
        <w:t xml:space="preserve">. All three of these client states were instated around or shortly after the Claudian invasion and thus they all seemingly bordered on Roman occupied and governed </w:t>
      </w:r>
      <w:r w:rsidR="00EA16BC" w:rsidRPr="008F2E70">
        <w:rPr>
          <w:i/>
        </w:rPr>
        <w:t>civitates</w:t>
      </w:r>
      <w:r w:rsidR="00EA16BC" w:rsidRPr="008F2E70">
        <w:rPr>
          <w:rStyle w:val="FootnoteReference"/>
          <w:i/>
        </w:rPr>
        <w:footnoteReference w:id="28"/>
      </w:r>
      <w:r w:rsidR="00EA16BC" w:rsidRPr="008F2E70">
        <w:rPr>
          <w:i/>
        </w:rPr>
        <w:t xml:space="preserve">. </w:t>
      </w:r>
      <w:r w:rsidR="00EA16BC" w:rsidRPr="008F2E70">
        <w:t xml:space="preserve">This, inevitably changes their purposes to essential allies of Rome, in contrast to the function of those earlier client kingdoms which were less involved politically with the Empire. One identifiable commonality amongst the purpose of these states is for them to act as allies of Rome on the island and Togidubnus and </w:t>
      </w:r>
      <w:proofErr w:type="spellStart"/>
      <w:r w:rsidR="00EA16BC" w:rsidRPr="008F2E70">
        <w:t>Cartimandua</w:t>
      </w:r>
      <w:proofErr w:type="spellEnd"/>
      <w:r w:rsidR="00EA16BC" w:rsidRPr="008F2E70">
        <w:t xml:space="preserve"> certainly proved their worth as both remained loyal</w:t>
      </w:r>
      <w:r w:rsidR="003079A2" w:rsidRPr="008F2E70">
        <w:rPr>
          <w:rStyle w:val="FootnoteReference"/>
        </w:rPr>
        <w:footnoteReference w:id="29"/>
      </w:r>
      <w:r w:rsidR="00EA16BC" w:rsidRPr="008F2E70">
        <w:t xml:space="preserve"> during the large scale Boudiccan Revolt</w:t>
      </w:r>
      <w:r w:rsidR="003079A2" w:rsidRPr="008F2E70">
        <w:t xml:space="preserve">, a fact that unequivocally aided the provincial governor Paulinus </w:t>
      </w:r>
      <w:proofErr w:type="spellStart"/>
      <w:r w:rsidR="003079A2" w:rsidRPr="008F2E70">
        <w:t>Seutonius</w:t>
      </w:r>
      <w:proofErr w:type="spellEnd"/>
      <w:r w:rsidR="003079A2" w:rsidRPr="008F2E70">
        <w:t xml:space="preserve"> in fighting the rebellious tribes. </w:t>
      </w:r>
      <w:proofErr w:type="spellStart"/>
      <w:r w:rsidR="003079A2" w:rsidRPr="008F2E70">
        <w:t>Cartimandua</w:t>
      </w:r>
      <w:proofErr w:type="spellEnd"/>
      <w:r w:rsidR="003079A2" w:rsidRPr="008F2E70">
        <w:t xml:space="preserve"> also turned over the rebel Briton </w:t>
      </w:r>
      <w:proofErr w:type="spellStart"/>
      <w:r w:rsidR="003079A2" w:rsidRPr="008F2E70">
        <w:t>Caractacus</w:t>
      </w:r>
      <w:proofErr w:type="spellEnd"/>
      <w:r w:rsidR="003079A2" w:rsidRPr="008F2E70">
        <w:t xml:space="preserve"> in 51AD</w:t>
      </w:r>
      <w:r w:rsidR="003079A2" w:rsidRPr="008F2E70">
        <w:rPr>
          <w:rStyle w:val="FootnoteReference"/>
        </w:rPr>
        <w:footnoteReference w:id="30"/>
      </w:r>
      <w:r w:rsidR="003079A2" w:rsidRPr="008F2E70">
        <w:t xml:space="preserve"> again showing </w:t>
      </w:r>
      <w:r w:rsidR="00B227D8" w:rsidRPr="008F2E70">
        <w:t xml:space="preserve">unswerving </w:t>
      </w:r>
      <w:r w:rsidR="003079A2" w:rsidRPr="008F2E70">
        <w:t xml:space="preserve">loyalty to </w:t>
      </w:r>
      <w:r w:rsidR="00B227D8" w:rsidRPr="008F2E70">
        <w:t xml:space="preserve">her Roman allies. In this respect the post-invasion client states </w:t>
      </w:r>
      <w:proofErr w:type="gramStart"/>
      <w:r w:rsidR="00B227D8" w:rsidRPr="008F2E70">
        <w:t>can be seen as</w:t>
      </w:r>
      <w:proofErr w:type="gramEnd"/>
      <w:r w:rsidR="00B227D8" w:rsidRPr="008F2E70">
        <w:t xml:space="preserve"> successes as both acted as effective Roman allies. Another common purpose appears to be simply rewarding local leaders for acting in Roman interests </w:t>
      </w:r>
      <w:r w:rsidR="000E3D71" w:rsidRPr="008F2E70">
        <w:t>and by allowing nominally independent states under native rulers to exist it paves the way for further interaction with Rome and eventually total assimilation into the empire as a province</w:t>
      </w:r>
      <w:r w:rsidR="000E3D71" w:rsidRPr="008F2E70">
        <w:rPr>
          <w:rStyle w:val="FootnoteReference"/>
        </w:rPr>
        <w:footnoteReference w:id="31"/>
      </w:r>
      <w:r w:rsidR="000E3D71" w:rsidRPr="008F2E70">
        <w:t>. Whilst economic factors in the establishment of client states may be cited by some historians I side with the argument put forward by Millett; the invasion had no real economic sense for the Romans as any profits made through exploitation of the new province’s wealth would have been consistently offset by the cost of invading the island.</w:t>
      </w:r>
      <w:r w:rsidR="000E3D71" w:rsidRPr="008F2E70">
        <w:rPr>
          <w:rStyle w:val="FootnoteReference"/>
        </w:rPr>
        <w:footnoteReference w:id="32"/>
      </w:r>
      <w:r w:rsidR="000E3D71" w:rsidRPr="008F2E70">
        <w:t xml:space="preserve"> </w:t>
      </w:r>
    </w:p>
    <w:p w:rsidR="000E3D71" w:rsidRPr="008F2E70" w:rsidRDefault="000E3D71" w:rsidP="008F2E70">
      <w:pPr>
        <w:spacing w:line="480" w:lineRule="auto"/>
      </w:pPr>
      <w:r w:rsidRPr="008F2E70">
        <w:lastRenderedPageBreak/>
        <w:t xml:space="preserve">In a somewhat Machiavellian manner the installation of client rulers after the Claudian invasion may have had a political motivation as </w:t>
      </w:r>
      <w:r w:rsidRPr="008F2E70">
        <w:t>client kingdoms gave Rome</w:t>
      </w:r>
      <w:r w:rsidR="00C1014F" w:rsidRPr="008F2E70">
        <w:t>’s hawk-eyed lawyers</w:t>
      </w:r>
      <w:r w:rsidRPr="008F2E70">
        <w:t xml:space="preserve"> rich </w:t>
      </w:r>
      <w:r w:rsidR="00C1014F" w:rsidRPr="008F2E70">
        <w:t xml:space="preserve">legal </w:t>
      </w:r>
      <w:r w:rsidRPr="008F2E70">
        <w:t xml:space="preserve">pickings as </w:t>
      </w:r>
      <w:r w:rsidRPr="008F2E70">
        <w:rPr>
          <w:i/>
        </w:rPr>
        <w:t>casus belli</w:t>
      </w:r>
      <w:r w:rsidRPr="008F2E70">
        <w:t xml:space="preserve">, as in both the cases of </w:t>
      </w:r>
      <w:r w:rsidR="00C1014F" w:rsidRPr="008F2E70">
        <w:t>Togidubnus</w:t>
      </w:r>
      <w:r w:rsidRPr="008F2E70">
        <w:t xml:space="preserve"> and </w:t>
      </w:r>
      <w:proofErr w:type="spellStart"/>
      <w:r w:rsidR="00C1014F" w:rsidRPr="008F2E70">
        <w:t>Prasutagus</w:t>
      </w:r>
      <w:proofErr w:type="spellEnd"/>
      <w:r w:rsidRPr="008F2E70">
        <w:t xml:space="preserve"> the kings would bequeath their land (or a portion of it) to Rome</w:t>
      </w:r>
      <w:r w:rsidR="00C1014F" w:rsidRPr="008F2E70">
        <w:rPr>
          <w:rStyle w:val="FootnoteReference"/>
        </w:rPr>
        <w:footnoteReference w:id="33"/>
      </w:r>
      <w:r w:rsidRPr="008F2E70">
        <w:t xml:space="preserve">, the failure of the Client Kingdom to uphold its end of the bargain would result in the legal precedent for a </w:t>
      </w:r>
      <w:r w:rsidR="00C1014F" w:rsidRPr="008F2E70">
        <w:t>R</w:t>
      </w:r>
      <w:r w:rsidRPr="008F2E70">
        <w:t>oman occupation as in the case of the Iceni in 6</w:t>
      </w:r>
      <w:r w:rsidR="00C1014F" w:rsidRPr="008F2E70">
        <w:t>0</w:t>
      </w:r>
      <w:r w:rsidRPr="008F2E70">
        <w:t>AD.</w:t>
      </w:r>
      <w:r w:rsidR="00C1014F" w:rsidRPr="008F2E70">
        <w:t xml:space="preserve"> Whilst of course this is simply conjecture one does wonder whether any of these such instances were intentionally created ever just to satisfy the empire’s need to expand. In this sense any client kingdom which lands were eventually absorbed into the provinces </w:t>
      </w:r>
      <w:r w:rsidR="00A87899" w:rsidRPr="008F2E70">
        <w:t xml:space="preserve">inherently cannot have ‘failed’ in their purpose as the end goal had been reached, Rome’s borders had expanded. </w:t>
      </w:r>
    </w:p>
    <w:p w:rsidR="00A87899" w:rsidRPr="008F2E70" w:rsidRDefault="00A87899" w:rsidP="008F2E70">
      <w:pPr>
        <w:spacing w:line="480" w:lineRule="auto"/>
      </w:pPr>
      <w:r w:rsidRPr="008F2E70">
        <w:t xml:space="preserve">In conclusion we can see that if the purpose of the post-invasion client kingdoms was to be Roman allies, then excluding the events that occurred after the death of </w:t>
      </w:r>
      <w:proofErr w:type="spellStart"/>
      <w:r w:rsidRPr="008F2E70">
        <w:t>Prasutagus</w:t>
      </w:r>
      <w:proofErr w:type="spellEnd"/>
      <w:r w:rsidRPr="008F2E70">
        <w:t xml:space="preserve">, the remaining client states performed well as a short-term solution, providing the Empire with Allies along its borders and enabling Rome to gradually increase its territory, all the while layering serving Emperors with the privilege of having client kings. </w:t>
      </w:r>
      <w:r w:rsidR="005F2EDB" w:rsidRPr="008F2E70">
        <w:t xml:space="preserve">Thus, drawing on all the points made on both sides to my argument I must come the outcome that client kingdoms </w:t>
      </w:r>
      <w:r w:rsidR="008F2E70" w:rsidRPr="008F2E70">
        <w:t xml:space="preserve">in Britain </w:t>
      </w:r>
      <w:r w:rsidR="005F2EDB" w:rsidRPr="008F2E70">
        <w:t>during the 1</w:t>
      </w:r>
      <w:r w:rsidR="005F2EDB" w:rsidRPr="008F2E70">
        <w:rPr>
          <w:vertAlign w:val="superscript"/>
        </w:rPr>
        <w:t>st</w:t>
      </w:r>
      <w:r w:rsidR="005F2EDB" w:rsidRPr="008F2E70">
        <w:t xml:space="preserve"> century AD </w:t>
      </w:r>
      <w:r w:rsidR="008F2E70" w:rsidRPr="008F2E70">
        <w:t>were not entirely unsuccessful as their purposes were so varied that the outcomes were likewise varied. With the successful client kingdoms appearing after the Claudian invasion I have shown that the use of client rulers could be successful.</w:t>
      </w:r>
    </w:p>
    <w:p w:rsidR="00C1014F" w:rsidRPr="008F2E70" w:rsidRDefault="00C1014F" w:rsidP="000E3D71"/>
    <w:p w:rsidR="000E3D71" w:rsidRPr="008F2E70" w:rsidRDefault="000E3D71"/>
    <w:p w:rsidR="00992CB5" w:rsidRPr="008F2E70" w:rsidRDefault="00992CB5"/>
    <w:p w:rsidR="00992CB5" w:rsidRPr="008F2E70" w:rsidRDefault="00992CB5"/>
    <w:p w:rsidR="00B802C6" w:rsidRPr="008F2E70" w:rsidRDefault="00B802C6" w:rsidP="00B802C6">
      <w:pPr>
        <w:pStyle w:val="ListParagraph"/>
      </w:pPr>
    </w:p>
    <w:p w:rsidR="00BB2390" w:rsidRPr="008F2E70" w:rsidRDefault="00BB2390"/>
    <w:p w:rsidR="00A87899" w:rsidRPr="008F2E70" w:rsidRDefault="00A87899">
      <w:bookmarkStart w:id="2" w:name="_GoBack"/>
      <w:bookmarkEnd w:id="2"/>
    </w:p>
    <w:p w:rsidR="00A87899" w:rsidRPr="008F2E70" w:rsidRDefault="00A87899"/>
    <w:p w:rsidR="00A87899" w:rsidRPr="008F2E70" w:rsidRDefault="00A87899">
      <w:r w:rsidRPr="008F2E70">
        <w:t>Bibliography:</w:t>
      </w:r>
    </w:p>
    <w:p w:rsidR="00145D61" w:rsidRPr="008F2E70" w:rsidRDefault="00145D61">
      <w:pPr>
        <w:rPr>
          <w:u w:val="single"/>
        </w:rPr>
      </w:pPr>
      <w:r w:rsidRPr="008F2E70">
        <w:rPr>
          <w:u w:val="single"/>
        </w:rPr>
        <w:t>Ancient Sources:</w:t>
      </w:r>
    </w:p>
    <w:p w:rsidR="00145D61" w:rsidRPr="008F2E70" w:rsidRDefault="00145D61">
      <w:r w:rsidRPr="008F2E70">
        <w:t xml:space="preserve">Augustus, Res Gestae </w:t>
      </w:r>
      <w:proofErr w:type="spellStart"/>
      <w:r w:rsidRPr="008F2E70">
        <w:t>Divi</w:t>
      </w:r>
      <w:proofErr w:type="spellEnd"/>
      <w:r w:rsidRPr="008F2E70">
        <w:t xml:space="preserve"> </w:t>
      </w:r>
      <w:proofErr w:type="spellStart"/>
      <w:r w:rsidRPr="008F2E70">
        <w:t>Augusti</w:t>
      </w:r>
      <w:proofErr w:type="spellEnd"/>
      <w:r w:rsidRPr="008F2E70">
        <w:t>. Shipley, F.W. 1924. Loeb Classical Library 152. Cambridge, MA: Harvard University Press, 1924.</w:t>
      </w:r>
    </w:p>
    <w:p w:rsidR="00145D61" w:rsidRPr="008F2E70" w:rsidRDefault="00145D61">
      <w:r w:rsidRPr="008F2E70">
        <w:t>Basford, F (2016) </w:t>
      </w:r>
      <w:r w:rsidRPr="008F2E70">
        <w:rPr>
          <w:i/>
          <w:iCs/>
        </w:rPr>
        <w:t>IOW-7D37BB: A IRON AGE COIN</w:t>
      </w:r>
      <w:r w:rsidRPr="008F2E70">
        <w:t> Web page available at: </w:t>
      </w:r>
      <w:hyperlink r:id="rId8" w:history="1">
        <w:r w:rsidRPr="008F2E70">
          <w:rPr>
            <w:rStyle w:val="Hyperlink"/>
          </w:rPr>
          <w:t>https://finds.org.uk/database/artefacts/record/id/810180</w:t>
        </w:r>
      </w:hyperlink>
      <w:r w:rsidRPr="008F2E70">
        <w:t> [Accessed: Nov 13, 2017 3:17:33 PM]</w:t>
      </w:r>
    </w:p>
    <w:p w:rsidR="00145D61" w:rsidRPr="008F2E70" w:rsidRDefault="00145D61">
      <w:r w:rsidRPr="008F2E70">
        <w:t xml:space="preserve">Caesar, The Conquest of Gaul. </w:t>
      </w:r>
      <w:proofErr w:type="spellStart"/>
      <w:r w:rsidRPr="008F2E70">
        <w:t>Handford</w:t>
      </w:r>
      <w:proofErr w:type="spellEnd"/>
      <w:r w:rsidRPr="008F2E70">
        <w:t>, S.A. (revised by Gardner, J.F.). 1982. London: Penguin Classics.</w:t>
      </w:r>
    </w:p>
    <w:p w:rsidR="00145D61" w:rsidRPr="008F2E70" w:rsidRDefault="00145D61" w:rsidP="00145D61">
      <w:r w:rsidRPr="008F2E70">
        <w:t xml:space="preserve">Cassius </w:t>
      </w:r>
      <w:proofErr w:type="spellStart"/>
      <w:r w:rsidRPr="008F2E70">
        <w:t>Dio</w:t>
      </w:r>
      <w:proofErr w:type="spellEnd"/>
      <w:r w:rsidRPr="008F2E70">
        <w:t>, Roman History VII. Cary, E. 1955. London: William Heinemann LTD.</w:t>
      </w:r>
    </w:p>
    <w:p w:rsidR="00145D61" w:rsidRPr="008F2E70" w:rsidRDefault="00145D61" w:rsidP="00145D61">
      <w:r w:rsidRPr="008F2E70">
        <w:t>Coin Index, C (2010) </w:t>
      </w:r>
      <w:r w:rsidRPr="008F2E70">
        <w:rPr>
          <w:i/>
          <w:iCs/>
        </w:rPr>
        <w:t>CCI-840341: A IRON AGE COIN</w:t>
      </w:r>
      <w:r w:rsidRPr="008F2E70">
        <w:t> Web page available at: </w:t>
      </w:r>
      <w:hyperlink r:id="rId9" w:history="1">
        <w:r w:rsidRPr="008F2E70">
          <w:rPr>
            <w:rStyle w:val="Hyperlink"/>
          </w:rPr>
          <w:t>https://finds.org.uk/database/artefacts/record/id/319589</w:t>
        </w:r>
      </w:hyperlink>
      <w:r w:rsidRPr="008F2E70">
        <w:t> [Accessed: Nov 13, 2017 3:17:07 PM]</w:t>
      </w:r>
    </w:p>
    <w:p w:rsidR="00145D61" w:rsidRPr="008F2E70" w:rsidRDefault="00145D61" w:rsidP="00145D61">
      <w:r w:rsidRPr="008F2E70">
        <w:t>Coin Index, C (2010) </w:t>
      </w:r>
      <w:r w:rsidRPr="008F2E70">
        <w:rPr>
          <w:i/>
          <w:iCs/>
        </w:rPr>
        <w:t>CCI-860146: A IRON AGE COIN</w:t>
      </w:r>
      <w:r w:rsidRPr="008F2E70">
        <w:t> Web page available at: </w:t>
      </w:r>
      <w:hyperlink r:id="rId10" w:history="1">
        <w:r w:rsidRPr="008F2E70">
          <w:rPr>
            <w:rStyle w:val="Hyperlink"/>
          </w:rPr>
          <w:t>https://finds.org.uk/database/artefacts/record/id/319672</w:t>
        </w:r>
      </w:hyperlink>
      <w:r w:rsidRPr="008F2E70">
        <w:t> [Accessed: Nov 13, 2017 3:15:42 PM]</w:t>
      </w:r>
    </w:p>
    <w:p w:rsidR="00145D61" w:rsidRPr="008F2E70" w:rsidRDefault="00145D61">
      <w:r w:rsidRPr="008F2E70">
        <w:t>Suetonius, The Twelve Caesars. Graves, R. (revised by Rives, J.B.). 2007. London: Penguin Classics.</w:t>
      </w:r>
    </w:p>
    <w:p w:rsidR="00A87899" w:rsidRPr="008F2E70" w:rsidRDefault="00A87899">
      <w:r w:rsidRPr="008F2E70">
        <w:t>Tacitus, The Annals of Imperial Rome. Grant, M. 1956</w:t>
      </w:r>
      <w:r w:rsidR="005A1497" w:rsidRPr="008F2E70">
        <w:t>. London: Penguin Classics.</w:t>
      </w:r>
    </w:p>
    <w:p w:rsidR="005A1497" w:rsidRPr="008F2E70" w:rsidRDefault="005A1497">
      <w:r w:rsidRPr="008F2E70">
        <w:t xml:space="preserve">Tacitus, Agricola. Mattingly, H (revised by </w:t>
      </w:r>
      <w:proofErr w:type="spellStart"/>
      <w:r w:rsidRPr="008F2E70">
        <w:t>Handford</w:t>
      </w:r>
      <w:proofErr w:type="spellEnd"/>
      <w:r w:rsidRPr="008F2E70">
        <w:t>, S.A.). 1970. London: Penguin Classics.</w:t>
      </w:r>
    </w:p>
    <w:p w:rsidR="00145D61" w:rsidRPr="008F2E70" w:rsidRDefault="00145D61" w:rsidP="00145D61">
      <w:r w:rsidRPr="008F2E70">
        <w:t>Williams, D (2017) </w:t>
      </w:r>
      <w:r w:rsidRPr="008F2E70">
        <w:rPr>
          <w:i/>
          <w:iCs/>
        </w:rPr>
        <w:t>SUR-89D992: A IRON AGE COIN</w:t>
      </w:r>
      <w:r w:rsidRPr="008F2E70">
        <w:t> Web page available at: </w:t>
      </w:r>
      <w:hyperlink r:id="rId11" w:history="1">
        <w:r w:rsidRPr="008F2E70">
          <w:rPr>
            <w:rStyle w:val="Hyperlink"/>
          </w:rPr>
          <w:t>https://finds.org.uk/database/artefacts/record/id/829204</w:t>
        </w:r>
      </w:hyperlink>
      <w:r w:rsidRPr="008F2E70">
        <w:t> [Accessed: Nov 13, 2017 3:21:58 PM]</w:t>
      </w:r>
    </w:p>
    <w:p w:rsidR="00145D61" w:rsidRPr="008F2E70" w:rsidRDefault="00145D61" w:rsidP="00145D61">
      <w:pPr>
        <w:rPr>
          <w:u w:val="single"/>
        </w:rPr>
      </w:pPr>
      <w:r w:rsidRPr="008F2E70">
        <w:rPr>
          <w:u w:val="single"/>
        </w:rPr>
        <w:t>Modern Sources:</w:t>
      </w:r>
    </w:p>
    <w:p w:rsidR="00145D61" w:rsidRPr="008F2E70" w:rsidRDefault="00145D61" w:rsidP="00145D61">
      <w:r w:rsidRPr="008F2E70">
        <w:t>Mattingly,</w:t>
      </w:r>
      <w:r w:rsidR="005F2EDB" w:rsidRPr="008F2E70">
        <w:t xml:space="preserve"> D.</w:t>
      </w:r>
      <w:r w:rsidRPr="008F2E70">
        <w:t xml:space="preserve"> </w:t>
      </w:r>
      <w:r w:rsidR="005F2EDB" w:rsidRPr="008F2E70">
        <w:t xml:space="preserve">2006. </w:t>
      </w:r>
      <w:r w:rsidRPr="008F2E70">
        <w:t xml:space="preserve">An Imperial Possession. Britain in the Roman Empire. London: </w:t>
      </w:r>
      <w:proofErr w:type="spellStart"/>
      <w:r w:rsidRPr="008F2E70">
        <w:t>Pinguin</w:t>
      </w:r>
      <w:proofErr w:type="spellEnd"/>
      <w:r w:rsidRPr="008F2E70">
        <w:t xml:space="preserve">.  </w:t>
      </w:r>
    </w:p>
    <w:p w:rsidR="00145D61" w:rsidRPr="008F2E70" w:rsidRDefault="00145D61" w:rsidP="00145D61">
      <w:r w:rsidRPr="008F2E70">
        <w:t>Millett,</w:t>
      </w:r>
      <w:r w:rsidR="005F2EDB" w:rsidRPr="008F2E70">
        <w:t xml:space="preserve"> M.</w:t>
      </w:r>
      <w:r w:rsidRPr="008F2E70">
        <w:t xml:space="preserve"> </w:t>
      </w:r>
      <w:r w:rsidR="005F2EDB" w:rsidRPr="008F2E70">
        <w:t xml:space="preserve">1990. </w:t>
      </w:r>
      <w:r w:rsidRPr="008F2E70">
        <w:t>The Romanization of Britain. Cambridge: C</w:t>
      </w:r>
      <w:r w:rsidR="005F2EDB" w:rsidRPr="008F2E70">
        <w:t xml:space="preserve">ambridge </w:t>
      </w:r>
      <w:r w:rsidRPr="008F2E70">
        <w:t>U</w:t>
      </w:r>
      <w:r w:rsidR="005F2EDB" w:rsidRPr="008F2E70">
        <w:t xml:space="preserve">niversity </w:t>
      </w:r>
      <w:r w:rsidRPr="008F2E70">
        <w:t>P</w:t>
      </w:r>
      <w:r w:rsidR="005F2EDB" w:rsidRPr="008F2E70">
        <w:t>ress</w:t>
      </w:r>
      <w:r w:rsidRPr="008F2E70">
        <w:t>.</w:t>
      </w:r>
    </w:p>
    <w:p w:rsidR="00145D61" w:rsidRPr="008F2E70" w:rsidRDefault="00145D61" w:rsidP="00145D61">
      <w:proofErr w:type="spellStart"/>
      <w:r w:rsidRPr="008F2E70">
        <w:t>Salway</w:t>
      </w:r>
      <w:proofErr w:type="spellEnd"/>
      <w:r w:rsidRPr="008F2E70">
        <w:t>,</w:t>
      </w:r>
      <w:r w:rsidR="005F2EDB" w:rsidRPr="008F2E70">
        <w:t xml:space="preserve"> P. 2001.</w:t>
      </w:r>
      <w:r w:rsidRPr="008F2E70">
        <w:t xml:space="preserve"> A History of Roman Britain. Cambridge: C</w:t>
      </w:r>
      <w:r w:rsidR="005F2EDB" w:rsidRPr="008F2E70">
        <w:t xml:space="preserve">ambridge </w:t>
      </w:r>
      <w:r w:rsidRPr="008F2E70">
        <w:t>U</w:t>
      </w:r>
      <w:r w:rsidR="005F2EDB" w:rsidRPr="008F2E70">
        <w:t xml:space="preserve">niversity </w:t>
      </w:r>
      <w:r w:rsidRPr="008F2E70">
        <w:t>P</w:t>
      </w:r>
      <w:r w:rsidR="005F2EDB" w:rsidRPr="008F2E70">
        <w:t>ress</w:t>
      </w:r>
      <w:r w:rsidRPr="008F2E70">
        <w:t>.</w:t>
      </w:r>
    </w:p>
    <w:p w:rsidR="005F2EDB" w:rsidRPr="008F2E70" w:rsidRDefault="005F2EDB" w:rsidP="00145D61">
      <w:r w:rsidRPr="008F2E70">
        <w:t>Creighton, J. 2006. Britannia: The creation of a Roman Province. New York: Routledge.</w:t>
      </w:r>
    </w:p>
    <w:p w:rsidR="005F2EDB" w:rsidRPr="008F2E70" w:rsidRDefault="005F2EDB" w:rsidP="00145D61">
      <w:r w:rsidRPr="008F2E70">
        <w:t>Frere, S. 1991. Britannia: A history of Roman Britain. London: Pimlico.</w:t>
      </w:r>
    </w:p>
    <w:p w:rsidR="005F2EDB" w:rsidRPr="008F2E70" w:rsidRDefault="005F2EDB" w:rsidP="00145D61">
      <w:proofErr w:type="spellStart"/>
      <w:r w:rsidRPr="008F2E70">
        <w:t>Salway</w:t>
      </w:r>
      <w:proofErr w:type="spellEnd"/>
      <w:r w:rsidRPr="008F2E70">
        <w:t>, P. 1993. The Oxford Illustrated History of Roman Britain. London: Oxford University Press.</w:t>
      </w:r>
    </w:p>
    <w:p w:rsidR="005F2EDB" w:rsidRPr="008F2E70" w:rsidRDefault="005F2EDB" w:rsidP="00145D61">
      <w:r w:rsidRPr="008F2E70">
        <w:t xml:space="preserve">Bean, </w:t>
      </w:r>
      <w:r w:rsidRPr="008F2E70">
        <w:t>S.</w:t>
      </w:r>
      <w:r w:rsidRPr="008F2E70">
        <w:t>C. 1994</w:t>
      </w:r>
      <w:r w:rsidRPr="008F2E70">
        <w:t>.</w:t>
      </w:r>
      <w:r w:rsidRPr="008F2E70">
        <w:t xml:space="preserve"> The coinage of </w:t>
      </w:r>
      <w:proofErr w:type="spellStart"/>
      <w:r w:rsidRPr="008F2E70">
        <w:t>Atrebates</w:t>
      </w:r>
      <w:proofErr w:type="spellEnd"/>
      <w:r w:rsidRPr="008F2E70">
        <w:t xml:space="preserve"> and </w:t>
      </w:r>
      <w:proofErr w:type="spellStart"/>
      <w:r w:rsidRPr="008F2E70">
        <w:t>Regni</w:t>
      </w:r>
      <w:proofErr w:type="spellEnd"/>
      <w:r w:rsidRPr="008F2E70">
        <w:t xml:space="preserve">. PhD thesis, University of Nottingham. </w:t>
      </w:r>
      <w:r w:rsidRPr="008F2E70">
        <w:t xml:space="preserve"> </w:t>
      </w:r>
    </w:p>
    <w:p w:rsidR="005F2EDB" w:rsidRPr="008F2E70" w:rsidRDefault="005F2EDB" w:rsidP="00145D61">
      <w:r w:rsidRPr="008F2E70">
        <w:t>Roberts, A. 2015. The Celts. London: Heron Books.</w:t>
      </w:r>
    </w:p>
    <w:p w:rsidR="00145D61" w:rsidRPr="008F2E70" w:rsidRDefault="00145D61"/>
    <w:p w:rsidR="005A1497" w:rsidRPr="008F2E70" w:rsidRDefault="005A1497"/>
    <w:sectPr w:rsidR="005A1497" w:rsidRPr="008F2E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71F2C" w:rsidRDefault="00271F2C" w:rsidP="00933AD7">
      <w:pPr>
        <w:spacing w:after="0" w:line="240" w:lineRule="auto"/>
      </w:pPr>
      <w:r>
        <w:separator/>
      </w:r>
    </w:p>
  </w:endnote>
  <w:endnote w:type="continuationSeparator" w:id="0">
    <w:p w:rsidR="00271F2C" w:rsidRDefault="00271F2C" w:rsidP="00933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71F2C" w:rsidRDefault="00271F2C" w:rsidP="00933AD7">
      <w:pPr>
        <w:spacing w:after="0" w:line="240" w:lineRule="auto"/>
      </w:pPr>
      <w:r>
        <w:separator/>
      </w:r>
    </w:p>
  </w:footnote>
  <w:footnote w:type="continuationSeparator" w:id="0">
    <w:p w:rsidR="00271F2C" w:rsidRDefault="00271F2C" w:rsidP="00933AD7">
      <w:pPr>
        <w:spacing w:after="0" w:line="240" w:lineRule="auto"/>
      </w:pPr>
      <w:r>
        <w:continuationSeparator/>
      </w:r>
    </w:p>
  </w:footnote>
  <w:footnote w:id="1">
    <w:p w:rsidR="00271F2C" w:rsidRDefault="00271F2C">
      <w:pPr>
        <w:pStyle w:val="FootnoteText"/>
      </w:pPr>
      <w:r>
        <w:rPr>
          <w:rStyle w:val="FootnoteReference"/>
        </w:rPr>
        <w:footnoteRef/>
      </w:r>
      <w:r>
        <w:t xml:space="preserve"> Tac. Agr.14</w:t>
      </w:r>
    </w:p>
  </w:footnote>
  <w:footnote w:id="2">
    <w:p w:rsidR="00271F2C" w:rsidRDefault="00271F2C">
      <w:pPr>
        <w:pStyle w:val="FootnoteText"/>
      </w:pPr>
      <w:r>
        <w:rPr>
          <w:rStyle w:val="FootnoteReference"/>
        </w:rPr>
        <w:footnoteRef/>
      </w:r>
      <w:r>
        <w:t xml:space="preserve"> </w:t>
      </w:r>
      <w:bookmarkStart w:id="0" w:name="_Hlk498435559"/>
      <w:r>
        <w:t>Creighton, 2006. Pg.22</w:t>
      </w:r>
      <w:bookmarkEnd w:id="0"/>
    </w:p>
  </w:footnote>
  <w:footnote w:id="3">
    <w:p w:rsidR="00271F2C" w:rsidRDefault="00271F2C">
      <w:pPr>
        <w:pStyle w:val="FootnoteText"/>
      </w:pPr>
      <w:r>
        <w:rPr>
          <w:rStyle w:val="FootnoteReference"/>
        </w:rPr>
        <w:footnoteRef/>
      </w:r>
      <w:r>
        <w:t xml:space="preserve"> Hirt. BG. VIII 48</w:t>
      </w:r>
    </w:p>
  </w:footnote>
  <w:footnote w:id="4">
    <w:p w:rsidR="00271F2C" w:rsidRDefault="00271F2C">
      <w:pPr>
        <w:pStyle w:val="FootnoteText"/>
      </w:pPr>
      <w:r>
        <w:rPr>
          <w:rStyle w:val="FootnoteReference"/>
        </w:rPr>
        <w:footnoteRef/>
      </w:r>
      <w:r>
        <w:t xml:space="preserve"> Creighton, 2006. Pg.22</w:t>
      </w:r>
    </w:p>
  </w:footnote>
  <w:footnote w:id="5">
    <w:p w:rsidR="00271F2C" w:rsidRDefault="00271F2C">
      <w:pPr>
        <w:pStyle w:val="FootnoteText"/>
      </w:pPr>
      <w:r>
        <w:rPr>
          <w:rStyle w:val="FootnoteReference"/>
        </w:rPr>
        <w:footnoteRef/>
      </w:r>
      <w:r>
        <w:t xml:space="preserve"> </w:t>
      </w:r>
      <w:r w:rsidRPr="00E97199">
        <w:t>Creighton, 2006. Pg.22</w:t>
      </w:r>
    </w:p>
  </w:footnote>
  <w:footnote w:id="6">
    <w:p w:rsidR="00271F2C" w:rsidRDefault="00271F2C">
      <w:pPr>
        <w:pStyle w:val="FootnoteText"/>
      </w:pPr>
      <w:r>
        <w:rPr>
          <w:rStyle w:val="FootnoteReference"/>
        </w:rPr>
        <w:footnoteRef/>
      </w:r>
      <w:r>
        <w:t xml:space="preserve"> </w:t>
      </w:r>
      <w:r w:rsidRPr="00E97199">
        <w:t>Creighton, 2006. Pg.22</w:t>
      </w:r>
    </w:p>
  </w:footnote>
  <w:footnote w:id="7">
    <w:p w:rsidR="00271F2C" w:rsidRDefault="00271F2C">
      <w:pPr>
        <w:pStyle w:val="FootnoteText"/>
      </w:pPr>
      <w:r>
        <w:rPr>
          <w:rStyle w:val="FootnoteReference"/>
        </w:rPr>
        <w:footnoteRef/>
      </w:r>
      <w:r>
        <w:t xml:space="preserve"> </w:t>
      </w:r>
      <w:proofErr w:type="spellStart"/>
      <w:r>
        <w:t>Salway</w:t>
      </w:r>
      <w:proofErr w:type="spellEnd"/>
      <w:r>
        <w:t>, P, 1993. Pg.50</w:t>
      </w:r>
    </w:p>
  </w:footnote>
  <w:footnote w:id="8">
    <w:p w:rsidR="00271F2C" w:rsidRDefault="00271F2C">
      <w:pPr>
        <w:pStyle w:val="FootnoteText"/>
      </w:pPr>
      <w:r>
        <w:rPr>
          <w:rStyle w:val="FootnoteReference"/>
        </w:rPr>
        <w:footnoteRef/>
      </w:r>
      <w:r>
        <w:t xml:space="preserve"> </w:t>
      </w:r>
      <w:bookmarkStart w:id="1" w:name="_Hlk498451452"/>
      <w:proofErr w:type="spellStart"/>
      <w:r>
        <w:t>Salway</w:t>
      </w:r>
      <w:proofErr w:type="spellEnd"/>
      <w:r>
        <w:t>, p, 1993. Pg.50</w:t>
      </w:r>
      <w:bookmarkEnd w:id="1"/>
    </w:p>
  </w:footnote>
  <w:footnote w:id="9">
    <w:p w:rsidR="00271F2C" w:rsidRDefault="00271F2C">
      <w:pPr>
        <w:pStyle w:val="FootnoteText"/>
      </w:pPr>
      <w:r>
        <w:rPr>
          <w:rStyle w:val="FootnoteReference"/>
        </w:rPr>
        <w:footnoteRef/>
      </w:r>
      <w:r>
        <w:t xml:space="preserve"> </w:t>
      </w:r>
      <w:r w:rsidRPr="003171B6">
        <w:t>Creighton, 2006. Pg.2</w:t>
      </w:r>
      <w:r>
        <w:t>3</w:t>
      </w:r>
    </w:p>
  </w:footnote>
  <w:footnote w:id="10">
    <w:p w:rsidR="00271F2C" w:rsidRDefault="00271F2C">
      <w:pPr>
        <w:pStyle w:val="FootnoteText"/>
      </w:pPr>
      <w:r>
        <w:rPr>
          <w:rStyle w:val="FootnoteReference"/>
        </w:rPr>
        <w:footnoteRef/>
      </w:r>
      <w:r>
        <w:t xml:space="preserve"> </w:t>
      </w:r>
      <w:r w:rsidRPr="004815BF">
        <w:t>Creighton, 2006. Pg.2</w:t>
      </w:r>
      <w:r>
        <w:t>3</w:t>
      </w:r>
    </w:p>
  </w:footnote>
  <w:footnote w:id="11">
    <w:p w:rsidR="00271F2C" w:rsidRDefault="00271F2C">
      <w:pPr>
        <w:pStyle w:val="FootnoteText"/>
      </w:pPr>
      <w:r>
        <w:rPr>
          <w:rStyle w:val="FootnoteReference"/>
        </w:rPr>
        <w:footnoteRef/>
      </w:r>
      <w:r>
        <w:t xml:space="preserve"> CCI-840341, CCI-860146</w:t>
      </w:r>
    </w:p>
  </w:footnote>
  <w:footnote w:id="12">
    <w:p w:rsidR="00271F2C" w:rsidRDefault="00271F2C">
      <w:pPr>
        <w:pStyle w:val="FootnoteText"/>
      </w:pPr>
      <w:r>
        <w:rPr>
          <w:rStyle w:val="FootnoteReference"/>
        </w:rPr>
        <w:footnoteRef/>
      </w:r>
      <w:r>
        <w:t xml:space="preserve"> Res Gestae I.32</w:t>
      </w:r>
    </w:p>
  </w:footnote>
  <w:footnote w:id="13">
    <w:p w:rsidR="00C1014F" w:rsidRDefault="00C1014F">
      <w:pPr>
        <w:pStyle w:val="FootnoteText"/>
      </w:pPr>
      <w:r>
        <w:rPr>
          <w:rStyle w:val="FootnoteReference"/>
        </w:rPr>
        <w:footnoteRef/>
      </w:r>
      <w:r>
        <w:t xml:space="preserve"> SUR-89D992</w:t>
      </w:r>
    </w:p>
  </w:footnote>
  <w:footnote w:id="14">
    <w:p w:rsidR="00271F2C" w:rsidRDefault="00271F2C">
      <w:pPr>
        <w:pStyle w:val="FootnoteText"/>
      </w:pPr>
      <w:r>
        <w:rPr>
          <w:rStyle w:val="FootnoteReference"/>
        </w:rPr>
        <w:footnoteRef/>
      </w:r>
      <w:r>
        <w:t xml:space="preserve"> Cas. </w:t>
      </w:r>
      <w:proofErr w:type="spellStart"/>
      <w:r>
        <w:t>Dio</w:t>
      </w:r>
      <w:proofErr w:type="spellEnd"/>
      <w:r>
        <w:t xml:space="preserve">. Claudius. </w:t>
      </w:r>
      <w:proofErr w:type="gramStart"/>
      <w:r>
        <w:t>LX.19 :</w:t>
      </w:r>
      <w:proofErr w:type="gramEnd"/>
      <w:r>
        <w:t xml:space="preserve"> here I am taking the view that the ‘</w:t>
      </w:r>
      <w:proofErr w:type="spellStart"/>
      <w:r>
        <w:t>Bericus</w:t>
      </w:r>
      <w:proofErr w:type="spellEnd"/>
      <w:r>
        <w:t xml:space="preserve">’ presented to us by </w:t>
      </w:r>
      <w:proofErr w:type="spellStart"/>
      <w:r>
        <w:t>Dio</w:t>
      </w:r>
      <w:proofErr w:type="spellEnd"/>
      <w:r>
        <w:t xml:space="preserve"> is Verica a view shared clearly by many modern authors, for example Creighton, 2006. Pg.28.</w:t>
      </w:r>
    </w:p>
  </w:footnote>
  <w:footnote w:id="15">
    <w:p w:rsidR="00271F2C" w:rsidRDefault="00271F2C">
      <w:pPr>
        <w:pStyle w:val="FootnoteText"/>
      </w:pPr>
      <w:r>
        <w:rPr>
          <w:rStyle w:val="FootnoteReference"/>
        </w:rPr>
        <w:footnoteRef/>
      </w:r>
      <w:r>
        <w:t xml:space="preserve"> Cas. </w:t>
      </w:r>
      <w:proofErr w:type="spellStart"/>
      <w:r>
        <w:t>Dio</w:t>
      </w:r>
      <w:proofErr w:type="spellEnd"/>
      <w:r>
        <w:t>. Claudius. LX. 19</w:t>
      </w:r>
    </w:p>
  </w:footnote>
  <w:footnote w:id="16">
    <w:p w:rsidR="00271F2C" w:rsidRDefault="00271F2C">
      <w:pPr>
        <w:pStyle w:val="FootnoteText"/>
      </w:pPr>
      <w:r>
        <w:rPr>
          <w:rStyle w:val="FootnoteReference"/>
        </w:rPr>
        <w:footnoteRef/>
      </w:r>
      <w:r>
        <w:t xml:space="preserve"> </w:t>
      </w:r>
      <w:proofErr w:type="spellStart"/>
      <w:r w:rsidRPr="00F21E2A">
        <w:t>Salway</w:t>
      </w:r>
      <w:proofErr w:type="spellEnd"/>
      <w:r w:rsidRPr="00F21E2A">
        <w:t>, p, 1993. Pg.50</w:t>
      </w:r>
    </w:p>
  </w:footnote>
  <w:footnote w:id="17">
    <w:p w:rsidR="00271F2C" w:rsidRDefault="00271F2C">
      <w:pPr>
        <w:pStyle w:val="FootnoteText"/>
      </w:pPr>
      <w:r>
        <w:rPr>
          <w:rStyle w:val="FootnoteReference"/>
        </w:rPr>
        <w:footnoteRef/>
      </w:r>
      <w:r>
        <w:t xml:space="preserve"> </w:t>
      </w:r>
      <w:proofErr w:type="spellStart"/>
      <w:r>
        <w:t>Salway</w:t>
      </w:r>
      <w:proofErr w:type="spellEnd"/>
      <w:r>
        <w:t>, p, 1993. Pg.50</w:t>
      </w:r>
    </w:p>
  </w:footnote>
  <w:footnote w:id="18">
    <w:p w:rsidR="00271F2C" w:rsidRDefault="00271F2C">
      <w:pPr>
        <w:pStyle w:val="FootnoteText"/>
      </w:pPr>
      <w:r>
        <w:rPr>
          <w:rStyle w:val="FootnoteReference"/>
        </w:rPr>
        <w:footnoteRef/>
      </w:r>
      <w:r>
        <w:t xml:space="preserve"> Res Gestae I.32</w:t>
      </w:r>
    </w:p>
  </w:footnote>
  <w:footnote w:id="19">
    <w:p w:rsidR="00271F2C" w:rsidRDefault="00271F2C">
      <w:pPr>
        <w:pStyle w:val="FootnoteText"/>
      </w:pPr>
      <w:r>
        <w:rPr>
          <w:rStyle w:val="FootnoteReference"/>
        </w:rPr>
        <w:footnoteRef/>
      </w:r>
      <w:r>
        <w:t xml:space="preserve"> </w:t>
      </w:r>
      <w:proofErr w:type="spellStart"/>
      <w:r>
        <w:t>Salway</w:t>
      </w:r>
      <w:proofErr w:type="spellEnd"/>
      <w:r>
        <w:t>, p, 1993. Pg.50</w:t>
      </w:r>
    </w:p>
  </w:footnote>
  <w:footnote w:id="20">
    <w:p w:rsidR="00271F2C" w:rsidRDefault="00271F2C">
      <w:pPr>
        <w:pStyle w:val="FootnoteText"/>
      </w:pPr>
      <w:r>
        <w:rPr>
          <w:rStyle w:val="FootnoteReference"/>
        </w:rPr>
        <w:footnoteRef/>
      </w:r>
      <w:r>
        <w:t xml:space="preserve"> </w:t>
      </w:r>
      <w:proofErr w:type="spellStart"/>
      <w:r>
        <w:t>Salway</w:t>
      </w:r>
      <w:proofErr w:type="spellEnd"/>
      <w:r>
        <w:t>, p, 1993. Pg.50</w:t>
      </w:r>
    </w:p>
  </w:footnote>
  <w:footnote w:id="21">
    <w:p w:rsidR="00271F2C" w:rsidRDefault="00271F2C">
      <w:pPr>
        <w:pStyle w:val="FootnoteText"/>
      </w:pPr>
      <w:r>
        <w:rPr>
          <w:rStyle w:val="FootnoteReference"/>
        </w:rPr>
        <w:footnoteRef/>
      </w:r>
      <w:r>
        <w:t xml:space="preserve"> Millett, M. 1990. Pg.40</w:t>
      </w:r>
    </w:p>
  </w:footnote>
  <w:footnote w:id="22">
    <w:p w:rsidR="00271F2C" w:rsidRDefault="00271F2C">
      <w:pPr>
        <w:pStyle w:val="FootnoteText"/>
      </w:pPr>
      <w:r>
        <w:rPr>
          <w:rStyle w:val="FootnoteReference"/>
        </w:rPr>
        <w:footnoteRef/>
      </w:r>
      <w:r>
        <w:t xml:space="preserve"> </w:t>
      </w:r>
      <w:proofErr w:type="spellStart"/>
      <w:r>
        <w:t>Salway</w:t>
      </w:r>
      <w:proofErr w:type="spellEnd"/>
      <w:r>
        <w:t>, p, 1993. Pg.52</w:t>
      </w:r>
    </w:p>
  </w:footnote>
  <w:footnote w:id="23">
    <w:p w:rsidR="000F57E9" w:rsidRPr="000F57E9" w:rsidRDefault="000F57E9">
      <w:pPr>
        <w:pStyle w:val="FootnoteText"/>
      </w:pPr>
      <w:r>
        <w:rPr>
          <w:rStyle w:val="FootnoteReference"/>
        </w:rPr>
        <w:footnoteRef/>
      </w:r>
      <w:r>
        <w:t xml:space="preserve"> Tac. </w:t>
      </w:r>
      <w:r>
        <w:rPr>
          <w:i/>
        </w:rPr>
        <w:t xml:space="preserve">Ag. </w:t>
      </w:r>
      <w:r>
        <w:t>14</w:t>
      </w:r>
    </w:p>
  </w:footnote>
  <w:footnote w:id="24">
    <w:p w:rsidR="00960C01" w:rsidRPr="00960C01" w:rsidRDefault="00960C01">
      <w:pPr>
        <w:pStyle w:val="FootnoteText"/>
      </w:pPr>
      <w:r>
        <w:rPr>
          <w:rStyle w:val="FootnoteReference"/>
        </w:rPr>
        <w:footnoteRef/>
      </w:r>
      <w:r>
        <w:t xml:space="preserve"> Tac. </w:t>
      </w:r>
      <w:r>
        <w:rPr>
          <w:i/>
        </w:rPr>
        <w:t xml:space="preserve">Ann. </w:t>
      </w:r>
      <w:r>
        <w:t xml:space="preserve">XII.31: I have referenced this not as concrete evidence for the date given but more as a proof of when </w:t>
      </w:r>
      <w:proofErr w:type="spellStart"/>
      <w:r>
        <w:t>Prasutagus</w:t>
      </w:r>
      <w:proofErr w:type="spellEnd"/>
      <w:r>
        <w:t xml:space="preserve"> was probably instated by </w:t>
      </w:r>
      <w:proofErr w:type="spellStart"/>
      <w:r>
        <w:t>Ostorius</w:t>
      </w:r>
      <w:proofErr w:type="spellEnd"/>
      <w:r>
        <w:t xml:space="preserve"> as a Client Ruler, it seems likely to me that he would have placed him after the </w:t>
      </w:r>
      <w:proofErr w:type="spellStart"/>
      <w:r>
        <w:t>Icenian</w:t>
      </w:r>
      <w:proofErr w:type="spellEnd"/>
      <w:r>
        <w:t xml:space="preserve"> Revolt was put down.</w:t>
      </w:r>
    </w:p>
  </w:footnote>
  <w:footnote w:id="25">
    <w:p w:rsidR="00960C01" w:rsidRDefault="00960C01">
      <w:pPr>
        <w:pStyle w:val="FootnoteText"/>
      </w:pPr>
      <w:r>
        <w:rPr>
          <w:rStyle w:val="FootnoteReference"/>
        </w:rPr>
        <w:footnoteRef/>
      </w:r>
      <w:r>
        <w:t xml:space="preserve"> Mattingly, D. 2006. Pg.105-106</w:t>
      </w:r>
    </w:p>
  </w:footnote>
  <w:footnote w:id="26">
    <w:p w:rsidR="003079A2" w:rsidRPr="003079A2" w:rsidRDefault="003079A2">
      <w:pPr>
        <w:pStyle w:val="FootnoteText"/>
      </w:pPr>
      <w:r>
        <w:rPr>
          <w:rStyle w:val="FootnoteReference"/>
        </w:rPr>
        <w:footnoteRef/>
      </w:r>
      <w:r>
        <w:t xml:space="preserve"> Tac. </w:t>
      </w:r>
      <w:r>
        <w:rPr>
          <w:i/>
        </w:rPr>
        <w:t xml:space="preserve">Ann. </w:t>
      </w:r>
      <w:r>
        <w:t xml:space="preserve">XII.33-37: Tacitus repeatedly refers to </w:t>
      </w:r>
      <w:proofErr w:type="spellStart"/>
      <w:r>
        <w:t>Cartimandua</w:t>
      </w:r>
      <w:proofErr w:type="spellEnd"/>
      <w:r>
        <w:t xml:space="preserve"> as a queen, a title he does not bestow upon similar characters such as </w:t>
      </w:r>
      <w:proofErr w:type="spellStart"/>
      <w:r>
        <w:t>boudica</w:t>
      </w:r>
      <w:proofErr w:type="spellEnd"/>
      <w:r>
        <w:t xml:space="preserve"> hence I believe it worthwhile to make a point of this to demonstrate her</w:t>
      </w:r>
      <w:r w:rsidR="00A27030">
        <w:t xml:space="preserve"> as being a full ‘client’ ruler of Rome.</w:t>
      </w:r>
    </w:p>
  </w:footnote>
  <w:footnote w:id="27">
    <w:p w:rsidR="00960C01" w:rsidRDefault="00960C01">
      <w:pPr>
        <w:pStyle w:val="FootnoteText"/>
      </w:pPr>
      <w:r>
        <w:rPr>
          <w:rStyle w:val="FootnoteReference"/>
        </w:rPr>
        <w:footnoteRef/>
      </w:r>
      <w:r>
        <w:t xml:space="preserve"> </w:t>
      </w:r>
      <w:proofErr w:type="spellStart"/>
      <w:r>
        <w:t>Salway</w:t>
      </w:r>
      <w:proofErr w:type="spellEnd"/>
      <w:r>
        <w:t xml:space="preserve">, P. </w:t>
      </w:r>
      <w:r w:rsidR="00EA16BC">
        <w:t>1993. Pg.539-540</w:t>
      </w:r>
    </w:p>
  </w:footnote>
  <w:footnote w:id="28">
    <w:p w:rsidR="00EA16BC" w:rsidRDefault="00EA16BC">
      <w:pPr>
        <w:pStyle w:val="FootnoteText"/>
      </w:pPr>
      <w:r>
        <w:rPr>
          <w:rStyle w:val="FootnoteReference"/>
        </w:rPr>
        <w:footnoteRef/>
      </w:r>
      <w:r>
        <w:t xml:space="preserve"> Millett, M. 1990 Pg.67</w:t>
      </w:r>
    </w:p>
  </w:footnote>
  <w:footnote w:id="29">
    <w:p w:rsidR="003079A2" w:rsidRPr="003079A2" w:rsidRDefault="003079A2">
      <w:pPr>
        <w:pStyle w:val="FootnoteText"/>
      </w:pPr>
      <w:r>
        <w:rPr>
          <w:rStyle w:val="FootnoteReference"/>
        </w:rPr>
        <w:footnoteRef/>
      </w:r>
      <w:r>
        <w:t xml:space="preserve"> Tac. </w:t>
      </w:r>
      <w:r>
        <w:rPr>
          <w:i/>
        </w:rPr>
        <w:t>Ag.</w:t>
      </w:r>
      <w:r>
        <w:t xml:space="preserve"> 14</w:t>
      </w:r>
    </w:p>
  </w:footnote>
  <w:footnote w:id="30">
    <w:p w:rsidR="003079A2" w:rsidRDefault="003079A2">
      <w:pPr>
        <w:pStyle w:val="FootnoteText"/>
      </w:pPr>
      <w:r>
        <w:rPr>
          <w:rStyle w:val="FootnoteReference"/>
        </w:rPr>
        <w:footnoteRef/>
      </w:r>
      <w:r>
        <w:t xml:space="preserve"> Mattingly, D. 2006. Pg.102</w:t>
      </w:r>
    </w:p>
  </w:footnote>
  <w:footnote w:id="31">
    <w:p w:rsidR="000E3D71" w:rsidRDefault="000E3D71">
      <w:pPr>
        <w:pStyle w:val="FootnoteText"/>
      </w:pPr>
      <w:r>
        <w:rPr>
          <w:rStyle w:val="FootnoteReference"/>
        </w:rPr>
        <w:footnoteRef/>
      </w:r>
      <w:r>
        <w:t xml:space="preserve"> Millett, M. 1990. Pg.66</w:t>
      </w:r>
    </w:p>
  </w:footnote>
  <w:footnote w:id="32">
    <w:p w:rsidR="000E3D71" w:rsidRDefault="000E3D71">
      <w:pPr>
        <w:pStyle w:val="FootnoteText"/>
      </w:pPr>
      <w:r>
        <w:rPr>
          <w:rStyle w:val="FootnoteReference"/>
        </w:rPr>
        <w:footnoteRef/>
      </w:r>
      <w:r>
        <w:t xml:space="preserve"> Millet, M. 1990. Pg.41</w:t>
      </w:r>
    </w:p>
  </w:footnote>
  <w:footnote w:id="33">
    <w:p w:rsidR="00C1014F" w:rsidRPr="00C1014F" w:rsidRDefault="00C1014F">
      <w:pPr>
        <w:pStyle w:val="FootnoteText"/>
      </w:pPr>
      <w:r>
        <w:rPr>
          <w:rStyle w:val="FootnoteReference"/>
        </w:rPr>
        <w:footnoteRef/>
      </w:r>
      <w:r>
        <w:t xml:space="preserve"> Tac. </w:t>
      </w:r>
      <w:r>
        <w:rPr>
          <w:i/>
        </w:rPr>
        <w:t>Ann.</w:t>
      </w:r>
      <w:r>
        <w:t xml:space="preserve"> XIV.31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55073F"/>
    <w:multiLevelType w:val="hybridMultilevel"/>
    <w:tmpl w:val="8D520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7795"/>
    <w:rsid w:val="00035A96"/>
    <w:rsid w:val="000E3D71"/>
    <w:rsid w:val="000F57E9"/>
    <w:rsid w:val="00145D61"/>
    <w:rsid w:val="001567D5"/>
    <w:rsid w:val="001B3F9F"/>
    <w:rsid w:val="00206889"/>
    <w:rsid w:val="00230C0D"/>
    <w:rsid w:val="00266B5D"/>
    <w:rsid w:val="00271F2C"/>
    <w:rsid w:val="00291404"/>
    <w:rsid w:val="002B543B"/>
    <w:rsid w:val="002E128B"/>
    <w:rsid w:val="002E3826"/>
    <w:rsid w:val="003079A2"/>
    <w:rsid w:val="003171B6"/>
    <w:rsid w:val="003305AF"/>
    <w:rsid w:val="00346F78"/>
    <w:rsid w:val="0039535A"/>
    <w:rsid w:val="00407795"/>
    <w:rsid w:val="00436F49"/>
    <w:rsid w:val="004815BF"/>
    <w:rsid w:val="004C4B08"/>
    <w:rsid w:val="00554C23"/>
    <w:rsid w:val="005871C5"/>
    <w:rsid w:val="00593499"/>
    <w:rsid w:val="005A1497"/>
    <w:rsid w:val="005A7E28"/>
    <w:rsid w:val="005B12B3"/>
    <w:rsid w:val="005C0A7F"/>
    <w:rsid w:val="005C1E9B"/>
    <w:rsid w:val="005F2EDB"/>
    <w:rsid w:val="00721D0A"/>
    <w:rsid w:val="00756067"/>
    <w:rsid w:val="00790781"/>
    <w:rsid w:val="007B0D98"/>
    <w:rsid w:val="007E6136"/>
    <w:rsid w:val="007F3781"/>
    <w:rsid w:val="0082549E"/>
    <w:rsid w:val="008C3038"/>
    <w:rsid w:val="008D1705"/>
    <w:rsid w:val="008F2E70"/>
    <w:rsid w:val="00933AD7"/>
    <w:rsid w:val="00960C01"/>
    <w:rsid w:val="009718B7"/>
    <w:rsid w:val="00992CB5"/>
    <w:rsid w:val="009D2D4A"/>
    <w:rsid w:val="00A27030"/>
    <w:rsid w:val="00A319A9"/>
    <w:rsid w:val="00A87899"/>
    <w:rsid w:val="00B227D8"/>
    <w:rsid w:val="00B424DA"/>
    <w:rsid w:val="00B802C6"/>
    <w:rsid w:val="00BB2390"/>
    <w:rsid w:val="00C03E99"/>
    <w:rsid w:val="00C1014F"/>
    <w:rsid w:val="00C30CDD"/>
    <w:rsid w:val="00C45153"/>
    <w:rsid w:val="00C455D1"/>
    <w:rsid w:val="00C835C2"/>
    <w:rsid w:val="00CE155F"/>
    <w:rsid w:val="00D85C76"/>
    <w:rsid w:val="00DA3F48"/>
    <w:rsid w:val="00DC1B94"/>
    <w:rsid w:val="00E97199"/>
    <w:rsid w:val="00EA16BC"/>
    <w:rsid w:val="00F21E2A"/>
    <w:rsid w:val="00F52EC0"/>
    <w:rsid w:val="00F97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6228E"/>
  <w15:chartTrackingRefBased/>
  <w15:docId w15:val="{41A3C9F5-0C21-4C17-8B36-8983469B5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5D6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02C6"/>
    <w:pPr>
      <w:ind w:left="720"/>
      <w:contextualSpacing/>
    </w:pPr>
  </w:style>
  <w:style w:type="paragraph" w:styleId="FootnoteText">
    <w:name w:val="footnote text"/>
    <w:basedOn w:val="Normal"/>
    <w:link w:val="FootnoteTextChar"/>
    <w:uiPriority w:val="99"/>
    <w:semiHidden/>
    <w:unhideWhenUsed/>
    <w:rsid w:val="00933A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33AD7"/>
    <w:rPr>
      <w:sz w:val="20"/>
      <w:szCs w:val="20"/>
    </w:rPr>
  </w:style>
  <w:style w:type="character" w:styleId="FootnoteReference">
    <w:name w:val="footnote reference"/>
    <w:basedOn w:val="DefaultParagraphFont"/>
    <w:uiPriority w:val="99"/>
    <w:semiHidden/>
    <w:unhideWhenUsed/>
    <w:rsid w:val="00933AD7"/>
    <w:rPr>
      <w:vertAlign w:val="superscript"/>
    </w:rPr>
  </w:style>
  <w:style w:type="character" w:styleId="Hyperlink">
    <w:name w:val="Hyperlink"/>
    <w:basedOn w:val="DefaultParagraphFont"/>
    <w:uiPriority w:val="99"/>
    <w:unhideWhenUsed/>
    <w:rsid w:val="00145D61"/>
    <w:rPr>
      <w:color w:val="0563C1" w:themeColor="hyperlink"/>
      <w:u w:val="single"/>
    </w:rPr>
  </w:style>
  <w:style w:type="character" w:styleId="UnresolvedMention">
    <w:name w:val="Unresolved Mention"/>
    <w:basedOn w:val="DefaultParagraphFont"/>
    <w:uiPriority w:val="99"/>
    <w:semiHidden/>
    <w:unhideWhenUsed/>
    <w:rsid w:val="00145D61"/>
    <w:rPr>
      <w:color w:val="808080"/>
      <w:shd w:val="clear" w:color="auto" w:fill="E6E6E6"/>
    </w:rPr>
  </w:style>
  <w:style w:type="character" w:styleId="FollowedHyperlink">
    <w:name w:val="FollowedHyperlink"/>
    <w:basedOn w:val="DefaultParagraphFont"/>
    <w:uiPriority w:val="99"/>
    <w:semiHidden/>
    <w:unhideWhenUsed/>
    <w:rsid w:val="00145D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ds.org.uk/database/artefacts/record/id/81018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ds.org.uk/database/artefacts/record/id/829204" TargetMode="External"/><Relationship Id="rId5" Type="http://schemas.openxmlformats.org/officeDocument/2006/relationships/webSettings" Target="webSettings.xml"/><Relationship Id="rId10" Type="http://schemas.openxmlformats.org/officeDocument/2006/relationships/hyperlink" Target="https://finds.org.uk/database/artefacts/record/id/319672" TargetMode="External"/><Relationship Id="rId4" Type="http://schemas.openxmlformats.org/officeDocument/2006/relationships/settings" Target="settings.xml"/><Relationship Id="rId9" Type="http://schemas.openxmlformats.org/officeDocument/2006/relationships/hyperlink" Target="https://finds.org.uk/database/artefacts/record/id/3195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120E95-12BB-4CDD-8CE8-6D977ED05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2088</Words>
  <Characters>11907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Gedrych (1600772)</dc:creator>
  <cp:keywords/>
  <dc:description/>
  <cp:lastModifiedBy>Sam</cp:lastModifiedBy>
  <cp:revision>2</cp:revision>
  <dcterms:created xsi:type="dcterms:W3CDTF">2017-11-14T23:46:00Z</dcterms:created>
  <dcterms:modified xsi:type="dcterms:W3CDTF">2017-11-14T23:46:00Z</dcterms:modified>
</cp:coreProperties>
</file>