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DF48F3" w14:textId="77777777" w:rsidR="00170D68" w:rsidRPr="00732645" w:rsidRDefault="00170D68" w:rsidP="00170D68">
      <w:pPr>
        <w:spacing w:line="360" w:lineRule="auto"/>
        <w:jc w:val="both"/>
        <w:rPr>
          <w:rFonts w:ascii="Times New Roman" w:hAnsi="Times New Roman" w:cs="Times New Roman"/>
          <w:b/>
          <w:bCs/>
          <w:sz w:val="28"/>
          <w:szCs w:val="28"/>
        </w:rPr>
      </w:pPr>
      <w:bookmarkStart w:id="0" w:name="_GoBack"/>
      <w:r w:rsidRPr="00732645">
        <w:rPr>
          <w:rFonts w:ascii="Times New Roman" w:hAnsi="Times New Roman" w:cs="Times New Roman"/>
          <w:b/>
          <w:bCs/>
          <w:sz w:val="28"/>
          <w:szCs w:val="28"/>
        </w:rPr>
        <w:t>Textual Analysis of John 14:1-14</w:t>
      </w:r>
    </w:p>
    <w:bookmarkEnd w:id="0"/>
    <w:p w14:paraId="57FE77F4"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r w:rsidRPr="00732645">
        <w:rPr>
          <w:rFonts w:ascii="Times New Roman" w:hAnsi="Times New Roman" w:cs="Times New Roman"/>
          <w:sz w:val="28"/>
          <w:szCs w:val="28"/>
        </w:rPr>
        <w:t>In John 14, Jesus tells that his departure is now imminent. To tell them such sad news he starts by calming their hearts and giving them the tiding of the future: “</w:t>
      </w:r>
      <w:r w:rsidRPr="00732645">
        <w:rPr>
          <w:rFonts w:ascii="Times New Roman" w:eastAsia="Times New Roman" w:hAnsi="Times New Roman" w:cs="Times New Roman"/>
          <w:color w:val="000000"/>
          <w:sz w:val="28"/>
          <w:szCs w:val="28"/>
          <w:lang w:eastAsia="en-GB"/>
        </w:rPr>
        <w:t>Do not let your hearts be troubled. Believe in God, believe also in me. </w:t>
      </w:r>
      <w:r w:rsidRPr="00732645">
        <w:rPr>
          <w:rFonts w:ascii="Times New Roman" w:eastAsia="Times New Roman" w:hAnsi="Times New Roman" w:cs="Times New Roman"/>
          <w:color w:val="000000"/>
          <w:sz w:val="28"/>
          <w:szCs w:val="28"/>
          <w:vertAlign w:val="superscript"/>
          <w:lang w:eastAsia="en-GB"/>
        </w:rPr>
        <w:t> </w:t>
      </w:r>
      <w:r w:rsidRPr="00732645">
        <w:rPr>
          <w:rFonts w:ascii="Times New Roman" w:eastAsia="Times New Roman" w:hAnsi="Times New Roman" w:cs="Times New Roman"/>
          <w:color w:val="000000"/>
          <w:sz w:val="28"/>
          <w:szCs w:val="28"/>
          <w:lang w:eastAsia="en-GB"/>
        </w:rPr>
        <w:t>In my Father’s house there are many dwelling places. If it were not so, would I have told you that I go to prepare a place for you?</w:t>
      </w:r>
      <w:r w:rsidRPr="00732645">
        <w:rPr>
          <w:rFonts w:ascii="Times New Roman" w:eastAsia="Times New Roman" w:hAnsi="Times New Roman" w:cs="Times New Roman"/>
          <w:color w:val="000000"/>
          <w:sz w:val="28"/>
          <w:szCs w:val="28"/>
          <w:vertAlign w:val="superscript"/>
          <w:lang w:eastAsia="en-GB"/>
        </w:rPr>
        <w:t xml:space="preserve">” </w:t>
      </w:r>
      <w:r w:rsidRPr="00732645">
        <w:rPr>
          <w:rFonts w:ascii="Times New Roman" w:eastAsia="Times New Roman" w:hAnsi="Times New Roman" w:cs="Times New Roman"/>
          <w:color w:val="000000"/>
          <w:sz w:val="28"/>
          <w:szCs w:val="28"/>
          <w:lang w:eastAsia="en-GB"/>
        </w:rPr>
        <w:t>(John 14:1-2). This</w:t>
      </w:r>
      <w:r w:rsidRPr="00732645">
        <w:rPr>
          <w:rFonts w:ascii="Times New Roman" w:eastAsia="Times New Roman" w:hAnsi="Times New Roman" w:cs="Times New Roman"/>
          <w:color w:val="000000"/>
          <w:sz w:val="28"/>
          <w:szCs w:val="28"/>
          <w:vertAlign w:val="superscript"/>
          <w:lang w:eastAsia="en-GB"/>
        </w:rPr>
        <w:t xml:space="preserve"> </w:t>
      </w:r>
      <w:r w:rsidRPr="00732645">
        <w:rPr>
          <w:rFonts w:ascii="Times New Roman" w:eastAsia="Times New Roman" w:hAnsi="Times New Roman" w:cs="Times New Roman"/>
          <w:color w:val="000000"/>
          <w:sz w:val="28"/>
          <w:szCs w:val="28"/>
          <w:lang w:eastAsia="en-GB"/>
        </w:rPr>
        <w:t>is not only eschatological future, but another return of Jesus to the worldly life is promised: “I will come again and will take you to myself, so that where I am, there you may be also” (14:3) to gather his followers to accompany him in his dwelling with God.</w:t>
      </w:r>
      <w:r w:rsidRPr="00732645">
        <w:rPr>
          <w:rStyle w:val="FootnoteReference"/>
          <w:rFonts w:ascii="Times New Roman" w:eastAsia="Times New Roman" w:hAnsi="Times New Roman" w:cs="Times New Roman"/>
          <w:color w:val="000000"/>
          <w:sz w:val="28"/>
          <w:szCs w:val="28"/>
          <w:lang w:eastAsia="en-GB"/>
        </w:rPr>
        <w:footnoteReference w:id="1"/>
      </w:r>
      <w:r w:rsidRPr="00732645">
        <w:rPr>
          <w:rFonts w:ascii="Times New Roman" w:eastAsia="Times New Roman" w:hAnsi="Times New Roman" w:cs="Times New Roman"/>
          <w:color w:val="000000"/>
          <w:sz w:val="28"/>
          <w:szCs w:val="28"/>
          <w:lang w:eastAsia="en-GB"/>
        </w:rPr>
        <w:t>The command “Let not your hearts be troubled” suggests the grief and shock anticipated by the Jesus’ crucifixion (20:1,9,11-13,19). Jesus implicitly cautions his disciples not to break down like others (6:60,66; 8:30-31).</w:t>
      </w:r>
      <w:r w:rsidRPr="00732645">
        <w:rPr>
          <w:rStyle w:val="FootnoteReference"/>
          <w:rFonts w:ascii="Times New Roman" w:eastAsia="Times New Roman" w:hAnsi="Times New Roman" w:cs="Times New Roman"/>
          <w:color w:val="000000"/>
          <w:sz w:val="28"/>
          <w:szCs w:val="28"/>
          <w:lang w:eastAsia="en-GB"/>
        </w:rPr>
        <w:footnoteReference w:id="2"/>
      </w:r>
      <w:r w:rsidRPr="00732645">
        <w:rPr>
          <w:rFonts w:ascii="Times New Roman" w:eastAsia="Times New Roman" w:hAnsi="Times New Roman" w:cs="Times New Roman"/>
          <w:color w:val="000000"/>
          <w:sz w:val="28"/>
          <w:szCs w:val="28"/>
          <w:lang w:eastAsia="en-GB"/>
        </w:rPr>
        <w:t xml:space="preserve"> Even the period of absence is not left without guidance. Jesus tells some ways for his followers to know and experience his presence. Later, they all, Jesus and his disciples are returning to the father whose presence was mediated by Jesus, and subsequently he will be their medium to be in the presence of the father later.</w:t>
      </w:r>
      <w:r w:rsidRPr="00732645">
        <w:rPr>
          <w:rStyle w:val="FootnoteReference"/>
          <w:rFonts w:ascii="Times New Roman" w:eastAsia="Times New Roman" w:hAnsi="Times New Roman" w:cs="Times New Roman"/>
          <w:color w:val="000000"/>
          <w:sz w:val="28"/>
          <w:szCs w:val="28"/>
          <w:lang w:eastAsia="en-GB"/>
        </w:rPr>
        <w:footnoteReference w:id="3"/>
      </w:r>
    </w:p>
    <w:p w14:paraId="584CB836"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p>
    <w:p w14:paraId="1243D107"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r w:rsidRPr="00732645">
        <w:rPr>
          <w:rFonts w:ascii="Times New Roman" w:eastAsia="Times New Roman" w:hAnsi="Times New Roman" w:cs="Times New Roman"/>
          <w:color w:val="000000"/>
          <w:sz w:val="28"/>
          <w:szCs w:val="28"/>
          <w:lang w:eastAsia="en-GB"/>
        </w:rPr>
        <w:t xml:space="preserve">The New Testament regularly speaks of Jesus’ </w:t>
      </w:r>
      <w:proofErr w:type="spellStart"/>
      <w:r w:rsidRPr="00732645">
        <w:rPr>
          <w:rFonts w:ascii="Times New Roman" w:eastAsia="Times New Roman" w:hAnsi="Times New Roman" w:cs="Times New Roman"/>
          <w:i/>
          <w:iCs/>
          <w:color w:val="000000"/>
          <w:sz w:val="28"/>
          <w:szCs w:val="28"/>
          <w:lang w:eastAsia="en-GB"/>
        </w:rPr>
        <w:t>pariosia</w:t>
      </w:r>
      <w:proofErr w:type="spellEnd"/>
      <w:r w:rsidRPr="00732645">
        <w:rPr>
          <w:rFonts w:ascii="Times New Roman" w:eastAsia="Times New Roman" w:hAnsi="Times New Roman" w:cs="Times New Roman"/>
          <w:i/>
          <w:iCs/>
          <w:color w:val="000000"/>
          <w:sz w:val="28"/>
          <w:szCs w:val="28"/>
          <w:lang w:eastAsia="en-GB"/>
        </w:rPr>
        <w:t xml:space="preserve"> </w:t>
      </w:r>
      <w:r w:rsidRPr="00732645">
        <w:rPr>
          <w:rFonts w:ascii="Times New Roman" w:eastAsia="Times New Roman" w:hAnsi="Times New Roman" w:cs="Times New Roman"/>
          <w:color w:val="000000"/>
          <w:sz w:val="28"/>
          <w:szCs w:val="28"/>
          <w:lang w:eastAsia="en-GB"/>
        </w:rPr>
        <w:t xml:space="preserve">(presence or coming), but this is the only statement where he clearly talks about coming </w:t>
      </w:r>
      <w:r w:rsidRPr="00732645">
        <w:rPr>
          <w:rFonts w:ascii="Times New Roman" w:eastAsia="Times New Roman" w:hAnsi="Times New Roman" w:cs="Times New Roman"/>
          <w:i/>
          <w:iCs/>
          <w:color w:val="000000"/>
          <w:sz w:val="28"/>
          <w:szCs w:val="28"/>
          <w:lang w:eastAsia="en-GB"/>
        </w:rPr>
        <w:t>again.</w:t>
      </w:r>
      <w:r w:rsidRPr="00732645">
        <w:rPr>
          <w:rFonts w:ascii="Times New Roman" w:eastAsia="Times New Roman" w:hAnsi="Times New Roman" w:cs="Times New Roman"/>
          <w:color w:val="000000"/>
          <w:sz w:val="28"/>
          <w:szCs w:val="28"/>
          <w:lang w:eastAsia="en-GB"/>
        </w:rPr>
        <w:t xml:space="preserve"> Jesus promises to return and to take his disciples to “my Father’s house”, seems to refer to the heavenly dwellings prepared for the righteous, so that they may be with him.</w:t>
      </w:r>
      <w:r w:rsidRPr="00732645">
        <w:rPr>
          <w:rStyle w:val="FootnoteReference"/>
          <w:rFonts w:ascii="Times New Roman" w:eastAsia="Times New Roman" w:hAnsi="Times New Roman" w:cs="Times New Roman"/>
          <w:color w:val="000000"/>
          <w:sz w:val="28"/>
          <w:szCs w:val="28"/>
          <w:lang w:eastAsia="en-GB"/>
        </w:rPr>
        <w:footnoteReference w:id="4"/>
      </w:r>
      <w:r w:rsidRPr="00732645">
        <w:rPr>
          <w:rFonts w:ascii="Times New Roman" w:eastAsia="Times New Roman" w:hAnsi="Times New Roman" w:cs="Times New Roman"/>
          <w:color w:val="000000"/>
          <w:sz w:val="28"/>
          <w:szCs w:val="28"/>
          <w:lang w:eastAsia="en-GB"/>
        </w:rPr>
        <w:t xml:space="preserve"> It explicitly promises that his future coming will complete the work of gathering “the scattered children of God” (11:52).</w:t>
      </w:r>
      <w:r w:rsidRPr="00732645">
        <w:rPr>
          <w:rStyle w:val="FootnoteReference"/>
          <w:rFonts w:ascii="Times New Roman" w:eastAsia="Times New Roman" w:hAnsi="Times New Roman" w:cs="Times New Roman"/>
          <w:color w:val="000000"/>
          <w:sz w:val="28"/>
          <w:szCs w:val="28"/>
          <w:lang w:eastAsia="en-GB"/>
        </w:rPr>
        <w:footnoteReference w:id="5"/>
      </w:r>
    </w:p>
    <w:p w14:paraId="4EB6B21D"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p>
    <w:p w14:paraId="51DBE1B1" w14:textId="77777777" w:rsidR="00170D68"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r w:rsidRPr="00732645">
        <w:rPr>
          <w:rFonts w:ascii="Times New Roman" w:eastAsia="Times New Roman" w:hAnsi="Times New Roman" w:cs="Times New Roman"/>
          <w:color w:val="000000"/>
          <w:sz w:val="28"/>
          <w:szCs w:val="28"/>
          <w:lang w:eastAsia="en-GB"/>
        </w:rPr>
        <w:t>The misunderstandings of the secondary characters of the Fourth Gospel, Peter and Thomas in John 13 and 14 respectively, promote potentials for the narrative to explain the meaning of the words of Jesus and to develop further central motifs. Their effect on the recipient of the text is greater than if the meaning had merely been stated directly at the outset.</w:t>
      </w:r>
      <w:r>
        <w:rPr>
          <w:rStyle w:val="FootnoteReference"/>
          <w:rFonts w:ascii="Times New Roman" w:eastAsia="Times New Roman" w:hAnsi="Times New Roman" w:cs="Times New Roman"/>
          <w:color w:val="000000"/>
          <w:sz w:val="28"/>
          <w:szCs w:val="28"/>
          <w:lang w:eastAsia="en-GB"/>
        </w:rPr>
        <w:footnoteReference w:id="6"/>
      </w:r>
      <w:r w:rsidRPr="00732645">
        <w:rPr>
          <w:rFonts w:ascii="Times New Roman" w:eastAsia="Times New Roman" w:hAnsi="Times New Roman" w:cs="Times New Roman"/>
          <w:color w:val="000000"/>
          <w:sz w:val="28"/>
          <w:szCs w:val="28"/>
          <w:lang w:eastAsia="en-GB"/>
        </w:rPr>
        <w:t xml:space="preserve"> </w:t>
      </w:r>
    </w:p>
    <w:p w14:paraId="7B6E375D" w14:textId="77777777" w:rsidR="00170D68" w:rsidRPr="00B81D69"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p>
    <w:p w14:paraId="4E4ED27C" w14:textId="77777777" w:rsidR="00170D68"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r w:rsidRPr="00732645">
        <w:rPr>
          <w:rFonts w:ascii="Times New Roman" w:eastAsia="Times New Roman" w:hAnsi="Times New Roman" w:cs="Times New Roman"/>
          <w:color w:val="000000"/>
          <w:sz w:val="28"/>
          <w:szCs w:val="28"/>
          <w:lang w:eastAsia="en-GB"/>
        </w:rPr>
        <w:t xml:space="preserve">In </w:t>
      </w:r>
      <w:r>
        <w:rPr>
          <w:rFonts w:ascii="Times New Roman" w:eastAsia="Times New Roman" w:hAnsi="Times New Roman" w:cs="Times New Roman"/>
          <w:color w:val="000000"/>
          <w:sz w:val="28"/>
          <w:szCs w:val="28"/>
          <w:lang w:eastAsia="en-GB"/>
        </w:rPr>
        <w:t xml:space="preserve">his </w:t>
      </w:r>
      <w:r w:rsidRPr="00732645">
        <w:rPr>
          <w:rFonts w:ascii="Times New Roman" w:eastAsia="Times New Roman" w:hAnsi="Times New Roman" w:cs="Times New Roman"/>
          <w:color w:val="000000"/>
          <w:sz w:val="28"/>
          <w:szCs w:val="28"/>
          <w:lang w:eastAsia="en-GB"/>
        </w:rPr>
        <w:t>answer to Peter's question</w:t>
      </w:r>
      <w:r>
        <w:rPr>
          <w:rFonts w:ascii="Times New Roman" w:eastAsia="Times New Roman" w:hAnsi="Times New Roman" w:cs="Times New Roman"/>
          <w:color w:val="000000"/>
          <w:sz w:val="28"/>
          <w:szCs w:val="28"/>
          <w:lang w:eastAsia="en-GB"/>
        </w:rPr>
        <w:t xml:space="preserve"> about his destination in John 13</w:t>
      </w:r>
      <w:r w:rsidRPr="00732645">
        <w:rPr>
          <w:rFonts w:ascii="Times New Roman" w:eastAsia="Times New Roman" w:hAnsi="Times New Roman" w:cs="Times New Roman"/>
          <w:color w:val="000000"/>
          <w:sz w:val="28"/>
          <w:szCs w:val="28"/>
          <w:lang w:eastAsia="en-GB"/>
        </w:rPr>
        <w:t>,</w:t>
      </w:r>
      <w:r>
        <w:rPr>
          <w:rFonts w:ascii="Times New Roman" w:eastAsia="Times New Roman" w:hAnsi="Times New Roman" w:cs="Times New Roman"/>
          <w:color w:val="000000"/>
          <w:sz w:val="28"/>
          <w:szCs w:val="28"/>
          <w:lang w:eastAsia="en-GB"/>
        </w:rPr>
        <w:t xml:space="preserve"> </w:t>
      </w:r>
      <w:r w:rsidRPr="00732645">
        <w:rPr>
          <w:rFonts w:ascii="Times New Roman" w:eastAsia="Times New Roman" w:hAnsi="Times New Roman" w:cs="Times New Roman"/>
          <w:color w:val="000000"/>
          <w:sz w:val="28"/>
          <w:szCs w:val="28"/>
          <w:lang w:eastAsia="en-GB"/>
        </w:rPr>
        <w:t xml:space="preserve">Jesus responds with a variation of what he had said to the Jews earlier: </w:t>
      </w:r>
      <w:r w:rsidRPr="00B40499">
        <w:rPr>
          <w:rFonts w:ascii="Times New Roman" w:eastAsia="Times New Roman" w:hAnsi="Times New Roman" w:cs="Times New Roman"/>
          <w:color w:val="000000"/>
          <w:sz w:val="28"/>
          <w:szCs w:val="28"/>
          <w:lang w:eastAsia="en-GB"/>
        </w:rPr>
        <w:t>“Where I am going, you cannot follow me now; but you will follow afterward”</w:t>
      </w:r>
      <w:r>
        <w:rPr>
          <w:rFonts w:ascii="Times New Roman" w:eastAsia="Times New Roman" w:hAnsi="Times New Roman" w:cs="Times New Roman"/>
          <w:color w:val="000000"/>
          <w:sz w:val="28"/>
          <w:szCs w:val="28"/>
          <w:lang w:eastAsia="en-GB"/>
        </w:rPr>
        <w:t xml:space="preserve"> </w:t>
      </w:r>
      <w:r w:rsidRPr="00732645">
        <w:rPr>
          <w:rFonts w:ascii="Times New Roman" w:eastAsia="Times New Roman" w:hAnsi="Times New Roman" w:cs="Times New Roman"/>
          <w:color w:val="000000"/>
          <w:sz w:val="28"/>
          <w:szCs w:val="28"/>
          <w:lang w:eastAsia="en-GB"/>
        </w:rPr>
        <w:t>With great irony, Peter asks why he cannot follow Jesus: "</w:t>
      </w:r>
      <w:r>
        <w:rPr>
          <w:rFonts w:ascii="Verdana" w:hAnsi="Verdana"/>
          <w:color w:val="000000"/>
          <w:shd w:val="clear" w:color="auto" w:fill="FFFFFF"/>
        </w:rPr>
        <w:t>I will lay down my life for you</w:t>
      </w:r>
      <w:r w:rsidRPr="00732645">
        <w:rPr>
          <w:rFonts w:ascii="Times New Roman" w:eastAsia="Times New Roman" w:hAnsi="Times New Roman" w:cs="Times New Roman"/>
          <w:color w:val="000000"/>
          <w:sz w:val="28"/>
          <w:szCs w:val="28"/>
          <w:lang w:eastAsia="en-GB"/>
        </w:rPr>
        <w:t xml:space="preserve">" (John:13:36-38). That of course is precisely what Jesus is talking about, but Peter does not realize it and in fact is not as ready to lay down his life as he thinks. Thomas is the next one who asks: "Lord, we do not know where you are going; how can we know the way?" (John 14: 5). </w:t>
      </w:r>
    </w:p>
    <w:p w14:paraId="40EDC7DF"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p>
    <w:p w14:paraId="7D199445"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Despite</w:t>
      </w:r>
      <w:r w:rsidRPr="00732645">
        <w:rPr>
          <w:rFonts w:ascii="Times New Roman" w:eastAsia="Times New Roman" w:hAnsi="Times New Roman" w:cs="Times New Roman"/>
          <w:color w:val="000000"/>
          <w:sz w:val="28"/>
          <w:szCs w:val="28"/>
          <w:lang w:eastAsia="en-GB"/>
        </w:rPr>
        <w:t xml:space="preserve"> the implicit reference to his death in 13:1 that “his hour has come” to go to the Father, they still do not understand him. Even after he stresses that they knew the place to where he is going, Thomas is still asking: “Lord, we do not know where you are going. How can we know the way?” (John 14:5). Jesus explains by offering a metaphorical statement: "I am the way, and the truth, and the life; no one comes to the Father, but by me." Philip challenges Jesus' answer with some impatience: "Lord, show us the Father, and we shall be satisfied." He has failed to understand Jesus' answer to Thomas, and a great deal of Jesus' earlier </w:t>
      </w:r>
      <w:r w:rsidRPr="00732645">
        <w:rPr>
          <w:rFonts w:ascii="Times New Roman" w:eastAsia="Times New Roman" w:hAnsi="Times New Roman" w:cs="Times New Roman"/>
          <w:color w:val="000000"/>
          <w:sz w:val="28"/>
          <w:szCs w:val="28"/>
          <w:lang w:eastAsia="en-GB"/>
        </w:rPr>
        <w:lastRenderedPageBreak/>
        <w:t>discourse as well. Jesus responds rather pointedly: "Have I been with you so long, and yet you do not know me, Philip?"</w:t>
      </w:r>
      <w:r>
        <w:rPr>
          <w:rStyle w:val="FootnoteReference"/>
          <w:rFonts w:ascii="Times New Roman" w:eastAsia="Times New Roman" w:hAnsi="Times New Roman" w:cs="Times New Roman"/>
          <w:color w:val="000000"/>
          <w:sz w:val="28"/>
          <w:szCs w:val="28"/>
          <w:lang w:eastAsia="en-GB"/>
        </w:rPr>
        <w:footnoteReference w:id="7"/>
      </w:r>
    </w:p>
    <w:p w14:paraId="595A083C" w14:textId="77777777" w:rsidR="00170D68"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p>
    <w:p w14:paraId="6DFAD8A9"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r w:rsidRPr="00732645">
        <w:rPr>
          <w:rFonts w:ascii="Times New Roman" w:eastAsia="Times New Roman" w:hAnsi="Times New Roman" w:cs="Times New Roman"/>
          <w:color w:val="000000"/>
          <w:sz w:val="28"/>
          <w:szCs w:val="28"/>
          <w:lang w:eastAsia="en-GB"/>
        </w:rPr>
        <w:t>Instead of direct answer to his question, Jesus tells how the others, not himself, come to Father: through him. Implicitly then, Jesus interprets his death and resurrection, the means by which he returns to Father, as the bath by which other come to the Father.</w:t>
      </w:r>
      <w:r>
        <w:rPr>
          <w:rStyle w:val="FootnoteReference"/>
          <w:rFonts w:ascii="Times New Roman" w:eastAsia="Times New Roman" w:hAnsi="Times New Roman" w:cs="Times New Roman"/>
          <w:color w:val="000000"/>
          <w:sz w:val="28"/>
          <w:szCs w:val="28"/>
          <w:lang w:eastAsia="en-GB"/>
        </w:rPr>
        <w:footnoteReference w:id="8"/>
      </w:r>
      <w:r>
        <w:rPr>
          <w:rFonts w:ascii="Times New Roman" w:eastAsia="Times New Roman" w:hAnsi="Times New Roman" w:cs="Times New Roman"/>
          <w:color w:val="000000"/>
          <w:sz w:val="28"/>
          <w:szCs w:val="28"/>
          <w:lang w:eastAsia="en-GB"/>
        </w:rPr>
        <w:t xml:space="preserve"> </w:t>
      </w:r>
      <w:r w:rsidRPr="00732645">
        <w:rPr>
          <w:rFonts w:ascii="Times New Roman" w:eastAsia="Times New Roman" w:hAnsi="Times New Roman" w:cs="Times New Roman"/>
          <w:color w:val="000000"/>
          <w:sz w:val="28"/>
          <w:szCs w:val="28"/>
          <w:lang w:eastAsia="en-GB"/>
        </w:rPr>
        <w:t xml:space="preserve">In one of the Gospel’s distinctive “I am” statements, Jesus identifies himself as “the way and the truth and the life” (John 14:6). The interpretation of this statement is provided in the lines below, and its interfaith implications is discussed </w:t>
      </w:r>
      <w:proofErr w:type="gramStart"/>
      <w:r w:rsidRPr="00732645">
        <w:rPr>
          <w:rFonts w:ascii="Times New Roman" w:eastAsia="Times New Roman" w:hAnsi="Times New Roman" w:cs="Times New Roman"/>
          <w:color w:val="000000"/>
          <w:sz w:val="28"/>
          <w:szCs w:val="28"/>
          <w:lang w:eastAsia="en-GB"/>
        </w:rPr>
        <w:t>later on</w:t>
      </w:r>
      <w:proofErr w:type="gramEnd"/>
      <w:r w:rsidRPr="00732645">
        <w:rPr>
          <w:rFonts w:ascii="Times New Roman" w:eastAsia="Times New Roman" w:hAnsi="Times New Roman" w:cs="Times New Roman"/>
          <w:color w:val="000000"/>
          <w:sz w:val="28"/>
          <w:szCs w:val="28"/>
          <w:lang w:eastAsia="en-GB"/>
        </w:rPr>
        <w:t xml:space="preserve"> in the second part of this essay.</w:t>
      </w:r>
    </w:p>
    <w:p w14:paraId="4B56B6B1" w14:textId="77777777" w:rsidR="00170D68" w:rsidRDefault="00170D68" w:rsidP="00170D68">
      <w:pPr>
        <w:shd w:val="clear" w:color="auto" w:fill="FFFFFF"/>
        <w:spacing w:after="150" w:line="360" w:lineRule="auto"/>
        <w:jc w:val="both"/>
        <w:rPr>
          <w:rFonts w:ascii="Times New Roman" w:eastAsia="Times New Roman" w:hAnsi="Times New Roman" w:cs="Times New Roman"/>
          <w:color w:val="000000"/>
          <w:sz w:val="28"/>
          <w:szCs w:val="28"/>
          <w:lang w:eastAsia="en-GB"/>
        </w:rPr>
      </w:pPr>
    </w:p>
    <w:p w14:paraId="58AB8256"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b/>
          <w:bCs/>
          <w:color w:val="000000"/>
          <w:sz w:val="28"/>
          <w:szCs w:val="28"/>
          <w:lang w:eastAsia="en-GB"/>
        </w:rPr>
      </w:pPr>
      <w:r w:rsidRPr="00732645">
        <w:rPr>
          <w:rFonts w:ascii="Times New Roman" w:eastAsia="Times New Roman" w:hAnsi="Times New Roman" w:cs="Times New Roman"/>
          <w:b/>
          <w:bCs/>
          <w:color w:val="000000"/>
          <w:sz w:val="28"/>
          <w:szCs w:val="28"/>
          <w:lang w:eastAsia="en-GB"/>
        </w:rPr>
        <w:t xml:space="preserve">“I Am” Statement and its Interpretation  </w:t>
      </w:r>
    </w:p>
    <w:p w14:paraId="46B3F582" w14:textId="77777777" w:rsidR="00170D68" w:rsidRPr="00732645" w:rsidRDefault="00170D68" w:rsidP="00170D68">
      <w:pPr>
        <w:shd w:val="clear" w:color="auto" w:fill="FFFFFF"/>
        <w:spacing w:after="150" w:line="360" w:lineRule="auto"/>
        <w:jc w:val="both"/>
        <w:rPr>
          <w:rFonts w:ascii="Times New Roman" w:eastAsia="Times New Roman" w:hAnsi="Times New Roman" w:cs="Times New Roman"/>
          <w:b/>
          <w:bCs/>
          <w:color w:val="000000"/>
          <w:sz w:val="28"/>
          <w:szCs w:val="28"/>
          <w:lang w:eastAsia="en-GB"/>
        </w:rPr>
      </w:pPr>
    </w:p>
    <w:p w14:paraId="00DE5505" w14:textId="77777777" w:rsidR="00170D68" w:rsidRPr="00732645" w:rsidRDefault="00170D68" w:rsidP="00170D68">
      <w:pPr>
        <w:shd w:val="clear" w:color="auto" w:fill="FFFFFF"/>
        <w:spacing w:after="150" w:line="360" w:lineRule="auto"/>
        <w:jc w:val="both"/>
        <w:rPr>
          <w:rFonts w:ascii="Times New Roman" w:hAnsi="Times New Roman" w:cs="Times New Roman"/>
          <w:sz w:val="28"/>
          <w:szCs w:val="28"/>
        </w:rPr>
      </w:pPr>
      <w:r w:rsidRPr="00732645">
        <w:rPr>
          <w:rFonts w:ascii="Times New Roman" w:hAnsi="Times New Roman" w:cs="Times New Roman"/>
          <w:sz w:val="28"/>
          <w:szCs w:val="28"/>
        </w:rPr>
        <w:t xml:space="preserve">The use of “I Am” expression is unique in the Fourth Gospel to weave the ministry of Jesus into a dramatic manifestation of his real authority and power as the revelatory and salvific presence of God. Williams writes: </w:t>
      </w:r>
    </w:p>
    <w:p w14:paraId="6C705DA8" w14:textId="77777777" w:rsidR="00170D68" w:rsidRPr="00732645" w:rsidRDefault="00170D68" w:rsidP="00170D68">
      <w:pPr>
        <w:shd w:val="clear" w:color="auto" w:fill="FFFFFF"/>
        <w:spacing w:after="150" w:line="360" w:lineRule="auto"/>
        <w:ind w:left="720"/>
        <w:jc w:val="both"/>
        <w:rPr>
          <w:rFonts w:ascii="Times New Roman" w:hAnsi="Times New Roman" w:cs="Times New Roman"/>
          <w:sz w:val="28"/>
          <w:szCs w:val="28"/>
        </w:rPr>
      </w:pPr>
      <w:r w:rsidRPr="00732645">
        <w:rPr>
          <w:rFonts w:ascii="Times New Roman" w:hAnsi="Times New Roman" w:cs="Times New Roman"/>
          <w:sz w:val="28"/>
          <w:szCs w:val="28"/>
        </w:rPr>
        <w:t xml:space="preserve">the </w:t>
      </w:r>
      <w:proofErr w:type="spellStart"/>
      <w:r w:rsidRPr="00732645">
        <w:rPr>
          <w:rFonts w:ascii="Times New Roman" w:hAnsi="Times New Roman" w:cs="Times New Roman"/>
          <w:i/>
          <w:iCs/>
          <w:sz w:val="28"/>
          <w:szCs w:val="28"/>
        </w:rPr>
        <w:t>έγώ</w:t>
      </w:r>
      <w:proofErr w:type="spellEnd"/>
      <w:r w:rsidRPr="00732645">
        <w:rPr>
          <w:rFonts w:ascii="Times New Roman" w:hAnsi="Times New Roman" w:cs="Times New Roman"/>
          <w:i/>
          <w:iCs/>
          <w:sz w:val="28"/>
          <w:szCs w:val="28"/>
        </w:rPr>
        <w:t xml:space="preserve"> </w:t>
      </w:r>
      <w:proofErr w:type="spellStart"/>
      <w:r w:rsidRPr="00732645">
        <w:rPr>
          <w:rFonts w:ascii="Times New Roman" w:hAnsi="Times New Roman" w:cs="Times New Roman"/>
          <w:i/>
          <w:iCs/>
          <w:sz w:val="28"/>
          <w:szCs w:val="28"/>
        </w:rPr>
        <w:t>είμι</w:t>
      </w:r>
      <w:proofErr w:type="spellEnd"/>
      <w:r w:rsidRPr="00732645">
        <w:rPr>
          <w:rFonts w:ascii="Times New Roman" w:hAnsi="Times New Roman" w:cs="Times New Roman"/>
          <w:sz w:val="28"/>
          <w:szCs w:val="28"/>
        </w:rPr>
        <w:t xml:space="preserve"> (I AM) declaration most naturally tied to its context occurs during the early stages of Jesus' ministry (4:26), whereas the elusive character of </w:t>
      </w:r>
      <w:proofErr w:type="spellStart"/>
      <w:r w:rsidRPr="00732645">
        <w:rPr>
          <w:rFonts w:ascii="Times New Roman" w:hAnsi="Times New Roman" w:cs="Times New Roman"/>
          <w:i/>
          <w:iCs/>
          <w:sz w:val="28"/>
          <w:szCs w:val="28"/>
        </w:rPr>
        <w:t>έγώ</w:t>
      </w:r>
      <w:proofErr w:type="spellEnd"/>
      <w:r w:rsidRPr="00732645">
        <w:rPr>
          <w:rFonts w:ascii="Times New Roman" w:hAnsi="Times New Roman" w:cs="Times New Roman"/>
          <w:i/>
          <w:iCs/>
          <w:sz w:val="28"/>
          <w:szCs w:val="28"/>
        </w:rPr>
        <w:t xml:space="preserve"> </w:t>
      </w:r>
      <w:proofErr w:type="spellStart"/>
      <w:r w:rsidRPr="00732645">
        <w:rPr>
          <w:rFonts w:ascii="Times New Roman" w:hAnsi="Times New Roman" w:cs="Times New Roman"/>
          <w:i/>
          <w:iCs/>
          <w:sz w:val="28"/>
          <w:szCs w:val="28"/>
        </w:rPr>
        <w:t>είμι</w:t>
      </w:r>
      <w:proofErr w:type="spellEnd"/>
      <w:r w:rsidRPr="00732645">
        <w:rPr>
          <w:rFonts w:ascii="Times New Roman" w:hAnsi="Times New Roman" w:cs="Times New Roman"/>
          <w:sz w:val="28"/>
          <w:szCs w:val="28"/>
        </w:rPr>
        <w:t xml:space="preserve"> plays an integral part in the depiction of increasing opposition to Jesus' claims about his identity and origin (8:24, 28, 58). Jesus' prediction to his disciples, within the context of the 'hour', prepares them for the true significance of </w:t>
      </w:r>
      <w:proofErr w:type="spellStart"/>
      <w:r w:rsidRPr="00732645">
        <w:rPr>
          <w:rFonts w:ascii="Times New Roman" w:hAnsi="Times New Roman" w:cs="Times New Roman"/>
          <w:i/>
          <w:iCs/>
          <w:sz w:val="28"/>
          <w:szCs w:val="28"/>
        </w:rPr>
        <w:t>έγώ</w:t>
      </w:r>
      <w:proofErr w:type="spellEnd"/>
      <w:r w:rsidRPr="00732645">
        <w:rPr>
          <w:rFonts w:ascii="Times New Roman" w:hAnsi="Times New Roman" w:cs="Times New Roman"/>
          <w:i/>
          <w:iCs/>
          <w:sz w:val="28"/>
          <w:szCs w:val="28"/>
        </w:rPr>
        <w:t xml:space="preserve"> </w:t>
      </w:r>
      <w:proofErr w:type="spellStart"/>
      <w:r w:rsidRPr="00732645">
        <w:rPr>
          <w:rFonts w:ascii="Times New Roman" w:hAnsi="Times New Roman" w:cs="Times New Roman"/>
          <w:i/>
          <w:iCs/>
          <w:sz w:val="28"/>
          <w:szCs w:val="28"/>
        </w:rPr>
        <w:t>είμι</w:t>
      </w:r>
      <w:proofErr w:type="spellEnd"/>
      <w:r w:rsidRPr="00732645">
        <w:rPr>
          <w:rFonts w:ascii="Times New Roman" w:hAnsi="Times New Roman" w:cs="Times New Roman"/>
          <w:sz w:val="28"/>
          <w:szCs w:val="28"/>
        </w:rPr>
        <w:t xml:space="preserve"> (13:19), reaching its culmination in the arrest scene.</w:t>
      </w:r>
      <w:r w:rsidRPr="00732645">
        <w:rPr>
          <w:rStyle w:val="FootnoteReference"/>
          <w:rFonts w:ascii="Times New Roman" w:hAnsi="Times New Roman" w:cs="Times New Roman"/>
          <w:sz w:val="28"/>
          <w:szCs w:val="28"/>
        </w:rPr>
        <w:footnoteReference w:id="9"/>
      </w:r>
    </w:p>
    <w:p w14:paraId="2DC5E2C1" w14:textId="77777777" w:rsidR="00170D68" w:rsidRPr="00732645" w:rsidRDefault="00170D68" w:rsidP="00170D68">
      <w:pPr>
        <w:shd w:val="clear" w:color="auto" w:fill="FFFFFF"/>
        <w:spacing w:after="150" w:line="360" w:lineRule="auto"/>
        <w:jc w:val="both"/>
        <w:rPr>
          <w:rFonts w:ascii="Times New Roman" w:hAnsi="Times New Roman" w:cs="Times New Roman"/>
          <w:sz w:val="28"/>
          <w:szCs w:val="28"/>
        </w:rPr>
      </w:pPr>
      <w:r w:rsidRPr="00732645">
        <w:rPr>
          <w:rFonts w:ascii="Times New Roman" w:eastAsia="Times New Roman" w:hAnsi="Times New Roman" w:cs="Times New Roman"/>
          <w:color w:val="000000"/>
          <w:sz w:val="28"/>
          <w:szCs w:val="28"/>
          <w:lang w:eastAsia="en-GB"/>
        </w:rPr>
        <w:lastRenderedPageBreak/>
        <w:t>In the passage under discussion, the distinctive expression I am is repeated three times: (John 14: 6, 10, 11). The most important is the first one where Jesus identifies himself as “the way and the truth and the life.” Thompson suggests that the link between these three nominatives could be understood as three distinct predications regarding Jesus, but the comment “No one comes to the Father but by me” make it better to be read as “I am the way that leads to truth and life.”</w:t>
      </w:r>
      <w:r>
        <w:rPr>
          <w:rStyle w:val="FootnoteReference"/>
          <w:rFonts w:ascii="Times New Roman" w:eastAsia="Times New Roman" w:hAnsi="Times New Roman" w:cs="Times New Roman"/>
          <w:color w:val="000000"/>
          <w:sz w:val="28"/>
          <w:szCs w:val="28"/>
          <w:lang w:eastAsia="en-GB"/>
        </w:rPr>
        <w:footnoteReference w:id="10"/>
      </w:r>
      <w:r w:rsidRPr="00732645">
        <w:rPr>
          <w:rFonts w:ascii="Times New Roman" w:eastAsia="Times New Roman" w:hAnsi="Times New Roman" w:cs="Times New Roman"/>
          <w:color w:val="000000"/>
          <w:sz w:val="28"/>
          <w:szCs w:val="28"/>
          <w:lang w:eastAsia="en-GB"/>
        </w:rPr>
        <w:t xml:space="preserve"> </w:t>
      </w:r>
      <w:r w:rsidRPr="00732645">
        <w:rPr>
          <w:rFonts w:ascii="Times New Roman" w:hAnsi="Times New Roman" w:cs="Times New Roman"/>
          <w:sz w:val="28"/>
          <w:szCs w:val="28"/>
        </w:rPr>
        <w:t>The assertion that Jesus is the “way to the Father” is the result of, and gives expression to, Johannine Christology; Jesus is not only one among many prophets and agents who tell the truth, but he is God’s own Word, embodied.</w:t>
      </w:r>
      <w:r>
        <w:rPr>
          <w:rStyle w:val="FootnoteReference"/>
          <w:rFonts w:ascii="Times New Roman" w:hAnsi="Times New Roman" w:cs="Times New Roman"/>
          <w:sz w:val="28"/>
          <w:szCs w:val="28"/>
        </w:rPr>
        <w:footnoteReference w:id="11"/>
      </w:r>
      <w:r w:rsidRPr="00732645">
        <w:rPr>
          <w:rFonts w:ascii="Times New Roman" w:hAnsi="Times New Roman" w:cs="Times New Roman"/>
          <w:sz w:val="28"/>
          <w:szCs w:val="28"/>
        </w:rPr>
        <w:t xml:space="preserve"> </w:t>
      </w:r>
    </w:p>
    <w:p w14:paraId="1B98DAB6" w14:textId="77777777" w:rsidR="00170D68" w:rsidRPr="00732645" w:rsidRDefault="00170D68" w:rsidP="00170D68">
      <w:pPr>
        <w:shd w:val="clear" w:color="auto" w:fill="FFFFFF"/>
        <w:spacing w:after="150" w:line="360" w:lineRule="auto"/>
        <w:jc w:val="both"/>
        <w:rPr>
          <w:rFonts w:ascii="Times New Roman" w:hAnsi="Times New Roman" w:cs="Times New Roman"/>
          <w:sz w:val="28"/>
          <w:szCs w:val="28"/>
        </w:rPr>
      </w:pPr>
    </w:p>
    <w:p w14:paraId="520B2E5D" w14:textId="77777777" w:rsidR="00170D68" w:rsidRPr="00732645" w:rsidRDefault="00170D68" w:rsidP="00170D68">
      <w:pPr>
        <w:shd w:val="clear" w:color="auto" w:fill="FFFFFF"/>
        <w:spacing w:after="150" w:line="360" w:lineRule="auto"/>
        <w:jc w:val="both"/>
        <w:rPr>
          <w:rFonts w:ascii="Times New Roman" w:hAnsi="Times New Roman" w:cs="Times New Roman"/>
          <w:sz w:val="28"/>
          <w:szCs w:val="28"/>
        </w:rPr>
      </w:pPr>
      <w:r w:rsidRPr="00732645">
        <w:rPr>
          <w:rFonts w:ascii="Times New Roman" w:hAnsi="Times New Roman" w:cs="Times New Roman"/>
          <w:sz w:val="28"/>
          <w:szCs w:val="28"/>
        </w:rPr>
        <w:t xml:space="preserve">Koester </w:t>
      </w:r>
      <w:r>
        <w:rPr>
          <w:rFonts w:ascii="Times New Roman" w:hAnsi="Times New Roman" w:cs="Times New Roman"/>
          <w:sz w:val="28"/>
          <w:szCs w:val="28"/>
        </w:rPr>
        <w:t xml:space="preserve">as well </w:t>
      </w:r>
      <w:r w:rsidRPr="00732645">
        <w:rPr>
          <w:rFonts w:ascii="Times New Roman" w:hAnsi="Times New Roman" w:cs="Times New Roman"/>
          <w:sz w:val="28"/>
          <w:szCs w:val="28"/>
        </w:rPr>
        <w:t>see</w:t>
      </w:r>
      <w:r>
        <w:rPr>
          <w:rFonts w:ascii="Times New Roman" w:hAnsi="Times New Roman" w:cs="Times New Roman"/>
          <w:sz w:val="28"/>
          <w:szCs w:val="28"/>
        </w:rPr>
        <w:t>s</w:t>
      </w:r>
      <w:r w:rsidRPr="00732645">
        <w:rPr>
          <w:rFonts w:ascii="Times New Roman" w:hAnsi="Times New Roman" w:cs="Times New Roman"/>
          <w:sz w:val="28"/>
          <w:szCs w:val="28"/>
        </w:rPr>
        <w:t xml:space="preserve"> a link between the “I Am” expression and the way through which God had revealed himself to Moses at the burning bush by saying “</w:t>
      </w:r>
      <w:r w:rsidRPr="00732645">
        <w:rPr>
          <w:rFonts w:ascii="Times New Roman" w:hAnsi="Times New Roman" w:cs="Times New Roman"/>
          <w:color w:val="000000"/>
          <w:sz w:val="28"/>
          <w:szCs w:val="28"/>
          <w:shd w:val="clear" w:color="auto" w:fill="FFFFFF"/>
        </w:rPr>
        <w:t>I </w:t>
      </w:r>
      <w:r w:rsidRPr="00732645">
        <w:rPr>
          <w:rStyle w:val="small-caps"/>
          <w:rFonts w:ascii="Times New Roman" w:hAnsi="Times New Roman" w:cs="Times New Roman"/>
          <w:smallCaps/>
          <w:color w:val="000000"/>
          <w:sz w:val="28"/>
          <w:szCs w:val="28"/>
          <w:shd w:val="clear" w:color="auto" w:fill="FFFFFF"/>
        </w:rPr>
        <w:t>am who</w:t>
      </w:r>
      <w:r w:rsidRPr="00732645">
        <w:rPr>
          <w:rFonts w:ascii="Times New Roman" w:hAnsi="Times New Roman" w:cs="Times New Roman"/>
          <w:color w:val="000000"/>
          <w:sz w:val="28"/>
          <w:szCs w:val="28"/>
          <w:shd w:val="clear" w:color="auto" w:fill="FFFFFF"/>
        </w:rPr>
        <w:t> I </w:t>
      </w:r>
      <w:r w:rsidRPr="00732645">
        <w:rPr>
          <w:rStyle w:val="small-caps"/>
          <w:rFonts w:ascii="Times New Roman" w:hAnsi="Times New Roman" w:cs="Times New Roman"/>
          <w:smallCaps/>
          <w:color w:val="000000"/>
          <w:sz w:val="28"/>
          <w:szCs w:val="28"/>
          <w:shd w:val="clear" w:color="auto" w:fill="FFFFFF"/>
        </w:rPr>
        <w:t>am</w:t>
      </w:r>
      <w:r w:rsidRPr="00732645">
        <w:rPr>
          <w:rFonts w:ascii="Times New Roman" w:hAnsi="Times New Roman" w:cs="Times New Roman"/>
          <w:color w:val="000000"/>
          <w:sz w:val="28"/>
          <w:szCs w:val="28"/>
          <w:shd w:val="clear" w:color="auto" w:fill="FFFFFF"/>
        </w:rPr>
        <w:t>” (</w:t>
      </w:r>
      <w:proofErr w:type="spellStart"/>
      <w:r w:rsidRPr="00732645">
        <w:rPr>
          <w:rFonts w:ascii="Times New Roman" w:hAnsi="Times New Roman" w:cs="Times New Roman"/>
          <w:color w:val="000000"/>
          <w:sz w:val="28"/>
          <w:szCs w:val="28"/>
          <w:shd w:val="clear" w:color="auto" w:fill="FFFFFF"/>
        </w:rPr>
        <w:t>Exod</w:t>
      </w:r>
      <w:proofErr w:type="spellEnd"/>
      <w:r w:rsidRPr="00732645">
        <w:rPr>
          <w:rFonts w:ascii="Times New Roman" w:hAnsi="Times New Roman" w:cs="Times New Roman"/>
          <w:color w:val="000000"/>
          <w:sz w:val="28"/>
          <w:szCs w:val="28"/>
          <w:shd w:val="clear" w:color="auto" w:fill="FFFFFF"/>
        </w:rPr>
        <w:t xml:space="preserve"> 3:14). So, according to him, the connotation of the “I Am” expression has been developed through Fourth Gospel, so that when Jesus says: “I Am”, he does not only </w:t>
      </w:r>
      <w:proofErr w:type="gramStart"/>
      <w:r w:rsidRPr="00732645">
        <w:rPr>
          <w:rFonts w:ascii="Times New Roman" w:hAnsi="Times New Roman" w:cs="Times New Roman"/>
          <w:color w:val="000000"/>
          <w:sz w:val="28"/>
          <w:szCs w:val="28"/>
          <w:shd w:val="clear" w:color="auto" w:fill="FFFFFF"/>
        </w:rPr>
        <w:t>defines</w:t>
      </w:r>
      <w:proofErr w:type="gramEnd"/>
      <w:r w:rsidRPr="00732645">
        <w:rPr>
          <w:rFonts w:ascii="Times New Roman" w:hAnsi="Times New Roman" w:cs="Times New Roman"/>
          <w:color w:val="000000"/>
          <w:sz w:val="28"/>
          <w:szCs w:val="28"/>
          <w:shd w:val="clear" w:color="auto" w:fill="FFFFFF"/>
        </w:rPr>
        <w:t xml:space="preserve"> himself, but he implicitly reveals God’s power and presence.</w:t>
      </w:r>
      <w:r w:rsidRPr="00732645">
        <w:rPr>
          <w:rFonts w:ascii="Times New Roman" w:hAnsi="Times New Roman" w:cs="Times New Roman"/>
          <w:color w:val="000000"/>
          <w:sz w:val="28"/>
          <w:szCs w:val="28"/>
          <w:shd w:val="clear" w:color="auto" w:fill="FFFFFF"/>
          <w:rtl/>
          <w:lang w:bidi="ar-EG"/>
        </w:rPr>
        <w:t xml:space="preserve"> </w:t>
      </w:r>
      <w:r w:rsidRPr="00732645">
        <w:rPr>
          <w:rFonts w:ascii="Times New Roman" w:hAnsi="Times New Roman" w:cs="Times New Roman"/>
          <w:sz w:val="28"/>
          <w:szCs w:val="28"/>
        </w:rPr>
        <w:t>Koester further explains that the “I Am” expression in the first half of the saying echoes the name of God and “I Am” passage in John’s Gospel indicates that God is made known in Christ.</w:t>
      </w:r>
      <w:r>
        <w:rPr>
          <w:rStyle w:val="FootnoteReference"/>
          <w:rFonts w:ascii="Times New Roman" w:hAnsi="Times New Roman" w:cs="Times New Roman"/>
          <w:sz w:val="28"/>
          <w:szCs w:val="28"/>
        </w:rPr>
        <w:footnoteReference w:id="12"/>
      </w:r>
      <w:r w:rsidRPr="00732645">
        <w:rPr>
          <w:rFonts w:ascii="Times New Roman" w:hAnsi="Times New Roman" w:cs="Times New Roman"/>
          <w:sz w:val="28"/>
          <w:szCs w:val="28"/>
        </w:rPr>
        <w:t xml:space="preserve"> The statement </w:t>
      </w:r>
      <w:r w:rsidRPr="00E77204">
        <w:rPr>
          <w:rFonts w:ascii="Times New Roman" w:hAnsi="Times New Roman" w:cs="Times New Roman"/>
          <w:sz w:val="28"/>
          <w:szCs w:val="28"/>
        </w:rPr>
        <w:t>“from now on”</w:t>
      </w:r>
      <w:r w:rsidRPr="00732645">
        <w:rPr>
          <w:rFonts w:ascii="Times New Roman" w:hAnsi="Times New Roman" w:cs="Times New Roman"/>
          <w:b/>
          <w:bCs/>
          <w:sz w:val="28"/>
          <w:szCs w:val="28"/>
        </w:rPr>
        <w:t xml:space="preserve"> </w:t>
      </w:r>
      <w:r w:rsidRPr="00732645">
        <w:rPr>
          <w:rFonts w:ascii="Times New Roman" w:hAnsi="Times New Roman" w:cs="Times New Roman"/>
          <w:sz w:val="28"/>
          <w:szCs w:val="28"/>
        </w:rPr>
        <w:t xml:space="preserve">(John 14:7) signals the imminent actualization of the conditions necessary for understanding Jesus more fully. From now on, they will see the Father because they will recognize Jesus more fully as both the </w:t>
      </w:r>
      <w:r w:rsidRPr="00732645">
        <w:rPr>
          <w:rFonts w:ascii="Times New Roman" w:hAnsi="Times New Roman" w:cs="Times New Roman"/>
          <w:i/>
          <w:iCs/>
          <w:sz w:val="28"/>
          <w:szCs w:val="28"/>
        </w:rPr>
        <w:t>representative</w:t>
      </w:r>
      <w:r w:rsidRPr="00732645">
        <w:rPr>
          <w:rFonts w:ascii="Times New Roman" w:hAnsi="Times New Roman" w:cs="Times New Roman"/>
          <w:sz w:val="28"/>
          <w:szCs w:val="28"/>
        </w:rPr>
        <w:t xml:space="preserve"> and the </w:t>
      </w:r>
      <w:r w:rsidRPr="00732645">
        <w:rPr>
          <w:rFonts w:ascii="Times New Roman" w:hAnsi="Times New Roman" w:cs="Times New Roman"/>
          <w:i/>
          <w:iCs/>
          <w:sz w:val="28"/>
          <w:szCs w:val="28"/>
        </w:rPr>
        <w:t>representation</w:t>
      </w:r>
      <w:r w:rsidRPr="00732645">
        <w:rPr>
          <w:rFonts w:ascii="Times New Roman" w:hAnsi="Times New Roman" w:cs="Times New Roman"/>
          <w:sz w:val="28"/>
          <w:szCs w:val="28"/>
        </w:rPr>
        <w:t xml:space="preserve"> of the Father.</w:t>
      </w:r>
      <w:r>
        <w:rPr>
          <w:rStyle w:val="FootnoteReference"/>
          <w:rFonts w:ascii="Times New Roman" w:hAnsi="Times New Roman" w:cs="Times New Roman"/>
          <w:sz w:val="28"/>
          <w:szCs w:val="28"/>
        </w:rPr>
        <w:footnoteReference w:id="13"/>
      </w:r>
    </w:p>
    <w:p w14:paraId="11FE931C" w14:textId="77777777" w:rsidR="00170D68" w:rsidRPr="00732645" w:rsidRDefault="00170D68" w:rsidP="00170D68">
      <w:pPr>
        <w:shd w:val="clear" w:color="auto" w:fill="FFFFFF"/>
        <w:spacing w:after="150" w:line="360" w:lineRule="auto"/>
        <w:jc w:val="both"/>
        <w:rPr>
          <w:rFonts w:ascii="Times New Roman" w:hAnsi="Times New Roman" w:cs="Times New Roman"/>
          <w:sz w:val="28"/>
          <w:szCs w:val="28"/>
        </w:rPr>
      </w:pPr>
    </w:p>
    <w:p w14:paraId="6E5E4D2B" w14:textId="77777777" w:rsidR="00170D68" w:rsidRDefault="00170D68" w:rsidP="00170D68">
      <w:pPr>
        <w:shd w:val="clear" w:color="auto" w:fill="FFFFFF"/>
        <w:spacing w:after="150" w:line="360" w:lineRule="auto"/>
        <w:jc w:val="both"/>
        <w:rPr>
          <w:rFonts w:ascii="Times New Roman" w:hAnsi="Times New Roman" w:cs="Times New Roman"/>
          <w:sz w:val="28"/>
          <w:szCs w:val="28"/>
        </w:rPr>
      </w:pPr>
      <w:r w:rsidRPr="00732645">
        <w:rPr>
          <w:rFonts w:ascii="Times New Roman" w:hAnsi="Times New Roman" w:cs="Times New Roman"/>
          <w:sz w:val="28"/>
          <w:szCs w:val="28"/>
        </w:rPr>
        <w:lastRenderedPageBreak/>
        <w:t>Lincoln well elaborates the historical context and the development of the use of the “I Am” statement in John. According to him, it was first a response to the Jewish exclusivity, and then was used against all rival claims in the Graeco-Roman. Jesus' statement reiterates in different imagery that of John10:9: “</w:t>
      </w:r>
      <w:r w:rsidRPr="00732645">
        <w:rPr>
          <w:rFonts w:ascii="Times New Roman" w:hAnsi="Times New Roman" w:cs="Times New Roman"/>
          <w:color w:val="000000"/>
          <w:sz w:val="28"/>
          <w:szCs w:val="28"/>
          <w:shd w:val="clear" w:color="auto" w:fill="FFFFFF"/>
        </w:rPr>
        <w:t>I am the gate. Whoever enters by me will be saved.”</w:t>
      </w:r>
      <w:r w:rsidRPr="00732645">
        <w:rPr>
          <w:rFonts w:ascii="Times New Roman" w:hAnsi="Times New Roman" w:cs="Times New Roman"/>
          <w:sz w:val="28"/>
          <w:szCs w:val="28"/>
        </w:rPr>
        <w:t xml:space="preserve"> Because of the preceding discussion in 13.36—14.4, Jesus' claim to be the way is the primary one and the claims to be the truth and the life clarify how and why he is the way. He is the way to the Father because he is the truth as the revelation of God. His mission has as its purpose to bear witness to the truth (John18.37), and his life, death, resurrection and exaltation embody that truth. Jesus is the way to the Father because he is the life as the means of participating in the life of God.</w:t>
      </w:r>
      <w:r>
        <w:rPr>
          <w:rStyle w:val="FootnoteReference"/>
          <w:rFonts w:ascii="Times New Roman" w:hAnsi="Times New Roman" w:cs="Times New Roman"/>
          <w:sz w:val="28"/>
          <w:szCs w:val="28"/>
        </w:rPr>
        <w:footnoteReference w:id="14"/>
      </w:r>
      <w:r w:rsidRPr="00732645">
        <w:rPr>
          <w:rFonts w:ascii="Times New Roman" w:hAnsi="Times New Roman" w:cs="Times New Roman"/>
          <w:sz w:val="28"/>
          <w:szCs w:val="28"/>
        </w:rPr>
        <w:t xml:space="preserve"> </w:t>
      </w:r>
    </w:p>
    <w:p w14:paraId="32C36D13" w14:textId="77777777" w:rsidR="00170D68" w:rsidRDefault="00170D68" w:rsidP="00170D68">
      <w:pPr>
        <w:shd w:val="clear" w:color="auto" w:fill="FFFFFF"/>
        <w:spacing w:after="150" w:line="360" w:lineRule="auto"/>
        <w:jc w:val="both"/>
        <w:rPr>
          <w:rFonts w:ascii="Times New Roman" w:hAnsi="Times New Roman" w:cs="Times New Roman"/>
          <w:sz w:val="28"/>
          <w:szCs w:val="28"/>
        </w:rPr>
      </w:pPr>
    </w:p>
    <w:p w14:paraId="0E3C2E86" w14:textId="77777777" w:rsidR="00170D68" w:rsidRPr="00732645" w:rsidRDefault="00170D68" w:rsidP="00170D68">
      <w:pPr>
        <w:shd w:val="clear" w:color="auto" w:fill="FFFFFF"/>
        <w:spacing w:after="150" w:line="360" w:lineRule="auto"/>
        <w:jc w:val="both"/>
        <w:rPr>
          <w:rFonts w:ascii="Times New Roman" w:hAnsi="Times New Roman" w:cs="Times New Roman"/>
          <w:sz w:val="28"/>
          <w:szCs w:val="28"/>
        </w:rPr>
      </w:pPr>
      <w:r w:rsidRPr="00732645">
        <w:rPr>
          <w:rFonts w:ascii="Times New Roman" w:hAnsi="Times New Roman" w:cs="Times New Roman"/>
          <w:sz w:val="28"/>
          <w:szCs w:val="28"/>
        </w:rPr>
        <w:t xml:space="preserve">Again, </w:t>
      </w:r>
      <w:r>
        <w:rPr>
          <w:rFonts w:ascii="Times New Roman" w:hAnsi="Times New Roman" w:cs="Times New Roman"/>
          <w:sz w:val="28"/>
          <w:szCs w:val="28"/>
        </w:rPr>
        <w:t>the</w:t>
      </w:r>
      <w:r w:rsidRPr="00732645">
        <w:rPr>
          <w:rFonts w:ascii="Times New Roman" w:hAnsi="Times New Roman" w:cs="Times New Roman"/>
          <w:sz w:val="28"/>
          <w:szCs w:val="28"/>
        </w:rPr>
        <w:t xml:space="preserve"> mission </w:t>
      </w:r>
      <w:r>
        <w:rPr>
          <w:rFonts w:ascii="Times New Roman" w:hAnsi="Times New Roman" w:cs="Times New Roman"/>
          <w:sz w:val="28"/>
          <w:szCs w:val="28"/>
        </w:rPr>
        <w:t xml:space="preserve">of Jesus </w:t>
      </w:r>
      <w:r w:rsidRPr="00732645">
        <w:rPr>
          <w:rFonts w:ascii="Times New Roman" w:hAnsi="Times New Roman" w:cs="Times New Roman"/>
          <w:sz w:val="28"/>
          <w:szCs w:val="28"/>
        </w:rPr>
        <w:t>has as its purpose to bring life (John 10:10), and the incarnation of the Logos in whom was life (John 1:4) is the embodiment of that life (John 11:25).That Jesus alone is the means of access to the Father was a key claim for Johannine Christians in the conflict with the synagogue, but it was one that would also have been upheld over against all rival claims in the Graeco-Roman world to mediate the divine. Its exclusivity is rooted in the claims of Jewish monotheism. In Isaiah 43:11, for example, there is no Saviour other than the God who is identified as I Am, and therefore no salvation apart from this God.</w:t>
      </w:r>
      <w:r>
        <w:rPr>
          <w:rStyle w:val="FootnoteReference"/>
          <w:rFonts w:ascii="Times New Roman" w:hAnsi="Times New Roman" w:cs="Times New Roman"/>
          <w:sz w:val="28"/>
          <w:szCs w:val="28"/>
        </w:rPr>
        <w:footnoteReference w:id="15"/>
      </w:r>
      <w:r w:rsidRPr="00732645">
        <w:rPr>
          <w:rFonts w:ascii="Times New Roman" w:hAnsi="Times New Roman" w:cs="Times New Roman"/>
          <w:sz w:val="28"/>
          <w:szCs w:val="28"/>
        </w:rPr>
        <w:t xml:space="preserve"> </w:t>
      </w:r>
    </w:p>
    <w:p w14:paraId="35D17C22" w14:textId="77777777" w:rsidR="00170D68" w:rsidRPr="00732645" w:rsidRDefault="00170D68" w:rsidP="00170D68">
      <w:pPr>
        <w:spacing w:line="360" w:lineRule="auto"/>
        <w:jc w:val="both"/>
        <w:rPr>
          <w:rFonts w:ascii="Times New Roman" w:hAnsi="Times New Roman" w:cs="Times New Roman"/>
          <w:sz w:val="28"/>
          <w:szCs w:val="28"/>
        </w:rPr>
      </w:pPr>
    </w:p>
    <w:p w14:paraId="4093F9B2" w14:textId="77777777" w:rsidR="00170D68" w:rsidRPr="00732645" w:rsidRDefault="00170D68" w:rsidP="00170D68">
      <w:pPr>
        <w:autoSpaceDE w:val="0"/>
        <w:autoSpaceDN w:val="0"/>
        <w:adjustRightInd w:val="0"/>
        <w:spacing w:after="0" w:line="360" w:lineRule="auto"/>
        <w:jc w:val="both"/>
        <w:rPr>
          <w:rFonts w:ascii="Times New Roman" w:hAnsi="Times New Roman" w:cs="Times New Roman"/>
          <w:sz w:val="28"/>
          <w:szCs w:val="28"/>
        </w:rPr>
      </w:pPr>
      <w:r w:rsidRPr="00732645">
        <w:rPr>
          <w:rFonts w:ascii="Times New Roman" w:hAnsi="Times New Roman" w:cs="Times New Roman"/>
          <w:sz w:val="28"/>
          <w:szCs w:val="28"/>
        </w:rPr>
        <w:t xml:space="preserve">Jesus' statements about himself not only employ the divine "I am" (8:24, 28, 58) but also press the gospel's images and themes into service. These themes are summarized by </w:t>
      </w:r>
      <w:r w:rsidRPr="00815CD0">
        <w:rPr>
          <w:rFonts w:ascii="Times New Roman" w:hAnsi="Times New Roman" w:cs="Times New Roman"/>
          <w:sz w:val="28"/>
          <w:szCs w:val="28"/>
        </w:rPr>
        <w:t xml:space="preserve">Culpepper </w:t>
      </w:r>
      <w:r w:rsidRPr="00732645">
        <w:rPr>
          <w:rFonts w:ascii="Times New Roman" w:hAnsi="Times New Roman" w:cs="Times New Roman"/>
          <w:sz w:val="28"/>
          <w:szCs w:val="28"/>
        </w:rPr>
        <w:t xml:space="preserve">as follows:  </w:t>
      </w:r>
    </w:p>
    <w:p w14:paraId="07DEF73C" w14:textId="77777777" w:rsidR="00170D68" w:rsidRPr="00732645" w:rsidRDefault="00170D68" w:rsidP="00170D68">
      <w:pPr>
        <w:autoSpaceDE w:val="0"/>
        <w:autoSpaceDN w:val="0"/>
        <w:adjustRightInd w:val="0"/>
        <w:spacing w:after="0" w:line="360" w:lineRule="auto"/>
        <w:jc w:val="both"/>
        <w:rPr>
          <w:rFonts w:ascii="Times New Roman" w:hAnsi="Times New Roman" w:cs="Times New Roman"/>
          <w:sz w:val="28"/>
          <w:szCs w:val="28"/>
        </w:rPr>
      </w:pPr>
    </w:p>
    <w:p w14:paraId="0FBF7CE9" w14:textId="77777777" w:rsidR="00170D68" w:rsidRPr="00732645" w:rsidRDefault="00170D68" w:rsidP="00170D68">
      <w:pPr>
        <w:autoSpaceDE w:val="0"/>
        <w:autoSpaceDN w:val="0"/>
        <w:adjustRightInd w:val="0"/>
        <w:spacing w:after="0" w:line="360" w:lineRule="auto"/>
        <w:ind w:left="720"/>
        <w:jc w:val="both"/>
        <w:rPr>
          <w:rFonts w:ascii="Times New Roman" w:hAnsi="Times New Roman" w:cs="Times New Roman"/>
          <w:sz w:val="28"/>
          <w:szCs w:val="28"/>
        </w:rPr>
      </w:pPr>
      <w:r w:rsidRPr="00732645">
        <w:rPr>
          <w:rFonts w:ascii="Times New Roman" w:hAnsi="Times New Roman" w:cs="Times New Roman"/>
          <w:sz w:val="28"/>
          <w:szCs w:val="28"/>
        </w:rPr>
        <w:t xml:space="preserve">“the bread of life (6:35, 48), the bread which came down from heaven (6:41), the living bread (6:51), the light of the world (8:12), the door of the sheep (10:7, 9), the good shepherd (10:11, 14), the resurrection and the life (11:25), the way, the truth, and the life (14:6), the vine (15:5). Just as there is </w:t>
      </w:r>
      <w:proofErr w:type="gramStart"/>
      <w:r w:rsidRPr="00732645">
        <w:rPr>
          <w:rFonts w:ascii="Times New Roman" w:hAnsi="Times New Roman" w:cs="Times New Roman"/>
          <w:sz w:val="28"/>
          <w:szCs w:val="28"/>
        </w:rPr>
        <w:t>glory</w:t>
      </w:r>
      <w:proofErr w:type="gramEnd"/>
      <w:r w:rsidRPr="00732645">
        <w:rPr>
          <w:rFonts w:ascii="Times New Roman" w:hAnsi="Times New Roman" w:cs="Times New Roman"/>
          <w:sz w:val="28"/>
          <w:szCs w:val="28"/>
        </w:rPr>
        <w:t xml:space="preserve"> to be seen in the flesh, so the mundane can point to a higher reality, which Jesus both embodies and reveals to those who will believe him.”</w:t>
      </w:r>
      <w:r>
        <w:rPr>
          <w:rStyle w:val="FootnoteReference"/>
          <w:rFonts w:ascii="Times New Roman" w:hAnsi="Times New Roman" w:cs="Times New Roman"/>
          <w:sz w:val="28"/>
          <w:szCs w:val="28"/>
        </w:rPr>
        <w:footnoteReference w:id="16"/>
      </w:r>
    </w:p>
    <w:p w14:paraId="4027AE64" w14:textId="77777777" w:rsidR="00170D68" w:rsidRPr="00732645" w:rsidRDefault="00170D68" w:rsidP="00170D68">
      <w:pPr>
        <w:spacing w:line="360" w:lineRule="auto"/>
        <w:jc w:val="both"/>
        <w:rPr>
          <w:rFonts w:ascii="Times New Roman" w:hAnsi="Times New Roman" w:cs="Times New Roman"/>
          <w:sz w:val="28"/>
          <w:szCs w:val="28"/>
          <w:lang w:val="en-US"/>
        </w:rPr>
      </w:pPr>
    </w:p>
    <w:p w14:paraId="4D5A1190" w14:textId="77777777" w:rsidR="00170D68" w:rsidRPr="001365BD" w:rsidRDefault="00170D68" w:rsidP="00170D68">
      <w:pPr>
        <w:spacing w:line="360" w:lineRule="auto"/>
        <w:jc w:val="both"/>
        <w:rPr>
          <w:rFonts w:ascii="Times New Roman" w:hAnsi="Times New Roman" w:cs="Times New Roman"/>
          <w:sz w:val="28"/>
          <w:szCs w:val="28"/>
          <w:lang w:val="en-US"/>
        </w:rPr>
      </w:pPr>
      <w:r w:rsidRPr="001365BD">
        <w:rPr>
          <w:rFonts w:ascii="Times New Roman" w:hAnsi="Times New Roman" w:cs="Times New Roman"/>
          <w:bCs/>
          <w:sz w:val="28"/>
          <w:szCs w:val="28"/>
          <w:lang w:val="en-US"/>
        </w:rPr>
        <w:t>When the Jesus of the fourth Gospel speaks, it is, fundamentally, the Father</w:t>
      </w:r>
      <w:r w:rsidRPr="001365BD">
        <w:rPr>
          <w:rFonts w:ascii="Times New Roman" w:hAnsi="Times New Roman" w:cs="Times New Roman"/>
          <w:b/>
          <w:sz w:val="28"/>
          <w:szCs w:val="28"/>
          <w:lang w:val="en-US"/>
        </w:rPr>
        <w:t xml:space="preserve"> </w:t>
      </w:r>
      <w:r w:rsidRPr="001365BD">
        <w:rPr>
          <w:rFonts w:ascii="Times New Roman" w:hAnsi="Times New Roman" w:cs="Times New Roman"/>
          <w:sz w:val="28"/>
          <w:szCs w:val="28"/>
          <w:lang w:val="en-US"/>
        </w:rPr>
        <w:t xml:space="preserve">speaking through him. Once again, therefore, "in me" indicates the ultimate subject of the Son. Yet although the Father and Son </w:t>
      </w:r>
      <w:proofErr w:type="gramStart"/>
      <w:r w:rsidRPr="001365BD">
        <w:rPr>
          <w:rFonts w:ascii="Times New Roman" w:hAnsi="Times New Roman" w:cs="Times New Roman"/>
          <w:sz w:val="28"/>
          <w:szCs w:val="28"/>
          <w:lang w:val="en-US"/>
        </w:rPr>
        <w:t>are considered to be</w:t>
      </w:r>
      <w:proofErr w:type="gramEnd"/>
      <w:r w:rsidRPr="001365BD">
        <w:rPr>
          <w:rFonts w:ascii="Times New Roman" w:hAnsi="Times New Roman" w:cs="Times New Roman"/>
          <w:sz w:val="28"/>
          <w:szCs w:val="28"/>
          <w:lang w:val="en-US"/>
        </w:rPr>
        <w:t xml:space="preserve"> one, there is also a distinction between them. The Son obeys the Father when Jesus says: "</w:t>
      </w:r>
      <w:r w:rsidRPr="001365BD">
        <w:rPr>
          <w:rFonts w:ascii="Times New Roman" w:hAnsi="Times New Roman" w:cs="Times New Roman"/>
          <w:sz w:val="28"/>
          <w:szCs w:val="28"/>
        </w:rPr>
        <w:t xml:space="preserve"> for I have not spoken on my own, but the Father who sent me has himself given me a commandment about what to say and what to speak.</w:t>
      </w:r>
      <w:r w:rsidRPr="001365BD">
        <w:rPr>
          <w:rFonts w:ascii="Times New Roman" w:hAnsi="Times New Roman" w:cs="Times New Roman"/>
          <w:sz w:val="28"/>
          <w:szCs w:val="28"/>
          <w:lang w:val="en-US"/>
        </w:rPr>
        <w:t xml:space="preserve">" (John 12:49). In John 14:10, Father and Son </w:t>
      </w:r>
      <w:proofErr w:type="gramStart"/>
      <w:r w:rsidRPr="001365BD">
        <w:rPr>
          <w:rFonts w:ascii="Times New Roman" w:hAnsi="Times New Roman" w:cs="Times New Roman"/>
          <w:sz w:val="28"/>
          <w:szCs w:val="28"/>
          <w:lang w:val="en-US"/>
        </w:rPr>
        <w:t>can be seen as</w:t>
      </w:r>
      <w:proofErr w:type="gramEnd"/>
      <w:r w:rsidRPr="001365BD">
        <w:rPr>
          <w:rFonts w:ascii="Times New Roman" w:hAnsi="Times New Roman" w:cs="Times New Roman"/>
          <w:sz w:val="28"/>
          <w:szCs w:val="28"/>
          <w:lang w:val="en-US"/>
        </w:rPr>
        <w:t xml:space="preserve"> two concentric circles in which the two centers coincide, whereas in John 12:49, Father and Son appear as two centers in an ellipse, the latter obeying the former. It is not likely that one relationship is based on the other, for that would oversimplify the matter. If we think that Christ and God are in all respects two different realities, so that what Christ does coincides with what God does only insofar as Christ obeys God, we lose the essential unity of Father with Son-the unity expressed in the words:"</w:t>
      </w:r>
      <w:r w:rsidRPr="001365BD">
        <w:rPr>
          <w:rFonts w:ascii="Times New Roman" w:hAnsi="Times New Roman" w:cs="Times New Roman"/>
          <w:sz w:val="28"/>
          <w:szCs w:val="28"/>
        </w:rPr>
        <w:t xml:space="preserve"> Whoever has seen me has seen the Father</w:t>
      </w:r>
      <w:r w:rsidRPr="001365BD">
        <w:rPr>
          <w:rFonts w:ascii="Times New Roman" w:hAnsi="Times New Roman" w:cs="Times New Roman"/>
          <w:sz w:val="28"/>
          <w:szCs w:val="28"/>
          <w:lang w:val="en-US"/>
        </w:rPr>
        <w:t>" (John 14:9).</w:t>
      </w:r>
      <w:r w:rsidRPr="001365BD">
        <w:rPr>
          <w:rFonts w:ascii="Times New Roman" w:hAnsi="Times New Roman" w:cs="Times New Roman"/>
          <w:sz w:val="28"/>
          <w:szCs w:val="28"/>
          <w:vertAlign w:val="superscript"/>
          <w:lang w:val="en-US"/>
        </w:rPr>
        <w:footnoteReference w:id="17"/>
      </w:r>
    </w:p>
    <w:p w14:paraId="136095FC" w14:textId="77777777" w:rsidR="00170D68" w:rsidRPr="001365BD" w:rsidRDefault="00170D68" w:rsidP="00170D68">
      <w:pPr>
        <w:spacing w:line="360" w:lineRule="auto"/>
        <w:rPr>
          <w:rFonts w:ascii="Times New Roman" w:hAnsi="Times New Roman" w:cs="Times New Roman"/>
          <w:sz w:val="28"/>
          <w:szCs w:val="28"/>
          <w:lang w:val="en-US"/>
        </w:rPr>
      </w:pPr>
    </w:p>
    <w:p w14:paraId="7B66A1C3" w14:textId="77777777" w:rsidR="00170D68" w:rsidRDefault="00170D68" w:rsidP="00170D68">
      <w:pPr>
        <w:spacing w:line="360" w:lineRule="auto"/>
        <w:jc w:val="both"/>
        <w:rPr>
          <w:rFonts w:ascii="Times New Roman" w:hAnsi="Times New Roman" w:cs="Times New Roman"/>
          <w:bCs/>
          <w:sz w:val="28"/>
          <w:szCs w:val="28"/>
          <w:lang w:val="en-US"/>
        </w:rPr>
      </w:pPr>
      <w:r w:rsidRPr="001365BD">
        <w:rPr>
          <w:rFonts w:ascii="Times New Roman" w:hAnsi="Times New Roman" w:cs="Times New Roman"/>
          <w:sz w:val="28"/>
          <w:szCs w:val="28"/>
        </w:rPr>
        <w:t>In addition to the theme of the relationship between God and Jesus, t</w:t>
      </w:r>
      <w:r w:rsidRPr="001365BD">
        <w:rPr>
          <w:rFonts w:ascii="Times New Roman" w:hAnsi="Times New Roman" w:cs="Times New Roman"/>
          <w:sz w:val="28"/>
          <w:szCs w:val="28"/>
          <w:lang w:val="en-US"/>
        </w:rPr>
        <w:t xml:space="preserve">he passage under discussion also develops another important which is the relationship </w:t>
      </w:r>
      <w:r w:rsidRPr="001365BD">
        <w:rPr>
          <w:rFonts w:ascii="Times New Roman" w:hAnsi="Times New Roman" w:cs="Times New Roman"/>
          <w:sz w:val="28"/>
          <w:szCs w:val="28"/>
          <w:lang w:val="en-US"/>
        </w:rPr>
        <w:lastRenderedPageBreak/>
        <w:t xml:space="preserve">between Christ and the Christians.  According to Yagi, the relationship between Father and the Son in the Fourth Gospel is analogous to that between Christ and Christians. So, we can say that the relationship between Christ </w:t>
      </w:r>
      <w:r w:rsidRPr="001365BD">
        <w:rPr>
          <w:rFonts w:ascii="Times New Roman" w:hAnsi="Times New Roman" w:cs="Times New Roman"/>
          <w:bCs/>
          <w:sz w:val="28"/>
          <w:szCs w:val="28"/>
          <w:lang w:val="en-US"/>
        </w:rPr>
        <w:t>and his believers reflects the relationship between Father and Son (John 10:14-15; 15:13; 17:21-23).</w:t>
      </w:r>
      <w:r w:rsidRPr="001365BD">
        <w:rPr>
          <w:rFonts w:ascii="Times New Roman" w:hAnsi="Times New Roman" w:cs="Times New Roman"/>
          <w:b/>
          <w:sz w:val="28"/>
          <w:szCs w:val="28"/>
          <w:lang w:val="en-US"/>
        </w:rPr>
        <w:t xml:space="preserve"> "</w:t>
      </w:r>
      <w:r w:rsidRPr="001365BD">
        <w:rPr>
          <w:rFonts w:ascii="Times New Roman" w:hAnsi="Times New Roman" w:cs="Times New Roman"/>
          <w:sz w:val="28"/>
          <w:szCs w:val="28"/>
        </w:rPr>
        <w:t xml:space="preserve"> Do you not believe that I am in the Father and the Father is in me? The words that I say to you I do not speak on my own; but the Father who dwells in me does his works</w:t>
      </w:r>
      <w:r w:rsidRPr="001365BD">
        <w:rPr>
          <w:rFonts w:ascii="Times New Roman" w:hAnsi="Times New Roman" w:cs="Times New Roman"/>
          <w:b/>
          <w:sz w:val="28"/>
          <w:szCs w:val="28"/>
          <w:lang w:val="en-US"/>
        </w:rPr>
        <w:t>" (</w:t>
      </w:r>
      <w:r w:rsidRPr="001365BD">
        <w:rPr>
          <w:rFonts w:ascii="Times New Roman" w:hAnsi="Times New Roman" w:cs="Times New Roman"/>
          <w:bCs/>
          <w:sz w:val="28"/>
          <w:szCs w:val="28"/>
          <w:lang w:val="en-US"/>
        </w:rPr>
        <w:t>John 14:10). This meaning is clearly manifested in John 14:18</w:t>
      </w:r>
      <w:r>
        <w:rPr>
          <w:rFonts w:ascii="Times New Roman" w:hAnsi="Times New Roman" w:cs="Times New Roman"/>
          <w:bCs/>
          <w:sz w:val="28"/>
          <w:szCs w:val="28"/>
          <w:lang w:val="en-US"/>
        </w:rPr>
        <w:t>:</w:t>
      </w:r>
      <w:r w:rsidRPr="001365BD">
        <w:rPr>
          <w:rFonts w:ascii="Times New Roman" w:hAnsi="Times New Roman" w:cs="Times New Roman"/>
          <w:bCs/>
          <w:sz w:val="28"/>
          <w:szCs w:val="28"/>
          <w:lang w:val="en-US"/>
        </w:rPr>
        <w:t xml:space="preserve"> “</w:t>
      </w:r>
      <w:r w:rsidRPr="001365BD">
        <w:rPr>
          <w:rFonts w:ascii="Times New Roman" w:hAnsi="Times New Roman" w:cs="Times New Roman"/>
          <w:bCs/>
          <w:sz w:val="28"/>
          <w:szCs w:val="28"/>
        </w:rPr>
        <w:t>I will not leave you orphaned; I am coming to you.”</w:t>
      </w:r>
    </w:p>
    <w:p w14:paraId="2B589F0A" w14:textId="77777777" w:rsidR="00170D68" w:rsidRDefault="00170D68" w:rsidP="00170D68">
      <w:pPr>
        <w:spacing w:line="360" w:lineRule="auto"/>
        <w:ind w:left="14" w:right="9"/>
        <w:jc w:val="both"/>
        <w:rPr>
          <w:rFonts w:ascii="Times New Roman" w:hAnsi="Times New Roman" w:cs="Times New Roman"/>
          <w:b/>
          <w:bCs/>
          <w:sz w:val="28"/>
          <w:szCs w:val="28"/>
        </w:rPr>
      </w:pPr>
    </w:p>
    <w:p w14:paraId="01DA1D60" w14:textId="77777777" w:rsidR="00170D68" w:rsidRPr="00732645" w:rsidRDefault="00170D68" w:rsidP="00170D68">
      <w:pPr>
        <w:spacing w:line="360" w:lineRule="auto"/>
        <w:ind w:left="14" w:right="9"/>
        <w:jc w:val="both"/>
        <w:rPr>
          <w:rFonts w:ascii="Times New Roman" w:hAnsi="Times New Roman" w:cs="Times New Roman"/>
          <w:b/>
          <w:bCs/>
          <w:sz w:val="28"/>
          <w:szCs w:val="28"/>
        </w:rPr>
      </w:pPr>
      <w:r>
        <w:rPr>
          <w:rFonts w:ascii="Times New Roman" w:hAnsi="Times New Roman" w:cs="Times New Roman"/>
          <w:b/>
          <w:bCs/>
          <w:sz w:val="28"/>
          <w:szCs w:val="28"/>
        </w:rPr>
        <w:t>The Interfaith Implications of John 14:1-14</w:t>
      </w:r>
    </w:p>
    <w:p w14:paraId="27A59E14" w14:textId="77777777" w:rsidR="00170D68" w:rsidRPr="00732645" w:rsidRDefault="00170D68" w:rsidP="00170D68">
      <w:pPr>
        <w:spacing w:line="360" w:lineRule="auto"/>
        <w:ind w:left="14" w:right="9"/>
        <w:jc w:val="both"/>
        <w:rPr>
          <w:rFonts w:ascii="Times New Roman" w:hAnsi="Times New Roman" w:cs="Times New Roman"/>
          <w:sz w:val="28"/>
          <w:szCs w:val="28"/>
        </w:rPr>
      </w:pPr>
      <w:r w:rsidRPr="00732645">
        <w:rPr>
          <w:rFonts w:ascii="Times New Roman" w:hAnsi="Times New Roman" w:cs="Times New Roman"/>
          <w:sz w:val="28"/>
          <w:szCs w:val="28"/>
        </w:rPr>
        <w:t xml:space="preserve">The emerging challenge to the use of John as a document of faith is expressed in the question: How should we interpret the theological </w:t>
      </w:r>
      <w:r w:rsidRPr="00732645">
        <w:rPr>
          <w:rFonts w:ascii="Times New Roman" w:hAnsi="Times New Roman" w:cs="Times New Roman"/>
          <w:noProof/>
          <w:sz w:val="28"/>
          <w:szCs w:val="28"/>
        </w:rPr>
        <w:drawing>
          <wp:inline distT="0" distB="0" distL="0" distR="0" wp14:anchorId="00769826" wp14:editId="60B798C8">
            <wp:extent cx="3044" cy="3044"/>
            <wp:effectExtent l="0" t="0" r="0" b="0"/>
            <wp:docPr id="25" name="Picture 4125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44" cy="3044"/>
                    </a:xfrm>
                    <a:prstGeom prst="rect">
                      <a:avLst/>
                    </a:prstGeom>
                    <a:noFill/>
                    <a:ln>
                      <a:noFill/>
                      <a:prstDash/>
                    </a:ln>
                  </pic:spPr>
                </pic:pic>
              </a:graphicData>
            </a:graphic>
          </wp:inline>
        </w:drawing>
      </w:r>
      <w:r w:rsidRPr="00732645">
        <w:rPr>
          <w:rFonts w:ascii="Times New Roman" w:hAnsi="Times New Roman" w:cs="Times New Roman"/>
          <w:sz w:val="28"/>
          <w:szCs w:val="28"/>
        </w:rPr>
        <w:t>exclusivism of the Gospel in a pluralistic culture? John 14:6 is not the only verse that has exclusivism voice in the Fourth Gospel, but other verses has the same notion too.</w:t>
      </w:r>
      <w:r w:rsidRPr="00732645">
        <w:rPr>
          <w:rStyle w:val="FootnoteReference"/>
          <w:rFonts w:ascii="Times New Roman" w:hAnsi="Times New Roman" w:cs="Times New Roman"/>
          <w:sz w:val="28"/>
          <w:szCs w:val="28"/>
        </w:rPr>
        <w:footnoteReference w:id="18"/>
      </w:r>
      <w:r w:rsidRPr="00732645">
        <w:rPr>
          <w:rFonts w:ascii="Times New Roman" w:hAnsi="Times New Roman" w:cs="Times New Roman"/>
          <w:sz w:val="28"/>
          <w:szCs w:val="28"/>
        </w:rPr>
        <w:t xml:space="preserve"> More generally, the Gospel of John is not alone in the New Testament in asserting that salvation is attained only through confession of Jesus as Lord,</w:t>
      </w:r>
      <w:r w:rsidRPr="00732645">
        <w:rPr>
          <w:rStyle w:val="FootnoteReference"/>
          <w:rFonts w:ascii="Times New Roman" w:hAnsi="Times New Roman" w:cs="Times New Roman"/>
          <w:sz w:val="28"/>
          <w:szCs w:val="28"/>
        </w:rPr>
        <w:footnoteReference w:id="19"/>
      </w:r>
      <w:r w:rsidRPr="00732645">
        <w:rPr>
          <w:rFonts w:ascii="Times New Roman" w:hAnsi="Times New Roman" w:cs="Times New Roman"/>
          <w:sz w:val="28"/>
          <w:szCs w:val="28"/>
        </w:rPr>
        <w:t xml:space="preserve"> but the Gospel's pronouncements are at the centre of dialogues between Christians and persons of other religious faiths.</w:t>
      </w:r>
      <w:r w:rsidRPr="00732645">
        <w:rPr>
          <w:rStyle w:val="FootnoteReference"/>
          <w:rFonts w:ascii="Times New Roman" w:hAnsi="Times New Roman" w:cs="Times New Roman"/>
          <w:sz w:val="28"/>
          <w:szCs w:val="28"/>
        </w:rPr>
        <w:footnoteReference w:id="20"/>
      </w:r>
      <w:r w:rsidRPr="00732645">
        <w:rPr>
          <w:rFonts w:ascii="Times New Roman" w:hAnsi="Times New Roman" w:cs="Times New Roman"/>
          <w:sz w:val="28"/>
          <w:szCs w:val="28"/>
        </w:rPr>
        <w:t xml:space="preserve"> Such texts raise the problematic issues of exclusivism. Does the Gospel of John offer the Christian reader any basis for with persons from other religious traditions, or does it demand that there is no hope of salvation apart from confession of the Lordship of Jesus?</w:t>
      </w:r>
      <w:r>
        <w:rPr>
          <w:rFonts w:ascii="Times New Roman" w:hAnsi="Times New Roman" w:cs="Times New Roman"/>
          <w:sz w:val="28"/>
          <w:szCs w:val="28"/>
        </w:rPr>
        <w:t xml:space="preserve"> </w:t>
      </w:r>
      <w:r>
        <w:rPr>
          <w:rStyle w:val="FootnoteReference"/>
          <w:rFonts w:ascii="Times New Roman" w:hAnsi="Times New Roman" w:cs="Times New Roman"/>
          <w:sz w:val="28"/>
          <w:szCs w:val="28"/>
        </w:rPr>
        <w:footnoteReference w:id="21"/>
      </w:r>
    </w:p>
    <w:p w14:paraId="17AE3392" w14:textId="77777777" w:rsidR="00170D68" w:rsidRPr="00732645" w:rsidRDefault="00170D68" w:rsidP="00170D68">
      <w:pPr>
        <w:spacing w:line="360" w:lineRule="auto"/>
        <w:ind w:left="14" w:right="9"/>
        <w:jc w:val="both"/>
        <w:rPr>
          <w:rFonts w:ascii="Times New Roman" w:hAnsi="Times New Roman" w:cs="Times New Roman"/>
          <w:sz w:val="28"/>
          <w:szCs w:val="28"/>
        </w:rPr>
      </w:pPr>
    </w:p>
    <w:p w14:paraId="10FD2B67" w14:textId="77777777" w:rsidR="00170D68" w:rsidRPr="00732645" w:rsidRDefault="00170D68" w:rsidP="00170D68">
      <w:pPr>
        <w:spacing w:after="86" w:line="360" w:lineRule="auto"/>
        <w:ind w:left="14" w:right="9"/>
        <w:jc w:val="both"/>
        <w:rPr>
          <w:rFonts w:ascii="Times New Roman" w:hAnsi="Times New Roman" w:cs="Times New Roman"/>
          <w:sz w:val="28"/>
          <w:szCs w:val="28"/>
          <w:vertAlign w:val="superscript"/>
        </w:rPr>
      </w:pPr>
      <w:r w:rsidRPr="00732645">
        <w:rPr>
          <w:rFonts w:ascii="Times New Roman" w:hAnsi="Times New Roman" w:cs="Times New Roman"/>
          <w:sz w:val="28"/>
          <w:szCs w:val="28"/>
        </w:rPr>
        <w:lastRenderedPageBreak/>
        <w:t xml:space="preserve">According to </w:t>
      </w:r>
      <w:r w:rsidRPr="006C7968">
        <w:rPr>
          <w:rFonts w:ascii="Times New Roman" w:hAnsi="Times New Roman" w:cs="Times New Roman"/>
          <w:sz w:val="28"/>
          <w:szCs w:val="28"/>
        </w:rPr>
        <w:t>Culpepper</w:t>
      </w:r>
      <w:r w:rsidRPr="00732645">
        <w:rPr>
          <w:rFonts w:ascii="Times New Roman" w:hAnsi="Times New Roman" w:cs="Times New Roman"/>
          <w:sz w:val="28"/>
          <w:szCs w:val="28"/>
        </w:rPr>
        <w:t xml:space="preserve">, the exclusivist claims of the Fourth Gospel must therefore be understood in the context of the opening claim that the revelation that came through Jesus Christ is the same as that which is universally present in the Logos. </w:t>
      </w:r>
    </w:p>
    <w:p w14:paraId="5B76CD35" w14:textId="77777777" w:rsidR="00170D68" w:rsidRPr="00732645" w:rsidRDefault="00170D68" w:rsidP="00170D68">
      <w:pPr>
        <w:spacing w:after="4" w:line="360" w:lineRule="auto"/>
        <w:ind w:left="480" w:right="475" w:hanging="5"/>
        <w:jc w:val="both"/>
        <w:rPr>
          <w:rFonts w:ascii="Times New Roman" w:hAnsi="Times New Roman" w:cs="Times New Roman"/>
          <w:sz w:val="28"/>
          <w:szCs w:val="28"/>
        </w:rPr>
      </w:pPr>
    </w:p>
    <w:p w14:paraId="77AB4C55" w14:textId="77777777" w:rsidR="00170D68" w:rsidRDefault="00170D68" w:rsidP="00170D68">
      <w:pPr>
        <w:spacing w:after="215" w:line="360" w:lineRule="auto"/>
        <w:ind w:right="475"/>
        <w:jc w:val="both"/>
        <w:rPr>
          <w:rFonts w:ascii="Times New Roman" w:hAnsi="Times New Roman" w:cs="Times New Roman"/>
          <w:sz w:val="28"/>
          <w:szCs w:val="28"/>
        </w:rPr>
      </w:pPr>
      <w:r w:rsidRPr="00732645">
        <w:rPr>
          <w:rFonts w:ascii="Times New Roman" w:hAnsi="Times New Roman" w:cs="Times New Roman"/>
          <w:sz w:val="28"/>
          <w:szCs w:val="28"/>
        </w:rPr>
        <w:t>Because the Gospel presents Jesus as the incarnation who made known the work of the Logos from the creation and through all time, it undercuts the triumphalism of claims that Christendom has a monopoly on the revelation of God. The further implication is that what one says about the nature of revelation has direct implications for salvation through the work of the Logos. Just as the Logos brought a saving knowledge of God to Abraham, Moses, and Isaiah, so the Logos continues to speak to persons through other religious traditions as part of God's effort to draw all people to a knowledge of God. (</w:t>
      </w:r>
      <w:proofErr w:type="spellStart"/>
      <w:r w:rsidRPr="00732645">
        <w:rPr>
          <w:rFonts w:ascii="Times New Roman" w:hAnsi="Times New Roman" w:cs="Times New Roman"/>
          <w:sz w:val="28"/>
          <w:szCs w:val="28"/>
        </w:rPr>
        <w:t>Culppere</w:t>
      </w:r>
      <w:proofErr w:type="spellEnd"/>
      <w:r w:rsidRPr="00732645">
        <w:rPr>
          <w:rFonts w:ascii="Times New Roman" w:hAnsi="Times New Roman" w:cs="Times New Roman"/>
          <w:sz w:val="28"/>
          <w:szCs w:val="28"/>
        </w:rPr>
        <w:t xml:space="preserve">., 123-124) So, according to Alan </w:t>
      </w:r>
      <w:proofErr w:type="spellStart"/>
      <w:r w:rsidRPr="00732645">
        <w:rPr>
          <w:rFonts w:ascii="Times New Roman" w:hAnsi="Times New Roman" w:cs="Times New Roman"/>
          <w:sz w:val="28"/>
          <w:szCs w:val="28"/>
        </w:rPr>
        <w:t>Cullpeper</w:t>
      </w:r>
      <w:proofErr w:type="spellEnd"/>
      <w:r w:rsidRPr="00732645">
        <w:rPr>
          <w:rFonts w:ascii="Times New Roman" w:hAnsi="Times New Roman" w:cs="Times New Roman"/>
          <w:sz w:val="28"/>
          <w:szCs w:val="28"/>
        </w:rPr>
        <w:t>, John's Logos Christology allows Christians to affirm that adherents of other religious traditions may come to know God through the work of the Cosmic Christ. (</w:t>
      </w:r>
      <w:proofErr w:type="spellStart"/>
      <w:r w:rsidRPr="00732645">
        <w:rPr>
          <w:rFonts w:ascii="Times New Roman" w:hAnsi="Times New Roman" w:cs="Times New Roman"/>
          <w:sz w:val="28"/>
          <w:szCs w:val="28"/>
        </w:rPr>
        <w:t>Culppere</w:t>
      </w:r>
      <w:proofErr w:type="spellEnd"/>
      <w:r w:rsidRPr="00732645">
        <w:rPr>
          <w:rFonts w:ascii="Times New Roman" w:hAnsi="Times New Roman" w:cs="Times New Roman"/>
          <w:sz w:val="28"/>
          <w:szCs w:val="28"/>
        </w:rPr>
        <w:t>., 124)</w:t>
      </w:r>
    </w:p>
    <w:p w14:paraId="019C502B" w14:textId="77777777" w:rsidR="00170D68" w:rsidRPr="00732645" w:rsidRDefault="00170D68" w:rsidP="00170D68">
      <w:pPr>
        <w:spacing w:after="215" w:line="360" w:lineRule="auto"/>
        <w:ind w:right="475"/>
        <w:jc w:val="both"/>
        <w:rPr>
          <w:rFonts w:ascii="Times New Roman" w:hAnsi="Times New Roman" w:cs="Times New Roman"/>
          <w:sz w:val="28"/>
          <w:szCs w:val="28"/>
        </w:rPr>
      </w:pPr>
    </w:p>
    <w:p w14:paraId="64BC3BB0" w14:textId="77777777" w:rsidR="00170D68" w:rsidRPr="00732645" w:rsidRDefault="00170D68" w:rsidP="00170D68">
      <w:pPr>
        <w:spacing w:line="360" w:lineRule="auto"/>
        <w:ind w:left="14" w:right="9"/>
        <w:jc w:val="both"/>
        <w:rPr>
          <w:rFonts w:ascii="Times New Roman" w:hAnsi="Times New Roman" w:cs="Times New Roman"/>
          <w:sz w:val="28"/>
          <w:szCs w:val="28"/>
        </w:rPr>
      </w:pPr>
      <w:r w:rsidRPr="00732645">
        <w:rPr>
          <w:rFonts w:ascii="Times New Roman" w:hAnsi="Times New Roman" w:cs="Times New Roman"/>
          <w:sz w:val="28"/>
          <w:szCs w:val="28"/>
        </w:rPr>
        <w:t xml:space="preserve">This notion of respecting the culture, the knowledge and the religions of the others is confirmed by some interpretations of John 4:22 which reads: “salvation is from the Jews.” Despite the controversial passages about the Jews in the Fourth Gospel, still this verse serves as the most potential text for Jewish-Christian relations. Alan </w:t>
      </w:r>
      <w:proofErr w:type="spellStart"/>
      <w:r w:rsidRPr="00732645">
        <w:rPr>
          <w:rFonts w:ascii="Times New Roman" w:hAnsi="Times New Roman" w:cs="Times New Roman"/>
          <w:sz w:val="28"/>
          <w:szCs w:val="28"/>
        </w:rPr>
        <w:t>Culppeper</w:t>
      </w:r>
      <w:proofErr w:type="spellEnd"/>
      <w:r w:rsidRPr="00732645">
        <w:rPr>
          <w:rFonts w:ascii="Times New Roman" w:hAnsi="Times New Roman" w:cs="Times New Roman"/>
          <w:sz w:val="28"/>
          <w:szCs w:val="28"/>
        </w:rPr>
        <w:t xml:space="preserve"> considered this verse as the only positive clear reference to the Jews in John.</w:t>
      </w:r>
      <w:r w:rsidRPr="00732645">
        <w:rPr>
          <w:rStyle w:val="FootnoteReference"/>
          <w:rFonts w:ascii="Times New Roman" w:hAnsi="Times New Roman" w:cs="Times New Roman"/>
          <w:sz w:val="28"/>
          <w:szCs w:val="28"/>
        </w:rPr>
        <w:footnoteReference w:id="22"/>
      </w:r>
      <w:r w:rsidRPr="00732645">
        <w:rPr>
          <w:rFonts w:ascii="Times New Roman" w:hAnsi="Times New Roman" w:cs="Times New Roman"/>
          <w:sz w:val="28"/>
          <w:szCs w:val="28"/>
        </w:rPr>
        <w:t xml:space="preserve"> The context of this verse indicates that the Gospel of John does not reject the spiritual heritage of the pre-Christian Jewish religion. </w:t>
      </w:r>
      <w:r w:rsidRPr="00732645">
        <w:rPr>
          <w:rFonts w:ascii="Times New Roman" w:hAnsi="Times New Roman" w:cs="Times New Roman"/>
          <w:sz w:val="28"/>
          <w:szCs w:val="28"/>
        </w:rPr>
        <w:lastRenderedPageBreak/>
        <w:t>Moreover, it has Jesus explicitly self-identifying with the Jews, a people who “understand what they worship,” for “salvation is from the Jews.”</w:t>
      </w:r>
      <w:r w:rsidRPr="00732645">
        <w:rPr>
          <w:rStyle w:val="FootnoteReference"/>
          <w:rFonts w:ascii="Times New Roman" w:hAnsi="Times New Roman" w:cs="Times New Roman"/>
          <w:sz w:val="28"/>
          <w:szCs w:val="28"/>
        </w:rPr>
        <w:footnoteReference w:id="23"/>
      </w:r>
    </w:p>
    <w:p w14:paraId="244AC660" w14:textId="77777777" w:rsidR="00170D68" w:rsidRPr="00732645" w:rsidRDefault="00170D68" w:rsidP="00170D68">
      <w:pPr>
        <w:spacing w:line="360" w:lineRule="auto"/>
        <w:ind w:left="14" w:right="9"/>
        <w:jc w:val="both"/>
        <w:rPr>
          <w:rFonts w:ascii="Times New Roman" w:hAnsi="Times New Roman" w:cs="Times New Roman"/>
          <w:sz w:val="28"/>
          <w:szCs w:val="28"/>
        </w:rPr>
      </w:pPr>
    </w:p>
    <w:p w14:paraId="63A92458" w14:textId="77777777" w:rsidR="00170D68" w:rsidRPr="00732645" w:rsidRDefault="00170D68" w:rsidP="00170D68">
      <w:pPr>
        <w:spacing w:line="360" w:lineRule="auto"/>
        <w:jc w:val="both"/>
        <w:rPr>
          <w:rFonts w:ascii="Times New Roman" w:hAnsi="Times New Roman" w:cs="Times New Roman"/>
          <w:sz w:val="28"/>
          <w:szCs w:val="28"/>
          <w:lang w:bidi="ar-EG"/>
        </w:rPr>
      </w:pPr>
      <w:r w:rsidRPr="00732645">
        <w:rPr>
          <w:rFonts w:ascii="Times New Roman" w:hAnsi="Times New Roman" w:cs="Times New Roman"/>
          <w:sz w:val="28"/>
          <w:szCs w:val="28"/>
          <w:lang w:bidi="ar-EG"/>
        </w:rPr>
        <w:t>Within John, the behaviour of Jesus displays a spiritual openness that transcends the boundaries of ethnicity, gender, religious affiliations, personal moral records, cultic impurity, and political loyalties. Membership in the family of God is not restricted by restrictive borders stereotypically or realistically drawn around any group or individual. This is the consistent message of John: namely, that conventional stereotypical classifications of people in the ancient world should no longer play a role when it comes to the radically inclusive offer of salvation through Jesus. According to Burridge, “this gospel offers, then, both an affirmation of the distinctive identity of the Christian community and an active embracing of the world so as to manifest God’s love and life.” (Watt, Stereotypes, 308)</w:t>
      </w:r>
    </w:p>
    <w:p w14:paraId="6AE42B25" w14:textId="77777777" w:rsidR="00170D68" w:rsidRPr="00732645" w:rsidRDefault="00170D68" w:rsidP="00170D68">
      <w:pPr>
        <w:spacing w:line="360" w:lineRule="auto"/>
        <w:ind w:left="14" w:right="9"/>
        <w:jc w:val="both"/>
        <w:rPr>
          <w:rFonts w:ascii="Times New Roman" w:hAnsi="Times New Roman" w:cs="Times New Roman"/>
          <w:sz w:val="28"/>
          <w:szCs w:val="28"/>
        </w:rPr>
      </w:pPr>
    </w:p>
    <w:p w14:paraId="4E5808DA" w14:textId="77777777" w:rsidR="00170D68" w:rsidRPr="00732645" w:rsidRDefault="00170D68" w:rsidP="00170D68">
      <w:pPr>
        <w:autoSpaceDE w:val="0"/>
        <w:autoSpaceDN w:val="0"/>
        <w:adjustRightInd w:val="0"/>
        <w:spacing w:after="0" w:line="360" w:lineRule="auto"/>
        <w:jc w:val="both"/>
        <w:rPr>
          <w:rFonts w:ascii="Times New Roman" w:eastAsia="Brill-Roman" w:hAnsi="Times New Roman" w:cs="Times New Roman"/>
          <w:sz w:val="28"/>
          <w:szCs w:val="28"/>
        </w:rPr>
      </w:pPr>
      <w:r w:rsidRPr="00732645">
        <w:rPr>
          <w:rFonts w:ascii="Times New Roman" w:eastAsia="Brill-Roman" w:hAnsi="Times New Roman" w:cs="Times New Roman"/>
          <w:sz w:val="28"/>
          <w:szCs w:val="28"/>
        </w:rPr>
        <w:t>This openness to all is further confirmed in the development of the plot of the narrative. Jesus offers eternal life to the Jewish leader, Nicodemus (3:1</w:t>
      </w:r>
      <w:r>
        <w:rPr>
          <w:rFonts w:ascii="Times New Roman" w:eastAsia="Brill-Roman" w:hAnsi="Times New Roman" w:cs="Times New Roman"/>
          <w:sz w:val="28"/>
          <w:szCs w:val="28"/>
        </w:rPr>
        <w:t>-</w:t>
      </w:r>
      <w:r w:rsidRPr="00732645">
        <w:rPr>
          <w:rFonts w:ascii="Times New Roman" w:eastAsia="Brill-Roman" w:hAnsi="Times New Roman" w:cs="Times New Roman"/>
          <w:sz w:val="28"/>
          <w:szCs w:val="28"/>
        </w:rPr>
        <w:t>17), the Samaritan woman and her people, and the royal official and his household</w:t>
      </w:r>
      <w:r>
        <w:rPr>
          <w:rFonts w:ascii="Times New Roman" w:eastAsia="Brill-Roman" w:hAnsi="Times New Roman" w:cs="Times New Roman"/>
          <w:sz w:val="28"/>
          <w:szCs w:val="28"/>
        </w:rPr>
        <w:t xml:space="preserve"> </w:t>
      </w:r>
      <w:r w:rsidRPr="00732645">
        <w:rPr>
          <w:rFonts w:ascii="Times New Roman" w:eastAsia="Brill-Roman" w:hAnsi="Times New Roman" w:cs="Times New Roman"/>
          <w:sz w:val="28"/>
          <w:szCs w:val="28"/>
        </w:rPr>
        <w:t>(4:46</w:t>
      </w:r>
      <w:r>
        <w:rPr>
          <w:rFonts w:ascii="Times New Roman" w:eastAsia="Brill-Roman" w:hAnsi="Times New Roman" w:cs="Times New Roman"/>
          <w:sz w:val="28"/>
          <w:szCs w:val="28"/>
        </w:rPr>
        <w:t>-</w:t>
      </w:r>
      <w:r w:rsidRPr="00732645">
        <w:rPr>
          <w:rFonts w:ascii="Times New Roman" w:eastAsia="Brill-Roman" w:hAnsi="Times New Roman" w:cs="Times New Roman"/>
          <w:sz w:val="28"/>
          <w:szCs w:val="28"/>
        </w:rPr>
        <w:t xml:space="preserve">54), representing a variety of people from all walks of life. No matter what a people’s identity might </w:t>
      </w:r>
      <w:proofErr w:type="gramStart"/>
      <w:r w:rsidRPr="00732645">
        <w:rPr>
          <w:rFonts w:ascii="Times New Roman" w:eastAsia="Brill-Roman" w:hAnsi="Times New Roman" w:cs="Times New Roman"/>
          <w:sz w:val="28"/>
          <w:szCs w:val="28"/>
        </w:rPr>
        <w:t>be</w:t>
      </w:r>
      <w:proofErr w:type="gramEnd"/>
      <w:r w:rsidRPr="00732645">
        <w:rPr>
          <w:rFonts w:ascii="Times New Roman" w:eastAsia="Brill-Roman" w:hAnsi="Times New Roman" w:cs="Times New Roman"/>
          <w:sz w:val="28"/>
          <w:szCs w:val="28"/>
        </w:rPr>
        <w:t xml:space="preserve"> or which stereotypes might be ascribed to them, eternal life is available to all through faith in Jesus.</w:t>
      </w:r>
      <w:r w:rsidRPr="00732645">
        <w:rPr>
          <w:rFonts w:ascii="Times New Roman" w:hAnsi="Times New Roman" w:cs="Times New Roman"/>
          <w:sz w:val="28"/>
          <w:szCs w:val="28"/>
          <w:lang w:bidi="ar-EG"/>
        </w:rPr>
        <w:t>”</w:t>
      </w:r>
      <w:r>
        <w:rPr>
          <w:rStyle w:val="FootnoteReference"/>
          <w:rFonts w:ascii="Times New Roman" w:hAnsi="Times New Roman" w:cs="Times New Roman"/>
          <w:sz w:val="28"/>
          <w:szCs w:val="28"/>
          <w:lang w:bidi="ar-EG"/>
        </w:rPr>
        <w:footnoteReference w:id="24"/>
      </w:r>
      <w:r w:rsidRPr="00732645">
        <w:rPr>
          <w:rFonts w:ascii="Times New Roman" w:hAnsi="Times New Roman" w:cs="Times New Roman"/>
          <w:sz w:val="28"/>
          <w:szCs w:val="28"/>
          <w:lang w:bidi="ar-EG"/>
        </w:rPr>
        <w:t xml:space="preserve"> </w:t>
      </w:r>
      <w:r w:rsidRPr="00732645">
        <w:rPr>
          <w:rFonts w:ascii="Times New Roman" w:eastAsia="Brill-Roman" w:hAnsi="Times New Roman" w:cs="Times New Roman"/>
          <w:sz w:val="28"/>
          <w:szCs w:val="28"/>
        </w:rPr>
        <w:t xml:space="preserve">Boundaries between groups were sometimes flexible, depending on the contexts. In John 11:45–53, the Johannine group with their Judean opponents are presented as one in group over and against </w:t>
      </w:r>
      <w:r w:rsidRPr="00732645">
        <w:rPr>
          <w:rFonts w:ascii="Times New Roman" w:eastAsia="Brill-Roman" w:hAnsi="Times New Roman" w:cs="Times New Roman"/>
          <w:sz w:val="28"/>
          <w:szCs w:val="28"/>
        </w:rPr>
        <w:lastRenderedPageBreak/>
        <w:t>the Romans who might come and destroy them, because they are seen as part of one group, while in other contexts the Johannine group regards the Jewish opponents as out-group, which in part views Jesus and his Galilean band as the out-group. Nonetheless, attention is merited regarding two groups that play somewhat textured roles in the narrative, namely, the Greeks and the Romans.</w:t>
      </w:r>
      <w:r w:rsidRPr="00732645">
        <w:rPr>
          <w:rFonts w:ascii="Times New Roman" w:hAnsi="Times New Roman" w:cs="Times New Roman"/>
          <w:sz w:val="28"/>
          <w:szCs w:val="28"/>
          <w:lang w:bidi="ar-EG"/>
        </w:rPr>
        <w:t>”</w:t>
      </w:r>
      <w:r>
        <w:rPr>
          <w:rStyle w:val="FootnoteReference"/>
          <w:rFonts w:ascii="Times New Roman" w:hAnsi="Times New Roman" w:cs="Times New Roman"/>
          <w:sz w:val="28"/>
          <w:szCs w:val="28"/>
          <w:lang w:bidi="ar-EG"/>
        </w:rPr>
        <w:footnoteReference w:id="25"/>
      </w:r>
      <w:r w:rsidRPr="00732645">
        <w:rPr>
          <w:rFonts w:ascii="Times New Roman" w:hAnsi="Times New Roman" w:cs="Times New Roman"/>
          <w:sz w:val="28"/>
          <w:szCs w:val="28"/>
          <w:lang w:bidi="ar-EG"/>
        </w:rPr>
        <w:t xml:space="preserve"> </w:t>
      </w:r>
    </w:p>
    <w:p w14:paraId="225867F1" w14:textId="77777777" w:rsidR="00170D68" w:rsidRPr="00732645" w:rsidRDefault="00170D68" w:rsidP="00170D68">
      <w:pPr>
        <w:autoSpaceDE w:val="0"/>
        <w:autoSpaceDN w:val="0"/>
        <w:adjustRightInd w:val="0"/>
        <w:spacing w:after="0" w:line="360" w:lineRule="auto"/>
        <w:jc w:val="both"/>
        <w:rPr>
          <w:rFonts w:ascii="Times New Roman" w:hAnsi="Times New Roman" w:cs="Times New Roman"/>
          <w:sz w:val="28"/>
          <w:szCs w:val="28"/>
          <w:lang w:bidi="ar-EG"/>
        </w:rPr>
      </w:pPr>
    </w:p>
    <w:p w14:paraId="34984CBD" w14:textId="77777777" w:rsidR="00170D68" w:rsidRPr="00732645" w:rsidRDefault="00170D68" w:rsidP="00170D68">
      <w:pPr>
        <w:autoSpaceDE w:val="0"/>
        <w:autoSpaceDN w:val="0"/>
        <w:adjustRightInd w:val="0"/>
        <w:spacing w:after="0" w:line="360" w:lineRule="auto"/>
        <w:jc w:val="both"/>
        <w:rPr>
          <w:rFonts w:ascii="Times New Roman" w:hAnsi="Times New Roman" w:cs="Times New Roman"/>
          <w:sz w:val="28"/>
          <w:szCs w:val="28"/>
          <w:lang w:bidi="ar-EG"/>
        </w:rPr>
      </w:pPr>
      <w:r w:rsidRPr="00732645">
        <w:rPr>
          <w:rFonts w:ascii="Times New Roman" w:eastAsia="Brill-Roman" w:hAnsi="Times New Roman" w:cs="Times New Roman"/>
          <w:sz w:val="28"/>
          <w:szCs w:val="28"/>
        </w:rPr>
        <w:t>The consistent message of John is that the stereotypical classification of people as was current in the ancient world and in the Johannine situation should no longer play any role when it comes to the offer of salvation through Jesus as the Christ. Burridge notes: “this gospel offers, then, both an affirmation of the distinctive identity of the Christian community and an active embracing of the world so as to manifest God’s love and life.”</w:t>
      </w:r>
      <w:r w:rsidRPr="00732645">
        <w:rPr>
          <w:rStyle w:val="FootnoteReference"/>
          <w:rFonts w:ascii="Times New Roman" w:eastAsia="Brill-Roman" w:hAnsi="Times New Roman" w:cs="Times New Roman"/>
          <w:sz w:val="28"/>
          <w:szCs w:val="28"/>
        </w:rPr>
        <w:footnoteReference w:id="26"/>
      </w:r>
      <w:r w:rsidRPr="00732645">
        <w:rPr>
          <w:rFonts w:ascii="Times New Roman" w:eastAsia="Brill-Roman" w:hAnsi="Times New Roman" w:cs="Times New Roman"/>
          <w:sz w:val="28"/>
          <w:szCs w:val="28"/>
        </w:rPr>
        <w:t xml:space="preserve"> The implications of ignoring stereotypical classifications are significant. If Samaritans, Greeks (gentiles, whoever they are), Jews, and even officials of the Roman rule are welcome within the family of God, it means for John that they will all be treated as brothers and sisters, or as friends (15:13–15).</w:t>
      </w:r>
      <w:r>
        <w:rPr>
          <w:rStyle w:val="FootnoteReference"/>
          <w:rFonts w:ascii="Times New Roman" w:eastAsia="Brill-Roman" w:hAnsi="Times New Roman" w:cs="Times New Roman"/>
          <w:sz w:val="28"/>
          <w:szCs w:val="28"/>
        </w:rPr>
        <w:footnoteReference w:id="27"/>
      </w:r>
      <w:r w:rsidRPr="00732645">
        <w:rPr>
          <w:rFonts w:ascii="Times New Roman" w:eastAsia="Brill-Roman" w:hAnsi="Times New Roman" w:cs="Times New Roman"/>
          <w:sz w:val="28"/>
          <w:szCs w:val="28"/>
        </w:rPr>
        <w:t xml:space="preserve"> </w:t>
      </w:r>
    </w:p>
    <w:p w14:paraId="51C4AD60" w14:textId="77777777" w:rsidR="00170D68" w:rsidRPr="00732645" w:rsidRDefault="00170D68" w:rsidP="00170D68">
      <w:pPr>
        <w:autoSpaceDE w:val="0"/>
        <w:autoSpaceDN w:val="0"/>
        <w:adjustRightInd w:val="0"/>
        <w:spacing w:after="0" w:line="360" w:lineRule="auto"/>
        <w:jc w:val="both"/>
        <w:rPr>
          <w:rFonts w:ascii="Times New Roman" w:hAnsi="Times New Roman" w:cs="Times New Roman"/>
          <w:sz w:val="28"/>
          <w:szCs w:val="28"/>
          <w:lang w:bidi="ar-EG"/>
        </w:rPr>
      </w:pPr>
    </w:p>
    <w:p w14:paraId="013C16FE" w14:textId="77777777" w:rsidR="00170D68" w:rsidRPr="00732645" w:rsidRDefault="00170D68" w:rsidP="00170D68">
      <w:pPr>
        <w:autoSpaceDE w:val="0"/>
        <w:autoSpaceDN w:val="0"/>
        <w:adjustRightInd w:val="0"/>
        <w:spacing w:after="0" w:line="360" w:lineRule="auto"/>
        <w:jc w:val="both"/>
        <w:rPr>
          <w:rFonts w:ascii="Times New Roman" w:eastAsia="Brill-Roman" w:hAnsi="Times New Roman" w:cs="Times New Roman"/>
          <w:sz w:val="28"/>
          <w:szCs w:val="28"/>
        </w:rPr>
      </w:pPr>
      <w:r w:rsidRPr="00732645">
        <w:rPr>
          <w:rFonts w:ascii="Times New Roman" w:hAnsi="Times New Roman" w:cs="Times New Roman"/>
          <w:sz w:val="28"/>
          <w:szCs w:val="28"/>
          <w:lang w:bidi="ar-EG"/>
        </w:rPr>
        <w:t xml:space="preserve">If the above-mentioned groups are not excluded from the family of God, Muslims, based on the same ground, should be included too. Especially because they love Jesus and considering believing in him (as a prophet of God) as a pillar of their faith. </w:t>
      </w:r>
      <w:r w:rsidRPr="00732645">
        <w:rPr>
          <w:rFonts w:ascii="Times New Roman" w:eastAsia="Brill-Roman" w:hAnsi="Times New Roman" w:cs="Times New Roman"/>
          <w:sz w:val="28"/>
          <w:szCs w:val="28"/>
        </w:rPr>
        <w:t>The dominant social sphere of anyone who believes in Jesus is now the family of God, which forms the dominant reality that determines all existence. This redefinition of social relations and status is framed within the Johannine ethical expectations of love and friendship. The attitude of openness, unity, and acceptance dominates this ethical approach.</w:t>
      </w:r>
      <w:r>
        <w:rPr>
          <w:rStyle w:val="FootnoteReference"/>
          <w:rFonts w:ascii="Times New Roman" w:eastAsia="Brill-Roman" w:hAnsi="Times New Roman" w:cs="Times New Roman"/>
          <w:sz w:val="28"/>
          <w:szCs w:val="28"/>
        </w:rPr>
        <w:footnoteReference w:id="28"/>
      </w:r>
    </w:p>
    <w:p w14:paraId="794ABCF3" w14:textId="77777777" w:rsidR="00170D68" w:rsidRPr="00732645" w:rsidRDefault="00170D68" w:rsidP="00170D68">
      <w:pPr>
        <w:spacing w:line="360" w:lineRule="auto"/>
        <w:jc w:val="both"/>
        <w:rPr>
          <w:rFonts w:ascii="Times New Roman" w:hAnsi="Times New Roman" w:cs="Times New Roman"/>
          <w:sz w:val="28"/>
          <w:szCs w:val="28"/>
          <w:lang w:bidi="ar-EG"/>
        </w:rPr>
      </w:pPr>
      <w:r w:rsidRPr="00732645">
        <w:rPr>
          <w:rFonts w:ascii="Times New Roman" w:hAnsi="Times New Roman" w:cs="Times New Roman"/>
          <w:sz w:val="28"/>
          <w:szCs w:val="28"/>
          <w:lang w:bidi="ar-EG"/>
        </w:rPr>
        <w:lastRenderedPageBreak/>
        <w:t>Koester stresses another dimension of the discussion; for whom Jesus is the Way? Or more potentially for whom did Christ die? According to the Fourth Gospel, Jesus went all the way of the cross for all people. In the beginning chapter, John the Baptist foreshadows “the way of the Lord” (1:23) by pointing to “the Lamb of God who takes away the sin of the world” (1:29), by pointing to the Lamb of God who takes away the sin of the world” (1:29). This motif is motivated by the divine love which draws “the way” in reality.</w:t>
      </w:r>
      <w:r>
        <w:rPr>
          <w:rStyle w:val="FootnoteReference"/>
          <w:rFonts w:ascii="Times New Roman" w:hAnsi="Times New Roman" w:cs="Times New Roman"/>
          <w:sz w:val="28"/>
          <w:szCs w:val="28"/>
          <w:lang w:bidi="ar-EG"/>
        </w:rPr>
        <w:footnoteReference w:id="29"/>
      </w:r>
      <w:r w:rsidRPr="00732645">
        <w:rPr>
          <w:rFonts w:ascii="Times New Roman" w:hAnsi="Times New Roman" w:cs="Times New Roman"/>
          <w:sz w:val="28"/>
          <w:szCs w:val="28"/>
          <w:lang w:bidi="ar-EG"/>
        </w:rPr>
        <w:t xml:space="preserve"> Jesus went to the cross not only to show love to his followers (13:1) but also to reveal the love of God who sent him in order that the world’s relationship with God might be restored (3:16). So, according to Koester, the absolute quality of the statement “I Am the way” expresses the absolute quality of God’s love for the world.</w:t>
      </w:r>
      <w:r>
        <w:rPr>
          <w:rStyle w:val="FootnoteReference"/>
          <w:rFonts w:ascii="Times New Roman" w:hAnsi="Times New Roman" w:cs="Times New Roman"/>
          <w:sz w:val="28"/>
          <w:szCs w:val="28"/>
          <w:lang w:bidi="ar-EG"/>
        </w:rPr>
        <w:footnoteReference w:id="30"/>
      </w:r>
    </w:p>
    <w:p w14:paraId="433FBCB3" w14:textId="77777777" w:rsidR="00170D68" w:rsidRPr="00732645" w:rsidRDefault="00170D68" w:rsidP="00170D68">
      <w:pPr>
        <w:spacing w:line="360" w:lineRule="auto"/>
        <w:jc w:val="both"/>
        <w:rPr>
          <w:rFonts w:ascii="Times New Roman" w:hAnsi="Times New Roman" w:cs="Times New Roman"/>
          <w:sz w:val="28"/>
          <w:szCs w:val="28"/>
        </w:rPr>
      </w:pPr>
    </w:p>
    <w:p w14:paraId="7F36FF28" w14:textId="77777777" w:rsidR="00170D68" w:rsidRPr="00732645" w:rsidRDefault="00170D68" w:rsidP="00170D68">
      <w:pPr>
        <w:spacing w:line="360" w:lineRule="auto"/>
        <w:jc w:val="both"/>
        <w:rPr>
          <w:rFonts w:ascii="Times New Roman" w:hAnsi="Times New Roman" w:cs="Times New Roman"/>
          <w:sz w:val="28"/>
          <w:szCs w:val="28"/>
        </w:rPr>
      </w:pPr>
      <w:r w:rsidRPr="00732645">
        <w:rPr>
          <w:rFonts w:ascii="Times New Roman" w:hAnsi="Times New Roman" w:cs="Times New Roman"/>
          <w:sz w:val="28"/>
          <w:szCs w:val="28"/>
        </w:rPr>
        <w:t>To conclude, however the exclusivist connotation of some biblical verses, like John 14:6, they should be interpreted at the light of the whole narrative of the Fourth Gospel which stresses that the whole peoples are part of the family of God for whom Jesus did die. Even if the exclusivist meaning is adopted, this does not necessitate social exclusivism because Jesus says: “L</w:t>
      </w:r>
      <w:r w:rsidRPr="00732645">
        <w:rPr>
          <w:rFonts w:ascii="Times New Roman" w:hAnsi="Times New Roman" w:cs="Times New Roman"/>
          <w:color w:val="000000"/>
          <w:sz w:val="28"/>
          <w:szCs w:val="28"/>
          <w:shd w:val="clear" w:color="auto" w:fill="FFFFFF"/>
        </w:rPr>
        <w:t>ove your enemies and pray for those who persecute you”</w:t>
      </w:r>
      <w:r w:rsidRPr="00732645">
        <w:rPr>
          <w:rFonts w:ascii="Times New Roman" w:hAnsi="Times New Roman" w:cs="Times New Roman"/>
          <w:sz w:val="28"/>
          <w:szCs w:val="28"/>
        </w:rPr>
        <w:t xml:space="preserve"> (Matthew 5:44).</w:t>
      </w:r>
    </w:p>
    <w:p w14:paraId="7BE7A374" w14:textId="77777777" w:rsidR="00170D68" w:rsidRPr="00732645" w:rsidRDefault="00170D68" w:rsidP="00170D68">
      <w:pPr>
        <w:spacing w:line="360" w:lineRule="auto"/>
        <w:rPr>
          <w:rFonts w:ascii="Times New Roman" w:hAnsi="Times New Roman" w:cs="Times New Roman"/>
          <w:sz w:val="28"/>
          <w:szCs w:val="28"/>
        </w:rPr>
      </w:pPr>
      <w:r w:rsidRPr="00732645">
        <w:rPr>
          <w:rFonts w:ascii="Times New Roman" w:hAnsi="Times New Roman" w:cs="Times New Roman"/>
          <w:sz w:val="28"/>
          <w:szCs w:val="28"/>
        </w:rPr>
        <w:t xml:space="preserve">  </w:t>
      </w:r>
    </w:p>
    <w:p w14:paraId="049EB2D7" w14:textId="224D2E81" w:rsidR="003E3F95" w:rsidRPr="00042FA1" w:rsidRDefault="00170D68">
      <w:pPr>
        <w:rPr>
          <w:rFonts w:asciiTheme="majorBidi" w:hAnsiTheme="majorBidi" w:cstheme="majorBidi"/>
          <w:b/>
          <w:bCs/>
          <w:sz w:val="28"/>
          <w:szCs w:val="28"/>
        </w:rPr>
      </w:pPr>
      <w:r w:rsidRPr="00042FA1">
        <w:rPr>
          <w:rFonts w:asciiTheme="majorBidi" w:hAnsiTheme="majorBidi" w:cstheme="majorBidi"/>
          <w:b/>
          <w:bCs/>
          <w:sz w:val="28"/>
          <w:szCs w:val="28"/>
        </w:rPr>
        <w:t xml:space="preserve">Bibliography </w:t>
      </w:r>
    </w:p>
    <w:p w14:paraId="05FDD486" w14:textId="75CEBAFE" w:rsidR="00170D68" w:rsidRDefault="00170D68"/>
    <w:p w14:paraId="03995F4A" w14:textId="77777777" w:rsidR="00042FA1" w:rsidRPr="00B8189C" w:rsidRDefault="00042FA1" w:rsidP="00042FA1">
      <w:pPr>
        <w:pStyle w:val="ListParagraph"/>
        <w:numPr>
          <w:ilvl w:val="0"/>
          <w:numId w:val="1"/>
        </w:numPr>
        <w:rPr>
          <w:rFonts w:asciiTheme="majorBidi" w:hAnsiTheme="majorBidi" w:cstheme="majorBidi"/>
          <w:sz w:val="28"/>
          <w:szCs w:val="28"/>
        </w:rPr>
      </w:pPr>
      <w:bookmarkStart w:id="4" w:name="_Hlk10232175"/>
      <w:r w:rsidRPr="00B8189C">
        <w:rPr>
          <w:rFonts w:asciiTheme="majorBidi" w:hAnsiTheme="majorBidi" w:cstheme="majorBidi"/>
          <w:sz w:val="28"/>
          <w:szCs w:val="28"/>
        </w:rPr>
        <w:t>Culpepper</w:t>
      </w:r>
      <w:r>
        <w:rPr>
          <w:rFonts w:asciiTheme="majorBidi" w:hAnsiTheme="majorBidi" w:cstheme="majorBidi"/>
          <w:sz w:val="28"/>
          <w:szCs w:val="28"/>
        </w:rPr>
        <w:t xml:space="preserve">, </w:t>
      </w:r>
      <w:r w:rsidRPr="00B8189C">
        <w:rPr>
          <w:rFonts w:asciiTheme="majorBidi" w:hAnsiTheme="majorBidi" w:cstheme="majorBidi"/>
          <w:sz w:val="28"/>
          <w:szCs w:val="28"/>
        </w:rPr>
        <w:t xml:space="preserve">R. Alan, “Preaching the Hostile References to “the Jews” in the Gospel of John”, in </w:t>
      </w:r>
      <w:r w:rsidRPr="00B8189C">
        <w:rPr>
          <w:rFonts w:asciiTheme="majorBidi" w:hAnsiTheme="majorBidi" w:cstheme="majorBidi"/>
          <w:i/>
          <w:iCs/>
          <w:sz w:val="28"/>
          <w:szCs w:val="28"/>
        </w:rPr>
        <w:t>The Gospel of John and Jewish–Christian Relations</w:t>
      </w:r>
      <w:r w:rsidRPr="00B8189C">
        <w:rPr>
          <w:rFonts w:asciiTheme="majorBidi" w:hAnsiTheme="majorBidi" w:cstheme="majorBidi"/>
          <w:sz w:val="28"/>
          <w:szCs w:val="28"/>
        </w:rPr>
        <w:t xml:space="preserve">, ed. Adele </w:t>
      </w:r>
      <w:proofErr w:type="spellStart"/>
      <w:r w:rsidRPr="00B8189C">
        <w:rPr>
          <w:rFonts w:asciiTheme="majorBidi" w:hAnsiTheme="majorBidi" w:cstheme="majorBidi"/>
          <w:sz w:val="28"/>
          <w:szCs w:val="28"/>
        </w:rPr>
        <w:t>Reinhartz</w:t>
      </w:r>
      <w:proofErr w:type="spellEnd"/>
      <w:r w:rsidRPr="00B8189C">
        <w:rPr>
          <w:rFonts w:asciiTheme="majorBidi" w:hAnsiTheme="majorBidi" w:cstheme="majorBidi"/>
          <w:sz w:val="28"/>
          <w:szCs w:val="28"/>
        </w:rPr>
        <w:t>. (Fortress Academic. Kindle Edition),</w:t>
      </w:r>
    </w:p>
    <w:p w14:paraId="2DE95920" w14:textId="77777777" w:rsidR="00042FA1" w:rsidRPr="00B8189C" w:rsidRDefault="00042FA1" w:rsidP="00042FA1">
      <w:pPr>
        <w:pStyle w:val="ListParagraph"/>
        <w:numPr>
          <w:ilvl w:val="0"/>
          <w:numId w:val="1"/>
        </w:numPr>
        <w:rPr>
          <w:rFonts w:asciiTheme="majorBidi" w:hAnsiTheme="majorBidi" w:cstheme="majorBidi"/>
          <w:sz w:val="28"/>
          <w:szCs w:val="28"/>
        </w:rPr>
      </w:pPr>
      <w:bookmarkStart w:id="5" w:name="_Hlk10230739"/>
      <w:r>
        <w:rPr>
          <w:rFonts w:asciiTheme="majorBidi" w:hAnsiTheme="majorBidi" w:cstheme="majorBidi"/>
          <w:sz w:val="28"/>
          <w:szCs w:val="28"/>
          <w:shd w:val="clear" w:color="auto" w:fill="FFFFFF"/>
        </w:rPr>
        <w:lastRenderedPageBreak/>
        <w:t>_____</w:t>
      </w:r>
      <w:r w:rsidRPr="00B8189C">
        <w:rPr>
          <w:rFonts w:asciiTheme="majorBidi" w:hAnsiTheme="majorBidi" w:cstheme="majorBidi"/>
          <w:sz w:val="28"/>
          <w:szCs w:val="28"/>
        </w:rPr>
        <w:t>, “</w:t>
      </w:r>
      <w:r w:rsidRPr="00160B93">
        <w:rPr>
          <w:rFonts w:asciiTheme="majorBidi" w:hAnsiTheme="majorBidi" w:cstheme="majorBidi"/>
          <w:sz w:val="28"/>
          <w:szCs w:val="28"/>
        </w:rPr>
        <w:t>The Gospel of John as a Document of Faith</w:t>
      </w:r>
      <w:r w:rsidRPr="00B8189C">
        <w:rPr>
          <w:rFonts w:asciiTheme="majorBidi" w:hAnsiTheme="majorBidi" w:cstheme="majorBidi"/>
          <w:sz w:val="28"/>
          <w:szCs w:val="28"/>
        </w:rPr>
        <w:t xml:space="preserve"> in</w:t>
      </w:r>
      <w:r w:rsidRPr="00B8189C">
        <w:rPr>
          <w:rFonts w:asciiTheme="majorBidi" w:hAnsiTheme="majorBidi" w:cstheme="majorBidi"/>
          <w:b/>
          <w:bCs/>
          <w:sz w:val="28"/>
          <w:szCs w:val="28"/>
        </w:rPr>
        <w:t xml:space="preserve"> </w:t>
      </w:r>
      <w:r w:rsidRPr="00B8189C">
        <w:rPr>
          <w:rFonts w:asciiTheme="majorBidi" w:hAnsiTheme="majorBidi" w:cstheme="majorBidi"/>
          <w:sz w:val="28"/>
          <w:szCs w:val="28"/>
        </w:rPr>
        <w:t xml:space="preserve">a Pluralistic Culture”, in </w:t>
      </w:r>
      <w:r w:rsidRPr="00B8189C">
        <w:rPr>
          <w:rFonts w:asciiTheme="majorBidi" w:hAnsiTheme="majorBidi" w:cstheme="majorBidi"/>
          <w:i/>
          <w:iCs/>
          <w:sz w:val="28"/>
          <w:szCs w:val="28"/>
        </w:rPr>
        <w:t xml:space="preserve">What is John? </w:t>
      </w:r>
      <w:r>
        <w:rPr>
          <w:rFonts w:asciiTheme="majorBidi" w:hAnsiTheme="majorBidi" w:cstheme="majorBidi"/>
          <w:i/>
          <w:iCs/>
          <w:sz w:val="28"/>
          <w:szCs w:val="28"/>
        </w:rPr>
        <w:t>R</w:t>
      </w:r>
      <w:r w:rsidRPr="00B8189C">
        <w:rPr>
          <w:rFonts w:asciiTheme="majorBidi" w:hAnsiTheme="majorBidi" w:cstheme="majorBidi"/>
          <w:i/>
          <w:iCs/>
          <w:sz w:val="28"/>
          <w:szCs w:val="28"/>
        </w:rPr>
        <w:t xml:space="preserve">eaders and </w:t>
      </w:r>
      <w:r>
        <w:rPr>
          <w:rFonts w:asciiTheme="majorBidi" w:hAnsiTheme="majorBidi" w:cstheme="majorBidi"/>
          <w:i/>
          <w:iCs/>
          <w:sz w:val="28"/>
          <w:szCs w:val="28"/>
        </w:rPr>
        <w:t>R</w:t>
      </w:r>
      <w:r w:rsidRPr="00B8189C">
        <w:rPr>
          <w:rFonts w:asciiTheme="majorBidi" w:hAnsiTheme="majorBidi" w:cstheme="majorBidi"/>
          <w:i/>
          <w:iCs/>
          <w:sz w:val="28"/>
          <w:szCs w:val="28"/>
        </w:rPr>
        <w:t xml:space="preserve">eadings of the </w:t>
      </w:r>
      <w:r>
        <w:rPr>
          <w:rFonts w:asciiTheme="majorBidi" w:hAnsiTheme="majorBidi" w:cstheme="majorBidi"/>
          <w:i/>
          <w:iCs/>
          <w:sz w:val="28"/>
          <w:szCs w:val="28"/>
        </w:rPr>
        <w:t>F</w:t>
      </w:r>
      <w:r w:rsidRPr="00B8189C">
        <w:rPr>
          <w:rFonts w:asciiTheme="majorBidi" w:hAnsiTheme="majorBidi" w:cstheme="majorBidi"/>
          <w:i/>
          <w:iCs/>
          <w:sz w:val="28"/>
          <w:szCs w:val="28"/>
        </w:rPr>
        <w:t xml:space="preserve">ourth Gospel, </w:t>
      </w:r>
      <w:r w:rsidRPr="00B8189C">
        <w:rPr>
          <w:rFonts w:asciiTheme="majorBidi" w:hAnsiTheme="majorBidi" w:cstheme="majorBidi"/>
          <w:sz w:val="28"/>
          <w:szCs w:val="28"/>
        </w:rPr>
        <w:t>ed. Fernando F. Segovia (Scholars Press, 1996)</w:t>
      </w:r>
      <w:bookmarkEnd w:id="5"/>
      <w:r>
        <w:rPr>
          <w:rFonts w:asciiTheme="majorBidi" w:hAnsiTheme="majorBidi" w:cstheme="majorBidi"/>
          <w:sz w:val="28"/>
          <w:szCs w:val="28"/>
        </w:rPr>
        <w:t>.</w:t>
      </w:r>
    </w:p>
    <w:p w14:paraId="6C0CDFCA" w14:textId="77777777" w:rsidR="00042FA1" w:rsidRPr="002647CC" w:rsidRDefault="00042FA1" w:rsidP="00042FA1">
      <w:pPr>
        <w:pStyle w:val="ListParagraph"/>
        <w:numPr>
          <w:ilvl w:val="0"/>
          <w:numId w:val="1"/>
        </w:numPr>
        <w:rPr>
          <w:rFonts w:asciiTheme="majorBidi" w:hAnsiTheme="majorBidi" w:cstheme="majorBidi"/>
          <w:sz w:val="28"/>
          <w:szCs w:val="28"/>
        </w:rPr>
      </w:pPr>
      <w:bookmarkStart w:id="6" w:name="_Hlk10226697"/>
      <w:r>
        <w:rPr>
          <w:rFonts w:asciiTheme="majorBidi" w:hAnsiTheme="majorBidi" w:cstheme="majorBidi"/>
          <w:sz w:val="28"/>
          <w:szCs w:val="28"/>
          <w:shd w:val="clear" w:color="auto" w:fill="FFFFFF"/>
        </w:rPr>
        <w:t>_____</w:t>
      </w:r>
      <w:r w:rsidRPr="00B8189C">
        <w:rPr>
          <w:rFonts w:asciiTheme="majorBidi" w:hAnsiTheme="majorBidi" w:cstheme="majorBidi"/>
          <w:sz w:val="28"/>
          <w:szCs w:val="28"/>
          <w:shd w:val="clear" w:color="auto" w:fill="FFFFFF"/>
        </w:rPr>
        <w:t>, R. Alan</w:t>
      </w:r>
      <w:r w:rsidRPr="00B8189C">
        <w:rPr>
          <w:rFonts w:asciiTheme="majorBidi" w:hAnsiTheme="majorBidi" w:cstheme="majorBidi"/>
          <w:sz w:val="28"/>
          <w:szCs w:val="28"/>
        </w:rPr>
        <w:t xml:space="preserve">, </w:t>
      </w:r>
      <w:r w:rsidRPr="002647CC">
        <w:rPr>
          <w:rFonts w:asciiTheme="majorBidi" w:hAnsiTheme="majorBidi" w:cstheme="majorBidi"/>
          <w:i/>
          <w:iCs/>
          <w:sz w:val="28"/>
          <w:szCs w:val="28"/>
        </w:rPr>
        <w:t>Anatomy of the Fourth Gospel</w:t>
      </w:r>
      <w:r w:rsidRPr="00B8189C">
        <w:rPr>
          <w:rFonts w:asciiTheme="majorBidi" w:hAnsiTheme="majorBidi" w:cstheme="majorBidi"/>
          <w:sz w:val="28"/>
          <w:szCs w:val="28"/>
        </w:rPr>
        <w:t xml:space="preserve">, (Minneapolis, MN: </w:t>
      </w:r>
      <w:r w:rsidRPr="00B8189C">
        <w:rPr>
          <w:rFonts w:asciiTheme="majorBidi" w:hAnsiTheme="majorBidi" w:cstheme="majorBidi"/>
          <w:sz w:val="28"/>
          <w:szCs w:val="28"/>
          <w:shd w:val="clear" w:color="auto" w:fill="FFFFFF"/>
        </w:rPr>
        <w:t>Fortress Press, 1983)</w:t>
      </w:r>
      <w:bookmarkEnd w:id="6"/>
      <w:r w:rsidRPr="00B8189C">
        <w:rPr>
          <w:rFonts w:asciiTheme="majorBidi" w:hAnsiTheme="majorBidi" w:cstheme="majorBidi"/>
          <w:sz w:val="28"/>
          <w:szCs w:val="28"/>
          <w:shd w:val="clear" w:color="auto" w:fill="FFFFFF"/>
        </w:rPr>
        <w:t>.</w:t>
      </w:r>
    </w:p>
    <w:p w14:paraId="44F226F1" w14:textId="77777777" w:rsidR="00042FA1" w:rsidRPr="00B8189C" w:rsidRDefault="00042FA1" w:rsidP="00042FA1">
      <w:pPr>
        <w:pStyle w:val="ListParagraph"/>
        <w:numPr>
          <w:ilvl w:val="0"/>
          <w:numId w:val="1"/>
        </w:numPr>
        <w:rPr>
          <w:rFonts w:asciiTheme="majorBidi" w:hAnsiTheme="majorBidi" w:cstheme="majorBidi"/>
          <w:sz w:val="28"/>
          <w:szCs w:val="28"/>
        </w:rPr>
      </w:pPr>
      <w:r w:rsidRPr="00B8189C">
        <w:rPr>
          <w:rFonts w:asciiTheme="majorBidi" w:hAnsiTheme="majorBidi" w:cstheme="majorBidi"/>
          <w:sz w:val="28"/>
          <w:szCs w:val="28"/>
        </w:rPr>
        <w:t>Koester, Craig R.</w:t>
      </w:r>
      <w:bookmarkStart w:id="7" w:name="_Hlk10231754"/>
      <w:r w:rsidRPr="00B8189C">
        <w:rPr>
          <w:rFonts w:asciiTheme="majorBidi" w:hAnsiTheme="majorBidi" w:cstheme="majorBidi"/>
          <w:sz w:val="28"/>
          <w:szCs w:val="28"/>
        </w:rPr>
        <w:t xml:space="preserve">, </w:t>
      </w:r>
      <w:r w:rsidRPr="00B8189C">
        <w:rPr>
          <w:rFonts w:asciiTheme="majorBidi" w:hAnsiTheme="majorBidi" w:cstheme="majorBidi"/>
          <w:i/>
          <w:iCs/>
          <w:sz w:val="28"/>
          <w:szCs w:val="28"/>
        </w:rPr>
        <w:t>Symbolism in the Fourth Gospel: Meaning, Mystery, Community</w:t>
      </w:r>
      <w:r w:rsidRPr="00B8189C">
        <w:rPr>
          <w:rFonts w:asciiTheme="majorBidi" w:hAnsiTheme="majorBidi" w:cstheme="majorBidi"/>
          <w:sz w:val="28"/>
          <w:szCs w:val="28"/>
        </w:rPr>
        <w:t xml:space="preserve">, </w:t>
      </w:r>
      <w:bookmarkEnd w:id="7"/>
      <w:r w:rsidRPr="00B8189C">
        <w:rPr>
          <w:rFonts w:asciiTheme="majorBidi" w:hAnsiTheme="majorBidi" w:cstheme="majorBidi"/>
          <w:sz w:val="28"/>
          <w:szCs w:val="28"/>
        </w:rPr>
        <w:t xml:space="preserve">(Minneapolis, MN: </w:t>
      </w:r>
      <w:r w:rsidRPr="00B8189C">
        <w:rPr>
          <w:rFonts w:asciiTheme="majorBidi" w:hAnsiTheme="majorBidi" w:cstheme="majorBidi"/>
          <w:sz w:val="28"/>
          <w:szCs w:val="28"/>
          <w:shd w:val="clear" w:color="auto" w:fill="FFFFFF"/>
        </w:rPr>
        <w:t>Fortress Press, 2003).</w:t>
      </w:r>
    </w:p>
    <w:p w14:paraId="18CCCE62" w14:textId="77777777" w:rsidR="00042FA1" w:rsidRPr="00B8189C" w:rsidRDefault="00042FA1" w:rsidP="00042FA1">
      <w:pPr>
        <w:pStyle w:val="ListParagraph"/>
        <w:numPr>
          <w:ilvl w:val="0"/>
          <w:numId w:val="1"/>
        </w:numPr>
        <w:rPr>
          <w:rFonts w:asciiTheme="majorBidi" w:hAnsiTheme="majorBidi" w:cstheme="majorBidi"/>
          <w:sz w:val="28"/>
          <w:szCs w:val="28"/>
        </w:rPr>
      </w:pPr>
      <w:bookmarkStart w:id="8" w:name="_Hlk10228669"/>
      <w:r w:rsidRPr="00B8189C">
        <w:rPr>
          <w:rFonts w:asciiTheme="majorBidi" w:hAnsiTheme="majorBidi" w:cstheme="majorBidi"/>
          <w:sz w:val="28"/>
          <w:szCs w:val="28"/>
          <w:shd w:val="clear" w:color="auto" w:fill="FFFFFF"/>
        </w:rPr>
        <w:t>Lincoln</w:t>
      </w:r>
      <w:r>
        <w:rPr>
          <w:rFonts w:asciiTheme="majorBidi" w:hAnsiTheme="majorBidi" w:cstheme="majorBidi"/>
          <w:sz w:val="28"/>
          <w:szCs w:val="28"/>
          <w:shd w:val="clear" w:color="auto" w:fill="FFFFFF"/>
        </w:rPr>
        <w:t xml:space="preserve">, </w:t>
      </w:r>
      <w:r w:rsidRPr="00B8189C">
        <w:rPr>
          <w:rFonts w:asciiTheme="majorBidi" w:hAnsiTheme="majorBidi" w:cstheme="majorBidi"/>
          <w:sz w:val="28"/>
          <w:szCs w:val="28"/>
          <w:shd w:val="clear" w:color="auto" w:fill="FFFFFF"/>
        </w:rPr>
        <w:t xml:space="preserve">Andrew T., </w:t>
      </w:r>
      <w:r w:rsidRPr="00B8189C">
        <w:rPr>
          <w:rFonts w:asciiTheme="majorBidi" w:hAnsiTheme="majorBidi" w:cstheme="majorBidi"/>
          <w:i/>
          <w:iCs/>
          <w:sz w:val="28"/>
          <w:szCs w:val="28"/>
          <w:shd w:val="clear" w:color="auto" w:fill="FFFFFF"/>
        </w:rPr>
        <w:t xml:space="preserve">The Gospel According to Saint John, </w:t>
      </w:r>
      <w:r w:rsidRPr="00B8189C">
        <w:rPr>
          <w:rFonts w:asciiTheme="majorBidi" w:hAnsiTheme="majorBidi" w:cstheme="majorBidi"/>
          <w:sz w:val="28"/>
          <w:szCs w:val="28"/>
          <w:shd w:val="clear" w:color="auto" w:fill="FFFFFF"/>
        </w:rPr>
        <w:t>(Ada, Michigan: Baker Academic, 2013)</w:t>
      </w:r>
      <w:bookmarkEnd w:id="8"/>
      <w:r>
        <w:rPr>
          <w:rFonts w:asciiTheme="majorBidi" w:hAnsiTheme="majorBidi" w:cstheme="majorBidi"/>
          <w:sz w:val="28"/>
          <w:szCs w:val="28"/>
          <w:shd w:val="clear" w:color="auto" w:fill="FFFFFF"/>
        </w:rPr>
        <w:t>.</w:t>
      </w:r>
      <w:r w:rsidRPr="00B8189C">
        <w:rPr>
          <w:rFonts w:asciiTheme="majorBidi" w:hAnsiTheme="majorBidi" w:cstheme="majorBidi"/>
          <w:sz w:val="28"/>
          <w:szCs w:val="28"/>
          <w:shd w:val="clear" w:color="auto" w:fill="FFFFFF"/>
        </w:rPr>
        <w:t xml:space="preserve"> </w:t>
      </w:r>
    </w:p>
    <w:p w14:paraId="04164F7C" w14:textId="77777777" w:rsidR="00042FA1" w:rsidRPr="00B8189C" w:rsidRDefault="00042FA1" w:rsidP="00042FA1">
      <w:pPr>
        <w:pStyle w:val="ListParagraph"/>
        <w:numPr>
          <w:ilvl w:val="0"/>
          <w:numId w:val="1"/>
        </w:numPr>
        <w:rPr>
          <w:rFonts w:asciiTheme="majorBidi" w:hAnsiTheme="majorBidi" w:cstheme="majorBidi"/>
          <w:sz w:val="28"/>
          <w:szCs w:val="28"/>
        </w:rPr>
      </w:pPr>
      <w:r w:rsidRPr="00B8189C">
        <w:rPr>
          <w:rFonts w:asciiTheme="majorBidi" w:hAnsiTheme="majorBidi" w:cstheme="majorBidi"/>
          <w:sz w:val="28"/>
          <w:szCs w:val="28"/>
        </w:rPr>
        <w:t xml:space="preserve">Michael </w:t>
      </w:r>
      <w:proofErr w:type="spellStart"/>
      <w:r w:rsidRPr="00B8189C">
        <w:rPr>
          <w:rFonts w:asciiTheme="majorBidi" w:hAnsiTheme="majorBidi" w:cstheme="majorBidi"/>
          <w:sz w:val="28"/>
          <w:szCs w:val="28"/>
        </w:rPr>
        <w:t>Marissen</w:t>
      </w:r>
      <w:proofErr w:type="spellEnd"/>
      <w:r w:rsidRPr="00B8189C">
        <w:rPr>
          <w:rFonts w:asciiTheme="majorBidi" w:hAnsiTheme="majorBidi" w:cstheme="majorBidi"/>
          <w:sz w:val="28"/>
          <w:szCs w:val="28"/>
        </w:rPr>
        <w:t xml:space="preserve">, “Two Bach Church Cantatas and “the Jews” in the Gospel of John”, in </w:t>
      </w:r>
      <w:r w:rsidRPr="00B8189C">
        <w:rPr>
          <w:rFonts w:asciiTheme="majorBidi" w:hAnsiTheme="majorBidi" w:cstheme="majorBidi"/>
          <w:i/>
          <w:iCs/>
          <w:sz w:val="28"/>
          <w:szCs w:val="28"/>
        </w:rPr>
        <w:t>The Gospel of John and Jewish–Christian Relations</w:t>
      </w:r>
      <w:r w:rsidRPr="00B8189C">
        <w:rPr>
          <w:rFonts w:asciiTheme="majorBidi" w:hAnsiTheme="majorBidi" w:cstheme="majorBidi"/>
          <w:sz w:val="28"/>
          <w:szCs w:val="28"/>
        </w:rPr>
        <w:t xml:space="preserve">, ed. Adele </w:t>
      </w:r>
      <w:proofErr w:type="spellStart"/>
      <w:r w:rsidRPr="00B8189C">
        <w:rPr>
          <w:rFonts w:asciiTheme="majorBidi" w:hAnsiTheme="majorBidi" w:cstheme="majorBidi"/>
          <w:sz w:val="28"/>
          <w:szCs w:val="28"/>
        </w:rPr>
        <w:t>Reinhartz</w:t>
      </w:r>
      <w:proofErr w:type="spellEnd"/>
      <w:r w:rsidRPr="00B8189C">
        <w:rPr>
          <w:rFonts w:asciiTheme="majorBidi" w:hAnsiTheme="majorBidi" w:cstheme="majorBidi"/>
          <w:sz w:val="28"/>
          <w:szCs w:val="28"/>
        </w:rPr>
        <w:t>. (Fortress Academic. Kindle Edition),</w:t>
      </w:r>
    </w:p>
    <w:p w14:paraId="66F3FF44" w14:textId="77777777" w:rsidR="00042FA1" w:rsidRPr="00B8189C" w:rsidRDefault="00042FA1" w:rsidP="00042FA1">
      <w:pPr>
        <w:pStyle w:val="ListParagraph"/>
        <w:numPr>
          <w:ilvl w:val="0"/>
          <w:numId w:val="1"/>
        </w:numPr>
        <w:rPr>
          <w:rFonts w:asciiTheme="majorBidi" w:hAnsiTheme="majorBidi" w:cstheme="majorBidi"/>
          <w:sz w:val="28"/>
          <w:szCs w:val="28"/>
        </w:rPr>
      </w:pPr>
      <w:bookmarkStart w:id="9" w:name="_Hlk10225717"/>
      <w:r w:rsidRPr="00B8189C">
        <w:rPr>
          <w:rFonts w:asciiTheme="majorBidi" w:hAnsiTheme="majorBidi" w:cstheme="majorBidi"/>
          <w:sz w:val="28"/>
          <w:szCs w:val="28"/>
        </w:rPr>
        <w:t xml:space="preserve">Thompson, Marianne </w:t>
      </w:r>
      <w:proofErr w:type="spellStart"/>
      <w:r w:rsidRPr="00B8189C">
        <w:rPr>
          <w:rFonts w:asciiTheme="majorBidi" w:hAnsiTheme="majorBidi" w:cstheme="majorBidi"/>
          <w:sz w:val="28"/>
          <w:szCs w:val="28"/>
        </w:rPr>
        <w:t>Meye</w:t>
      </w:r>
      <w:proofErr w:type="spellEnd"/>
      <w:r w:rsidRPr="00B8189C">
        <w:rPr>
          <w:rFonts w:asciiTheme="majorBidi" w:hAnsiTheme="majorBidi" w:cstheme="majorBidi"/>
          <w:sz w:val="28"/>
          <w:szCs w:val="28"/>
        </w:rPr>
        <w:t xml:space="preserve">, </w:t>
      </w:r>
      <w:r w:rsidRPr="00B8189C">
        <w:rPr>
          <w:rFonts w:asciiTheme="majorBidi" w:hAnsiTheme="majorBidi" w:cstheme="majorBidi"/>
          <w:i/>
          <w:iCs/>
          <w:sz w:val="28"/>
          <w:szCs w:val="28"/>
        </w:rPr>
        <w:t>John: A Commentary</w:t>
      </w:r>
      <w:r w:rsidRPr="00B8189C">
        <w:rPr>
          <w:rFonts w:asciiTheme="majorBidi" w:hAnsiTheme="majorBidi" w:cstheme="majorBidi"/>
          <w:sz w:val="28"/>
          <w:szCs w:val="28"/>
        </w:rPr>
        <w:t>, (</w:t>
      </w:r>
      <w:r w:rsidRPr="00B8189C">
        <w:rPr>
          <w:rFonts w:asciiTheme="majorBidi" w:hAnsiTheme="majorBidi" w:cstheme="majorBidi"/>
          <w:sz w:val="28"/>
          <w:szCs w:val="28"/>
          <w:shd w:val="clear" w:color="auto" w:fill="FFFFFF"/>
        </w:rPr>
        <w:t>Westminster: John Knox Press, 2015)</w:t>
      </w:r>
      <w:bookmarkEnd w:id="9"/>
      <w:r w:rsidRPr="00B8189C">
        <w:rPr>
          <w:rFonts w:asciiTheme="majorBidi" w:hAnsiTheme="majorBidi" w:cstheme="majorBidi"/>
          <w:sz w:val="28"/>
          <w:szCs w:val="28"/>
        </w:rPr>
        <w:t>.</w:t>
      </w:r>
    </w:p>
    <w:p w14:paraId="3994CEE3" w14:textId="77777777" w:rsidR="00042FA1" w:rsidRPr="00B8189C" w:rsidRDefault="00042FA1" w:rsidP="00042FA1">
      <w:pPr>
        <w:pStyle w:val="ListParagraph"/>
        <w:numPr>
          <w:ilvl w:val="0"/>
          <w:numId w:val="1"/>
        </w:numPr>
        <w:rPr>
          <w:rFonts w:asciiTheme="majorBidi" w:hAnsiTheme="majorBidi" w:cstheme="majorBidi"/>
          <w:b/>
          <w:bCs/>
          <w:sz w:val="28"/>
          <w:szCs w:val="28"/>
        </w:rPr>
      </w:pPr>
      <w:bookmarkStart w:id="10" w:name="_Hlk10231573"/>
      <w:r w:rsidRPr="00B8189C">
        <w:rPr>
          <w:rFonts w:asciiTheme="majorBidi" w:hAnsiTheme="majorBidi" w:cstheme="majorBidi"/>
          <w:sz w:val="28"/>
          <w:szCs w:val="28"/>
        </w:rPr>
        <w:t>van der Watt</w:t>
      </w:r>
      <w:r>
        <w:rPr>
          <w:rFonts w:asciiTheme="majorBidi" w:hAnsiTheme="majorBidi" w:cstheme="majorBidi"/>
          <w:sz w:val="28"/>
          <w:szCs w:val="28"/>
        </w:rPr>
        <w:t xml:space="preserve">, </w:t>
      </w:r>
      <w:r w:rsidRPr="00B8189C">
        <w:rPr>
          <w:rFonts w:asciiTheme="majorBidi" w:hAnsiTheme="majorBidi" w:cstheme="majorBidi"/>
          <w:sz w:val="28"/>
          <w:szCs w:val="28"/>
        </w:rPr>
        <w:t xml:space="preserve">Jan G., “Stereotypes, In-Groups, and Out-Groups in the Gospel of John”, in </w:t>
      </w:r>
      <w:r w:rsidRPr="00B8189C">
        <w:rPr>
          <w:rFonts w:asciiTheme="majorBidi" w:hAnsiTheme="majorBidi" w:cstheme="majorBidi"/>
          <w:i/>
          <w:iCs/>
          <w:sz w:val="28"/>
          <w:szCs w:val="28"/>
        </w:rPr>
        <w:t xml:space="preserve">Anatomies of the Gospels and Beyond, </w:t>
      </w:r>
      <w:r w:rsidRPr="00B8189C">
        <w:rPr>
          <w:rFonts w:asciiTheme="majorBidi" w:hAnsiTheme="majorBidi" w:cstheme="majorBidi"/>
          <w:sz w:val="28"/>
          <w:szCs w:val="28"/>
        </w:rPr>
        <w:t>ed.</w:t>
      </w:r>
      <w:r w:rsidRPr="00B8189C">
        <w:rPr>
          <w:rFonts w:asciiTheme="majorBidi" w:eastAsia="Brill-Roman" w:hAnsiTheme="majorBidi" w:cstheme="majorBidi"/>
          <w:sz w:val="28"/>
          <w:szCs w:val="28"/>
        </w:rPr>
        <w:t xml:space="preserve"> </w:t>
      </w:r>
      <w:proofErr w:type="spellStart"/>
      <w:r w:rsidRPr="00B8189C">
        <w:rPr>
          <w:rFonts w:asciiTheme="majorBidi" w:hAnsiTheme="majorBidi" w:cstheme="majorBidi"/>
          <w:sz w:val="28"/>
          <w:szCs w:val="28"/>
        </w:rPr>
        <w:t>Mikeal</w:t>
      </w:r>
      <w:proofErr w:type="spellEnd"/>
      <w:r w:rsidRPr="00B8189C">
        <w:rPr>
          <w:rFonts w:asciiTheme="majorBidi" w:hAnsiTheme="majorBidi" w:cstheme="majorBidi"/>
          <w:sz w:val="28"/>
          <w:szCs w:val="28"/>
        </w:rPr>
        <w:t xml:space="preserve"> C. Parsons, Elizabeth Struthers </w:t>
      </w:r>
      <w:proofErr w:type="spellStart"/>
      <w:r w:rsidRPr="00B8189C">
        <w:rPr>
          <w:rFonts w:asciiTheme="majorBidi" w:hAnsiTheme="majorBidi" w:cstheme="majorBidi"/>
          <w:sz w:val="28"/>
          <w:szCs w:val="28"/>
        </w:rPr>
        <w:t>Malbon</w:t>
      </w:r>
      <w:proofErr w:type="spellEnd"/>
      <w:r w:rsidRPr="00B8189C">
        <w:rPr>
          <w:rFonts w:asciiTheme="majorBidi" w:hAnsiTheme="majorBidi" w:cstheme="majorBidi"/>
          <w:sz w:val="28"/>
          <w:szCs w:val="28"/>
        </w:rPr>
        <w:t xml:space="preserve"> and Paul N. Anderson, (Leiden: Brill, 2018)</w:t>
      </w:r>
      <w:r>
        <w:rPr>
          <w:rFonts w:asciiTheme="majorBidi" w:hAnsiTheme="majorBidi" w:cstheme="majorBidi"/>
          <w:sz w:val="28"/>
          <w:szCs w:val="28"/>
        </w:rPr>
        <w:t>.</w:t>
      </w:r>
    </w:p>
    <w:p w14:paraId="1CD1A59F" w14:textId="77777777" w:rsidR="00042FA1" w:rsidRPr="00B8189C" w:rsidRDefault="00042FA1" w:rsidP="00042FA1">
      <w:pPr>
        <w:pStyle w:val="ListParagraph"/>
        <w:numPr>
          <w:ilvl w:val="0"/>
          <w:numId w:val="1"/>
        </w:numPr>
        <w:rPr>
          <w:rFonts w:asciiTheme="majorBidi" w:hAnsiTheme="majorBidi" w:cstheme="majorBidi"/>
          <w:sz w:val="28"/>
          <w:szCs w:val="28"/>
        </w:rPr>
      </w:pPr>
      <w:bookmarkStart w:id="11" w:name="_Hlk10227691"/>
      <w:bookmarkEnd w:id="10"/>
      <w:r w:rsidRPr="00B8189C">
        <w:rPr>
          <w:rFonts w:asciiTheme="majorBidi" w:hAnsiTheme="majorBidi" w:cstheme="majorBidi"/>
          <w:sz w:val="28"/>
          <w:szCs w:val="28"/>
        </w:rPr>
        <w:t xml:space="preserve">Williams, </w:t>
      </w:r>
      <w:proofErr w:type="spellStart"/>
      <w:r w:rsidRPr="00B8189C">
        <w:rPr>
          <w:rFonts w:asciiTheme="majorBidi" w:hAnsiTheme="majorBidi" w:cstheme="majorBidi"/>
          <w:sz w:val="28"/>
          <w:szCs w:val="28"/>
        </w:rPr>
        <w:t>Catrin</w:t>
      </w:r>
      <w:proofErr w:type="spellEnd"/>
      <w:r w:rsidRPr="00B8189C">
        <w:rPr>
          <w:rFonts w:asciiTheme="majorBidi" w:hAnsiTheme="majorBidi" w:cstheme="majorBidi"/>
          <w:sz w:val="28"/>
          <w:szCs w:val="28"/>
        </w:rPr>
        <w:t xml:space="preserve">, </w:t>
      </w:r>
      <w:r w:rsidRPr="00B8189C">
        <w:rPr>
          <w:rFonts w:asciiTheme="majorBidi" w:hAnsiTheme="majorBidi" w:cstheme="majorBidi"/>
          <w:i/>
          <w:iCs/>
          <w:sz w:val="28"/>
          <w:szCs w:val="28"/>
        </w:rPr>
        <w:t xml:space="preserve">I Am He: The Interpretation of </w:t>
      </w:r>
      <w:proofErr w:type="spellStart"/>
      <w:r w:rsidRPr="00B8189C">
        <w:rPr>
          <w:rFonts w:asciiTheme="majorBidi" w:hAnsiTheme="majorBidi" w:cstheme="majorBidi"/>
          <w:i/>
          <w:iCs/>
          <w:sz w:val="28"/>
          <w:szCs w:val="28"/>
        </w:rPr>
        <w:t>A̓nî</w:t>
      </w:r>
      <w:proofErr w:type="spellEnd"/>
      <w:r w:rsidRPr="00B8189C">
        <w:rPr>
          <w:rFonts w:asciiTheme="majorBidi" w:hAnsiTheme="majorBidi" w:cstheme="majorBidi"/>
          <w:i/>
          <w:iCs/>
          <w:sz w:val="28"/>
          <w:szCs w:val="28"/>
        </w:rPr>
        <w:t xml:space="preserve"> </w:t>
      </w:r>
      <w:proofErr w:type="spellStart"/>
      <w:r w:rsidRPr="00B8189C">
        <w:rPr>
          <w:rFonts w:asciiTheme="majorBidi" w:hAnsiTheme="majorBidi" w:cstheme="majorBidi"/>
          <w:i/>
          <w:iCs/>
          <w:sz w:val="28"/>
          <w:szCs w:val="28"/>
        </w:rPr>
        <w:t>Hû</w:t>
      </w:r>
      <w:proofErr w:type="spellEnd"/>
      <w:r w:rsidRPr="00B8189C">
        <w:rPr>
          <w:rFonts w:asciiTheme="majorBidi" w:hAnsiTheme="majorBidi" w:cstheme="majorBidi"/>
          <w:i/>
          <w:iCs/>
          <w:sz w:val="28"/>
          <w:szCs w:val="28"/>
        </w:rPr>
        <w:t xml:space="preserve"> ̓in Jewish and Early Christian Literature</w:t>
      </w:r>
      <w:r w:rsidRPr="00B8189C">
        <w:rPr>
          <w:rFonts w:asciiTheme="majorBidi" w:hAnsiTheme="majorBidi" w:cstheme="majorBidi"/>
          <w:sz w:val="28"/>
          <w:szCs w:val="28"/>
        </w:rPr>
        <w:t xml:space="preserve">, (Tübingen: Mohr </w:t>
      </w:r>
      <w:proofErr w:type="spellStart"/>
      <w:r w:rsidRPr="00B8189C">
        <w:rPr>
          <w:rFonts w:asciiTheme="majorBidi" w:hAnsiTheme="majorBidi" w:cstheme="majorBidi"/>
          <w:sz w:val="28"/>
          <w:szCs w:val="28"/>
        </w:rPr>
        <w:t>Siebeck</w:t>
      </w:r>
      <w:proofErr w:type="spellEnd"/>
      <w:r w:rsidRPr="00B8189C">
        <w:rPr>
          <w:rFonts w:asciiTheme="majorBidi" w:hAnsiTheme="majorBidi" w:cstheme="majorBidi"/>
          <w:sz w:val="28"/>
          <w:szCs w:val="28"/>
        </w:rPr>
        <w:t>, 2000)</w:t>
      </w:r>
      <w:bookmarkEnd w:id="11"/>
      <w:r w:rsidRPr="00B8189C">
        <w:rPr>
          <w:rFonts w:asciiTheme="majorBidi" w:hAnsiTheme="majorBidi" w:cstheme="majorBidi"/>
          <w:sz w:val="28"/>
          <w:szCs w:val="28"/>
        </w:rPr>
        <w:t>.</w:t>
      </w:r>
    </w:p>
    <w:bookmarkEnd w:id="4"/>
    <w:p w14:paraId="31CB7F5B" w14:textId="77777777" w:rsidR="00042FA1" w:rsidRPr="00B8189C" w:rsidRDefault="00042FA1" w:rsidP="00042FA1">
      <w:pPr>
        <w:pStyle w:val="ListParagraph"/>
        <w:numPr>
          <w:ilvl w:val="0"/>
          <w:numId w:val="1"/>
        </w:numPr>
        <w:rPr>
          <w:rFonts w:asciiTheme="majorBidi" w:hAnsiTheme="majorBidi" w:cstheme="majorBidi"/>
          <w:sz w:val="28"/>
          <w:szCs w:val="28"/>
        </w:rPr>
      </w:pPr>
      <w:r w:rsidRPr="00B8189C">
        <w:rPr>
          <w:rFonts w:asciiTheme="majorBidi" w:hAnsiTheme="majorBidi" w:cstheme="majorBidi"/>
          <w:sz w:val="28"/>
          <w:szCs w:val="28"/>
          <w:lang w:val="en-US"/>
        </w:rPr>
        <w:t>Yagi</w:t>
      </w:r>
      <w:r>
        <w:rPr>
          <w:rFonts w:asciiTheme="majorBidi" w:hAnsiTheme="majorBidi" w:cstheme="majorBidi"/>
          <w:sz w:val="28"/>
          <w:szCs w:val="28"/>
          <w:lang w:val="en-US"/>
        </w:rPr>
        <w:t xml:space="preserve">, </w:t>
      </w:r>
      <w:r w:rsidRPr="00B8189C">
        <w:rPr>
          <w:rFonts w:asciiTheme="majorBidi" w:hAnsiTheme="majorBidi" w:cstheme="majorBidi"/>
          <w:sz w:val="28"/>
          <w:szCs w:val="28"/>
          <w:lang w:val="en-US"/>
        </w:rPr>
        <w:t xml:space="preserve">Seiichi, ““I” in the Words of Jesus”, in </w:t>
      </w:r>
      <w:r w:rsidRPr="00B8189C">
        <w:rPr>
          <w:rFonts w:asciiTheme="majorBidi" w:hAnsiTheme="majorBidi" w:cstheme="majorBidi"/>
          <w:i/>
          <w:iCs/>
          <w:sz w:val="28"/>
          <w:szCs w:val="28"/>
          <w:lang w:val="en-US"/>
        </w:rPr>
        <w:t>The Myth of Christian Uniqueness</w:t>
      </w:r>
      <w:r w:rsidRPr="00B8189C">
        <w:rPr>
          <w:rFonts w:asciiTheme="majorBidi" w:hAnsiTheme="majorBidi" w:cstheme="majorBidi"/>
          <w:sz w:val="28"/>
          <w:szCs w:val="28"/>
          <w:lang w:val="en-US"/>
        </w:rPr>
        <w:t>, ed. John Hick and Paul F. Knitter, (London: SCM, 1987)</w:t>
      </w:r>
      <w:r>
        <w:rPr>
          <w:rFonts w:asciiTheme="majorBidi" w:hAnsiTheme="majorBidi" w:cstheme="majorBidi"/>
          <w:sz w:val="28"/>
          <w:szCs w:val="28"/>
          <w:lang w:val="en-US"/>
        </w:rPr>
        <w:t>.</w:t>
      </w:r>
    </w:p>
    <w:p w14:paraId="16E8A9D2" w14:textId="77777777" w:rsidR="00170D68" w:rsidRDefault="00170D68"/>
    <w:sectPr w:rsidR="00170D6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D8F042" w14:textId="77777777" w:rsidR="007727ED" w:rsidRDefault="007727ED" w:rsidP="00170D68">
      <w:pPr>
        <w:spacing w:after="0" w:line="240" w:lineRule="auto"/>
      </w:pPr>
      <w:r>
        <w:separator/>
      </w:r>
    </w:p>
  </w:endnote>
  <w:endnote w:type="continuationSeparator" w:id="0">
    <w:p w14:paraId="2F7F8B66" w14:textId="77777777" w:rsidR="007727ED" w:rsidRDefault="007727ED" w:rsidP="00170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Brill-Roman">
    <w:altName w:val="Yu Gothic"/>
    <w:panose1 w:val="00000000000000000000"/>
    <w:charset w:val="80"/>
    <w:family w:val="roman"/>
    <w:notTrueType/>
    <w:pitch w:val="default"/>
    <w:sig w:usb0="00000001"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3024236"/>
      <w:docPartObj>
        <w:docPartGallery w:val="Page Numbers (Bottom of Page)"/>
        <w:docPartUnique/>
      </w:docPartObj>
    </w:sdtPr>
    <w:sdtEndPr>
      <w:rPr>
        <w:noProof/>
      </w:rPr>
    </w:sdtEndPr>
    <w:sdtContent>
      <w:p w14:paraId="5F785EA6" w14:textId="77777777" w:rsidR="002F382F" w:rsidRDefault="007727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D3FFC4" w14:textId="77777777" w:rsidR="002F382F" w:rsidRDefault="00772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E119E9" w14:textId="77777777" w:rsidR="007727ED" w:rsidRDefault="007727ED" w:rsidP="00170D68">
      <w:pPr>
        <w:spacing w:after="0" w:line="240" w:lineRule="auto"/>
      </w:pPr>
      <w:r>
        <w:separator/>
      </w:r>
    </w:p>
  </w:footnote>
  <w:footnote w:type="continuationSeparator" w:id="0">
    <w:p w14:paraId="6B7A8566" w14:textId="77777777" w:rsidR="007727ED" w:rsidRDefault="007727ED" w:rsidP="00170D68">
      <w:pPr>
        <w:spacing w:after="0" w:line="240" w:lineRule="auto"/>
      </w:pPr>
      <w:r>
        <w:continuationSeparator/>
      </w:r>
    </w:p>
  </w:footnote>
  <w:footnote w:id="1">
    <w:p w14:paraId="7E6D2C96"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Marianne </w:t>
      </w:r>
      <w:proofErr w:type="spellStart"/>
      <w:r w:rsidR="007727ED" w:rsidRPr="009B1992">
        <w:rPr>
          <w:rFonts w:asciiTheme="majorBidi" w:hAnsiTheme="majorBidi" w:cstheme="majorBidi"/>
          <w:sz w:val="24"/>
          <w:szCs w:val="24"/>
        </w:rPr>
        <w:t>Meye</w:t>
      </w:r>
      <w:proofErr w:type="spellEnd"/>
      <w:r w:rsidR="007727ED" w:rsidRPr="009B1992">
        <w:rPr>
          <w:rFonts w:asciiTheme="majorBidi" w:hAnsiTheme="majorBidi" w:cstheme="majorBidi"/>
          <w:sz w:val="24"/>
          <w:szCs w:val="24"/>
        </w:rPr>
        <w:t xml:space="preserve"> 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 (</w:t>
      </w:r>
      <w:r w:rsidR="007727ED" w:rsidRPr="009B1992">
        <w:rPr>
          <w:rFonts w:asciiTheme="majorBidi" w:hAnsiTheme="majorBidi" w:cstheme="majorBidi"/>
          <w:sz w:val="24"/>
          <w:szCs w:val="24"/>
        </w:rPr>
        <w:t>Westminster</w:t>
      </w:r>
      <w:r w:rsidR="007727ED" w:rsidRPr="009B1992">
        <w:rPr>
          <w:rFonts w:asciiTheme="majorBidi" w:hAnsiTheme="majorBidi" w:cstheme="majorBidi"/>
          <w:sz w:val="24"/>
          <w:szCs w:val="24"/>
        </w:rPr>
        <w:t>:</w:t>
      </w:r>
      <w:r w:rsidR="007727ED" w:rsidRPr="009B1992">
        <w:rPr>
          <w:rFonts w:asciiTheme="majorBidi" w:hAnsiTheme="majorBidi" w:cstheme="majorBidi"/>
          <w:sz w:val="24"/>
          <w:szCs w:val="24"/>
        </w:rPr>
        <w:t xml:space="preserve"> John Knox Press</w:t>
      </w:r>
      <w:r w:rsidR="007727ED" w:rsidRPr="009B1992">
        <w:rPr>
          <w:rFonts w:asciiTheme="majorBidi" w:hAnsiTheme="majorBidi" w:cstheme="majorBidi"/>
          <w:sz w:val="24"/>
          <w:szCs w:val="24"/>
        </w:rPr>
        <w:t xml:space="preserve">, </w:t>
      </w:r>
      <w:r w:rsidR="007727ED" w:rsidRPr="009B1992">
        <w:rPr>
          <w:rFonts w:asciiTheme="majorBidi" w:hAnsiTheme="majorBidi" w:cstheme="majorBidi"/>
          <w:sz w:val="24"/>
          <w:szCs w:val="24"/>
        </w:rPr>
        <w:t>2015</w:t>
      </w:r>
      <w:r w:rsidR="007727ED" w:rsidRPr="009B1992">
        <w:rPr>
          <w:rFonts w:asciiTheme="majorBidi" w:hAnsiTheme="majorBidi" w:cstheme="majorBidi"/>
          <w:sz w:val="24"/>
          <w:szCs w:val="24"/>
        </w:rPr>
        <w:t>), p</w:t>
      </w:r>
      <w:r w:rsidRPr="00042FA1">
        <w:rPr>
          <w:rFonts w:asciiTheme="majorBidi" w:hAnsiTheme="majorBidi" w:cstheme="majorBidi"/>
          <w:sz w:val="24"/>
          <w:szCs w:val="24"/>
        </w:rPr>
        <w:t>.305.</w:t>
      </w:r>
    </w:p>
  </w:footnote>
  <w:footnote w:id="2">
    <w:p w14:paraId="3D546C6E"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w:t>
      </w:r>
      <w:r w:rsidRPr="00042FA1">
        <w:rPr>
          <w:rFonts w:asciiTheme="majorBidi" w:hAnsiTheme="majorBidi" w:cstheme="majorBidi"/>
          <w:sz w:val="24"/>
          <w:szCs w:val="24"/>
        </w:rPr>
        <w:t xml:space="preserve"> p. 307.</w:t>
      </w:r>
    </w:p>
  </w:footnote>
  <w:footnote w:id="3">
    <w:p w14:paraId="6AD08E33"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w:t>
      </w:r>
      <w:r w:rsidRPr="00042FA1">
        <w:rPr>
          <w:rFonts w:asciiTheme="majorBidi" w:hAnsiTheme="majorBidi" w:cstheme="majorBidi"/>
          <w:sz w:val="24"/>
          <w:szCs w:val="24"/>
        </w:rPr>
        <w:t xml:space="preserve"> p.306.</w:t>
      </w:r>
    </w:p>
  </w:footnote>
  <w:footnote w:id="4">
    <w:p w14:paraId="5DEC3D5A"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w:t>
      </w:r>
      <w:r w:rsidRPr="00042FA1">
        <w:rPr>
          <w:rFonts w:asciiTheme="majorBidi" w:hAnsiTheme="majorBidi" w:cstheme="majorBidi"/>
          <w:sz w:val="24"/>
          <w:szCs w:val="24"/>
        </w:rPr>
        <w:t xml:space="preserve"> p. 307.</w:t>
      </w:r>
    </w:p>
  </w:footnote>
  <w:footnote w:id="5">
    <w:p w14:paraId="4AFA853B"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w:t>
      </w:r>
      <w:r w:rsidRPr="00042FA1">
        <w:rPr>
          <w:rFonts w:asciiTheme="majorBidi" w:hAnsiTheme="majorBidi" w:cstheme="majorBidi"/>
          <w:sz w:val="24"/>
          <w:szCs w:val="24"/>
        </w:rPr>
        <w:t xml:space="preserve"> p.308.</w:t>
      </w:r>
    </w:p>
  </w:footnote>
  <w:footnote w:id="6">
    <w:p w14:paraId="07D5F29E"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Pr="00042FA1">
        <w:rPr>
          <w:rFonts w:asciiTheme="majorBidi" w:hAnsiTheme="majorBidi" w:cstheme="majorBidi"/>
          <w:sz w:val="24"/>
          <w:szCs w:val="24"/>
          <w:shd w:val="clear" w:color="auto" w:fill="FFFFFF"/>
        </w:rPr>
        <w:t>R. Alan Culpepper</w:t>
      </w:r>
      <w:r w:rsidRPr="00042FA1">
        <w:rPr>
          <w:rFonts w:asciiTheme="majorBidi" w:hAnsiTheme="majorBidi" w:cstheme="majorBidi"/>
          <w:sz w:val="24"/>
          <w:szCs w:val="24"/>
        </w:rPr>
        <w:t xml:space="preserve">, </w:t>
      </w:r>
      <w:r w:rsidRPr="002647CC">
        <w:rPr>
          <w:rFonts w:asciiTheme="majorBidi" w:hAnsiTheme="majorBidi" w:cstheme="majorBidi"/>
          <w:i/>
          <w:iCs/>
          <w:sz w:val="24"/>
          <w:szCs w:val="24"/>
        </w:rPr>
        <w:t>Anatomy of the Fourth Gospel</w:t>
      </w:r>
      <w:r w:rsidRPr="00042FA1">
        <w:rPr>
          <w:rFonts w:asciiTheme="majorBidi" w:hAnsiTheme="majorBidi" w:cstheme="majorBidi"/>
          <w:sz w:val="24"/>
          <w:szCs w:val="24"/>
        </w:rPr>
        <w:t xml:space="preserve">, (Minneapolis, MN: </w:t>
      </w:r>
      <w:r w:rsidRPr="00042FA1">
        <w:rPr>
          <w:rFonts w:asciiTheme="majorBidi" w:hAnsiTheme="majorBidi" w:cstheme="majorBidi"/>
          <w:sz w:val="24"/>
          <w:szCs w:val="24"/>
          <w:shd w:val="clear" w:color="auto" w:fill="FFFFFF"/>
        </w:rPr>
        <w:t>Fortress Press, 1983), p. 146.</w:t>
      </w:r>
    </w:p>
  </w:footnote>
  <w:footnote w:id="7">
    <w:p w14:paraId="35C94422"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Culpepper, </w:t>
      </w:r>
      <w:r w:rsidRPr="002647CC">
        <w:rPr>
          <w:rFonts w:asciiTheme="majorBidi" w:hAnsiTheme="majorBidi" w:cstheme="majorBidi"/>
          <w:i/>
          <w:iCs/>
          <w:sz w:val="24"/>
          <w:szCs w:val="24"/>
        </w:rPr>
        <w:t>Anatomy of the Fourth Gospel</w:t>
      </w:r>
      <w:r w:rsidRPr="00042FA1">
        <w:rPr>
          <w:rFonts w:asciiTheme="majorBidi" w:hAnsiTheme="majorBidi" w:cstheme="majorBidi"/>
          <w:sz w:val="24"/>
          <w:szCs w:val="24"/>
        </w:rPr>
        <w:t>, p.151.</w:t>
      </w:r>
    </w:p>
  </w:footnote>
  <w:footnote w:id="8">
    <w:p w14:paraId="054790B1"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w:t>
      </w:r>
      <w:r w:rsidRPr="00042FA1">
        <w:rPr>
          <w:rFonts w:asciiTheme="majorBidi" w:hAnsiTheme="majorBidi" w:cstheme="majorBidi"/>
          <w:sz w:val="24"/>
          <w:szCs w:val="24"/>
        </w:rPr>
        <w:t xml:space="preserve"> p.308.</w:t>
      </w:r>
    </w:p>
  </w:footnote>
  <w:footnote w:id="9">
    <w:p w14:paraId="25867C97" w14:textId="77777777" w:rsidR="00170D68" w:rsidRPr="00042FA1" w:rsidRDefault="00170D68" w:rsidP="00170D68">
      <w:pPr>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proofErr w:type="spellStart"/>
      <w:r w:rsidRPr="00042FA1">
        <w:rPr>
          <w:rFonts w:asciiTheme="majorBidi" w:hAnsiTheme="majorBidi" w:cstheme="majorBidi"/>
          <w:sz w:val="24"/>
          <w:szCs w:val="24"/>
        </w:rPr>
        <w:t>Catrin</w:t>
      </w:r>
      <w:proofErr w:type="spellEnd"/>
      <w:r w:rsidRPr="00042FA1">
        <w:rPr>
          <w:rFonts w:asciiTheme="majorBidi" w:hAnsiTheme="majorBidi" w:cstheme="majorBidi"/>
          <w:sz w:val="24"/>
          <w:szCs w:val="24"/>
        </w:rPr>
        <w:t xml:space="preserve"> Williams, </w:t>
      </w:r>
      <w:r w:rsidRPr="00042FA1">
        <w:rPr>
          <w:rFonts w:asciiTheme="majorBidi" w:hAnsiTheme="majorBidi" w:cstheme="majorBidi"/>
          <w:i/>
          <w:iCs/>
          <w:sz w:val="24"/>
          <w:szCs w:val="24"/>
        </w:rPr>
        <w:t xml:space="preserve">I Am He: The Interpretation of </w:t>
      </w:r>
      <w:proofErr w:type="spellStart"/>
      <w:r w:rsidRPr="00042FA1">
        <w:rPr>
          <w:rFonts w:asciiTheme="majorBidi" w:hAnsiTheme="majorBidi" w:cstheme="majorBidi"/>
          <w:i/>
          <w:iCs/>
          <w:sz w:val="24"/>
          <w:szCs w:val="24"/>
        </w:rPr>
        <w:t>A̓nî</w:t>
      </w:r>
      <w:proofErr w:type="spellEnd"/>
      <w:r w:rsidRPr="00042FA1">
        <w:rPr>
          <w:rFonts w:asciiTheme="majorBidi" w:hAnsiTheme="majorBidi" w:cstheme="majorBidi"/>
          <w:i/>
          <w:iCs/>
          <w:sz w:val="24"/>
          <w:szCs w:val="24"/>
        </w:rPr>
        <w:t xml:space="preserve"> </w:t>
      </w:r>
      <w:proofErr w:type="spellStart"/>
      <w:r w:rsidRPr="00042FA1">
        <w:rPr>
          <w:rFonts w:asciiTheme="majorBidi" w:hAnsiTheme="majorBidi" w:cstheme="majorBidi"/>
          <w:i/>
          <w:iCs/>
          <w:sz w:val="24"/>
          <w:szCs w:val="24"/>
        </w:rPr>
        <w:t>Hû</w:t>
      </w:r>
      <w:proofErr w:type="spellEnd"/>
      <w:r w:rsidRPr="00042FA1">
        <w:rPr>
          <w:rFonts w:asciiTheme="majorBidi" w:hAnsiTheme="majorBidi" w:cstheme="majorBidi"/>
          <w:i/>
          <w:iCs/>
          <w:sz w:val="24"/>
          <w:szCs w:val="24"/>
        </w:rPr>
        <w:t xml:space="preserve"> ̓in Jewish and Early Christian Literature</w:t>
      </w:r>
      <w:r w:rsidRPr="00042FA1">
        <w:rPr>
          <w:rFonts w:asciiTheme="majorBidi" w:hAnsiTheme="majorBidi" w:cstheme="majorBidi"/>
          <w:sz w:val="24"/>
          <w:szCs w:val="24"/>
        </w:rPr>
        <w:t xml:space="preserve">, (Tübingen: Mohr </w:t>
      </w:r>
      <w:proofErr w:type="spellStart"/>
      <w:r w:rsidRPr="00042FA1">
        <w:rPr>
          <w:rFonts w:asciiTheme="majorBidi" w:hAnsiTheme="majorBidi" w:cstheme="majorBidi"/>
          <w:sz w:val="24"/>
          <w:szCs w:val="24"/>
        </w:rPr>
        <w:t>Siebeck</w:t>
      </w:r>
      <w:proofErr w:type="spellEnd"/>
      <w:r w:rsidRPr="00042FA1">
        <w:rPr>
          <w:rFonts w:asciiTheme="majorBidi" w:hAnsiTheme="majorBidi" w:cstheme="majorBidi"/>
          <w:sz w:val="24"/>
          <w:szCs w:val="24"/>
        </w:rPr>
        <w:t>, 2000), p.308.</w:t>
      </w:r>
    </w:p>
  </w:footnote>
  <w:footnote w:id="10">
    <w:p w14:paraId="33667FBA"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w:t>
      </w:r>
      <w:r w:rsidRPr="00042FA1">
        <w:rPr>
          <w:rFonts w:asciiTheme="majorBidi" w:hAnsiTheme="majorBidi" w:cstheme="majorBidi"/>
          <w:sz w:val="24"/>
          <w:szCs w:val="24"/>
        </w:rPr>
        <w:t xml:space="preserve"> pp.308-309.</w:t>
      </w:r>
    </w:p>
  </w:footnote>
  <w:footnote w:id="11">
    <w:p w14:paraId="7E3ED85C"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w:t>
      </w:r>
      <w:r w:rsidRPr="00042FA1">
        <w:rPr>
          <w:rFonts w:asciiTheme="majorBidi" w:hAnsiTheme="majorBidi" w:cstheme="majorBidi"/>
          <w:sz w:val="24"/>
          <w:szCs w:val="24"/>
        </w:rPr>
        <w:t xml:space="preserve"> p.309.</w:t>
      </w:r>
    </w:p>
  </w:footnote>
  <w:footnote w:id="12">
    <w:p w14:paraId="4BFF40CD"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Craig R. Koester, </w:t>
      </w:r>
      <w:r w:rsidRPr="00042FA1">
        <w:rPr>
          <w:rFonts w:asciiTheme="majorBidi" w:hAnsiTheme="majorBidi" w:cstheme="majorBidi"/>
          <w:i/>
          <w:iCs/>
          <w:sz w:val="24"/>
          <w:szCs w:val="24"/>
        </w:rPr>
        <w:t>Symbolism in the Fourth Gospel: Meaning, Mystery, Community</w:t>
      </w:r>
      <w:r w:rsidRPr="00042FA1">
        <w:rPr>
          <w:rFonts w:asciiTheme="majorBidi" w:hAnsiTheme="majorBidi" w:cstheme="majorBidi"/>
          <w:sz w:val="24"/>
          <w:szCs w:val="24"/>
        </w:rPr>
        <w:t>, (Minneapolis, MN: Fortress Press, 2003), p. 297.</w:t>
      </w:r>
    </w:p>
  </w:footnote>
  <w:footnote w:id="13">
    <w:p w14:paraId="1A65CA39"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007727ED" w:rsidRPr="009B1992">
        <w:rPr>
          <w:rFonts w:asciiTheme="majorBidi" w:hAnsiTheme="majorBidi" w:cstheme="majorBidi"/>
          <w:sz w:val="24"/>
          <w:szCs w:val="24"/>
        </w:rPr>
        <w:t xml:space="preserve">Thompson, </w:t>
      </w:r>
      <w:r w:rsidR="007727ED" w:rsidRPr="009B1992">
        <w:rPr>
          <w:rFonts w:asciiTheme="majorBidi" w:hAnsiTheme="majorBidi" w:cstheme="majorBidi"/>
          <w:i/>
          <w:iCs/>
          <w:sz w:val="24"/>
          <w:szCs w:val="24"/>
        </w:rPr>
        <w:t>John: A</w:t>
      </w:r>
      <w:r w:rsidR="007727ED" w:rsidRPr="009B1992">
        <w:rPr>
          <w:rFonts w:asciiTheme="majorBidi" w:hAnsiTheme="majorBidi" w:cstheme="majorBidi"/>
          <w:i/>
          <w:iCs/>
          <w:sz w:val="24"/>
          <w:szCs w:val="24"/>
        </w:rPr>
        <w:t xml:space="preserve"> C</w:t>
      </w:r>
      <w:r w:rsidR="007727ED" w:rsidRPr="009B1992">
        <w:rPr>
          <w:rFonts w:asciiTheme="majorBidi" w:hAnsiTheme="majorBidi" w:cstheme="majorBidi"/>
          <w:i/>
          <w:iCs/>
          <w:sz w:val="24"/>
          <w:szCs w:val="24"/>
        </w:rPr>
        <w:t>ommentary</w:t>
      </w:r>
      <w:r w:rsidR="007727ED" w:rsidRPr="009B1992">
        <w:rPr>
          <w:rFonts w:asciiTheme="majorBidi" w:hAnsiTheme="majorBidi" w:cstheme="majorBidi"/>
          <w:sz w:val="24"/>
          <w:szCs w:val="24"/>
        </w:rPr>
        <w:t>,</w:t>
      </w:r>
      <w:r w:rsidRPr="00042FA1">
        <w:rPr>
          <w:rFonts w:asciiTheme="majorBidi" w:hAnsiTheme="majorBidi" w:cstheme="majorBidi"/>
          <w:sz w:val="24"/>
          <w:szCs w:val="24"/>
        </w:rPr>
        <w:t xml:space="preserve"> p.309.</w:t>
      </w:r>
    </w:p>
  </w:footnote>
  <w:footnote w:id="14">
    <w:p w14:paraId="4E0BA6B3"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Pr="00042FA1">
        <w:rPr>
          <w:rFonts w:asciiTheme="majorBidi" w:hAnsiTheme="majorBidi" w:cstheme="majorBidi"/>
          <w:sz w:val="24"/>
          <w:szCs w:val="24"/>
          <w:shd w:val="clear" w:color="auto" w:fill="FFFFFF"/>
        </w:rPr>
        <w:t xml:space="preserve">Andrew T. Lincoln, </w:t>
      </w:r>
      <w:r w:rsidRPr="00042FA1">
        <w:rPr>
          <w:rFonts w:asciiTheme="majorBidi" w:hAnsiTheme="majorBidi" w:cstheme="majorBidi"/>
          <w:i/>
          <w:iCs/>
          <w:sz w:val="24"/>
          <w:szCs w:val="24"/>
          <w:shd w:val="clear" w:color="auto" w:fill="FFFFFF"/>
        </w:rPr>
        <w:t xml:space="preserve">The Gospel According to Saint John, </w:t>
      </w:r>
      <w:r w:rsidRPr="00042FA1">
        <w:rPr>
          <w:rFonts w:asciiTheme="majorBidi" w:hAnsiTheme="majorBidi" w:cstheme="majorBidi"/>
          <w:sz w:val="24"/>
          <w:szCs w:val="24"/>
          <w:shd w:val="clear" w:color="auto" w:fill="FFFFFF"/>
        </w:rPr>
        <w:t>(Ada, Michigan: Baker Academic, 2013), p.390.</w:t>
      </w:r>
    </w:p>
  </w:footnote>
  <w:footnote w:id="15">
    <w:p w14:paraId="3007117F"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Pr="00042FA1">
        <w:rPr>
          <w:rFonts w:asciiTheme="majorBidi" w:hAnsiTheme="majorBidi" w:cstheme="majorBidi"/>
          <w:sz w:val="24"/>
          <w:szCs w:val="24"/>
          <w:shd w:val="clear" w:color="auto" w:fill="FFFFFF"/>
        </w:rPr>
        <w:t xml:space="preserve">Lincoln, </w:t>
      </w:r>
      <w:r w:rsidRPr="00042FA1">
        <w:rPr>
          <w:rFonts w:asciiTheme="majorBidi" w:hAnsiTheme="majorBidi" w:cstheme="majorBidi"/>
          <w:i/>
          <w:iCs/>
          <w:sz w:val="24"/>
          <w:szCs w:val="24"/>
          <w:shd w:val="clear" w:color="auto" w:fill="FFFFFF"/>
        </w:rPr>
        <w:t xml:space="preserve">The Gospel According to Saint John, </w:t>
      </w:r>
      <w:r w:rsidRPr="00042FA1">
        <w:rPr>
          <w:rFonts w:asciiTheme="majorBidi" w:hAnsiTheme="majorBidi" w:cstheme="majorBidi"/>
          <w:sz w:val="24"/>
          <w:szCs w:val="24"/>
          <w:shd w:val="clear" w:color="auto" w:fill="FFFFFF"/>
        </w:rPr>
        <w:t>p.391.</w:t>
      </w:r>
    </w:p>
  </w:footnote>
  <w:footnote w:id="16">
    <w:p w14:paraId="1A370144"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Culpepper, </w:t>
      </w:r>
      <w:r w:rsidRPr="002647CC">
        <w:rPr>
          <w:rFonts w:asciiTheme="majorBidi" w:hAnsiTheme="majorBidi" w:cstheme="majorBidi"/>
          <w:i/>
          <w:iCs/>
          <w:sz w:val="24"/>
          <w:szCs w:val="24"/>
        </w:rPr>
        <w:t>Anatomy of the Fourth Gospel</w:t>
      </w:r>
      <w:r w:rsidRPr="00042FA1">
        <w:rPr>
          <w:rFonts w:asciiTheme="majorBidi" w:hAnsiTheme="majorBidi" w:cstheme="majorBidi"/>
          <w:sz w:val="24"/>
          <w:szCs w:val="24"/>
        </w:rPr>
        <w:t>, p.112.</w:t>
      </w:r>
    </w:p>
  </w:footnote>
  <w:footnote w:id="17">
    <w:p w14:paraId="4B385629"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bookmarkStart w:id="1" w:name="_Hlk10228945"/>
      <w:r w:rsidRPr="00042FA1">
        <w:rPr>
          <w:rFonts w:asciiTheme="majorBidi" w:hAnsiTheme="majorBidi" w:cstheme="majorBidi"/>
          <w:sz w:val="24"/>
          <w:szCs w:val="24"/>
          <w:lang w:val="en-US"/>
        </w:rPr>
        <w:t xml:space="preserve">Seiichi Yagi, “I” in the Words of Jesus, in </w:t>
      </w:r>
      <w:r w:rsidRPr="00042FA1">
        <w:rPr>
          <w:rFonts w:asciiTheme="majorBidi" w:hAnsiTheme="majorBidi" w:cstheme="majorBidi"/>
          <w:i/>
          <w:iCs/>
          <w:sz w:val="24"/>
          <w:szCs w:val="24"/>
          <w:lang w:val="en-US"/>
        </w:rPr>
        <w:t>The Myth of Christian Uniqueness</w:t>
      </w:r>
      <w:r w:rsidRPr="00042FA1">
        <w:rPr>
          <w:rFonts w:asciiTheme="majorBidi" w:hAnsiTheme="majorBidi" w:cstheme="majorBidi"/>
          <w:sz w:val="24"/>
          <w:szCs w:val="24"/>
          <w:lang w:val="en-US"/>
        </w:rPr>
        <w:t>, ed. John Hick and Paul F. Knitter, (London: SCM, 1987), p. 121.</w:t>
      </w:r>
      <w:bookmarkEnd w:id="1"/>
    </w:p>
  </w:footnote>
  <w:footnote w:id="18">
    <w:p w14:paraId="4B4E2F2C"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See for example John 6:44,45,53; 15:6.</w:t>
      </w:r>
    </w:p>
  </w:footnote>
  <w:footnote w:id="19">
    <w:p w14:paraId="11748161"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see for example Romans 1:1-32; 1 Corinthians 6:19; 2 Timothy 3:16-17 and Acts 4:12.</w:t>
      </w:r>
    </w:p>
  </w:footnote>
  <w:footnote w:id="20">
    <w:p w14:paraId="3D942A46"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proofErr w:type="spellStart"/>
      <w:r w:rsidRPr="00042FA1">
        <w:rPr>
          <w:rFonts w:asciiTheme="majorBidi" w:hAnsiTheme="majorBidi" w:cstheme="majorBidi"/>
          <w:sz w:val="24"/>
          <w:szCs w:val="24"/>
        </w:rPr>
        <w:t>Culppeper</w:t>
      </w:r>
      <w:proofErr w:type="spellEnd"/>
      <w:r w:rsidRPr="00042FA1">
        <w:rPr>
          <w:rFonts w:asciiTheme="majorBidi" w:hAnsiTheme="majorBidi" w:cstheme="majorBidi"/>
          <w:sz w:val="24"/>
          <w:szCs w:val="24"/>
        </w:rPr>
        <w:t>, Document of Faith, 121.</w:t>
      </w:r>
    </w:p>
  </w:footnote>
  <w:footnote w:id="21">
    <w:p w14:paraId="78269691"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Pr="00042FA1">
        <w:rPr>
          <w:rFonts w:asciiTheme="majorBidi" w:hAnsiTheme="majorBidi" w:cstheme="majorBidi"/>
          <w:sz w:val="24"/>
          <w:szCs w:val="24"/>
          <w:shd w:val="clear" w:color="auto" w:fill="FFFFFF"/>
        </w:rPr>
        <w:t>R. Alan Culpepper</w:t>
      </w:r>
      <w:r w:rsidRPr="00042FA1">
        <w:rPr>
          <w:rFonts w:asciiTheme="majorBidi" w:hAnsiTheme="majorBidi" w:cstheme="majorBidi"/>
          <w:sz w:val="24"/>
          <w:szCs w:val="24"/>
        </w:rPr>
        <w:t>, “</w:t>
      </w:r>
      <w:r w:rsidRPr="00160B93">
        <w:rPr>
          <w:rFonts w:asciiTheme="majorBidi" w:hAnsiTheme="majorBidi" w:cstheme="majorBidi"/>
          <w:sz w:val="24"/>
          <w:szCs w:val="24"/>
        </w:rPr>
        <w:t>The Gospel of John as a Document of Faith</w:t>
      </w:r>
      <w:r w:rsidRPr="00042FA1">
        <w:rPr>
          <w:rFonts w:asciiTheme="majorBidi" w:hAnsiTheme="majorBidi" w:cstheme="majorBidi"/>
          <w:sz w:val="24"/>
          <w:szCs w:val="24"/>
        </w:rPr>
        <w:t xml:space="preserve"> in</w:t>
      </w:r>
      <w:r w:rsidRPr="00042FA1">
        <w:rPr>
          <w:rFonts w:asciiTheme="majorBidi" w:hAnsiTheme="majorBidi" w:cstheme="majorBidi"/>
          <w:b/>
          <w:bCs/>
          <w:sz w:val="24"/>
          <w:szCs w:val="24"/>
        </w:rPr>
        <w:t xml:space="preserve"> </w:t>
      </w:r>
      <w:r w:rsidRPr="00042FA1">
        <w:rPr>
          <w:rFonts w:asciiTheme="majorBidi" w:hAnsiTheme="majorBidi" w:cstheme="majorBidi"/>
          <w:sz w:val="24"/>
          <w:szCs w:val="24"/>
        </w:rPr>
        <w:t xml:space="preserve">a Pluralistic Culture”, in </w:t>
      </w:r>
      <w:r w:rsidRPr="00042FA1">
        <w:rPr>
          <w:rFonts w:asciiTheme="majorBidi" w:hAnsiTheme="majorBidi" w:cstheme="majorBidi"/>
          <w:i/>
          <w:iCs/>
          <w:sz w:val="24"/>
          <w:szCs w:val="24"/>
        </w:rPr>
        <w:t xml:space="preserve">What is </w:t>
      </w:r>
      <w:proofErr w:type="gramStart"/>
      <w:r w:rsidRPr="00042FA1">
        <w:rPr>
          <w:rFonts w:asciiTheme="majorBidi" w:hAnsiTheme="majorBidi" w:cstheme="majorBidi"/>
          <w:i/>
          <w:iCs/>
          <w:sz w:val="24"/>
          <w:szCs w:val="24"/>
        </w:rPr>
        <w:t>John?:</w:t>
      </w:r>
      <w:proofErr w:type="gramEnd"/>
      <w:r w:rsidRPr="00042FA1">
        <w:rPr>
          <w:rFonts w:asciiTheme="majorBidi" w:hAnsiTheme="majorBidi" w:cstheme="majorBidi"/>
          <w:i/>
          <w:iCs/>
          <w:sz w:val="24"/>
          <w:szCs w:val="24"/>
        </w:rPr>
        <w:t xml:space="preserve"> Readers and Readings of the Fourth Gospel, </w:t>
      </w:r>
      <w:r w:rsidRPr="00042FA1">
        <w:rPr>
          <w:rFonts w:asciiTheme="majorBidi" w:hAnsiTheme="majorBidi" w:cstheme="majorBidi"/>
          <w:sz w:val="24"/>
          <w:szCs w:val="24"/>
        </w:rPr>
        <w:t>ed. Fernando F. Segovia (Scholars Press, 1996), p. 121.</w:t>
      </w:r>
    </w:p>
  </w:footnote>
  <w:footnote w:id="22">
    <w:p w14:paraId="7B6B4264"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See </w:t>
      </w:r>
      <w:bookmarkStart w:id="2" w:name="_Hlk10231255"/>
      <w:r w:rsidRPr="00042FA1">
        <w:rPr>
          <w:rFonts w:asciiTheme="majorBidi" w:hAnsiTheme="majorBidi" w:cstheme="majorBidi"/>
          <w:sz w:val="24"/>
          <w:szCs w:val="24"/>
        </w:rPr>
        <w:t xml:space="preserve">R. Alan Culpepper, “Preaching the Hostile References to “the Jews” in the Gospel of John”, in </w:t>
      </w:r>
      <w:r w:rsidRPr="00042FA1">
        <w:rPr>
          <w:rFonts w:asciiTheme="majorBidi" w:hAnsiTheme="majorBidi" w:cstheme="majorBidi"/>
          <w:i/>
          <w:iCs/>
          <w:sz w:val="24"/>
          <w:szCs w:val="24"/>
        </w:rPr>
        <w:t>The Gospel of John and Jewish–Christian Relations</w:t>
      </w:r>
      <w:r w:rsidRPr="00042FA1">
        <w:rPr>
          <w:rFonts w:asciiTheme="majorBidi" w:hAnsiTheme="majorBidi" w:cstheme="majorBidi"/>
          <w:sz w:val="24"/>
          <w:szCs w:val="24"/>
        </w:rPr>
        <w:t xml:space="preserve">, ed. Adele </w:t>
      </w:r>
      <w:proofErr w:type="spellStart"/>
      <w:r w:rsidRPr="00042FA1">
        <w:rPr>
          <w:rFonts w:asciiTheme="majorBidi" w:hAnsiTheme="majorBidi" w:cstheme="majorBidi"/>
          <w:sz w:val="24"/>
          <w:szCs w:val="24"/>
        </w:rPr>
        <w:t>Reinhartz</w:t>
      </w:r>
      <w:proofErr w:type="spellEnd"/>
      <w:r w:rsidRPr="00042FA1">
        <w:rPr>
          <w:rFonts w:asciiTheme="majorBidi" w:hAnsiTheme="majorBidi" w:cstheme="majorBidi"/>
          <w:sz w:val="24"/>
          <w:szCs w:val="24"/>
        </w:rPr>
        <w:t xml:space="preserve">. (Fortress Academic. Kindle Edition), </w:t>
      </w:r>
      <w:bookmarkEnd w:id="2"/>
      <w:r w:rsidRPr="00042FA1">
        <w:rPr>
          <w:rFonts w:asciiTheme="majorBidi" w:hAnsiTheme="majorBidi" w:cstheme="majorBidi"/>
          <w:sz w:val="24"/>
          <w:szCs w:val="24"/>
        </w:rPr>
        <w:t>kindle location 1364.</w:t>
      </w:r>
    </w:p>
  </w:footnote>
  <w:footnote w:id="23">
    <w:p w14:paraId="5CDEF122"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bookmarkStart w:id="3" w:name="_Hlk10231276"/>
      <w:r w:rsidRPr="00042FA1">
        <w:rPr>
          <w:rFonts w:asciiTheme="majorBidi" w:hAnsiTheme="majorBidi" w:cstheme="majorBidi"/>
          <w:sz w:val="24"/>
          <w:szCs w:val="24"/>
        </w:rPr>
        <w:t xml:space="preserve">Michael </w:t>
      </w:r>
      <w:proofErr w:type="spellStart"/>
      <w:r w:rsidRPr="00042FA1">
        <w:rPr>
          <w:rFonts w:asciiTheme="majorBidi" w:hAnsiTheme="majorBidi" w:cstheme="majorBidi"/>
          <w:sz w:val="24"/>
          <w:szCs w:val="24"/>
        </w:rPr>
        <w:t>Marissen</w:t>
      </w:r>
      <w:proofErr w:type="spellEnd"/>
      <w:r w:rsidRPr="00042FA1">
        <w:rPr>
          <w:rFonts w:asciiTheme="majorBidi" w:hAnsiTheme="majorBidi" w:cstheme="majorBidi"/>
          <w:sz w:val="24"/>
          <w:szCs w:val="24"/>
        </w:rPr>
        <w:t xml:space="preserve">, “Two Bach Church Cantatas and “the Jews” in the Gospel of John”, in </w:t>
      </w:r>
      <w:r w:rsidRPr="00042FA1">
        <w:rPr>
          <w:rFonts w:asciiTheme="majorBidi" w:hAnsiTheme="majorBidi" w:cstheme="majorBidi"/>
          <w:i/>
          <w:iCs/>
          <w:sz w:val="24"/>
          <w:szCs w:val="24"/>
        </w:rPr>
        <w:t>The Gospel of John and Jewish–Christian Relations</w:t>
      </w:r>
      <w:r w:rsidRPr="00042FA1">
        <w:rPr>
          <w:rFonts w:asciiTheme="majorBidi" w:hAnsiTheme="majorBidi" w:cstheme="majorBidi"/>
          <w:sz w:val="24"/>
          <w:szCs w:val="24"/>
        </w:rPr>
        <w:t xml:space="preserve">, ed. Adele </w:t>
      </w:r>
      <w:proofErr w:type="spellStart"/>
      <w:r w:rsidRPr="00042FA1">
        <w:rPr>
          <w:rFonts w:asciiTheme="majorBidi" w:hAnsiTheme="majorBidi" w:cstheme="majorBidi"/>
          <w:sz w:val="24"/>
          <w:szCs w:val="24"/>
        </w:rPr>
        <w:t>Reinhartz</w:t>
      </w:r>
      <w:proofErr w:type="spellEnd"/>
      <w:r w:rsidRPr="00042FA1">
        <w:rPr>
          <w:rFonts w:asciiTheme="majorBidi" w:hAnsiTheme="majorBidi" w:cstheme="majorBidi"/>
          <w:sz w:val="24"/>
          <w:szCs w:val="24"/>
        </w:rPr>
        <w:t xml:space="preserve">. (Fortress Academic. Kindle Edition), </w:t>
      </w:r>
      <w:bookmarkEnd w:id="3"/>
      <w:r w:rsidRPr="00042FA1">
        <w:rPr>
          <w:rFonts w:asciiTheme="majorBidi" w:hAnsiTheme="majorBidi" w:cstheme="majorBidi"/>
          <w:sz w:val="24"/>
          <w:szCs w:val="24"/>
        </w:rPr>
        <w:t>kindle location, 5479.</w:t>
      </w:r>
    </w:p>
  </w:footnote>
  <w:footnote w:id="24">
    <w:p w14:paraId="6FD59A76" w14:textId="77777777" w:rsidR="00290D7A" w:rsidRPr="00290D7A" w:rsidRDefault="00170D68" w:rsidP="00170D68">
      <w:pPr>
        <w:pStyle w:val="FootnoteText"/>
        <w:rPr>
          <w:rFonts w:asciiTheme="majorBidi" w:hAnsiTheme="majorBidi" w:cstheme="majorBidi"/>
          <w:b/>
          <w:bCs/>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Jan G. van der Watt, “Stereotypes, In-Groups, and Out-Groups in the Gospel of John”, in </w:t>
      </w:r>
      <w:r w:rsidRPr="00042FA1">
        <w:rPr>
          <w:rFonts w:asciiTheme="majorBidi" w:hAnsiTheme="majorBidi" w:cstheme="majorBidi"/>
          <w:i/>
          <w:iCs/>
          <w:sz w:val="24"/>
          <w:szCs w:val="24"/>
        </w:rPr>
        <w:t xml:space="preserve">Anatomies of the Gospels and Beyond, </w:t>
      </w:r>
      <w:r w:rsidRPr="00042FA1">
        <w:rPr>
          <w:rFonts w:asciiTheme="majorBidi" w:hAnsiTheme="majorBidi" w:cstheme="majorBidi"/>
          <w:sz w:val="24"/>
          <w:szCs w:val="24"/>
        </w:rPr>
        <w:t xml:space="preserve">ed. </w:t>
      </w:r>
      <w:proofErr w:type="spellStart"/>
      <w:r w:rsidRPr="00042FA1">
        <w:rPr>
          <w:rFonts w:asciiTheme="majorBidi" w:hAnsiTheme="majorBidi" w:cstheme="majorBidi"/>
          <w:sz w:val="24"/>
          <w:szCs w:val="24"/>
        </w:rPr>
        <w:t>Mikeal</w:t>
      </w:r>
      <w:proofErr w:type="spellEnd"/>
      <w:r w:rsidRPr="00042FA1">
        <w:rPr>
          <w:rFonts w:asciiTheme="majorBidi" w:hAnsiTheme="majorBidi" w:cstheme="majorBidi"/>
          <w:sz w:val="24"/>
          <w:szCs w:val="24"/>
        </w:rPr>
        <w:t xml:space="preserve"> C. Parsons, Elizabeth Struthers</w:t>
      </w:r>
      <w:r w:rsidR="007727ED" w:rsidRPr="00290D7A">
        <w:rPr>
          <w:rFonts w:asciiTheme="majorBidi" w:hAnsiTheme="majorBidi" w:cstheme="majorBidi"/>
          <w:sz w:val="24"/>
          <w:szCs w:val="24"/>
        </w:rPr>
        <w:t xml:space="preserve"> </w:t>
      </w:r>
      <w:proofErr w:type="spellStart"/>
      <w:r w:rsidR="007727ED" w:rsidRPr="00290D7A">
        <w:rPr>
          <w:rFonts w:asciiTheme="majorBidi" w:hAnsiTheme="majorBidi" w:cstheme="majorBidi"/>
          <w:sz w:val="24"/>
          <w:szCs w:val="24"/>
        </w:rPr>
        <w:t>M</w:t>
      </w:r>
      <w:r w:rsidR="007727ED" w:rsidRPr="00290D7A">
        <w:rPr>
          <w:rFonts w:asciiTheme="majorBidi" w:hAnsiTheme="majorBidi" w:cstheme="majorBidi"/>
          <w:sz w:val="24"/>
          <w:szCs w:val="24"/>
        </w:rPr>
        <w:t>albon</w:t>
      </w:r>
      <w:proofErr w:type="spellEnd"/>
      <w:r w:rsidRPr="00042FA1">
        <w:rPr>
          <w:rFonts w:asciiTheme="majorBidi" w:hAnsiTheme="majorBidi" w:cstheme="majorBidi"/>
          <w:sz w:val="24"/>
          <w:szCs w:val="24"/>
        </w:rPr>
        <w:t xml:space="preserve"> and </w:t>
      </w:r>
      <w:r w:rsidR="007727ED" w:rsidRPr="00290D7A">
        <w:rPr>
          <w:rFonts w:asciiTheme="majorBidi" w:hAnsiTheme="majorBidi" w:cstheme="majorBidi"/>
          <w:sz w:val="24"/>
          <w:szCs w:val="24"/>
        </w:rPr>
        <w:t>Paul N. Anderson</w:t>
      </w:r>
      <w:r w:rsidRPr="00042FA1">
        <w:rPr>
          <w:rFonts w:asciiTheme="majorBidi" w:hAnsiTheme="majorBidi" w:cstheme="majorBidi"/>
          <w:sz w:val="24"/>
          <w:szCs w:val="24"/>
        </w:rPr>
        <w:t>, (Leiden: Brill, 2018), p. 308.</w:t>
      </w:r>
    </w:p>
    <w:p w14:paraId="70939D65" w14:textId="77777777" w:rsidR="00170D68" w:rsidRPr="00042FA1" w:rsidRDefault="00170D68" w:rsidP="00170D68">
      <w:pPr>
        <w:pStyle w:val="FootnoteText"/>
        <w:rPr>
          <w:rFonts w:asciiTheme="majorBidi" w:hAnsiTheme="majorBidi" w:cstheme="majorBidi"/>
          <w:sz w:val="24"/>
          <w:szCs w:val="24"/>
        </w:rPr>
      </w:pPr>
    </w:p>
  </w:footnote>
  <w:footnote w:id="25">
    <w:p w14:paraId="6A0A27B2"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van der Watt, “Stereotypes, In-Groups, and Out-Groups in the Gospel of John”, p. 309.</w:t>
      </w:r>
    </w:p>
  </w:footnote>
  <w:footnote w:id="26">
    <w:p w14:paraId="22A1C92F" w14:textId="77777777" w:rsidR="00170D68" w:rsidRPr="00042FA1" w:rsidRDefault="00170D68" w:rsidP="00170D68">
      <w:pPr>
        <w:autoSpaceDE w:val="0"/>
        <w:autoSpaceDN w:val="0"/>
        <w:adjustRightInd w:val="0"/>
        <w:spacing w:after="0" w:line="240" w:lineRule="auto"/>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w:t>
      </w:r>
      <w:r w:rsidRPr="00042FA1">
        <w:rPr>
          <w:rFonts w:asciiTheme="majorBidi" w:eastAsia="Brill-Roman" w:hAnsiTheme="majorBidi" w:cstheme="majorBidi"/>
          <w:sz w:val="24"/>
          <w:szCs w:val="24"/>
        </w:rPr>
        <w:t xml:space="preserve">Richard A. Burridge, </w:t>
      </w:r>
      <w:r w:rsidRPr="00042FA1">
        <w:rPr>
          <w:rFonts w:asciiTheme="majorBidi" w:eastAsia="Brill-Roman" w:hAnsiTheme="majorBidi" w:cstheme="majorBidi"/>
          <w:i/>
          <w:iCs/>
          <w:sz w:val="24"/>
          <w:szCs w:val="24"/>
        </w:rPr>
        <w:t xml:space="preserve">Imitating Jesus: An Inclusive Approach to New Testament Ethics </w:t>
      </w:r>
      <w:r w:rsidRPr="00042FA1">
        <w:rPr>
          <w:rFonts w:asciiTheme="majorBidi" w:eastAsia="Brill-Roman" w:hAnsiTheme="majorBidi" w:cstheme="majorBidi"/>
          <w:sz w:val="24"/>
          <w:szCs w:val="24"/>
        </w:rPr>
        <w:t>(Grand Rapids: Eerdmans, 2007), p.</w:t>
      </w:r>
      <w:r w:rsidRPr="00042FA1">
        <w:rPr>
          <w:rFonts w:asciiTheme="majorBidi" w:hAnsiTheme="majorBidi" w:cstheme="majorBidi"/>
          <w:sz w:val="24"/>
          <w:szCs w:val="24"/>
        </w:rPr>
        <w:t>343.</w:t>
      </w:r>
    </w:p>
  </w:footnote>
  <w:footnote w:id="27">
    <w:p w14:paraId="33AFCAAB"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van der Watt, “Stereotypes, In-Groups, and Out-Groups in the Gospel of John”, p. 318.</w:t>
      </w:r>
    </w:p>
  </w:footnote>
  <w:footnote w:id="28">
    <w:p w14:paraId="79FEDD9B"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van der Watt, “Stereotypes, In-Groups, and Out-Groups in the Gospel of John”, p. 318.</w:t>
      </w:r>
    </w:p>
  </w:footnote>
  <w:footnote w:id="29">
    <w:p w14:paraId="41887B32"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Koester, </w:t>
      </w:r>
      <w:r w:rsidRPr="00042FA1">
        <w:rPr>
          <w:rFonts w:asciiTheme="majorBidi" w:hAnsiTheme="majorBidi" w:cstheme="majorBidi"/>
          <w:i/>
          <w:iCs/>
          <w:sz w:val="24"/>
          <w:szCs w:val="24"/>
        </w:rPr>
        <w:t>Symbolism in the Fourth Gospel</w:t>
      </w:r>
      <w:r w:rsidRPr="00042FA1">
        <w:rPr>
          <w:rFonts w:asciiTheme="majorBidi" w:hAnsiTheme="majorBidi" w:cstheme="majorBidi"/>
          <w:sz w:val="24"/>
          <w:szCs w:val="24"/>
        </w:rPr>
        <w:t>, p. 297.</w:t>
      </w:r>
    </w:p>
  </w:footnote>
  <w:footnote w:id="30">
    <w:p w14:paraId="2BEAF89E" w14:textId="77777777" w:rsidR="00170D68" w:rsidRPr="00042FA1" w:rsidRDefault="00170D68" w:rsidP="00170D68">
      <w:pPr>
        <w:pStyle w:val="FootnoteText"/>
        <w:rPr>
          <w:rFonts w:asciiTheme="majorBidi" w:hAnsiTheme="majorBidi" w:cstheme="majorBidi"/>
          <w:sz w:val="24"/>
          <w:szCs w:val="24"/>
        </w:rPr>
      </w:pPr>
      <w:r w:rsidRPr="00042FA1">
        <w:rPr>
          <w:rStyle w:val="FootnoteReference"/>
          <w:rFonts w:asciiTheme="majorBidi" w:hAnsiTheme="majorBidi" w:cstheme="majorBidi"/>
          <w:sz w:val="24"/>
          <w:szCs w:val="24"/>
        </w:rPr>
        <w:footnoteRef/>
      </w:r>
      <w:r w:rsidRPr="00042FA1">
        <w:rPr>
          <w:rFonts w:asciiTheme="majorBidi" w:hAnsiTheme="majorBidi" w:cstheme="majorBidi"/>
          <w:sz w:val="24"/>
          <w:szCs w:val="24"/>
        </w:rPr>
        <w:t xml:space="preserve"> Koester, </w:t>
      </w:r>
      <w:r w:rsidRPr="00042FA1">
        <w:rPr>
          <w:rFonts w:asciiTheme="majorBidi" w:hAnsiTheme="majorBidi" w:cstheme="majorBidi"/>
          <w:i/>
          <w:iCs/>
          <w:sz w:val="24"/>
          <w:szCs w:val="24"/>
        </w:rPr>
        <w:t>Symbolism in the Fourth Gospel</w:t>
      </w:r>
      <w:r w:rsidRPr="00042FA1">
        <w:rPr>
          <w:rFonts w:asciiTheme="majorBidi" w:hAnsiTheme="majorBidi" w:cstheme="majorBidi"/>
          <w:sz w:val="24"/>
          <w:szCs w:val="24"/>
        </w:rPr>
        <w:t>, p. 298.</w:t>
      </w:r>
    </w:p>
    <w:p w14:paraId="70509BDD" w14:textId="77777777" w:rsidR="00170D68" w:rsidRPr="00042FA1" w:rsidRDefault="00170D68" w:rsidP="00170D68">
      <w:pPr>
        <w:pStyle w:val="FootnoteText"/>
        <w:rPr>
          <w:rFonts w:asciiTheme="majorBidi" w:hAnsiTheme="majorBidi" w:cstheme="majorBidi"/>
          <w:sz w:val="24"/>
          <w:szCs w:val="24"/>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165EF4"/>
    <w:multiLevelType w:val="hybridMultilevel"/>
    <w:tmpl w:val="2C7299EA"/>
    <w:lvl w:ilvl="0" w:tplc="CAFCA2BC">
      <w:numFmt w:val="bullet"/>
      <w:lvlText w:val="-"/>
      <w:lvlJc w:val="left"/>
      <w:pPr>
        <w:ind w:left="720" w:hanging="360"/>
      </w:pPr>
      <w:rPr>
        <w:rFonts w:ascii="Calibri" w:eastAsiaTheme="minorHAnsi" w:hAnsi="Calibri" w:cs="Calibri"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F95"/>
    <w:rsid w:val="00042FA1"/>
    <w:rsid w:val="001505F8"/>
    <w:rsid w:val="00170D68"/>
    <w:rsid w:val="00227724"/>
    <w:rsid w:val="00341D98"/>
    <w:rsid w:val="003E3F95"/>
    <w:rsid w:val="00473EAA"/>
    <w:rsid w:val="00550806"/>
    <w:rsid w:val="005A09E4"/>
    <w:rsid w:val="005A1A3E"/>
    <w:rsid w:val="005B4A2E"/>
    <w:rsid w:val="005B7CE9"/>
    <w:rsid w:val="006B653B"/>
    <w:rsid w:val="007727ED"/>
    <w:rsid w:val="007C7EDD"/>
    <w:rsid w:val="0085440A"/>
    <w:rsid w:val="00863B17"/>
    <w:rsid w:val="008B3BD9"/>
    <w:rsid w:val="008E6D05"/>
    <w:rsid w:val="009A0945"/>
    <w:rsid w:val="00A33311"/>
    <w:rsid w:val="00A71AA0"/>
    <w:rsid w:val="00A73834"/>
    <w:rsid w:val="00A919F8"/>
    <w:rsid w:val="00B66834"/>
    <w:rsid w:val="00B727CF"/>
    <w:rsid w:val="00C52746"/>
    <w:rsid w:val="00CF322C"/>
    <w:rsid w:val="00D861B0"/>
    <w:rsid w:val="00DA3E7B"/>
    <w:rsid w:val="00FC256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4B5CF"/>
  <w15:chartTrackingRefBased/>
  <w15:docId w15:val="{C3621D3C-6A80-4E44-AD92-21848671E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0D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70D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0D68"/>
    <w:rPr>
      <w:sz w:val="20"/>
      <w:szCs w:val="20"/>
    </w:rPr>
  </w:style>
  <w:style w:type="character" w:styleId="FootnoteReference">
    <w:name w:val="footnote reference"/>
    <w:basedOn w:val="DefaultParagraphFont"/>
    <w:uiPriority w:val="99"/>
    <w:semiHidden/>
    <w:unhideWhenUsed/>
    <w:rsid w:val="00170D68"/>
    <w:rPr>
      <w:vertAlign w:val="superscript"/>
    </w:rPr>
  </w:style>
  <w:style w:type="character" w:customStyle="1" w:styleId="small-caps">
    <w:name w:val="small-caps"/>
    <w:basedOn w:val="DefaultParagraphFont"/>
    <w:rsid w:val="00170D68"/>
  </w:style>
  <w:style w:type="paragraph" w:styleId="Footer">
    <w:name w:val="footer"/>
    <w:basedOn w:val="Normal"/>
    <w:link w:val="FooterChar"/>
    <w:uiPriority w:val="99"/>
    <w:unhideWhenUsed/>
    <w:rsid w:val="00170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D68"/>
  </w:style>
  <w:style w:type="paragraph" w:styleId="BalloonText">
    <w:name w:val="Balloon Text"/>
    <w:basedOn w:val="Normal"/>
    <w:link w:val="BalloonTextChar"/>
    <w:uiPriority w:val="99"/>
    <w:semiHidden/>
    <w:unhideWhenUsed/>
    <w:rsid w:val="00170D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0D68"/>
    <w:rPr>
      <w:rFonts w:ascii="Segoe UI" w:hAnsi="Segoe UI" w:cs="Segoe UI"/>
      <w:sz w:val="18"/>
      <w:szCs w:val="18"/>
    </w:rPr>
  </w:style>
  <w:style w:type="paragraph" w:styleId="ListParagraph">
    <w:name w:val="List Paragraph"/>
    <w:basedOn w:val="Normal"/>
    <w:uiPriority w:val="34"/>
    <w:qFormat/>
    <w:rsid w:val="00042F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2833</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dc:creator>
  <cp:keywords/>
  <dc:description/>
  <cp:lastModifiedBy>Ahmed</cp:lastModifiedBy>
  <cp:revision>3</cp:revision>
  <dcterms:created xsi:type="dcterms:W3CDTF">2019-05-31T20:51:00Z</dcterms:created>
  <dcterms:modified xsi:type="dcterms:W3CDTF">2019-05-31T20:57:00Z</dcterms:modified>
</cp:coreProperties>
</file>