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77762" w14:textId="77777777" w:rsidR="0043208B" w:rsidRDefault="0043208B"/>
    <w:p w14:paraId="095A9025" w14:textId="6E359744" w:rsidR="0043208B" w:rsidRDefault="0043208B">
      <w:r>
        <w:rPr>
          <w:noProof/>
        </w:rPr>
        <w:drawing>
          <wp:inline distT="0" distB="0" distL="0" distR="0" wp14:anchorId="20B08C5A" wp14:editId="4AC5BEF5">
            <wp:extent cx="1897380" cy="948690"/>
            <wp:effectExtent l="0" t="0" r="7620" b="3810"/>
            <wp:docPr id="150902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97380" cy="948690"/>
                    </a:xfrm>
                    <a:prstGeom prst="rect">
                      <a:avLst/>
                    </a:prstGeom>
                    <a:noFill/>
                  </pic:spPr>
                </pic:pic>
              </a:graphicData>
            </a:graphic>
          </wp:inline>
        </w:drawing>
      </w:r>
    </w:p>
    <w:p w14:paraId="5F1777EF" w14:textId="29A6CBBA" w:rsidR="0043208B" w:rsidRPr="0043208B" w:rsidRDefault="0043208B">
      <w:pPr>
        <w:rPr>
          <w:b/>
          <w:bCs/>
        </w:rPr>
      </w:pPr>
      <w:r w:rsidRPr="0043208B">
        <w:rPr>
          <w:b/>
          <w:bCs/>
        </w:rPr>
        <w:t>LCHS4010</w:t>
      </w:r>
    </w:p>
    <w:p w14:paraId="1710E263" w14:textId="0195A902" w:rsidR="0043208B" w:rsidRPr="0043208B" w:rsidRDefault="0043208B">
      <w:pPr>
        <w:rPr>
          <w:b/>
          <w:bCs/>
        </w:rPr>
      </w:pPr>
      <w:r w:rsidRPr="0043208B">
        <w:rPr>
          <w:b/>
          <w:bCs/>
        </w:rPr>
        <w:t>Psychology in Health and Social Care</w:t>
      </w:r>
    </w:p>
    <w:p w14:paraId="2CE9B209" w14:textId="3446D52D" w:rsidR="0043208B" w:rsidRDefault="0043208B">
      <w:r>
        <w:t>Student: Chloe Agagjyshi</w:t>
      </w:r>
    </w:p>
    <w:p w14:paraId="1CF0C8FB" w14:textId="6D44669D" w:rsidR="0043208B" w:rsidRDefault="0043208B">
      <w:r>
        <w:t xml:space="preserve">ID: 2435449 </w:t>
      </w:r>
    </w:p>
    <w:p w14:paraId="4561AE30" w14:textId="02078169" w:rsidR="0043208B" w:rsidRDefault="0043208B">
      <w:r>
        <w:t>Lecturer: Shepherd Ziko</w:t>
      </w:r>
    </w:p>
    <w:p w14:paraId="0CFA8E1D" w14:textId="77777777" w:rsidR="0043208B" w:rsidRDefault="0043208B"/>
    <w:p w14:paraId="53A01D4F" w14:textId="77777777" w:rsidR="001E2C31" w:rsidRDefault="001E2C31"/>
    <w:p w14:paraId="1E47F595" w14:textId="77777777" w:rsidR="001E2C31" w:rsidRDefault="001E2C31"/>
    <w:p w14:paraId="5EEB4A14" w14:textId="77777777" w:rsidR="001E2C31" w:rsidRDefault="001E2C31"/>
    <w:p w14:paraId="3D760053" w14:textId="77777777" w:rsidR="001E2C31" w:rsidRDefault="001E2C31"/>
    <w:p w14:paraId="133D6E31" w14:textId="77777777" w:rsidR="001E2C31" w:rsidRDefault="001E2C31"/>
    <w:p w14:paraId="727E51F2" w14:textId="77777777" w:rsidR="001E2C31" w:rsidRDefault="001E2C31"/>
    <w:p w14:paraId="5F7FFADF" w14:textId="77777777" w:rsidR="001E2C31" w:rsidRDefault="001E2C31"/>
    <w:p w14:paraId="58B69D1F" w14:textId="77777777" w:rsidR="001E2C31" w:rsidRDefault="001E2C31"/>
    <w:p w14:paraId="272E0C7F" w14:textId="77777777" w:rsidR="001E2C31" w:rsidRDefault="001E2C31"/>
    <w:p w14:paraId="6473110C" w14:textId="77777777" w:rsidR="001E2C31" w:rsidRDefault="001E2C31"/>
    <w:p w14:paraId="1E155003" w14:textId="77777777" w:rsidR="001E2C31" w:rsidRDefault="001E2C31"/>
    <w:p w14:paraId="6D872847" w14:textId="77777777" w:rsidR="001E2C31" w:rsidRDefault="001E2C31"/>
    <w:p w14:paraId="106E97C1" w14:textId="77777777" w:rsidR="001E2C31" w:rsidRDefault="001E2C31"/>
    <w:p w14:paraId="5E2B6D81" w14:textId="77777777" w:rsidR="001E2C31" w:rsidRDefault="001E2C31"/>
    <w:p w14:paraId="143A5CA5" w14:textId="77777777" w:rsidR="001E2C31" w:rsidRDefault="001E2C31"/>
    <w:p w14:paraId="2350DC25" w14:textId="77777777" w:rsidR="001E2C31" w:rsidRDefault="001E2C31"/>
    <w:p w14:paraId="3BF5111B" w14:textId="77777777" w:rsidR="001E2C31" w:rsidRDefault="001E2C31"/>
    <w:p w14:paraId="217AC4C6" w14:textId="77777777" w:rsidR="001E2C31" w:rsidRDefault="001E2C31"/>
    <w:p w14:paraId="6D61FB0D" w14:textId="77777777" w:rsidR="001E2C31" w:rsidRDefault="001E2C31"/>
    <w:p w14:paraId="240F5B20" w14:textId="77777777" w:rsidR="001E2C31" w:rsidRDefault="001E2C31"/>
    <w:p w14:paraId="14C56A25" w14:textId="419795AD" w:rsidR="001E2C31" w:rsidRPr="001E2C31" w:rsidRDefault="001E2C31">
      <w:pPr>
        <w:rPr>
          <w:b/>
          <w:bCs/>
        </w:rPr>
      </w:pPr>
      <w:r w:rsidRPr="001E2C31">
        <w:rPr>
          <w:b/>
          <w:bCs/>
        </w:rPr>
        <w:t>Acknowledgement of the use of AI</w:t>
      </w:r>
    </w:p>
    <w:p w14:paraId="16CF0902" w14:textId="77777777" w:rsidR="001E2C31" w:rsidRDefault="001E2C31">
      <w:r>
        <w:t>I confirm that I have not used any form of AI in my assignment. I confirm I have copies of my drafts, notes, and other resources I have used to prepare my assignment.</w:t>
      </w:r>
    </w:p>
    <w:p w14:paraId="57599E0B" w14:textId="77777777" w:rsidR="001E2C31" w:rsidRDefault="001E2C31"/>
    <w:p w14:paraId="37DDCDF3" w14:textId="77777777" w:rsidR="001E2C31" w:rsidRDefault="001E2C31"/>
    <w:p w14:paraId="5A5A92EB" w14:textId="77777777" w:rsidR="001E2C31" w:rsidRDefault="001E2C31"/>
    <w:p w14:paraId="5B36F571" w14:textId="77777777" w:rsidR="001E2C31" w:rsidRDefault="001E2C31"/>
    <w:p w14:paraId="604FD81D" w14:textId="77777777" w:rsidR="001E2C31" w:rsidRDefault="001E2C31"/>
    <w:p w14:paraId="3A758DF0" w14:textId="77777777" w:rsidR="001E2C31" w:rsidRDefault="001E2C31"/>
    <w:p w14:paraId="1EAFEF25" w14:textId="77777777" w:rsidR="001E2C31" w:rsidRDefault="001E2C31"/>
    <w:p w14:paraId="77404080" w14:textId="77777777" w:rsidR="001E2C31" w:rsidRDefault="001E2C31"/>
    <w:p w14:paraId="0A95E137" w14:textId="77777777" w:rsidR="001E2C31" w:rsidRDefault="001E2C31"/>
    <w:p w14:paraId="62369C97" w14:textId="77777777" w:rsidR="001E2C31" w:rsidRDefault="001E2C31"/>
    <w:p w14:paraId="0EEDF86C" w14:textId="77777777" w:rsidR="001E2C31" w:rsidRDefault="001E2C31"/>
    <w:p w14:paraId="31B14C4E" w14:textId="77777777" w:rsidR="001E2C31" w:rsidRDefault="001E2C31"/>
    <w:p w14:paraId="31E4BF63" w14:textId="77777777" w:rsidR="001E2C31" w:rsidRDefault="001E2C31"/>
    <w:p w14:paraId="1D1C4E2B" w14:textId="77777777" w:rsidR="001E2C31" w:rsidRDefault="001E2C31"/>
    <w:p w14:paraId="3D23EACE" w14:textId="77777777" w:rsidR="001E2C31" w:rsidRDefault="001E2C31"/>
    <w:p w14:paraId="0FEBEBF1" w14:textId="77777777" w:rsidR="001E2C31" w:rsidRDefault="001E2C31"/>
    <w:p w14:paraId="3B2B9DFE" w14:textId="77777777" w:rsidR="001E2C31" w:rsidRDefault="001E2C31"/>
    <w:p w14:paraId="56FD6B00" w14:textId="77777777" w:rsidR="001E2C31" w:rsidRDefault="001E2C31"/>
    <w:p w14:paraId="100EACE7" w14:textId="77777777" w:rsidR="001E2C31" w:rsidRDefault="001E2C31"/>
    <w:p w14:paraId="4720DE5D" w14:textId="77777777" w:rsidR="001E2C31" w:rsidRDefault="001E2C31"/>
    <w:p w14:paraId="04FFA817" w14:textId="77777777" w:rsidR="001E2C31" w:rsidRDefault="001E2C31"/>
    <w:p w14:paraId="5A116D20" w14:textId="77777777" w:rsidR="001E2C31" w:rsidRDefault="001E2C31"/>
    <w:p w14:paraId="4FB704D0" w14:textId="0BF04A7D" w:rsidR="001E2C31" w:rsidRDefault="001E2C31">
      <w:pPr>
        <w:rPr>
          <w:b/>
          <w:bCs/>
        </w:rPr>
      </w:pPr>
      <w:r w:rsidRPr="001E2C31">
        <w:rPr>
          <w:b/>
          <w:bCs/>
        </w:rPr>
        <w:lastRenderedPageBreak/>
        <w:t xml:space="preserve">Part A:  </w:t>
      </w:r>
    </w:p>
    <w:p w14:paraId="1A3D1D08" w14:textId="0E2B1006" w:rsidR="001E2C31" w:rsidRDefault="00EA44D1">
      <w:pPr>
        <w:rPr>
          <w:b/>
          <w:bCs/>
        </w:rPr>
      </w:pPr>
      <w:r>
        <w:rPr>
          <w:b/>
          <w:bCs/>
        </w:rPr>
        <w:t>Source 1: Attachment theory</w:t>
      </w:r>
    </w:p>
    <w:p w14:paraId="45BE68BA" w14:textId="47A85CA9" w:rsidR="00E24349" w:rsidRDefault="00E24349">
      <w:r>
        <w:t>Bowlby’s attachment theory</w:t>
      </w:r>
      <w:r w:rsidR="00B06080">
        <w:t xml:space="preserve"> explains how early relationships with caregivers shape emotional development</w:t>
      </w:r>
      <w:r w:rsidR="0091656D">
        <w:t xml:space="preserve"> and </w:t>
      </w:r>
      <w:r w:rsidR="001C0C61">
        <w:t>behaviour</w:t>
      </w:r>
      <w:r w:rsidR="0091656D">
        <w:t xml:space="preserve"> throughout life.</w:t>
      </w:r>
      <w:r w:rsidR="001C0C61">
        <w:t xml:space="preserve"> </w:t>
      </w:r>
      <w:r w:rsidR="006B3FBC">
        <w:t>H</w:t>
      </w:r>
      <w:r w:rsidR="008516F9">
        <w:t xml:space="preserve">e argues that individuals </w:t>
      </w:r>
      <w:r w:rsidR="008D4AFC">
        <w:t>develop internal working mode</w:t>
      </w:r>
      <w:r w:rsidR="00F35965">
        <w:t>ls that are based on early attachments</w:t>
      </w:r>
      <w:r w:rsidR="005646EF">
        <w:t>, therefore influencing how they form relat</w:t>
      </w:r>
      <w:r w:rsidR="006A67BC">
        <w:t xml:space="preserve">ionships </w:t>
      </w:r>
      <w:proofErr w:type="gramStart"/>
      <w:r w:rsidR="006A67BC">
        <w:t>and also</w:t>
      </w:r>
      <w:proofErr w:type="gramEnd"/>
      <w:r w:rsidR="006A67BC">
        <w:t xml:space="preserve"> how they respond to stress. </w:t>
      </w:r>
      <w:r w:rsidR="00716016">
        <w:t>Secure attac</w:t>
      </w:r>
      <w:r w:rsidR="005F7E45">
        <w:t xml:space="preserve">hment leads to having </w:t>
      </w:r>
      <w:r w:rsidR="0002563B">
        <w:t>better emotional regulation, whereas insecure attachment can result in</w:t>
      </w:r>
      <w:r w:rsidR="00A6194C">
        <w:t xml:space="preserve"> avoidance, anxiety or dependency. Moreover, in later life</w:t>
      </w:r>
      <w:r w:rsidR="00FD30E5">
        <w:t xml:space="preserve">, these attachment patterns continue to influence how older adults cope with illness, loss and transitions into care settings. </w:t>
      </w:r>
      <w:r w:rsidR="00E556DC">
        <w:t>This theory is highly relevant within the health and social care secto</w:t>
      </w:r>
      <w:r w:rsidR="007F147E">
        <w:t>r</w:t>
      </w:r>
      <w:r w:rsidR="006A6950">
        <w:t xml:space="preserve">, especially in </w:t>
      </w:r>
      <w:r w:rsidR="00CF1D91">
        <w:t>care homes as it helps professionals understand why some older adults may show withdrawal, clinginess or distress</w:t>
      </w:r>
      <w:r w:rsidR="00176256">
        <w:t xml:space="preserve">, highlighting the importance of consistent caregiving </w:t>
      </w:r>
      <w:r w:rsidR="00B645D4">
        <w:t xml:space="preserve">and emotional support. </w:t>
      </w:r>
      <w:r w:rsidR="00CF5F53">
        <w:t xml:space="preserve">Bowlby’s concept of a ‘secure base’ is </w:t>
      </w:r>
      <w:r w:rsidR="0078665E">
        <w:t xml:space="preserve">relevant in care settings. </w:t>
      </w:r>
      <w:r w:rsidR="00ED666A">
        <w:t xml:space="preserve">However, a limitation is that it does place </w:t>
      </w:r>
      <w:r w:rsidR="007D3997">
        <w:t xml:space="preserve">strong emphasis on early life experiences, underestimating the impact of environmental factors </w:t>
      </w:r>
      <w:r w:rsidR="004A16F4">
        <w:t xml:space="preserve">and later life relationships. </w:t>
      </w:r>
      <w:r w:rsidR="00F207D0">
        <w:t xml:space="preserve">Mikulincer and Shaver expand on Bowlby’s </w:t>
      </w:r>
      <w:r w:rsidR="00F6386B">
        <w:t>work by examining attachment across adulthood. They ex</w:t>
      </w:r>
      <w:r w:rsidR="00441F9D">
        <w:t>plain that different attachment styles such as, secure, avoidant and anxious can influence emotional responses</w:t>
      </w:r>
      <w:r w:rsidR="00222A1B">
        <w:t xml:space="preserve"> as</w:t>
      </w:r>
      <w:r w:rsidR="00A135A9">
        <w:t xml:space="preserve"> </w:t>
      </w:r>
      <w:r w:rsidR="00222A1B">
        <w:t>well as interperson</w:t>
      </w:r>
      <w:r w:rsidR="00A135A9">
        <w:t xml:space="preserve">al relationships and coping strategies. </w:t>
      </w:r>
      <w:r w:rsidR="00E35D3F">
        <w:t>Insecure individuals may struggle with trust or emotional regulation</w:t>
      </w:r>
      <w:r w:rsidR="00D611D7">
        <w:t xml:space="preserve">, whereas secure individuals tend to seek support effectively. </w:t>
      </w:r>
      <w:r w:rsidR="00745DC5">
        <w:t>The authors, Mikulincer and Shaver, both highlight how attachment affects mental health and wellbeing in older adulthood</w:t>
      </w:r>
      <w:r w:rsidR="00314FB9">
        <w:t xml:space="preserve"> and how those individuals may respond to ageing, loss of independence and social isolation.</w:t>
      </w:r>
      <w:r w:rsidR="00745DC5">
        <w:t xml:space="preserve"> </w:t>
      </w:r>
      <w:r w:rsidR="009508D8">
        <w:t>This source is valuable for understanding how attachment continues to affect individuals later in life</w:t>
      </w:r>
      <w:r w:rsidR="001A70E8">
        <w:t>, particularly within the care sector</w:t>
      </w:r>
      <w:r w:rsidR="00FA65D9">
        <w:t xml:space="preserve"> where emotional support is crucial. </w:t>
      </w:r>
      <w:r w:rsidR="00295967">
        <w:t xml:space="preserve">It provides a strong theoretical foundation for </w:t>
      </w:r>
      <w:r w:rsidR="00DC4DD6">
        <w:t xml:space="preserve">the improvement of </w:t>
      </w:r>
      <w:r w:rsidR="00B026AA">
        <w:t>person-centred</w:t>
      </w:r>
      <w:r w:rsidR="00DC4DD6">
        <w:t xml:space="preserve"> </w:t>
      </w:r>
      <w:r w:rsidR="00812D94">
        <w:t>care;</w:t>
      </w:r>
      <w:r w:rsidR="00DC4DD6">
        <w:t xml:space="preserve"> however, the theory may oversimplify complex human behaviours</w:t>
      </w:r>
      <w:r w:rsidR="0040564F">
        <w:t xml:space="preserve"> through </w:t>
      </w:r>
      <w:r w:rsidR="00283709">
        <w:t>categorising</w:t>
      </w:r>
      <w:r w:rsidR="0040564F">
        <w:t xml:space="preserve"> individuals into fixed attachment styles.</w:t>
      </w:r>
      <w:r w:rsidR="00283709">
        <w:t xml:space="preserve"> </w:t>
      </w:r>
    </w:p>
    <w:p w14:paraId="5C6D7BA0" w14:textId="52A301D7" w:rsidR="006D67B4" w:rsidRDefault="00EA7B8A">
      <w:r>
        <w:t xml:space="preserve">Freud’s psychodynamic theory focuses on the role </w:t>
      </w:r>
      <w:r w:rsidR="00C30790">
        <w:t>of unconscious processes and early childhood experiences in shaping</w:t>
      </w:r>
      <w:r w:rsidR="00A82172">
        <w:t xml:space="preserve"> personality and behaviour. </w:t>
      </w:r>
      <w:r w:rsidR="001C4EE5">
        <w:t xml:space="preserve"> Freud </w:t>
      </w:r>
      <w:r w:rsidR="008D49AC">
        <w:t>introduced the concept o</w:t>
      </w:r>
      <w:r w:rsidR="00985208">
        <w:t>f the id</w:t>
      </w:r>
      <w:r w:rsidR="008662F5">
        <w:t xml:space="preserve"> (which </w:t>
      </w:r>
      <w:r w:rsidR="00146322">
        <w:t>seeks immediate pleasure), the</w:t>
      </w:r>
      <w:r w:rsidR="00985208">
        <w:t xml:space="preserve"> ego</w:t>
      </w:r>
      <w:r w:rsidR="00146322">
        <w:t xml:space="preserve"> (</w:t>
      </w:r>
      <w:r w:rsidR="00511BDB">
        <w:t>which operates on reality and decision making</w:t>
      </w:r>
      <w:r w:rsidR="00DD4CAD">
        <w:t>), and</w:t>
      </w:r>
      <w:r w:rsidR="00985208">
        <w:t xml:space="preserve"> superego</w:t>
      </w:r>
      <w:r w:rsidR="00511BDB">
        <w:t xml:space="preserve"> (which represents moral standards)</w:t>
      </w:r>
      <w:r w:rsidR="00985208">
        <w:t xml:space="preserve"> in which interact to influence</w:t>
      </w:r>
      <w:r w:rsidR="000D7614">
        <w:t xml:space="preserve"> thoughts and actions. Defence mechanisms, such as repression and denial</w:t>
      </w:r>
      <w:r w:rsidR="008849E3">
        <w:t xml:space="preserve">, that are used to manage internal conflict and anxiety. In older adults, </w:t>
      </w:r>
      <w:r w:rsidR="008428A4">
        <w:t>unresolved conflict</w:t>
      </w:r>
      <w:r w:rsidR="00F353FB">
        <w:t>s from earlier life stages, may re emerge especially during stressful transitions</w:t>
      </w:r>
      <w:r w:rsidR="007D4DBC">
        <w:t xml:space="preserve"> such as moving into residential care.</w:t>
      </w:r>
      <w:r w:rsidR="00737565">
        <w:t xml:space="preserve"> </w:t>
      </w:r>
      <w:r w:rsidR="0067703F">
        <w:t>Unconscious</w:t>
      </w:r>
      <w:r w:rsidR="00737565">
        <w:t xml:space="preserve"> processes can influence be</w:t>
      </w:r>
      <w:r w:rsidR="00D513FD">
        <w:t>haviours in ways that may not be understood such as sudden ange</w:t>
      </w:r>
      <w:r w:rsidR="0067703F">
        <w:t>r.</w:t>
      </w:r>
      <w:r w:rsidR="007D4DBC">
        <w:t xml:space="preserve"> Psychodynamic theory is useful for understanding </w:t>
      </w:r>
      <w:r w:rsidR="001F730B">
        <w:t>complex emotional behaviour in older adults and it encourages</w:t>
      </w:r>
      <w:r w:rsidR="005001AE">
        <w:t xml:space="preserve"> care professionals to look beyond </w:t>
      </w:r>
      <w:r w:rsidR="001120F7">
        <w:t xml:space="preserve">surface behaviours and consider </w:t>
      </w:r>
      <w:r w:rsidR="001120F7">
        <w:lastRenderedPageBreak/>
        <w:t xml:space="preserve">underlying emotional </w:t>
      </w:r>
      <w:r w:rsidR="00965FF5">
        <w:t xml:space="preserve">causes. </w:t>
      </w:r>
      <w:r w:rsidR="00BB3655">
        <w:t xml:space="preserve">However, the theory is often </w:t>
      </w:r>
      <w:r w:rsidR="00441FBE">
        <w:t>criticised</w:t>
      </w:r>
      <w:r w:rsidR="00BB3655">
        <w:t xml:space="preserve"> for the lack of scientific evidence</w:t>
      </w:r>
      <w:r w:rsidR="00974260">
        <w:t xml:space="preserve"> and being dif</w:t>
      </w:r>
      <w:r w:rsidR="00441FBE">
        <w:t xml:space="preserve">ficult to apply directly in practical care settings. </w:t>
      </w:r>
      <w:r w:rsidR="008E31E4">
        <w:t>This s</w:t>
      </w:r>
      <w:r w:rsidR="007548B0">
        <w:t xml:space="preserve">tudy explores the use of reminiscence therapy, which has roots in psychodynamic principles, </w:t>
      </w:r>
      <w:r w:rsidR="00812D94">
        <w:t>particularly</w:t>
      </w:r>
      <w:r w:rsidR="007548B0">
        <w:t xml:space="preserve"> the idea of revisiting past experiences. This shows that encouraging</w:t>
      </w:r>
      <w:r w:rsidR="00722B62">
        <w:t xml:space="preserve"> older adults, especially the individuals </w:t>
      </w:r>
      <w:r w:rsidR="002D2736">
        <w:t xml:space="preserve">with dementia, to reflect on their own </w:t>
      </w:r>
      <w:r w:rsidR="00793FBF">
        <w:t>life’s</w:t>
      </w:r>
      <w:r w:rsidR="002D2736">
        <w:t xml:space="preserve"> history can help improve their overall mood, </w:t>
      </w:r>
      <w:r w:rsidR="00793FBF">
        <w:t xml:space="preserve">communication, and wellbeing. This therapy </w:t>
      </w:r>
      <w:r w:rsidR="00282835">
        <w:t>helps</w:t>
      </w:r>
      <w:r w:rsidR="00FD3B9D">
        <w:t xml:space="preserve"> individuals process </w:t>
      </w:r>
      <w:r w:rsidR="00282835">
        <w:t xml:space="preserve">their own unresolved emotions and help maintain a sense of identity. </w:t>
      </w:r>
      <w:r w:rsidR="002C251F">
        <w:t xml:space="preserve">This source demonstrates how psychodynamic ideas can be applied into the </w:t>
      </w:r>
      <w:proofErr w:type="gramStart"/>
      <w:r w:rsidR="002C251F">
        <w:t>real world</w:t>
      </w:r>
      <w:proofErr w:type="gramEnd"/>
      <w:r w:rsidR="002C251F">
        <w:t xml:space="preserve"> care settings. </w:t>
      </w:r>
      <w:r w:rsidR="00AA2AE7">
        <w:t xml:space="preserve">Supporting emotional wellbeing and </w:t>
      </w:r>
      <w:r w:rsidR="00812D94">
        <w:t>person-centred</w:t>
      </w:r>
      <w:r w:rsidR="00AA2AE7">
        <w:t xml:space="preserve"> care in older adults. Its effectiveness may vary depending on the </w:t>
      </w:r>
      <w:r w:rsidR="00812D94">
        <w:t>individual’s</w:t>
      </w:r>
      <w:r w:rsidR="00AA2AE7">
        <w:t xml:space="preserve"> cognitive </w:t>
      </w:r>
      <w:r w:rsidR="00EA4619">
        <w:t>ability;</w:t>
      </w:r>
      <w:r w:rsidR="00812D94">
        <w:t xml:space="preserve"> </w:t>
      </w:r>
      <w:r w:rsidR="00A617D2">
        <w:t>therefore,</w:t>
      </w:r>
      <w:r w:rsidR="00812D94">
        <w:t xml:space="preserve"> it may not be suitable for all residents in a care home. </w:t>
      </w:r>
    </w:p>
    <w:p w14:paraId="662E8776" w14:textId="3240C70D" w:rsidR="004A16F4" w:rsidRPr="00A617D2" w:rsidRDefault="00A617D2">
      <w:pPr>
        <w:rPr>
          <w:b/>
          <w:bCs/>
        </w:rPr>
      </w:pPr>
      <w:r w:rsidRPr="00A617D2">
        <w:rPr>
          <w:b/>
          <w:bCs/>
        </w:rPr>
        <w:t xml:space="preserve">Part B: </w:t>
      </w:r>
    </w:p>
    <w:p w14:paraId="60897864" w14:textId="66350E59" w:rsidR="00A617D2" w:rsidRDefault="001A13F7">
      <w:r>
        <w:t>Attachment theory, developed by J</w:t>
      </w:r>
      <w:r w:rsidR="00EE45D7">
        <w:t>ohn Bowlby, explains how early relationships with c</w:t>
      </w:r>
      <w:r w:rsidR="00B322EF">
        <w:t xml:space="preserve">aregivers shape an individual’s emotional development and behaviour across the lifespan (Bowlby, 1988). According to Bowlby, these early interactions </w:t>
      </w:r>
      <w:r w:rsidR="00E03A69">
        <w:t xml:space="preserve">form ‘internal working models,’ which influence how </w:t>
      </w:r>
      <w:r w:rsidR="00E9606D">
        <w:t>individuals</w:t>
      </w:r>
      <w:r w:rsidR="00E03A69">
        <w:t xml:space="preserve"> perceive </w:t>
      </w:r>
      <w:r w:rsidR="00B918EF">
        <w:t xml:space="preserve">themselves, others and relationships. Although </w:t>
      </w:r>
      <w:r w:rsidR="00E9606D">
        <w:t>the</w:t>
      </w:r>
      <w:r w:rsidR="00B918EF">
        <w:t xml:space="preserve"> theory focuses a great depth within childhood, its principles remain highly relevant </w:t>
      </w:r>
      <w:r w:rsidR="00E9606D">
        <w:t xml:space="preserve">in later life, </w:t>
      </w:r>
      <w:r w:rsidR="00F605A5">
        <w:t>especially with older adults living in presential care settings (Mik</w:t>
      </w:r>
      <w:r w:rsidR="00082AD9">
        <w:t>u</w:t>
      </w:r>
      <w:r w:rsidR="00F605A5">
        <w:t xml:space="preserve">lincer and Shaver, 2007). </w:t>
      </w:r>
      <w:r w:rsidR="00F66E44">
        <w:t xml:space="preserve">Moving into a care home can be a significant life transition that may trigger feelings of insecurity, anxiety </w:t>
      </w:r>
      <w:r w:rsidR="00910C9D">
        <w:t xml:space="preserve">and loss, therefore </w:t>
      </w:r>
      <w:proofErr w:type="gramStart"/>
      <w:r w:rsidR="00910C9D">
        <w:t>having an understanding of</w:t>
      </w:r>
      <w:proofErr w:type="gramEnd"/>
      <w:r w:rsidR="00910C9D">
        <w:t xml:space="preserve"> the attachment theory can help health and social care professionals support the psychological wellbeing of older adults </w:t>
      </w:r>
      <w:r w:rsidR="00475BEC">
        <w:t xml:space="preserve">more effectively. Attachment theory can be applied in care homes by focusing on building </w:t>
      </w:r>
      <w:r w:rsidR="00A442CF">
        <w:t xml:space="preserve">trusting and secure relationships between the residents and caregivers. A key concept within the theory is the idea of a </w:t>
      </w:r>
      <w:r w:rsidR="00B57CC4">
        <w:t>‘</w:t>
      </w:r>
      <w:r w:rsidR="00A442CF">
        <w:t>secure base,</w:t>
      </w:r>
      <w:r w:rsidR="0080271D">
        <w:t xml:space="preserve">’ </w:t>
      </w:r>
      <w:r w:rsidR="00A442CF">
        <w:t xml:space="preserve">where individuals feel supported and safe </w:t>
      </w:r>
      <w:r w:rsidR="000170B0">
        <w:t>to where they are comfortable enough to express their needs (Bowlby, 1988)</w:t>
      </w:r>
      <w:r w:rsidR="00914EF7">
        <w:t xml:space="preserve">. In a care home environment, staff can act as this secure base for the residents by providing consistent </w:t>
      </w:r>
      <w:r w:rsidR="00B57CC4">
        <w:t xml:space="preserve">and emotionally supportive care. </w:t>
      </w:r>
      <w:r w:rsidR="00475BEC">
        <w:t xml:space="preserve"> </w:t>
      </w:r>
      <w:r w:rsidR="0080271D">
        <w:t xml:space="preserve">For example, when caregivers </w:t>
      </w:r>
      <w:r w:rsidR="00F438C4">
        <w:t>respond</w:t>
      </w:r>
      <w:r w:rsidR="0080271D">
        <w:t xml:space="preserve"> sensitively to the residents physical and emotional needs, it can help reduce </w:t>
      </w:r>
      <w:r w:rsidR="0024103F">
        <w:t xml:space="preserve">the </w:t>
      </w:r>
      <w:r w:rsidR="00F438C4">
        <w:t>anxiety</w:t>
      </w:r>
      <w:r w:rsidR="0024103F">
        <w:t xml:space="preserve"> of the individual </w:t>
      </w:r>
      <w:r w:rsidR="004B439F">
        <w:t xml:space="preserve">and help promote a sense of security. </w:t>
      </w:r>
      <w:r w:rsidR="00F438C4">
        <w:t xml:space="preserve">Older adults </w:t>
      </w:r>
      <w:r w:rsidR="00084710">
        <w:t>who do feel understood and valued are more likely to engage in social activities, communicate their needs, and maintain a positive sense of wellbeing (Mikulincer and Shaver, 2007). Consistency is particularly important, as frequent changes in staff can disrupt relationship building and increase the feeling of uncertainty. In addition, the attachment theory can help the staff better understand behaviours that may initially appear challenging. For instance, a re</w:t>
      </w:r>
      <w:r w:rsidR="008858BF">
        <w:t xml:space="preserve">sident who becomes overly dependant or distressed may be </w:t>
      </w:r>
      <w:r w:rsidR="00895B60">
        <w:t>demonstration</w:t>
      </w:r>
      <w:r w:rsidR="008858BF">
        <w:t xml:space="preserve"> an </w:t>
      </w:r>
      <w:r w:rsidR="00895B60">
        <w:t>anxious</w:t>
      </w:r>
      <w:r w:rsidR="008858BF">
        <w:t xml:space="preserve"> attachment style, whereas another who </w:t>
      </w:r>
      <w:r w:rsidR="00895B60">
        <w:t>withdraws</w:t>
      </w:r>
      <w:r w:rsidR="008858BF">
        <w:t xml:space="preserve"> from interaction may have avoidant </w:t>
      </w:r>
      <w:r w:rsidR="00895B60">
        <w:t xml:space="preserve">tendencies (Mikulincer and Shaver, 2007). </w:t>
      </w:r>
      <w:r w:rsidR="00082AD9">
        <w:t xml:space="preserve">Recognising these patterns allows the caregivers to respond with empathy rather than frustration, improving overall quality of care. </w:t>
      </w:r>
    </w:p>
    <w:p w14:paraId="01737E1A" w14:textId="19B9BA84" w:rsidR="009503E5" w:rsidRDefault="004042F1">
      <w:r>
        <w:lastRenderedPageBreak/>
        <w:t xml:space="preserve">An example of applying </w:t>
      </w:r>
      <w:r w:rsidR="002B1A73">
        <w:t xml:space="preserve">the attachment </w:t>
      </w:r>
      <w:r w:rsidR="00B96843">
        <w:t>theory</w:t>
      </w:r>
      <w:r w:rsidR="002B1A73">
        <w:t xml:space="preserve"> in practice can be seen in the case of an older adult who has recently</w:t>
      </w:r>
      <w:r w:rsidR="00F25407">
        <w:t xml:space="preserve"> moved into a residential care home. The individual may feel emotionally vulnerable</w:t>
      </w:r>
      <w:r w:rsidR="00B96843">
        <w:t xml:space="preserve"> and disoriented due to the loss of their</w:t>
      </w:r>
      <w:r w:rsidR="00996E52">
        <w:t xml:space="preserve"> familiar home environment and daily routine. </w:t>
      </w:r>
      <w:r w:rsidR="009503E5">
        <w:t>Due to this, t</w:t>
      </w:r>
      <w:r w:rsidR="00996E52">
        <w:t>hey may fre</w:t>
      </w:r>
      <w:r w:rsidR="009503E5">
        <w:t>quently call for assistance, become upset when left alone or even show signs of agitation.</w:t>
      </w:r>
      <w:r w:rsidR="00470D53">
        <w:t xml:space="preserve"> By applying the attachment theory, care staff can identify that these behaviours may reflect an insecure attachment style, </w:t>
      </w:r>
      <w:r w:rsidR="00C0315A">
        <w:t>especially</w:t>
      </w:r>
      <w:r w:rsidR="00470D53">
        <w:t xml:space="preserve"> </w:t>
      </w:r>
      <w:r w:rsidR="006C3304">
        <w:t>anxiety about abandonment or lack of security (Bowlby, 1988). To address this, the care home can implement a key worker system, where a specific caregiver is assigned to support the resident consistently</w:t>
      </w:r>
      <w:r w:rsidR="00C0315A">
        <w:t xml:space="preserve">. The caregiver can spend time building trust whilst also offering reassurance and responding carefully to the residents needs. </w:t>
      </w:r>
      <w:r w:rsidR="00905140">
        <w:t xml:space="preserve">Over time, the resident may begin to feel </w:t>
      </w:r>
      <w:r w:rsidR="000E2D95">
        <w:t>m</w:t>
      </w:r>
      <w:r w:rsidR="00905140">
        <w:t xml:space="preserve">ore secure and then develop a trusting relationship with the caregiver. Their </w:t>
      </w:r>
      <w:r w:rsidR="00A114BE">
        <w:t>anxiety levels may decrease, and they may become more comfortable with engaging in daily activities and social interactions. These results demonstrate how attachment theor</w:t>
      </w:r>
      <w:r w:rsidR="000E2D95">
        <w:t xml:space="preserve">y can be used to improve the emotional wellbeing and adjustment within care home settings. </w:t>
      </w:r>
    </w:p>
    <w:p w14:paraId="7E29C6CE" w14:textId="37650E64" w:rsidR="004E35E7" w:rsidRDefault="004E35E7">
      <w:r>
        <w:t xml:space="preserve">One of the main challenges in applying the attachment theory in care homes is the issue of staff shortages and </w:t>
      </w:r>
      <w:r w:rsidR="00225F0E">
        <w:t>high</w:t>
      </w:r>
      <w:r w:rsidR="00CC0F8C">
        <w:t xml:space="preserve"> staff turnover. Many care settings do face pressure due to having limited resources which can </w:t>
      </w:r>
      <w:r w:rsidR="00AB55DB">
        <w:t xml:space="preserve">result in residents being cared for by multiple different staff members, creating that lack of </w:t>
      </w:r>
      <w:r w:rsidR="00225F0E">
        <w:t>person-centred</w:t>
      </w:r>
      <w:r w:rsidR="00AB55DB">
        <w:t xml:space="preserve"> care. </w:t>
      </w:r>
      <w:r w:rsidR="002B1E81">
        <w:t>With this lack of consistency, it can make it difficult to establish</w:t>
      </w:r>
      <w:r w:rsidR="004A4CB9">
        <w:t xml:space="preserve"> stable and trusting relationships which are essential for creating a sense of security (Mikulincer and Shaver, 2007). </w:t>
      </w:r>
      <w:r w:rsidR="000E7CF6">
        <w:t>Because of this, residents may feel unsettle</w:t>
      </w:r>
      <w:r w:rsidR="00A6622C">
        <w:t>d</w:t>
      </w:r>
      <w:r w:rsidR="000E7CF6">
        <w:t>, confused and anxious</w:t>
      </w:r>
      <w:r w:rsidR="00A6622C">
        <w:t xml:space="preserve"> </w:t>
      </w:r>
      <w:r w:rsidR="00225F0E">
        <w:t xml:space="preserve">as some may already be vulnerable due to health issues of cognitive decline. </w:t>
      </w:r>
      <w:r w:rsidR="00DD14C5">
        <w:t>Without the consistent caregiving, it becomes more difficult to apply the principles of attachment theory effectively</w:t>
      </w:r>
      <w:r w:rsidR="00D21803">
        <w:t xml:space="preserve"> therefore potentially limiting its impact on the improvement of overall wellbeing. To overcome this c</w:t>
      </w:r>
      <w:r w:rsidR="00121A6F">
        <w:t xml:space="preserve">hallenge, care homes can implement practical strategies </w:t>
      </w:r>
      <w:proofErr w:type="gramStart"/>
      <w:r w:rsidR="00121A6F">
        <w:t>in order to</w:t>
      </w:r>
      <w:proofErr w:type="gramEnd"/>
      <w:r w:rsidR="00121A6F">
        <w:t xml:space="preserve"> promote relationship building and </w:t>
      </w:r>
      <w:r w:rsidR="00CA21C1">
        <w:t>continuity</w:t>
      </w:r>
      <w:r w:rsidR="00CA3340">
        <w:t xml:space="preserve"> despite having staff limitations. One effective approach is the use of a key worker </w:t>
      </w:r>
      <w:r w:rsidR="00642FF9">
        <w:t xml:space="preserve">where residents are assigned a primary caregiver in whom is responsible for </w:t>
      </w:r>
      <w:r w:rsidR="00CA21C1">
        <w:t>coordinating</w:t>
      </w:r>
      <w:r w:rsidR="00642FF9">
        <w:t xml:space="preserve"> their care</w:t>
      </w:r>
      <w:r w:rsidR="00CA21C1">
        <w:t xml:space="preserve">. Although other staff may </w:t>
      </w:r>
      <w:proofErr w:type="gramStart"/>
      <w:r w:rsidR="00CA21C1">
        <w:t>have involvement</w:t>
      </w:r>
      <w:proofErr w:type="gramEnd"/>
      <w:r w:rsidR="00CA21C1">
        <w:t xml:space="preserve"> with the resident, having a consistent point of contact helps maintain a sense of trust and familiarity, creating a positive impact toward the </w:t>
      </w:r>
      <w:r w:rsidR="0035379A">
        <w:t>resident’s</w:t>
      </w:r>
      <w:r w:rsidR="00CA21C1">
        <w:t xml:space="preserve"> wellbeing. </w:t>
      </w:r>
      <w:r w:rsidR="00697B7A">
        <w:t xml:space="preserve">Moreover, staff training is essential to ensure that all caregivers understand the importance </w:t>
      </w:r>
      <w:r w:rsidR="00772AA1">
        <w:t xml:space="preserve">of attachment and emotional support (Bowlby, 1988). Training can ensure that staff recognise </w:t>
      </w:r>
      <w:r w:rsidR="002420A9">
        <w:t xml:space="preserve">different attachment behaviours and respond appropriately, even if they are not the </w:t>
      </w:r>
      <w:r w:rsidR="0035379A">
        <w:t>resident’s</w:t>
      </w:r>
      <w:r w:rsidR="002420A9">
        <w:t xml:space="preserve"> primary caregiver. </w:t>
      </w:r>
      <w:r w:rsidR="008B18EA">
        <w:t xml:space="preserve">Having effective communication between staff members is important as it help ensure that the information about the </w:t>
      </w:r>
      <w:r w:rsidR="0035379A">
        <w:t xml:space="preserve">resident’s </w:t>
      </w:r>
      <w:r w:rsidR="008B18EA">
        <w:t xml:space="preserve">emotional needs and preferences are shared consistently. </w:t>
      </w:r>
      <w:r w:rsidR="0002065D">
        <w:t xml:space="preserve">By implementing these strategies, care homes can create a more supportive and stable environment, helping older adults feel secure and valued. </w:t>
      </w:r>
    </w:p>
    <w:p w14:paraId="5D35A865" w14:textId="36703727" w:rsidR="00A377B7" w:rsidRDefault="00A377B7">
      <w:r>
        <w:lastRenderedPageBreak/>
        <w:t xml:space="preserve">In conclusion, Bowlby’s attachment theory provides a valuable framework for </w:t>
      </w:r>
      <w:r w:rsidR="004619EA">
        <w:t>understanding</w:t>
      </w:r>
      <w:r>
        <w:t xml:space="preserve"> and supporting</w:t>
      </w:r>
      <w:r w:rsidR="00E017DE">
        <w:t xml:space="preserve"> the psychological wellbeing of older adults in residential care settings. By emphasising </w:t>
      </w:r>
      <w:r w:rsidR="00DD4FF0">
        <w:t xml:space="preserve">the importance of secure relationships and emotional support, this theory highlights how consistent and compassionate caregiving can reduce </w:t>
      </w:r>
      <w:r w:rsidR="004961DE">
        <w:t xml:space="preserve">anxiety and improve quality of life. Although there are challenges such as staff shortages, practical strategies such as having a key worker system and staff training can help overcome these barriers. The attachment theory remains </w:t>
      </w:r>
      <w:r w:rsidR="004619EA">
        <w:t>highly</w:t>
      </w:r>
      <w:r w:rsidR="004961DE">
        <w:t xml:space="preserve"> relevant within hea</w:t>
      </w:r>
      <w:r w:rsidR="004619EA">
        <w:t>lth and social care, offering important insights into improving the wellbeing of older adults.</w:t>
      </w:r>
    </w:p>
    <w:p w14:paraId="1BA7413C" w14:textId="77777777" w:rsidR="00A52BEC" w:rsidRDefault="00A52BEC"/>
    <w:p w14:paraId="5DA141AA" w14:textId="77777777" w:rsidR="00A52BEC" w:rsidRDefault="00A52BEC"/>
    <w:p w14:paraId="3B2B4A87" w14:textId="77777777" w:rsidR="00A52BEC" w:rsidRDefault="00A52BEC"/>
    <w:p w14:paraId="7CCD702C" w14:textId="77777777" w:rsidR="00A52BEC" w:rsidRDefault="00A52BEC"/>
    <w:p w14:paraId="103B4828" w14:textId="77777777" w:rsidR="00A52BEC" w:rsidRDefault="00A52BEC"/>
    <w:p w14:paraId="735040E0" w14:textId="77777777" w:rsidR="00A52BEC" w:rsidRDefault="00A52BEC"/>
    <w:p w14:paraId="6E65A60B" w14:textId="77777777" w:rsidR="00A52BEC" w:rsidRDefault="00A52BEC"/>
    <w:p w14:paraId="2E400785" w14:textId="77777777" w:rsidR="00A52BEC" w:rsidRDefault="00A52BEC"/>
    <w:p w14:paraId="226993B7" w14:textId="77777777" w:rsidR="00A52BEC" w:rsidRDefault="00A52BEC"/>
    <w:p w14:paraId="114B90DC" w14:textId="77777777" w:rsidR="00A52BEC" w:rsidRDefault="00A52BEC"/>
    <w:p w14:paraId="109C5F83" w14:textId="77777777" w:rsidR="00A52BEC" w:rsidRDefault="00A52BEC"/>
    <w:p w14:paraId="2338949D" w14:textId="77777777" w:rsidR="00A52BEC" w:rsidRDefault="00A52BEC"/>
    <w:p w14:paraId="32C6400B" w14:textId="77777777" w:rsidR="00A52BEC" w:rsidRDefault="00A52BEC"/>
    <w:p w14:paraId="116FA3B4" w14:textId="77777777" w:rsidR="00A52BEC" w:rsidRDefault="00A52BEC"/>
    <w:p w14:paraId="13969EE9" w14:textId="77777777" w:rsidR="00A52BEC" w:rsidRDefault="00A52BEC"/>
    <w:p w14:paraId="06299A5E" w14:textId="77777777" w:rsidR="00A52BEC" w:rsidRDefault="00A52BEC"/>
    <w:p w14:paraId="606262AF" w14:textId="77777777" w:rsidR="00A52BEC" w:rsidRDefault="00A52BEC"/>
    <w:p w14:paraId="35D5C95B" w14:textId="77777777" w:rsidR="00A52BEC" w:rsidRDefault="00A52BEC"/>
    <w:p w14:paraId="74CC36D5" w14:textId="77777777" w:rsidR="00A52BEC" w:rsidRDefault="00A52BEC"/>
    <w:p w14:paraId="68B8BD38" w14:textId="77777777" w:rsidR="00A52BEC" w:rsidRDefault="00A52BEC"/>
    <w:p w14:paraId="3CA838CD" w14:textId="77777777" w:rsidR="00A52BEC" w:rsidRDefault="00A52BEC"/>
    <w:p w14:paraId="0AFC3120" w14:textId="77777777" w:rsidR="00A52BEC" w:rsidRDefault="00A52BEC"/>
    <w:p w14:paraId="6A3E5E8D" w14:textId="77777777" w:rsidR="00A52BEC" w:rsidRDefault="00A52BEC"/>
    <w:p w14:paraId="1F3FD85A" w14:textId="77777777" w:rsidR="00A52BEC" w:rsidRDefault="00A52BEC"/>
    <w:p w14:paraId="2A88EF12" w14:textId="77777777" w:rsidR="00A52BEC" w:rsidRDefault="00A52BEC"/>
    <w:p w14:paraId="0C99E842" w14:textId="77777777" w:rsidR="00A52BEC" w:rsidRDefault="00A52BEC"/>
    <w:p w14:paraId="6D34D045" w14:textId="77777777" w:rsidR="00A52BEC" w:rsidRDefault="00A52BEC"/>
    <w:p w14:paraId="5560955D" w14:textId="77777777" w:rsidR="00A52BEC" w:rsidRDefault="00A52BEC"/>
    <w:p w14:paraId="722F4F67" w14:textId="77777777" w:rsidR="00A52BEC" w:rsidRDefault="00A52BEC"/>
    <w:p w14:paraId="30F55052" w14:textId="77777777" w:rsidR="00A52BEC" w:rsidRDefault="00A52BEC"/>
    <w:p w14:paraId="6BEAD03C" w14:textId="77777777" w:rsidR="00A52BEC" w:rsidRDefault="00A52BEC"/>
    <w:p w14:paraId="7A3BA3E2" w14:textId="77777777" w:rsidR="00A52BEC" w:rsidRDefault="00A52BEC"/>
    <w:p w14:paraId="0B4BD989" w14:textId="77777777" w:rsidR="00A52BEC" w:rsidRDefault="00A52BEC"/>
    <w:p w14:paraId="294E36D4" w14:textId="77777777" w:rsidR="00A52BEC" w:rsidRDefault="00A52BEC"/>
    <w:p w14:paraId="0D714E03" w14:textId="77777777" w:rsidR="00A52BEC" w:rsidRDefault="00A52BEC"/>
    <w:p w14:paraId="4C49F39E" w14:textId="77777777" w:rsidR="00A52BEC" w:rsidRDefault="00A52BEC"/>
    <w:p w14:paraId="4F53F95F" w14:textId="77777777" w:rsidR="004A16F4" w:rsidRDefault="004A16F4"/>
    <w:p w14:paraId="071B7754" w14:textId="77777777" w:rsidR="004A16F4" w:rsidRDefault="004A16F4"/>
    <w:p w14:paraId="5A2224BE" w14:textId="77777777" w:rsidR="004A16F4" w:rsidRDefault="004A16F4"/>
    <w:p w14:paraId="74C6EF87" w14:textId="77777777" w:rsidR="004A16F4" w:rsidRDefault="004A16F4"/>
    <w:p w14:paraId="41423EA8" w14:textId="77777777" w:rsidR="004A16F4" w:rsidRDefault="004A16F4"/>
    <w:p w14:paraId="023E091D" w14:textId="77777777" w:rsidR="004A16F4" w:rsidRDefault="004A16F4"/>
    <w:p w14:paraId="3C416A35" w14:textId="77777777" w:rsidR="004A16F4" w:rsidRDefault="004A16F4"/>
    <w:p w14:paraId="37BD6AA2" w14:textId="77777777" w:rsidR="004A16F4" w:rsidRDefault="004A16F4"/>
    <w:p w14:paraId="2B63F1B7" w14:textId="77777777" w:rsidR="004A16F4" w:rsidRDefault="004A16F4"/>
    <w:p w14:paraId="1B365177" w14:textId="77777777" w:rsidR="004A16F4" w:rsidRDefault="004A16F4"/>
    <w:p w14:paraId="667714AE" w14:textId="77777777" w:rsidR="004A16F4" w:rsidRDefault="004A16F4"/>
    <w:p w14:paraId="0A417EC6" w14:textId="77777777" w:rsidR="004A16F4" w:rsidRDefault="004A16F4"/>
    <w:p w14:paraId="3009818E" w14:textId="77777777" w:rsidR="004A16F4" w:rsidRDefault="004A16F4"/>
    <w:p w14:paraId="00F00ACA" w14:textId="77777777" w:rsidR="004A16F4" w:rsidRDefault="004A16F4"/>
    <w:p w14:paraId="42D00E7A" w14:textId="77777777" w:rsidR="004A16F4" w:rsidRDefault="004A16F4"/>
    <w:p w14:paraId="1C53FB56" w14:textId="77777777" w:rsidR="004A16F4" w:rsidRDefault="004A16F4"/>
    <w:p w14:paraId="4ED70431" w14:textId="558B2D5E" w:rsidR="004A16F4" w:rsidRDefault="004A16F4">
      <w:r>
        <w:t>REFERENCES:</w:t>
      </w:r>
    </w:p>
    <w:p w14:paraId="1C47BCE7" w14:textId="77777777" w:rsidR="00B95EC0" w:rsidRDefault="00B95EC0"/>
    <w:p w14:paraId="7EA8993E" w14:textId="4762B488" w:rsidR="00B31F7F" w:rsidRDefault="00B31F7F">
      <w:r>
        <w:t>Part A:</w:t>
      </w:r>
    </w:p>
    <w:p w14:paraId="1F28302D" w14:textId="1558DD46" w:rsidR="00B31F7F" w:rsidRDefault="005E1E9F">
      <w:r>
        <w:t xml:space="preserve">Bowlby, J. (1988) </w:t>
      </w:r>
      <w:r w:rsidRPr="00B95EC0">
        <w:rPr>
          <w:i/>
          <w:iCs/>
        </w:rPr>
        <w:t>A Secure Base: Parent</w:t>
      </w:r>
      <w:r w:rsidR="002D01E1" w:rsidRPr="00B95EC0">
        <w:rPr>
          <w:i/>
          <w:iCs/>
        </w:rPr>
        <w:t>-Child Attachment and Healthy Human Dev</w:t>
      </w:r>
      <w:r w:rsidR="00B95EC0" w:rsidRPr="00B95EC0">
        <w:rPr>
          <w:i/>
          <w:iCs/>
        </w:rPr>
        <w:t>elopment.</w:t>
      </w:r>
      <w:r w:rsidR="00B95EC0">
        <w:t xml:space="preserve"> London: Routledge. </w:t>
      </w:r>
    </w:p>
    <w:p w14:paraId="48D76C9B" w14:textId="093D77F5" w:rsidR="00B31F7F" w:rsidRDefault="00B31F7F">
      <w:r>
        <w:t>Miku</w:t>
      </w:r>
      <w:r w:rsidR="00B239B6">
        <w:t xml:space="preserve">lincer, M. and Shaver, P. (2007) </w:t>
      </w:r>
      <w:r w:rsidR="00B239B6" w:rsidRPr="002B3364">
        <w:rPr>
          <w:i/>
          <w:iCs/>
        </w:rPr>
        <w:t>Attachment in Adulthood:</w:t>
      </w:r>
      <w:r w:rsidR="00B239B6">
        <w:t xml:space="preserve"> Structure, Dynamics, and Change</w:t>
      </w:r>
      <w:r w:rsidR="002B3364">
        <w:t>. New York: Guilford Press.</w:t>
      </w:r>
    </w:p>
    <w:p w14:paraId="1E8E5705" w14:textId="77777777" w:rsidR="006D67B4" w:rsidRDefault="006D67B4"/>
    <w:p w14:paraId="6BF01A92" w14:textId="2C790977" w:rsidR="006D67B4" w:rsidRDefault="001144BE">
      <w:r>
        <w:t>Freud, S. (</w:t>
      </w:r>
      <w:r w:rsidR="002F4D0B">
        <w:t xml:space="preserve">1923) </w:t>
      </w:r>
      <w:r w:rsidR="002F4D0B" w:rsidRPr="00B026AA">
        <w:rPr>
          <w:i/>
          <w:iCs/>
        </w:rPr>
        <w:t>The Ego and the Id.</w:t>
      </w:r>
      <w:r w:rsidR="002F4D0B">
        <w:t xml:space="preserve"> London: Hogarth Press. </w:t>
      </w:r>
    </w:p>
    <w:p w14:paraId="0E2A79FB" w14:textId="791C57AA" w:rsidR="004A09F1" w:rsidRPr="00F0788B" w:rsidRDefault="004A09F1">
      <w:pPr>
        <w:rPr>
          <w:i/>
          <w:iCs/>
        </w:rPr>
      </w:pPr>
      <w:r>
        <w:t xml:space="preserve">Woods, B., Spector, A., Jones, C., Orrell, M. and Davies, S. </w:t>
      </w:r>
      <w:r w:rsidR="00E671B2">
        <w:t>(2005) ‘</w:t>
      </w:r>
      <w:proofErr w:type="spellStart"/>
      <w:r w:rsidR="00E671B2">
        <w:t>Reminiscense</w:t>
      </w:r>
      <w:proofErr w:type="spellEnd"/>
      <w:r w:rsidR="00E671B2">
        <w:t xml:space="preserve"> therapy fo</w:t>
      </w:r>
      <w:r w:rsidR="00F0788B">
        <w:t xml:space="preserve">r dementia’, </w:t>
      </w:r>
      <w:r w:rsidR="00F0788B" w:rsidRPr="00F0788B">
        <w:rPr>
          <w:i/>
          <w:iCs/>
        </w:rPr>
        <w:t>Cochrane Database of Systematic Reviews.</w:t>
      </w:r>
    </w:p>
    <w:sectPr w:rsidR="004A09F1" w:rsidRPr="00F07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08B"/>
    <w:rsid w:val="000170B0"/>
    <w:rsid w:val="0002065D"/>
    <w:rsid w:val="0002563B"/>
    <w:rsid w:val="00082AD9"/>
    <w:rsid w:val="00084710"/>
    <w:rsid w:val="000D7614"/>
    <w:rsid w:val="000E2D95"/>
    <w:rsid w:val="000E7CF6"/>
    <w:rsid w:val="001120F7"/>
    <w:rsid w:val="001144BE"/>
    <w:rsid w:val="00121A6F"/>
    <w:rsid w:val="00146322"/>
    <w:rsid w:val="00176256"/>
    <w:rsid w:val="001A13F7"/>
    <w:rsid w:val="001A70E8"/>
    <w:rsid w:val="001C0C61"/>
    <w:rsid w:val="001C4EE5"/>
    <w:rsid w:val="001E2C31"/>
    <w:rsid w:val="001E7CE5"/>
    <w:rsid w:val="001F730B"/>
    <w:rsid w:val="00222A1B"/>
    <w:rsid w:val="00225F0E"/>
    <w:rsid w:val="0024103F"/>
    <w:rsid w:val="002420A9"/>
    <w:rsid w:val="00282835"/>
    <w:rsid w:val="00283709"/>
    <w:rsid w:val="00295967"/>
    <w:rsid w:val="002B1A73"/>
    <w:rsid w:val="002B1E81"/>
    <w:rsid w:val="002B3364"/>
    <w:rsid w:val="002C251F"/>
    <w:rsid w:val="002D01E1"/>
    <w:rsid w:val="002D2736"/>
    <w:rsid w:val="002F4D0B"/>
    <w:rsid w:val="00314FB9"/>
    <w:rsid w:val="0035379A"/>
    <w:rsid w:val="004042F1"/>
    <w:rsid w:val="0040564F"/>
    <w:rsid w:val="0043208B"/>
    <w:rsid w:val="00441F9D"/>
    <w:rsid w:val="00441FBE"/>
    <w:rsid w:val="004619EA"/>
    <w:rsid w:val="00470D53"/>
    <w:rsid w:val="00475BEC"/>
    <w:rsid w:val="004961DE"/>
    <w:rsid w:val="004A09F1"/>
    <w:rsid w:val="004A16F4"/>
    <w:rsid w:val="004A4CB9"/>
    <w:rsid w:val="004B439F"/>
    <w:rsid w:val="004E35E7"/>
    <w:rsid w:val="005001AE"/>
    <w:rsid w:val="00511BDB"/>
    <w:rsid w:val="005646EF"/>
    <w:rsid w:val="005E1E9F"/>
    <w:rsid w:val="005F7E45"/>
    <w:rsid w:val="00607560"/>
    <w:rsid w:val="006279D9"/>
    <w:rsid w:val="00642FF9"/>
    <w:rsid w:val="0067703F"/>
    <w:rsid w:val="00697B7A"/>
    <w:rsid w:val="006A67BC"/>
    <w:rsid w:val="006A6950"/>
    <w:rsid w:val="006B3FBC"/>
    <w:rsid w:val="006C3304"/>
    <w:rsid w:val="006D67B4"/>
    <w:rsid w:val="00716016"/>
    <w:rsid w:val="00722B62"/>
    <w:rsid w:val="00737565"/>
    <w:rsid w:val="00745DC5"/>
    <w:rsid w:val="0075184A"/>
    <w:rsid w:val="007548B0"/>
    <w:rsid w:val="00772AA1"/>
    <w:rsid w:val="0078665E"/>
    <w:rsid w:val="00793FBF"/>
    <w:rsid w:val="007D3997"/>
    <w:rsid w:val="007D4DBC"/>
    <w:rsid w:val="007F147E"/>
    <w:rsid w:val="0080271D"/>
    <w:rsid w:val="00812D94"/>
    <w:rsid w:val="008428A4"/>
    <w:rsid w:val="008516F9"/>
    <w:rsid w:val="008662F5"/>
    <w:rsid w:val="008849E3"/>
    <w:rsid w:val="008858BF"/>
    <w:rsid w:val="00895B60"/>
    <w:rsid w:val="008B18EA"/>
    <w:rsid w:val="008D49AC"/>
    <w:rsid w:val="008D4AFC"/>
    <w:rsid w:val="008E31E4"/>
    <w:rsid w:val="00905140"/>
    <w:rsid w:val="00910C9D"/>
    <w:rsid w:val="00914EF7"/>
    <w:rsid w:val="0091656D"/>
    <w:rsid w:val="009503E5"/>
    <w:rsid w:val="009508D8"/>
    <w:rsid w:val="00965FF5"/>
    <w:rsid w:val="00974260"/>
    <w:rsid w:val="00985208"/>
    <w:rsid w:val="00996E52"/>
    <w:rsid w:val="00A114BE"/>
    <w:rsid w:val="00A135A9"/>
    <w:rsid w:val="00A377B7"/>
    <w:rsid w:val="00A442CF"/>
    <w:rsid w:val="00A52BEC"/>
    <w:rsid w:val="00A617D2"/>
    <w:rsid w:val="00A6194C"/>
    <w:rsid w:val="00A6622C"/>
    <w:rsid w:val="00A82172"/>
    <w:rsid w:val="00AA2AE7"/>
    <w:rsid w:val="00AB55DB"/>
    <w:rsid w:val="00B026AA"/>
    <w:rsid w:val="00B06080"/>
    <w:rsid w:val="00B239B6"/>
    <w:rsid w:val="00B31F7F"/>
    <w:rsid w:val="00B322EF"/>
    <w:rsid w:val="00B57CC4"/>
    <w:rsid w:val="00B645D4"/>
    <w:rsid w:val="00B918EF"/>
    <w:rsid w:val="00B95EC0"/>
    <w:rsid w:val="00B96843"/>
    <w:rsid w:val="00BB3655"/>
    <w:rsid w:val="00C0315A"/>
    <w:rsid w:val="00C30790"/>
    <w:rsid w:val="00C44FED"/>
    <w:rsid w:val="00CA21C1"/>
    <w:rsid w:val="00CA3340"/>
    <w:rsid w:val="00CC0F8C"/>
    <w:rsid w:val="00CC744F"/>
    <w:rsid w:val="00CF1D91"/>
    <w:rsid w:val="00CF5F53"/>
    <w:rsid w:val="00D10B4B"/>
    <w:rsid w:val="00D21803"/>
    <w:rsid w:val="00D513FD"/>
    <w:rsid w:val="00D611D7"/>
    <w:rsid w:val="00DC4DD6"/>
    <w:rsid w:val="00DD14C5"/>
    <w:rsid w:val="00DD392A"/>
    <w:rsid w:val="00DD4CAD"/>
    <w:rsid w:val="00DD4FF0"/>
    <w:rsid w:val="00E017DE"/>
    <w:rsid w:val="00E03A69"/>
    <w:rsid w:val="00E24349"/>
    <w:rsid w:val="00E35D3F"/>
    <w:rsid w:val="00E556DC"/>
    <w:rsid w:val="00E671B2"/>
    <w:rsid w:val="00E9606D"/>
    <w:rsid w:val="00EA44D1"/>
    <w:rsid w:val="00EA4619"/>
    <w:rsid w:val="00EA7B8A"/>
    <w:rsid w:val="00EB7824"/>
    <w:rsid w:val="00ED09D5"/>
    <w:rsid w:val="00ED666A"/>
    <w:rsid w:val="00EE45D7"/>
    <w:rsid w:val="00F0788B"/>
    <w:rsid w:val="00F207D0"/>
    <w:rsid w:val="00F25407"/>
    <w:rsid w:val="00F353FB"/>
    <w:rsid w:val="00F35965"/>
    <w:rsid w:val="00F438C4"/>
    <w:rsid w:val="00F605A5"/>
    <w:rsid w:val="00F6386B"/>
    <w:rsid w:val="00F66E44"/>
    <w:rsid w:val="00F83811"/>
    <w:rsid w:val="00FA65D9"/>
    <w:rsid w:val="00FD30E5"/>
    <w:rsid w:val="00FD3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A5BBB"/>
  <w15:chartTrackingRefBased/>
  <w15:docId w15:val="{9E49A126-CB07-45F1-9873-FB670ED86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0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0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0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0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0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0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0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0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0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0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0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0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0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0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0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0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0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08B"/>
    <w:rPr>
      <w:rFonts w:eastAsiaTheme="majorEastAsia" w:cstheme="majorBidi"/>
      <w:color w:val="272727" w:themeColor="text1" w:themeTint="D8"/>
    </w:rPr>
  </w:style>
  <w:style w:type="paragraph" w:styleId="Title">
    <w:name w:val="Title"/>
    <w:basedOn w:val="Normal"/>
    <w:next w:val="Normal"/>
    <w:link w:val="TitleChar"/>
    <w:uiPriority w:val="10"/>
    <w:qFormat/>
    <w:rsid w:val="004320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0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0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0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08B"/>
    <w:pPr>
      <w:spacing w:before="160"/>
      <w:jc w:val="center"/>
    </w:pPr>
    <w:rPr>
      <w:i/>
      <w:iCs/>
      <w:color w:val="404040" w:themeColor="text1" w:themeTint="BF"/>
    </w:rPr>
  </w:style>
  <w:style w:type="character" w:customStyle="1" w:styleId="QuoteChar">
    <w:name w:val="Quote Char"/>
    <w:basedOn w:val="DefaultParagraphFont"/>
    <w:link w:val="Quote"/>
    <w:uiPriority w:val="29"/>
    <w:rsid w:val="0043208B"/>
    <w:rPr>
      <w:i/>
      <w:iCs/>
      <w:color w:val="404040" w:themeColor="text1" w:themeTint="BF"/>
    </w:rPr>
  </w:style>
  <w:style w:type="paragraph" w:styleId="ListParagraph">
    <w:name w:val="List Paragraph"/>
    <w:basedOn w:val="Normal"/>
    <w:uiPriority w:val="34"/>
    <w:qFormat/>
    <w:rsid w:val="0043208B"/>
    <w:pPr>
      <w:ind w:left="720"/>
      <w:contextualSpacing/>
    </w:pPr>
  </w:style>
  <w:style w:type="character" w:styleId="IntenseEmphasis">
    <w:name w:val="Intense Emphasis"/>
    <w:basedOn w:val="DefaultParagraphFont"/>
    <w:uiPriority w:val="21"/>
    <w:qFormat/>
    <w:rsid w:val="0043208B"/>
    <w:rPr>
      <w:i/>
      <w:iCs/>
      <w:color w:val="0F4761" w:themeColor="accent1" w:themeShade="BF"/>
    </w:rPr>
  </w:style>
  <w:style w:type="paragraph" w:styleId="IntenseQuote">
    <w:name w:val="Intense Quote"/>
    <w:basedOn w:val="Normal"/>
    <w:next w:val="Normal"/>
    <w:link w:val="IntenseQuoteChar"/>
    <w:uiPriority w:val="30"/>
    <w:qFormat/>
    <w:rsid w:val="004320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08B"/>
    <w:rPr>
      <w:i/>
      <w:iCs/>
      <w:color w:val="0F4761" w:themeColor="accent1" w:themeShade="BF"/>
    </w:rPr>
  </w:style>
  <w:style w:type="character" w:styleId="IntenseReference">
    <w:name w:val="Intense Reference"/>
    <w:basedOn w:val="DefaultParagraphFont"/>
    <w:uiPriority w:val="32"/>
    <w:qFormat/>
    <w:rsid w:val="0043208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Agagjyshi</dc:creator>
  <cp:keywords/>
  <dc:description/>
  <cp:lastModifiedBy>Chloe Agagjyshi</cp:lastModifiedBy>
  <cp:revision>2</cp:revision>
  <dcterms:created xsi:type="dcterms:W3CDTF">2026-04-20T23:13:00Z</dcterms:created>
  <dcterms:modified xsi:type="dcterms:W3CDTF">2026-04-20T23:13:00Z</dcterms:modified>
</cp:coreProperties>
</file>