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3529959" w:rsidP="43529959" w:rsidRDefault="43529959" w14:paraId="47A77CA5" w14:textId="6512CB77">
      <w:pPr>
        <w:jc w:val="center"/>
        <w:rPr>
          <w:rFonts w:ascii="Arial" w:hAnsi="Arial" w:eastAsia="Arial" w:cs="Arial"/>
          <w:sz w:val="48"/>
          <w:szCs w:val="48"/>
        </w:rPr>
      </w:pPr>
    </w:p>
    <w:p xmlns:wp14="http://schemas.microsoft.com/office/word/2010/wordml" w:rsidP="16A3CFD7" w14:paraId="5E5787A5" wp14:textId="5ADD18CC">
      <w:pPr>
        <w:jc w:val="center"/>
        <w:rPr>
          <w:rFonts w:ascii="Arial" w:hAnsi="Arial" w:eastAsia="Arial" w:cs="Arial"/>
          <w:sz w:val="48"/>
          <w:szCs w:val="48"/>
        </w:rPr>
      </w:pPr>
      <w:bookmarkStart w:name="_GoBack" w:id="0"/>
      <w:bookmarkEnd w:id="0"/>
      <w:r w:rsidRPr="16A3CFD7" w:rsidR="797814C5">
        <w:rPr>
          <w:rFonts w:ascii="Arial" w:hAnsi="Arial" w:eastAsia="Arial" w:cs="Arial"/>
          <w:sz w:val="48"/>
          <w:szCs w:val="48"/>
        </w:rPr>
        <w:t>Psychology for Health and Social Care</w:t>
      </w:r>
    </w:p>
    <w:p w:rsidR="186D5962" w:rsidP="674DA064" w:rsidRDefault="186D5962" w14:paraId="50BE914F" w14:textId="4FA03911">
      <w:pPr>
        <w:pStyle w:val="Normal"/>
        <w:jc w:val="center"/>
        <w:rPr>
          <w:rFonts w:ascii="Arial" w:hAnsi="Arial" w:eastAsia="Arial" w:cs="Arial"/>
          <w:sz w:val="40"/>
          <w:szCs w:val="40"/>
        </w:rPr>
      </w:pPr>
      <w:r w:rsidRPr="43529959" w:rsidR="186D5962">
        <w:rPr>
          <w:rFonts w:ascii="Arial" w:hAnsi="Arial" w:eastAsia="Arial" w:cs="Arial"/>
          <w:sz w:val="40"/>
          <w:szCs w:val="40"/>
        </w:rPr>
        <w:t>BMHP4003_LON</w:t>
      </w:r>
    </w:p>
    <w:p w:rsidR="43529959" w:rsidP="43529959" w:rsidRDefault="43529959" w14:paraId="2C907787" w14:textId="6248F71B">
      <w:pPr>
        <w:pStyle w:val="Normal"/>
        <w:jc w:val="center"/>
        <w:rPr>
          <w:rFonts w:ascii="Arial" w:hAnsi="Arial" w:eastAsia="Arial" w:cs="Arial"/>
          <w:sz w:val="40"/>
          <w:szCs w:val="40"/>
        </w:rPr>
      </w:pPr>
    </w:p>
    <w:p w:rsidR="43529959" w:rsidP="43529959" w:rsidRDefault="43529959" w14:paraId="31852C9C" w14:textId="0E9CCB3F">
      <w:pPr>
        <w:pStyle w:val="Normal"/>
        <w:jc w:val="center"/>
        <w:rPr>
          <w:rFonts w:ascii="Arial" w:hAnsi="Arial" w:eastAsia="Arial" w:cs="Arial"/>
          <w:sz w:val="40"/>
          <w:szCs w:val="40"/>
        </w:rPr>
      </w:pPr>
    </w:p>
    <w:p w:rsidR="43529959" w:rsidP="43529959" w:rsidRDefault="43529959" w14:paraId="6AAD4C12" w14:textId="5919BECC">
      <w:pPr>
        <w:pStyle w:val="Normal"/>
        <w:jc w:val="center"/>
        <w:rPr>
          <w:rFonts w:ascii="Arial" w:hAnsi="Arial" w:eastAsia="Arial" w:cs="Arial"/>
          <w:sz w:val="40"/>
          <w:szCs w:val="40"/>
        </w:rPr>
      </w:pPr>
    </w:p>
    <w:p w:rsidR="43529959" w:rsidP="43529959" w:rsidRDefault="43529959" w14:paraId="729D2693" w14:textId="6DBBD920">
      <w:pPr>
        <w:pStyle w:val="Normal"/>
        <w:jc w:val="center"/>
        <w:rPr>
          <w:rFonts w:ascii="Arial" w:hAnsi="Arial" w:eastAsia="Arial" w:cs="Arial"/>
          <w:sz w:val="40"/>
          <w:szCs w:val="40"/>
        </w:rPr>
      </w:pPr>
    </w:p>
    <w:p w:rsidR="43529959" w:rsidP="43529959" w:rsidRDefault="43529959" w14:paraId="543F3210" w14:textId="2E72A84E">
      <w:pPr>
        <w:pStyle w:val="Normal"/>
        <w:jc w:val="center"/>
        <w:rPr>
          <w:rFonts w:ascii="Arial" w:hAnsi="Arial" w:eastAsia="Arial" w:cs="Arial"/>
          <w:sz w:val="40"/>
          <w:szCs w:val="40"/>
        </w:rPr>
      </w:pPr>
    </w:p>
    <w:p w:rsidR="43529959" w:rsidP="43529959" w:rsidRDefault="43529959" w14:paraId="35F021AB" w14:textId="30850E10">
      <w:pPr>
        <w:pStyle w:val="Normal"/>
        <w:jc w:val="center"/>
        <w:rPr>
          <w:rFonts w:ascii="Arial" w:hAnsi="Arial" w:eastAsia="Arial" w:cs="Arial"/>
          <w:sz w:val="40"/>
          <w:szCs w:val="40"/>
        </w:rPr>
      </w:pPr>
    </w:p>
    <w:p w:rsidR="43529959" w:rsidP="43529959" w:rsidRDefault="43529959" w14:paraId="66850E2B" w14:textId="3F554414">
      <w:pPr>
        <w:pStyle w:val="Normal"/>
        <w:jc w:val="center"/>
        <w:rPr>
          <w:rFonts w:ascii="Arial" w:hAnsi="Arial" w:eastAsia="Arial" w:cs="Arial"/>
          <w:sz w:val="40"/>
          <w:szCs w:val="40"/>
        </w:rPr>
      </w:pPr>
    </w:p>
    <w:p w:rsidR="43529959" w:rsidP="43529959" w:rsidRDefault="43529959" w14:paraId="02899418" w14:textId="481828AB">
      <w:pPr>
        <w:pStyle w:val="Normal"/>
        <w:jc w:val="center"/>
        <w:rPr>
          <w:rFonts w:ascii="Arial" w:hAnsi="Arial" w:eastAsia="Arial" w:cs="Arial"/>
          <w:sz w:val="40"/>
          <w:szCs w:val="40"/>
        </w:rPr>
      </w:pPr>
    </w:p>
    <w:p w:rsidR="471F3FB4" w:rsidP="43529959" w:rsidRDefault="471F3FB4" w14:paraId="54B69B7B" w14:textId="14747839">
      <w:pPr>
        <w:pStyle w:val="Normal"/>
        <w:jc w:val="left"/>
        <w:rPr>
          <w:rFonts w:ascii="Arial" w:hAnsi="Arial" w:eastAsia="Arial" w:cs="Arial"/>
          <w:sz w:val="32"/>
          <w:szCs w:val="32"/>
        </w:rPr>
      </w:pPr>
      <w:r w:rsidRPr="43529959" w:rsidR="471F3FB4">
        <w:rPr>
          <w:rFonts w:ascii="Arial" w:hAnsi="Arial" w:eastAsia="Arial" w:cs="Arial"/>
          <w:sz w:val="32"/>
          <w:szCs w:val="32"/>
        </w:rPr>
        <w:t>Lecturer:</w:t>
      </w:r>
      <w:r w:rsidRPr="43529959" w:rsidR="605C16D8">
        <w:rPr>
          <w:rFonts w:ascii="Arial" w:hAnsi="Arial" w:eastAsia="Arial" w:cs="Arial"/>
          <w:sz w:val="32"/>
          <w:szCs w:val="32"/>
        </w:rPr>
        <w:t xml:space="preserve"> Diya Ganguly</w:t>
      </w:r>
    </w:p>
    <w:p w:rsidR="471F3FB4" w:rsidP="43529959" w:rsidRDefault="471F3FB4" w14:paraId="7A5FCA2A" w14:textId="085DC2E8">
      <w:pPr>
        <w:pStyle w:val="Normal"/>
        <w:jc w:val="left"/>
        <w:rPr>
          <w:rFonts w:ascii="Arial" w:hAnsi="Arial" w:eastAsia="Arial" w:cs="Arial"/>
          <w:sz w:val="32"/>
          <w:szCs w:val="32"/>
        </w:rPr>
      </w:pPr>
      <w:r w:rsidRPr="43529959" w:rsidR="471F3FB4">
        <w:rPr>
          <w:rFonts w:ascii="Arial" w:hAnsi="Arial" w:eastAsia="Arial" w:cs="Arial"/>
          <w:sz w:val="32"/>
          <w:szCs w:val="32"/>
        </w:rPr>
        <w:t>Student:</w:t>
      </w:r>
      <w:r w:rsidRPr="43529959" w:rsidR="07EC44C3">
        <w:rPr>
          <w:rFonts w:ascii="Arial" w:hAnsi="Arial" w:eastAsia="Arial" w:cs="Arial"/>
          <w:sz w:val="32"/>
          <w:szCs w:val="32"/>
        </w:rPr>
        <w:t xml:space="preserve"> Ivelina Parker (1921483)</w:t>
      </w:r>
    </w:p>
    <w:p w:rsidR="43529959" w:rsidP="43529959" w:rsidRDefault="43529959" w14:paraId="26C6E05C" w14:textId="5ED05C3B">
      <w:pPr>
        <w:pStyle w:val="Normal"/>
        <w:jc w:val="left"/>
        <w:rPr>
          <w:rFonts w:ascii="Arial" w:hAnsi="Arial" w:eastAsia="Arial" w:cs="Arial"/>
          <w:sz w:val="32"/>
          <w:szCs w:val="32"/>
        </w:rPr>
      </w:pPr>
    </w:p>
    <w:p w:rsidR="43529959" w:rsidP="43529959" w:rsidRDefault="43529959" w14:paraId="524A3D2A" w14:textId="0E62BAFB">
      <w:pPr>
        <w:pStyle w:val="Normal"/>
        <w:jc w:val="left"/>
        <w:rPr>
          <w:rFonts w:ascii="Arial" w:hAnsi="Arial" w:eastAsia="Arial" w:cs="Arial"/>
          <w:sz w:val="32"/>
          <w:szCs w:val="32"/>
        </w:rPr>
      </w:pPr>
    </w:p>
    <w:p w:rsidR="43529959" w:rsidP="43529959" w:rsidRDefault="43529959" w14:paraId="6868388E" w14:textId="14A87F4E">
      <w:pPr>
        <w:pStyle w:val="Normal"/>
        <w:jc w:val="left"/>
        <w:rPr>
          <w:rFonts w:ascii="Arial" w:hAnsi="Arial" w:eastAsia="Arial" w:cs="Arial"/>
          <w:sz w:val="32"/>
          <w:szCs w:val="32"/>
        </w:rPr>
      </w:pPr>
    </w:p>
    <w:p w:rsidR="43529959" w:rsidP="43529959" w:rsidRDefault="43529959" w14:paraId="7CD48A63" w14:textId="35FAC5FD">
      <w:pPr>
        <w:pStyle w:val="Normal"/>
        <w:jc w:val="left"/>
        <w:rPr>
          <w:rFonts w:ascii="Arial" w:hAnsi="Arial" w:eastAsia="Arial" w:cs="Arial"/>
          <w:sz w:val="32"/>
          <w:szCs w:val="32"/>
        </w:rPr>
      </w:pPr>
    </w:p>
    <w:p w:rsidR="43529959" w:rsidP="43529959" w:rsidRDefault="43529959" w14:paraId="18C95ACE" w14:textId="2593E350">
      <w:pPr>
        <w:pStyle w:val="Normal"/>
        <w:jc w:val="left"/>
        <w:rPr>
          <w:rFonts w:ascii="Arial" w:hAnsi="Arial" w:eastAsia="Arial" w:cs="Arial"/>
          <w:sz w:val="32"/>
          <w:szCs w:val="32"/>
        </w:rPr>
      </w:pPr>
    </w:p>
    <w:p w:rsidR="43529959" w:rsidP="43529959" w:rsidRDefault="43529959" w14:paraId="505C2F22" w14:textId="6B5C0EC3">
      <w:pPr>
        <w:pStyle w:val="Normal"/>
        <w:jc w:val="left"/>
        <w:rPr>
          <w:rFonts w:ascii="Arial" w:hAnsi="Arial" w:eastAsia="Arial" w:cs="Arial"/>
          <w:sz w:val="32"/>
          <w:szCs w:val="32"/>
        </w:rPr>
      </w:pPr>
    </w:p>
    <w:p w:rsidR="43529959" w:rsidP="43529959" w:rsidRDefault="43529959" w14:paraId="60B2B38A" w14:textId="543ED621">
      <w:pPr>
        <w:pStyle w:val="Normal"/>
        <w:jc w:val="left"/>
        <w:rPr>
          <w:rFonts w:ascii="Arial" w:hAnsi="Arial" w:eastAsia="Arial" w:cs="Arial"/>
          <w:sz w:val="32"/>
          <w:szCs w:val="32"/>
        </w:rPr>
      </w:pPr>
    </w:p>
    <w:p w:rsidR="43529959" w:rsidP="43529959" w:rsidRDefault="43529959" w14:paraId="3BC0AAD9" w14:textId="5A14674E">
      <w:pPr>
        <w:pStyle w:val="Normal"/>
        <w:jc w:val="left"/>
        <w:rPr>
          <w:rFonts w:ascii="Arial" w:hAnsi="Arial" w:eastAsia="Arial" w:cs="Arial"/>
          <w:sz w:val="32"/>
          <w:szCs w:val="32"/>
        </w:rPr>
      </w:pPr>
    </w:p>
    <w:p w:rsidR="43529959" w:rsidP="43529959" w:rsidRDefault="43529959" w14:paraId="2AD5A2FC" w14:textId="1546D9A5">
      <w:pPr>
        <w:pStyle w:val="Normal"/>
        <w:jc w:val="left"/>
        <w:rPr>
          <w:rFonts w:ascii="Arial" w:hAnsi="Arial" w:eastAsia="Arial" w:cs="Arial"/>
          <w:sz w:val="32"/>
          <w:szCs w:val="32"/>
        </w:rPr>
      </w:pPr>
    </w:p>
    <w:p w:rsidR="43529959" w:rsidP="43529959" w:rsidRDefault="43529959" w14:paraId="6F8A7CB1" w14:textId="4FF9DA0D">
      <w:pPr>
        <w:pStyle w:val="Normal"/>
        <w:jc w:val="left"/>
        <w:rPr>
          <w:rFonts w:ascii="Arial" w:hAnsi="Arial" w:eastAsia="Arial" w:cs="Arial"/>
          <w:sz w:val="32"/>
          <w:szCs w:val="32"/>
        </w:rPr>
      </w:pPr>
    </w:p>
    <w:p w:rsidR="43529959" w:rsidP="43529959" w:rsidRDefault="43529959" w14:paraId="5F29FD0C" w14:textId="1EB16D83">
      <w:pPr>
        <w:pStyle w:val="Normal"/>
        <w:jc w:val="center"/>
        <w:rPr>
          <w:rFonts w:ascii="Arial" w:hAnsi="Arial" w:eastAsia="Arial" w:cs="Arial"/>
          <w:sz w:val="40"/>
          <w:szCs w:val="40"/>
        </w:rPr>
      </w:pPr>
    </w:p>
    <w:p w:rsidR="339B8D5D" w:rsidP="43529959" w:rsidRDefault="339B8D5D" w14:paraId="1172A6F1" w14:textId="746D8745">
      <w:pPr>
        <w:pStyle w:val="Normal"/>
        <w:jc w:val="center"/>
        <w:rPr>
          <w:rFonts w:ascii="Arial" w:hAnsi="Arial" w:eastAsia="Arial" w:cs="Arial"/>
          <w:sz w:val="40"/>
          <w:szCs w:val="40"/>
        </w:rPr>
      </w:pPr>
      <w:r w:rsidRPr="43529959" w:rsidR="339B8D5D">
        <w:rPr>
          <w:rFonts w:ascii="Arial" w:hAnsi="Arial" w:eastAsia="Arial" w:cs="Arial"/>
          <w:sz w:val="40"/>
          <w:szCs w:val="40"/>
        </w:rPr>
        <w:t xml:space="preserve">Applying psychological perspectives in </w:t>
      </w:r>
      <w:r w:rsidRPr="43529959" w:rsidR="5F38ECDB">
        <w:rPr>
          <w:rFonts w:ascii="Arial" w:hAnsi="Arial" w:eastAsia="Arial" w:cs="Arial"/>
          <w:sz w:val="40"/>
          <w:szCs w:val="40"/>
        </w:rPr>
        <w:t>h</w:t>
      </w:r>
      <w:r w:rsidRPr="43529959" w:rsidR="339B8D5D">
        <w:rPr>
          <w:rFonts w:ascii="Arial" w:hAnsi="Arial" w:eastAsia="Arial" w:cs="Arial"/>
          <w:sz w:val="40"/>
          <w:szCs w:val="40"/>
        </w:rPr>
        <w:t xml:space="preserve">ealth and </w:t>
      </w:r>
      <w:r w:rsidRPr="43529959" w:rsidR="5F3385A4">
        <w:rPr>
          <w:rFonts w:ascii="Arial" w:hAnsi="Arial" w:eastAsia="Arial" w:cs="Arial"/>
          <w:sz w:val="40"/>
          <w:szCs w:val="40"/>
        </w:rPr>
        <w:t>s</w:t>
      </w:r>
      <w:r w:rsidRPr="43529959" w:rsidR="339B8D5D">
        <w:rPr>
          <w:rFonts w:ascii="Arial" w:hAnsi="Arial" w:eastAsia="Arial" w:cs="Arial"/>
          <w:sz w:val="40"/>
          <w:szCs w:val="40"/>
        </w:rPr>
        <w:t xml:space="preserve">ocial </w:t>
      </w:r>
      <w:r w:rsidRPr="43529959" w:rsidR="468C86D3">
        <w:rPr>
          <w:rFonts w:ascii="Arial" w:hAnsi="Arial" w:eastAsia="Arial" w:cs="Arial"/>
          <w:sz w:val="40"/>
          <w:szCs w:val="40"/>
        </w:rPr>
        <w:t>c</w:t>
      </w:r>
      <w:r w:rsidRPr="43529959" w:rsidR="339B8D5D">
        <w:rPr>
          <w:rFonts w:ascii="Arial" w:hAnsi="Arial" w:eastAsia="Arial" w:cs="Arial"/>
          <w:sz w:val="40"/>
          <w:szCs w:val="40"/>
        </w:rPr>
        <w:t>are</w:t>
      </w:r>
    </w:p>
    <w:p w:rsidR="43529959" w:rsidP="43529959" w:rsidRDefault="43529959" w14:paraId="092468F5" w14:textId="2C0B7F98">
      <w:pPr>
        <w:pStyle w:val="Normal"/>
        <w:jc w:val="left"/>
        <w:rPr>
          <w:rFonts w:ascii="Arial" w:hAnsi="Arial" w:eastAsia="Arial" w:cs="Arial"/>
          <w:sz w:val="32"/>
          <w:szCs w:val="32"/>
        </w:rPr>
      </w:pPr>
    </w:p>
    <w:p w:rsidR="43529959" w:rsidP="43529959" w:rsidRDefault="43529959" w14:paraId="229EDD18" w14:textId="48E451E4">
      <w:pPr>
        <w:pStyle w:val="Normal"/>
        <w:jc w:val="left"/>
        <w:rPr>
          <w:rFonts w:ascii="Arial" w:hAnsi="Arial" w:eastAsia="Arial" w:cs="Arial"/>
          <w:sz w:val="32"/>
          <w:szCs w:val="32"/>
        </w:rPr>
      </w:pPr>
    </w:p>
    <w:p w:rsidR="43529959" w:rsidP="43529959" w:rsidRDefault="43529959" w14:paraId="65EE2E02" w14:textId="735CE9E9">
      <w:pPr>
        <w:pStyle w:val="Normal"/>
        <w:jc w:val="left"/>
        <w:rPr>
          <w:rFonts w:ascii="Arial" w:hAnsi="Arial" w:eastAsia="Arial" w:cs="Arial"/>
          <w:sz w:val="32"/>
          <w:szCs w:val="32"/>
        </w:rPr>
      </w:pPr>
    </w:p>
    <w:p w:rsidR="24AD5A69" w:rsidP="43529959" w:rsidRDefault="24AD5A69" w14:paraId="752A0254" w14:textId="0B440C74">
      <w:pPr>
        <w:pStyle w:val="Normal"/>
        <w:spacing w:line="240" w:lineRule="auto"/>
        <w:jc w:val="left"/>
        <w:rPr>
          <w:rFonts w:ascii="Arial" w:hAnsi="Arial" w:eastAsia="Arial" w:cs="Arial"/>
          <w:sz w:val="28"/>
          <w:szCs w:val="28"/>
          <w:u w:val="single"/>
        </w:rPr>
      </w:pPr>
      <w:r w:rsidRPr="43529959" w:rsidR="24AD5A69">
        <w:rPr>
          <w:rFonts w:ascii="Arial" w:hAnsi="Arial" w:eastAsia="Arial" w:cs="Arial"/>
          <w:sz w:val="28"/>
          <w:szCs w:val="28"/>
          <w:u w:val="single"/>
        </w:rPr>
        <w:t>Introduction</w:t>
      </w:r>
    </w:p>
    <w:p w:rsidR="43529959" w:rsidP="43529959" w:rsidRDefault="43529959" w14:paraId="5361F755" w14:textId="5A4F449D">
      <w:pPr>
        <w:pStyle w:val="Normal"/>
        <w:spacing w:line="240" w:lineRule="auto"/>
        <w:jc w:val="left"/>
        <w:rPr>
          <w:rFonts w:ascii="Arial" w:hAnsi="Arial" w:eastAsia="Arial" w:cs="Arial"/>
          <w:sz w:val="28"/>
          <w:szCs w:val="28"/>
          <w:u w:val="single"/>
        </w:rPr>
      </w:pPr>
    </w:p>
    <w:p w:rsidR="632C353F" w:rsidP="43529959" w:rsidRDefault="632C353F" w14:paraId="30BA1B55" w14:textId="004E2C2D">
      <w:pPr>
        <w:spacing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3529959" w:rsidR="632C353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Developmental psychology is a branch of psychology that studies growth in people and the changes that occur as people experience different life stages. Physical, social, emotional and cognitive developmental changes are looked at to </w:t>
      </w:r>
      <w:r w:rsidRPr="43529959" w:rsidR="37A1858C">
        <w:rPr>
          <w:rFonts w:ascii="Arial" w:hAnsi="Arial" w:eastAsia="Arial" w:cs="Arial"/>
          <w:b w:val="0"/>
          <w:bCs w:val="0"/>
          <w:i w:val="0"/>
          <w:iCs w:val="0"/>
          <w:strike w:val="0"/>
          <w:dstrike w:val="0"/>
          <w:noProof w:val="0"/>
          <w:color w:val="000000" w:themeColor="text1" w:themeTint="FF" w:themeShade="FF"/>
          <w:sz w:val="22"/>
          <w:szCs w:val="22"/>
          <w:u w:val="none"/>
          <w:lang w:val="en-GB"/>
        </w:rPr>
        <w:t>support</w:t>
      </w:r>
      <w:r w:rsidRPr="43529959" w:rsidR="632C353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concept of growth. An analysis is done in the context of developmental psychology to </w:t>
      </w:r>
      <w:r w:rsidRPr="43529959" w:rsidR="600BA8A4">
        <w:rPr>
          <w:rFonts w:ascii="Arial" w:hAnsi="Arial" w:eastAsia="Arial" w:cs="Arial"/>
          <w:b w:val="0"/>
          <w:bCs w:val="0"/>
          <w:i w:val="0"/>
          <w:iCs w:val="0"/>
          <w:strike w:val="0"/>
          <w:dstrike w:val="0"/>
          <w:noProof w:val="0"/>
          <w:color w:val="000000" w:themeColor="text1" w:themeTint="FF" w:themeShade="FF"/>
          <w:sz w:val="22"/>
          <w:szCs w:val="22"/>
          <w:u w:val="none"/>
          <w:lang w:val="en-GB"/>
        </w:rPr>
        <w:t>reveal</w:t>
      </w:r>
      <w:r w:rsidRPr="43529959" w:rsidR="632C353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growth processes such as motor skill development, emotional development and language acquisition. </w:t>
      </w:r>
    </w:p>
    <w:p w:rsidR="632C353F" w:rsidP="43529959" w:rsidRDefault="632C353F" w14:paraId="70E646EF" w14:textId="770C1D41">
      <w:pPr>
        <w:spacing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3529959" w:rsidR="632C353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This study is essential to understand normal human development to ensure people can achieve their full potential depending on their life </w:t>
      </w:r>
      <w:r w:rsidRPr="43529959" w:rsidR="02CA2D87">
        <w:rPr>
          <w:rFonts w:ascii="Arial" w:hAnsi="Arial" w:eastAsia="Arial" w:cs="Arial"/>
          <w:b w:val="0"/>
          <w:bCs w:val="0"/>
          <w:i w:val="0"/>
          <w:iCs w:val="0"/>
          <w:strike w:val="0"/>
          <w:dstrike w:val="0"/>
          <w:noProof w:val="0"/>
          <w:color w:val="000000" w:themeColor="text1" w:themeTint="FF" w:themeShade="FF"/>
          <w:sz w:val="22"/>
          <w:szCs w:val="22"/>
          <w:u w:val="none"/>
          <w:lang w:val="en-GB"/>
        </w:rPr>
        <w:t>stages. There</w:t>
      </w:r>
      <w:r w:rsidRPr="43529959" w:rsidR="632C353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are several psychological perspectives of developmental psychology. These theories focus on the different dimensions of human development.  </w:t>
      </w:r>
    </w:p>
    <w:p w:rsidR="632C353F" w:rsidP="43529959" w:rsidRDefault="632C353F" w14:paraId="56E2ADF7" w14:textId="29AF0AA6">
      <w:pPr>
        <w:spacing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3529959" w:rsidR="632C353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This essay considers the influence of cognitive and psychosocial developmental theories in </w:t>
      </w:r>
      <w:r w:rsidRPr="43529959" w:rsidR="45C4B1A1">
        <w:rPr>
          <w:rFonts w:ascii="Arial" w:hAnsi="Arial" w:eastAsia="Arial" w:cs="Arial"/>
          <w:b w:val="0"/>
          <w:bCs w:val="0"/>
          <w:i w:val="0"/>
          <w:iCs w:val="0"/>
          <w:strike w:val="0"/>
          <w:dstrike w:val="0"/>
          <w:noProof w:val="0"/>
          <w:color w:val="000000" w:themeColor="text1" w:themeTint="FF" w:themeShade="FF"/>
          <w:sz w:val="22"/>
          <w:szCs w:val="22"/>
          <w:u w:val="none"/>
          <w:lang w:val="en-GB"/>
        </w:rPr>
        <w:t>infancy and</w:t>
      </w:r>
      <w:r w:rsidRPr="43529959" w:rsidR="28F961A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will </w:t>
      </w:r>
      <w:r w:rsidRPr="43529959" w:rsidR="15E24584">
        <w:rPr>
          <w:rFonts w:ascii="Arial" w:hAnsi="Arial" w:eastAsia="Arial" w:cs="Arial"/>
          <w:b w:val="0"/>
          <w:bCs w:val="0"/>
          <w:i w:val="0"/>
          <w:iCs w:val="0"/>
          <w:strike w:val="0"/>
          <w:dstrike w:val="0"/>
          <w:noProof w:val="0"/>
          <w:color w:val="000000" w:themeColor="text1" w:themeTint="FF" w:themeShade="FF"/>
          <w:sz w:val="22"/>
          <w:szCs w:val="22"/>
          <w:u w:val="none"/>
          <w:lang w:val="en-GB"/>
        </w:rPr>
        <w:t>focus</w:t>
      </w:r>
      <w:r w:rsidRPr="43529959" w:rsidR="632C353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at current and relevant research in health and social care in the UK. </w:t>
      </w:r>
    </w:p>
    <w:p w:rsidR="43529959" w:rsidP="43529959" w:rsidRDefault="43529959" w14:paraId="4F02717A" w14:textId="52414E93">
      <w:pPr>
        <w:pStyle w:val="Normal"/>
        <w:spacing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43529959" w:rsidP="43529959" w:rsidRDefault="43529959" w14:paraId="27F71F34" w14:textId="04849AB7">
      <w:pPr>
        <w:pStyle w:val="Normal"/>
        <w:spacing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53A4925" w:rsidP="43529959" w:rsidRDefault="153A4925" w14:paraId="7C1C8737" w14:textId="21A125ED">
      <w:pPr>
        <w:pStyle w:val="Normal"/>
        <w:spacing w:line="24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3529959" w:rsidR="153A4925">
        <w:rPr>
          <w:rFonts w:ascii="Arial" w:hAnsi="Arial" w:eastAsia="Arial" w:cs="Arial"/>
          <w:b w:val="0"/>
          <w:bCs w:val="0"/>
          <w:i w:val="0"/>
          <w:iCs w:val="0"/>
          <w:strike w:val="0"/>
          <w:dstrike w:val="0"/>
          <w:noProof w:val="0"/>
          <w:color w:val="000000" w:themeColor="text1" w:themeTint="FF" w:themeShade="FF"/>
          <w:sz w:val="28"/>
          <w:szCs w:val="28"/>
          <w:u w:val="single"/>
          <w:lang w:val="en-GB"/>
        </w:rPr>
        <w:t>Piaget’s cognitive developmental theory on infancy life – stages</w:t>
      </w:r>
      <w:r w:rsidRPr="43529959" w:rsidR="153A4925">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w:rsidR="43529959" w:rsidP="43529959" w:rsidRDefault="43529959" w14:paraId="063C92CE" w14:textId="70F9281D">
      <w:pPr>
        <w:pStyle w:val="Normal"/>
        <w:spacing w:line="240" w:lineRule="auto"/>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7A7677FF" w:rsidP="43529959" w:rsidRDefault="7A7677FF" w14:paraId="3C65F034" w14:textId="17286D08">
      <w:pPr>
        <w:pStyle w:val="Normal"/>
        <w:spacing w:line="360" w:lineRule="auto"/>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43529959" w:rsidR="7A7677F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Piaget’s contribution to developmental psychology is studied </w:t>
      </w:r>
      <w:r w:rsidRPr="43529959" w:rsidR="7A7677FF">
        <w:rPr>
          <w:rFonts w:ascii="Arial" w:hAnsi="Arial" w:eastAsia="Arial" w:cs="Arial"/>
          <w:b w:val="0"/>
          <w:bCs w:val="0"/>
          <w:i w:val="0"/>
          <w:iCs w:val="0"/>
          <w:strike w:val="0"/>
          <w:dstrike w:val="0"/>
          <w:noProof w:val="0"/>
          <w:color w:val="000000" w:themeColor="text1" w:themeTint="FF" w:themeShade="FF"/>
          <w:sz w:val="22"/>
          <w:szCs w:val="22"/>
          <w:u w:val="none"/>
          <w:lang w:val="en-GB"/>
        </w:rPr>
        <w:t>regarding</w:t>
      </w:r>
      <w:r w:rsidRPr="43529959" w:rsidR="7A7677F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cognitive developmental theory. Pia</w:t>
      </w:r>
      <w:r w:rsidRPr="43529959" w:rsidR="7A7677FF">
        <w:rPr>
          <w:rFonts w:ascii="Arial" w:hAnsi="Arial" w:eastAsia="Arial" w:cs="Arial"/>
          <w:b w:val="0"/>
          <w:bCs w:val="0"/>
          <w:i w:val="0"/>
          <w:iCs w:val="0"/>
          <w:strike w:val="0"/>
          <w:dstrike w:val="0"/>
          <w:noProof w:val="0"/>
          <w:color w:val="000000" w:themeColor="text1" w:themeTint="FF" w:themeShade="FF"/>
          <w:sz w:val="22"/>
          <w:szCs w:val="22"/>
          <w:u w:val="none"/>
          <w:lang w:val="en-GB"/>
        </w:rPr>
        <w:t>get pro</w:t>
      </w:r>
      <w:r w:rsidRPr="43529959" w:rsidR="7A7677FF">
        <w:rPr>
          <w:rFonts w:ascii="Arial" w:hAnsi="Arial" w:eastAsia="Arial" w:cs="Arial"/>
          <w:b w:val="0"/>
          <w:bCs w:val="0"/>
          <w:i w:val="0"/>
          <w:iCs w:val="0"/>
          <w:strike w:val="0"/>
          <w:dstrike w:val="0"/>
          <w:noProof w:val="0"/>
          <w:color w:val="000000" w:themeColor="text1" w:themeTint="FF" w:themeShade="FF"/>
          <w:sz w:val="22"/>
          <w:szCs w:val="22"/>
          <w:u w:val="none"/>
          <w:lang w:val="en-GB"/>
        </w:rPr>
        <w:t>p</w:t>
      </w:r>
      <w:r w:rsidRPr="43529959" w:rsidR="7A7677FF">
        <w:rPr>
          <w:rFonts w:ascii="Arial" w:hAnsi="Arial" w:eastAsia="Arial" w:cs="Arial"/>
          <w:b w:val="0"/>
          <w:bCs w:val="0"/>
          <w:i w:val="0"/>
          <w:iCs w:val="0"/>
          <w:strike w:val="0"/>
          <w:dstrike w:val="0"/>
          <w:noProof w:val="0"/>
          <w:color w:val="000000" w:themeColor="text1" w:themeTint="FF" w:themeShade="FF"/>
          <w:sz w:val="22"/>
          <w:szCs w:val="22"/>
          <w:u w:val="none"/>
          <w:lang w:val="en-GB"/>
        </w:rPr>
        <w:t>oses that the hu</w:t>
      </w:r>
      <w:r w:rsidRPr="43529959" w:rsidR="7A7677FF">
        <w:rPr>
          <w:rFonts w:ascii="Arial" w:hAnsi="Arial" w:eastAsia="Arial" w:cs="Arial"/>
          <w:b w:val="0"/>
          <w:bCs w:val="0"/>
          <w:i w:val="0"/>
          <w:iCs w:val="0"/>
          <w:strike w:val="0"/>
          <w:dstrike w:val="0"/>
          <w:noProof w:val="0"/>
          <w:color w:val="000000" w:themeColor="text1" w:themeTint="FF" w:themeShade="FF"/>
          <w:sz w:val="22"/>
          <w:szCs w:val="22"/>
          <w:u w:val="none"/>
          <w:lang w:val="en-GB"/>
        </w:rPr>
        <w:t>man brain develops and as a result, people exhibit different levels of thinking depending on their cognitive development (</w:t>
      </w:r>
      <w:proofErr w:type="spellStart"/>
      <w:r w:rsidRPr="43529959" w:rsidR="7A7677FF">
        <w:rPr>
          <w:rFonts w:ascii="Arial" w:hAnsi="Arial" w:eastAsia="Arial" w:cs="Arial"/>
          <w:b w:val="0"/>
          <w:bCs w:val="0"/>
          <w:i w:val="0"/>
          <w:iCs w:val="0"/>
          <w:strike w:val="0"/>
          <w:dstrike w:val="0"/>
          <w:noProof w:val="0"/>
          <w:color w:val="000000" w:themeColor="text1" w:themeTint="FF" w:themeShade="FF"/>
          <w:sz w:val="22"/>
          <w:szCs w:val="22"/>
          <w:u w:val="none"/>
          <w:lang w:val="en-GB"/>
        </w:rPr>
        <w:t>Babakr</w:t>
      </w:r>
      <w:proofErr w:type="spellEnd"/>
      <w:r w:rsidRPr="43529959" w:rsidR="7A7677F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et al., 2019). Piaget theorises cognitive development during infancy in the sensorimotor stage, which lasts from birth to 2</w:t>
      </w:r>
      <w:r w:rsidRPr="43529959" w:rsidR="545EF4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43529959" w:rsidR="7A7677FF">
        <w:rPr>
          <w:rFonts w:ascii="Arial" w:hAnsi="Arial" w:eastAsia="Arial" w:cs="Arial"/>
          <w:b w:val="0"/>
          <w:bCs w:val="0"/>
          <w:i w:val="0"/>
          <w:iCs w:val="0"/>
          <w:strike w:val="0"/>
          <w:dstrike w:val="0"/>
          <w:noProof w:val="0"/>
          <w:color w:val="000000" w:themeColor="text1" w:themeTint="FF" w:themeShade="FF"/>
          <w:sz w:val="22"/>
          <w:szCs w:val="22"/>
          <w:u w:val="none"/>
          <w:lang w:val="en-GB"/>
        </w:rPr>
        <w:t>years.</w:t>
      </w:r>
    </w:p>
    <w:p w:rsidR="2B95CECD" w:rsidP="43529959" w:rsidRDefault="2B95CECD" w14:paraId="78E8C5DD" w14:textId="5AC994E4">
      <w:pPr>
        <w:spacing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3529959" w:rsidR="2B95CECD">
        <w:rPr>
          <w:rFonts w:ascii="Arial" w:hAnsi="Arial" w:eastAsia="Arial" w:cs="Arial"/>
          <w:b w:val="0"/>
          <w:bCs w:val="0"/>
          <w:i w:val="0"/>
          <w:iCs w:val="0"/>
          <w:strike w:val="0"/>
          <w:dstrike w:val="0"/>
          <w:noProof w:val="0"/>
          <w:color w:val="000000" w:themeColor="text1" w:themeTint="FF" w:themeShade="FF"/>
          <w:sz w:val="22"/>
          <w:szCs w:val="22"/>
          <w:u w:val="none"/>
          <w:lang w:val="en-GB"/>
        </w:rPr>
        <w:t>Sense and motor abilities control early development in infants (</w:t>
      </w:r>
      <w:proofErr w:type="spellStart"/>
      <w:r w:rsidRPr="43529959" w:rsidR="2B95CECD">
        <w:rPr>
          <w:rFonts w:ascii="Arial" w:hAnsi="Arial" w:eastAsia="Arial" w:cs="Arial"/>
          <w:b w:val="0"/>
          <w:bCs w:val="0"/>
          <w:i w:val="0"/>
          <w:iCs w:val="0"/>
          <w:strike w:val="0"/>
          <w:dstrike w:val="0"/>
          <w:noProof w:val="0"/>
          <w:color w:val="000000" w:themeColor="text1" w:themeTint="FF" w:themeShade="FF"/>
          <w:sz w:val="22"/>
          <w:szCs w:val="22"/>
          <w:u w:val="none"/>
          <w:lang w:val="en-GB"/>
        </w:rPr>
        <w:t>Babakr</w:t>
      </w:r>
      <w:proofErr w:type="spellEnd"/>
      <w:r w:rsidRPr="43529959" w:rsidR="2B95CEC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et al., 2019). As a result, infants explore the world around them through reflexes and objects are viewed with respect to senses that can be used to identify them. For example, all objects that can be sucked are considered the same by infants. Depending on reflective responses shown by</w:t>
      </w:r>
      <w:r w:rsidRPr="43529959" w:rsidR="2B95CEC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children from birth to one month, such as startling and sucking, show that they understand and notice the things that happen around them. </w:t>
      </w:r>
    </w:p>
    <w:p w:rsidR="4ABD1B89" w:rsidP="1CEE7B0C" w:rsidRDefault="4ABD1B89" w14:paraId="7DAD36BC" w14:textId="62A4D26F">
      <w:pPr>
        <w:pStyle w:val="Normal"/>
        <w:spacing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EE7B0C" w:rsidR="4ABD1B8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Circular reactions lead infants to new schemas (mental images) from 1month to 4 months of age. In this case, infants can repeat the reflexes they find pleasurable. Infants aged between 4 to 8 </w:t>
      </w:r>
      <w:r w:rsidRPr="1CEE7B0C" w:rsidR="789076CE">
        <w:rPr>
          <w:rFonts w:ascii="Arial" w:hAnsi="Arial" w:eastAsia="Arial" w:cs="Arial"/>
          <w:b w:val="0"/>
          <w:bCs w:val="0"/>
          <w:i w:val="0"/>
          <w:iCs w:val="0"/>
          <w:strike w:val="0"/>
          <w:dstrike w:val="0"/>
          <w:noProof w:val="0"/>
          <w:color w:val="000000" w:themeColor="text1" w:themeTint="FF" w:themeShade="FF"/>
          <w:sz w:val="22"/>
          <w:szCs w:val="22"/>
          <w:u w:val="none"/>
          <w:lang w:val="en-GB"/>
        </w:rPr>
        <w:t>months</w:t>
      </w:r>
      <w:r w:rsidRPr="1CEE7B0C" w:rsidR="4ABD1B8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pay more attention to their environment and perform intentional actions to show their response. Greater exploration in infants is evident from 8 to 12 months (</w:t>
      </w:r>
      <w:proofErr w:type="spellStart"/>
      <w:r w:rsidRPr="1CEE7B0C" w:rsidR="4ABD1B89">
        <w:rPr>
          <w:rFonts w:ascii="Arial" w:hAnsi="Arial" w:eastAsia="Arial" w:cs="Arial"/>
          <w:b w:val="0"/>
          <w:bCs w:val="0"/>
          <w:i w:val="0"/>
          <w:iCs w:val="0"/>
          <w:strike w:val="0"/>
          <w:dstrike w:val="0"/>
          <w:noProof w:val="0"/>
          <w:color w:val="000000" w:themeColor="text1" w:themeTint="FF" w:themeShade="FF"/>
          <w:sz w:val="22"/>
          <w:szCs w:val="22"/>
          <w:u w:val="none"/>
          <w:lang w:val="en-GB"/>
        </w:rPr>
        <w:t>Babakr</w:t>
      </w:r>
      <w:proofErr w:type="spellEnd"/>
      <w:r w:rsidRPr="1CEE7B0C" w:rsidR="4ABD1B8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et al., 2019). They show more intentional acts, and their reaction to their environment is more coordinated. For example, before they would pick a toy and put it in their mouth, at 8 to 12 months, they realise the toy can perform more actions such as producing sounds.</w:t>
      </w:r>
    </w:p>
    <w:p w:rsidR="4ABD1B89" w:rsidP="43529959" w:rsidRDefault="4ABD1B89" w14:paraId="18D114F4" w14:textId="2F9332A0">
      <w:pPr>
        <w:spacing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3529959" w:rsidR="4ABD1B89">
        <w:rPr>
          <w:rFonts w:ascii="Arial" w:hAnsi="Arial" w:eastAsia="Arial" w:cs="Arial"/>
          <w:b w:val="0"/>
          <w:bCs w:val="0"/>
          <w:i w:val="0"/>
          <w:iCs w:val="0"/>
          <w:strike w:val="0"/>
          <w:dstrike w:val="0"/>
          <w:noProof w:val="0"/>
          <w:color w:val="000000" w:themeColor="text1" w:themeTint="FF" w:themeShade="FF"/>
          <w:sz w:val="22"/>
          <w:szCs w:val="22"/>
          <w:u w:val="none"/>
          <w:lang w:val="en-GB"/>
        </w:rPr>
        <w:t>Tertiary circular actions are shown from 12 to 18 months. This cognitive milestone is evident when the child performs different activities. The child tries other actions to seek the caregivers’ attentions. From 18 to 24 months, infants achieve representational thinking as a cognitive function (</w:t>
      </w:r>
      <w:proofErr w:type="spellStart"/>
      <w:r w:rsidRPr="43529959" w:rsidR="4ABD1B89">
        <w:rPr>
          <w:rFonts w:ascii="Arial" w:hAnsi="Arial" w:eastAsia="Arial" w:cs="Arial"/>
          <w:b w:val="0"/>
          <w:bCs w:val="0"/>
          <w:i w:val="0"/>
          <w:iCs w:val="0"/>
          <w:strike w:val="0"/>
          <w:dstrike w:val="0"/>
          <w:noProof w:val="0"/>
          <w:color w:val="000000" w:themeColor="text1" w:themeTint="FF" w:themeShade="FF"/>
          <w:sz w:val="22"/>
          <w:szCs w:val="22"/>
          <w:u w:val="none"/>
          <w:lang w:val="en-GB"/>
        </w:rPr>
        <w:t>Babakr</w:t>
      </w:r>
      <w:proofErr w:type="spellEnd"/>
      <w:r w:rsidRPr="43529959" w:rsidR="4ABD1B8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et al., 2019). Piaget e</w:t>
      </w:r>
      <w:r w:rsidRPr="43529959" w:rsidR="4070F8A0">
        <w:rPr>
          <w:rFonts w:ascii="Arial" w:hAnsi="Arial" w:eastAsia="Arial" w:cs="Arial"/>
          <w:b w:val="0"/>
          <w:bCs w:val="0"/>
          <w:i w:val="0"/>
          <w:iCs w:val="0"/>
          <w:strike w:val="0"/>
          <w:dstrike w:val="0"/>
          <w:noProof w:val="0"/>
          <w:color w:val="000000" w:themeColor="text1" w:themeTint="FF" w:themeShade="FF"/>
          <w:sz w:val="22"/>
          <w:szCs w:val="22"/>
          <w:u w:val="none"/>
          <w:lang w:val="en-GB"/>
        </w:rPr>
        <w:t>ndors</w:t>
      </w:r>
      <w:r w:rsidRPr="43529959" w:rsidR="4ABD1B89">
        <w:rPr>
          <w:rFonts w:ascii="Arial" w:hAnsi="Arial" w:eastAsia="Arial" w:cs="Arial"/>
          <w:b w:val="0"/>
          <w:bCs w:val="0"/>
          <w:i w:val="0"/>
          <w:iCs w:val="0"/>
          <w:strike w:val="0"/>
          <w:dstrike w:val="0"/>
          <w:noProof w:val="0"/>
          <w:color w:val="000000" w:themeColor="text1" w:themeTint="FF" w:themeShade="FF"/>
          <w:sz w:val="22"/>
          <w:szCs w:val="22"/>
          <w:u w:val="none"/>
          <w:lang w:val="en-GB"/>
        </w:rPr>
        <w:t>es the concept of object permanence at this age. At this stage, infants can form mental representations that allow them to imagine objects. The memories developed to enable the child to access the different objects when they need them. Object permanence is best fostered through interactive play. A game such as peekaboo is entertaining and beneficial for the child’s cognitive development.</w:t>
      </w:r>
    </w:p>
    <w:p w:rsidR="43529959" w:rsidP="43529959" w:rsidRDefault="43529959" w14:paraId="2DDA0D37" w14:textId="0861DC44">
      <w:pPr>
        <w:pStyle w:val="Heading1"/>
        <w:spacing w:line="240" w:lineRule="auto"/>
      </w:pPr>
    </w:p>
    <w:p w:rsidR="4ABD1B89" w:rsidP="43529959" w:rsidRDefault="4ABD1B89" w14:paraId="60142490" w14:textId="6A0A69F3">
      <w:pPr>
        <w:pStyle w:val="Heading1"/>
        <w:spacing w:line="240" w:lineRule="auto"/>
      </w:pPr>
      <w:r>
        <w:br/>
      </w:r>
      <w:r w:rsidRPr="43529959" w:rsidR="4D5367BC">
        <w:rPr>
          <w:rFonts w:ascii="Arial" w:hAnsi="Arial" w:eastAsia="Arial" w:cs="Arial"/>
          <w:b w:val="0"/>
          <w:bCs w:val="0"/>
          <w:i w:val="0"/>
          <w:iCs w:val="0"/>
          <w:strike w:val="0"/>
          <w:dstrike w:val="0"/>
          <w:noProof w:val="0"/>
          <w:color w:val="000000" w:themeColor="text1" w:themeTint="FF" w:themeShade="FF"/>
          <w:sz w:val="28"/>
          <w:szCs w:val="28"/>
          <w:u w:val="single"/>
          <w:lang w:val="en-GB"/>
        </w:rPr>
        <w:t>Eric Erikson’s Psychosocial Theory on Infancy life- stage</w:t>
      </w:r>
    </w:p>
    <w:p w:rsidR="43529959" w:rsidP="43529959" w:rsidRDefault="43529959" w14:paraId="59859659" w14:textId="334E61A1">
      <w:pPr>
        <w:pStyle w:val="Normal"/>
        <w:spacing w:line="240" w:lineRule="auto"/>
        <w:rPr>
          <w:noProof w:val="0"/>
          <w:lang w:val="en-GB"/>
        </w:rPr>
      </w:pPr>
    </w:p>
    <w:p w:rsidR="4D5367BC" w:rsidP="43529959" w:rsidRDefault="4D5367BC" w14:paraId="213B64D4" w14:textId="2FCAF067">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3529959" w:rsidR="4D5367B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Erikson’s psychosocial theory is based on the epigenetic principle (Miller, 2016). The epigenetic principle proposes that organisms are born, and they develop continuously to fulfil predetermined purposes depending on their life stages (Miller, 2016). Based on the epigenetic principle, Erikson describes eight stages that individuals must go through in their lifespan. Success at the end of each life stage enables an individual to gain a healthy personality and acquire the basic virtues specific to that stage that </w:t>
      </w:r>
      <w:r w:rsidRPr="43529959" w:rsidR="61EBCC8F">
        <w:rPr>
          <w:rFonts w:ascii="Arial" w:hAnsi="Arial" w:eastAsia="Arial" w:cs="Arial"/>
          <w:b w:val="0"/>
          <w:bCs w:val="0"/>
          <w:i w:val="0"/>
          <w:iCs w:val="0"/>
          <w:strike w:val="0"/>
          <w:dstrike w:val="0"/>
          <w:noProof w:val="0"/>
          <w:color w:val="000000" w:themeColor="text1" w:themeTint="FF" w:themeShade="FF"/>
          <w:sz w:val="22"/>
          <w:szCs w:val="22"/>
          <w:u w:val="none"/>
          <w:lang w:val="en-GB"/>
        </w:rPr>
        <w:t>let</w:t>
      </w:r>
      <w:r w:rsidRPr="43529959" w:rsidR="4D5367B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him or her complete the next life stages successfully.</w:t>
      </w:r>
    </w:p>
    <w:p w:rsidR="4D5367BC" w:rsidP="43529959" w:rsidRDefault="4D5367BC" w14:paraId="08DE7085" w14:textId="642311FF">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3529959" w:rsidR="4D5367B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Infancy is the first psychosocial stage discussed by Erikson. The psychosocial crisis to be solved during the infancy or oral sensory stage, as proposed by Erickson, is trust vs mistrust. During this stage, a big emphasis is placed on the care given to the infant, </w:t>
      </w:r>
      <w:r w:rsidRPr="43529959" w:rsidR="1C2E6666">
        <w:rPr>
          <w:rFonts w:ascii="Arial" w:hAnsi="Arial" w:eastAsia="Arial" w:cs="Arial"/>
          <w:b w:val="0"/>
          <w:bCs w:val="0"/>
          <w:i w:val="0"/>
          <w:iCs w:val="0"/>
          <w:strike w:val="0"/>
          <w:dstrike w:val="0"/>
          <w:noProof w:val="0"/>
          <w:color w:val="000000" w:themeColor="text1" w:themeTint="FF" w:themeShade="FF"/>
          <w:sz w:val="22"/>
          <w:szCs w:val="22"/>
          <w:u w:val="none"/>
          <w:lang w:val="en-GB"/>
        </w:rPr>
        <w:t>especially</w:t>
      </w:r>
      <w:r w:rsidRPr="43529959" w:rsidR="4D5367B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the sense of touch and vision. The infant faces several uncertainties because it is their first experience in the world. They depend on the caregiver to resolve their uncertainties. Therefore, the ability of the caregiver to provide reliable and consistent care enables the infant to develop trust.</w:t>
      </w:r>
    </w:p>
    <w:p w:rsidR="4D5367BC" w:rsidP="43529959" w:rsidRDefault="4D5367BC" w14:paraId="4DE68688" w14:textId="59ABCA5D">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3529959" w:rsidR="4D5367B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Parents and caregivers show care towards the child by providing them with warmth, food and responding to them when they cry. When the mother or caregiver holds the child closely, the child gains attachment, warmth and feels safe. </w:t>
      </w:r>
      <w:r w:rsidRPr="43529959" w:rsidR="183BF322">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43529959" w:rsidR="4D5367BC">
        <w:rPr>
          <w:rFonts w:ascii="Arial" w:hAnsi="Arial" w:eastAsia="Arial" w:cs="Arial"/>
          <w:b w:val="0"/>
          <w:bCs w:val="0"/>
          <w:i w:val="0"/>
          <w:iCs w:val="0"/>
          <w:strike w:val="0"/>
          <w:dstrike w:val="0"/>
          <w:noProof w:val="0"/>
          <w:color w:val="000000" w:themeColor="text1" w:themeTint="FF" w:themeShade="FF"/>
          <w:sz w:val="22"/>
          <w:szCs w:val="22"/>
          <w:u w:val="none"/>
          <w:lang w:val="en-GB"/>
        </w:rPr>
        <w:t>nfants often cry or fuss about showing discomfort</w:t>
      </w:r>
      <w:r w:rsidRPr="43529959" w:rsidR="7528399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w:t>
      </w:r>
      <w:r w:rsidRPr="43529959" w:rsidR="4D5367B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caregiver’s or a mother’s response to hold the child and soothe them fosters trust. Trust enables the infant to feel secure despite the uncertainties (Miller, 2016). When the infant develops a sense of trust, they</w:t>
      </w:r>
      <w:r w:rsidRPr="43529959" w:rsidR="3DA58E5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gain hope</w:t>
      </w:r>
      <w:r w:rsidRPr="43529959" w:rsidR="4D5367B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in case of new cris</w:t>
      </w:r>
      <w:r w:rsidRPr="43529959" w:rsidR="10AF0648">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43529959" w:rsidR="4D5367BC">
        <w:rPr>
          <w:rFonts w:ascii="Arial" w:hAnsi="Arial" w:eastAsia="Arial" w:cs="Arial"/>
          <w:b w:val="0"/>
          <w:bCs w:val="0"/>
          <w:i w:val="0"/>
          <w:iCs w:val="0"/>
          <w:strike w:val="0"/>
          <w:dstrike w:val="0"/>
          <w:noProof w:val="0"/>
          <w:color w:val="000000" w:themeColor="text1" w:themeTint="FF" w:themeShade="FF"/>
          <w:sz w:val="22"/>
          <w:szCs w:val="22"/>
          <w:u w:val="none"/>
          <w:lang w:val="en-GB"/>
        </w:rPr>
        <w:t>s, someone will offer support to help him or her overcome the crisis.</w:t>
      </w:r>
    </w:p>
    <w:p w:rsidR="4D5367BC" w:rsidP="43529959" w:rsidRDefault="4D5367BC" w14:paraId="55100405" w14:textId="7B05352C">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3529959" w:rsidR="4D5367B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sense of mistrust is developed when the infant receives inconsistent care from the caregiver. In this case, the child is neglected, and as a result, they lack love and </w:t>
      </w:r>
      <w:r w:rsidRPr="43529959" w:rsidR="48338E73">
        <w:rPr>
          <w:rFonts w:ascii="Arial" w:hAnsi="Arial" w:eastAsia="Arial" w:cs="Arial"/>
          <w:b w:val="0"/>
          <w:bCs w:val="0"/>
          <w:i w:val="0"/>
          <w:iCs w:val="0"/>
          <w:strike w:val="0"/>
          <w:dstrike w:val="0"/>
          <w:noProof w:val="0"/>
          <w:color w:val="000000" w:themeColor="text1" w:themeTint="FF" w:themeShade="FF"/>
          <w:sz w:val="22"/>
          <w:szCs w:val="22"/>
          <w:u w:val="none"/>
          <w:lang w:val="en-GB"/>
        </w:rPr>
        <w:t>care. The</w:t>
      </w:r>
      <w:r w:rsidRPr="43529959" w:rsidR="4D5367B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infant becomes anxious and insecure about their environment. This sense of mistrust will impact their future relationships in that they will neither feel safe in the world around them nor will they rely on the possibility that there will be someone willing to keep them safe from the crises in the world. This impacts the child’s development, and they grow up withdrawn, irritable, and unhappy.</w:t>
      </w:r>
    </w:p>
    <w:p w:rsidR="4D5367BC" w:rsidP="43529959" w:rsidRDefault="4D5367BC" w14:paraId="166A2D5C" w14:textId="4028F023">
      <w:pPr>
        <w:pStyle w:val="Heading2"/>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GB"/>
        </w:rPr>
      </w:pPr>
      <w:r>
        <w:br/>
      </w:r>
      <w:r w:rsidRPr="43529959" w:rsidR="125C9603">
        <w:rPr>
          <w:rFonts w:ascii="Arial" w:hAnsi="Arial" w:eastAsia="Arial" w:cs="Arial"/>
          <w:b w:val="0"/>
          <w:bCs w:val="0"/>
          <w:i w:val="0"/>
          <w:iCs w:val="0"/>
          <w:strike w:val="0"/>
          <w:dstrike w:val="0"/>
          <w:noProof w:val="0"/>
          <w:color w:val="000000" w:themeColor="text1" w:themeTint="FF" w:themeShade="FF"/>
          <w:sz w:val="28"/>
          <w:szCs w:val="28"/>
          <w:u w:val="single"/>
          <w:lang w:val="en-GB"/>
        </w:rPr>
        <w:t>Mental health for children and young people (CYP)</w:t>
      </w:r>
    </w:p>
    <w:p w:rsidR="43529959" w:rsidP="43529959" w:rsidRDefault="43529959" w14:paraId="35ED3EC2" w14:textId="669BD39B">
      <w:pPr>
        <w:pStyle w:val="Normal"/>
        <w:rPr>
          <w:noProof w:val="0"/>
          <w:lang w:val="en-GB"/>
        </w:rPr>
      </w:pPr>
    </w:p>
    <w:p w:rsidR="125C9603" w:rsidP="43529959" w:rsidRDefault="125C9603" w14:paraId="388209CA" w14:textId="46D59CA9">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3529959" w:rsidR="125C9603">
        <w:rPr>
          <w:rFonts w:ascii="Arial" w:hAnsi="Arial" w:eastAsia="Arial" w:cs="Arial"/>
          <w:b w:val="0"/>
          <w:bCs w:val="0"/>
          <w:i w:val="0"/>
          <w:iCs w:val="0"/>
          <w:strike w:val="0"/>
          <w:dstrike w:val="0"/>
          <w:noProof w:val="0"/>
          <w:color w:val="000000" w:themeColor="text1" w:themeTint="FF" w:themeShade="FF"/>
          <w:sz w:val="22"/>
          <w:szCs w:val="22"/>
          <w:u w:val="none"/>
          <w:lang w:val="en-GB"/>
        </w:rPr>
        <w:t>Research studies on the mental health of children in England were done in 2016</w:t>
      </w:r>
      <w:r w:rsidRPr="43529959" w:rsidR="647150B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43529959" w:rsidR="125C9603">
        <w:rPr>
          <w:rFonts w:ascii="Arial" w:hAnsi="Arial" w:eastAsia="Arial" w:cs="Arial"/>
          <w:b w:val="0"/>
          <w:bCs w:val="0"/>
          <w:i w:val="0"/>
          <w:iCs w:val="0"/>
          <w:strike w:val="0"/>
          <w:dstrike w:val="0"/>
          <w:noProof w:val="0"/>
          <w:color w:val="000000" w:themeColor="text1" w:themeTint="FF" w:themeShade="FF"/>
          <w:sz w:val="22"/>
          <w:szCs w:val="22"/>
          <w:u w:val="none"/>
          <w:lang w:val="en-GB"/>
        </w:rPr>
        <w:t>recognising the need to improve the mental health services delivered to children and young people (CYP). The aim of the research studies was to describe the benefits associated with the mental wellbeing of CYP. The research also aimed at describing investment in mental health and proving analysis of the condition of mental health among CYP in England.</w:t>
      </w:r>
    </w:p>
    <w:p w:rsidR="125C9603" w:rsidP="43529959" w:rsidRDefault="125C9603" w14:paraId="46251A91" w14:textId="54FD4622">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3529959" w:rsidR="125C9603">
        <w:rPr>
          <w:rFonts w:ascii="Arial" w:hAnsi="Arial" w:eastAsia="Arial" w:cs="Arial"/>
          <w:b w:val="0"/>
          <w:bCs w:val="0"/>
          <w:i w:val="0"/>
          <w:iCs w:val="0"/>
          <w:strike w:val="0"/>
          <w:dstrike w:val="0"/>
          <w:noProof w:val="0"/>
          <w:color w:val="000000" w:themeColor="text1" w:themeTint="FF" w:themeShade="FF"/>
          <w:sz w:val="22"/>
          <w:szCs w:val="22"/>
          <w:u w:val="none"/>
          <w:lang w:val="en-GB"/>
        </w:rPr>
        <w:t>Facts from the study show that 10% of children between 5-16 years have been diagnosed with mental illnesses</w:t>
      </w:r>
      <w:r w:rsidRPr="43529959" w:rsidR="4EC969F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only a quarter </w:t>
      </w:r>
      <w:r w:rsidRPr="43529959" w:rsidR="125C9603">
        <w:rPr>
          <w:rFonts w:ascii="Arial" w:hAnsi="Arial" w:eastAsia="Arial" w:cs="Arial"/>
          <w:b w:val="0"/>
          <w:bCs w:val="0"/>
          <w:i w:val="0"/>
          <w:iCs w:val="0"/>
          <w:strike w:val="0"/>
          <w:dstrike w:val="0"/>
          <w:noProof w:val="0"/>
          <w:color w:val="000000" w:themeColor="text1" w:themeTint="FF" w:themeShade="FF"/>
          <w:sz w:val="22"/>
          <w:szCs w:val="22"/>
          <w:u w:val="none"/>
          <w:lang w:val="en-GB"/>
        </w:rPr>
        <w:t>of the children receive treatment (Public Health England, 2016). Additionally, 50% of CYP with lifetime mental illness excluding dementia experience symptoms from 1 year</w:t>
      </w:r>
      <w:r w:rsidRPr="43529959" w:rsidR="2B756D2D">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43529959" w:rsidR="125C960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while 75% experience the symptoms from 24years (Public Health England, 2016). </w:t>
      </w:r>
      <w:r w:rsidRPr="43529959" w:rsidR="3DA0CC15">
        <w:rPr>
          <w:rFonts w:ascii="Arial" w:hAnsi="Arial" w:eastAsia="Arial" w:cs="Arial"/>
          <w:b w:val="0"/>
          <w:bCs w:val="0"/>
          <w:i w:val="0"/>
          <w:iCs w:val="0"/>
          <w:strike w:val="0"/>
          <w:dstrike w:val="0"/>
          <w:noProof w:val="0"/>
          <w:color w:val="000000" w:themeColor="text1" w:themeTint="FF" w:themeShade="FF"/>
          <w:sz w:val="22"/>
          <w:szCs w:val="22"/>
          <w:u w:val="none"/>
          <w:lang w:val="en-GB"/>
        </w:rPr>
        <w:t>M</w:t>
      </w:r>
      <w:r w:rsidRPr="43529959" w:rsidR="125C960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aternal depression causes a 5-fold increase in the chances of mental illness in the child, and mental illness is 1.3-fold prevalent in boys aged 11-15 years compared to girls within the same age (Public Health England, 2016). </w:t>
      </w:r>
    </w:p>
    <w:p w:rsidR="125C9603" w:rsidP="43529959" w:rsidRDefault="125C9603" w14:paraId="47A24001" w14:textId="038C54FA">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3529959" w:rsidR="125C960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research studies explain the </w:t>
      </w:r>
      <w:r w:rsidRPr="43529959" w:rsidR="136079A5">
        <w:rPr>
          <w:rFonts w:ascii="Arial" w:hAnsi="Arial" w:eastAsia="Arial" w:cs="Arial"/>
          <w:b w:val="0"/>
          <w:bCs w:val="0"/>
          <w:i w:val="0"/>
          <w:iCs w:val="0"/>
          <w:strike w:val="0"/>
          <w:dstrike w:val="0"/>
          <w:noProof w:val="0"/>
          <w:color w:val="000000" w:themeColor="text1" w:themeTint="FF" w:themeShade="FF"/>
          <w:sz w:val="22"/>
          <w:szCs w:val="22"/>
          <w:u w:val="none"/>
          <w:lang w:val="en-GB"/>
        </w:rPr>
        <w:t>connec</w:t>
      </w:r>
      <w:r w:rsidRPr="43529959" w:rsidR="125C960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tion between mental and physical health using statistical data from the research. Evidently, 12% of young people with mental illness have long term health conditions. There is a </w:t>
      </w:r>
      <w:r w:rsidRPr="43529959" w:rsidR="19C71009">
        <w:rPr>
          <w:rFonts w:ascii="Arial" w:hAnsi="Arial" w:eastAsia="Arial" w:cs="Arial"/>
          <w:b w:val="0"/>
          <w:bCs w:val="0"/>
          <w:i w:val="0"/>
          <w:iCs w:val="0"/>
          <w:strike w:val="0"/>
          <w:dstrike w:val="0"/>
          <w:noProof w:val="0"/>
          <w:color w:val="000000" w:themeColor="text1" w:themeTint="FF" w:themeShade="FF"/>
          <w:sz w:val="22"/>
          <w:szCs w:val="22"/>
          <w:u w:val="none"/>
          <w:lang w:val="en-GB"/>
        </w:rPr>
        <w:t>2–6</w:t>
      </w:r>
      <w:r w:rsidRPr="43529959" w:rsidR="10AA8B74">
        <w:rPr>
          <w:rFonts w:ascii="Arial" w:hAnsi="Arial" w:eastAsia="Arial" w:cs="Arial"/>
          <w:b w:val="0"/>
          <w:bCs w:val="0"/>
          <w:i w:val="0"/>
          <w:iCs w:val="0"/>
          <w:strike w:val="0"/>
          <w:dstrike w:val="0"/>
          <w:noProof w:val="0"/>
          <w:color w:val="000000" w:themeColor="text1" w:themeTint="FF" w:themeShade="FF"/>
          <w:sz w:val="22"/>
          <w:szCs w:val="22"/>
          <w:u w:val="none"/>
          <w:lang w:val="en-GB"/>
        </w:rPr>
        <w:t>x</w:t>
      </w:r>
      <w:r w:rsidRPr="43529959" w:rsidR="19C7100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43529959" w:rsidR="125C9603">
        <w:rPr>
          <w:rFonts w:ascii="Arial" w:hAnsi="Arial" w:eastAsia="Arial" w:cs="Arial"/>
          <w:b w:val="0"/>
          <w:bCs w:val="0"/>
          <w:i w:val="0"/>
          <w:iCs w:val="0"/>
          <w:strike w:val="0"/>
          <w:dstrike w:val="0"/>
          <w:noProof w:val="0"/>
          <w:color w:val="000000" w:themeColor="text1" w:themeTint="FF" w:themeShade="FF"/>
          <w:sz w:val="22"/>
          <w:szCs w:val="22"/>
          <w:u w:val="none"/>
          <w:lang w:val="en-GB"/>
        </w:rPr>
        <w:t>risk that people with chronic conditions may be patients with mental problems and a 50% increased risk of mortality among people suffering from depression.  About 695000 children between 5 to 16 years in England suffer from mental illnesses such as anxiety, eating disorders, depression and ADHD (Public Health England, 2016).</w:t>
      </w:r>
    </w:p>
    <w:p w:rsidR="125C9603" w:rsidP="43529959" w:rsidRDefault="125C9603" w14:paraId="0EA0C71E" w14:textId="64747FF8">
      <w:pPr>
        <w:spacing w:line="360" w:lineRule="auto"/>
      </w:pPr>
      <w:r w:rsidRPr="43529959" w:rsidR="125C960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1 in 10 CYP in England suffer from diagnosable mental disorders. The risk factors for mental disorders among CYP are family issues, physical abuse, substance abuse, birth complications, genetic makeup and emotional distress. Early intervention is important to manage mental disorders to avoid a crisis that can lead to the loss of young people and long-term mental illnesses. Moreover, there are </w:t>
      </w:r>
      <w:r w:rsidRPr="43529959" w:rsidR="3B6858E3">
        <w:rPr>
          <w:rFonts w:ascii="Arial" w:hAnsi="Arial" w:eastAsia="Arial" w:cs="Arial"/>
          <w:b w:val="0"/>
          <w:bCs w:val="0"/>
          <w:i w:val="0"/>
          <w:iCs w:val="0"/>
          <w:strike w:val="0"/>
          <w:dstrike w:val="0"/>
          <w:noProof w:val="0"/>
          <w:color w:val="000000" w:themeColor="text1" w:themeTint="FF" w:themeShade="FF"/>
          <w:sz w:val="22"/>
          <w:szCs w:val="22"/>
          <w:u w:val="none"/>
          <w:lang w:val="en-GB"/>
        </w:rPr>
        <w:t>several</w:t>
      </w:r>
      <w:r w:rsidRPr="43529959" w:rsidR="125C960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specific approaches that can be taken by health and social care workers to manage mental disorders in CYP. Health and social care workers can use this research to improve the approaches used to manage mental illnesses in CYP to emotional wellbeing among CYP</w:t>
      </w:r>
      <w:r w:rsidRPr="43529959" w:rsidR="125C96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125C9603" w:rsidP="43529959" w:rsidRDefault="125C9603" w14:paraId="741A4489" w14:textId="131A4DB5">
      <w:pPr>
        <w:pStyle w:val="Heading2"/>
      </w:pPr>
      <w:r>
        <w:br/>
      </w:r>
      <w:r w:rsidRPr="43529959" w:rsidR="3DEC985A">
        <w:rPr>
          <w:rFonts w:ascii="Arial" w:hAnsi="Arial" w:eastAsia="Arial" w:cs="Arial"/>
          <w:b w:val="0"/>
          <w:bCs w:val="0"/>
          <w:i w:val="0"/>
          <w:iCs w:val="0"/>
          <w:strike w:val="0"/>
          <w:dstrike w:val="0"/>
          <w:noProof w:val="0"/>
          <w:color w:val="000000" w:themeColor="text1" w:themeTint="FF" w:themeShade="FF"/>
          <w:sz w:val="28"/>
          <w:szCs w:val="28"/>
          <w:u w:val="single"/>
          <w:lang w:val="en-GB"/>
        </w:rPr>
        <w:t>Mental Health of Children and Young People during the COVID-19 pandemic</w:t>
      </w:r>
    </w:p>
    <w:p w:rsidR="43529959" w:rsidP="43529959" w:rsidRDefault="43529959" w14:paraId="5C45AA23" w14:textId="721C1753">
      <w:pPr>
        <w:pStyle w:val="Normal"/>
        <w:rPr>
          <w:noProof w:val="0"/>
          <w:lang w:val="en-GB"/>
        </w:rPr>
      </w:pPr>
    </w:p>
    <w:p w:rsidR="3DEC985A" w:rsidP="43529959" w:rsidRDefault="3DEC985A" w14:paraId="163D5FE7" w14:textId="27015292">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3529959" w:rsidR="3DEC985A">
        <w:rPr>
          <w:rFonts w:ascii="Arial" w:hAnsi="Arial" w:eastAsia="Arial" w:cs="Arial"/>
          <w:b w:val="0"/>
          <w:bCs w:val="0"/>
          <w:i w:val="0"/>
          <w:iCs w:val="0"/>
          <w:strike w:val="0"/>
          <w:dstrike w:val="0"/>
          <w:noProof w:val="0"/>
          <w:color w:val="000000" w:themeColor="text1" w:themeTint="FF" w:themeShade="FF"/>
          <w:sz w:val="22"/>
          <w:szCs w:val="22"/>
          <w:u w:val="none"/>
          <w:lang w:val="en-GB"/>
        </w:rPr>
        <w:t>NHS provided a follow up in 2020 to the 2017 survey on the mental health of children and young people and England (Vizard et al., 2020). This research was done to explore the Mental Health of Children and Young People (MHCYP) in the UK during the Coronavirus (COVID-19) pandemic. The pandemic has heightened the level of anxiety among households in the UK.  Anxiety, fear and sadness caused by the COVID-19 pandemic can be compared to the psychological effects of other disasters.</w:t>
      </w:r>
    </w:p>
    <w:p w:rsidR="3DEC985A" w:rsidP="43529959" w:rsidRDefault="3DEC985A" w14:paraId="3B94B820" w14:textId="28490208">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3529959" w:rsidR="3DEC985A">
        <w:rPr>
          <w:rFonts w:ascii="Arial" w:hAnsi="Arial" w:eastAsia="Arial" w:cs="Arial"/>
          <w:b w:val="0"/>
          <w:bCs w:val="0"/>
          <w:i w:val="0"/>
          <w:iCs w:val="0"/>
          <w:strike w:val="0"/>
          <w:dstrike w:val="0"/>
          <w:noProof w:val="0"/>
          <w:color w:val="000000" w:themeColor="text1" w:themeTint="FF" w:themeShade="FF"/>
          <w:sz w:val="22"/>
          <w:szCs w:val="22"/>
          <w:u w:val="none"/>
          <w:lang w:val="en-GB"/>
        </w:rPr>
        <w:t>The</w:t>
      </w:r>
      <w:r w:rsidRPr="43529959" w:rsidR="3692FFD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43529959" w:rsidR="3DEC985A">
        <w:rPr>
          <w:rFonts w:ascii="Arial" w:hAnsi="Arial" w:eastAsia="Arial" w:cs="Arial"/>
          <w:b w:val="0"/>
          <w:bCs w:val="0"/>
          <w:i w:val="0"/>
          <w:iCs w:val="0"/>
          <w:strike w:val="0"/>
          <w:dstrike w:val="0"/>
          <w:noProof w:val="0"/>
          <w:color w:val="000000" w:themeColor="text1" w:themeTint="FF" w:themeShade="FF"/>
          <w:sz w:val="22"/>
          <w:szCs w:val="22"/>
          <w:u w:val="none"/>
          <w:lang w:val="en-GB"/>
        </w:rPr>
        <w:t>research was based on 3570 children and young people between 2 to 22 years of age who were part of the 2017 MHCYP research (Vizard et al., 2020). The research also used information found from research instruments issued to the parents of the children and the young people in the sample population. London was used as the sample geographic area for the research. The research aims were to compare the mental health of children and young people between 2017 and 2020 and assess the impacts of the pandemic on mental health.</w:t>
      </w:r>
    </w:p>
    <w:p w:rsidR="3DEC985A" w:rsidP="43529959" w:rsidRDefault="3DEC985A" w14:paraId="7D4B348B" w14:textId="208F9B9C">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3529959" w:rsidR="3DEC985A">
        <w:rPr>
          <w:rFonts w:ascii="Arial" w:hAnsi="Arial" w:eastAsia="Arial" w:cs="Arial"/>
          <w:b w:val="0"/>
          <w:bCs w:val="0"/>
          <w:i w:val="0"/>
          <w:iCs w:val="0"/>
          <w:strike w:val="0"/>
          <w:dstrike w:val="0"/>
          <w:noProof w:val="0"/>
          <w:color w:val="000000" w:themeColor="text1" w:themeTint="FF" w:themeShade="FF"/>
          <w:sz w:val="22"/>
          <w:szCs w:val="22"/>
          <w:u w:val="none"/>
          <w:lang w:val="en-GB"/>
        </w:rPr>
        <w:t>Key findings from the study revealed that probable mental disorders in the UK had increased in 2020 compared to 2017. 16% of children and young people up to 16 years of age had a probable mental disorder compared to the 10.8% in 2017 (Vizard et al., 2020). The probability of mental disorders also increased with age. A noticeable difference was shown as 27.2% of the young women compared to 13.3%</w:t>
      </w:r>
      <w:r w:rsidRPr="43529959" w:rsidR="0C04037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43529959" w:rsidR="3DEC985A">
        <w:rPr>
          <w:rFonts w:ascii="Arial" w:hAnsi="Arial" w:eastAsia="Arial" w:cs="Arial"/>
          <w:b w:val="0"/>
          <w:bCs w:val="0"/>
          <w:i w:val="0"/>
          <w:iCs w:val="0"/>
          <w:strike w:val="0"/>
          <w:dstrike w:val="0"/>
          <w:noProof w:val="0"/>
          <w:color w:val="000000" w:themeColor="text1" w:themeTint="FF" w:themeShade="FF"/>
          <w:sz w:val="22"/>
          <w:szCs w:val="22"/>
          <w:u w:val="none"/>
          <w:lang w:val="en-GB"/>
        </w:rPr>
        <w:t>of young men showed a likelihood of mental disorder (Vizard et al., 2020). Another key fact from the study showed that arguments with households contribute to mental disorders among 63.8% of girls aged between 11 to 16 years old (Vizard et al., 2020). While analysing the impact of COVID 19 on mental health, the study showed that 54.1% of young people with probable mental disorders affirmed that life during lockdown is unbearable (Vizard et al., 2020).</w:t>
      </w:r>
    </w:p>
    <w:p w:rsidR="3DEC985A" w:rsidP="43529959" w:rsidRDefault="3DEC985A" w14:paraId="1E0F6B61" w14:textId="28C108F2">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3529959" w:rsidR="3DEC985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This study has made a significant impact on health and social care in the UK. The pandemic has affected access to education, leisure, health and other services that play a critical role in the lives of children and young people. This research provided information </w:t>
      </w:r>
      <w:r w:rsidRPr="43529959" w:rsidR="2787F171">
        <w:rPr>
          <w:rFonts w:ascii="Arial" w:hAnsi="Arial" w:eastAsia="Arial" w:cs="Arial"/>
          <w:b w:val="0"/>
          <w:bCs w:val="0"/>
          <w:i w:val="0"/>
          <w:iCs w:val="0"/>
          <w:strike w:val="0"/>
          <w:dstrike w:val="0"/>
          <w:noProof w:val="0"/>
          <w:color w:val="000000" w:themeColor="text1" w:themeTint="FF" w:themeShade="FF"/>
          <w:sz w:val="22"/>
          <w:szCs w:val="22"/>
          <w:u w:val="none"/>
          <w:lang w:val="en-GB"/>
        </w:rPr>
        <w:t>that</w:t>
      </w:r>
      <w:r w:rsidRPr="43529959" w:rsidR="3DEC985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43529959" w:rsidR="3DEC985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can help health and social care workers understand mental health among children and young </w:t>
      </w:r>
      <w:r w:rsidRPr="43529959" w:rsidR="62885400">
        <w:rPr>
          <w:rFonts w:ascii="Arial" w:hAnsi="Arial" w:eastAsia="Arial" w:cs="Arial"/>
          <w:b w:val="0"/>
          <w:bCs w:val="0"/>
          <w:i w:val="0"/>
          <w:iCs w:val="0"/>
          <w:strike w:val="0"/>
          <w:dstrike w:val="0"/>
          <w:noProof w:val="0"/>
          <w:color w:val="000000" w:themeColor="text1" w:themeTint="FF" w:themeShade="FF"/>
          <w:sz w:val="22"/>
          <w:szCs w:val="22"/>
          <w:u w:val="none"/>
          <w:lang w:val="en-GB"/>
        </w:rPr>
        <w:t>people and</w:t>
      </w:r>
      <w:r w:rsidRPr="43529959" w:rsidR="3DEC985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come up with ways of maintaining the mental well-being of children and young people in the UK.</w:t>
      </w:r>
    </w:p>
    <w:p w:rsidR="7146326D" w:rsidP="4CFD1FE4" w:rsidRDefault="7146326D" w14:paraId="71F8FA36" w14:textId="3C5F343D">
      <w:pPr>
        <w:pStyle w:val="Heading2"/>
        <w:spacing w:line="360" w:lineRule="auto"/>
        <w:rPr>
          <w:rFonts w:ascii="Arial" w:hAnsi="Arial" w:eastAsia="Arial" w:cs="Arial"/>
          <w:b w:val="0"/>
          <w:bCs w:val="0"/>
          <w:i w:val="0"/>
          <w:iCs w:val="0"/>
          <w:strike w:val="0"/>
          <w:dstrike w:val="0"/>
          <w:noProof w:val="0"/>
          <w:color w:val="000000" w:themeColor="text1" w:themeTint="FF" w:themeShade="FF"/>
          <w:sz w:val="28"/>
          <w:szCs w:val="28"/>
          <w:u w:val="single"/>
          <w:lang w:val="en-GB"/>
        </w:rPr>
      </w:pPr>
      <w:r w:rsidRPr="4CFD1FE4" w:rsidR="7146326D">
        <w:rPr>
          <w:rFonts w:ascii="Arial" w:hAnsi="Arial" w:eastAsia="Arial" w:cs="Arial"/>
          <w:b w:val="0"/>
          <w:bCs w:val="0"/>
          <w:i w:val="0"/>
          <w:iCs w:val="0"/>
          <w:strike w:val="0"/>
          <w:dstrike w:val="0"/>
          <w:noProof w:val="0"/>
          <w:color w:val="000000" w:themeColor="text1" w:themeTint="FF" w:themeShade="FF"/>
          <w:sz w:val="28"/>
          <w:szCs w:val="28"/>
          <w:u w:val="single"/>
          <w:lang w:val="en-GB"/>
        </w:rPr>
        <w:t xml:space="preserve">Technology delivered interventions for depression and anxiety among </w:t>
      </w:r>
      <w:r w:rsidRPr="4CFD1FE4" w:rsidR="7146326D">
        <w:rPr>
          <w:rFonts w:ascii="Arial" w:hAnsi="Arial" w:eastAsia="Arial" w:cs="Arial"/>
          <w:b w:val="0"/>
          <w:bCs w:val="0"/>
          <w:i w:val="0"/>
          <w:iCs w:val="0"/>
          <w:strike w:val="0"/>
          <w:dstrike w:val="0"/>
          <w:noProof w:val="0"/>
          <w:color w:val="000000" w:themeColor="text1" w:themeTint="FF" w:themeShade="FF"/>
          <w:sz w:val="28"/>
          <w:szCs w:val="28"/>
          <w:u w:val="single"/>
          <w:lang w:val="en-GB"/>
        </w:rPr>
        <w:t>CYP</w:t>
      </w:r>
    </w:p>
    <w:p w:rsidR="7146326D" w:rsidP="43529959" w:rsidRDefault="7146326D" w14:paraId="5E8BD4AB" w14:textId="47FDFEC7">
      <w:pPr>
        <w:pStyle w:val="Normal"/>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3529959" w:rsidR="7146326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Anxiety and depression are the most common mental disorders among CYP (Merry et al., 2012). Whilst different interventions are available to treat these conditions, access to the treatment is still limited. </w:t>
      </w:r>
      <w:r w:rsidRPr="43529959" w:rsidR="537D4598">
        <w:rPr>
          <w:rFonts w:ascii="Arial" w:hAnsi="Arial" w:eastAsia="Arial" w:cs="Arial"/>
          <w:b w:val="0"/>
          <w:bCs w:val="0"/>
          <w:i w:val="0"/>
          <w:iCs w:val="0"/>
          <w:strike w:val="0"/>
          <w:dstrike w:val="0"/>
          <w:noProof w:val="0"/>
          <w:color w:val="000000" w:themeColor="text1" w:themeTint="FF" w:themeShade="FF"/>
          <w:sz w:val="22"/>
          <w:szCs w:val="22"/>
          <w:u w:val="none"/>
          <w:lang w:val="en-GB"/>
        </w:rPr>
        <w:t>O</w:t>
      </w:r>
      <w:r w:rsidRPr="43529959" w:rsidR="7146326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nly 25% of CYP </w:t>
      </w:r>
      <w:r w:rsidRPr="43529959" w:rsidR="04F38D7A">
        <w:rPr>
          <w:rFonts w:ascii="Arial" w:hAnsi="Arial" w:eastAsia="Arial" w:cs="Arial"/>
          <w:b w:val="0"/>
          <w:bCs w:val="0"/>
          <w:i w:val="0"/>
          <w:iCs w:val="0"/>
          <w:strike w:val="0"/>
          <w:dstrike w:val="0"/>
          <w:noProof w:val="0"/>
          <w:color w:val="000000" w:themeColor="text1" w:themeTint="FF" w:themeShade="FF"/>
          <w:sz w:val="22"/>
          <w:szCs w:val="22"/>
          <w:u w:val="none"/>
          <w:lang w:val="en-GB"/>
        </w:rPr>
        <w:t>can</w:t>
      </w:r>
      <w:r w:rsidRPr="43529959" w:rsidR="7146326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 treatment (Public Health England, 2016). The use of technology to deliver mental health treatment can increase access to mental treatment among CYP. Grist et al. (2018) performs a clinical child and family psychology review to investigate the effect of technology psychological interventions on CYP up to 18years of age suffering from anxiety disorders and depression. The research evaluated 34 technological trials done on 3113 children aged between 6 to 18 years. The trials involved the use of computerised and internet cognitive behaviour therapy programs (CBT). The findings from the research reveal that CBT based technology delivered therapies to overcome the limitations of traditional interventions in terms of access.</w:t>
      </w:r>
    </w:p>
    <w:p w:rsidR="7146326D" w:rsidP="43529959" w:rsidRDefault="7146326D" w14:paraId="0E8C2EFA" w14:textId="44987A19">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3529959" w:rsidR="7146326D">
        <w:rPr>
          <w:rFonts w:ascii="Arial" w:hAnsi="Arial" w:eastAsia="Arial" w:cs="Arial"/>
          <w:b w:val="0"/>
          <w:bCs w:val="0"/>
          <w:i w:val="0"/>
          <w:iCs w:val="0"/>
          <w:strike w:val="0"/>
          <w:dstrike w:val="0"/>
          <w:noProof w:val="0"/>
          <w:color w:val="000000" w:themeColor="text1" w:themeTint="FF" w:themeShade="FF"/>
          <w:sz w:val="22"/>
          <w:szCs w:val="22"/>
          <w:u w:val="none"/>
          <w:lang w:val="en-GB"/>
        </w:rPr>
        <w:t>The available face to face therapy interventions is not enough to meet the surge of anxiety and depression among CYP (Arnberg and Öst, 2014). E-mental health, that is, the use of information and communication technology to improve mental wellbeing, can increase the support offered to CYP suffering from mental disorders. Digital technologies can be delivered through computers and websites that can easily be accessed through smartphones.</w:t>
      </w:r>
    </w:p>
    <w:p w:rsidR="7146326D" w:rsidP="43529959" w:rsidRDefault="7146326D" w14:paraId="554A52AD" w14:textId="05BF6AC4">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3529959" w:rsidR="7146326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E-mental interventions are associated with </w:t>
      </w:r>
      <w:r w:rsidRPr="43529959" w:rsidR="16E6967F">
        <w:rPr>
          <w:rFonts w:ascii="Arial" w:hAnsi="Arial" w:eastAsia="Arial" w:cs="Arial"/>
          <w:b w:val="0"/>
          <w:bCs w:val="0"/>
          <w:i w:val="0"/>
          <w:iCs w:val="0"/>
          <w:strike w:val="0"/>
          <w:dstrike w:val="0"/>
          <w:noProof w:val="0"/>
          <w:color w:val="000000" w:themeColor="text1" w:themeTint="FF" w:themeShade="FF"/>
          <w:sz w:val="22"/>
          <w:szCs w:val="22"/>
          <w:u w:val="none"/>
          <w:lang w:val="en-GB"/>
        </w:rPr>
        <w:t>a few</w:t>
      </w:r>
      <w:r w:rsidRPr="43529959" w:rsidR="7146326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advantages such as greater geographical reach, low cost, anonymity and easy access (Clarke et al., 2014). Concerns about the use of technological interventions include the absence of a supportive relationship, technological failures and concerns on data security. Based on statistics that show that 83% of adolescents in the UK own smartphones and other electronic gadgets such as tablets and computers, digital technology interventions can be appealing (Clarke et al., 2014). Therefore, more research should be done to develop e-mental interventions for CYP suffering from anxiety disorders and depression.</w:t>
      </w:r>
    </w:p>
    <w:p w:rsidR="7146326D" w:rsidP="43529959" w:rsidRDefault="7146326D" w14:paraId="2FF7F256" w14:textId="311781A4">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br/>
      </w:r>
      <w:r w:rsidRPr="43529959" w:rsidR="6D8C53F9">
        <w:rPr>
          <w:rFonts w:ascii="Arial" w:hAnsi="Arial" w:eastAsia="Arial" w:cs="Arial"/>
          <w:b w:val="0"/>
          <w:bCs w:val="0"/>
          <w:i w:val="0"/>
          <w:iCs w:val="0"/>
          <w:strike w:val="0"/>
          <w:dstrike w:val="0"/>
          <w:noProof w:val="0"/>
          <w:color w:val="000000" w:themeColor="text1" w:themeTint="FF" w:themeShade="FF"/>
          <w:sz w:val="28"/>
          <w:szCs w:val="28"/>
          <w:u w:val="single"/>
          <w:lang w:val="en-GB"/>
        </w:rPr>
        <w:t>Conclusion</w:t>
      </w:r>
    </w:p>
    <w:p w:rsidR="6D8C53F9" w:rsidP="1CEE7B0C" w:rsidRDefault="6D8C53F9" w14:paraId="395DA8C8" w14:textId="1C70600A">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EE7B0C" w:rsidR="6D8C53F9">
        <w:rPr>
          <w:rFonts w:ascii="Arial" w:hAnsi="Arial" w:eastAsia="Arial" w:cs="Arial"/>
          <w:b w:val="0"/>
          <w:bCs w:val="0"/>
          <w:i w:val="0"/>
          <w:iCs w:val="0"/>
          <w:strike w:val="0"/>
          <w:dstrike w:val="0"/>
          <w:noProof w:val="0"/>
          <w:color w:val="000000" w:themeColor="text1" w:themeTint="FF" w:themeShade="FF"/>
          <w:sz w:val="22"/>
          <w:szCs w:val="22"/>
          <w:u w:val="none"/>
          <w:lang w:val="en-GB"/>
        </w:rPr>
        <w:t>To discuss psychological perspectives in developmental psychology, Piaget cognitive developmental theory has been focused on. Piaget theorised on object permanence as a cognitive milestone during the sensorimotor stage. The essay has also discussed Erickson’s psychosocial development theory. Erickson theorised on the critical role of parents and caregivers during infancy to enable the infant to solve the first psychosocial crisis of trust vs mistrust. On identifying current research studies in HSC, this essay has focused on mental health among CYP in the UK</w:t>
      </w:r>
      <w:r w:rsidRPr="1CEE7B0C" w:rsidR="7DB5A70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CEE7B0C" w:rsidR="6D8C53F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mental condition during the COVID-19 pandemic and the use of e-mental interventions to treat anxiety disorders and depression among CYP. </w:t>
      </w:r>
    </w:p>
    <w:p w:rsidR="6D8C53F9" w:rsidP="43529959" w:rsidRDefault="6D8C53F9" w14:paraId="601B0496" w14:textId="10DBFC07">
      <w:pPr>
        <w:pStyle w:val="Heading1"/>
      </w:pPr>
      <w:r>
        <w:br/>
      </w:r>
      <w:r w:rsidRPr="43529959" w:rsidR="42DEBEB4">
        <w:rPr>
          <w:rFonts w:ascii="Arial" w:hAnsi="Arial" w:eastAsia="Arial" w:cs="Arial"/>
          <w:b w:val="0"/>
          <w:bCs w:val="0"/>
          <w:i w:val="0"/>
          <w:iCs w:val="0"/>
          <w:strike w:val="0"/>
          <w:dstrike w:val="0"/>
          <w:noProof w:val="0"/>
          <w:color w:val="000000" w:themeColor="text1" w:themeTint="FF" w:themeShade="FF"/>
          <w:sz w:val="28"/>
          <w:szCs w:val="28"/>
          <w:u w:val="single"/>
          <w:lang w:val="en-GB"/>
        </w:rPr>
        <w:t>References</w:t>
      </w:r>
    </w:p>
    <w:p w:rsidR="43529959" w:rsidP="43529959" w:rsidRDefault="43529959" w14:paraId="068A786C" w14:textId="5B682531">
      <w:pPr>
        <w:pStyle w:val="Normal"/>
        <w:rPr>
          <w:noProof w:val="0"/>
          <w:lang w:val="en-GB"/>
        </w:rPr>
      </w:pPr>
    </w:p>
    <w:p w:rsidR="42DEBEB4" w:rsidP="43529959" w:rsidRDefault="42DEBEB4" w14:paraId="3A9D952B" w14:textId="1BB10275">
      <w:pPr>
        <w:spacing w:line="360" w:lineRule="auto"/>
        <w:ind w:left="720" w:hanging="720"/>
      </w:pPr>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Arnberg, A. and Öst, L.G. (2014). CBT for children with depressive symptoms: A meta-analysis. Cognitive Behaviour Therapy. pp.275–288.</w:t>
      </w:r>
    </w:p>
    <w:p w:rsidR="42DEBEB4" w:rsidP="43529959" w:rsidRDefault="42DEBEB4" w14:paraId="416B67AB" w14:textId="4302823C">
      <w:pPr>
        <w:spacing w:line="360" w:lineRule="auto"/>
        <w:ind w:left="720" w:hanging="720"/>
      </w:pPr>
      <w:proofErr w:type="spellStart"/>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Babakr</w:t>
      </w:r>
      <w:proofErr w:type="spellEnd"/>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Z.H., Mohamedamin, P. and </w:t>
      </w:r>
      <w:proofErr w:type="spellStart"/>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Kakamad</w:t>
      </w:r>
      <w:proofErr w:type="spellEnd"/>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K. (2019). Piaget’s Cognitive Developmental Theory: Critical Review. </w:t>
      </w:r>
      <w:r w:rsidRPr="43529959" w:rsidR="42DEBEB4">
        <w:rPr>
          <w:rFonts w:ascii="Arial" w:hAnsi="Arial" w:eastAsia="Arial" w:cs="Arial"/>
          <w:b w:val="0"/>
          <w:bCs w:val="0"/>
          <w:i w:val="1"/>
          <w:iCs w:val="1"/>
          <w:strike w:val="0"/>
          <w:dstrike w:val="0"/>
          <w:noProof w:val="0"/>
          <w:color w:val="000000" w:themeColor="text1" w:themeTint="FF" w:themeShade="FF"/>
          <w:sz w:val="22"/>
          <w:szCs w:val="22"/>
          <w:u w:val="none"/>
          <w:lang w:val="en-GB"/>
        </w:rPr>
        <w:t>Education Quarterly Reviews</w:t>
      </w:r>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 [online] 2(3), pp.517–524.</w:t>
      </w:r>
      <w:r w:rsidRPr="43529959" w:rsidR="5D08199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Available at: </w:t>
      </w:r>
      <w:hyperlink r:id="R53990c1cd3d04b7e">
        <w:r w:rsidRPr="43529959" w:rsidR="42DEBEB4">
          <w:rPr>
            <w:rStyle w:val="Hyperlink"/>
            <w:rFonts w:ascii="Arial" w:hAnsi="Arial" w:eastAsia="Arial" w:cs="Arial"/>
            <w:b w:val="0"/>
            <w:bCs w:val="0"/>
            <w:i w:val="0"/>
            <w:iCs w:val="0"/>
            <w:strike w:val="0"/>
            <w:dstrike w:val="0"/>
            <w:noProof w:val="0"/>
            <w:sz w:val="22"/>
            <w:szCs w:val="22"/>
            <w:lang w:val="en-GB"/>
          </w:rPr>
          <w:t>https://eric.ed.gov/?id=EJ1274368</w:t>
        </w:r>
      </w:hyperlink>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w:t>
      </w:r>
    </w:p>
    <w:p w:rsidR="42DEBEB4" w:rsidP="43529959" w:rsidRDefault="42DEBEB4" w14:paraId="48257E9F" w14:textId="72FAA91A">
      <w:pPr>
        <w:spacing w:line="360" w:lineRule="auto"/>
        <w:ind w:left="720" w:hanging="720"/>
      </w:pPr>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Clarke, A.M., Kuosmanen, T. and Barry, M.M. (2014). A Systematic Review of Online Youth Mental Health Promotion and Prevention Interventions. </w:t>
      </w:r>
      <w:r w:rsidRPr="43529959" w:rsidR="42DEBEB4">
        <w:rPr>
          <w:rFonts w:ascii="Arial" w:hAnsi="Arial" w:eastAsia="Arial" w:cs="Arial"/>
          <w:b w:val="0"/>
          <w:bCs w:val="0"/>
          <w:i w:val="1"/>
          <w:iCs w:val="1"/>
          <w:strike w:val="0"/>
          <w:dstrike w:val="0"/>
          <w:noProof w:val="0"/>
          <w:color w:val="000000" w:themeColor="text1" w:themeTint="FF" w:themeShade="FF"/>
          <w:sz w:val="22"/>
          <w:szCs w:val="22"/>
          <w:u w:val="none"/>
          <w:lang w:val="en-GB"/>
        </w:rPr>
        <w:t>Journal of Youth and Adolescence</w:t>
      </w:r>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 44(1), pp.90–113.</w:t>
      </w:r>
    </w:p>
    <w:p w:rsidR="42DEBEB4" w:rsidP="43529959" w:rsidRDefault="42DEBEB4" w14:paraId="6EE5A9A4" w14:textId="1B4064AF">
      <w:pPr>
        <w:spacing w:line="360" w:lineRule="auto"/>
        <w:ind w:left="720" w:hanging="720"/>
      </w:pPr>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Grist, R., Croker, A., Denne, M. and Stallard, P. (2018). Technology Delivered Interventions for Depression and Anxiety in Children and Adolescents: A Systematic Review and Meta-analysis. </w:t>
      </w:r>
      <w:r w:rsidRPr="43529959" w:rsidR="42DEBEB4">
        <w:rPr>
          <w:rFonts w:ascii="Arial" w:hAnsi="Arial" w:eastAsia="Arial" w:cs="Arial"/>
          <w:b w:val="0"/>
          <w:bCs w:val="0"/>
          <w:i w:val="1"/>
          <w:iCs w:val="1"/>
          <w:strike w:val="0"/>
          <w:dstrike w:val="0"/>
          <w:noProof w:val="0"/>
          <w:color w:val="000000" w:themeColor="text1" w:themeTint="FF" w:themeShade="FF"/>
          <w:sz w:val="22"/>
          <w:szCs w:val="22"/>
          <w:u w:val="none"/>
          <w:lang w:val="en-GB"/>
        </w:rPr>
        <w:t>Clinical Child and Family Psychology Review</w:t>
      </w:r>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 22(2), pp.147–171.</w:t>
      </w:r>
    </w:p>
    <w:p w:rsidR="42DEBEB4" w:rsidP="43529959" w:rsidRDefault="42DEBEB4" w14:paraId="17534D7F" w14:textId="11D1DDC7">
      <w:pPr>
        <w:spacing w:line="360" w:lineRule="auto"/>
        <w:ind w:left="720" w:hanging="720"/>
      </w:pPr>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Merry, S.N., Hetrick, S.E., Cox, G.R., Brudevold-Iversen, T., Bir, J.J. and McDowell, H. (2012). Cochrane Review: Psychological and educational interventions for preventing depression in children and adolescents. </w:t>
      </w:r>
      <w:r w:rsidRPr="43529959" w:rsidR="42DEBEB4">
        <w:rPr>
          <w:rFonts w:ascii="Arial" w:hAnsi="Arial" w:eastAsia="Arial" w:cs="Arial"/>
          <w:b w:val="0"/>
          <w:bCs w:val="0"/>
          <w:i w:val="1"/>
          <w:iCs w:val="1"/>
          <w:strike w:val="0"/>
          <w:dstrike w:val="0"/>
          <w:noProof w:val="0"/>
          <w:color w:val="000000" w:themeColor="text1" w:themeTint="FF" w:themeShade="FF"/>
          <w:sz w:val="22"/>
          <w:szCs w:val="22"/>
          <w:u w:val="none"/>
          <w:lang w:val="en-GB"/>
        </w:rPr>
        <w:t>Evidence-Based Child Health: A Cochrane Review Journal</w:t>
      </w:r>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 7(5), pp.1409–1685.</w:t>
      </w:r>
    </w:p>
    <w:p w:rsidR="42DEBEB4" w:rsidP="43529959" w:rsidRDefault="42DEBEB4" w14:paraId="3A17D6CE" w14:textId="53354684">
      <w:pPr>
        <w:spacing w:line="360" w:lineRule="auto"/>
        <w:ind w:left="720" w:hanging="720"/>
      </w:pPr>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Miller, P.H. (2016). </w:t>
      </w:r>
      <w:r w:rsidRPr="43529959" w:rsidR="42DEBEB4">
        <w:rPr>
          <w:rFonts w:ascii="Arial" w:hAnsi="Arial" w:eastAsia="Arial" w:cs="Arial"/>
          <w:b w:val="0"/>
          <w:bCs w:val="0"/>
          <w:i w:val="1"/>
          <w:iCs w:val="1"/>
          <w:strike w:val="0"/>
          <w:dstrike w:val="0"/>
          <w:noProof w:val="0"/>
          <w:color w:val="000000" w:themeColor="text1" w:themeTint="FF" w:themeShade="FF"/>
          <w:sz w:val="22"/>
          <w:szCs w:val="22"/>
          <w:u w:val="none"/>
          <w:lang w:val="en-GB"/>
        </w:rPr>
        <w:t>Theories of developmental psychology</w:t>
      </w:r>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 New York: Worth Publishers.</w:t>
      </w:r>
    </w:p>
    <w:p w:rsidR="42DEBEB4" w:rsidP="43529959" w:rsidRDefault="42DEBEB4" w14:paraId="5F6DD1AA" w14:textId="46C935AE">
      <w:pPr>
        <w:spacing w:line="360" w:lineRule="auto"/>
        <w:ind w:left="720" w:hanging="720"/>
      </w:pPr>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Public Health England (2016). </w:t>
      </w:r>
      <w:r w:rsidRPr="43529959" w:rsidR="42DEBEB4">
        <w:rPr>
          <w:rFonts w:ascii="Arial" w:hAnsi="Arial" w:eastAsia="Arial" w:cs="Arial"/>
          <w:b w:val="0"/>
          <w:bCs w:val="0"/>
          <w:i w:val="1"/>
          <w:iCs w:val="1"/>
          <w:strike w:val="0"/>
          <w:dstrike w:val="0"/>
          <w:noProof w:val="0"/>
          <w:color w:val="000000" w:themeColor="text1" w:themeTint="FF" w:themeShade="FF"/>
          <w:sz w:val="22"/>
          <w:szCs w:val="22"/>
          <w:u w:val="none"/>
          <w:lang w:val="en-GB"/>
        </w:rPr>
        <w:t>The mental health of children and young people in England</w:t>
      </w:r>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  Available</w:t>
      </w:r>
      <w:r w:rsidRPr="43529959" w:rsidR="48A386D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at:</w:t>
      </w:r>
      <w:hyperlink r:id="R17c7f00882264391">
        <w:r w:rsidRPr="43529959" w:rsidR="42DEBEB4">
          <w:rPr>
            <w:rStyle w:val="Hyperlink"/>
            <w:rFonts w:ascii="Arial" w:hAnsi="Arial" w:eastAsia="Arial" w:cs="Arial"/>
            <w:b w:val="0"/>
            <w:bCs w:val="0"/>
            <w:i w:val="0"/>
            <w:iCs w:val="0"/>
            <w:strike w:val="0"/>
            <w:dstrike w:val="0"/>
            <w:noProof w:val="0"/>
            <w:sz w:val="22"/>
            <w:szCs w:val="22"/>
            <w:lang w:val="en-GB"/>
          </w:rPr>
          <w:t>https://assets.publishing.service.gov.uk/government/uploads/system/uploads/attachment_data/file/575632/Mental_health_of_children_in_England.pdf</w:t>
        </w:r>
      </w:hyperlink>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w:t>
      </w:r>
    </w:p>
    <w:p w:rsidR="42DEBEB4" w:rsidP="43529959" w:rsidRDefault="42DEBEB4" w14:paraId="58767829" w14:textId="0660BAA2">
      <w:pPr>
        <w:spacing w:line="360" w:lineRule="auto"/>
        <w:ind w:left="720" w:hanging="720"/>
      </w:pPr>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Vizard, T., Sadler, K., Ford, T., Newlove-Delgado, T., Mcmanus, S., </w:t>
      </w:r>
      <w:proofErr w:type="spellStart"/>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Marcheselli</w:t>
      </w:r>
      <w:proofErr w:type="spellEnd"/>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 Davis, J., Williams, T., Leach, C., Mandalia, D., Cartwright, C., Statistician, R. and Thandi, S. (2020). </w:t>
      </w:r>
      <w:r w:rsidRPr="43529959" w:rsidR="42DEBEB4">
        <w:rPr>
          <w:rFonts w:ascii="Arial" w:hAnsi="Arial" w:eastAsia="Arial" w:cs="Arial"/>
          <w:b w:val="0"/>
          <w:bCs w:val="0"/>
          <w:i w:val="1"/>
          <w:iCs w:val="1"/>
          <w:strike w:val="0"/>
          <w:dstrike w:val="0"/>
          <w:noProof w:val="0"/>
          <w:color w:val="000000" w:themeColor="text1" w:themeTint="FF" w:themeShade="FF"/>
          <w:sz w:val="22"/>
          <w:szCs w:val="22"/>
          <w:u w:val="none"/>
          <w:lang w:val="en-GB"/>
        </w:rPr>
        <w:t>Mental Health of Children and Young People in England, 2020</w:t>
      </w:r>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Available at: </w:t>
      </w:r>
      <w:hyperlink r:id="R4e65f07f748d44b2">
        <w:r w:rsidRPr="43529959" w:rsidR="42DEBEB4">
          <w:rPr>
            <w:rStyle w:val="Hyperlink"/>
            <w:rFonts w:ascii="Arial" w:hAnsi="Arial" w:eastAsia="Arial" w:cs="Arial"/>
            <w:b w:val="0"/>
            <w:bCs w:val="0"/>
            <w:i w:val="0"/>
            <w:iCs w:val="0"/>
            <w:strike w:val="0"/>
            <w:dstrike w:val="0"/>
            <w:noProof w:val="0"/>
            <w:sz w:val="22"/>
            <w:szCs w:val="22"/>
            <w:lang w:val="en-GB"/>
          </w:rPr>
          <w:t>https://files.digital.nhs.uk/AF/AECD6B/mhcyp_2020_rep_v2.pdf</w:t>
        </w:r>
      </w:hyperlink>
      <w:r w:rsidRPr="43529959" w:rsidR="42DEBEB4">
        <w:rPr>
          <w:rFonts w:ascii="Arial" w:hAnsi="Arial" w:eastAsia="Arial" w:cs="Arial"/>
          <w:b w:val="0"/>
          <w:bCs w:val="0"/>
          <w:i w:val="0"/>
          <w:iCs w:val="0"/>
          <w:strike w:val="0"/>
          <w:dstrike w:val="0"/>
          <w:noProof w:val="0"/>
          <w:color w:val="000000" w:themeColor="text1" w:themeTint="FF" w:themeShade="FF"/>
          <w:sz w:val="22"/>
          <w:szCs w:val="22"/>
          <w:u w:val="none"/>
          <w:lang w:val="en-GB"/>
        </w:rPr>
        <w:t>.</w:t>
      </w:r>
    </w:p>
    <w:p w:rsidR="42DEBEB4" w:rsidP="43529959" w:rsidRDefault="42DEBEB4" w14:paraId="26A72082" w14:textId="6849AF0B">
      <w:pPr>
        <w:pStyle w:val="Heading1"/>
      </w:pPr>
      <w:r>
        <w:br/>
      </w:r>
      <w:r>
        <w:br/>
      </w:r>
      <w:r>
        <w:br/>
      </w:r>
    </w:p>
    <w:p w:rsidR="7A7677FF" w:rsidP="43529959" w:rsidRDefault="7A7677FF" w14:paraId="523CFF93" w14:textId="350429A5">
      <w:pPr>
        <w:pStyle w:val="Normal"/>
        <w:spacing w:line="360" w:lineRule="auto"/>
        <w:jc w:val="left"/>
      </w:pPr>
      <w:r>
        <w:br/>
      </w:r>
    </w:p>
    <w:p w:rsidR="632C353F" w:rsidP="43529959" w:rsidRDefault="632C353F" w14:paraId="0BEFECA4" w14:textId="09B357E2">
      <w:pPr>
        <w:pStyle w:val="Normal"/>
        <w:spacing w:line="360" w:lineRule="auto"/>
        <w:jc w:val="left"/>
      </w:pPr>
      <w:r>
        <w:br/>
      </w:r>
    </w:p>
    <w:p w:rsidR="43529959" w:rsidP="43529959" w:rsidRDefault="43529959" w14:paraId="2A42C287" w14:textId="594E9A0F">
      <w:pPr>
        <w:pStyle w:val="Normal"/>
        <w:jc w:val="left"/>
        <w:rPr>
          <w:rFonts w:ascii="Arial" w:hAnsi="Arial" w:eastAsia="Arial" w:cs="Arial"/>
          <w:sz w:val="28"/>
          <w:szCs w:val="28"/>
          <w:u w:val="single"/>
        </w:rPr>
      </w:pPr>
    </w:p>
    <w:p w:rsidR="43529959" w:rsidP="43529959" w:rsidRDefault="43529959" w14:paraId="147D131B" w14:textId="53E67A71">
      <w:pPr>
        <w:pStyle w:val="Normal"/>
        <w:jc w:val="left"/>
        <w:rPr>
          <w:rFonts w:ascii="Arial" w:hAnsi="Arial" w:eastAsia="Arial" w:cs="Arial"/>
          <w:sz w:val="28"/>
          <w:szCs w:val="28"/>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2B124B"/>
    <w:rsid w:val="009A306B"/>
    <w:rsid w:val="0121E7A7"/>
    <w:rsid w:val="02044F00"/>
    <w:rsid w:val="02CA2D87"/>
    <w:rsid w:val="047CDE8B"/>
    <w:rsid w:val="04F38D7A"/>
    <w:rsid w:val="05F4B03F"/>
    <w:rsid w:val="05F558CA"/>
    <w:rsid w:val="0618AEEC"/>
    <w:rsid w:val="068FF844"/>
    <w:rsid w:val="0696E606"/>
    <w:rsid w:val="07002E3B"/>
    <w:rsid w:val="07EC44C3"/>
    <w:rsid w:val="0A97BA31"/>
    <w:rsid w:val="0C040371"/>
    <w:rsid w:val="0CBC9767"/>
    <w:rsid w:val="0CDDB1FC"/>
    <w:rsid w:val="0D8F519A"/>
    <w:rsid w:val="0DD0AAA6"/>
    <w:rsid w:val="0EA23BCF"/>
    <w:rsid w:val="0F2B21FB"/>
    <w:rsid w:val="10AA8B74"/>
    <w:rsid w:val="10AF0648"/>
    <w:rsid w:val="125C9603"/>
    <w:rsid w:val="1298B47C"/>
    <w:rsid w:val="12DF17C4"/>
    <w:rsid w:val="136079A5"/>
    <w:rsid w:val="144521C1"/>
    <w:rsid w:val="148DF4A1"/>
    <w:rsid w:val="153A4925"/>
    <w:rsid w:val="15E24584"/>
    <w:rsid w:val="16A3CFD7"/>
    <w:rsid w:val="16E6967F"/>
    <w:rsid w:val="17142E6C"/>
    <w:rsid w:val="175EC5D4"/>
    <w:rsid w:val="17AF3A7B"/>
    <w:rsid w:val="17D4CCB7"/>
    <w:rsid w:val="183BF322"/>
    <w:rsid w:val="186D5962"/>
    <w:rsid w:val="19C71009"/>
    <w:rsid w:val="1A410E0E"/>
    <w:rsid w:val="1A977920"/>
    <w:rsid w:val="1AF48B05"/>
    <w:rsid w:val="1B41B5BA"/>
    <w:rsid w:val="1C2E6666"/>
    <w:rsid w:val="1C602A5D"/>
    <w:rsid w:val="1CEE7B0C"/>
    <w:rsid w:val="1FAD42E8"/>
    <w:rsid w:val="1FC13139"/>
    <w:rsid w:val="2031750A"/>
    <w:rsid w:val="207B975B"/>
    <w:rsid w:val="21250D05"/>
    <w:rsid w:val="21D41FC6"/>
    <w:rsid w:val="21DE81A0"/>
    <w:rsid w:val="237A5201"/>
    <w:rsid w:val="2492F218"/>
    <w:rsid w:val="24AD5A69"/>
    <w:rsid w:val="25D78A03"/>
    <w:rsid w:val="26023BB3"/>
    <w:rsid w:val="2646D893"/>
    <w:rsid w:val="2787F171"/>
    <w:rsid w:val="278D193E"/>
    <w:rsid w:val="28F961A9"/>
    <w:rsid w:val="28FA26B0"/>
    <w:rsid w:val="2928E99F"/>
    <w:rsid w:val="2991FA2C"/>
    <w:rsid w:val="29C2C2A1"/>
    <w:rsid w:val="29FDB1A6"/>
    <w:rsid w:val="2A95F711"/>
    <w:rsid w:val="2ACF53E2"/>
    <w:rsid w:val="2B756D2D"/>
    <w:rsid w:val="2B95CECD"/>
    <w:rsid w:val="2C31C772"/>
    <w:rsid w:val="2EB1107B"/>
    <w:rsid w:val="2EBFD842"/>
    <w:rsid w:val="2F4D51F5"/>
    <w:rsid w:val="2FE2CE5E"/>
    <w:rsid w:val="333B1F61"/>
    <w:rsid w:val="3351B092"/>
    <w:rsid w:val="339B8D5D"/>
    <w:rsid w:val="364E840D"/>
    <w:rsid w:val="3692FFD9"/>
    <w:rsid w:val="37A1858C"/>
    <w:rsid w:val="3877CC86"/>
    <w:rsid w:val="38F9E4A4"/>
    <w:rsid w:val="3A891A18"/>
    <w:rsid w:val="3AD37E1F"/>
    <w:rsid w:val="3AE2CB50"/>
    <w:rsid w:val="3B6858E3"/>
    <w:rsid w:val="3BCB0E54"/>
    <w:rsid w:val="3CC36C34"/>
    <w:rsid w:val="3CDD0979"/>
    <w:rsid w:val="3DA0CC15"/>
    <w:rsid w:val="3DA58E55"/>
    <w:rsid w:val="3DEC985A"/>
    <w:rsid w:val="3E1070B2"/>
    <w:rsid w:val="3ECE4711"/>
    <w:rsid w:val="3F4C348D"/>
    <w:rsid w:val="4070F8A0"/>
    <w:rsid w:val="42AAF4AF"/>
    <w:rsid w:val="42DEBEB4"/>
    <w:rsid w:val="4350C1DE"/>
    <w:rsid w:val="43529959"/>
    <w:rsid w:val="45C4B1A1"/>
    <w:rsid w:val="468C86D3"/>
    <w:rsid w:val="471F3FB4"/>
    <w:rsid w:val="4798D8CA"/>
    <w:rsid w:val="47A3189D"/>
    <w:rsid w:val="47ED1252"/>
    <w:rsid w:val="482293D7"/>
    <w:rsid w:val="48338E73"/>
    <w:rsid w:val="48A386DB"/>
    <w:rsid w:val="4948B121"/>
    <w:rsid w:val="499CB7D8"/>
    <w:rsid w:val="49ED9558"/>
    <w:rsid w:val="4ABD1B89"/>
    <w:rsid w:val="4CFD1FE4"/>
    <w:rsid w:val="4D5367BC"/>
    <w:rsid w:val="4E4170A4"/>
    <w:rsid w:val="4EC969F1"/>
    <w:rsid w:val="4EEDACD9"/>
    <w:rsid w:val="4F4AC1F2"/>
    <w:rsid w:val="50204A4E"/>
    <w:rsid w:val="5120F1FA"/>
    <w:rsid w:val="523F7135"/>
    <w:rsid w:val="537D4598"/>
    <w:rsid w:val="545EF44F"/>
    <w:rsid w:val="55A81D96"/>
    <w:rsid w:val="570DC2EC"/>
    <w:rsid w:val="59A0CBEA"/>
    <w:rsid w:val="59E3D533"/>
    <w:rsid w:val="5A30169D"/>
    <w:rsid w:val="5A426D79"/>
    <w:rsid w:val="5B115A99"/>
    <w:rsid w:val="5B640B22"/>
    <w:rsid w:val="5B65983E"/>
    <w:rsid w:val="5D08199C"/>
    <w:rsid w:val="5E48FB5B"/>
    <w:rsid w:val="5F3385A4"/>
    <w:rsid w:val="5F38ECDB"/>
    <w:rsid w:val="600BA8A4"/>
    <w:rsid w:val="605C16D8"/>
    <w:rsid w:val="60DE16DF"/>
    <w:rsid w:val="60F985F6"/>
    <w:rsid w:val="61EBCC8F"/>
    <w:rsid w:val="62069209"/>
    <w:rsid w:val="62885400"/>
    <w:rsid w:val="631C6C7E"/>
    <w:rsid w:val="632C353F"/>
    <w:rsid w:val="63A2626A"/>
    <w:rsid w:val="647150BB"/>
    <w:rsid w:val="660AB9B8"/>
    <w:rsid w:val="666C4EAE"/>
    <w:rsid w:val="668A4700"/>
    <w:rsid w:val="66D6AFA8"/>
    <w:rsid w:val="674DA064"/>
    <w:rsid w:val="67F6C792"/>
    <w:rsid w:val="682965CD"/>
    <w:rsid w:val="688B7595"/>
    <w:rsid w:val="6AB7EAF4"/>
    <w:rsid w:val="6B24DC9F"/>
    <w:rsid w:val="6BB892A0"/>
    <w:rsid w:val="6D64438D"/>
    <w:rsid w:val="6D8C53F9"/>
    <w:rsid w:val="6D95D8B3"/>
    <w:rsid w:val="6DC26D71"/>
    <w:rsid w:val="6E5F3533"/>
    <w:rsid w:val="701AA6CA"/>
    <w:rsid w:val="7067BD15"/>
    <w:rsid w:val="70F221A8"/>
    <w:rsid w:val="7146326D"/>
    <w:rsid w:val="72C2FCD9"/>
    <w:rsid w:val="72C768E5"/>
    <w:rsid w:val="745ECD3A"/>
    <w:rsid w:val="74D36205"/>
    <w:rsid w:val="7528399A"/>
    <w:rsid w:val="77099754"/>
    <w:rsid w:val="789076CE"/>
    <w:rsid w:val="78C0FFE0"/>
    <w:rsid w:val="78C108A2"/>
    <w:rsid w:val="78E09C01"/>
    <w:rsid w:val="797814C5"/>
    <w:rsid w:val="7A7677FF"/>
    <w:rsid w:val="7C2B124B"/>
    <w:rsid w:val="7C71CCA5"/>
    <w:rsid w:val="7D727451"/>
    <w:rsid w:val="7D7A93AD"/>
    <w:rsid w:val="7DA70BC5"/>
    <w:rsid w:val="7DB5A703"/>
    <w:rsid w:val="7DEF226C"/>
    <w:rsid w:val="7E863740"/>
    <w:rsid w:val="7EB6B8A1"/>
    <w:rsid w:val="7EFE6009"/>
    <w:rsid w:val="7EFFB580"/>
    <w:rsid w:val="7FD5D3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B124B"/>
  <w15:chartTrackingRefBased/>
  <w15:docId w15:val="{87fa803c-eb3f-4f51-86c3-4c0b32b696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ric.ed.gov/?id=EJ1274368" TargetMode="External" Id="R53990c1cd3d04b7e" /><Relationship Type="http://schemas.openxmlformats.org/officeDocument/2006/relationships/hyperlink" Target="https://assets.publishing.service.gov.uk/government/uploads/system/uploads/attachment_data/file/575632/Mental_health_of_children_in_England.pdf" TargetMode="External" Id="R17c7f00882264391" /><Relationship Type="http://schemas.openxmlformats.org/officeDocument/2006/relationships/hyperlink" Target="https://files.digital.nhs.uk/AF/AECD6B/mhcyp_2020_rep_v2.pdf" TargetMode="External" Id="R4e65f07f748d44b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Ivelina Parker (1921483)</dc:creator>
  <keywords/>
  <dc:description/>
  <lastModifiedBy>Ivelina Parker (1921483)</lastModifiedBy>
  <revision>7</revision>
  <dcterms:created xsi:type="dcterms:W3CDTF">2021-05-03T11:21:33.3823138Z</dcterms:created>
  <dcterms:modified xsi:type="dcterms:W3CDTF">2021-05-03T16:35:23.3674865Z</dcterms:modified>
</coreProperties>
</file>