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FF521" w14:textId="77777777" w:rsidR="009C04B1" w:rsidRPr="006F2A7F" w:rsidRDefault="00364C72" w:rsidP="006F2A7F">
      <w:pPr>
        <w:spacing w:line="480" w:lineRule="auto"/>
        <w:jc w:val="both"/>
        <w:rPr>
          <w:rFonts w:ascii="Times New Roman" w:hAnsi="Times New Roman" w:cs="Times New Roman"/>
          <w:b/>
          <w:bCs/>
          <w:sz w:val="24"/>
          <w:szCs w:val="24"/>
        </w:rPr>
      </w:pPr>
      <w:r w:rsidRPr="006F2A7F">
        <w:rPr>
          <w:rFonts w:ascii="Times New Roman" w:hAnsi="Times New Roman" w:cs="Times New Roman"/>
          <w:b/>
          <w:bCs/>
          <w:sz w:val="24"/>
          <w:szCs w:val="24"/>
        </w:rPr>
        <w:t>Critically Discuss the Approach of The Courts in Finding an Intention to Create Legal Relations, Within the Following Contexts: Domestic/Social, Commercial/Business, With Public Bodies</w:t>
      </w:r>
    </w:p>
    <w:p w14:paraId="299BF823" w14:textId="77777777" w:rsidR="009C04B1" w:rsidRPr="006F2A7F" w:rsidRDefault="009C04B1" w:rsidP="006F2A7F">
      <w:pPr>
        <w:spacing w:line="480" w:lineRule="auto"/>
        <w:jc w:val="both"/>
        <w:rPr>
          <w:rFonts w:ascii="Times New Roman" w:hAnsi="Times New Roman" w:cs="Times New Roman"/>
          <w:sz w:val="24"/>
          <w:szCs w:val="24"/>
        </w:rPr>
      </w:pPr>
    </w:p>
    <w:p w14:paraId="5F8B2803" w14:textId="77777777" w:rsidR="009C04B1" w:rsidRPr="006F2A7F" w:rsidRDefault="009C04B1" w:rsidP="006F2A7F">
      <w:pPr>
        <w:spacing w:line="480" w:lineRule="auto"/>
        <w:jc w:val="both"/>
        <w:rPr>
          <w:rFonts w:ascii="Times New Roman" w:hAnsi="Times New Roman" w:cs="Times New Roman"/>
          <w:sz w:val="24"/>
          <w:szCs w:val="24"/>
        </w:rPr>
      </w:pPr>
    </w:p>
    <w:p w14:paraId="788AD7FF" w14:textId="77777777" w:rsidR="009C04B1" w:rsidRPr="006F2A7F" w:rsidRDefault="009C04B1" w:rsidP="006F2A7F">
      <w:pPr>
        <w:spacing w:line="480" w:lineRule="auto"/>
        <w:jc w:val="both"/>
        <w:rPr>
          <w:rFonts w:ascii="Times New Roman" w:hAnsi="Times New Roman" w:cs="Times New Roman"/>
          <w:sz w:val="24"/>
          <w:szCs w:val="24"/>
        </w:rPr>
      </w:pPr>
    </w:p>
    <w:p w14:paraId="018D5AD6" w14:textId="77777777" w:rsidR="009C04B1" w:rsidRPr="006F2A7F" w:rsidRDefault="009C04B1" w:rsidP="006F2A7F">
      <w:pPr>
        <w:spacing w:line="480" w:lineRule="auto"/>
        <w:jc w:val="both"/>
        <w:rPr>
          <w:rFonts w:ascii="Times New Roman" w:hAnsi="Times New Roman" w:cs="Times New Roman"/>
          <w:sz w:val="24"/>
          <w:szCs w:val="24"/>
        </w:rPr>
      </w:pPr>
    </w:p>
    <w:p w14:paraId="26E26756" w14:textId="77777777" w:rsidR="009C04B1" w:rsidRPr="006F2A7F" w:rsidRDefault="009C04B1" w:rsidP="006F2A7F">
      <w:pPr>
        <w:spacing w:line="480" w:lineRule="auto"/>
        <w:jc w:val="both"/>
        <w:rPr>
          <w:rFonts w:ascii="Times New Roman" w:hAnsi="Times New Roman" w:cs="Times New Roman"/>
          <w:sz w:val="24"/>
          <w:szCs w:val="24"/>
        </w:rPr>
      </w:pPr>
    </w:p>
    <w:p w14:paraId="56A30C6F" w14:textId="77777777" w:rsidR="009C04B1" w:rsidRPr="006F2A7F" w:rsidRDefault="009C04B1" w:rsidP="006F2A7F">
      <w:pPr>
        <w:spacing w:line="480" w:lineRule="auto"/>
        <w:jc w:val="both"/>
        <w:rPr>
          <w:rFonts w:ascii="Times New Roman" w:hAnsi="Times New Roman" w:cs="Times New Roman"/>
          <w:sz w:val="24"/>
          <w:szCs w:val="24"/>
        </w:rPr>
      </w:pPr>
    </w:p>
    <w:p w14:paraId="4820DA86" w14:textId="77777777" w:rsidR="009C04B1" w:rsidRPr="006F2A7F" w:rsidRDefault="009C04B1" w:rsidP="006F2A7F">
      <w:pPr>
        <w:spacing w:line="480" w:lineRule="auto"/>
        <w:jc w:val="both"/>
        <w:rPr>
          <w:rFonts w:ascii="Times New Roman" w:hAnsi="Times New Roman" w:cs="Times New Roman"/>
          <w:sz w:val="24"/>
          <w:szCs w:val="24"/>
        </w:rPr>
      </w:pPr>
    </w:p>
    <w:p w14:paraId="2F6C20E5" w14:textId="77777777" w:rsidR="009C04B1" w:rsidRPr="006F2A7F" w:rsidRDefault="009C04B1" w:rsidP="006F2A7F">
      <w:pPr>
        <w:spacing w:line="480" w:lineRule="auto"/>
        <w:jc w:val="both"/>
        <w:rPr>
          <w:rFonts w:ascii="Times New Roman" w:hAnsi="Times New Roman" w:cs="Times New Roman"/>
          <w:sz w:val="24"/>
          <w:szCs w:val="24"/>
        </w:rPr>
      </w:pPr>
    </w:p>
    <w:p w14:paraId="6236BF57" w14:textId="77777777" w:rsidR="009C04B1" w:rsidRPr="006F2A7F" w:rsidRDefault="009C04B1" w:rsidP="006F2A7F">
      <w:pPr>
        <w:spacing w:line="480" w:lineRule="auto"/>
        <w:jc w:val="both"/>
        <w:rPr>
          <w:rFonts w:ascii="Times New Roman" w:hAnsi="Times New Roman" w:cs="Times New Roman"/>
          <w:sz w:val="24"/>
          <w:szCs w:val="24"/>
        </w:rPr>
      </w:pPr>
    </w:p>
    <w:p w14:paraId="695757C0" w14:textId="77777777" w:rsidR="009C04B1" w:rsidRPr="006F2A7F" w:rsidRDefault="009C04B1" w:rsidP="006F2A7F">
      <w:pPr>
        <w:spacing w:line="480" w:lineRule="auto"/>
        <w:jc w:val="both"/>
        <w:rPr>
          <w:rFonts w:ascii="Times New Roman" w:hAnsi="Times New Roman" w:cs="Times New Roman"/>
          <w:sz w:val="24"/>
          <w:szCs w:val="24"/>
        </w:rPr>
      </w:pPr>
    </w:p>
    <w:p w14:paraId="56CE5736" w14:textId="77777777" w:rsidR="009C04B1" w:rsidRPr="006F2A7F" w:rsidRDefault="009C04B1" w:rsidP="006F2A7F">
      <w:pPr>
        <w:spacing w:line="480" w:lineRule="auto"/>
        <w:jc w:val="both"/>
        <w:rPr>
          <w:rFonts w:ascii="Times New Roman" w:hAnsi="Times New Roman" w:cs="Times New Roman"/>
          <w:sz w:val="24"/>
          <w:szCs w:val="24"/>
        </w:rPr>
      </w:pPr>
    </w:p>
    <w:p w14:paraId="44F49320" w14:textId="77777777" w:rsidR="009C04B1" w:rsidRPr="006F2A7F" w:rsidRDefault="009C04B1" w:rsidP="006F2A7F">
      <w:pPr>
        <w:spacing w:line="480" w:lineRule="auto"/>
        <w:jc w:val="both"/>
        <w:rPr>
          <w:rFonts w:ascii="Times New Roman" w:hAnsi="Times New Roman" w:cs="Times New Roman"/>
          <w:sz w:val="24"/>
          <w:szCs w:val="24"/>
        </w:rPr>
      </w:pPr>
    </w:p>
    <w:p w14:paraId="75BD0AAA" w14:textId="77777777" w:rsidR="009C04B1" w:rsidRPr="006F2A7F" w:rsidRDefault="009C04B1" w:rsidP="006F2A7F">
      <w:pPr>
        <w:spacing w:line="480" w:lineRule="auto"/>
        <w:jc w:val="both"/>
        <w:rPr>
          <w:rFonts w:ascii="Times New Roman" w:hAnsi="Times New Roman" w:cs="Times New Roman"/>
          <w:sz w:val="24"/>
          <w:szCs w:val="24"/>
        </w:rPr>
      </w:pPr>
    </w:p>
    <w:p w14:paraId="704F0601" w14:textId="77777777" w:rsidR="009C04B1" w:rsidRPr="006F2A7F" w:rsidRDefault="009C04B1" w:rsidP="006F2A7F">
      <w:pPr>
        <w:spacing w:line="480" w:lineRule="auto"/>
        <w:jc w:val="both"/>
        <w:rPr>
          <w:rFonts w:ascii="Times New Roman" w:hAnsi="Times New Roman" w:cs="Times New Roman"/>
          <w:sz w:val="24"/>
          <w:szCs w:val="24"/>
        </w:rPr>
      </w:pPr>
    </w:p>
    <w:p w14:paraId="22A64415" w14:textId="77777777" w:rsidR="009C04B1" w:rsidRPr="006F2A7F" w:rsidRDefault="009C04B1" w:rsidP="006F2A7F">
      <w:pPr>
        <w:spacing w:line="480" w:lineRule="auto"/>
        <w:jc w:val="both"/>
        <w:rPr>
          <w:rFonts w:ascii="Times New Roman" w:hAnsi="Times New Roman" w:cs="Times New Roman"/>
          <w:sz w:val="24"/>
          <w:szCs w:val="24"/>
        </w:rPr>
      </w:pPr>
    </w:p>
    <w:p w14:paraId="5F8EACDF" w14:textId="24123A00" w:rsidR="009C04B1" w:rsidRPr="006F2A7F"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lastRenderedPageBreak/>
        <w:t xml:space="preserve">Intention to create legal relations is considered to be one of the essential of legal and enforceable contract. It denotes that all contracting parties should accept terms and conditions of the contract with an aim of building legally binding relationship. Parties should intend to create legal relations. This means that for valid contract to be constituted, an offer should be made and accepted with an aim of creating legal </w:t>
      </w:r>
      <w:r w:rsidR="001A40B2" w:rsidRPr="006F2A7F">
        <w:rPr>
          <w:rFonts w:ascii="Times New Roman" w:hAnsi="Times New Roman" w:cs="Times New Roman"/>
          <w:sz w:val="24"/>
          <w:szCs w:val="24"/>
        </w:rPr>
        <w:t>relations</w:t>
      </w:r>
      <w:r w:rsidR="001A40B2" w:rsidRPr="006F2A7F">
        <w:rPr>
          <w:rFonts w:ascii="Times New Roman" w:hAnsi="Times New Roman" w:cs="Times New Roman"/>
          <w:sz w:val="24"/>
          <w:szCs w:val="24"/>
          <w:shd w:val="clear" w:color="auto" w:fill="FFFFFF"/>
        </w:rPr>
        <w:t>. Nevertheless</w:t>
      </w:r>
      <w:r w:rsidRPr="006F2A7F">
        <w:rPr>
          <w:rFonts w:ascii="Times New Roman" w:hAnsi="Times New Roman" w:cs="Times New Roman"/>
          <w:sz w:val="24"/>
          <w:szCs w:val="24"/>
        </w:rPr>
        <w:t>, it is not essentially to have apparent or real intention to form legal relations. It is normally interpreted from behaviors of the parties. If parties to contract express the intent that the agreement terms wouldn’t affect their legal relations, it might prevent forming an enforceable contract</w:t>
      </w:r>
      <w:r w:rsidR="00AB4D06">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39237599"/>
          <w:citation/>
        </w:sdtPr>
        <w:sdtEndPr/>
        <w:sdtContent>
          <w:r w:rsidR="00AB4D06">
            <w:rPr>
              <w:rFonts w:ascii="Times New Roman" w:hAnsi="Times New Roman" w:cs="Times New Roman"/>
              <w:sz w:val="24"/>
              <w:szCs w:val="24"/>
              <w:shd w:val="clear" w:color="auto" w:fill="FFFFFF"/>
            </w:rPr>
            <w:fldChar w:fldCharType="begin"/>
          </w:r>
          <w:r w:rsidR="00AB4D06">
            <w:rPr>
              <w:rFonts w:ascii="Times New Roman" w:hAnsi="Times New Roman" w:cs="Times New Roman"/>
              <w:sz w:val="24"/>
              <w:szCs w:val="24"/>
              <w:shd w:val="clear" w:color="auto" w:fill="FFFFFF"/>
              <w:lang w:val="en-GB"/>
            </w:rPr>
            <w:instrText xml:space="preserve"> CITATION Arc20 \l 2057 </w:instrText>
          </w:r>
          <w:r w:rsidR="00AB4D06">
            <w:rPr>
              <w:rFonts w:ascii="Times New Roman" w:hAnsi="Times New Roman" w:cs="Times New Roman"/>
              <w:sz w:val="24"/>
              <w:szCs w:val="24"/>
              <w:shd w:val="clear" w:color="auto" w:fill="FFFFFF"/>
            </w:rPr>
            <w:fldChar w:fldCharType="separate"/>
          </w:r>
          <w:r w:rsidR="00AB4D06" w:rsidRPr="00AB4D06">
            <w:rPr>
              <w:rFonts w:ascii="Times New Roman" w:hAnsi="Times New Roman" w:cs="Times New Roman"/>
              <w:noProof/>
              <w:sz w:val="24"/>
              <w:szCs w:val="24"/>
              <w:shd w:val="clear" w:color="auto" w:fill="FFFFFF"/>
              <w:lang w:val="en-GB"/>
            </w:rPr>
            <w:t>(Archibong, 2020)</w:t>
          </w:r>
          <w:r w:rsidR="00AB4D06">
            <w:rPr>
              <w:rFonts w:ascii="Times New Roman" w:hAnsi="Times New Roman" w:cs="Times New Roman"/>
              <w:sz w:val="24"/>
              <w:szCs w:val="24"/>
              <w:shd w:val="clear" w:color="auto" w:fill="FFFFFF"/>
            </w:rPr>
            <w:fldChar w:fldCharType="end"/>
          </w:r>
        </w:sdtContent>
      </w:sdt>
    </w:p>
    <w:p w14:paraId="7F8ADFA5" w14:textId="66E2E5D0" w:rsidR="009C04B1" w:rsidRPr="006F2A7F"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At some point, parties might agree that they would</w:t>
      </w:r>
      <w:r w:rsidR="00DA7A80">
        <w:rPr>
          <w:rFonts w:ascii="Times New Roman" w:hAnsi="Times New Roman" w:cs="Times New Roman"/>
          <w:sz w:val="24"/>
          <w:szCs w:val="24"/>
        </w:rPr>
        <w:t xml:space="preserve"> not </w:t>
      </w:r>
      <w:r w:rsidRPr="006F2A7F">
        <w:rPr>
          <w:rFonts w:ascii="Times New Roman" w:hAnsi="Times New Roman" w:cs="Times New Roman"/>
          <w:sz w:val="24"/>
          <w:szCs w:val="24"/>
        </w:rPr>
        <w:t xml:space="preserve">be legally bound. Courts normally respect those terms lest the contract stand invalid because of some reasons. Nevertheless, agreements of this kind might make it hard to construe the nature of promise </w:t>
      </w:r>
      <w:sdt>
        <w:sdtPr>
          <w:rPr>
            <w:rFonts w:ascii="Times New Roman" w:hAnsi="Times New Roman" w:cs="Times New Roman"/>
            <w:sz w:val="24"/>
            <w:szCs w:val="24"/>
          </w:rPr>
          <w:id w:val="-1813161201"/>
          <w:citation/>
        </w:sdtPr>
        <w:sdtEndPr/>
        <w:sdtContent>
          <w:r w:rsidR="00094FFB">
            <w:rPr>
              <w:rFonts w:ascii="Times New Roman" w:hAnsi="Times New Roman" w:cs="Times New Roman"/>
              <w:sz w:val="24"/>
              <w:szCs w:val="24"/>
            </w:rPr>
            <w:fldChar w:fldCharType="begin"/>
          </w:r>
          <w:r w:rsidR="00A95255">
            <w:rPr>
              <w:rFonts w:ascii="Times New Roman" w:hAnsi="Times New Roman" w:cs="Times New Roman"/>
              <w:sz w:val="24"/>
              <w:szCs w:val="24"/>
              <w:lang w:val="en-GB"/>
            </w:rPr>
            <w:instrText xml:space="preserve">CITATION kha \l 2057 </w:instrText>
          </w:r>
          <w:r w:rsidR="00094FFB">
            <w:rPr>
              <w:rFonts w:ascii="Times New Roman" w:hAnsi="Times New Roman" w:cs="Times New Roman"/>
              <w:sz w:val="24"/>
              <w:szCs w:val="24"/>
            </w:rPr>
            <w:fldChar w:fldCharType="separate"/>
          </w:r>
          <w:r w:rsidR="00A95255" w:rsidRPr="00A95255">
            <w:rPr>
              <w:rFonts w:ascii="Times New Roman" w:hAnsi="Times New Roman" w:cs="Times New Roman"/>
              <w:noProof/>
              <w:sz w:val="24"/>
              <w:szCs w:val="24"/>
              <w:lang w:val="en-GB"/>
            </w:rPr>
            <w:t>(khan, 2019)</w:t>
          </w:r>
          <w:r w:rsidR="00094FFB">
            <w:rPr>
              <w:rFonts w:ascii="Times New Roman" w:hAnsi="Times New Roman" w:cs="Times New Roman"/>
              <w:sz w:val="24"/>
              <w:szCs w:val="24"/>
            </w:rPr>
            <w:fldChar w:fldCharType="end"/>
          </w:r>
        </w:sdtContent>
      </w:sdt>
      <w:r w:rsidRPr="006F2A7F">
        <w:rPr>
          <w:rFonts w:ascii="Times New Roman" w:hAnsi="Times New Roman" w:cs="Times New Roman"/>
          <w:sz w:val="24"/>
          <w:szCs w:val="24"/>
        </w:rPr>
        <w:t>. Intent to create legal relation is vital because it shows the intent of parties to enter into a lawfully binding agreement</w:t>
      </w:r>
      <w:r w:rsidR="00D36FDE">
        <w:rPr>
          <w:rFonts w:ascii="Times New Roman" w:hAnsi="Times New Roman" w:cs="Times New Roman"/>
          <w:sz w:val="24"/>
          <w:szCs w:val="24"/>
          <w:shd w:val="clear" w:color="auto" w:fill="FFFFFF"/>
        </w:rPr>
        <w:t xml:space="preserve">. </w:t>
      </w:r>
      <w:r w:rsidRPr="006F2A7F">
        <w:rPr>
          <w:rFonts w:ascii="Times New Roman" w:hAnsi="Times New Roman" w:cs="Times New Roman"/>
          <w:sz w:val="24"/>
          <w:szCs w:val="24"/>
        </w:rPr>
        <w:t xml:space="preserve">It demonstrates that parties are prepared to accept legal results of the agreement meaning they are serious about it. </w:t>
      </w:r>
    </w:p>
    <w:p w14:paraId="0DB2A7B8" w14:textId="676B5748" w:rsidR="009C04B1" w:rsidRPr="006F2A7F"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The benefits of creating legal relations include the following. without the intent of creating legal relationships, the contracting parties can</w:t>
      </w:r>
      <w:r w:rsidR="008E4214">
        <w:rPr>
          <w:rFonts w:ascii="Times New Roman" w:hAnsi="Times New Roman" w:cs="Times New Roman"/>
          <w:sz w:val="24"/>
          <w:szCs w:val="24"/>
        </w:rPr>
        <w:t>not</w:t>
      </w:r>
      <w:r w:rsidRPr="006F2A7F">
        <w:rPr>
          <w:rFonts w:ascii="Times New Roman" w:hAnsi="Times New Roman" w:cs="Times New Roman"/>
          <w:sz w:val="24"/>
          <w:szCs w:val="24"/>
        </w:rPr>
        <w:t xml:space="preserve"> sue for contract enforcement, which might result in business crises and unjust situations. Lack of intent to create legal relationship decreases the binding effect to the contract. It makes contracts unpowerful and parties are likely not to keep their promises. Lack of intent to create legal relations makes a contract unenforceable in law and when the contracting parties have the intention of </w:t>
      </w:r>
      <w:r w:rsidR="00987CFC" w:rsidRPr="006F2A7F">
        <w:rPr>
          <w:rFonts w:ascii="Times New Roman" w:hAnsi="Times New Roman" w:cs="Times New Roman"/>
          <w:sz w:val="24"/>
          <w:szCs w:val="24"/>
        </w:rPr>
        <w:t>entering</w:t>
      </w:r>
      <w:r w:rsidRPr="006F2A7F">
        <w:rPr>
          <w:rFonts w:ascii="Times New Roman" w:hAnsi="Times New Roman" w:cs="Times New Roman"/>
          <w:sz w:val="24"/>
          <w:szCs w:val="24"/>
        </w:rPr>
        <w:t xml:space="preserve"> legal relation, they shall try to understand contractual terms </w:t>
      </w:r>
      <w:sdt>
        <w:sdtPr>
          <w:rPr>
            <w:rFonts w:ascii="Times New Roman" w:hAnsi="Times New Roman" w:cs="Times New Roman"/>
            <w:sz w:val="24"/>
            <w:szCs w:val="24"/>
          </w:rPr>
          <w:id w:val="582261297"/>
          <w:citation/>
        </w:sdtPr>
        <w:sdtEndPr/>
        <w:sdtContent>
          <w:r w:rsidR="00987CFC">
            <w:rPr>
              <w:rFonts w:ascii="Times New Roman" w:hAnsi="Times New Roman" w:cs="Times New Roman"/>
              <w:sz w:val="24"/>
              <w:szCs w:val="24"/>
            </w:rPr>
            <w:fldChar w:fldCharType="begin"/>
          </w:r>
          <w:r w:rsidR="00987CFC">
            <w:rPr>
              <w:rFonts w:ascii="Times New Roman" w:hAnsi="Times New Roman" w:cs="Times New Roman"/>
              <w:sz w:val="24"/>
              <w:szCs w:val="24"/>
              <w:lang w:val="en-GB"/>
            </w:rPr>
            <w:instrText xml:space="preserve"> CITATION kha \l 2057 </w:instrText>
          </w:r>
          <w:r w:rsidR="00987CFC">
            <w:rPr>
              <w:rFonts w:ascii="Times New Roman" w:hAnsi="Times New Roman" w:cs="Times New Roman"/>
              <w:sz w:val="24"/>
              <w:szCs w:val="24"/>
            </w:rPr>
            <w:fldChar w:fldCharType="separate"/>
          </w:r>
          <w:r w:rsidR="00987CFC" w:rsidRPr="00987CFC">
            <w:rPr>
              <w:rFonts w:ascii="Times New Roman" w:hAnsi="Times New Roman" w:cs="Times New Roman"/>
              <w:noProof/>
              <w:sz w:val="24"/>
              <w:szCs w:val="24"/>
              <w:lang w:val="en-GB"/>
            </w:rPr>
            <w:t>(khan, 2019)</w:t>
          </w:r>
          <w:r w:rsidR="00987CFC">
            <w:rPr>
              <w:rFonts w:ascii="Times New Roman" w:hAnsi="Times New Roman" w:cs="Times New Roman"/>
              <w:sz w:val="24"/>
              <w:szCs w:val="24"/>
            </w:rPr>
            <w:fldChar w:fldCharType="end"/>
          </w:r>
        </w:sdtContent>
      </w:sdt>
    </w:p>
    <w:p w14:paraId="51E13B41" w14:textId="189D41CD" w:rsidR="00151690"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 xml:space="preserve">A contract legally binds the parties meaning it is a legally binding agreement. After the acceptance of offer, there is an agreement but not essentially a contract. The element that helps to convert </w:t>
      </w:r>
      <w:r w:rsidRPr="006F2A7F">
        <w:rPr>
          <w:rFonts w:ascii="Times New Roman" w:hAnsi="Times New Roman" w:cs="Times New Roman"/>
          <w:sz w:val="24"/>
          <w:szCs w:val="24"/>
        </w:rPr>
        <w:lastRenderedPageBreak/>
        <w:t>agreement into a valid contract is the intent to create legal relations</w:t>
      </w:r>
      <w:bookmarkStart w:id="0" w:name="_Hlk128573247"/>
      <w:r w:rsidR="006B4FA1">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77154722"/>
          <w:citation/>
        </w:sdtPr>
        <w:sdtEndPr/>
        <w:sdtContent>
          <w:r w:rsidR="006B4FA1">
            <w:rPr>
              <w:rFonts w:ascii="Times New Roman" w:hAnsi="Times New Roman" w:cs="Times New Roman"/>
              <w:sz w:val="24"/>
              <w:szCs w:val="24"/>
              <w:shd w:val="clear" w:color="auto" w:fill="FFFFFF"/>
            </w:rPr>
            <w:fldChar w:fldCharType="begin"/>
          </w:r>
          <w:r w:rsidR="006B4FA1">
            <w:rPr>
              <w:rFonts w:ascii="Times New Roman" w:hAnsi="Times New Roman" w:cs="Times New Roman"/>
              <w:sz w:val="24"/>
              <w:szCs w:val="24"/>
              <w:shd w:val="clear" w:color="auto" w:fill="FFFFFF"/>
              <w:lang w:val="en-GB"/>
            </w:rPr>
            <w:instrText xml:space="preserve"> CITATION OSu20 \l 2057 </w:instrText>
          </w:r>
          <w:r w:rsidR="006B4FA1">
            <w:rPr>
              <w:rFonts w:ascii="Times New Roman" w:hAnsi="Times New Roman" w:cs="Times New Roman"/>
              <w:sz w:val="24"/>
              <w:szCs w:val="24"/>
              <w:shd w:val="clear" w:color="auto" w:fill="FFFFFF"/>
            </w:rPr>
            <w:fldChar w:fldCharType="separate"/>
          </w:r>
          <w:r w:rsidR="006B4FA1" w:rsidRPr="006B4FA1">
            <w:rPr>
              <w:rFonts w:ascii="Times New Roman" w:hAnsi="Times New Roman" w:cs="Times New Roman"/>
              <w:noProof/>
              <w:sz w:val="24"/>
              <w:szCs w:val="24"/>
              <w:shd w:val="clear" w:color="auto" w:fill="FFFFFF"/>
              <w:lang w:val="en-GB"/>
            </w:rPr>
            <w:t>(O'Sullivan, 2020)</w:t>
          </w:r>
          <w:r w:rsidR="006B4FA1">
            <w:rPr>
              <w:rFonts w:ascii="Times New Roman" w:hAnsi="Times New Roman" w:cs="Times New Roman"/>
              <w:sz w:val="24"/>
              <w:szCs w:val="24"/>
              <w:shd w:val="clear" w:color="auto" w:fill="FFFFFF"/>
            </w:rPr>
            <w:fldChar w:fldCharType="end"/>
          </w:r>
        </w:sdtContent>
      </w:sdt>
      <w:r w:rsidRPr="006F2A7F">
        <w:rPr>
          <w:rFonts w:ascii="Times New Roman" w:hAnsi="Times New Roman" w:cs="Times New Roman"/>
          <w:sz w:val="24"/>
          <w:szCs w:val="24"/>
        </w:rPr>
        <w:t xml:space="preserve">. </w:t>
      </w:r>
      <w:bookmarkEnd w:id="0"/>
      <w:r w:rsidRPr="006F2A7F">
        <w:rPr>
          <w:rFonts w:ascii="Times New Roman" w:hAnsi="Times New Roman" w:cs="Times New Roman"/>
          <w:sz w:val="24"/>
          <w:szCs w:val="24"/>
        </w:rPr>
        <w:t xml:space="preserve">There ought to evidence that parties had the intention of entering into agreement to be subject to contract law. If the intention of the evidence is found, the agreement gives rise to legal obligations where a party that breaches terms of contract might be sued </w:t>
      </w:r>
      <w:sdt>
        <w:sdtPr>
          <w:rPr>
            <w:rFonts w:ascii="Times New Roman" w:hAnsi="Times New Roman" w:cs="Times New Roman"/>
            <w:sz w:val="24"/>
            <w:szCs w:val="24"/>
          </w:rPr>
          <w:id w:val="-953631007"/>
          <w:citation/>
        </w:sdtPr>
        <w:sdtEndPr/>
        <w:sdtContent>
          <w:r w:rsidR="00B76332">
            <w:rPr>
              <w:rFonts w:ascii="Times New Roman" w:hAnsi="Times New Roman" w:cs="Times New Roman"/>
              <w:sz w:val="24"/>
              <w:szCs w:val="24"/>
            </w:rPr>
            <w:fldChar w:fldCharType="begin"/>
          </w:r>
          <w:r w:rsidR="00B76332">
            <w:rPr>
              <w:rFonts w:ascii="Times New Roman" w:hAnsi="Times New Roman" w:cs="Times New Roman"/>
              <w:sz w:val="24"/>
              <w:szCs w:val="24"/>
              <w:lang w:val="en-GB"/>
            </w:rPr>
            <w:instrText xml:space="preserve"> CITATION Dix13 \l 2057 </w:instrText>
          </w:r>
          <w:r w:rsidR="00B76332">
            <w:rPr>
              <w:rFonts w:ascii="Times New Roman" w:hAnsi="Times New Roman" w:cs="Times New Roman"/>
              <w:sz w:val="24"/>
              <w:szCs w:val="24"/>
            </w:rPr>
            <w:fldChar w:fldCharType="separate"/>
          </w:r>
          <w:r w:rsidR="00B76332" w:rsidRPr="00B76332">
            <w:rPr>
              <w:rFonts w:ascii="Times New Roman" w:hAnsi="Times New Roman" w:cs="Times New Roman"/>
              <w:noProof/>
              <w:sz w:val="24"/>
              <w:szCs w:val="24"/>
              <w:lang w:val="en-GB"/>
            </w:rPr>
            <w:t>(Dixon, 2013)</w:t>
          </w:r>
          <w:r w:rsidR="00B76332">
            <w:rPr>
              <w:rFonts w:ascii="Times New Roman" w:hAnsi="Times New Roman" w:cs="Times New Roman"/>
              <w:sz w:val="24"/>
              <w:szCs w:val="24"/>
            </w:rPr>
            <w:fldChar w:fldCharType="end"/>
          </w:r>
        </w:sdtContent>
      </w:sdt>
      <w:r w:rsidR="00CC12B7" w:rsidRPr="006F2A7F">
        <w:rPr>
          <w:rFonts w:ascii="Times New Roman" w:hAnsi="Times New Roman" w:cs="Times New Roman"/>
          <w:sz w:val="24"/>
          <w:szCs w:val="24"/>
          <w:shd w:val="clear" w:color="auto" w:fill="FFFFFF"/>
        </w:rPr>
        <w:t xml:space="preserve">. </w:t>
      </w:r>
    </w:p>
    <w:p w14:paraId="65167555" w14:textId="77777777" w:rsidR="00151690" w:rsidRP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Social Agreements</w:t>
      </w:r>
    </w:p>
    <w:p w14:paraId="66ADD384" w14:textId="74D9A5DB" w:rsidR="002B55CB"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 xml:space="preserve">In social or domestic agreements courts don’t assume the intention to create legal relation. The case being decided mainly </w:t>
      </w:r>
      <w:r w:rsidR="008E4214" w:rsidRPr="00151690">
        <w:rPr>
          <w:rFonts w:ascii="Times New Roman" w:hAnsi="Times New Roman" w:cs="Times New Roman"/>
          <w:sz w:val="24"/>
          <w:szCs w:val="24"/>
        </w:rPr>
        <w:t>to rely</w:t>
      </w:r>
      <w:r w:rsidRPr="00151690">
        <w:rPr>
          <w:rFonts w:ascii="Times New Roman" w:hAnsi="Times New Roman" w:cs="Times New Roman"/>
          <w:sz w:val="24"/>
          <w:szCs w:val="24"/>
        </w:rPr>
        <w:t xml:space="preserve"> on merits</w:t>
      </w:r>
      <w:r w:rsidR="007D1842">
        <w:rPr>
          <w:rFonts w:ascii="Times New Roman" w:hAnsi="Times New Roman" w:cs="Times New Roman"/>
          <w:sz w:val="24"/>
          <w:szCs w:val="24"/>
        </w:rPr>
        <w:t xml:space="preserve">. </w:t>
      </w:r>
      <w:r w:rsidRPr="00151690">
        <w:rPr>
          <w:rFonts w:ascii="Times New Roman" w:hAnsi="Times New Roman" w:cs="Times New Roman"/>
          <w:sz w:val="24"/>
          <w:szCs w:val="24"/>
        </w:rPr>
        <w:t xml:space="preserve">Even though several sources consider domestic and social agreements as one category, it is imperative to consider family agreements as a group distinct from social agreement, since the later invokes no assumption and objective test does not apply. </w:t>
      </w:r>
    </w:p>
    <w:p w14:paraId="01E80F69" w14:textId="047CEA5A" w:rsidR="00151690" w:rsidRP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In MIB v Coward, the appellate court ruled that when the motorcyclist frequently gave the acquaintance a pillion lift in return for remuneration in-kind or cash, there was no agreement. Later, in MIB v Connell a case with substantially same facts, Denning Lord (breaching the rule that the appellate court was bound by its decision) stated that he was not satisfied by the Coward’s decision. This is because when an individual frequently gives a lift to the other one in return for money, there is an agreement/contract, even though informal</w:t>
      </w:r>
      <w:r w:rsidR="00E54630">
        <w:rPr>
          <w:rFonts w:ascii="Times New Roman" w:hAnsi="Times New Roman" w:cs="Times New Roman"/>
          <w:sz w:val="24"/>
          <w:szCs w:val="24"/>
        </w:rPr>
        <w:t xml:space="preserve"> </w:t>
      </w:r>
      <w:sdt>
        <w:sdtPr>
          <w:rPr>
            <w:rFonts w:ascii="Times New Roman" w:hAnsi="Times New Roman" w:cs="Times New Roman"/>
            <w:sz w:val="24"/>
            <w:szCs w:val="24"/>
          </w:rPr>
          <w:id w:val="2008711806"/>
          <w:citation/>
        </w:sdtPr>
        <w:sdtEndPr/>
        <w:sdtContent>
          <w:r w:rsidR="00785C33">
            <w:rPr>
              <w:rFonts w:ascii="Times New Roman" w:hAnsi="Times New Roman" w:cs="Times New Roman"/>
              <w:sz w:val="24"/>
              <w:szCs w:val="24"/>
            </w:rPr>
            <w:fldChar w:fldCharType="begin"/>
          </w:r>
          <w:r w:rsidR="00785C33">
            <w:rPr>
              <w:rFonts w:ascii="Times New Roman" w:hAnsi="Times New Roman" w:cs="Times New Roman"/>
              <w:sz w:val="24"/>
              <w:szCs w:val="24"/>
              <w:lang w:val="en-GB"/>
            </w:rPr>
            <w:instrText xml:space="preserve"> CITATION Cow63 \l 2057 </w:instrText>
          </w:r>
          <w:r w:rsidR="00785C33">
            <w:rPr>
              <w:rFonts w:ascii="Times New Roman" w:hAnsi="Times New Roman" w:cs="Times New Roman"/>
              <w:sz w:val="24"/>
              <w:szCs w:val="24"/>
            </w:rPr>
            <w:fldChar w:fldCharType="separate"/>
          </w:r>
          <w:r w:rsidR="00785C33" w:rsidRPr="00785C33">
            <w:rPr>
              <w:rFonts w:ascii="Times New Roman" w:hAnsi="Times New Roman" w:cs="Times New Roman"/>
              <w:noProof/>
              <w:sz w:val="24"/>
              <w:szCs w:val="24"/>
              <w:lang w:val="en-GB"/>
            </w:rPr>
            <w:t>(Coward v MIB, 1963)</w:t>
          </w:r>
          <w:r w:rsidR="00785C33">
            <w:rPr>
              <w:rFonts w:ascii="Times New Roman" w:hAnsi="Times New Roman" w:cs="Times New Roman"/>
              <w:sz w:val="24"/>
              <w:szCs w:val="24"/>
            </w:rPr>
            <w:fldChar w:fldCharType="end"/>
          </w:r>
        </w:sdtContent>
      </w:sdt>
      <w:r w:rsidRPr="00151690">
        <w:rPr>
          <w:rFonts w:ascii="Times New Roman" w:hAnsi="Times New Roman" w:cs="Times New Roman"/>
          <w:sz w:val="24"/>
          <w:szCs w:val="24"/>
        </w:rPr>
        <w:t xml:space="preserve">. </w:t>
      </w:r>
    </w:p>
    <w:p w14:paraId="3EA3E3AB" w14:textId="4EBF726D" w:rsid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 xml:space="preserve">In the case </w:t>
      </w:r>
      <w:r w:rsidR="006F3F09" w:rsidRPr="00151690">
        <w:rPr>
          <w:rFonts w:ascii="Times New Roman" w:hAnsi="Times New Roman" w:cs="Times New Roman"/>
          <w:sz w:val="24"/>
          <w:szCs w:val="24"/>
        </w:rPr>
        <w:t>of</w:t>
      </w:r>
      <w:r w:rsidR="006F3F09">
        <w:rPr>
          <w:rFonts w:ascii="Times New Roman" w:hAnsi="Times New Roman" w:cs="Times New Roman"/>
          <w:sz w:val="24"/>
          <w:szCs w:val="24"/>
        </w:rPr>
        <w:t xml:space="preserve"> </w:t>
      </w:r>
      <w:r w:rsidR="006F3F09" w:rsidRPr="00151690">
        <w:rPr>
          <w:rFonts w:ascii="Times New Roman" w:hAnsi="Times New Roman" w:cs="Times New Roman"/>
          <w:sz w:val="24"/>
          <w:szCs w:val="24"/>
        </w:rPr>
        <w:t>Balfour</w:t>
      </w:r>
      <w:r w:rsidRPr="00151690">
        <w:rPr>
          <w:rFonts w:ascii="Times New Roman" w:hAnsi="Times New Roman" w:cs="Times New Roman"/>
          <w:sz w:val="24"/>
          <w:szCs w:val="24"/>
        </w:rPr>
        <w:t xml:space="preserve"> v</w:t>
      </w:r>
      <w:r w:rsidR="0038091F">
        <w:rPr>
          <w:rFonts w:ascii="Times New Roman" w:hAnsi="Times New Roman" w:cs="Times New Roman"/>
          <w:sz w:val="24"/>
          <w:szCs w:val="24"/>
        </w:rPr>
        <w:t>.</w:t>
      </w:r>
      <w:r w:rsidRPr="00151690">
        <w:rPr>
          <w:rFonts w:ascii="Times New Roman" w:hAnsi="Times New Roman" w:cs="Times New Roman"/>
          <w:sz w:val="24"/>
          <w:szCs w:val="24"/>
        </w:rPr>
        <w:t xml:space="preserve"> Balfour</w:t>
      </w:r>
      <w:r w:rsidR="009A7427">
        <w:rPr>
          <w:rFonts w:ascii="Times New Roman" w:hAnsi="Times New Roman" w:cs="Times New Roman"/>
          <w:sz w:val="24"/>
          <w:szCs w:val="24"/>
        </w:rPr>
        <w:t xml:space="preserve"> in 1919</w:t>
      </w:r>
      <w:r w:rsidRPr="00151690">
        <w:rPr>
          <w:rFonts w:ascii="Times New Roman" w:hAnsi="Times New Roman" w:cs="Times New Roman"/>
          <w:sz w:val="24"/>
          <w:szCs w:val="24"/>
        </w:rPr>
        <w:t xml:space="preserve">, </w:t>
      </w:r>
      <w:r w:rsidR="009A7427">
        <w:rPr>
          <w:rFonts w:ascii="Times New Roman" w:hAnsi="Times New Roman" w:cs="Times New Roman"/>
          <w:sz w:val="24"/>
          <w:szCs w:val="24"/>
        </w:rPr>
        <w:t>both were married couple</w:t>
      </w:r>
      <w:r w:rsidR="006F3F09">
        <w:rPr>
          <w:rFonts w:ascii="Times New Roman" w:hAnsi="Times New Roman" w:cs="Times New Roman"/>
          <w:sz w:val="24"/>
          <w:szCs w:val="24"/>
        </w:rPr>
        <w:t>. T</w:t>
      </w:r>
      <w:r w:rsidR="009A7427">
        <w:rPr>
          <w:rFonts w:ascii="Times New Roman" w:hAnsi="Times New Roman" w:cs="Times New Roman"/>
          <w:sz w:val="24"/>
          <w:szCs w:val="24"/>
        </w:rPr>
        <w:t>he</w:t>
      </w:r>
      <w:r w:rsidRPr="00151690">
        <w:rPr>
          <w:rFonts w:ascii="Times New Roman" w:hAnsi="Times New Roman" w:cs="Times New Roman"/>
          <w:sz w:val="24"/>
          <w:szCs w:val="24"/>
        </w:rPr>
        <w:t xml:space="preserve"> husband </w:t>
      </w:r>
      <w:r w:rsidR="009A7427">
        <w:rPr>
          <w:rFonts w:ascii="Times New Roman" w:hAnsi="Times New Roman" w:cs="Times New Roman"/>
          <w:sz w:val="24"/>
          <w:szCs w:val="24"/>
        </w:rPr>
        <w:t xml:space="preserve">was the </w:t>
      </w:r>
      <w:r w:rsidR="006F3F09">
        <w:rPr>
          <w:rFonts w:ascii="Times New Roman" w:hAnsi="Times New Roman" w:cs="Times New Roman"/>
          <w:sz w:val="24"/>
          <w:szCs w:val="24"/>
        </w:rPr>
        <w:t>defendant,</w:t>
      </w:r>
      <w:r w:rsidR="009A7427">
        <w:rPr>
          <w:rFonts w:ascii="Times New Roman" w:hAnsi="Times New Roman" w:cs="Times New Roman"/>
          <w:sz w:val="24"/>
          <w:szCs w:val="24"/>
        </w:rPr>
        <w:t xml:space="preserve"> </w:t>
      </w:r>
      <w:r w:rsidR="006F3F09">
        <w:rPr>
          <w:rFonts w:ascii="Times New Roman" w:hAnsi="Times New Roman" w:cs="Times New Roman"/>
          <w:sz w:val="24"/>
          <w:szCs w:val="24"/>
        </w:rPr>
        <w:t>and the wife was the plaintiff. According to the wife, the defendant has orally promised her to pay allowance of</w:t>
      </w:r>
      <w:r w:rsidRPr="00151690">
        <w:rPr>
          <w:rFonts w:ascii="Times New Roman" w:hAnsi="Times New Roman" w:cs="Times New Roman"/>
          <w:sz w:val="24"/>
          <w:szCs w:val="24"/>
        </w:rPr>
        <w:t xml:space="preserve"> 30 Ste</w:t>
      </w:r>
      <w:r w:rsidR="00C638C5">
        <w:rPr>
          <w:rFonts w:ascii="Times New Roman" w:hAnsi="Times New Roman" w:cs="Times New Roman"/>
          <w:sz w:val="24"/>
          <w:szCs w:val="24"/>
        </w:rPr>
        <w:t>rl</w:t>
      </w:r>
      <w:r w:rsidRPr="00151690">
        <w:rPr>
          <w:rFonts w:ascii="Times New Roman" w:hAnsi="Times New Roman" w:cs="Times New Roman"/>
          <w:sz w:val="24"/>
          <w:szCs w:val="24"/>
        </w:rPr>
        <w:t>ing pound per month</w:t>
      </w:r>
      <w:r w:rsidR="006F3F09">
        <w:rPr>
          <w:rFonts w:ascii="Times New Roman" w:hAnsi="Times New Roman" w:cs="Times New Roman"/>
          <w:sz w:val="24"/>
          <w:szCs w:val="24"/>
        </w:rPr>
        <w:t xml:space="preserve"> until she </w:t>
      </w:r>
      <w:r w:rsidR="003838A9">
        <w:rPr>
          <w:rFonts w:ascii="Times New Roman" w:hAnsi="Times New Roman" w:cs="Times New Roman"/>
          <w:sz w:val="24"/>
          <w:szCs w:val="24"/>
        </w:rPr>
        <w:t>returns</w:t>
      </w:r>
      <w:r w:rsidR="006F3F09">
        <w:rPr>
          <w:rFonts w:ascii="Times New Roman" w:hAnsi="Times New Roman" w:cs="Times New Roman"/>
          <w:sz w:val="24"/>
          <w:szCs w:val="24"/>
        </w:rPr>
        <w:t xml:space="preserve"> to Ceylon (now Sri Lanka) where they lived</w:t>
      </w:r>
      <w:r w:rsidR="003838A9">
        <w:rPr>
          <w:rFonts w:ascii="Times New Roman" w:hAnsi="Times New Roman" w:cs="Times New Roman"/>
          <w:sz w:val="24"/>
          <w:szCs w:val="24"/>
        </w:rPr>
        <w:t xml:space="preserve"> therefore t</w:t>
      </w:r>
      <w:r w:rsidRPr="00151690">
        <w:rPr>
          <w:rFonts w:ascii="Times New Roman" w:hAnsi="Times New Roman" w:cs="Times New Roman"/>
          <w:sz w:val="24"/>
          <w:szCs w:val="24"/>
        </w:rPr>
        <w:t>he wife s</w:t>
      </w:r>
      <w:r w:rsidR="006F3F09">
        <w:rPr>
          <w:rFonts w:ascii="Times New Roman" w:hAnsi="Times New Roman" w:cs="Times New Roman"/>
          <w:sz w:val="24"/>
          <w:szCs w:val="24"/>
        </w:rPr>
        <w:t xml:space="preserve">ought </w:t>
      </w:r>
      <w:r w:rsidRPr="00151690">
        <w:rPr>
          <w:rFonts w:ascii="Times New Roman" w:hAnsi="Times New Roman" w:cs="Times New Roman"/>
          <w:sz w:val="24"/>
          <w:szCs w:val="24"/>
        </w:rPr>
        <w:t>her spouse to enforce the promise. The court acknowledged that some categories of agreements do</w:t>
      </w:r>
      <w:r w:rsidR="003838A9">
        <w:rPr>
          <w:rFonts w:ascii="Times New Roman" w:hAnsi="Times New Roman" w:cs="Times New Roman"/>
          <w:sz w:val="24"/>
          <w:szCs w:val="24"/>
        </w:rPr>
        <w:t xml:space="preserve"> no</w:t>
      </w:r>
      <w:r w:rsidRPr="00151690">
        <w:rPr>
          <w:rFonts w:ascii="Times New Roman" w:hAnsi="Times New Roman" w:cs="Times New Roman"/>
          <w:sz w:val="24"/>
          <w:szCs w:val="24"/>
        </w:rPr>
        <w:t xml:space="preserve">t reach the contractual status. The agreement between </w:t>
      </w:r>
      <w:r w:rsidR="003838A9">
        <w:rPr>
          <w:rFonts w:ascii="Times New Roman" w:hAnsi="Times New Roman" w:cs="Times New Roman"/>
          <w:sz w:val="24"/>
          <w:szCs w:val="24"/>
        </w:rPr>
        <w:t>the plaintiff and the defendant</w:t>
      </w:r>
      <w:r w:rsidRPr="00151690">
        <w:rPr>
          <w:rFonts w:ascii="Times New Roman" w:hAnsi="Times New Roman" w:cs="Times New Roman"/>
          <w:sz w:val="24"/>
          <w:szCs w:val="24"/>
        </w:rPr>
        <w:t xml:space="preserve"> is </w:t>
      </w:r>
      <w:r w:rsidR="003838A9">
        <w:rPr>
          <w:rFonts w:ascii="Times New Roman" w:hAnsi="Times New Roman" w:cs="Times New Roman"/>
          <w:sz w:val="24"/>
          <w:szCs w:val="24"/>
        </w:rPr>
        <w:t>the</w:t>
      </w:r>
      <w:r w:rsidRPr="00151690">
        <w:rPr>
          <w:rFonts w:ascii="Times New Roman" w:hAnsi="Times New Roman" w:cs="Times New Roman"/>
          <w:sz w:val="24"/>
          <w:szCs w:val="24"/>
        </w:rPr>
        <w:t xml:space="preserve"> kind of agreement</w:t>
      </w:r>
      <w:r w:rsidR="003838A9">
        <w:rPr>
          <w:rFonts w:ascii="Times New Roman" w:hAnsi="Times New Roman" w:cs="Times New Roman"/>
          <w:sz w:val="24"/>
          <w:szCs w:val="24"/>
        </w:rPr>
        <w:t xml:space="preserve"> where </w:t>
      </w:r>
      <w:r w:rsidRPr="00151690">
        <w:rPr>
          <w:rFonts w:ascii="Times New Roman" w:hAnsi="Times New Roman" w:cs="Times New Roman"/>
          <w:sz w:val="24"/>
          <w:szCs w:val="24"/>
        </w:rPr>
        <w:t xml:space="preserve">one party gives </w:t>
      </w:r>
      <w:r w:rsidRPr="00151690">
        <w:rPr>
          <w:rFonts w:ascii="Times New Roman" w:hAnsi="Times New Roman" w:cs="Times New Roman"/>
          <w:sz w:val="24"/>
          <w:szCs w:val="24"/>
        </w:rPr>
        <w:lastRenderedPageBreak/>
        <w:t xml:space="preserve">or is given specified amount of money on monthly, weekly, daily basis. This agreement is at some point termed as an allowance. </w:t>
      </w:r>
      <w:r w:rsidR="003838A9">
        <w:rPr>
          <w:rFonts w:ascii="Times New Roman" w:hAnsi="Times New Roman" w:cs="Times New Roman"/>
          <w:sz w:val="24"/>
          <w:szCs w:val="24"/>
        </w:rPr>
        <w:t>The husband made an appeal that was allowed late</w:t>
      </w:r>
      <w:r w:rsidR="001C39E7">
        <w:rPr>
          <w:rFonts w:ascii="Times New Roman" w:hAnsi="Times New Roman" w:cs="Times New Roman"/>
          <w:sz w:val="24"/>
          <w:szCs w:val="24"/>
        </w:rPr>
        <w:t xml:space="preserve">. </w:t>
      </w:r>
      <w:r w:rsidR="003838A9">
        <w:rPr>
          <w:rFonts w:ascii="Times New Roman" w:hAnsi="Times New Roman" w:cs="Times New Roman"/>
          <w:sz w:val="24"/>
          <w:szCs w:val="24"/>
        </w:rPr>
        <w:t xml:space="preserve"> </w:t>
      </w:r>
      <w:r w:rsidR="001C39E7">
        <w:rPr>
          <w:rFonts w:ascii="Times New Roman" w:hAnsi="Times New Roman" w:cs="Times New Roman"/>
          <w:sz w:val="24"/>
          <w:szCs w:val="24"/>
        </w:rPr>
        <w:t xml:space="preserve">This is because </w:t>
      </w:r>
      <w:r w:rsidRPr="00151690">
        <w:rPr>
          <w:rFonts w:ascii="Times New Roman" w:hAnsi="Times New Roman" w:cs="Times New Roman"/>
          <w:sz w:val="24"/>
          <w:szCs w:val="24"/>
        </w:rPr>
        <w:t>these agreements are</w:t>
      </w:r>
      <w:r w:rsidR="006F3F09">
        <w:rPr>
          <w:rFonts w:ascii="Times New Roman" w:hAnsi="Times New Roman" w:cs="Times New Roman"/>
          <w:sz w:val="24"/>
          <w:szCs w:val="24"/>
        </w:rPr>
        <w:t xml:space="preserve"> no</w:t>
      </w:r>
      <w:r w:rsidRPr="00151690">
        <w:rPr>
          <w:rFonts w:ascii="Times New Roman" w:hAnsi="Times New Roman" w:cs="Times New Roman"/>
          <w:sz w:val="24"/>
          <w:szCs w:val="24"/>
        </w:rPr>
        <w:t xml:space="preserve">t contracts or agreements </w:t>
      </w:r>
      <w:r w:rsidR="006F3F09" w:rsidRPr="00151690">
        <w:rPr>
          <w:rFonts w:ascii="Times New Roman" w:hAnsi="Times New Roman" w:cs="Times New Roman"/>
          <w:sz w:val="24"/>
          <w:szCs w:val="24"/>
        </w:rPr>
        <w:t>since</w:t>
      </w:r>
      <w:r w:rsidRPr="00151690">
        <w:rPr>
          <w:rFonts w:ascii="Times New Roman" w:hAnsi="Times New Roman" w:cs="Times New Roman"/>
          <w:sz w:val="24"/>
          <w:szCs w:val="24"/>
        </w:rPr>
        <w:t xml:space="preserve"> parties did</w:t>
      </w:r>
      <w:r w:rsidR="006F3F09">
        <w:rPr>
          <w:rFonts w:ascii="Times New Roman" w:hAnsi="Times New Roman" w:cs="Times New Roman"/>
          <w:sz w:val="24"/>
          <w:szCs w:val="24"/>
        </w:rPr>
        <w:t xml:space="preserve"> no</w:t>
      </w:r>
      <w:r w:rsidRPr="00151690">
        <w:rPr>
          <w:rFonts w:ascii="Times New Roman" w:hAnsi="Times New Roman" w:cs="Times New Roman"/>
          <w:sz w:val="24"/>
          <w:szCs w:val="24"/>
        </w:rPr>
        <w:t>t have the intention that they must be attended by legal consequences. That is why the court was hesitant to treat such agreement as a contract and th</w:t>
      </w:r>
      <w:r w:rsidR="006F3F09">
        <w:rPr>
          <w:rFonts w:ascii="Times New Roman" w:hAnsi="Times New Roman" w:cs="Times New Roman"/>
          <w:sz w:val="24"/>
          <w:szCs w:val="24"/>
        </w:rPr>
        <w:t>at</w:t>
      </w:r>
      <w:r w:rsidRPr="00151690">
        <w:rPr>
          <w:rFonts w:ascii="Times New Roman" w:hAnsi="Times New Roman" w:cs="Times New Roman"/>
          <w:sz w:val="24"/>
          <w:szCs w:val="24"/>
        </w:rPr>
        <w:t xml:space="preserve"> would </w:t>
      </w:r>
      <w:r w:rsidR="006F3F09" w:rsidRPr="00151690">
        <w:rPr>
          <w:rFonts w:ascii="Times New Roman" w:hAnsi="Times New Roman" w:cs="Times New Roman"/>
          <w:sz w:val="24"/>
          <w:szCs w:val="24"/>
        </w:rPr>
        <w:t>not</w:t>
      </w:r>
      <w:r w:rsidRPr="00151690">
        <w:rPr>
          <w:rFonts w:ascii="Times New Roman" w:hAnsi="Times New Roman" w:cs="Times New Roman"/>
          <w:sz w:val="24"/>
          <w:szCs w:val="24"/>
        </w:rPr>
        <w:t xml:space="preserve"> adequate courts to deal with such cases.</w:t>
      </w:r>
      <w:r w:rsidR="006F3F09">
        <w:rPr>
          <w:rFonts w:ascii="Times New Roman" w:hAnsi="Times New Roman" w:cs="Times New Roman"/>
          <w:sz w:val="24"/>
          <w:szCs w:val="24"/>
        </w:rPr>
        <w:t xml:space="preserve"> T</w:t>
      </w:r>
      <w:r w:rsidRPr="00151690">
        <w:rPr>
          <w:rFonts w:ascii="Times New Roman" w:hAnsi="Times New Roman" w:cs="Times New Roman"/>
          <w:sz w:val="24"/>
          <w:szCs w:val="24"/>
        </w:rPr>
        <w:t>he promise of the husband didn’t rise to the contractual leve</w:t>
      </w:r>
      <w:r w:rsidR="006F3F09">
        <w:rPr>
          <w:rFonts w:ascii="Times New Roman" w:hAnsi="Times New Roman" w:cs="Times New Roman"/>
          <w:sz w:val="24"/>
          <w:szCs w:val="24"/>
        </w:rPr>
        <w:t>l</w:t>
      </w:r>
      <w:r w:rsidR="009C4BC8">
        <w:rPr>
          <w:rFonts w:ascii="Times New Roman" w:hAnsi="Times New Roman" w:cs="Times New Roman"/>
          <w:sz w:val="24"/>
          <w:szCs w:val="24"/>
        </w:rPr>
        <w:t xml:space="preserve"> </w:t>
      </w:r>
      <w:sdt>
        <w:sdtPr>
          <w:rPr>
            <w:rFonts w:ascii="Times New Roman" w:hAnsi="Times New Roman" w:cs="Times New Roman"/>
            <w:sz w:val="24"/>
            <w:szCs w:val="24"/>
          </w:rPr>
          <w:id w:val="-810639720"/>
          <w:citation/>
        </w:sdtPr>
        <w:sdtEndPr/>
        <w:sdtContent>
          <w:r w:rsidR="009C4BC8">
            <w:rPr>
              <w:rFonts w:ascii="Times New Roman" w:hAnsi="Times New Roman" w:cs="Times New Roman"/>
              <w:sz w:val="24"/>
              <w:szCs w:val="24"/>
            </w:rPr>
            <w:fldChar w:fldCharType="begin"/>
          </w:r>
          <w:r w:rsidR="009C4BC8">
            <w:rPr>
              <w:rFonts w:ascii="Times New Roman" w:hAnsi="Times New Roman" w:cs="Times New Roman"/>
              <w:sz w:val="24"/>
              <w:szCs w:val="24"/>
              <w:lang w:val="en-GB"/>
            </w:rPr>
            <w:instrText xml:space="preserve"> CITATION McK125 \l 2057 </w:instrText>
          </w:r>
          <w:r w:rsidR="009C4BC8">
            <w:rPr>
              <w:rFonts w:ascii="Times New Roman" w:hAnsi="Times New Roman" w:cs="Times New Roman"/>
              <w:sz w:val="24"/>
              <w:szCs w:val="24"/>
            </w:rPr>
            <w:fldChar w:fldCharType="separate"/>
          </w:r>
          <w:r w:rsidR="009C4BC8" w:rsidRPr="009C4BC8">
            <w:rPr>
              <w:rFonts w:ascii="Times New Roman" w:hAnsi="Times New Roman" w:cs="Times New Roman"/>
              <w:noProof/>
              <w:sz w:val="24"/>
              <w:szCs w:val="24"/>
              <w:lang w:val="en-GB"/>
            </w:rPr>
            <w:t>(McKendrick, 2012)</w:t>
          </w:r>
          <w:r w:rsidR="009C4BC8">
            <w:rPr>
              <w:rFonts w:ascii="Times New Roman" w:hAnsi="Times New Roman" w:cs="Times New Roman"/>
              <w:sz w:val="24"/>
              <w:szCs w:val="24"/>
            </w:rPr>
            <w:fldChar w:fldCharType="end"/>
          </w:r>
        </w:sdtContent>
      </w:sdt>
      <w:r w:rsidR="00074A7C">
        <w:rPr>
          <w:rFonts w:ascii="Times New Roman" w:hAnsi="Times New Roman" w:cs="Times New Roman"/>
          <w:sz w:val="24"/>
          <w:szCs w:val="24"/>
        </w:rPr>
        <w:t>.</w:t>
      </w:r>
    </w:p>
    <w:p w14:paraId="62F0AC58" w14:textId="4BB0620A" w:rsidR="00074A7C" w:rsidRPr="00151690" w:rsidRDefault="00242CEE" w:rsidP="001516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074A7C">
        <w:rPr>
          <w:rFonts w:ascii="Times New Roman" w:hAnsi="Times New Roman" w:cs="Times New Roman"/>
          <w:sz w:val="24"/>
          <w:szCs w:val="24"/>
        </w:rPr>
        <w:t>In the case of Jones v</w:t>
      </w:r>
      <w:r w:rsidR="0038091F">
        <w:rPr>
          <w:rFonts w:ascii="Times New Roman" w:hAnsi="Times New Roman" w:cs="Times New Roman"/>
          <w:sz w:val="24"/>
          <w:szCs w:val="24"/>
        </w:rPr>
        <w:t>.</w:t>
      </w:r>
      <w:r w:rsidR="00074A7C">
        <w:rPr>
          <w:rFonts w:ascii="Times New Roman" w:hAnsi="Times New Roman" w:cs="Times New Roman"/>
          <w:sz w:val="24"/>
          <w:szCs w:val="24"/>
        </w:rPr>
        <w:t xml:space="preserve"> Padavatton in 1969, </w:t>
      </w:r>
      <w:r w:rsidR="00F31E1B">
        <w:rPr>
          <w:rFonts w:ascii="Times New Roman" w:hAnsi="Times New Roman" w:cs="Times New Roman"/>
          <w:sz w:val="24"/>
          <w:szCs w:val="24"/>
        </w:rPr>
        <w:t xml:space="preserve">the daughter Padavatton is the plaintiff, and her mother Mrs. Jones is the defendant. In this case, the mother </w:t>
      </w:r>
      <w:r w:rsidR="00AF7FE0">
        <w:rPr>
          <w:rFonts w:ascii="Times New Roman" w:hAnsi="Times New Roman" w:cs="Times New Roman"/>
          <w:sz w:val="24"/>
          <w:szCs w:val="24"/>
        </w:rPr>
        <w:t>made a promise in 1962</w:t>
      </w:r>
      <w:r w:rsidR="00F31E1B">
        <w:rPr>
          <w:rFonts w:ascii="Times New Roman" w:hAnsi="Times New Roman" w:cs="Times New Roman"/>
          <w:sz w:val="24"/>
          <w:szCs w:val="24"/>
        </w:rPr>
        <w:t xml:space="preserve"> to maintain her daughter</w:t>
      </w:r>
      <w:r w:rsidR="00AF7FE0">
        <w:rPr>
          <w:rFonts w:ascii="Times New Roman" w:hAnsi="Times New Roman" w:cs="Times New Roman"/>
          <w:sz w:val="24"/>
          <w:szCs w:val="24"/>
        </w:rPr>
        <w:t xml:space="preserve"> by paying a monthly allowance</w:t>
      </w:r>
      <w:r w:rsidR="00F31E1B">
        <w:rPr>
          <w:rFonts w:ascii="Times New Roman" w:hAnsi="Times New Roman" w:cs="Times New Roman"/>
          <w:sz w:val="24"/>
          <w:szCs w:val="24"/>
        </w:rPr>
        <w:t xml:space="preserve"> if she leaves Washington and move to London to practice for becoming a lawyer in Trinidad. </w:t>
      </w:r>
      <w:r w:rsidR="00AF7FE0">
        <w:rPr>
          <w:rFonts w:ascii="Times New Roman" w:hAnsi="Times New Roman" w:cs="Times New Roman"/>
          <w:sz w:val="24"/>
          <w:szCs w:val="24"/>
        </w:rPr>
        <w:t xml:space="preserve">Later, the arrangement varied, and the defendant bought the plaintiff a house. The </w:t>
      </w:r>
      <w:r w:rsidR="00907AE9">
        <w:rPr>
          <w:rFonts w:ascii="Times New Roman" w:hAnsi="Times New Roman" w:cs="Times New Roman"/>
          <w:sz w:val="24"/>
          <w:szCs w:val="24"/>
        </w:rPr>
        <w:t>Court of Appeal rejected the plaintiff’s claim and held that the defendant had the right to possess her house. Therefore, no legal relations were created as the claims did not rise to the contractual level</w:t>
      </w:r>
      <w:r w:rsidR="00DA7856">
        <w:rPr>
          <w:rFonts w:ascii="Times New Roman" w:hAnsi="Times New Roman" w:cs="Times New Roman"/>
          <w:sz w:val="24"/>
          <w:szCs w:val="24"/>
        </w:rPr>
        <w:t xml:space="preserve"> </w:t>
      </w:r>
      <w:sdt>
        <w:sdtPr>
          <w:rPr>
            <w:rFonts w:ascii="Times New Roman" w:hAnsi="Times New Roman" w:cs="Times New Roman"/>
            <w:sz w:val="24"/>
            <w:szCs w:val="24"/>
          </w:rPr>
          <w:id w:val="1121194122"/>
          <w:citation/>
        </w:sdtPr>
        <w:sdtEndPr/>
        <w:sdtContent>
          <w:r w:rsidR="00DA7856">
            <w:rPr>
              <w:rFonts w:ascii="Times New Roman" w:hAnsi="Times New Roman" w:cs="Times New Roman"/>
              <w:sz w:val="24"/>
              <w:szCs w:val="24"/>
            </w:rPr>
            <w:fldChar w:fldCharType="begin"/>
          </w:r>
          <w:r w:rsidR="00DA7856">
            <w:rPr>
              <w:rFonts w:ascii="Times New Roman" w:hAnsi="Times New Roman" w:cs="Times New Roman"/>
              <w:sz w:val="24"/>
              <w:szCs w:val="24"/>
              <w:lang w:val="en-GB"/>
            </w:rPr>
            <w:instrText xml:space="preserve"> CITATION McK124 \l 2057 </w:instrText>
          </w:r>
          <w:r w:rsidR="00DA7856">
            <w:rPr>
              <w:rFonts w:ascii="Times New Roman" w:hAnsi="Times New Roman" w:cs="Times New Roman"/>
              <w:sz w:val="24"/>
              <w:szCs w:val="24"/>
            </w:rPr>
            <w:fldChar w:fldCharType="separate"/>
          </w:r>
          <w:r w:rsidR="00DA7856" w:rsidRPr="00DA7856">
            <w:rPr>
              <w:rFonts w:ascii="Times New Roman" w:hAnsi="Times New Roman" w:cs="Times New Roman"/>
              <w:noProof/>
              <w:sz w:val="24"/>
              <w:szCs w:val="24"/>
              <w:lang w:val="en-GB"/>
            </w:rPr>
            <w:t>(McKendrick, 2012)</w:t>
          </w:r>
          <w:r w:rsidR="00DA7856">
            <w:rPr>
              <w:rFonts w:ascii="Times New Roman" w:hAnsi="Times New Roman" w:cs="Times New Roman"/>
              <w:sz w:val="24"/>
              <w:szCs w:val="24"/>
            </w:rPr>
            <w:fldChar w:fldCharType="end"/>
          </w:r>
        </w:sdtContent>
      </w:sdt>
      <w:r w:rsidR="00907AE9">
        <w:rPr>
          <w:rFonts w:ascii="Times New Roman" w:hAnsi="Times New Roman" w:cs="Times New Roman"/>
          <w:sz w:val="24"/>
          <w:szCs w:val="24"/>
        </w:rPr>
        <w:t>.</w:t>
      </w:r>
    </w:p>
    <w:p w14:paraId="4E6EB0EC" w14:textId="648189FB" w:rsidR="00151690" w:rsidRDefault="00074A7C" w:rsidP="001516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151690" w:rsidRPr="00151690">
        <w:rPr>
          <w:rFonts w:ascii="Times New Roman" w:hAnsi="Times New Roman" w:cs="Times New Roman"/>
          <w:sz w:val="24"/>
          <w:szCs w:val="24"/>
        </w:rPr>
        <w:t>Merritt v</w:t>
      </w:r>
      <w:r w:rsidR="0038091F">
        <w:rPr>
          <w:rFonts w:ascii="Times New Roman" w:hAnsi="Times New Roman" w:cs="Times New Roman"/>
          <w:sz w:val="24"/>
          <w:szCs w:val="24"/>
        </w:rPr>
        <w:t>.</w:t>
      </w:r>
      <w:r w:rsidR="00151690" w:rsidRPr="00151690">
        <w:rPr>
          <w:rFonts w:ascii="Times New Roman" w:hAnsi="Times New Roman" w:cs="Times New Roman"/>
          <w:sz w:val="24"/>
          <w:szCs w:val="24"/>
        </w:rPr>
        <w:t xml:space="preserve"> Merritt</w:t>
      </w:r>
      <w:r w:rsidR="004E50FC">
        <w:rPr>
          <w:rFonts w:ascii="Times New Roman" w:hAnsi="Times New Roman" w:cs="Times New Roman"/>
          <w:sz w:val="24"/>
          <w:szCs w:val="24"/>
        </w:rPr>
        <w:t xml:space="preserve">’s case in 1970, </w:t>
      </w:r>
      <w:r w:rsidR="00151690" w:rsidRPr="00151690">
        <w:rPr>
          <w:rFonts w:ascii="Times New Roman" w:hAnsi="Times New Roman" w:cs="Times New Roman"/>
          <w:sz w:val="24"/>
          <w:szCs w:val="24"/>
        </w:rPr>
        <w:t>the court had a divergent view. In this case, a wife and husband were estranged, during which time the husband accepted to pay his spouse 40 Ste</w:t>
      </w:r>
      <w:r w:rsidR="00C638C5">
        <w:rPr>
          <w:rFonts w:ascii="Times New Roman" w:hAnsi="Times New Roman" w:cs="Times New Roman"/>
          <w:sz w:val="24"/>
          <w:szCs w:val="24"/>
        </w:rPr>
        <w:t>r</w:t>
      </w:r>
      <w:r w:rsidR="00151690" w:rsidRPr="00151690">
        <w:rPr>
          <w:rFonts w:ascii="Times New Roman" w:hAnsi="Times New Roman" w:cs="Times New Roman"/>
          <w:sz w:val="24"/>
          <w:szCs w:val="24"/>
        </w:rPr>
        <w:t>ling pound monthly given the fact that she used that to continue paying the mortgage. Judge Denning distinguishing current case against Balfour</w:t>
      </w:r>
      <w:r w:rsidR="004E50FC">
        <w:rPr>
          <w:rFonts w:ascii="Times New Roman" w:hAnsi="Times New Roman" w:cs="Times New Roman"/>
          <w:sz w:val="24"/>
          <w:szCs w:val="24"/>
        </w:rPr>
        <w:t>,</w:t>
      </w:r>
      <w:r w:rsidR="00151690" w:rsidRPr="00151690">
        <w:rPr>
          <w:rFonts w:ascii="Times New Roman" w:hAnsi="Times New Roman" w:cs="Times New Roman"/>
          <w:sz w:val="24"/>
          <w:szCs w:val="24"/>
        </w:rPr>
        <w:t xml:space="preserve"> ruled that since the parties were not living in amity, it was assumed that they had the intention to create legal relations</w:t>
      </w:r>
      <w:r w:rsidR="009C4B04">
        <w:rPr>
          <w:rFonts w:ascii="Times New Roman" w:hAnsi="Times New Roman" w:cs="Times New Roman"/>
          <w:sz w:val="24"/>
          <w:szCs w:val="24"/>
        </w:rPr>
        <w:t xml:space="preserve"> </w:t>
      </w:r>
      <w:sdt>
        <w:sdtPr>
          <w:rPr>
            <w:rFonts w:ascii="Times New Roman" w:hAnsi="Times New Roman" w:cs="Times New Roman"/>
            <w:sz w:val="24"/>
            <w:szCs w:val="24"/>
          </w:rPr>
          <w:id w:val="-1025474388"/>
          <w:citation/>
        </w:sdtPr>
        <w:sdtEndPr/>
        <w:sdtContent>
          <w:r w:rsidR="009C4B04">
            <w:rPr>
              <w:rFonts w:ascii="Times New Roman" w:hAnsi="Times New Roman" w:cs="Times New Roman"/>
              <w:sz w:val="24"/>
              <w:szCs w:val="24"/>
            </w:rPr>
            <w:fldChar w:fldCharType="begin"/>
          </w:r>
          <w:r w:rsidR="009C4B04">
            <w:rPr>
              <w:rFonts w:ascii="Times New Roman" w:hAnsi="Times New Roman" w:cs="Times New Roman"/>
              <w:sz w:val="24"/>
              <w:szCs w:val="24"/>
              <w:lang w:val="en-GB"/>
            </w:rPr>
            <w:instrText xml:space="preserve"> CITATION McK123 \l 2057 </w:instrText>
          </w:r>
          <w:r w:rsidR="009C4B04">
            <w:rPr>
              <w:rFonts w:ascii="Times New Roman" w:hAnsi="Times New Roman" w:cs="Times New Roman"/>
              <w:sz w:val="24"/>
              <w:szCs w:val="24"/>
            </w:rPr>
            <w:fldChar w:fldCharType="separate"/>
          </w:r>
          <w:r w:rsidR="009C4B04" w:rsidRPr="009C4B04">
            <w:rPr>
              <w:rFonts w:ascii="Times New Roman" w:hAnsi="Times New Roman" w:cs="Times New Roman"/>
              <w:noProof/>
              <w:sz w:val="24"/>
              <w:szCs w:val="24"/>
              <w:lang w:val="en-GB"/>
            </w:rPr>
            <w:t>(McKendrick, 2012)</w:t>
          </w:r>
          <w:r w:rsidR="009C4B04">
            <w:rPr>
              <w:rFonts w:ascii="Times New Roman" w:hAnsi="Times New Roman" w:cs="Times New Roman"/>
              <w:sz w:val="24"/>
              <w:szCs w:val="24"/>
            </w:rPr>
            <w:fldChar w:fldCharType="end"/>
          </w:r>
        </w:sdtContent>
      </w:sdt>
      <w:r w:rsidR="00151690" w:rsidRPr="00151690">
        <w:rPr>
          <w:rFonts w:ascii="Times New Roman" w:hAnsi="Times New Roman" w:cs="Times New Roman"/>
          <w:sz w:val="24"/>
          <w:szCs w:val="24"/>
        </w:rPr>
        <w:t>.</w:t>
      </w:r>
    </w:p>
    <w:p w14:paraId="4291C65F" w14:textId="3A7C7C83" w:rsidR="00151690" w:rsidRDefault="0038091F" w:rsidP="006F2A7F">
      <w:pPr>
        <w:spacing w:line="480" w:lineRule="auto"/>
        <w:jc w:val="both"/>
        <w:rPr>
          <w:rFonts w:ascii="Times New Roman" w:hAnsi="Times New Roman" w:cs="Times New Roman"/>
          <w:sz w:val="24"/>
          <w:szCs w:val="24"/>
        </w:rPr>
      </w:pPr>
      <w:r>
        <w:rPr>
          <w:rFonts w:ascii="Times New Roman" w:hAnsi="Times New Roman" w:cs="Times New Roman"/>
          <w:sz w:val="24"/>
          <w:szCs w:val="24"/>
        </w:rPr>
        <w:t>In Simpkins v. Pays</w:t>
      </w:r>
      <w:r w:rsidR="00A21317">
        <w:rPr>
          <w:rFonts w:ascii="Times New Roman" w:hAnsi="Times New Roman" w:cs="Times New Roman"/>
          <w:sz w:val="24"/>
          <w:szCs w:val="24"/>
        </w:rPr>
        <w:t xml:space="preserve">’s case in 1955, the </w:t>
      </w:r>
      <w:r w:rsidR="00C638C5">
        <w:rPr>
          <w:rFonts w:ascii="Times New Roman" w:hAnsi="Times New Roman" w:cs="Times New Roman"/>
          <w:sz w:val="24"/>
          <w:szCs w:val="24"/>
        </w:rPr>
        <w:t>plaintiff lived with the defendant as her lodger, and with the defendant’s granddaughter. They entered a competition in a Sunday newspaper on a weekly basis to win 750 Sterling Pound and to be shared between them. Judge held that the plaintiff was entitled to earn one-third of the prize</w:t>
      </w:r>
      <w:r w:rsidR="00E042EC">
        <w:rPr>
          <w:rFonts w:ascii="Times New Roman" w:hAnsi="Times New Roman" w:cs="Times New Roman"/>
          <w:sz w:val="24"/>
          <w:szCs w:val="24"/>
        </w:rPr>
        <w:t xml:space="preserve"> as entering the competition was made based on agreement</w:t>
      </w:r>
      <w:r w:rsidR="00C638C5">
        <w:rPr>
          <w:rFonts w:ascii="Times New Roman" w:hAnsi="Times New Roman" w:cs="Times New Roman"/>
          <w:sz w:val="24"/>
          <w:szCs w:val="24"/>
        </w:rPr>
        <w:t xml:space="preserve">. </w:t>
      </w:r>
      <w:r w:rsidR="00C638C5">
        <w:rPr>
          <w:rFonts w:ascii="Times New Roman" w:hAnsi="Times New Roman" w:cs="Times New Roman"/>
          <w:sz w:val="24"/>
          <w:szCs w:val="24"/>
        </w:rPr>
        <w:lastRenderedPageBreak/>
        <w:t>As a result, legal relations were created as the claims were risen to the contractual level</w:t>
      </w:r>
      <w:r w:rsidR="00991EC5">
        <w:rPr>
          <w:rFonts w:ascii="Times New Roman" w:hAnsi="Times New Roman" w:cs="Times New Roman"/>
          <w:sz w:val="24"/>
          <w:szCs w:val="24"/>
        </w:rPr>
        <w:t xml:space="preserve"> </w:t>
      </w:r>
      <w:sdt>
        <w:sdtPr>
          <w:rPr>
            <w:rFonts w:ascii="Times New Roman" w:hAnsi="Times New Roman" w:cs="Times New Roman"/>
            <w:sz w:val="24"/>
            <w:szCs w:val="24"/>
          </w:rPr>
          <w:id w:val="1917512663"/>
          <w:citation/>
        </w:sdtPr>
        <w:sdtEndPr/>
        <w:sdtContent>
          <w:r w:rsidR="00D826F6">
            <w:rPr>
              <w:rFonts w:ascii="Times New Roman" w:hAnsi="Times New Roman" w:cs="Times New Roman"/>
              <w:sz w:val="24"/>
              <w:szCs w:val="24"/>
            </w:rPr>
            <w:fldChar w:fldCharType="begin"/>
          </w:r>
          <w:r w:rsidR="00D826F6">
            <w:rPr>
              <w:rFonts w:ascii="Times New Roman" w:hAnsi="Times New Roman" w:cs="Times New Roman"/>
              <w:sz w:val="24"/>
              <w:szCs w:val="24"/>
              <w:lang w:val="en-GB"/>
            </w:rPr>
            <w:instrText xml:space="preserve"> CITATION McK122 \l 2057 </w:instrText>
          </w:r>
          <w:r w:rsidR="00D826F6">
            <w:rPr>
              <w:rFonts w:ascii="Times New Roman" w:hAnsi="Times New Roman" w:cs="Times New Roman"/>
              <w:sz w:val="24"/>
              <w:szCs w:val="24"/>
            </w:rPr>
            <w:fldChar w:fldCharType="separate"/>
          </w:r>
          <w:r w:rsidR="00D826F6" w:rsidRPr="00D826F6">
            <w:rPr>
              <w:rFonts w:ascii="Times New Roman" w:hAnsi="Times New Roman" w:cs="Times New Roman"/>
              <w:noProof/>
              <w:sz w:val="24"/>
              <w:szCs w:val="24"/>
              <w:lang w:val="en-GB"/>
            </w:rPr>
            <w:t>(McKendrick, 2012)</w:t>
          </w:r>
          <w:r w:rsidR="00D826F6">
            <w:rPr>
              <w:rFonts w:ascii="Times New Roman" w:hAnsi="Times New Roman" w:cs="Times New Roman"/>
              <w:sz w:val="24"/>
              <w:szCs w:val="24"/>
            </w:rPr>
            <w:fldChar w:fldCharType="end"/>
          </w:r>
        </w:sdtContent>
      </w:sdt>
      <w:r w:rsidR="00C638C5">
        <w:rPr>
          <w:rFonts w:ascii="Times New Roman" w:hAnsi="Times New Roman" w:cs="Times New Roman"/>
          <w:sz w:val="24"/>
          <w:szCs w:val="24"/>
        </w:rPr>
        <w:t>.</w:t>
      </w:r>
    </w:p>
    <w:p w14:paraId="2383D899" w14:textId="77777777" w:rsidR="00151690" w:rsidRP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Commercial Relations</w:t>
      </w:r>
    </w:p>
    <w:p w14:paraId="14193B87" w14:textId="2EBAD8A2" w:rsidR="00151690" w:rsidRP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 xml:space="preserve">In case of commercial agreements, lest rebutted, it is normally assumed that the parties have the intention of </w:t>
      </w:r>
      <w:r w:rsidR="00E042EC" w:rsidRPr="00151690">
        <w:rPr>
          <w:rFonts w:ascii="Times New Roman" w:hAnsi="Times New Roman" w:cs="Times New Roman"/>
          <w:sz w:val="24"/>
          <w:szCs w:val="24"/>
        </w:rPr>
        <w:t>entering</w:t>
      </w:r>
      <w:r w:rsidRPr="00151690">
        <w:rPr>
          <w:rFonts w:ascii="Times New Roman" w:hAnsi="Times New Roman" w:cs="Times New Roman"/>
          <w:sz w:val="24"/>
          <w:szCs w:val="24"/>
        </w:rPr>
        <w:t xml:space="preserve"> legally binding contract </w:t>
      </w:r>
      <w:sdt>
        <w:sdtPr>
          <w:rPr>
            <w:rFonts w:ascii="Times New Roman" w:hAnsi="Times New Roman" w:cs="Times New Roman"/>
            <w:sz w:val="24"/>
            <w:szCs w:val="24"/>
          </w:rPr>
          <w:id w:val="-975213530"/>
          <w:citation/>
        </w:sdtPr>
        <w:sdtEndPr/>
        <w:sdtContent>
          <w:r w:rsidR="001C6FF8">
            <w:rPr>
              <w:rFonts w:ascii="Times New Roman" w:hAnsi="Times New Roman" w:cs="Times New Roman"/>
              <w:sz w:val="24"/>
              <w:szCs w:val="24"/>
            </w:rPr>
            <w:fldChar w:fldCharType="begin"/>
          </w:r>
          <w:r w:rsidR="001C6FF8">
            <w:rPr>
              <w:rFonts w:ascii="Times New Roman" w:hAnsi="Times New Roman" w:cs="Times New Roman"/>
              <w:sz w:val="24"/>
              <w:szCs w:val="24"/>
              <w:lang w:val="en-GB"/>
            </w:rPr>
            <w:instrText xml:space="preserve"> CITATION Sul20 \l 2057 </w:instrText>
          </w:r>
          <w:r w:rsidR="001C6FF8">
            <w:rPr>
              <w:rFonts w:ascii="Times New Roman" w:hAnsi="Times New Roman" w:cs="Times New Roman"/>
              <w:sz w:val="24"/>
              <w:szCs w:val="24"/>
            </w:rPr>
            <w:fldChar w:fldCharType="separate"/>
          </w:r>
          <w:r w:rsidR="001C6FF8" w:rsidRPr="001C6FF8">
            <w:rPr>
              <w:rFonts w:ascii="Times New Roman" w:hAnsi="Times New Roman" w:cs="Times New Roman"/>
              <w:noProof/>
              <w:sz w:val="24"/>
              <w:szCs w:val="24"/>
              <w:lang w:val="en-GB"/>
            </w:rPr>
            <w:t>(Sulphey, 2020)</w:t>
          </w:r>
          <w:r w:rsidR="001C6FF8">
            <w:rPr>
              <w:rFonts w:ascii="Times New Roman" w:hAnsi="Times New Roman" w:cs="Times New Roman"/>
              <w:sz w:val="24"/>
              <w:szCs w:val="24"/>
            </w:rPr>
            <w:fldChar w:fldCharType="end"/>
          </w:r>
        </w:sdtContent>
      </w:sdt>
      <w:r w:rsidRPr="00151690">
        <w:rPr>
          <w:rFonts w:ascii="Times New Roman" w:hAnsi="Times New Roman" w:cs="Times New Roman"/>
          <w:sz w:val="24"/>
          <w:szCs w:val="24"/>
        </w:rPr>
        <w:t xml:space="preserve">. Even though it shall not be assumed that there is such an intent, it shall normally not be hard for plaintiff to substantiate this element. If the parties to commercial/business contract don’t intend it to be legally binding, they might prove this by including ‘honor clauses’ showing that the contract is binding in honor and not legally </w:t>
      </w:r>
      <w:sdt>
        <w:sdtPr>
          <w:rPr>
            <w:rFonts w:ascii="Times New Roman" w:hAnsi="Times New Roman" w:cs="Times New Roman"/>
            <w:sz w:val="24"/>
            <w:szCs w:val="24"/>
          </w:rPr>
          <w:id w:val="-2076032258"/>
          <w:citation/>
        </w:sdtPr>
        <w:sdtEndPr/>
        <w:sdtContent>
          <w:r w:rsidR="00611B71">
            <w:rPr>
              <w:rFonts w:ascii="Times New Roman" w:hAnsi="Times New Roman" w:cs="Times New Roman"/>
              <w:sz w:val="24"/>
              <w:szCs w:val="24"/>
            </w:rPr>
            <w:fldChar w:fldCharType="begin"/>
          </w:r>
          <w:r w:rsidR="00611B71">
            <w:rPr>
              <w:rFonts w:ascii="Times New Roman" w:hAnsi="Times New Roman" w:cs="Times New Roman"/>
              <w:sz w:val="24"/>
              <w:szCs w:val="24"/>
              <w:lang w:val="en-GB"/>
            </w:rPr>
            <w:instrText xml:space="preserve"> CITATION Loo13 \l 2057 </w:instrText>
          </w:r>
          <w:r w:rsidR="00611B71">
            <w:rPr>
              <w:rFonts w:ascii="Times New Roman" w:hAnsi="Times New Roman" w:cs="Times New Roman"/>
              <w:sz w:val="24"/>
              <w:szCs w:val="24"/>
            </w:rPr>
            <w:fldChar w:fldCharType="separate"/>
          </w:r>
          <w:r w:rsidR="00611B71" w:rsidRPr="00611B71">
            <w:rPr>
              <w:rFonts w:ascii="Times New Roman" w:hAnsi="Times New Roman" w:cs="Times New Roman"/>
              <w:noProof/>
              <w:sz w:val="24"/>
              <w:szCs w:val="24"/>
              <w:lang w:val="en-GB"/>
            </w:rPr>
            <w:t>(Loo, 2013)</w:t>
          </w:r>
          <w:r w:rsidR="00611B71">
            <w:rPr>
              <w:rFonts w:ascii="Times New Roman" w:hAnsi="Times New Roman" w:cs="Times New Roman"/>
              <w:sz w:val="24"/>
              <w:szCs w:val="24"/>
            </w:rPr>
            <w:fldChar w:fldCharType="end"/>
          </w:r>
        </w:sdtContent>
      </w:sdt>
      <w:r w:rsidRPr="00151690">
        <w:rPr>
          <w:rFonts w:ascii="Times New Roman" w:hAnsi="Times New Roman" w:cs="Times New Roman"/>
          <w:sz w:val="24"/>
          <w:szCs w:val="24"/>
        </w:rPr>
        <w:t xml:space="preserve"> Intent to create legal relation is vital because it shows the intent of parties to enter into a lawfully binding agreement.</w:t>
      </w:r>
    </w:p>
    <w:p w14:paraId="14A433EB" w14:textId="7E17746A" w:rsidR="00E042EC"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 xml:space="preserve">All business transactions have strong assumptions of valid contract. These agreements refer to circumstances where parties deal with each other like strangers are assumed to be binding </w:t>
      </w:r>
      <w:sdt>
        <w:sdtPr>
          <w:rPr>
            <w:rFonts w:ascii="Times New Roman" w:hAnsi="Times New Roman" w:cs="Times New Roman"/>
            <w:sz w:val="24"/>
            <w:szCs w:val="24"/>
          </w:rPr>
          <w:id w:val="1403953780"/>
          <w:citation/>
        </w:sdtPr>
        <w:sdtEndPr/>
        <w:sdtContent>
          <w:r w:rsidR="003B77AB">
            <w:rPr>
              <w:rFonts w:ascii="Times New Roman" w:hAnsi="Times New Roman" w:cs="Times New Roman"/>
              <w:sz w:val="24"/>
              <w:szCs w:val="24"/>
            </w:rPr>
            <w:fldChar w:fldCharType="begin"/>
          </w:r>
          <w:r w:rsidR="003B77AB">
            <w:rPr>
              <w:rFonts w:ascii="Times New Roman" w:hAnsi="Times New Roman" w:cs="Times New Roman"/>
              <w:sz w:val="24"/>
              <w:szCs w:val="24"/>
              <w:lang w:val="en-GB"/>
            </w:rPr>
            <w:instrText xml:space="preserve"> CITATION Kla09 \l 2057 </w:instrText>
          </w:r>
          <w:r w:rsidR="003B77AB">
            <w:rPr>
              <w:rFonts w:ascii="Times New Roman" w:hAnsi="Times New Roman" w:cs="Times New Roman"/>
              <w:sz w:val="24"/>
              <w:szCs w:val="24"/>
            </w:rPr>
            <w:fldChar w:fldCharType="separate"/>
          </w:r>
          <w:r w:rsidR="003B77AB" w:rsidRPr="003B77AB">
            <w:rPr>
              <w:rFonts w:ascii="Times New Roman" w:hAnsi="Times New Roman" w:cs="Times New Roman"/>
              <w:noProof/>
              <w:sz w:val="24"/>
              <w:szCs w:val="24"/>
              <w:lang w:val="en-GB"/>
            </w:rPr>
            <w:t>(Klass, 2009)</w:t>
          </w:r>
          <w:r w:rsidR="003B77AB">
            <w:rPr>
              <w:rFonts w:ascii="Times New Roman" w:hAnsi="Times New Roman" w:cs="Times New Roman"/>
              <w:sz w:val="24"/>
              <w:szCs w:val="24"/>
            </w:rPr>
            <w:fldChar w:fldCharType="end"/>
          </w:r>
        </w:sdtContent>
      </w:sdt>
    </w:p>
    <w:p w14:paraId="78175F93" w14:textId="1166C711" w:rsidR="00521619" w:rsidRDefault="00EC74BC" w:rsidP="00151690">
      <w:pPr>
        <w:spacing w:line="480" w:lineRule="auto"/>
        <w:jc w:val="both"/>
        <w:rPr>
          <w:rFonts w:ascii="Times New Roman" w:hAnsi="Times New Roman" w:cs="Times New Roman"/>
          <w:sz w:val="24"/>
          <w:szCs w:val="24"/>
        </w:rPr>
      </w:pPr>
      <w:r>
        <w:rPr>
          <w:rFonts w:ascii="Times New Roman" w:hAnsi="Times New Roman" w:cs="Times New Roman"/>
          <w:sz w:val="24"/>
          <w:szCs w:val="24"/>
        </w:rPr>
        <w:t>In the case of Esso v. Customs &amp; Excise</w:t>
      </w:r>
      <w:r w:rsidR="00E719D6">
        <w:rPr>
          <w:rFonts w:ascii="Times New Roman" w:hAnsi="Times New Roman" w:cs="Times New Roman"/>
          <w:sz w:val="24"/>
          <w:szCs w:val="24"/>
        </w:rPr>
        <w:t xml:space="preserve">, they were the defendant who promoted their coins in a way that gets customers’ attention which are the plaintiff. In the court, the presumption made was that the defendant had the intention to make resales as coins were offered commercially and therefore would be liable to pay 2000 Sterling Pound. However, the defendant appealed stating that promotion was not intended to create legal relations and that no resale was to occur. The defendant won the case as the judge held that </w:t>
      </w:r>
      <w:r w:rsidR="00E46AC5">
        <w:rPr>
          <w:rFonts w:ascii="Times New Roman" w:hAnsi="Times New Roman" w:cs="Times New Roman"/>
          <w:sz w:val="24"/>
          <w:szCs w:val="24"/>
        </w:rPr>
        <w:t xml:space="preserve">the defendant did not intend to create legal relations </w:t>
      </w:r>
      <w:sdt>
        <w:sdtPr>
          <w:rPr>
            <w:rFonts w:ascii="Times New Roman" w:hAnsi="Times New Roman" w:cs="Times New Roman"/>
            <w:sz w:val="24"/>
            <w:szCs w:val="24"/>
          </w:rPr>
          <w:id w:val="1625358384"/>
          <w:citation/>
        </w:sdtPr>
        <w:sdtEndPr/>
        <w:sdtContent>
          <w:r w:rsidR="00E46AC5">
            <w:rPr>
              <w:rFonts w:ascii="Times New Roman" w:hAnsi="Times New Roman" w:cs="Times New Roman"/>
              <w:sz w:val="24"/>
              <w:szCs w:val="24"/>
            </w:rPr>
            <w:fldChar w:fldCharType="begin"/>
          </w:r>
          <w:r w:rsidR="00AE5011">
            <w:rPr>
              <w:rFonts w:ascii="Times New Roman" w:hAnsi="Times New Roman" w:cs="Times New Roman"/>
              <w:sz w:val="24"/>
              <w:szCs w:val="24"/>
              <w:lang w:val="en-GB"/>
            </w:rPr>
            <w:instrText xml:space="preserve">CITATION Ess76 \l 2057 </w:instrText>
          </w:r>
          <w:r w:rsidR="00E46AC5">
            <w:rPr>
              <w:rFonts w:ascii="Times New Roman" w:hAnsi="Times New Roman" w:cs="Times New Roman"/>
              <w:sz w:val="24"/>
              <w:szCs w:val="24"/>
            </w:rPr>
            <w:fldChar w:fldCharType="separate"/>
          </w:r>
          <w:r w:rsidR="00AE5011" w:rsidRPr="00AE5011">
            <w:rPr>
              <w:rFonts w:ascii="Times New Roman" w:hAnsi="Times New Roman" w:cs="Times New Roman"/>
              <w:noProof/>
              <w:sz w:val="24"/>
              <w:szCs w:val="24"/>
              <w:lang w:val="en-GB"/>
            </w:rPr>
            <w:t>(Esso Petroleum v Customs &amp; Excise, 1976)</w:t>
          </w:r>
          <w:r w:rsidR="00E46AC5">
            <w:rPr>
              <w:rFonts w:ascii="Times New Roman" w:hAnsi="Times New Roman" w:cs="Times New Roman"/>
              <w:sz w:val="24"/>
              <w:szCs w:val="24"/>
            </w:rPr>
            <w:fldChar w:fldCharType="end"/>
          </w:r>
        </w:sdtContent>
      </w:sdt>
      <w:r w:rsidR="00521619">
        <w:rPr>
          <w:rFonts w:ascii="Times New Roman" w:hAnsi="Times New Roman" w:cs="Times New Roman"/>
          <w:sz w:val="24"/>
          <w:szCs w:val="24"/>
        </w:rPr>
        <w:t xml:space="preserve">. </w:t>
      </w:r>
    </w:p>
    <w:p w14:paraId="2A95E033" w14:textId="1A3AC80F" w:rsidR="00EC74BC" w:rsidRDefault="00521619" w:rsidP="00151690">
      <w:pPr>
        <w:spacing w:line="480" w:lineRule="auto"/>
        <w:jc w:val="both"/>
        <w:rPr>
          <w:rFonts w:ascii="Times New Roman" w:hAnsi="Times New Roman" w:cs="Times New Roman"/>
          <w:sz w:val="24"/>
          <w:szCs w:val="24"/>
        </w:rPr>
      </w:pPr>
      <w:r w:rsidRPr="00521619">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521619">
        <w:rPr>
          <w:rFonts w:ascii="Times New Roman" w:hAnsi="Times New Roman" w:cs="Times New Roman"/>
          <w:sz w:val="24"/>
          <w:szCs w:val="24"/>
        </w:rPr>
        <w:t>Edwards</w:t>
      </w:r>
      <w:r>
        <w:rPr>
          <w:rFonts w:ascii="Times New Roman" w:hAnsi="Times New Roman" w:cs="Times New Roman"/>
          <w:sz w:val="24"/>
          <w:szCs w:val="24"/>
        </w:rPr>
        <w:t xml:space="preserve"> v. Skyways’s case in 1964, </w:t>
      </w:r>
      <w:r w:rsidRPr="00521619">
        <w:rPr>
          <w:rFonts w:ascii="Times New Roman" w:hAnsi="Times New Roman" w:cs="Times New Roman"/>
          <w:sz w:val="24"/>
          <w:szCs w:val="24"/>
        </w:rPr>
        <w:t xml:space="preserve">a bonus payment explained as ‘ex gratia’ was promised to a worker, this was discovered to be legally binding. Edward had depended on the promise of </w:t>
      </w:r>
      <w:r w:rsidRPr="00521619">
        <w:rPr>
          <w:rFonts w:ascii="Times New Roman" w:hAnsi="Times New Roman" w:cs="Times New Roman"/>
          <w:sz w:val="24"/>
          <w:szCs w:val="24"/>
        </w:rPr>
        <w:lastRenderedPageBreak/>
        <w:t>accepting redundancy package, and the employers (Skyways Ltd) were not sufficiently able to prove that their promise is not a legal contract. Therefore, the judge held that the defendant intended legal relations and their promise was contractual level</w:t>
      </w:r>
      <w:r w:rsidR="00AE5011">
        <w:rPr>
          <w:rFonts w:ascii="Times New Roman" w:hAnsi="Times New Roman" w:cs="Times New Roman"/>
          <w:sz w:val="24"/>
          <w:szCs w:val="24"/>
        </w:rPr>
        <w:t xml:space="preserve"> </w:t>
      </w:r>
      <w:sdt>
        <w:sdtPr>
          <w:rPr>
            <w:rFonts w:ascii="Times New Roman" w:hAnsi="Times New Roman" w:cs="Times New Roman"/>
            <w:sz w:val="24"/>
            <w:szCs w:val="24"/>
          </w:rPr>
          <w:id w:val="2012716535"/>
          <w:citation/>
        </w:sdtPr>
        <w:sdtEndPr/>
        <w:sdtContent>
          <w:r w:rsidR="00496149">
            <w:rPr>
              <w:rFonts w:ascii="Times New Roman" w:hAnsi="Times New Roman" w:cs="Times New Roman"/>
              <w:sz w:val="24"/>
              <w:szCs w:val="24"/>
            </w:rPr>
            <w:fldChar w:fldCharType="begin"/>
          </w:r>
          <w:r w:rsidR="00496149">
            <w:rPr>
              <w:rFonts w:ascii="Times New Roman" w:hAnsi="Times New Roman" w:cs="Times New Roman"/>
              <w:sz w:val="24"/>
              <w:szCs w:val="24"/>
              <w:lang w:val="en-GB"/>
            </w:rPr>
            <w:instrText xml:space="preserve"> CITATION McK121 \l 2057 </w:instrText>
          </w:r>
          <w:r w:rsidR="00496149">
            <w:rPr>
              <w:rFonts w:ascii="Times New Roman" w:hAnsi="Times New Roman" w:cs="Times New Roman"/>
              <w:sz w:val="24"/>
              <w:szCs w:val="24"/>
            </w:rPr>
            <w:fldChar w:fldCharType="separate"/>
          </w:r>
          <w:r w:rsidR="00496149" w:rsidRPr="00496149">
            <w:rPr>
              <w:rFonts w:ascii="Times New Roman" w:hAnsi="Times New Roman" w:cs="Times New Roman"/>
              <w:noProof/>
              <w:sz w:val="24"/>
              <w:szCs w:val="24"/>
              <w:lang w:val="en-GB"/>
            </w:rPr>
            <w:t>(McKendrick, 2012)</w:t>
          </w:r>
          <w:r w:rsidR="00496149">
            <w:rPr>
              <w:rFonts w:ascii="Times New Roman" w:hAnsi="Times New Roman" w:cs="Times New Roman"/>
              <w:sz w:val="24"/>
              <w:szCs w:val="24"/>
            </w:rPr>
            <w:fldChar w:fldCharType="end"/>
          </w:r>
        </w:sdtContent>
      </w:sdt>
      <w:r w:rsidR="00991EC5">
        <w:rPr>
          <w:rFonts w:ascii="Times New Roman" w:hAnsi="Times New Roman" w:cs="Times New Roman"/>
          <w:sz w:val="24"/>
          <w:szCs w:val="24"/>
        </w:rPr>
        <w:t>.</w:t>
      </w:r>
    </w:p>
    <w:p w14:paraId="444E86A6" w14:textId="630F159A" w:rsidR="00151690" w:rsidRDefault="00151690" w:rsidP="00151690">
      <w:pPr>
        <w:spacing w:line="480" w:lineRule="auto"/>
        <w:jc w:val="both"/>
        <w:rPr>
          <w:rFonts w:ascii="Times New Roman" w:hAnsi="Times New Roman" w:cs="Times New Roman"/>
          <w:sz w:val="24"/>
          <w:szCs w:val="24"/>
        </w:rPr>
      </w:pPr>
      <w:r w:rsidRPr="00151690">
        <w:rPr>
          <w:rFonts w:ascii="Times New Roman" w:hAnsi="Times New Roman" w:cs="Times New Roman"/>
          <w:sz w:val="24"/>
          <w:szCs w:val="24"/>
        </w:rPr>
        <w:t xml:space="preserve"> </w:t>
      </w:r>
      <w:r w:rsidR="00521619">
        <w:rPr>
          <w:rFonts w:ascii="Times New Roman" w:hAnsi="Times New Roman" w:cs="Times New Roman"/>
          <w:sz w:val="24"/>
          <w:szCs w:val="24"/>
        </w:rPr>
        <w:t>In Rose &amp; Frank v. Crompton Bros’s case in 1925,</w:t>
      </w:r>
      <w:r w:rsidRPr="00151690">
        <w:rPr>
          <w:rFonts w:ascii="Times New Roman" w:hAnsi="Times New Roman" w:cs="Times New Roman"/>
          <w:sz w:val="24"/>
          <w:szCs w:val="24"/>
        </w:rPr>
        <w:t xml:space="preserve"> the </w:t>
      </w:r>
      <w:r w:rsidR="00521619">
        <w:rPr>
          <w:rFonts w:ascii="Times New Roman" w:hAnsi="Times New Roman" w:cs="Times New Roman"/>
          <w:sz w:val="24"/>
          <w:szCs w:val="24"/>
        </w:rPr>
        <w:t xml:space="preserve">defendants had appointed the plaintiffs as sole agents. </w:t>
      </w:r>
      <w:r w:rsidRPr="00151690">
        <w:rPr>
          <w:rFonts w:ascii="Times New Roman" w:hAnsi="Times New Roman" w:cs="Times New Roman"/>
          <w:sz w:val="24"/>
          <w:szCs w:val="24"/>
        </w:rPr>
        <w:t>However, according to the offending clause, th</w:t>
      </w:r>
      <w:r w:rsidR="00521619">
        <w:rPr>
          <w:rFonts w:ascii="Times New Roman" w:hAnsi="Times New Roman" w:cs="Times New Roman"/>
          <w:sz w:val="24"/>
          <w:szCs w:val="24"/>
        </w:rPr>
        <w:t>e arrangement</w:t>
      </w:r>
      <w:r w:rsidRPr="00151690">
        <w:rPr>
          <w:rFonts w:ascii="Times New Roman" w:hAnsi="Times New Roman" w:cs="Times New Roman"/>
          <w:sz w:val="24"/>
          <w:szCs w:val="24"/>
        </w:rPr>
        <w:t xml:space="preserve"> cannot be subject to legal jurisdiction in the court of law of England, but it is just a certain record and expression of the intent and purpose of the parties concerned where every honorary pledge him/herself with full self-assurance based on the previous business dealings with one another – that it shall be carried through the three parties with friendly cooperation and mutual loyalty</w:t>
      </w:r>
      <w:bookmarkStart w:id="1" w:name="_Hlk129312155"/>
      <w:r w:rsidR="007D1842">
        <w:rPr>
          <w:rFonts w:ascii="Times New Roman" w:hAnsi="Times New Roman" w:cs="Times New Roman"/>
          <w:sz w:val="24"/>
          <w:szCs w:val="24"/>
        </w:rPr>
        <w:t>.</w:t>
      </w:r>
    </w:p>
    <w:bookmarkEnd w:id="1"/>
    <w:p w14:paraId="18EE6A51" w14:textId="1B5B9FD8" w:rsidR="00151690" w:rsidRDefault="007D1BA1" w:rsidP="007D1B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case of </w:t>
      </w:r>
      <w:r w:rsidRPr="007D1BA1">
        <w:rPr>
          <w:rFonts w:ascii="Times New Roman" w:hAnsi="Times New Roman" w:cs="Times New Roman"/>
          <w:sz w:val="24"/>
          <w:szCs w:val="24"/>
        </w:rPr>
        <w:t>Kleinwort</w:t>
      </w:r>
      <w:r>
        <w:rPr>
          <w:rFonts w:ascii="Times New Roman" w:hAnsi="Times New Roman" w:cs="Times New Roman"/>
          <w:sz w:val="24"/>
          <w:szCs w:val="24"/>
        </w:rPr>
        <w:t xml:space="preserve"> </w:t>
      </w:r>
      <w:r w:rsidRPr="007D1BA1">
        <w:rPr>
          <w:rFonts w:ascii="Times New Roman" w:hAnsi="Times New Roman" w:cs="Times New Roman"/>
          <w:sz w:val="24"/>
          <w:szCs w:val="24"/>
        </w:rPr>
        <w:t xml:space="preserve">Benson Ltd v. Malaysia Mining Corporation Berhad </w:t>
      </w:r>
      <w:r>
        <w:rPr>
          <w:rFonts w:ascii="Times New Roman" w:hAnsi="Times New Roman" w:cs="Times New Roman"/>
          <w:sz w:val="24"/>
          <w:szCs w:val="24"/>
        </w:rPr>
        <w:t>in 1</w:t>
      </w:r>
      <w:r w:rsidRPr="007D1BA1">
        <w:rPr>
          <w:rFonts w:ascii="Times New Roman" w:hAnsi="Times New Roman" w:cs="Times New Roman"/>
          <w:sz w:val="24"/>
          <w:szCs w:val="24"/>
        </w:rPr>
        <w:t>989</w:t>
      </w:r>
      <w:r>
        <w:rPr>
          <w:rFonts w:ascii="Times New Roman" w:hAnsi="Times New Roman" w:cs="Times New Roman"/>
          <w:sz w:val="24"/>
          <w:szCs w:val="24"/>
        </w:rPr>
        <w:t>, the Malaysian company is the defendant and Benson Ltd. is the plaintiff. The</w:t>
      </w:r>
      <w:r w:rsidRPr="007D1BA1">
        <w:rPr>
          <w:rFonts w:ascii="Times New Roman" w:hAnsi="Times New Roman" w:cs="Times New Roman"/>
          <w:sz w:val="24"/>
          <w:szCs w:val="24"/>
        </w:rPr>
        <w:t xml:space="preserve"> company </w:t>
      </w:r>
      <w:r>
        <w:rPr>
          <w:rFonts w:ascii="Times New Roman" w:hAnsi="Times New Roman" w:cs="Times New Roman"/>
          <w:sz w:val="24"/>
          <w:szCs w:val="24"/>
        </w:rPr>
        <w:t xml:space="preserve">sent a </w:t>
      </w:r>
      <w:r w:rsidRPr="007D1BA1">
        <w:rPr>
          <w:rFonts w:ascii="Times New Roman" w:hAnsi="Times New Roman" w:cs="Times New Roman"/>
          <w:sz w:val="24"/>
          <w:szCs w:val="24"/>
        </w:rPr>
        <w:t>letter of comfort to a bank to provide a £10 million credit facility</w:t>
      </w:r>
      <w:r>
        <w:rPr>
          <w:rFonts w:ascii="Times New Roman" w:hAnsi="Times New Roman" w:cs="Times New Roman"/>
          <w:sz w:val="24"/>
          <w:szCs w:val="24"/>
        </w:rPr>
        <w:t>.</w:t>
      </w:r>
      <w:r w:rsidRPr="007D1BA1">
        <w:rPr>
          <w:rFonts w:ascii="Times New Roman" w:hAnsi="Times New Roman" w:cs="Times New Roman"/>
          <w:sz w:val="24"/>
          <w:szCs w:val="24"/>
        </w:rPr>
        <w:t xml:space="preserve"> The </w:t>
      </w:r>
      <w:r>
        <w:rPr>
          <w:rFonts w:ascii="Times New Roman" w:hAnsi="Times New Roman" w:cs="Times New Roman"/>
          <w:sz w:val="24"/>
          <w:szCs w:val="24"/>
        </w:rPr>
        <w:t xml:space="preserve">bank </w:t>
      </w:r>
      <w:r w:rsidRPr="007D1BA1">
        <w:rPr>
          <w:rFonts w:ascii="Times New Roman" w:hAnsi="Times New Roman" w:cs="Times New Roman"/>
          <w:sz w:val="24"/>
          <w:szCs w:val="24"/>
        </w:rPr>
        <w:t xml:space="preserve">asked the </w:t>
      </w:r>
      <w:r>
        <w:rPr>
          <w:rFonts w:ascii="Times New Roman" w:hAnsi="Times New Roman" w:cs="Times New Roman"/>
          <w:sz w:val="24"/>
          <w:szCs w:val="24"/>
        </w:rPr>
        <w:t>defendant</w:t>
      </w:r>
      <w:r w:rsidRPr="007D1BA1">
        <w:rPr>
          <w:rFonts w:ascii="Times New Roman" w:hAnsi="Times New Roman" w:cs="Times New Roman"/>
          <w:sz w:val="24"/>
          <w:szCs w:val="24"/>
        </w:rPr>
        <w:t xml:space="preserve"> to provide a guarantee of </w:t>
      </w:r>
      <w:r>
        <w:rPr>
          <w:rFonts w:ascii="Times New Roman" w:hAnsi="Times New Roman" w:cs="Times New Roman"/>
          <w:sz w:val="24"/>
          <w:szCs w:val="24"/>
        </w:rPr>
        <w:t>paying</w:t>
      </w:r>
      <w:r w:rsidRPr="007D1BA1">
        <w:rPr>
          <w:rFonts w:ascii="Times New Roman" w:hAnsi="Times New Roman" w:cs="Times New Roman"/>
          <w:sz w:val="24"/>
          <w:szCs w:val="24"/>
        </w:rPr>
        <w:t xml:space="preserve"> debts. The </w:t>
      </w:r>
      <w:r>
        <w:rPr>
          <w:rFonts w:ascii="Times New Roman" w:hAnsi="Times New Roman" w:cs="Times New Roman"/>
          <w:sz w:val="24"/>
          <w:szCs w:val="24"/>
        </w:rPr>
        <w:t>defendant</w:t>
      </w:r>
      <w:r w:rsidRPr="007D1BA1">
        <w:rPr>
          <w:rFonts w:ascii="Times New Roman" w:hAnsi="Times New Roman" w:cs="Times New Roman"/>
          <w:sz w:val="24"/>
          <w:szCs w:val="24"/>
        </w:rPr>
        <w:t xml:space="preserve"> refused</w:t>
      </w:r>
      <w:r>
        <w:rPr>
          <w:rFonts w:ascii="Times New Roman" w:hAnsi="Times New Roman" w:cs="Times New Roman"/>
          <w:sz w:val="24"/>
          <w:szCs w:val="24"/>
        </w:rPr>
        <w:t xml:space="preserve"> and the plaintiff appealed to the court. Judge held that the fact that the defendant refused to act as guarantor shows that they did not intend to create legal relations. </w:t>
      </w:r>
      <w:r w:rsidR="00063763">
        <w:rPr>
          <w:rFonts w:ascii="Times New Roman" w:hAnsi="Times New Roman" w:cs="Times New Roman"/>
          <w:sz w:val="24"/>
          <w:szCs w:val="24"/>
        </w:rPr>
        <w:t xml:space="preserve">As a result, the case was risen to contractual level </w:t>
      </w:r>
      <w:sdt>
        <w:sdtPr>
          <w:rPr>
            <w:rFonts w:ascii="Times New Roman" w:hAnsi="Times New Roman" w:cs="Times New Roman"/>
            <w:sz w:val="24"/>
            <w:szCs w:val="24"/>
          </w:rPr>
          <w:id w:val="1266733967"/>
          <w:citation/>
        </w:sdtPr>
        <w:sdtEndPr/>
        <w:sdtContent>
          <w:r w:rsidR="00AE5011">
            <w:rPr>
              <w:rFonts w:ascii="Times New Roman" w:hAnsi="Times New Roman" w:cs="Times New Roman"/>
              <w:sz w:val="24"/>
              <w:szCs w:val="24"/>
            </w:rPr>
            <w:fldChar w:fldCharType="begin"/>
          </w:r>
          <w:r w:rsidR="00AE5011">
            <w:rPr>
              <w:rFonts w:ascii="Times New Roman" w:hAnsi="Times New Roman" w:cs="Times New Roman"/>
              <w:sz w:val="24"/>
              <w:szCs w:val="24"/>
              <w:lang w:val="en-GB"/>
            </w:rPr>
            <w:instrText xml:space="preserve"> CITATION McK12 \l 2057 </w:instrText>
          </w:r>
          <w:r w:rsidR="00AE5011">
            <w:rPr>
              <w:rFonts w:ascii="Times New Roman" w:hAnsi="Times New Roman" w:cs="Times New Roman"/>
              <w:sz w:val="24"/>
              <w:szCs w:val="24"/>
            </w:rPr>
            <w:fldChar w:fldCharType="separate"/>
          </w:r>
          <w:r w:rsidR="00AE5011" w:rsidRPr="00AE5011">
            <w:rPr>
              <w:rFonts w:ascii="Times New Roman" w:hAnsi="Times New Roman" w:cs="Times New Roman"/>
              <w:noProof/>
              <w:sz w:val="24"/>
              <w:szCs w:val="24"/>
              <w:lang w:val="en-GB"/>
            </w:rPr>
            <w:t>(McKendrick, 2012)</w:t>
          </w:r>
          <w:r w:rsidR="00AE5011">
            <w:rPr>
              <w:rFonts w:ascii="Times New Roman" w:hAnsi="Times New Roman" w:cs="Times New Roman"/>
              <w:sz w:val="24"/>
              <w:szCs w:val="24"/>
            </w:rPr>
            <w:fldChar w:fldCharType="end"/>
          </w:r>
        </w:sdtContent>
      </w:sdt>
    </w:p>
    <w:p w14:paraId="66B71144" w14:textId="613CE5B2" w:rsidR="001756C3" w:rsidRDefault="001756C3" w:rsidP="007D1BA1">
      <w:pPr>
        <w:spacing w:line="480" w:lineRule="auto"/>
        <w:jc w:val="both"/>
        <w:rPr>
          <w:rFonts w:ascii="Times New Roman" w:hAnsi="Times New Roman" w:cs="Times New Roman"/>
          <w:sz w:val="24"/>
          <w:szCs w:val="24"/>
        </w:rPr>
      </w:pPr>
      <w:r>
        <w:rPr>
          <w:rFonts w:ascii="Times New Roman" w:hAnsi="Times New Roman" w:cs="Times New Roman"/>
          <w:sz w:val="24"/>
          <w:szCs w:val="24"/>
        </w:rPr>
        <w:t>In the case of ERDC Group Ltd v. Brunel University in 2006,</w:t>
      </w:r>
      <w:r w:rsidR="00500FF5">
        <w:rPr>
          <w:rFonts w:ascii="Times New Roman" w:hAnsi="Times New Roman" w:cs="Times New Roman"/>
          <w:sz w:val="24"/>
          <w:szCs w:val="24"/>
        </w:rPr>
        <w:t xml:space="preserve"> the plaintiff is the ERDC Group </w:t>
      </w:r>
      <w:r w:rsidR="00D51157">
        <w:rPr>
          <w:rFonts w:ascii="Times New Roman" w:hAnsi="Times New Roman" w:cs="Times New Roman"/>
          <w:sz w:val="24"/>
          <w:szCs w:val="24"/>
        </w:rPr>
        <w:t>Ltd,</w:t>
      </w:r>
      <w:r w:rsidR="00500FF5">
        <w:rPr>
          <w:rFonts w:ascii="Times New Roman" w:hAnsi="Times New Roman" w:cs="Times New Roman"/>
          <w:sz w:val="24"/>
          <w:szCs w:val="24"/>
        </w:rPr>
        <w:t xml:space="preserve"> and the</w:t>
      </w:r>
      <w:r w:rsidR="003D670D">
        <w:rPr>
          <w:rFonts w:ascii="Times New Roman" w:hAnsi="Times New Roman" w:cs="Times New Roman"/>
          <w:sz w:val="24"/>
          <w:szCs w:val="24"/>
        </w:rPr>
        <w:t xml:space="preserve"> defendant is Brunel University. The case started when the plaintiff asked for claiming payment for the construction of</w:t>
      </w:r>
      <w:r w:rsidR="00063763">
        <w:rPr>
          <w:rFonts w:ascii="Times New Roman" w:hAnsi="Times New Roman" w:cs="Times New Roman"/>
          <w:sz w:val="24"/>
          <w:szCs w:val="24"/>
        </w:rPr>
        <w:t xml:space="preserve"> new</w:t>
      </w:r>
      <w:r w:rsidR="003D670D">
        <w:rPr>
          <w:rFonts w:ascii="Times New Roman" w:hAnsi="Times New Roman" w:cs="Times New Roman"/>
          <w:sz w:val="24"/>
          <w:szCs w:val="24"/>
        </w:rPr>
        <w:t xml:space="preserve"> sports facilities in the University.</w:t>
      </w:r>
      <w:r w:rsidR="00063763">
        <w:rPr>
          <w:rFonts w:ascii="Times New Roman" w:hAnsi="Times New Roman" w:cs="Times New Roman"/>
          <w:sz w:val="24"/>
          <w:szCs w:val="24"/>
        </w:rPr>
        <w:t xml:space="preserve"> The plaintiff did not win the case as the judge his Honor Humphrey Lloyd saw that there should be there should be no adjustment as the plaintiff did not intend to create legal relations.</w:t>
      </w:r>
      <w:r>
        <w:rPr>
          <w:rFonts w:ascii="Times New Roman" w:hAnsi="Times New Roman" w:cs="Times New Roman"/>
          <w:sz w:val="24"/>
          <w:szCs w:val="24"/>
        </w:rPr>
        <w:t xml:space="preserve"> </w:t>
      </w:r>
      <w:sdt>
        <w:sdtPr>
          <w:rPr>
            <w:rFonts w:ascii="Times New Roman" w:hAnsi="Times New Roman" w:cs="Times New Roman"/>
            <w:sz w:val="24"/>
            <w:szCs w:val="24"/>
          </w:rPr>
          <w:id w:val="1219782589"/>
          <w:citation/>
        </w:sdtPr>
        <w:sdtEndPr/>
        <w:sdtContent>
          <w:r w:rsidR="00D20061">
            <w:rPr>
              <w:rFonts w:ascii="Times New Roman" w:hAnsi="Times New Roman" w:cs="Times New Roman"/>
              <w:sz w:val="24"/>
              <w:szCs w:val="24"/>
            </w:rPr>
            <w:fldChar w:fldCharType="begin"/>
          </w:r>
          <w:r w:rsidR="00D20061">
            <w:rPr>
              <w:rFonts w:ascii="Times New Roman" w:hAnsi="Times New Roman" w:cs="Times New Roman"/>
              <w:sz w:val="24"/>
              <w:szCs w:val="24"/>
              <w:lang w:val="en-GB"/>
            </w:rPr>
            <w:instrText xml:space="preserve"> CITATION ERD06 \l 2057 </w:instrText>
          </w:r>
          <w:r w:rsidR="00D20061">
            <w:rPr>
              <w:rFonts w:ascii="Times New Roman" w:hAnsi="Times New Roman" w:cs="Times New Roman"/>
              <w:sz w:val="24"/>
              <w:szCs w:val="24"/>
            </w:rPr>
            <w:fldChar w:fldCharType="separate"/>
          </w:r>
          <w:r w:rsidR="00D20061" w:rsidRPr="00D20061">
            <w:rPr>
              <w:rFonts w:ascii="Times New Roman" w:hAnsi="Times New Roman" w:cs="Times New Roman"/>
              <w:noProof/>
              <w:sz w:val="24"/>
              <w:szCs w:val="24"/>
              <w:lang w:val="en-GB"/>
            </w:rPr>
            <w:t>(ERDC Group Ltd v Brunel University, 2006)</w:t>
          </w:r>
          <w:r w:rsidR="00D20061">
            <w:rPr>
              <w:rFonts w:ascii="Times New Roman" w:hAnsi="Times New Roman" w:cs="Times New Roman"/>
              <w:sz w:val="24"/>
              <w:szCs w:val="24"/>
            </w:rPr>
            <w:fldChar w:fldCharType="end"/>
          </w:r>
        </w:sdtContent>
      </w:sdt>
    </w:p>
    <w:p w14:paraId="027566BE" w14:textId="7793FEED" w:rsidR="00063763" w:rsidRDefault="00B8505D" w:rsidP="007D1BA1">
      <w:pPr>
        <w:spacing w:line="480" w:lineRule="auto"/>
        <w:jc w:val="both"/>
        <w:rPr>
          <w:rFonts w:ascii="Times New Roman" w:hAnsi="Times New Roman" w:cs="Times New Roman"/>
          <w:sz w:val="24"/>
          <w:szCs w:val="24"/>
        </w:rPr>
      </w:pPr>
      <w:r w:rsidRPr="00B8505D">
        <w:rPr>
          <w:rFonts w:ascii="Times New Roman" w:hAnsi="Times New Roman" w:cs="Times New Roman"/>
          <w:sz w:val="24"/>
          <w:szCs w:val="24"/>
        </w:rPr>
        <w:lastRenderedPageBreak/>
        <w:t>In the case of Ford v. Amalgamated Union of Engineering and Foundry Workers, the law court ruled that collective agreement was not binding. The 1971 industrial relations Act introduced by Carr Robert provided that collective agreements legally bound, lest the contact clause declare otherwise in writing. After the Heath government came to an end, the law was reversed. That law was integrated into the Labor relations and trade union consolidation act. All collective agreements made after the beginning of this law will be conclusively assumed not to have been designed by parties to be legally enforceable by contract lest the contract contains provisions that state that the parties have the intention that the agreement shall be legally enforceable contrac</w:t>
      </w:r>
      <w:r>
        <w:rPr>
          <w:rFonts w:ascii="Times New Roman" w:hAnsi="Times New Roman" w:cs="Times New Roman"/>
          <w:sz w:val="24"/>
          <w:szCs w:val="24"/>
        </w:rPr>
        <w:t>t</w:t>
      </w:r>
      <w:r w:rsidR="007243E1">
        <w:rPr>
          <w:rFonts w:ascii="Times New Roman" w:hAnsi="Times New Roman" w:cs="Times New Roman"/>
          <w:sz w:val="24"/>
          <w:szCs w:val="24"/>
        </w:rPr>
        <w:t xml:space="preserve"> </w:t>
      </w:r>
      <w:sdt>
        <w:sdtPr>
          <w:rPr>
            <w:rFonts w:ascii="Times New Roman" w:hAnsi="Times New Roman" w:cs="Times New Roman"/>
            <w:sz w:val="24"/>
            <w:szCs w:val="24"/>
          </w:rPr>
          <w:id w:val="1934397462"/>
          <w:citation/>
        </w:sdtPr>
        <w:sdtEndPr/>
        <w:sdtContent>
          <w:r w:rsidR="007243E1">
            <w:rPr>
              <w:rFonts w:ascii="Times New Roman" w:hAnsi="Times New Roman" w:cs="Times New Roman"/>
              <w:sz w:val="24"/>
              <w:szCs w:val="24"/>
            </w:rPr>
            <w:fldChar w:fldCharType="begin"/>
          </w:r>
          <w:r w:rsidR="007243E1">
            <w:rPr>
              <w:rFonts w:ascii="Times New Roman" w:hAnsi="Times New Roman" w:cs="Times New Roman"/>
              <w:sz w:val="24"/>
              <w:szCs w:val="24"/>
              <w:lang w:val="en-GB"/>
            </w:rPr>
            <w:instrText xml:space="preserve"> CITATION McK126 \l 2057 </w:instrText>
          </w:r>
          <w:r w:rsidR="007243E1">
            <w:rPr>
              <w:rFonts w:ascii="Times New Roman" w:hAnsi="Times New Roman" w:cs="Times New Roman"/>
              <w:sz w:val="24"/>
              <w:szCs w:val="24"/>
            </w:rPr>
            <w:fldChar w:fldCharType="separate"/>
          </w:r>
          <w:r w:rsidR="007243E1" w:rsidRPr="007243E1">
            <w:rPr>
              <w:rFonts w:ascii="Times New Roman" w:hAnsi="Times New Roman" w:cs="Times New Roman"/>
              <w:noProof/>
              <w:sz w:val="24"/>
              <w:szCs w:val="24"/>
              <w:lang w:val="en-GB"/>
            </w:rPr>
            <w:t>(McKendrick, 2012)</w:t>
          </w:r>
          <w:r w:rsidR="007243E1">
            <w:rPr>
              <w:rFonts w:ascii="Times New Roman" w:hAnsi="Times New Roman" w:cs="Times New Roman"/>
              <w:sz w:val="24"/>
              <w:szCs w:val="24"/>
            </w:rPr>
            <w:fldChar w:fldCharType="end"/>
          </w:r>
        </w:sdtContent>
      </w:sdt>
    </w:p>
    <w:p w14:paraId="5077E712" w14:textId="77777777" w:rsidR="00151690" w:rsidRPr="006F2A7F" w:rsidRDefault="00151690" w:rsidP="006F2A7F">
      <w:pPr>
        <w:spacing w:line="480" w:lineRule="auto"/>
        <w:jc w:val="both"/>
        <w:rPr>
          <w:rFonts w:ascii="Times New Roman" w:hAnsi="Times New Roman" w:cs="Times New Roman"/>
          <w:sz w:val="24"/>
          <w:szCs w:val="24"/>
        </w:rPr>
      </w:pPr>
    </w:p>
    <w:p w14:paraId="63319EA4" w14:textId="77777777" w:rsidR="009C04B1" w:rsidRPr="006F2A7F" w:rsidRDefault="00364C72" w:rsidP="006F2A7F">
      <w:pPr>
        <w:spacing w:line="480" w:lineRule="auto"/>
        <w:jc w:val="both"/>
        <w:rPr>
          <w:rFonts w:ascii="Times New Roman" w:hAnsi="Times New Roman" w:cs="Times New Roman"/>
          <w:b/>
          <w:bCs/>
          <w:sz w:val="24"/>
          <w:szCs w:val="24"/>
        </w:rPr>
      </w:pPr>
      <w:r w:rsidRPr="006F2A7F">
        <w:rPr>
          <w:rFonts w:ascii="Times New Roman" w:hAnsi="Times New Roman" w:cs="Times New Roman"/>
          <w:b/>
          <w:bCs/>
          <w:sz w:val="24"/>
          <w:szCs w:val="24"/>
        </w:rPr>
        <w:t>Agreements Made with Public Bodies or Those Which Affect Public Interest</w:t>
      </w:r>
    </w:p>
    <w:p w14:paraId="7B6454B0" w14:textId="0C4B5887" w:rsidR="001F7EE3"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 xml:space="preserve">Public bodies agreements </w:t>
      </w:r>
      <w:r w:rsidR="00EC7FAB" w:rsidRPr="006F2A7F">
        <w:rPr>
          <w:rFonts w:ascii="Times New Roman" w:hAnsi="Times New Roman" w:cs="Times New Roman"/>
          <w:sz w:val="24"/>
          <w:szCs w:val="24"/>
        </w:rPr>
        <w:t>are</w:t>
      </w:r>
      <w:r w:rsidRPr="006F2A7F">
        <w:rPr>
          <w:rFonts w:ascii="Times New Roman" w:hAnsi="Times New Roman" w:cs="Times New Roman"/>
          <w:sz w:val="24"/>
          <w:szCs w:val="24"/>
        </w:rPr>
        <w:t xml:space="preserve"> special kind of commercial agreements like those ones negotiated via collective bargaining between trade unions and the management. </w:t>
      </w:r>
    </w:p>
    <w:p w14:paraId="6F367896" w14:textId="064994B1" w:rsidR="001F7EE3" w:rsidRDefault="007704E6" w:rsidP="006F2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case of </w:t>
      </w:r>
      <w:bookmarkStart w:id="2" w:name="_Hlk129380718"/>
      <w:r>
        <w:rPr>
          <w:rFonts w:ascii="Times New Roman" w:hAnsi="Times New Roman" w:cs="Times New Roman"/>
          <w:sz w:val="24"/>
          <w:szCs w:val="24"/>
        </w:rPr>
        <w:t>Will</w:t>
      </w:r>
      <w:r w:rsidR="00F10B0F">
        <w:rPr>
          <w:rFonts w:ascii="Times New Roman" w:hAnsi="Times New Roman" w:cs="Times New Roman"/>
          <w:sz w:val="24"/>
          <w:szCs w:val="24"/>
        </w:rPr>
        <w:t xml:space="preserve">more v </w:t>
      </w:r>
      <w:r w:rsidR="002F3C22">
        <w:rPr>
          <w:rFonts w:ascii="Times New Roman" w:hAnsi="Times New Roman" w:cs="Times New Roman"/>
          <w:sz w:val="24"/>
          <w:szCs w:val="24"/>
        </w:rPr>
        <w:t>South eastern</w:t>
      </w:r>
      <w:r w:rsidR="00F10B0F">
        <w:rPr>
          <w:rFonts w:ascii="Times New Roman" w:hAnsi="Times New Roman" w:cs="Times New Roman"/>
          <w:sz w:val="24"/>
          <w:szCs w:val="24"/>
        </w:rPr>
        <w:t xml:space="preserve"> Electricity Board </w:t>
      </w:r>
      <w:r w:rsidR="008408D8">
        <w:rPr>
          <w:rFonts w:ascii="Times New Roman" w:hAnsi="Times New Roman" w:cs="Times New Roman"/>
          <w:sz w:val="24"/>
          <w:szCs w:val="24"/>
        </w:rPr>
        <w:t>in 1957</w:t>
      </w:r>
      <w:bookmarkEnd w:id="2"/>
      <w:r w:rsidR="008408D8">
        <w:rPr>
          <w:rFonts w:ascii="Times New Roman" w:hAnsi="Times New Roman" w:cs="Times New Roman"/>
          <w:sz w:val="24"/>
          <w:szCs w:val="24"/>
        </w:rPr>
        <w:t xml:space="preserve">, </w:t>
      </w:r>
      <w:r w:rsidR="00623A9E">
        <w:rPr>
          <w:rFonts w:ascii="Times New Roman" w:hAnsi="Times New Roman" w:cs="Times New Roman"/>
          <w:sz w:val="24"/>
          <w:szCs w:val="24"/>
        </w:rPr>
        <w:t xml:space="preserve">the plaintiff Willmore wanted to install electric lamp and </w:t>
      </w:r>
      <w:r w:rsidR="00055242">
        <w:rPr>
          <w:rFonts w:ascii="Times New Roman" w:hAnsi="Times New Roman" w:cs="Times New Roman"/>
          <w:sz w:val="24"/>
          <w:szCs w:val="24"/>
        </w:rPr>
        <w:t>requested the defendant</w:t>
      </w:r>
      <w:r w:rsidR="001E0776">
        <w:rPr>
          <w:rFonts w:ascii="Times New Roman" w:hAnsi="Times New Roman" w:cs="Times New Roman"/>
          <w:sz w:val="24"/>
          <w:szCs w:val="24"/>
        </w:rPr>
        <w:t xml:space="preserve"> for this purpose. </w:t>
      </w:r>
      <w:r w:rsidR="0074692D">
        <w:rPr>
          <w:rFonts w:ascii="Times New Roman" w:hAnsi="Times New Roman" w:cs="Times New Roman"/>
          <w:sz w:val="24"/>
          <w:szCs w:val="24"/>
        </w:rPr>
        <w:t xml:space="preserve">The </w:t>
      </w:r>
      <w:r w:rsidR="0039729C">
        <w:rPr>
          <w:rFonts w:ascii="Times New Roman" w:hAnsi="Times New Roman" w:cs="Times New Roman"/>
          <w:sz w:val="24"/>
          <w:szCs w:val="24"/>
        </w:rPr>
        <w:t>plaintiff consulted the advice of defendant’s engineer on which lamps to purchase. The lamps failed to work</w:t>
      </w:r>
      <w:r w:rsidR="000A6343">
        <w:rPr>
          <w:rFonts w:ascii="Times New Roman" w:hAnsi="Times New Roman" w:cs="Times New Roman"/>
          <w:sz w:val="24"/>
          <w:szCs w:val="24"/>
        </w:rPr>
        <w:t xml:space="preserve"> resulting damage for the plaintiff. It was held by the judge </w:t>
      </w:r>
      <w:r w:rsidR="00AF70FB">
        <w:rPr>
          <w:rFonts w:ascii="Times New Roman" w:hAnsi="Times New Roman" w:cs="Times New Roman"/>
          <w:sz w:val="24"/>
          <w:szCs w:val="24"/>
        </w:rPr>
        <w:t xml:space="preserve">that </w:t>
      </w:r>
      <w:r w:rsidR="007F73EC">
        <w:rPr>
          <w:rFonts w:ascii="Times New Roman" w:hAnsi="Times New Roman" w:cs="Times New Roman"/>
          <w:sz w:val="24"/>
          <w:szCs w:val="24"/>
        </w:rPr>
        <w:t>th</w:t>
      </w:r>
      <w:r w:rsidR="003A2CE8">
        <w:rPr>
          <w:rFonts w:ascii="Times New Roman" w:hAnsi="Times New Roman" w:cs="Times New Roman"/>
          <w:sz w:val="24"/>
          <w:szCs w:val="24"/>
        </w:rPr>
        <w:t xml:space="preserve">ere was no intention to create legal relations </w:t>
      </w:r>
      <w:sdt>
        <w:sdtPr>
          <w:rPr>
            <w:rFonts w:ascii="Times New Roman" w:hAnsi="Times New Roman" w:cs="Times New Roman"/>
            <w:sz w:val="24"/>
            <w:szCs w:val="24"/>
          </w:rPr>
          <w:id w:val="-743945850"/>
          <w:citation/>
        </w:sdtPr>
        <w:sdtEndPr/>
        <w:sdtContent>
          <w:r w:rsidR="001E0790">
            <w:rPr>
              <w:rFonts w:ascii="Times New Roman" w:hAnsi="Times New Roman" w:cs="Times New Roman"/>
              <w:sz w:val="24"/>
              <w:szCs w:val="24"/>
            </w:rPr>
            <w:fldChar w:fldCharType="begin"/>
          </w:r>
          <w:r w:rsidR="001E0790">
            <w:rPr>
              <w:rFonts w:ascii="Times New Roman" w:hAnsi="Times New Roman" w:cs="Times New Roman"/>
              <w:sz w:val="24"/>
              <w:szCs w:val="24"/>
              <w:lang w:val="en-GB"/>
            </w:rPr>
            <w:instrText xml:space="preserve">CITATION The09 \l 2057 </w:instrText>
          </w:r>
          <w:r w:rsidR="001E0790">
            <w:rPr>
              <w:rFonts w:ascii="Times New Roman" w:hAnsi="Times New Roman" w:cs="Times New Roman"/>
              <w:sz w:val="24"/>
              <w:szCs w:val="24"/>
            </w:rPr>
            <w:fldChar w:fldCharType="separate"/>
          </w:r>
          <w:r w:rsidR="001E0790" w:rsidRPr="001E0790">
            <w:rPr>
              <w:rFonts w:ascii="Times New Roman" w:hAnsi="Times New Roman" w:cs="Times New Roman"/>
              <w:noProof/>
              <w:sz w:val="24"/>
              <w:szCs w:val="24"/>
              <w:lang w:val="en-GB"/>
            </w:rPr>
            <w:t>(Anon., 2009)</w:t>
          </w:r>
          <w:r w:rsidR="001E0790">
            <w:rPr>
              <w:rFonts w:ascii="Times New Roman" w:hAnsi="Times New Roman" w:cs="Times New Roman"/>
              <w:sz w:val="24"/>
              <w:szCs w:val="24"/>
            </w:rPr>
            <w:fldChar w:fldCharType="end"/>
          </w:r>
        </w:sdtContent>
      </w:sdt>
    </w:p>
    <w:p w14:paraId="6E98933A" w14:textId="6EA20F8F" w:rsidR="0032471D" w:rsidRDefault="00AF729C" w:rsidP="006F2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51650E">
        <w:rPr>
          <w:rFonts w:ascii="Times New Roman" w:hAnsi="Times New Roman" w:cs="Times New Roman"/>
          <w:sz w:val="24"/>
          <w:szCs w:val="24"/>
        </w:rPr>
        <w:t>Triefus v Post Office</w:t>
      </w:r>
      <w:r w:rsidR="00BB1857">
        <w:rPr>
          <w:rFonts w:ascii="Times New Roman" w:hAnsi="Times New Roman" w:cs="Times New Roman"/>
          <w:sz w:val="24"/>
          <w:szCs w:val="24"/>
        </w:rPr>
        <w:t xml:space="preserve"> case in 1957, </w:t>
      </w:r>
      <w:r w:rsidR="00AB350D">
        <w:rPr>
          <w:rFonts w:ascii="Times New Roman" w:hAnsi="Times New Roman" w:cs="Times New Roman"/>
          <w:sz w:val="24"/>
          <w:szCs w:val="24"/>
        </w:rPr>
        <w:t xml:space="preserve">the plaintiff </w:t>
      </w:r>
      <w:r w:rsidR="0043271E">
        <w:rPr>
          <w:rFonts w:ascii="Times New Roman" w:hAnsi="Times New Roman" w:cs="Times New Roman"/>
          <w:sz w:val="24"/>
          <w:szCs w:val="24"/>
        </w:rPr>
        <w:t xml:space="preserve">was </w:t>
      </w:r>
      <w:r w:rsidR="00F53830">
        <w:rPr>
          <w:rFonts w:ascii="Times New Roman" w:hAnsi="Times New Roman" w:cs="Times New Roman"/>
          <w:sz w:val="24"/>
          <w:szCs w:val="24"/>
        </w:rPr>
        <w:t>Triefus</w:t>
      </w:r>
      <w:r w:rsidR="00B923A6">
        <w:rPr>
          <w:rFonts w:ascii="Times New Roman" w:hAnsi="Times New Roman" w:cs="Times New Roman"/>
          <w:sz w:val="24"/>
          <w:szCs w:val="24"/>
        </w:rPr>
        <w:t xml:space="preserve"> the</w:t>
      </w:r>
      <w:r w:rsidR="00F53830">
        <w:rPr>
          <w:rFonts w:ascii="Times New Roman" w:hAnsi="Times New Roman" w:cs="Times New Roman"/>
          <w:sz w:val="24"/>
          <w:szCs w:val="24"/>
        </w:rPr>
        <w:t xml:space="preserve"> </w:t>
      </w:r>
      <w:r w:rsidR="00B923A6">
        <w:rPr>
          <w:rFonts w:ascii="Times New Roman" w:hAnsi="Times New Roman" w:cs="Times New Roman"/>
          <w:sz w:val="24"/>
          <w:szCs w:val="24"/>
        </w:rPr>
        <w:t>company,</w:t>
      </w:r>
      <w:r w:rsidR="00F53830">
        <w:rPr>
          <w:rFonts w:ascii="Times New Roman" w:hAnsi="Times New Roman" w:cs="Times New Roman"/>
          <w:sz w:val="24"/>
          <w:szCs w:val="24"/>
        </w:rPr>
        <w:t xml:space="preserve"> and the defendant was the Post Office.</w:t>
      </w:r>
      <w:r w:rsidR="00A81874">
        <w:rPr>
          <w:rFonts w:ascii="Times New Roman" w:hAnsi="Times New Roman" w:cs="Times New Roman"/>
          <w:sz w:val="24"/>
          <w:szCs w:val="24"/>
        </w:rPr>
        <w:t xml:space="preserve"> </w:t>
      </w:r>
      <w:r w:rsidR="00F35B4B">
        <w:rPr>
          <w:rFonts w:ascii="Times New Roman" w:hAnsi="Times New Roman" w:cs="Times New Roman"/>
          <w:sz w:val="24"/>
          <w:szCs w:val="24"/>
        </w:rPr>
        <w:t>The case started when the plaintiff went to the court after losing two mail packets</w:t>
      </w:r>
      <w:r w:rsidR="00187EF5">
        <w:rPr>
          <w:rFonts w:ascii="Times New Roman" w:hAnsi="Times New Roman" w:cs="Times New Roman"/>
          <w:sz w:val="24"/>
          <w:szCs w:val="24"/>
        </w:rPr>
        <w:t xml:space="preserve"> because of the Post Office. </w:t>
      </w:r>
      <w:r w:rsidR="00127A04">
        <w:rPr>
          <w:rFonts w:ascii="Times New Roman" w:hAnsi="Times New Roman" w:cs="Times New Roman"/>
          <w:sz w:val="24"/>
          <w:szCs w:val="24"/>
        </w:rPr>
        <w:t xml:space="preserve">The two mail packets contained diamonds </w:t>
      </w:r>
      <w:r w:rsidR="00C616CF">
        <w:rPr>
          <w:rFonts w:ascii="Times New Roman" w:hAnsi="Times New Roman" w:cs="Times New Roman"/>
          <w:sz w:val="24"/>
          <w:szCs w:val="24"/>
        </w:rPr>
        <w:t xml:space="preserve">one worth 3380 Sterling Pound and the other worth 17998 Sterling Pound. </w:t>
      </w:r>
      <w:r w:rsidR="0002021E">
        <w:rPr>
          <w:rFonts w:ascii="Times New Roman" w:hAnsi="Times New Roman" w:cs="Times New Roman"/>
          <w:sz w:val="24"/>
          <w:szCs w:val="24"/>
        </w:rPr>
        <w:t xml:space="preserve">The </w:t>
      </w:r>
      <w:r w:rsidR="00F16A80">
        <w:rPr>
          <w:rFonts w:ascii="Times New Roman" w:hAnsi="Times New Roman" w:cs="Times New Roman"/>
          <w:sz w:val="24"/>
          <w:szCs w:val="24"/>
        </w:rPr>
        <w:t xml:space="preserve">plaintiff argued that there was </w:t>
      </w:r>
      <w:r w:rsidR="00F16A80">
        <w:rPr>
          <w:rFonts w:ascii="Times New Roman" w:hAnsi="Times New Roman" w:cs="Times New Roman"/>
          <w:sz w:val="24"/>
          <w:szCs w:val="24"/>
        </w:rPr>
        <w:lastRenderedPageBreak/>
        <w:t xml:space="preserve">contact between them and the defendant, but the defendant denied. </w:t>
      </w:r>
      <w:r w:rsidR="00187EF5">
        <w:rPr>
          <w:rFonts w:ascii="Times New Roman" w:hAnsi="Times New Roman" w:cs="Times New Roman"/>
          <w:sz w:val="24"/>
          <w:szCs w:val="24"/>
        </w:rPr>
        <w:t>The judge</w:t>
      </w:r>
      <w:r w:rsidR="0002437A">
        <w:rPr>
          <w:rFonts w:ascii="Times New Roman" w:hAnsi="Times New Roman" w:cs="Times New Roman"/>
          <w:sz w:val="24"/>
          <w:szCs w:val="24"/>
        </w:rPr>
        <w:t>s</w:t>
      </w:r>
      <w:r w:rsidR="00187EF5">
        <w:rPr>
          <w:rFonts w:ascii="Times New Roman" w:hAnsi="Times New Roman" w:cs="Times New Roman"/>
          <w:sz w:val="24"/>
          <w:szCs w:val="24"/>
        </w:rPr>
        <w:t xml:space="preserve"> wh</w:t>
      </w:r>
      <w:r w:rsidR="0002437A">
        <w:rPr>
          <w:rFonts w:ascii="Times New Roman" w:hAnsi="Times New Roman" w:cs="Times New Roman"/>
          <w:sz w:val="24"/>
          <w:szCs w:val="24"/>
        </w:rPr>
        <w:t xml:space="preserve">o were Lord Justice Hodson and Lord Justice Parker held that </w:t>
      </w:r>
      <w:r w:rsidR="00515707">
        <w:rPr>
          <w:rFonts w:ascii="Times New Roman" w:hAnsi="Times New Roman" w:cs="Times New Roman"/>
          <w:sz w:val="24"/>
          <w:szCs w:val="24"/>
        </w:rPr>
        <w:t xml:space="preserve">the acceptance of postal </w:t>
      </w:r>
      <w:r w:rsidR="00286B11">
        <w:rPr>
          <w:rFonts w:ascii="Times New Roman" w:hAnsi="Times New Roman" w:cs="Times New Roman"/>
          <w:sz w:val="24"/>
          <w:szCs w:val="24"/>
        </w:rPr>
        <w:t xml:space="preserve">packet by the plaintiff contributed to no contractual rights and therefore the </w:t>
      </w:r>
      <w:r w:rsidR="00692C39">
        <w:rPr>
          <w:rFonts w:ascii="Times New Roman" w:hAnsi="Times New Roman" w:cs="Times New Roman"/>
          <w:sz w:val="24"/>
          <w:szCs w:val="24"/>
        </w:rPr>
        <w:t xml:space="preserve">plaintiff won the case </w:t>
      </w:r>
      <w:sdt>
        <w:sdtPr>
          <w:rPr>
            <w:rFonts w:ascii="Times New Roman" w:hAnsi="Times New Roman" w:cs="Times New Roman"/>
            <w:sz w:val="24"/>
            <w:szCs w:val="24"/>
          </w:rPr>
          <w:id w:val="-770471337"/>
          <w:citation/>
        </w:sdtPr>
        <w:sdtEndPr/>
        <w:sdtContent>
          <w:r w:rsidR="00692C39">
            <w:rPr>
              <w:rFonts w:ascii="Times New Roman" w:hAnsi="Times New Roman" w:cs="Times New Roman"/>
              <w:sz w:val="24"/>
              <w:szCs w:val="24"/>
            </w:rPr>
            <w:fldChar w:fldCharType="begin"/>
          </w:r>
          <w:r w:rsidR="00692C39">
            <w:rPr>
              <w:rFonts w:ascii="Times New Roman" w:hAnsi="Times New Roman" w:cs="Times New Roman"/>
              <w:sz w:val="24"/>
              <w:szCs w:val="24"/>
              <w:lang w:val="en-GB"/>
            </w:rPr>
            <w:instrText xml:space="preserve"> CITATION Tri57 \l 2057 </w:instrText>
          </w:r>
          <w:r w:rsidR="00692C39">
            <w:rPr>
              <w:rFonts w:ascii="Times New Roman" w:hAnsi="Times New Roman" w:cs="Times New Roman"/>
              <w:sz w:val="24"/>
              <w:szCs w:val="24"/>
            </w:rPr>
            <w:fldChar w:fldCharType="separate"/>
          </w:r>
          <w:r w:rsidR="00692C39" w:rsidRPr="00692C39">
            <w:rPr>
              <w:rFonts w:ascii="Times New Roman" w:hAnsi="Times New Roman" w:cs="Times New Roman"/>
              <w:noProof/>
              <w:sz w:val="24"/>
              <w:szCs w:val="24"/>
              <w:lang w:val="en-GB"/>
            </w:rPr>
            <w:t>(Triefus &amp; Company Ltd v Post Office, 1957)</w:t>
          </w:r>
          <w:r w:rsidR="00692C39">
            <w:rPr>
              <w:rFonts w:ascii="Times New Roman" w:hAnsi="Times New Roman" w:cs="Times New Roman"/>
              <w:sz w:val="24"/>
              <w:szCs w:val="24"/>
            </w:rPr>
            <w:fldChar w:fldCharType="end"/>
          </w:r>
        </w:sdtContent>
      </w:sdt>
    </w:p>
    <w:p w14:paraId="4F7A5F3B" w14:textId="49D69CDC" w:rsidR="0032471D" w:rsidRPr="006F2A7F" w:rsidRDefault="0032471D" w:rsidP="006F2A7F">
      <w:pPr>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In the case of Robinson v HM Customs &amp; Excise in 2000,</w:t>
      </w:r>
      <w:r w:rsidR="0002341E">
        <w:rPr>
          <w:rFonts w:ascii="Times New Roman" w:hAnsi="Times New Roman" w:cs="Times New Roman"/>
          <w:sz w:val="24"/>
          <w:szCs w:val="24"/>
        </w:rPr>
        <w:t xml:space="preserve"> the plaintiff </w:t>
      </w:r>
      <w:r w:rsidR="005318ED">
        <w:rPr>
          <w:rFonts w:ascii="Times New Roman" w:hAnsi="Times New Roman" w:cs="Times New Roman"/>
          <w:sz w:val="24"/>
          <w:szCs w:val="24"/>
        </w:rPr>
        <w:t xml:space="preserve">who is Robinson sued the defendant who is </w:t>
      </w:r>
      <w:r w:rsidR="00B27A7D">
        <w:rPr>
          <w:rFonts w:ascii="Times New Roman" w:hAnsi="Times New Roman" w:cs="Times New Roman"/>
          <w:sz w:val="24"/>
          <w:szCs w:val="24"/>
        </w:rPr>
        <w:t>HM Customs &amp; Excise for damages of 33</w:t>
      </w:r>
      <w:r w:rsidR="00514C02">
        <w:rPr>
          <w:rFonts w:ascii="Times New Roman" w:hAnsi="Times New Roman" w:cs="Times New Roman"/>
          <w:sz w:val="24"/>
          <w:szCs w:val="24"/>
        </w:rPr>
        <w:t>,574.75 Sterling Pound</w:t>
      </w:r>
      <w:r w:rsidR="00A26C9C">
        <w:rPr>
          <w:rFonts w:ascii="Times New Roman" w:hAnsi="Times New Roman" w:cs="Times New Roman"/>
          <w:sz w:val="24"/>
          <w:szCs w:val="24"/>
        </w:rPr>
        <w:t xml:space="preserve"> and an interest </w:t>
      </w:r>
      <w:r w:rsidR="00160749">
        <w:rPr>
          <w:rFonts w:ascii="Times New Roman" w:hAnsi="Times New Roman" w:cs="Times New Roman"/>
          <w:sz w:val="24"/>
          <w:szCs w:val="24"/>
        </w:rPr>
        <w:t>arising</w:t>
      </w:r>
      <w:r w:rsidR="00E76A59">
        <w:rPr>
          <w:rFonts w:ascii="Times New Roman" w:hAnsi="Times New Roman" w:cs="Times New Roman"/>
          <w:sz w:val="24"/>
          <w:szCs w:val="24"/>
        </w:rPr>
        <w:t xml:space="preserve">. </w:t>
      </w:r>
      <w:r w:rsidR="00FC0148">
        <w:rPr>
          <w:rFonts w:ascii="Times New Roman" w:hAnsi="Times New Roman" w:cs="Times New Roman"/>
          <w:sz w:val="24"/>
          <w:szCs w:val="24"/>
        </w:rPr>
        <w:t xml:space="preserve">However, the judge held that </w:t>
      </w:r>
      <w:r w:rsidR="00BA6218">
        <w:rPr>
          <w:rFonts w:ascii="Times New Roman" w:hAnsi="Times New Roman" w:cs="Times New Roman"/>
          <w:sz w:val="24"/>
          <w:szCs w:val="24"/>
        </w:rPr>
        <w:t xml:space="preserve">no </w:t>
      </w:r>
      <w:r w:rsidR="002569F0">
        <w:rPr>
          <w:rFonts w:ascii="Times New Roman" w:hAnsi="Times New Roman" w:cs="Times New Roman"/>
          <w:sz w:val="24"/>
          <w:szCs w:val="24"/>
        </w:rPr>
        <w:t xml:space="preserve">legal </w:t>
      </w:r>
      <w:r w:rsidR="0073476A">
        <w:rPr>
          <w:rFonts w:ascii="Times New Roman" w:hAnsi="Times New Roman" w:cs="Times New Roman"/>
          <w:sz w:val="24"/>
          <w:szCs w:val="24"/>
        </w:rPr>
        <w:t xml:space="preserve">binding </w:t>
      </w:r>
      <w:r w:rsidR="00CC09BF">
        <w:rPr>
          <w:rFonts w:ascii="Times New Roman" w:hAnsi="Times New Roman" w:cs="Times New Roman"/>
          <w:sz w:val="24"/>
          <w:szCs w:val="24"/>
        </w:rPr>
        <w:t>offers</w:t>
      </w:r>
      <w:r w:rsidR="00A72D96">
        <w:rPr>
          <w:rFonts w:ascii="Times New Roman" w:hAnsi="Times New Roman" w:cs="Times New Roman"/>
          <w:sz w:val="24"/>
          <w:szCs w:val="24"/>
        </w:rPr>
        <w:t xml:space="preserve"> to make payment was made </w:t>
      </w:r>
      <w:r w:rsidR="00EB20F6">
        <w:rPr>
          <w:rFonts w:ascii="Times New Roman" w:hAnsi="Times New Roman" w:cs="Times New Roman"/>
          <w:sz w:val="24"/>
          <w:szCs w:val="24"/>
        </w:rPr>
        <w:t xml:space="preserve">even though legal relations were made as an agreement </w:t>
      </w:r>
      <w:r w:rsidR="00F02BE0">
        <w:rPr>
          <w:rFonts w:ascii="Times New Roman" w:hAnsi="Times New Roman" w:cs="Times New Roman"/>
          <w:sz w:val="24"/>
          <w:szCs w:val="24"/>
        </w:rPr>
        <w:t xml:space="preserve">was made </w:t>
      </w:r>
      <w:sdt>
        <w:sdtPr>
          <w:rPr>
            <w:rFonts w:ascii="Times New Roman" w:hAnsi="Times New Roman" w:cs="Times New Roman"/>
            <w:sz w:val="24"/>
            <w:szCs w:val="24"/>
          </w:rPr>
          <w:id w:val="175547918"/>
          <w:citation/>
        </w:sdtPr>
        <w:sdtEndPr/>
        <w:sdtContent>
          <w:r w:rsidR="00F02BE0">
            <w:rPr>
              <w:rFonts w:ascii="Times New Roman" w:hAnsi="Times New Roman" w:cs="Times New Roman"/>
              <w:sz w:val="24"/>
              <w:szCs w:val="24"/>
            </w:rPr>
            <w:fldChar w:fldCharType="begin"/>
          </w:r>
          <w:r w:rsidR="00F02BE0">
            <w:rPr>
              <w:rFonts w:ascii="Times New Roman" w:hAnsi="Times New Roman" w:cs="Times New Roman"/>
              <w:sz w:val="24"/>
              <w:szCs w:val="24"/>
              <w:lang w:val="en-GB"/>
            </w:rPr>
            <w:instrText xml:space="preserve"> CITATION Rob00 \l 2057 </w:instrText>
          </w:r>
          <w:r w:rsidR="00F02BE0">
            <w:rPr>
              <w:rFonts w:ascii="Times New Roman" w:hAnsi="Times New Roman" w:cs="Times New Roman"/>
              <w:sz w:val="24"/>
              <w:szCs w:val="24"/>
            </w:rPr>
            <w:fldChar w:fldCharType="separate"/>
          </w:r>
          <w:r w:rsidR="00F02BE0" w:rsidRPr="00F02BE0">
            <w:rPr>
              <w:rFonts w:ascii="Times New Roman" w:hAnsi="Times New Roman" w:cs="Times New Roman"/>
              <w:noProof/>
              <w:sz w:val="24"/>
              <w:szCs w:val="24"/>
              <w:lang w:val="en-GB"/>
            </w:rPr>
            <w:t>(Robinson v Commissioners of Customers and Excise, 2000)</w:t>
          </w:r>
          <w:r w:rsidR="00F02BE0">
            <w:rPr>
              <w:rFonts w:ascii="Times New Roman" w:hAnsi="Times New Roman" w:cs="Times New Roman"/>
              <w:sz w:val="24"/>
              <w:szCs w:val="24"/>
            </w:rPr>
            <w:fldChar w:fldCharType="end"/>
          </w:r>
        </w:sdtContent>
      </w:sdt>
    </w:p>
    <w:p w14:paraId="5CF65003" w14:textId="77777777" w:rsidR="003D7767" w:rsidRPr="006F2A7F" w:rsidRDefault="003D7767" w:rsidP="006F2A7F">
      <w:pPr>
        <w:spacing w:line="480" w:lineRule="auto"/>
        <w:jc w:val="both"/>
        <w:rPr>
          <w:rFonts w:ascii="Times New Roman" w:eastAsia="Times New Roman" w:hAnsi="Times New Roman" w:cs="Times New Roman"/>
          <w:sz w:val="24"/>
          <w:szCs w:val="24"/>
        </w:rPr>
      </w:pPr>
    </w:p>
    <w:p w14:paraId="18B52AA8" w14:textId="754E2621" w:rsidR="009C04B1" w:rsidRDefault="009C04B1" w:rsidP="006F2A7F">
      <w:pPr>
        <w:spacing w:line="480" w:lineRule="auto"/>
        <w:jc w:val="both"/>
        <w:rPr>
          <w:rFonts w:ascii="Times New Roman" w:hAnsi="Times New Roman" w:cs="Times New Roman"/>
          <w:b/>
          <w:bCs/>
          <w:sz w:val="24"/>
          <w:szCs w:val="24"/>
        </w:rPr>
      </w:pPr>
    </w:p>
    <w:p w14:paraId="5219B0E8" w14:textId="10ADC516" w:rsidR="001E0790" w:rsidRDefault="001E0790" w:rsidP="006F2A7F">
      <w:pPr>
        <w:spacing w:line="480" w:lineRule="auto"/>
        <w:jc w:val="both"/>
        <w:rPr>
          <w:rFonts w:ascii="Times New Roman" w:hAnsi="Times New Roman" w:cs="Times New Roman"/>
          <w:b/>
          <w:bCs/>
          <w:sz w:val="24"/>
          <w:szCs w:val="24"/>
        </w:rPr>
      </w:pPr>
    </w:p>
    <w:p w14:paraId="756E9EA0" w14:textId="77777777" w:rsidR="001E0790" w:rsidRPr="006F2A7F" w:rsidRDefault="001E0790" w:rsidP="006F2A7F">
      <w:pPr>
        <w:spacing w:line="480" w:lineRule="auto"/>
        <w:jc w:val="both"/>
        <w:rPr>
          <w:rFonts w:ascii="Times New Roman" w:hAnsi="Times New Roman" w:cs="Times New Roman"/>
          <w:b/>
          <w:bCs/>
          <w:sz w:val="24"/>
          <w:szCs w:val="24"/>
        </w:rPr>
      </w:pPr>
    </w:p>
    <w:p w14:paraId="7932219B" w14:textId="299756C6" w:rsidR="009C04B1" w:rsidRDefault="009C04B1" w:rsidP="006F2A7F">
      <w:pPr>
        <w:spacing w:line="480" w:lineRule="auto"/>
        <w:jc w:val="both"/>
        <w:rPr>
          <w:rFonts w:ascii="Times New Roman" w:hAnsi="Times New Roman" w:cs="Times New Roman"/>
          <w:b/>
          <w:bCs/>
          <w:sz w:val="24"/>
          <w:szCs w:val="24"/>
        </w:rPr>
      </w:pPr>
    </w:p>
    <w:p w14:paraId="2DE8A739" w14:textId="5163FF83" w:rsidR="00B84A59" w:rsidRDefault="00B84A59" w:rsidP="006F2A7F">
      <w:pPr>
        <w:spacing w:line="480" w:lineRule="auto"/>
        <w:jc w:val="both"/>
        <w:rPr>
          <w:rFonts w:ascii="Times New Roman" w:hAnsi="Times New Roman" w:cs="Times New Roman"/>
          <w:b/>
          <w:bCs/>
          <w:sz w:val="24"/>
          <w:szCs w:val="24"/>
        </w:rPr>
      </w:pPr>
    </w:p>
    <w:p w14:paraId="044E1B36" w14:textId="43769932" w:rsidR="00B84A59" w:rsidRDefault="00B84A59" w:rsidP="006F2A7F">
      <w:pPr>
        <w:spacing w:line="480" w:lineRule="auto"/>
        <w:jc w:val="both"/>
        <w:rPr>
          <w:rFonts w:ascii="Times New Roman" w:hAnsi="Times New Roman" w:cs="Times New Roman"/>
          <w:b/>
          <w:bCs/>
          <w:sz w:val="24"/>
          <w:szCs w:val="24"/>
        </w:rPr>
      </w:pPr>
    </w:p>
    <w:p w14:paraId="37DFDDF1" w14:textId="22524B08" w:rsidR="00B84A59" w:rsidRDefault="00B84A59" w:rsidP="006F2A7F">
      <w:pPr>
        <w:spacing w:line="480" w:lineRule="auto"/>
        <w:jc w:val="both"/>
        <w:rPr>
          <w:rFonts w:ascii="Times New Roman" w:hAnsi="Times New Roman" w:cs="Times New Roman"/>
          <w:b/>
          <w:bCs/>
          <w:sz w:val="24"/>
          <w:szCs w:val="24"/>
        </w:rPr>
      </w:pPr>
    </w:p>
    <w:p w14:paraId="4A153BA3" w14:textId="2B9DABDD" w:rsidR="00B84A59" w:rsidRDefault="00B84A59" w:rsidP="006F2A7F">
      <w:pPr>
        <w:spacing w:line="480" w:lineRule="auto"/>
        <w:jc w:val="both"/>
        <w:rPr>
          <w:rFonts w:ascii="Times New Roman" w:hAnsi="Times New Roman" w:cs="Times New Roman"/>
          <w:b/>
          <w:bCs/>
          <w:sz w:val="24"/>
          <w:szCs w:val="24"/>
        </w:rPr>
      </w:pPr>
    </w:p>
    <w:p w14:paraId="5AD71A58" w14:textId="091A92BD" w:rsidR="00B84A59" w:rsidRDefault="00B84A59" w:rsidP="006F2A7F">
      <w:pPr>
        <w:spacing w:line="480" w:lineRule="auto"/>
        <w:jc w:val="both"/>
        <w:rPr>
          <w:rFonts w:ascii="Times New Roman" w:hAnsi="Times New Roman" w:cs="Times New Roman"/>
          <w:b/>
          <w:bCs/>
          <w:sz w:val="24"/>
          <w:szCs w:val="24"/>
        </w:rPr>
      </w:pPr>
    </w:p>
    <w:p w14:paraId="5B7C1E4C" w14:textId="77777777" w:rsidR="00B84A59" w:rsidRPr="006F2A7F" w:rsidRDefault="00B84A59" w:rsidP="006F2A7F">
      <w:pPr>
        <w:spacing w:line="480" w:lineRule="auto"/>
        <w:jc w:val="both"/>
        <w:rPr>
          <w:rFonts w:ascii="Times New Roman" w:hAnsi="Times New Roman" w:cs="Times New Roman"/>
          <w:b/>
          <w:bCs/>
          <w:sz w:val="24"/>
          <w:szCs w:val="24"/>
        </w:rPr>
      </w:pPr>
    </w:p>
    <w:p w14:paraId="13402874" w14:textId="47373E29" w:rsidR="009C04B1" w:rsidRDefault="00364C72" w:rsidP="006F2A7F">
      <w:pPr>
        <w:spacing w:line="480" w:lineRule="auto"/>
        <w:jc w:val="both"/>
        <w:rPr>
          <w:rFonts w:ascii="Times New Roman" w:hAnsi="Times New Roman" w:cs="Times New Roman"/>
          <w:b/>
          <w:bCs/>
          <w:sz w:val="24"/>
          <w:szCs w:val="24"/>
        </w:rPr>
      </w:pPr>
      <w:r w:rsidRPr="006F2A7F">
        <w:rPr>
          <w:rFonts w:ascii="Times New Roman" w:hAnsi="Times New Roman" w:cs="Times New Roman"/>
          <w:b/>
          <w:bCs/>
          <w:sz w:val="24"/>
          <w:szCs w:val="24"/>
        </w:rPr>
        <w:lastRenderedPageBreak/>
        <w:t>Case laws</w:t>
      </w:r>
    </w:p>
    <w:p w14:paraId="2D587EF7" w14:textId="2F773934" w:rsidR="00785C33" w:rsidRPr="00785C33" w:rsidRDefault="00785C33" w:rsidP="006F2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Coward v MIB </w:t>
      </w:r>
      <w:r w:rsidR="00DA7A80">
        <w:rPr>
          <w:rFonts w:ascii="Times New Roman" w:hAnsi="Times New Roman" w:cs="Times New Roman"/>
          <w:sz w:val="24"/>
          <w:szCs w:val="24"/>
        </w:rPr>
        <w:t>[1963] 1 QB 359</w:t>
      </w:r>
    </w:p>
    <w:p w14:paraId="1F5CA869" w14:textId="7A04D1EC" w:rsidR="009C04B1"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Balfour v Balfour [1919] 2 KB 571</w:t>
      </w:r>
    </w:p>
    <w:p w14:paraId="25F6422C" w14:textId="5BD62BA6" w:rsidR="00D85790" w:rsidRDefault="00D85790" w:rsidP="006F2A7F">
      <w:pPr>
        <w:spacing w:line="480" w:lineRule="auto"/>
        <w:jc w:val="both"/>
        <w:rPr>
          <w:rFonts w:ascii="Times New Roman" w:hAnsi="Times New Roman" w:cs="Times New Roman"/>
          <w:sz w:val="24"/>
          <w:szCs w:val="24"/>
        </w:rPr>
      </w:pPr>
      <w:r w:rsidRPr="00D85790">
        <w:rPr>
          <w:rFonts w:ascii="Times New Roman" w:hAnsi="Times New Roman" w:cs="Times New Roman"/>
          <w:sz w:val="24"/>
          <w:szCs w:val="24"/>
        </w:rPr>
        <w:t>Jones v Padavatton [1969]</w:t>
      </w:r>
      <w:r>
        <w:rPr>
          <w:rFonts w:ascii="Times New Roman" w:hAnsi="Times New Roman" w:cs="Times New Roman"/>
          <w:sz w:val="24"/>
          <w:szCs w:val="24"/>
        </w:rPr>
        <w:t xml:space="preserve"> </w:t>
      </w:r>
      <w:r w:rsidR="0026309B">
        <w:rPr>
          <w:rFonts w:ascii="Times New Roman" w:hAnsi="Times New Roman" w:cs="Times New Roman"/>
          <w:sz w:val="24"/>
          <w:szCs w:val="24"/>
        </w:rPr>
        <w:t>1 WLR 328</w:t>
      </w:r>
    </w:p>
    <w:p w14:paraId="33CA14AF" w14:textId="07368984" w:rsidR="004701EE" w:rsidRDefault="004701EE" w:rsidP="004701EE">
      <w:pPr>
        <w:spacing w:line="480" w:lineRule="auto"/>
        <w:jc w:val="both"/>
        <w:rPr>
          <w:rFonts w:ascii="Times New Roman" w:hAnsi="Times New Roman" w:cs="Times New Roman"/>
          <w:sz w:val="24"/>
          <w:szCs w:val="24"/>
        </w:rPr>
      </w:pPr>
      <w:r w:rsidRPr="004701EE">
        <w:rPr>
          <w:rFonts w:ascii="Times New Roman" w:hAnsi="Times New Roman" w:cs="Times New Roman"/>
          <w:sz w:val="24"/>
          <w:szCs w:val="24"/>
        </w:rPr>
        <w:t>Merritt v Merritt [1970] 1 WLR 1211</w:t>
      </w:r>
    </w:p>
    <w:p w14:paraId="5C75AB99" w14:textId="5442AF3F" w:rsidR="004701EE" w:rsidRDefault="004701EE" w:rsidP="004701EE">
      <w:pPr>
        <w:spacing w:line="480" w:lineRule="auto"/>
        <w:jc w:val="both"/>
        <w:rPr>
          <w:rFonts w:ascii="Times New Roman" w:hAnsi="Times New Roman" w:cs="Times New Roman"/>
          <w:sz w:val="24"/>
          <w:szCs w:val="24"/>
        </w:rPr>
      </w:pPr>
      <w:r w:rsidRPr="004701EE">
        <w:rPr>
          <w:rFonts w:ascii="Times New Roman" w:hAnsi="Times New Roman" w:cs="Times New Roman"/>
          <w:sz w:val="24"/>
          <w:szCs w:val="24"/>
        </w:rPr>
        <w:t>Simpkins v Pays [1955] 1 WLR 975</w:t>
      </w:r>
    </w:p>
    <w:p w14:paraId="1D49DB55" w14:textId="60A58277" w:rsidR="00037980" w:rsidRDefault="00037980" w:rsidP="004701EE">
      <w:pPr>
        <w:spacing w:line="480" w:lineRule="auto"/>
        <w:jc w:val="both"/>
        <w:rPr>
          <w:rFonts w:ascii="Times New Roman" w:hAnsi="Times New Roman" w:cs="Times New Roman"/>
          <w:sz w:val="24"/>
          <w:szCs w:val="24"/>
        </w:rPr>
      </w:pPr>
      <w:r w:rsidRPr="00037980">
        <w:rPr>
          <w:rFonts w:ascii="Times New Roman" w:hAnsi="Times New Roman" w:cs="Times New Roman"/>
          <w:sz w:val="24"/>
          <w:szCs w:val="24"/>
        </w:rPr>
        <w:t>Esso Petroleum Ltd v Commissioners of Customs and Excise [1976] 1 WLR 1</w:t>
      </w:r>
    </w:p>
    <w:p w14:paraId="488AE8B2" w14:textId="093E15E9" w:rsidR="0026309B" w:rsidRDefault="0026309B" w:rsidP="004701EE">
      <w:pPr>
        <w:spacing w:line="480" w:lineRule="auto"/>
        <w:jc w:val="both"/>
        <w:rPr>
          <w:rFonts w:ascii="Times New Roman" w:hAnsi="Times New Roman" w:cs="Times New Roman"/>
          <w:sz w:val="24"/>
          <w:szCs w:val="24"/>
        </w:rPr>
      </w:pPr>
      <w:r w:rsidRPr="0026309B">
        <w:rPr>
          <w:rFonts w:ascii="Times New Roman" w:hAnsi="Times New Roman" w:cs="Times New Roman"/>
          <w:sz w:val="24"/>
          <w:szCs w:val="24"/>
        </w:rPr>
        <w:t>Edwards v Skyways [1964] 1 WLR 349</w:t>
      </w:r>
    </w:p>
    <w:p w14:paraId="5B8E9418" w14:textId="11570942" w:rsidR="00037980" w:rsidRDefault="00037980" w:rsidP="004701EE">
      <w:pPr>
        <w:spacing w:line="480" w:lineRule="auto"/>
        <w:jc w:val="both"/>
        <w:rPr>
          <w:rFonts w:ascii="Times New Roman" w:hAnsi="Times New Roman" w:cs="Times New Roman"/>
          <w:sz w:val="24"/>
          <w:szCs w:val="24"/>
        </w:rPr>
      </w:pPr>
      <w:r w:rsidRPr="00037980">
        <w:rPr>
          <w:rFonts w:ascii="Times New Roman" w:hAnsi="Times New Roman" w:cs="Times New Roman"/>
          <w:sz w:val="24"/>
          <w:szCs w:val="24"/>
        </w:rPr>
        <w:t>Rose &amp; Frank Co v JR Crompton &amp; Bros Ltd [1924]</w:t>
      </w:r>
    </w:p>
    <w:p w14:paraId="530AE571" w14:textId="12E7DA75" w:rsidR="00CE38F2" w:rsidRDefault="00CE38F2" w:rsidP="004701EE">
      <w:pPr>
        <w:spacing w:line="480" w:lineRule="auto"/>
        <w:jc w:val="both"/>
        <w:rPr>
          <w:rFonts w:ascii="Times New Roman" w:hAnsi="Times New Roman" w:cs="Times New Roman"/>
          <w:sz w:val="24"/>
          <w:szCs w:val="24"/>
        </w:rPr>
      </w:pPr>
      <w:r>
        <w:rPr>
          <w:rFonts w:ascii="Times New Roman" w:hAnsi="Times New Roman" w:cs="Times New Roman"/>
          <w:sz w:val="24"/>
          <w:szCs w:val="24"/>
        </w:rPr>
        <w:t>Kleinwort Benson v Malaysian Mining Corp [1989]</w:t>
      </w:r>
      <w:r w:rsidR="0025182C">
        <w:rPr>
          <w:rFonts w:ascii="Times New Roman" w:hAnsi="Times New Roman" w:cs="Times New Roman"/>
          <w:sz w:val="24"/>
          <w:szCs w:val="24"/>
        </w:rPr>
        <w:t xml:space="preserve"> 1 WLR 379</w:t>
      </w:r>
    </w:p>
    <w:p w14:paraId="63B46942" w14:textId="6AB6ECA3" w:rsidR="0025182C" w:rsidRDefault="009C2FCB" w:rsidP="004701EE">
      <w:pPr>
        <w:spacing w:line="480" w:lineRule="auto"/>
        <w:jc w:val="both"/>
        <w:rPr>
          <w:rFonts w:ascii="Times New Roman" w:hAnsi="Times New Roman" w:cs="Times New Roman"/>
          <w:sz w:val="24"/>
          <w:szCs w:val="24"/>
        </w:rPr>
      </w:pPr>
      <w:r>
        <w:rPr>
          <w:rFonts w:ascii="Times New Roman" w:hAnsi="Times New Roman" w:cs="Times New Roman"/>
          <w:sz w:val="24"/>
          <w:szCs w:val="24"/>
        </w:rPr>
        <w:t>ERDC Group Ltd v Brunel University [2006]</w:t>
      </w:r>
      <w:r w:rsidR="00875C5C">
        <w:rPr>
          <w:rFonts w:ascii="Times New Roman" w:hAnsi="Times New Roman" w:cs="Times New Roman"/>
          <w:sz w:val="24"/>
          <w:szCs w:val="24"/>
        </w:rPr>
        <w:t xml:space="preserve"> </w:t>
      </w:r>
      <w:r w:rsidR="0075063C">
        <w:rPr>
          <w:rFonts w:ascii="Times New Roman" w:hAnsi="Times New Roman" w:cs="Times New Roman"/>
          <w:sz w:val="24"/>
          <w:szCs w:val="24"/>
        </w:rPr>
        <w:t>EWHC 687</w:t>
      </w:r>
    </w:p>
    <w:p w14:paraId="06A106E1" w14:textId="7634D7A0" w:rsidR="00A66B92" w:rsidRDefault="00A66B92" w:rsidP="004701EE">
      <w:pPr>
        <w:spacing w:line="480" w:lineRule="auto"/>
        <w:jc w:val="both"/>
        <w:rPr>
          <w:rFonts w:ascii="Times New Roman" w:hAnsi="Times New Roman" w:cs="Times New Roman"/>
          <w:sz w:val="24"/>
          <w:szCs w:val="24"/>
        </w:rPr>
      </w:pPr>
      <w:r w:rsidRPr="00A66B92">
        <w:rPr>
          <w:rFonts w:ascii="Times New Roman" w:hAnsi="Times New Roman" w:cs="Times New Roman"/>
          <w:sz w:val="24"/>
          <w:szCs w:val="24"/>
        </w:rPr>
        <w:t>Ford Motor Co. Ltd. V. Amalgamated Union of Engineering and Foundry Workers and Others [1969] 2 QB 303</w:t>
      </w:r>
    </w:p>
    <w:p w14:paraId="644117A6" w14:textId="7B840F5B" w:rsidR="001E0790" w:rsidRDefault="001E0790" w:rsidP="004701EE">
      <w:pPr>
        <w:spacing w:line="480" w:lineRule="auto"/>
        <w:jc w:val="both"/>
        <w:rPr>
          <w:rFonts w:ascii="Times New Roman" w:hAnsi="Times New Roman" w:cs="Times New Roman"/>
          <w:sz w:val="24"/>
          <w:szCs w:val="24"/>
        </w:rPr>
      </w:pPr>
      <w:r w:rsidRPr="001E0790">
        <w:rPr>
          <w:rFonts w:ascii="Times New Roman" w:hAnsi="Times New Roman" w:cs="Times New Roman"/>
          <w:sz w:val="24"/>
          <w:szCs w:val="24"/>
        </w:rPr>
        <w:t>Willmore v South eastern Electricity Board in 1957</w:t>
      </w:r>
    </w:p>
    <w:p w14:paraId="43DB4EFB" w14:textId="7898F9A1" w:rsidR="009E4877" w:rsidRDefault="009E4877" w:rsidP="004701E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Triefus v </w:t>
      </w:r>
      <w:r w:rsidR="00401A3E">
        <w:rPr>
          <w:rFonts w:ascii="Times New Roman" w:hAnsi="Times New Roman" w:cs="Times New Roman"/>
          <w:sz w:val="24"/>
          <w:szCs w:val="24"/>
        </w:rPr>
        <w:t xml:space="preserve">Post Office </w:t>
      </w:r>
      <w:r w:rsidR="002F3C22">
        <w:rPr>
          <w:rFonts w:ascii="Times New Roman" w:hAnsi="Times New Roman" w:cs="Times New Roman"/>
          <w:sz w:val="24"/>
          <w:szCs w:val="24"/>
        </w:rPr>
        <w:t>[</w:t>
      </w:r>
      <w:r w:rsidR="00401A3E">
        <w:rPr>
          <w:rFonts w:ascii="Times New Roman" w:hAnsi="Times New Roman" w:cs="Times New Roman"/>
          <w:sz w:val="24"/>
          <w:szCs w:val="24"/>
        </w:rPr>
        <w:t>195</w:t>
      </w:r>
      <w:r w:rsidR="002F3C22">
        <w:rPr>
          <w:rFonts w:ascii="Times New Roman" w:hAnsi="Times New Roman" w:cs="Times New Roman"/>
          <w:sz w:val="24"/>
          <w:szCs w:val="24"/>
        </w:rPr>
        <w:t>7</w:t>
      </w:r>
      <w:r w:rsidR="001E0790">
        <w:rPr>
          <w:rFonts w:ascii="Times New Roman" w:hAnsi="Times New Roman" w:cs="Times New Roman"/>
          <w:sz w:val="24"/>
          <w:szCs w:val="24"/>
        </w:rPr>
        <w:t>] EWCA</w:t>
      </w:r>
      <w:r w:rsidR="002F3C22">
        <w:rPr>
          <w:rFonts w:ascii="Times New Roman" w:hAnsi="Times New Roman" w:cs="Times New Roman"/>
          <w:sz w:val="24"/>
          <w:szCs w:val="24"/>
        </w:rPr>
        <w:t xml:space="preserve"> Civ J0510-1</w:t>
      </w:r>
    </w:p>
    <w:p w14:paraId="587B0DA7" w14:textId="45C789A3" w:rsidR="009C04B1" w:rsidRPr="001E0790" w:rsidRDefault="009E4877" w:rsidP="006F2A7F">
      <w:pPr>
        <w:spacing w:line="480" w:lineRule="auto"/>
        <w:jc w:val="both"/>
        <w:rPr>
          <w:rFonts w:ascii="Times New Roman" w:hAnsi="Times New Roman" w:cs="Times New Roman"/>
          <w:sz w:val="24"/>
          <w:szCs w:val="24"/>
        </w:rPr>
      </w:pPr>
      <w:r>
        <w:rPr>
          <w:rFonts w:ascii="Times New Roman" w:hAnsi="Times New Roman" w:cs="Times New Roman"/>
          <w:sz w:val="24"/>
          <w:szCs w:val="24"/>
        </w:rPr>
        <w:t>Robinson v Commissioners of Customs and Excise [2000] QBD 28</w:t>
      </w:r>
    </w:p>
    <w:p w14:paraId="41AADEE4" w14:textId="79AFE17F" w:rsidR="00974AF5" w:rsidRPr="006F2A7F" w:rsidRDefault="00974AF5" w:rsidP="006F2A7F">
      <w:pPr>
        <w:spacing w:line="480" w:lineRule="auto"/>
        <w:ind w:left="720" w:hanging="720"/>
        <w:jc w:val="both"/>
        <w:rPr>
          <w:rFonts w:ascii="Times New Roman" w:hAnsi="Times New Roman" w:cs="Times New Roman"/>
          <w:sz w:val="24"/>
          <w:szCs w:val="24"/>
          <w:shd w:val="clear" w:color="auto" w:fill="FFFFFF"/>
        </w:rPr>
      </w:pPr>
      <w:bookmarkStart w:id="3" w:name="_Hlk128573182"/>
    </w:p>
    <w:p w14:paraId="272985BE" w14:textId="05EA4A12" w:rsidR="00974AF5" w:rsidRPr="006F2A7F" w:rsidRDefault="00974AF5" w:rsidP="00F170F4">
      <w:pPr>
        <w:spacing w:line="480" w:lineRule="auto"/>
        <w:ind w:left="720" w:hanging="720"/>
        <w:jc w:val="both"/>
        <w:rPr>
          <w:rFonts w:ascii="Times New Roman" w:hAnsi="Times New Roman" w:cs="Times New Roman"/>
          <w:sz w:val="24"/>
          <w:szCs w:val="24"/>
          <w:shd w:val="clear" w:color="auto" w:fill="FFFFFF"/>
        </w:rPr>
      </w:pPr>
    </w:p>
    <w:bookmarkEnd w:id="3"/>
    <w:p w14:paraId="7348A3A7" w14:textId="117C8F01" w:rsidR="00974AF5" w:rsidRPr="006F2A7F" w:rsidRDefault="00974AF5" w:rsidP="006F2A7F">
      <w:pPr>
        <w:spacing w:line="480" w:lineRule="auto"/>
        <w:ind w:left="720" w:hanging="720"/>
        <w:jc w:val="both"/>
        <w:rPr>
          <w:rFonts w:ascii="Times New Roman" w:hAnsi="Times New Roman" w:cs="Times New Roman"/>
          <w:sz w:val="24"/>
          <w:szCs w:val="24"/>
          <w:shd w:val="clear" w:color="auto" w:fill="FFFFFF"/>
        </w:rPr>
      </w:pPr>
    </w:p>
    <w:sdt>
      <w:sdtPr>
        <w:rPr>
          <w:rFonts w:ascii="Calibri" w:eastAsia="Calibri" w:hAnsi="Calibri" w:cs="SimSun"/>
          <w:color w:val="auto"/>
          <w:sz w:val="22"/>
          <w:szCs w:val="22"/>
        </w:rPr>
        <w:id w:val="1341115944"/>
        <w:docPartObj>
          <w:docPartGallery w:val="Bibliographies"/>
          <w:docPartUnique/>
        </w:docPartObj>
      </w:sdtPr>
      <w:sdtEndPr/>
      <w:sdtContent>
        <w:p w14:paraId="43A327F2" w14:textId="6EE024FC" w:rsidR="00B84A59" w:rsidRDefault="00B84A59">
          <w:pPr>
            <w:pStyle w:val="Heading1"/>
          </w:pPr>
          <w:r>
            <w:t>References</w:t>
          </w:r>
        </w:p>
        <w:sdt>
          <w:sdtPr>
            <w:id w:val="-573587230"/>
            <w:bibliography/>
          </w:sdtPr>
          <w:sdtEndPr/>
          <w:sdtContent>
            <w:p w14:paraId="3D9DA33E" w14:textId="77777777" w:rsidR="00B84A59" w:rsidRDefault="00B84A59" w:rsidP="00B84A59">
              <w:pPr>
                <w:pStyle w:val="Bibliography"/>
                <w:rPr>
                  <w:noProof/>
                  <w:sz w:val="24"/>
                  <w:szCs w:val="24"/>
                </w:rPr>
              </w:pPr>
              <w:r>
                <w:fldChar w:fldCharType="begin"/>
              </w:r>
              <w:r>
                <w:instrText xml:space="preserve"> BIBLIOGRAPHY </w:instrText>
              </w:r>
              <w:r>
                <w:fldChar w:fldCharType="separate"/>
              </w:r>
              <w:r>
                <w:rPr>
                  <w:noProof/>
                </w:rPr>
                <w:t xml:space="preserve">Anon., 2009. </w:t>
              </w:r>
              <w:r>
                <w:rPr>
                  <w:i/>
                  <w:iCs/>
                  <w:noProof/>
                </w:rPr>
                <w:t xml:space="preserve">The Cambridge International Law Journal. </w:t>
              </w:r>
              <w:r>
                <w:rPr>
                  <w:noProof/>
                </w:rPr>
                <w:t>Cambridge: Cambridge University Press.</w:t>
              </w:r>
            </w:p>
            <w:p w14:paraId="638C5F08" w14:textId="77777777" w:rsidR="00B84A59" w:rsidRDefault="00B84A59" w:rsidP="00B84A59">
              <w:pPr>
                <w:pStyle w:val="Bibliography"/>
                <w:rPr>
                  <w:noProof/>
                </w:rPr>
              </w:pPr>
              <w:r>
                <w:rPr>
                  <w:noProof/>
                </w:rPr>
                <w:t xml:space="preserve">Archibong, J., 2020. </w:t>
              </w:r>
              <w:r>
                <w:rPr>
                  <w:i/>
                  <w:iCs/>
                  <w:noProof/>
                </w:rPr>
                <w:t xml:space="preserve">The journal of Social Sciences Research. </w:t>
              </w:r>
              <w:r>
                <w:rPr>
                  <w:noProof/>
                </w:rPr>
                <w:t xml:space="preserve">[Online] </w:t>
              </w:r>
              <w:r>
                <w:rPr>
                  <w:noProof/>
                </w:rPr>
                <w:br/>
                <w:t xml:space="preserve">Available at: </w:t>
              </w:r>
              <w:r>
                <w:rPr>
                  <w:noProof/>
                  <w:u w:val="single"/>
                </w:rPr>
                <w:t>https://www.semanticscholar.org/paper/Intention-to-Create-Legal-Relations-and-the-Reform-Archibong/e52c715070e162469274390512f63dcd3319f5a9</w:t>
              </w:r>
            </w:p>
            <w:p w14:paraId="1B26AA1F" w14:textId="77777777" w:rsidR="00B84A59" w:rsidRDefault="00B84A59" w:rsidP="00B84A59">
              <w:pPr>
                <w:pStyle w:val="Bibliography"/>
                <w:rPr>
                  <w:noProof/>
                </w:rPr>
              </w:pPr>
              <w:r>
                <w:rPr>
                  <w:i/>
                  <w:iCs/>
                  <w:noProof/>
                </w:rPr>
                <w:t xml:space="preserve">Coward v MIB </w:t>
              </w:r>
              <w:r>
                <w:rPr>
                  <w:noProof/>
                </w:rPr>
                <w:t xml:space="preserve">(1963). </w:t>
              </w:r>
            </w:p>
            <w:p w14:paraId="35593689" w14:textId="77777777" w:rsidR="00B84A59" w:rsidRDefault="00B84A59" w:rsidP="00B84A59">
              <w:pPr>
                <w:pStyle w:val="Bibliography"/>
                <w:rPr>
                  <w:noProof/>
                </w:rPr>
              </w:pPr>
              <w:r>
                <w:rPr>
                  <w:noProof/>
                </w:rPr>
                <w:t xml:space="preserve">Dixon, M., 2013. In: </w:t>
              </w:r>
              <w:r>
                <w:rPr>
                  <w:i/>
                  <w:iCs/>
                  <w:noProof/>
                </w:rPr>
                <w:t xml:space="preserve">Textbook on International Law. </w:t>
              </w:r>
              <w:r>
                <w:rPr>
                  <w:noProof/>
                </w:rPr>
                <w:t>Oxford: s.n.</w:t>
              </w:r>
            </w:p>
            <w:p w14:paraId="3A8E065A" w14:textId="77777777" w:rsidR="00B84A59" w:rsidRDefault="00B84A59" w:rsidP="00B84A59">
              <w:pPr>
                <w:pStyle w:val="Bibliography"/>
                <w:rPr>
                  <w:noProof/>
                </w:rPr>
              </w:pPr>
              <w:r>
                <w:rPr>
                  <w:i/>
                  <w:iCs/>
                  <w:noProof/>
                </w:rPr>
                <w:t xml:space="preserve">ERDC Group Ltd v Brunel University </w:t>
              </w:r>
              <w:r>
                <w:rPr>
                  <w:noProof/>
                </w:rPr>
                <w:t xml:space="preserve">(2006). </w:t>
              </w:r>
            </w:p>
            <w:p w14:paraId="759689B4" w14:textId="77777777" w:rsidR="00B84A59" w:rsidRDefault="00B84A59" w:rsidP="00B84A59">
              <w:pPr>
                <w:pStyle w:val="Bibliography"/>
                <w:rPr>
                  <w:noProof/>
                </w:rPr>
              </w:pPr>
              <w:r>
                <w:rPr>
                  <w:i/>
                  <w:iCs/>
                  <w:noProof/>
                </w:rPr>
                <w:t xml:space="preserve">Esso Petroleum v Customs &amp; Excise </w:t>
              </w:r>
              <w:r>
                <w:rPr>
                  <w:noProof/>
                </w:rPr>
                <w:t xml:space="preserve">(1976). </w:t>
              </w:r>
            </w:p>
            <w:p w14:paraId="2B2DA485" w14:textId="77777777" w:rsidR="00B84A59" w:rsidRDefault="00B84A59" w:rsidP="00B84A59">
              <w:pPr>
                <w:pStyle w:val="Bibliography"/>
                <w:rPr>
                  <w:noProof/>
                </w:rPr>
              </w:pPr>
              <w:r>
                <w:rPr>
                  <w:noProof/>
                </w:rPr>
                <w:t xml:space="preserve">khan, A., 2019. </w:t>
              </w:r>
              <w:r>
                <w:rPr>
                  <w:i/>
                  <w:iCs/>
                  <w:noProof/>
                </w:rPr>
                <w:t xml:space="preserve">supremo amicus. </w:t>
              </w:r>
              <w:r>
                <w:rPr>
                  <w:noProof/>
                </w:rPr>
                <w:t xml:space="preserve">[Online] </w:t>
              </w:r>
              <w:r>
                <w:rPr>
                  <w:noProof/>
                </w:rPr>
                <w:br/>
                <w:t xml:space="preserve">Available at: </w:t>
              </w:r>
              <w:r>
                <w:rPr>
                  <w:noProof/>
                  <w:u w:val="single"/>
                </w:rPr>
                <w:t>https://supremoamicus.org/wp-content/uploads/2019/04/A5.v11.pdf</w:t>
              </w:r>
            </w:p>
            <w:p w14:paraId="110D4BF9" w14:textId="77777777" w:rsidR="00B84A59" w:rsidRDefault="00B84A59" w:rsidP="00B84A59">
              <w:pPr>
                <w:pStyle w:val="Bibliography"/>
                <w:rPr>
                  <w:noProof/>
                </w:rPr>
              </w:pPr>
              <w:r>
                <w:rPr>
                  <w:noProof/>
                </w:rPr>
                <w:t xml:space="preserve">Klass, G., 2009. [Online] </w:t>
              </w:r>
              <w:r>
                <w:rPr>
                  <w:noProof/>
                </w:rPr>
                <w:br/>
                <w:t xml:space="preserve">Available at: </w:t>
              </w:r>
              <w:r>
                <w:rPr>
                  <w:noProof/>
                  <w:u w:val="single"/>
                </w:rPr>
                <w:t>https://papers.ssrn.com/sol3/papers.cfm?abstract_id=1345172</w:t>
              </w:r>
            </w:p>
            <w:p w14:paraId="46285823" w14:textId="77777777" w:rsidR="00B84A59" w:rsidRDefault="00B84A59" w:rsidP="00B84A59">
              <w:pPr>
                <w:pStyle w:val="Bibliography"/>
                <w:rPr>
                  <w:noProof/>
                </w:rPr>
              </w:pPr>
              <w:r>
                <w:rPr>
                  <w:noProof/>
                </w:rPr>
                <w:t xml:space="preserve">Loo, 2013. [Online] </w:t>
              </w:r>
              <w:r>
                <w:rPr>
                  <w:noProof/>
                </w:rPr>
                <w:br/>
                <w:t xml:space="preserve">Available at: </w:t>
              </w:r>
              <w:r>
                <w:rPr>
                  <w:noProof/>
                  <w:u w:val="single"/>
                </w:rPr>
                <w:t>https://www.researchgate.net/publication/364401966_3_Consideration_and_Intention_to_Create_Legal_Relations</w:t>
              </w:r>
            </w:p>
            <w:p w14:paraId="14CA17E6" w14:textId="77777777" w:rsidR="00B84A59" w:rsidRDefault="00B84A59" w:rsidP="00B84A59">
              <w:pPr>
                <w:pStyle w:val="Bibliography"/>
                <w:rPr>
                  <w:noProof/>
                </w:rPr>
              </w:pPr>
              <w:r>
                <w:rPr>
                  <w:noProof/>
                </w:rPr>
                <w:t xml:space="preserve">McKendrick, E., 2012. Balfour v. Balfour. In: F. Rose, ed. </w:t>
              </w:r>
              <w:r>
                <w:rPr>
                  <w:i/>
                  <w:iCs/>
                  <w:noProof/>
                </w:rPr>
                <w:t xml:space="preserve">Contract Law. </w:t>
              </w:r>
              <w:r>
                <w:rPr>
                  <w:noProof/>
                </w:rPr>
                <w:t>Oxford: s.n., p. 275.</w:t>
              </w:r>
            </w:p>
            <w:p w14:paraId="28039C96" w14:textId="77777777" w:rsidR="00B84A59" w:rsidRDefault="00B84A59" w:rsidP="00B84A59">
              <w:pPr>
                <w:pStyle w:val="Bibliography"/>
                <w:rPr>
                  <w:noProof/>
                </w:rPr>
              </w:pPr>
              <w:r>
                <w:rPr>
                  <w:noProof/>
                </w:rPr>
                <w:t xml:space="preserve">McKendrick, E., 2012. Edwards v Skyways Ltd. In: F. Rose, ed. </w:t>
              </w:r>
              <w:r>
                <w:rPr>
                  <w:i/>
                  <w:iCs/>
                  <w:noProof/>
                </w:rPr>
                <w:t xml:space="preserve">Contract Law. </w:t>
              </w:r>
              <w:r>
                <w:rPr>
                  <w:noProof/>
                </w:rPr>
                <w:t>Oxford: s.n., pp. 270, 285.</w:t>
              </w:r>
            </w:p>
            <w:p w14:paraId="2D9AEBA7" w14:textId="77777777" w:rsidR="00B84A59" w:rsidRDefault="00B84A59" w:rsidP="00B84A59">
              <w:pPr>
                <w:pStyle w:val="Bibliography"/>
                <w:rPr>
                  <w:noProof/>
                </w:rPr>
              </w:pPr>
              <w:r>
                <w:rPr>
                  <w:noProof/>
                </w:rPr>
                <w:t xml:space="preserve">McKendrick, E., 2012. Ford Motor Co Ltd v. Amalgamated Union . In: F. Rose, ed. </w:t>
              </w:r>
              <w:r>
                <w:rPr>
                  <w:i/>
                  <w:iCs/>
                  <w:noProof/>
                </w:rPr>
                <w:t xml:space="preserve">Contract Law. </w:t>
              </w:r>
              <w:r>
                <w:rPr>
                  <w:noProof/>
                </w:rPr>
                <w:t>Oxford: s.n., p. 286.</w:t>
              </w:r>
            </w:p>
            <w:p w14:paraId="2B4F323F" w14:textId="77777777" w:rsidR="00B84A59" w:rsidRDefault="00B84A59" w:rsidP="00B84A59">
              <w:pPr>
                <w:pStyle w:val="Bibliography"/>
                <w:rPr>
                  <w:noProof/>
                </w:rPr>
              </w:pPr>
              <w:r>
                <w:rPr>
                  <w:noProof/>
                </w:rPr>
                <w:t xml:space="preserve">McKendrick, E., 2012. Jones v. Padavatton . In: F. Rose, ed. </w:t>
              </w:r>
              <w:r>
                <w:rPr>
                  <w:i/>
                  <w:iCs/>
                  <w:noProof/>
                </w:rPr>
                <w:t xml:space="preserve">Contract Law. </w:t>
              </w:r>
              <w:r>
                <w:rPr>
                  <w:noProof/>
                </w:rPr>
                <w:t>Oxford: s.n., p. 275.</w:t>
              </w:r>
            </w:p>
            <w:p w14:paraId="184766CB" w14:textId="77777777" w:rsidR="00B84A59" w:rsidRDefault="00B84A59" w:rsidP="00B84A59">
              <w:pPr>
                <w:pStyle w:val="Bibliography"/>
                <w:rPr>
                  <w:noProof/>
                </w:rPr>
              </w:pPr>
              <w:r>
                <w:rPr>
                  <w:noProof/>
                </w:rPr>
                <w:t xml:space="preserve">McKendrick, E., 2012. Kleiwort Benson Ltd v. Malaysia Mining Corporation. In: F. Rose, ed. </w:t>
              </w:r>
              <w:r>
                <w:rPr>
                  <w:i/>
                  <w:iCs/>
                  <w:noProof/>
                </w:rPr>
                <w:t xml:space="preserve">Contract Law. </w:t>
              </w:r>
              <w:r>
                <w:rPr>
                  <w:noProof/>
                </w:rPr>
                <w:t>Oxford: s.n., p. 386.</w:t>
              </w:r>
            </w:p>
            <w:p w14:paraId="063F2D4D" w14:textId="77777777" w:rsidR="00B84A59" w:rsidRDefault="00B84A59" w:rsidP="00B84A59">
              <w:pPr>
                <w:pStyle w:val="Bibliography"/>
                <w:rPr>
                  <w:noProof/>
                </w:rPr>
              </w:pPr>
              <w:r>
                <w:rPr>
                  <w:noProof/>
                </w:rPr>
                <w:t xml:space="preserve">McKendrick, E., 2012. Merritt v. Merritt. In: F. Rose, ed. </w:t>
              </w:r>
              <w:r>
                <w:rPr>
                  <w:i/>
                  <w:iCs/>
                  <w:noProof/>
                </w:rPr>
                <w:t xml:space="preserve">Contract Law. </w:t>
              </w:r>
              <w:r>
                <w:rPr>
                  <w:noProof/>
                </w:rPr>
                <w:t>Oxford: s.n., p. 274.</w:t>
              </w:r>
            </w:p>
            <w:p w14:paraId="40B99540" w14:textId="77777777" w:rsidR="00B84A59" w:rsidRDefault="00B84A59" w:rsidP="00B84A59">
              <w:pPr>
                <w:pStyle w:val="Bibliography"/>
                <w:rPr>
                  <w:noProof/>
                </w:rPr>
              </w:pPr>
              <w:r>
                <w:rPr>
                  <w:noProof/>
                </w:rPr>
                <w:t xml:space="preserve">McKendrick, E., 2012. Simpkins v Pays. In: F. Rose, ed. </w:t>
              </w:r>
              <w:r>
                <w:rPr>
                  <w:i/>
                  <w:iCs/>
                  <w:noProof/>
                </w:rPr>
                <w:t xml:space="preserve">Contract Law. </w:t>
              </w:r>
              <w:r>
                <w:rPr>
                  <w:noProof/>
                </w:rPr>
                <w:t>Oxford: s.n., p. 280.</w:t>
              </w:r>
            </w:p>
            <w:p w14:paraId="2A9F8D85" w14:textId="77777777" w:rsidR="00B84A59" w:rsidRDefault="00B84A59" w:rsidP="00B84A59">
              <w:pPr>
                <w:pStyle w:val="Bibliography"/>
                <w:rPr>
                  <w:noProof/>
                </w:rPr>
              </w:pPr>
              <w:r>
                <w:rPr>
                  <w:noProof/>
                </w:rPr>
                <w:t xml:space="preserve">O'Sullivan, J., 2020. </w:t>
              </w:r>
              <w:r>
                <w:rPr>
                  <w:i/>
                  <w:iCs/>
                  <w:noProof/>
                </w:rPr>
                <w:t xml:space="preserve">Law Trove. </w:t>
              </w:r>
              <w:r>
                <w:rPr>
                  <w:noProof/>
                </w:rPr>
                <w:t xml:space="preserve">[Online] </w:t>
              </w:r>
              <w:r>
                <w:rPr>
                  <w:noProof/>
                </w:rPr>
                <w:br/>
                <w:t xml:space="preserve">Available at: </w:t>
              </w:r>
              <w:r>
                <w:rPr>
                  <w:noProof/>
                  <w:u w:val="single"/>
                </w:rPr>
                <w:t>https://www.oxfordlawtrove.com/display/10.1093/he/9780198853176.001.0001/he-9780198853176;jsessionid=54291F4C23B8F6B5AF5DE8BA67FA475D</w:t>
              </w:r>
            </w:p>
            <w:p w14:paraId="4604F5EB" w14:textId="77777777" w:rsidR="00B84A59" w:rsidRDefault="00B84A59" w:rsidP="00B84A59">
              <w:pPr>
                <w:pStyle w:val="Bibliography"/>
                <w:rPr>
                  <w:noProof/>
                </w:rPr>
              </w:pPr>
              <w:r>
                <w:rPr>
                  <w:i/>
                  <w:iCs/>
                  <w:noProof/>
                </w:rPr>
                <w:t xml:space="preserve">Robinson v Commissioners of Customers and Excise </w:t>
              </w:r>
              <w:r>
                <w:rPr>
                  <w:noProof/>
                </w:rPr>
                <w:t xml:space="preserve">(2000). </w:t>
              </w:r>
            </w:p>
            <w:p w14:paraId="475B009A" w14:textId="77777777" w:rsidR="00B84A59" w:rsidRDefault="00B84A59" w:rsidP="00B84A59">
              <w:pPr>
                <w:pStyle w:val="Bibliography"/>
                <w:rPr>
                  <w:noProof/>
                </w:rPr>
              </w:pPr>
              <w:r>
                <w:rPr>
                  <w:noProof/>
                </w:rPr>
                <w:t xml:space="preserve">Sulphey, S., 2020. </w:t>
              </w:r>
              <w:r>
                <w:rPr>
                  <w:i/>
                  <w:iCs/>
                  <w:noProof/>
                </w:rPr>
                <w:t xml:space="preserve">emerald insight. </w:t>
              </w:r>
              <w:r>
                <w:rPr>
                  <w:noProof/>
                </w:rPr>
                <w:t xml:space="preserve">[Online] </w:t>
              </w:r>
              <w:r>
                <w:rPr>
                  <w:noProof/>
                </w:rPr>
                <w:br/>
                <w:t xml:space="preserve">Available at: </w:t>
              </w:r>
              <w:r>
                <w:rPr>
                  <w:noProof/>
                  <w:u w:val="single"/>
                </w:rPr>
                <w:t>https://www.emerald.com/insight/content/doi/10.1108/IJPPM-04-2019-0189/full/html</w:t>
              </w:r>
            </w:p>
            <w:p w14:paraId="0932F1AF" w14:textId="77777777" w:rsidR="00B84A59" w:rsidRDefault="00B84A59" w:rsidP="00B84A59">
              <w:pPr>
                <w:pStyle w:val="Bibliography"/>
                <w:rPr>
                  <w:noProof/>
                </w:rPr>
              </w:pPr>
              <w:r>
                <w:rPr>
                  <w:i/>
                  <w:iCs/>
                  <w:noProof/>
                </w:rPr>
                <w:t xml:space="preserve">Triefus &amp; Company Ltd v Post Office </w:t>
              </w:r>
              <w:r>
                <w:rPr>
                  <w:noProof/>
                </w:rPr>
                <w:t xml:space="preserve">(1957). </w:t>
              </w:r>
            </w:p>
            <w:p w14:paraId="65403CB0" w14:textId="621C3312" w:rsidR="00B84A59" w:rsidRDefault="00B84A59" w:rsidP="00B84A59">
              <w:r>
                <w:rPr>
                  <w:b/>
                  <w:bCs/>
                  <w:noProof/>
                </w:rPr>
                <w:lastRenderedPageBreak/>
                <w:fldChar w:fldCharType="end"/>
              </w:r>
            </w:p>
          </w:sdtContent>
        </w:sdt>
      </w:sdtContent>
    </w:sdt>
    <w:p w14:paraId="44AFACED" w14:textId="77777777" w:rsidR="009C04B1" w:rsidRPr="006F2A7F" w:rsidRDefault="009C04B1" w:rsidP="006F2A7F">
      <w:pPr>
        <w:spacing w:line="480" w:lineRule="auto"/>
        <w:jc w:val="both"/>
        <w:rPr>
          <w:rFonts w:ascii="Times New Roman" w:hAnsi="Times New Roman" w:cs="Times New Roman"/>
          <w:sz w:val="24"/>
          <w:szCs w:val="24"/>
        </w:rPr>
      </w:pPr>
    </w:p>
    <w:p w14:paraId="2289DFEF" w14:textId="77777777" w:rsidR="009C04B1" w:rsidRPr="006F2A7F" w:rsidRDefault="009C04B1" w:rsidP="006F2A7F">
      <w:pPr>
        <w:spacing w:line="480" w:lineRule="auto"/>
        <w:jc w:val="both"/>
        <w:rPr>
          <w:rFonts w:ascii="Times New Roman" w:hAnsi="Times New Roman" w:cs="Times New Roman"/>
          <w:sz w:val="24"/>
          <w:szCs w:val="24"/>
        </w:rPr>
      </w:pPr>
    </w:p>
    <w:p w14:paraId="1E609384" w14:textId="77777777" w:rsidR="009C04B1" w:rsidRPr="006F2A7F" w:rsidRDefault="00364C72" w:rsidP="006F2A7F">
      <w:pPr>
        <w:spacing w:line="480" w:lineRule="auto"/>
        <w:jc w:val="both"/>
        <w:rPr>
          <w:rFonts w:ascii="Times New Roman" w:hAnsi="Times New Roman" w:cs="Times New Roman"/>
          <w:sz w:val="24"/>
          <w:szCs w:val="24"/>
        </w:rPr>
      </w:pPr>
      <w:r w:rsidRPr="006F2A7F">
        <w:rPr>
          <w:rFonts w:ascii="Times New Roman" w:hAnsi="Times New Roman" w:cs="Times New Roman"/>
          <w:sz w:val="24"/>
          <w:szCs w:val="24"/>
        </w:rPr>
        <w:t xml:space="preserve"> </w:t>
      </w:r>
    </w:p>
    <w:sectPr w:rsidR="009C04B1" w:rsidRPr="006F2A7F">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70F8D" w14:textId="77777777" w:rsidR="003E14DF" w:rsidRDefault="003E14DF">
      <w:pPr>
        <w:spacing w:after="0" w:line="240" w:lineRule="auto"/>
      </w:pPr>
      <w:r>
        <w:separator/>
      </w:r>
    </w:p>
  </w:endnote>
  <w:endnote w:type="continuationSeparator" w:id="0">
    <w:p w14:paraId="7FDE6883" w14:textId="77777777" w:rsidR="003E14DF" w:rsidRDefault="003E14DF">
      <w:pPr>
        <w:spacing w:after="0" w:line="240" w:lineRule="auto"/>
      </w:pPr>
      <w:r>
        <w:continuationSeparator/>
      </w:r>
    </w:p>
  </w:endnote>
  <w:endnote w:type="continuationNotice" w:id="1">
    <w:p w14:paraId="7B1D477A" w14:textId="77777777" w:rsidR="003E14DF" w:rsidRDefault="003E14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68156" w14:textId="77777777" w:rsidR="009C04B1" w:rsidRDefault="00364C72">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A3C88" w14:textId="77777777" w:rsidR="003E14DF" w:rsidRDefault="003E14DF">
      <w:pPr>
        <w:spacing w:after="0" w:line="240" w:lineRule="auto"/>
      </w:pPr>
      <w:r>
        <w:separator/>
      </w:r>
    </w:p>
  </w:footnote>
  <w:footnote w:type="continuationSeparator" w:id="0">
    <w:p w14:paraId="02CB1722" w14:textId="77777777" w:rsidR="003E14DF" w:rsidRDefault="003E14DF">
      <w:pPr>
        <w:spacing w:after="0" w:line="240" w:lineRule="auto"/>
      </w:pPr>
      <w:r>
        <w:continuationSeparator/>
      </w:r>
    </w:p>
  </w:footnote>
  <w:footnote w:type="continuationNotice" w:id="1">
    <w:p w14:paraId="5ED968D4" w14:textId="77777777" w:rsidR="003E14DF" w:rsidRDefault="003E14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84EC5" w14:textId="77777777" w:rsidR="009C04B1" w:rsidRDefault="009C04B1">
    <w:pPr>
      <w:pStyle w:val="Header"/>
      <w:jc w:val="right"/>
    </w:pPr>
  </w:p>
  <w:p w14:paraId="49128C6B" w14:textId="77777777" w:rsidR="009C04B1" w:rsidRDefault="009C0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B34266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7A20833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FCA017A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37D7807"/>
    <w:multiLevelType w:val="multilevel"/>
    <w:tmpl w:val="302A0E8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735977213">
    <w:abstractNumId w:val="1"/>
  </w:num>
  <w:num w:numId="2" w16cid:durableId="344745244">
    <w:abstractNumId w:val="0"/>
  </w:num>
  <w:num w:numId="3" w16cid:durableId="1620142175">
    <w:abstractNumId w:val="2"/>
  </w:num>
  <w:num w:numId="4" w16cid:durableId="14035986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1MzE3NzM1sTAxtjBT0lEKTi0uzszPAykwrAUAg4UPFiwAAAA="/>
  </w:docVars>
  <w:rsids>
    <w:rsidRoot w:val="009C04B1"/>
    <w:rsid w:val="00003F05"/>
    <w:rsid w:val="0002021E"/>
    <w:rsid w:val="0002341E"/>
    <w:rsid w:val="0002437A"/>
    <w:rsid w:val="00037980"/>
    <w:rsid w:val="00055242"/>
    <w:rsid w:val="00063763"/>
    <w:rsid w:val="00074A7C"/>
    <w:rsid w:val="00077D22"/>
    <w:rsid w:val="00094FFB"/>
    <w:rsid w:val="000950A0"/>
    <w:rsid w:val="000A6343"/>
    <w:rsid w:val="000C1051"/>
    <w:rsid w:val="000D302B"/>
    <w:rsid w:val="000D7633"/>
    <w:rsid w:val="000F51EF"/>
    <w:rsid w:val="00127A04"/>
    <w:rsid w:val="001336D6"/>
    <w:rsid w:val="00135D2A"/>
    <w:rsid w:val="00151690"/>
    <w:rsid w:val="00160749"/>
    <w:rsid w:val="001756C3"/>
    <w:rsid w:val="00187EF5"/>
    <w:rsid w:val="001A40B2"/>
    <w:rsid w:val="001C39E7"/>
    <w:rsid w:val="001C6FF8"/>
    <w:rsid w:val="001E0776"/>
    <w:rsid w:val="001E0790"/>
    <w:rsid w:val="001F7EE3"/>
    <w:rsid w:val="00242CEE"/>
    <w:rsid w:val="0025182C"/>
    <w:rsid w:val="002569F0"/>
    <w:rsid w:val="0026309B"/>
    <w:rsid w:val="00286B11"/>
    <w:rsid w:val="002B55CB"/>
    <w:rsid w:val="002F3C22"/>
    <w:rsid w:val="0032471D"/>
    <w:rsid w:val="00364C72"/>
    <w:rsid w:val="0038091F"/>
    <w:rsid w:val="003838A9"/>
    <w:rsid w:val="0039729C"/>
    <w:rsid w:val="003A2CE8"/>
    <w:rsid w:val="003B77AB"/>
    <w:rsid w:val="003D670D"/>
    <w:rsid w:val="003D7767"/>
    <w:rsid w:val="003E14DF"/>
    <w:rsid w:val="00401A3E"/>
    <w:rsid w:val="0043271E"/>
    <w:rsid w:val="004701EE"/>
    <w:rsid w:val="00481505"/>
    <w:rsid w:val="00496149"/>
    <w:rsid w:val="004E3375"/>
    <w:rsid w:val="004E50FC"/>
    <w:rsid w:val="00500FF5"/>
    <w:rsid w:val="00514C02"/>
    <w:rsid w:val="00515707"/>
    <w:rsid w:val="0051650E"/>
    <w:rsid w:val="00521619"/>
    <w:rsid w:val="00525DAC"/>
    <w:rsid w:val="005318ED"/>
    <w:rsid w:val="00592D9A"/>
    <w:rsid w:val="005B20F2"/>
    <w:rsid w:val="005C5499"/>
    <w:rsid w:val="005F12C8"/>
    <w:rsid w:val="00611B71"/>
    <w:rsid w:val="00623A9E"/>
    <w:rsid w:val="00657F6E"/>
    <w:rsid w:val="00692C39"/>
    <w:rsid w:val="006B4FA1"/>
    <w:rsid w:val="006D4A36"/>
    <w:rsid w:val="006F2A7F"/>
    <w:rsid w:val="006F3F09"/>
    <w:rsid w:val="006F574C"/>
    <w:rsid w:val="007243E1"/>
    <w:rsid w:val="0073476A"/>
    <w:rsid w:val="0074692D"/>
    <w:rsid w:val="0075063C"/>
    <w:rsid w:val="0076798C"/>
    <w:rsid w:val="007704E6"/>
    <w:rsid w:val="00785C33"/>
    <w:rsid w:val="007A78F7"/>
    <w:rsid w:val="007B5E85"/>
    <w:rsid w:val="007C2BB9"/>
    <w:rsid w:val="007C358B"/>
    <w:rsid w:val="007D1842"/>
    <w:rsid w:val="007D1BA1"/>
    <w:rsid w:val="007F73EC"/>
    <w:rsid w:val="008408D8"/>
    <w:rsid w:val="00875C5C"/>
    <w:rsid w:val="00877510"/>
    <w:rsid w:val="008E4214"/>
    <w:rsid w:val="00907AE9"/>
    <w:rsid w:val="0095417E"/>
    <w:rsid w:val="00974AF5"/>
    <w:rsid w:val="0098540C"/>
    <w:rsid w:val="00987CFC"/>
    <w:rsid w:val="00991EC5"/>
    <w:rsid w:val="009A0622"/>
    <w:rsid w:val="009A7427"/>
    <w:rsid w:val="009C04B1"/>
    <w:rsid w:val="009C2FCB"/>
    <w:rsid w:val="009C4B04"/>
    <w:rsid w:val="009C4BC8"/>
    <w:rsid w:val="009E344C"/>
    <w:rsid w:val="009E4877"/>
    <w:rsid w:val="00A21317"/>
    <w:rsid w:val="00A26C9C"/>
    <w:rsid w:val="00A66B92"/>
    <w:rsid w:val="00A72D96"/>
    <w:rsid w:val="00A81874"/>
    <w:rsid w:val="00A95255"/>
    <w:rsid w:val="00AB350D"/>
    <w:rsid w:val="00AB4D06"/>
    <w:rsid w:val="00AE5011"/>
    <w:rsid w:val="00AF70FB"/>
    <w:rsid w:val="00AF729C"/>
    <w:rsid w:val="00AF7FE0"/>
    <w:rsid w:val="00B27A7D"/>
    <w:rsid w:val="00B52262"/>
    <w:rsid w:val="00B563A0"/>
    <w:rsid w:val="00B61F1E"/>
    <w:rsid w:val="00B76332"/>
    <w:rsid w:val="00B81872"/>
    <w:rsid w:val="00B84A59"/>
    <w:rsid w:val="00B8505D"/>
    <w:rsid w:val="00B923A6"/>
    <w:rsid w:val="00BA6218"/>
    <w:rsid w:val="00BB1857"/>
    <w:rsid w:val="00C616CF"/>
    <w:rsid w:val="00C61BD8"/>
    <w:rsid w:val="00C638C5"/>
    <w:rsid w:val="00C914A8"/>
    <w:rsid w:val="00CC09BF"/>
    <w:rsid w:val="00CC12B7"/>
    <w:rsid w:val="00CE38F2"/>
    <w:rsid w:val="00D13A77"/>
    <w:rsid w:val="00D20061"/>
    <w:rsid w:val="00D36FDE"/>
    <w:rsid w:val="00D51157"/>
    <w:rsid w:val="00D6016A"/>
    <w:rsid w:val="00D826F6"/>
    <w:rsid w:val="00D85790"/>
    <w:rsid w:val="00D870A5"/>
    <w:rsid w:val="00DA7856"/>
    <w:rsid w:val="00DA7A80"/>
    <w:rsid w:val="00DB1ECB"/>
    <w:rsid w:val="00DC1A4D"/>
    <w:rsid w:val="00DE468A"/>
    <w:rsid w:val="00E042EC"/>
    <w:rsid w:val="00E46AC5"/>
    <w:rsid w:val="00E54630"/>
    <w:rsid w:val="00E719D6"/>
    <w:rsid w:val="00E735BD"/>
    <w:rsid w:val="00E76A59"/>
    <w:rsid w:val="00EB20F6"/>
    <w:rsid w:val="00EC13B5"/>
    <w:rsid w:val="00EC74BC"/>
    <w:rsid w:val="00EC7FAB"/>
    <w:rsid w:val="00EF57D3"/>
    <w:rsid w:val="00F022AB"/>
    <w:rsid w:val="00F02BE0"/>
    <w:rsid w:val="00F10B0F"/>
    <w:rsid w:val="00F16A80"/>
    <w:rsid w:val="00F170F4"/>
    <w:rsid w:val="00F31E1B"/>
    <w:rsid w:val="00F35B4B"/>
    <w:rsid w:val="00F53830"/>
    <w:rsid w:val="00FA62F8"/>
    <w:rsid w:val="00FB3218"/>
    <w:rsid w:val="00FC01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AAEA"/>
  <w15:docId w15:val="{F1AA7D90-91F9-4F07-B67A-A5739B667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58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rPr>
      <w:color w:val="0000FF"/>
      <w:u w:val="single"/>
    </w:rPr>
  </w:style>
  <w:style w:type="character" w:customStyle="1" w:styleId="heading">
    <w:name w:val="heading"/>
    <w:basedOn w:val="DefaultParagraphFont"/>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rsid w:val="001336D6"/>
    <w:pPr>
      <w:ind w:left="720"/>
      <w:contextualSpacing/>
    </w:pPr>
  </w:style>
  <w:style w:type="character" w:customStyle="1" w:styleId="Heading1Char">
    <w:name w:val="Heading 1 Char"/>
    <w:basedOn w:val="DefaultParagraphFont"/>
    <w:link w:val="Heading1"/>
    <w:uiPriority w:val="9"/>
    <w:rsid w:val="007C358B"/>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7C358B"/>
  </w:style>
  <w:style w:type="paragraph" w:styleId="Revision">
    <w:name w:val="Revision"/>
    <w:hidden/>
    <w:uiPriority w:val="99"/>
    <w:semiHidden/>
    <w:rsid w:val="0087751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33648">
      <w:bodyDiv w:val="1"/>
      <w:marLeft w:val="0"/>
      <w:marRight w:val="0"/>
      <w:marTop w:val="0"/>
      <w:marBottom w:val="0"/>
      <w:divBdr>
        <w:top w:val="none" w:sz="0" w:space="0" w:color="auto"/>
        <w:left w:val="none" w:sz="0" w:space="0" w:color="auto"/>
        <w:bottom w:val="none" w:sz="0" w:space="0" w:color="auto"/>
        <w:right w:val="none" w:sz="0" w:space="0" w:color="auto"/>
      </w:divBdr>
    </w:div>
    <w:div w:id="242616614">
      <w:bodyDiv w:val="1"/>
      <w:marLeft w:val="0"/>
      <w:marRight w:val="0"/>
      <w:marTop w:val="0"/>
      <w:marBottom w:val="0"/>
      <w:divBdr>
        <w:top w:val="none" w:sz="0" w:space="0" w:color="auto"/>
        <w:left w:val="none" w:sz="0" w:space="0" w:color="auto"/>
        <w:bottom w:val="none" w:sz="0" w:space="0" w:color="auto"/>
        <w:right w:val="none" w:sz="0" w:space="0" w:color="auto"/>
      </w:divBdr>
    </w:div>
    <w:div w:id="264849975">
      <w:bodyDiv w:val="1"/>
      <w:marLeft w:val="0"/>
      <w:marRight w:val="0"/>
      <w:marTop w:val="0"/>
      <w:marBottom w:val="0"/>
      <w:divBdr>
        <w:top w:val="none" w:sz="0" w:space="0" w:color="auto"/>
        <w:left w:val="none" w:sz="0" w:space="0" w:color="auto"/>
        <w:bottom w:val="none" w:sz="0" w:space="0" w:color="auto"/>
        <w:right w:val="none" w:sz="0" w:space="0" w:color="auto"/>
      </w:divBdr>
    </w:div>
    <w:div w:id="276836531">
      <w:bodyDiv w:val="1"/>
      <w:marLeft w:val="0"/>
      <w:marRight w:val="0"/>
      <w:marTop w:val="0"/>
      <w:marBottom w:val="0"/>
      <w:divBdr>
        <w:top w:val="none" w:sz="0" w:space="0" w:color="auto"/>
        <w:left w:val="none" w:sz="0" w:space="0" w:color="auto"/>
        <w:bottom w:val="none" w:sz="0" w:space="0" w:color="auto"/>
        <w:right w:val="none" w:sz="0" w:space="0" w:color="auto"/>
      </w:divBdr>
    </w:div>
    <w:div w:id="331758035">
      <w:bodyDiv w:val="1"/>
      <w:marLeft w:val="0"/>
      <w:marRight w:val="0"/>
      <w:marTop w:val="0"/>
      <w:marBottom w:val="0"/>
      <w:divBdr>
        <w:top w:val="none" w:sz="0" w:space="0" w:color="auto"/>
        <w:left w:val="none" w:sz="0" w:space="0" w:color="auto"/>
        <w:bottom w:val="none" w:sz="0" w:space="0" w:color="auto"/>
        <w:right w:val="none" w:sz="0" w:space="0" w:color="auto"/>
      </w:divBdr>
    </w:div>
    <w:div w:id="382562569">
      <w:bodyDiv w:val="1"/>
      <w:marLeft w:val="0"/>
      <w:marRight w:val="0"/>
      <w:marTop w:val="0"/>
      <w:marBottom w:val="0"/>
      <w:divBdr>
        <w:top w:val="none" w:sz="0" w:space="0" w:color="auto"/>
        <w:left w:val="none" w:sz="0" w:space="0" w:color="auto"/>
        <w:bottom w:val="none" w:sz="0" w:space="0" w:color="auto"/>
        <w:right w:val="none" w:sz="0" w:space="0" w:color="auto"/>
      </w:divBdr>
    </w:div>
    <w:div w:id="443421375">
      <w:bodyDiv w:val="1"/>
      <w:marLeft w:val="0"/>
      <w:marRight w:val="0"/>
      <w:marTop w:val="0"/>
      <w:marBottom w:val="0"/>
      <w:divBdr>
        <w:top w:val="none" w:sz="0" w:space="0" w:color="auto"/>
        <w:left w:val="none" w:sz="0" w:space="0" w:color="auto"/>
        <w:bottom w:val="none" w:sz="0" w:space="0" w:color="auto"/>
        <w:right w:val="none" w:sz="0" w:space="0" w:color="auto"/>
      </w:divBdr>
    </w:div>
    <w:div w:id="523321544">
      <w:bodyDiv w:val="1"/>
      <w:marLeft w:val="0"/>
      <w:marRight w:val="0"/>
      <w:marTop w:val="0"/>
      <w:marBottom w:val="0"/>
      <w:divBdr>
        <w:top w:val="none" w:sz="0" w:space="0" w:color="auto"/>
        <w:left w:val="none" w:sz="0" w:space="0" w:color="auto"/>
        <w:bottom w:val="none" w:sz="0" w:space="0" w:color="auto"/>
        <w:right w:val="none" w:sz="0" w:space="0" w:color="auto"/>
      </w:divBdr>
    </w:div>
    <w:div w:id="526597830">
      <w:bodyDiv w:val="1"/>
      <w:marLeft w:val="0"/>
      <w:marRight w:val="0"/>
      <w:marTop w:val="0"/>
      <w:marBottom w:val="0"/>
      <w:divBdr>
        <w:top w:val="none" w:sz="0" w:space="0" w:color="auto"/>
        <w:left w:val="none" w:sz="0" w:space="0" w:color="auto"/>
        <w:bottom w:val="none" w:sz="0" w:space="0" w:color="auto"/>
        <w:right w:val="none" w:sz="0" w:space="0" w:color="auto"/>
      </w:divBdr>
    </w:div>
    <w:div w:id="575170199">
      <w:bodyDiv w:val="1"/>
      <w:marLeft w:val="0"/>
      <w:marRight w:val="0"/>
      <w:marTop w:val="0"/>
      <w:marBottom w:val="0"/>
      <w:divBdr>
        <w:top w:val="none" w:sz="0" w:space="0" w:color="auto"/>
        <w:left w:val="none" w:sz="0" w:space="0" w:color="auto"/>
        <w:bottom w:val="none" w:sz="0" w:space="0" w:color="auto"/>
        <w:right w:val="none" w:sz="0" w:space="0" w:color="auto"/>
      </w:divBdr>
    </w:div>
    <w:div w:id="719015133">
      <w:bodyDiv w:val="1"/>
      <w:marLeft w:val="0"/>
      <w:marRight w:val="0"/>
      <w:marTop w:val="0"/>
      <w:marBottom w:val="0"/>
      <w:divBdr>
        <w:top w:val="none" w:sz="0" w:space="0" w:color="auto"/>
        <w:left w:val="none" w:sz="0" w:space="0" w:color="auto"/>
        <w:bottom w:val="none" w:sz="0" w:space="0" w:color="auto"/>
        <w:right w:val="none" w:sz="0" w:space="0" w:color="auto"/>
      </w:divBdr>
    </w:div>
    <w:div w:id="805244751">
      <w:bodyDiv w:val="1"/>
      <w:marLeft w:val="0"/>
      <w:marRight w:val="0"/>
      <w:marTop w:val="0"/>
      <w:marBottom w:val="0"/>
      <w:divBdr>
        <w:top w:val="none" w:sz="0" w:space="0" w:color="auto"/>
        <w:left w:val="none" w:sz="0" w:space="0" w:color="auto"/>
        <w:bottom w:val="none" w:sz="0" w:space="0" w:color="auto"/>
        <w:right w:val="none" w:sz="0" w:space="0" w:color="auto"/>
      </w:divBdr>
    </w:div>
    <w:div w:id="878972752">
      <w:bodyDiv w:val="1"/>
      <w:marLeft w:val="0"/>
      <w:marRight w:val="0"/>
      <w:marTop w:val="0"/>
      <w:marBottom w:val="0"/>
      <w:divBdr>
        <w:top w:val="none" w:sz="0" w:space="0" w:color="auto"/>
        <w:left w:val="none" w:sz="0" w:space="0" w:color="auto"/>
        <w:bottom w:val="none" w:sz="0" w:space="0" w:color="auto"/>
        <w:right w:val="none" w:sz="0" w:space="0" w:color="auto"/>
      </w:divBdr>
    </w:div>
    <w:div w:id="898248409">
      <w:bodyDiv w:val="1"/>
      <w:marLeft w:val="0"/>
      <w:marRight w:val="0"/>
      <w:marTop w:val="0"/>
      <w:marBottom w:val="0"/>
      <w:divBdr>
        <w:top w:val="none" w:sz="0" w:space="0" w:color="auto"/>
        <w:left w:val="none" w:sz="0" w:space="0" w:color="auto"/>
        <w:bottom w:val="none" w:sz="0" w:space="0" w:color="auto"/>
        <w:right w:val="none" w:sz="0" w:space="0" w:color="auto"/>
      </w:divBdr>
    </w:div>
    <w:div w:id="911740665">
      <w:bodyDiv w:val="1"/>
      <w:marLeft w:val="0"/>
      <w:marRight w:val="0"/>
      <w:marTop w:val="0"/>
      <w:marBottom w:val="0"/>
      <w:divBdr>
        <w:top w:val="none" w:sz="0" w:space="0" w:color="auto"/>
        <w:left w:val="none" w:sz="0" w:space="0" w:color="auto"/>
        <w:bottom w:val="none" w:sz="0" w:space="0" w:color="auto"/>
        <w:right w:val="none" w:sz="0" w:space="0" w:color="auto"/>
      </w:divBdr>
    </w:div>
    <w:div w:id="919293424">
      <w:bodyDiv w:val="1"/>
      <w:marLeft w:val="0"/>
      <w:marRight w:val="0"/>
      <w:marTop w:val="0"/>
      <w:marBottom w:val="0"/>
      <w:divBdr>
        <w:top w:val="none" w:sz="0" w:space="0" w:color="auto"/>
        <w:left w:val="none" w:sz="0" w:space="0" w:color="auto"/>
        <w:bottom w:val="none" w:sz="0" w:space="0" w:color="auto"/>
        <w:right w:val="none" w:sz="0" w:space="0" w:color="auto"/>
      </w:divBdr>
    </w:div>
    <w:div w:id="950933588">
      <w:bodyDiv w:val="1"/>
      <w:marLeft w:val="0"/>
      <w:marRight w:val="0"/>
      <w:marTop w:val="0"/>
      <w:marBottom w:val="0"/>
      <w:divBdr>
        <w:top w:val="none" w:sz="0" w:space="0" w:color="auto"/>
        <w:left w:val="none" w:sz="0" w:space="0" w:color="auto"/>
        <w:bottom w:val="none" w:sz="0" w:space="0" w:color="auto"/>
        <w:right w:val="none" w:sz="0" w:space="0" w:color="auto"/>
      </w:divBdr>
    </w:div>
    <w:div w:id="1024283801">
      <w:bodyDiv w:val="1"/>
      <w:marLeft w:val="0"/>
      <w:marRight w:val="0"/>
      <w:marTop w:val="0"/>
      <w:marBottom w:val="0"/>
      <w:divBdr>
        <w:top w:val="none" w:sz="0" w:space="0" w:color="auto"/>
        <w:left w:val="none" w:sz="0" w:space="0" w:color="auto"/>
        <w:bottom w:val="none" w:sz="0" w:space="0" w:color="auto"/>
        <w:right w:val="none" w:sz="0" w:space="0" w:color="auto"/>
      </w:divBdr>
    </w:div>
    <w:div w:id="1057896216">
      <w:bodyDiv w:val="1"/>
      <w:marLeft w:val="0"/>
      <w:marRight w:val="0"/>
      <w:marTop w:val="0"/>
      <w:marBottom w:val="0"/>
      <w:divBdr>
        <w:top w:val="none" w:sz="0" w:space="0" w:color="auto"/>
        <w:left w:val="none" w:sz="0" w:space="0" w:color="auto"/>
        <w:bottom w:val="none" w:sz="0" w:space="0" w:color="auto"/>
        <w:right w:val="none" w:sz="0" w:space="0" w:color="auto"/>
      </w:divBdr>
    </w:div>
    <w:div w:id="1129400510">
      <w:bodyDiv w:val="1"/>
      <w:marLeft w:val="0"/>
      <w:marRight w:val="0"/>
      <w:marTop w:val="0"/>
      <w:marBottom w:val="0"/>
      <w:divBdr>
        <w:top w:val="none" w:sz="0" w:space="0" w:color="auto"/>
        <w:left w:val="none" w:sz="0" w:space="0" w:color="auto"/>
        <w:bottom w:val="none" w:sz="0" w:space="0" w:color="auto"/>
        <w:right w:val="none" w:sz="0" w:space="0" w:color="auto"/>
      </w:divBdr>
    </w:div>
    <w:div w:id="1182208321">
      <w:bodyDiv w:val="1"/>
      <w:marLeft w:val="0"/>
      <w:marRight w:val="0"/>
      <w:marTop w:val="0"/>
      <w:marBottom w:val="0"/>
      <w:divBdr>
        <w:top w:val="none" w:sz="0" w:space="0" w:color="auto"/>
        <w:left w:val="none" w:sz="0" w:space="0" w:color="auto"/>
        <w:bottom w:val="none" w:sz="0" w:space="0" w:color="auto"/>
        <w:right w:val="none" w:sz="0" w:space="0" w:color="auto"/>
      </w:divBdr>
    </w:div>
    <w:div w:id="1227759620">
      <w:bodyDiv w:val="1"/>
      <w:marLeft w:val="0"/>
      <w:marRight w:val="0"/>
      <w:marTop w:val="0"/>
      <w:marBottom w:val="0"/>
      <w:divBdr>
        <w:top w:val="none" w:sz="0" w:space="0" w:color="auto"/>
        <w:left w:val="none" w:sz="0" w:space="0" w:color="auto"/>
        <w:bottom w:val="none" w:sz="0" w:space="0" w:color="auto"/>
        <w:right w:val="none" w:sz="0" w:space="0" w:color="auto"/>
      </w:divBdr>
    </w:div>
    <w:div w:id="1267351845">
      <w:bodyDiv w:val="1"/>
      <w:marLeft w:val="0"/>
      <w:marRight w:val="0"/>
      <w:marTop w:val="0"/>
      <w:marBottom w:val="0"/>
      <w:divBdr>
        <w:top w:val="none" w:sz="0" w:space="0" w:color="auto"/>
        <w:left w:val="none" w:sz="0" w:space="0" w:color="auto"/>
        <w:bottom w:val="none" w:sz="0" w:space="0" w:color="auto"/>
        <w:right w:val="none" w:sz="0" w:space="0" w:color="auto"/>
      </w:divBdr>
    </w:div>
    <w:div w:id="1268393843">
      <w:bodyDiv w:val="1"/>
      <w:marLeft w:val="0"/>
      <w:marRight w:val="0"/>
      <w:marTop w:val="0"/>
      <w:marBottom w:val="0"/>
      <w:divBdr>
        <w:top w:val="none" w:sz="0" w:space="0" w:color="auto"/>
        <w:left w:val="none" w:sz="0" w:space="0" w:color="auto"/>
        <w:bottom w:val="none" w:sz="0" w:space="0" w:color="auto"/>
        <w:right w:val="none" w:sz="0" w:space="0" w:color="auto"/>
      </w:divBdr>
    </w:div>
    <w:div w:id="1305813029">
      <w:bodyDiv w:val="1"/>
      <w:marLeft w:val="0"/>
      <w:marRight w:val="0"/>
      <w:marTop w:val="0"/>
      <w:marBottom w:val="0"/>
      <w:divBdr>
        <w:top w:val="none" w:sz="0" w:space="0" w:color="auto"/>
        <w:left w:val="none" w:sz="0" w:space="0" w:color="auto"/>
        <w:bottom w:val="none" w:sz="0" w:space="0" w:color="auto"/>
        <w:right w:val="none" w:sz="0" w:space="0" w:color="auto"/>
      </w:divBdr>
    </w:div>
    <w:div w:id="1319991756">
      <w:bodyDiv w:val="1"/>
      <w:marLeft w:val="0"/>
      <w:marRight w:val="0"/>
      <w:marTop w:val="0"/>
      <w:marBottom w:val="0"/>
      <w:divBdr>
        <w:top w:val="none" w:sz="0" w:space="0" w:color="auto"/>
        <w:left w:val="none" w:sz="0" w:space="0" w:color="auto"/>
        <w:bottom w:val="none" w:sz="0" w:space="0" w:color="auto"/>
        <w:right w:val="none" w:sz="0" w:space="0" w:color="auto"/>
      </w:divBdr>
    </w:div>
    <w:div w:id="1330212438">
      <w:bodyDiv w:val="1"/>
      <w:marLeft w:val="0"/>
      <w:marRight w:val="0"/>
      <w:marTop w:val="0"/>
      <w:marBottom w:val="0"/>
      <w:divBdr>
        <w:top w:val="none" w:sz="0" w:space="0" w:color="auto"/>
        <w:left w:val="none" w:sz="0" w:space="0" w:color="auto"/>
        <w:bottom w:val="none" w:sz="0" w:space="0" w:color="auto"/>
        <w:right w:val="none" w:sz="0" w:space="0" w:color="auto"/>
      </w:divBdr>
    </w:div>
    <w:div w:id="1365639507">
      <w:bodyDiv w:val="1"/>
      <w:marLeft w:val="0"/>
      <w:marRight w:val="0"/>
      <w:marTop w:val="0"/>
      <w:marBottom w:val="0"/>
      <w:divBdr>
        <w:top w:val="none" w:sz="0" w:space="0" w:color="auto"/>
        <w:left w:val="none" w:sz="0" w:space="0" w:color="auto"/>
        <w:bottom w:val="none" w:sz="0" w:space="0" w:color="auto"/>
        <w:right w:val="none" w:sz="0" w:space="0" w:color="auto"/>
      </w:divBdr>
    </w:div>
    <w:div w:id="1396005243">
      <w:bodyDiv w:val="1"/>
      <w:marLeft w:val="0"/>
      <w:marRight w:val="0"/>
      <w:marTop w:val="0"/>
      <w:marBottom w:val="0"/>
      <w:divBdr>
        <w:top w:val="none" w:sz="0" w:space="0" w:color="auto"/>
        <w:left w:val="none" w:sz="0" w:space="0" w:color="auto"/>
        <w:bottom w:val="none" w:sz="0" w:space="0" w:color="auto"/>
        <w:right w:val="none" w:sz="0" w:space="0" w:color="auto"/>
      </w:divBdr>
    </w:div>
    <w:div w:id="1401438676">
      <w:bodyDiv w:val="1"/>
      <w:marLeft w:val="0"/>
      <w:marRight w:val="0"/>
      <w:marTop w:val="0"/>
      <w:marBottom w:val="0"/>
      <w:divBdr>
        <w:top w:val="none" w:sz="0" w:space="0" w:color="auto"/>
        <w:left w:val="none" w:sz="0" w:space="0" w:color="auto"/>
        <w:bottom w:val="none" w:sz="0" w:space="0" w:color="auto"/>
        <w:right w:val="none" w:sz="0" w:space="0" w:color="auto"/>
      </w:divBdr>
    </w:div>
    <w:div w:id="1464614780">
      <w:bodyDiv w:val="1"/>
      <w:marLeft w:val="0"/>
      <w:marRight w:val="0"/>
      <w:marTop w:val="0"/>
      <w:marBottom w:val="0"/>
      <w:divBdr>
        <w:top w:val="none" w:sz="0" w:space="0" w:color="auto"/>
        <w:left w:val="none" w:sz="0" w:space="0" w:color="auto"/>
        <w:bottom w:val="none" w:sz="0" w:space="0" w:color="auto"/>
        <w:right w:val="none" w:sz="0" w:space="0" w:color="auto"/>
      </w:divBdr>
    </w:div>
    <w:div w:id="1540164808">
      <w:bodyDiv w:val="1"/>
      <w:marLeft w:val="0"/>
      <w:marRight w:val="0"/>
      <w:marTop w:val="0"/>
      <w:marBottom w:val="0"/>
      <w:divBdr>
        <w:top w:val="none" w:sz="0" w:space="0" w:color="auto"/>
        <w:left w:val="none" w:sz="0" w:space="0" w:color="auto"/>
        <w:bottom w:val="none" w:sz="0" w:space="0" w:color="auto"/>
        <w:right w:val="none" w:sz="0" w:space="0" w:color="auto"/>
      </w:divBdr>
    </w:div>
    <w:div w:id="1733038471">
      <w:bodyDiv w:val="1"/>
      <w:marLeft w:val="0"/>
      <w:marRight w:val="0"/>
      <w:marTop w:val="0"/>
      <w:marBottom w:val="0"/>
      <w:divBdr>
        <w:top w:val="none" w:sz="0" w:space="0" w:color="auto"/>
        <w:left w:val="none" w:sz="0" w:space="0" w:color="auto"/>
        <w:bottom w:val="none" w:sz="0" w:space="0" w:color="auto"/>
        <w:right w:val="none" w:sz="0" w:space="0" w:color="auto"/>
      </w:divBdr>
    </w:div>
    <w:div w:id="1776053166">
      <w:bodyDiv w:val="1"/>
      <w:marLeft w:val="0"/>
      <w:marRight w:val="0"/>
      <w:marTop w:val="0"/>
      <w:marBottom w:val="0"/>
      <w:divBdr>
        <w:top w:val="none" w:sz="0" w:space="0" w:color="auto"/>
        <w:left w:val="none" w:sz="0" w:space="0" w:color="auto"/>
        <w:bottom w:val="none" w:sz="0" w:space="0" w:color="auto"/>
        <w:right w:val="none" w:sz="0" w:space="0" w:color="auto"/>
      </w:divBdr>
    </w:div>
    <w:div w:id="1798794378">
      <w:bodyDiv w:val="1"/>
      <w:marLeft w:val="0"/>
      <w:marRight w:val="0"/>
      <w:marTop w:val="0"/>
      <w:marBottom w:val="0"/>
      <w:divBdr>
        <w:top w:val="none" w:sz="0" w:space="0" w:color="auto"/>
        <w:left w:val="none" w:sz="0" w:space="0" w:color="auto"/>
        <w:bottom w:val="none" w:sz="0" w:space="0" w:color="auto"/>
        <w:right w:val="none" w:sz="0" w:space="0" w:color="auto"/>
      </w:divBdr>
    </w:div>
    <w:div w:id="1935938305">
      <w:bodyDiv w:val="1"/>
      <w:marLeft w:val="0"/>
      <w:marRight w:val="0"/>
      <w:marTop w:val="0"/>
      <w:marBottom w:val="0"/>
      <w:divBdr>
        <w:top w:val="none" w:sz="0" w:space="0" w:color="auto"/>
        <w:left w:val="none" w:sz="0" w:space="0" w:color="auto"/>
        <w:bottom w:val="none" w:sz="0" w:space="0" w:color="auto"/>
        <w:right w:val="none" w:sz="0" w:space="0" w:color="auto"/>
      </w:divBdr>
    </w:div>
    <w:div w:id="1949311546">
      <w:bodyDiv w:val="1"/>
      <w:marLeft w:val="0"/>
      <w:marRight w:val="0"/>
      <w:marTop w:val="0"/>
      <w:marBottom w:val="0"/>
      <w:divBdr>
        <w:top w:val="none" w:sz="0" w:space="0" w:color="auto"/>
        <w:left w:val="none" w:sz="0" w:space="0" w:color="auto"/>
        <w:bottom w:val="none" w:sz="0" w:space="0" w:color="auto"/>
        <w:right w:val="none" w:sz="0" w:space="0" w:color="auto"/>
      </w:divBdr>
    </w:div>
    <w:div w:id="1954441144">
      <w:bodyDiv w:val="1"/>
      <w:marLeft w:val="0"/>
      <w:marRight w:val="0"/>
      <w:marTop w:val="0"/>
      <w:marBottom w:val="0"/>
      <w:divBdr>
        <w:top w:val="none" w:sz="0" w:space="0" w:color="auto"/>
        <w:left w:val="none" w:sz="0" w:space="0" w:color="auto"/>
        <w:bottom w:val="none" w:sz="0" w:space="0" w:color="auto"/>
        <w:right w:val="none" w:sz="0" w:space="0" w:color="auto"/>
      </w:divBdr>
    </w:div>
    <w:div w:id="1972058460">
      <w:bodyDiv w:val="1"/>
      <w:marLeft w:val="0"/>
      <w:marRight w:val="0"/>
      <w:marTop w:val="0"/>
      <w:marBottom w:val="0"/>
      <w:divBdr>
        <w:top w:val="none" w:sz="0" w:space="0" w:color="auto"/>
        <w:left w:val="none" w:sz="0" w:space="0" w:color="auto"/>
        <w:bottom w:val="none" w:sz="0" w:space="0" w:color="auto"/>
        <w:right w:val="none" w:sz="0" w:space="0" w:color="auto"/>
      </w:divBdr>
    </w:div>
    <w:div w:id="1992588627">
      <w:bodyDiv w:val="1"/>
      <w:marLeft w:val="0"/>
      <w:marRight w:val="0"/>
      <w:marTop w:val="0"/>
      <w:marBottom w:val="0"/>
      <w:divBdr>
        <w:top w:val="none" w:sz="0" w:space="0" w:color="auto"/>
        <w:left w:val="none" w:sz="0" w:space="0" w:color="auto"/>
        <w:bottom w:val="none" w:sz="0" w:space="0" w:color="auto"/>
        <w:right w:val="none" w:sz="0" w:space="0" w:color="auto"/>
      </w:divBdr>
    </w:div>
    <w:div w:id="20100608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Ess76</b:Tag>
    <b:SourceType>Case</b:SourceType>
    <b:Guid>{0138581E-7A79-4327-AE31-6D6656C1C986}</b:Guid>
    <b:Title>Esso Petroleum v Customs &amp; Excise</b:Title>
    <b:Year>1976</b:Year>
    <b:CaseNumber>1 WLR 1</b:CaseNumber>
    <b:Court>House of Lords</b:Court>
    <b:RefOrder>13</b:RefOrder>
  </b:Source>
  <b:Source>
    <b:Tag>ERD06</b:Tag>
    <b:SourceType>Case</b:SourceType>
    <b:Guid>{03516473-250C-4F58-A40C-0161C2839319}</b:Guid>
    <b:Title>ERDC Group Ltd v Brunel University</b:Title>
    <b:CaseNumber>HT 04 111</b:CaseNumber>
    <b:Court>Queen's Bench Division (Technology and Construction Court)</b:Court>
    <b:Year>2006</b:Year>
    <b:Month>March</b:Month>
    <b:Day>29</b:Day>
    <b:RefOrder>16</b:RefOrder>
  </b:Source>
  <b:Source>
    <b:Tag>McK12</b:Tag>
    <b:SourceType>BookSection</b:SourceType>
    <b:Guid>{EF95521F-C2EB-404D-8BDA-840EB859C137}</b:Guid>
    <b:Title>Kleiwort Benson Ltd v. Malaysia Mining Corporation</b:Title>
    <b:Year>2012</b:Year>
    <b:BookTitle>Contract Law</b:BookTitle>
    <b:Pages>386</b:Pages>
    <b:City>Oxford</b:City>
    <b:Author>
      <b:Author>
        <b:NameList>
          <b:Person>
            <b:Last>McKendrick</b:Last>
            <b:First>Ewan</b:First>
          </b:Person>
        </b:NameList>
      </b:Author>
      <b:Editor>
        <b:NameList>
          <b:Person>
            <b:Last>Rose</b:Last>
            <b:First>Francis</b:First>
          </b:Person>
        </b:NameList>
      </b:Editor>
    </b:Author>
    <b:RefOrder>15</b:RefOrder>
  </b:Source>
  <b:Source>
    <b:Tag>McK121</b:Tag>
    <b:SourceType>BookSection</b:SourceType>
    <b:Guid>{A35665C0-8250-448D-A3FB-0504D4D99372}</b:Guid>
    <b:Title>Edwards v Skyways Ltd</b:Title>
    <b:BookTitle>Contract Law</b:BookTitle>
    <b:Year>2012</b:Year>
    <b:Pages>270, 285</b:Pages>
    <b:City>Oxford</b:City>
    <b:Author>
      <b:Editor>
        <b:NameList>
          <b:Person>
            <b:Last>Rose</b:Last>
            <b:First>Francis</b:First>
          </b:Person>
        </b:NameList>
      </b:Editor>
      <b:Author>
        <b:NameList>
          <b:Person>
            <b:Last>McKendrick</b:Last>
            <b:First>Ewan</b:First>
          </b:Person>
        </b:NameList>
      </b:Author>
    </b:Author>
    <b:RefOrder>14</b:RefOrder>
  </b:Source>
  <b:Source>
    <b:Tag>McK122</b:Tag>
    <b:SourceType>BookSection</b:SourceType>
    <b:Guid>{4ED5BC57-E105-4509-AF6C-19A61E9943B9}</b:Guid>
    <b:Title>Simpkins v Pays</b:Title>
    <b:BookTitle>Contract Law</b:BookTitle>
    <b:Year>2012</b:Year>
    <b:Pages>280</b:Pages>
    <b:City>Oxford</b:City>
    <b:Author>
      <b:Author>
        <b:NameList>
          <b:Person>
            <b:Last>McKendrick</b:Last>
            <b:First>Ewan</b:First>
          </b:Person>
        </b:NameList>
      </b:Author>
      <b:Editor>
        <b:NameList>
          <b:Person>
            <b:Last>Rose</b:Last>
            <b:First>Francis</b:First>
          </b:Person>
        </b:NameList>
      </b:Editor>
    </b:Author>
    <b:RefOrder>9</b:RefOrder>
  </b:Source>
  <b:Source>
    <b:Tag>McK123</b:Tag>
    <b:SourceType>BookSection</b:SourceType>
    <b:Guid>{1A232B79-45BB-4D69-9633-CBF9B68D48B6}</b:Guid>
    <b:Title>Merritt v. Merritt</b:Title>
    <b:BookTitle>Contract Law</b:BookTitle>
    <b:Year>2012</b:Year>
    <b:Pages>274</b:Pages>
    <b:City>Oxford</b:City>
    <b:Author>
      <b:Author>
        <b:NameList>
          <b:Person>
            <b:Last>McKendrick</b:Last>
            <b:First>Ewan</b:First>
          </b:Person>
        </b:NameList>
      </b:Author>
      <b:Editor>
        <b:NameList>
          <b:Person>
            <b:Last>Rose</b:Last>
            <b:First>Francis</b:First>
          </b:Person>
        </b:NameList>
      </b:Editor>
    </b:Author>
    <b:RefOrder>8</b:RefOrder>
  </b:Source>
  <b:Source>
    <b:Tag>McK124</b:Tag>
    <b:SourceType>BookSection</b:SourceType>
    <b:Guid>{4C74CF7E-FE7A-400F-884A-A273458321C8}</b:Guid>
    <b:Title>Jones v. Padavatton </b:Title>
    <b:BookTitle>Contract Law</b:BookTitle>
    <b:Year>2012</b:Year>
    <b:Pages>275</b:Pages>
    <b:City>Oxford</b:City>
    <b:Author>
      <b:Author>
        <b:NameList>
          <b:Person>
            <b:Last>McKendrick</b:Last>
            <b:First>Ewan</b:First>
          </b:Person>
        </b:NameList>
      </b:Author>
      <b:Editor>
        <b:NameList>
          <b:Person>
            <b:Last>Rose</b:Last>
            <b:First>Francis</b:First>
          </b:Person>
        </b:NameList>
      </b:Editor>
    </b:Author>
    <b:RefOrder>7</b:RefOrder>
  </b:Source>
  <b:Source>
    <b:Tag>McK125</b:Tag>
    <b:SourceType>BookSection</b:SourceType>
    <b:Guid>{DE0E5079-437D-4D2F-9C33-F1DB0348F1A9}</b:Guid>
    <b:Title>Balfour v. Balfour</b:Title>
    <b:BookTitle>Contract Law</b:BookTitle>
    <b:Year>2012</b:Year>
    <b:Pages>275</b:Pages>
    <b:City>Oxford</b:City>
    <b:Author>
      <b:Author>
        <b:NameList>
          <b:Person>
            <b:Last>McKendrick</b:Last>
            <b:First>Ewan</b:First>
          </b:Person>
        </b:NameList>
      </b:Author>
      <b:Editor>
        <b:NameList>
          <b:Person>
            <b:Last>Rose</b:Last>
            <b:First>Francis</b:First>
          </b:Person>
        </b:NameList>
      </b:Editor>
    </b:Author>
    <b:RefOrder>6</b:RefOrder>
  </b:Source>
  <b:Source>
    <b:Tag>McK126</b:Tag>
    <b:SourceType>BookSection</b:SourceType>
    <b:Guid>{AEFF6453-49AC-4871-A9BC-4FD26A78CA42}</b:Guid>
    <b:Title>Ford Motor Co Ltd v. Amalgamated Union </b:Title>
    <b:BookTitle>Contract Law</b:BookTitle>
    <b:Year>2012</b:Year>
    <b:Pages>286</b:Pages>
    <b:City>Oxford</b:City>
    <b:Author>
      <b:Author>
        <b:NameList>
          <b:Person>
            <b:Last>McKendrick</b:Last>
            <b:First>Ewan</b:First>
          </b:Person>
        </b:NameList>
      </b:Author>
      <b:Editor>
        <b:NameList>
          <b:Person>
            <b:Last>Rose</b:Last>
            <b:First>Francis</b:First>
          </b:Person>
        </b:NameList>
      </b:Editor>
    </b:Author>
    <b:RefOrder>17</b:RefOrder>
  </b:Source>
  <b:Source>
    <b:Tag>Cow63</b:Tag>
    <b:SourceType>Case</b:SourceType>
    <b:Guid>{F627B06E-A092-440A-9EAE-A5BEEAF1356B}</b:Guid>
    <b:Title>Coward v MIB</b:Title>
    <b:Year>1963</b:Year>
    <b:RefOrder>5</b:RefOrder>
  </b:Source>
  <b:Source>
    <b:Tag>Tri57</b:Tag>
    <b:SourceType>Case</b:SourceType>
    <b:Guid>{A6DA883C-9A3C-4038-9DB9-A98166CCF46C}</b:Guid>
    <b:Title>Triefus &amp; Company Ltd v Post Office</b:Title>
    <b:Year>1957</b:Year>
    <b:RefOrder>19</b:RefOrder>
  </b:Source>
  <b:Source>
    <b:Tag>Rob00</b:Tag>
    <b:SourceType>Case</b:SourceType>
    <b:Guid>{A6FB2DE1-FAA3-4E76-9829-0FAD022C5435}</b:Guid>
    <b:Title>Robinson v Commissioners of Customers and Excise</b:Title>
    <b:Year>2000</b:Year>
    <b:RefOrder>20</b:RefOrder>
  </b:Source>
  <b:Source>
    <b:Tag>Arc20</b:Tag>
    <b:SourceType>InternetSite</b:SourceType>
    <b:Guid>{F0CA1DEB-B113-48D7-BE79-AC5EE31E3380}</b:Guid>
    <b:Title>The journal of Social Sciences Research</b:Title>
    <b:Year>2020</b:Year>
    <b:URL>https://www.semanticscholar.org/paper/Intention-to-Create-Legal-Relations-and-the-Reform-Archibong/e52c715070e162469274390512f63dcd3319f5a9</b:URL>
    <b:Author>
      <b:Author>
        <b:NameList>
          <b:Person>
            <b:Last>Archibong</b:Last>
            <b:First>James</b:First>
          </b:Person>
        </b:NameList>
      </b:Author>
    </b:Author>
    <b:RefOrder>1</b:RefOrder>
  </b:Source>
  <b:Source>
    <b:Tag>kha</b:Tag>
    <b:SourceType>InternetSite</b:SourceType>
    <b:Guid>{ADF8F6CB-1133-46AD-84A6-EE6E4146ECF6}</b:Guid>
    <b:Title>supremo amicus</b:Title>
    <b:URL>https://supremoamicus.org/wp-content/uploads/2019/04/A5.v11.pdf</b:URL>
    <b:Author>
      <b:Author>
        <b:NameList>
          <b:Person>
            <b:Last>khan</b:Last>
            <b:First>Ambir</b:First>
          </b:Person>
        </b:NameList>
      </b:Author>
    </b:Author>
    <b:Year>2019</b:Year>
    <b:RefOrder>2</b:RefOrder>
  </b:Source>
  <b:Source>
    <b:Tag>OSu20</b:Tag>
    <b:SourceType>InternetSite</b:SourceType>
    <b:Guid>{CE02A2E3-D83F-49A2-8CBF-5049177B988E}</b:Guid>
    <b:Title>Law Trove</b:Title>
    <b:Year>2020</b:Year>
    <b:URL>https://www.oxfordlawtrove.com/display/10.1093/he/9780198853176.001.0001/he-9780198853176;jsessionid=54291F4C23B8F6B5AF5DE8BA67FA475D</b:URL>
    <b:Author>
      <b:Author>
        <b:NameList>
          <b:Person>
            <b:Last>O'Sullivan</b:Last>
            <b:First>Janet</b:First>
          </b:Person>
        </b:NameList>
      </b:Author>
    </b:Author>
    <b:RefOrder>3</b:RefOrder>
  </b:Source>
  <b:Source>
    <b:Tag>Sul20</b:Tag>
    <b:SourceType>InternetSite</b:SourceType>
    <b:Guid>{FA2FD7C9-086B-4614-98B8-47D6B5CB109F}</b:Guid>
    <b:Title>emerald insight</b:Title>
    <b:Year>2020</b:Year>
    <b:URL>https://www.emerald.com/insight/content/doi/10.1108/IJPPM-04-2019-0189/full/html</b:URL>
    <b:Author>
      <b:Author>
        <b:NameList>
          <b:Person>
            <b:Last>Sulphey</b:Last>
            <b:First>Sandhya</b:First>
          </b:Person>
        </b:NameList>
      </b:Author>
    </b:Author>
    <b:RefOrder>10</b:RefOrder>
  </b:Source>
  <b:Source>
    <b:Tag>Loo13</b:Tag>
    <b:SourceType>InternetSite</b:SourceType>
    <b:Guid>{1A907BD3-0AF3-41DB-9976-D24AEDF50E56}</b:Guid>
    <b:Year>2013</b:Year>
    <b:URL>https://www.researchgate.net/publication/364401966_3_Consideration_and_Intention_to_Create_Legal_Relations</b:URL>
    <b:Author>
      <b:Author>
        <b:NameList>
          <b:Person>
            <b:Last>Loo</b:Last>
          </b:Person>
        </b:NameList>
      </b:Author>
    </b:Author>
    <b:RefOrder>11</b:RefOrder>
  </b:Source>
  <b:Source>
    <b:Tag>Kla09</b:Tag>
    <b:SourceType>InternetSite</b:SourceType>
    <b:Guid>{8DF0EBA0-DE6B-4049-81F7-134504BBBA94}</b:Guid>
    <b:Year>2009</b:Year>
    <b:URL>https://papers.ssrn.com/sol3/papers.cfm?abstract_id=1345172</b:URL>
    <b:Author>
      <b:Author>
        <b:NameList>
          <b:Person>
            <b:Last>Klass</b:Last>
            <b:First>Gregory</b:First>
          </b:Person>
        </b:NameList>
      </b:Author>
    </b:Author>
    <b:RefOrder>12</b:RefOrder>
  </b:Source>
  <b:Source>
    <b:Tag>Dix13</b:Tag>
    <b:SourceType>BookSection</b:SourceType>
    <b:Guid>{8F037819-9E14-41DF-8C37-4C4F48F204BC}</b:Guid>
    <b:Year>2013</b:Year>
    <b:BookTitle>Textbook on International Law</b:BookTitle>
    <b:City>Oxford</b:City>
    <b:Author>
      <b:Author>
        <b:NameList>
          <b:Person>
            <b:Last>Dixon</b:Last>
            <b:First>Martin</b:First>
          </b:Person>
        </b:NameList>
      </b:Author>
    </b:Author>
    <b:RefOrder>4</b:RefOrder>
  </b:Source>
  <b:Source>
    <b:Tag>The09</b:Tag>
    <b:SourceType>Book</b:SourceType>
    <b:Guid>{5BBE9693-98B4-40E6-9E2D-FA9A871C806B}</b:Guid>
    <b:Title>The Cambridge International Law Journal</b:Title>
    <b:Year>2009</b:Year>
    <b:City>Cambridge</b:City>
    <b:Publisher>Cambridge University Press</b:Publisher>
    <b:RefOrder>18</b:RefOrder>
  </b:Source>
</b:Sources>
</file>

<file path=customXml/itemProps1.xml><?xml version="1.0" encoding="utf-8"?>
<ds:datastoreItem xmlns:ds="http://schemas.openxmlformats.org/officeDocument/2006/customXml" ds:itemID="{DEC6188F-8610-4D2E-A545-99C3E12A8B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Dima Barri</cp:lastModifiedBy>
  <cp:revision>2</cp:revision>
  <dcterms:created xsi:type="dcterms:W3CDTF">2023-03-10T23:32:00Z</dcterms:created>
  <dcterms:modified xsi:type="dcterms:W3CDTF">2023-03-10T23:32:00Z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b74cd20213504338be2d176e27d14105</vt:lpwstr>
  </property>
</Properties>
</file>