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B6FF2" w:rsidRPr="00BB0D9D" w:rsidRDefault="000B6FF2" w:rsidP="000B6FF2">
      <w:pPr>
        <w:spacing w:after="0" w:line="240" w:lineRule="auto"/>
        <w:contextualSpacing/>
        <w:rPr>
          <w:rFonts w:asciiTheme="majorHAnsi" w:eastAsiaTheme="majorEastAsia" w:hAnsiTheme="majorHAnsi" w:cstheme="majorBidi"/>
          <w:spacing w:val="-10"/>
          <w:kern w:val="28"/>
          <w:sz w:val="56"/>
          <w:szCs w:val="56"/>
        </w:rPr>
      </w:pPr>
      <w:r w:rsidRPr="00BB0D9D">
        <w:rPr>
          <w:rFonts w:asciiTheme="majorHAnsi" w:eastAsiaTheme="majorEastAsia" w:hAnsiTheme="majorHAnsi" w:cstheme="majorBidi"/>
          <w:spacing w:val="-10"/>
          <w:kern w:val="28"/>
          <w:sz w:val="56"/>
          <w:szCs w:val="56"/>
        </w:rPr>
        <w:t>Anthropology in Context  - Portfolio</w:t>
      </w:r>
    </w:p>
    <w:p w:rsidR="000B6FF2" w:rsidRPr="00BB0D9D" w:rsidRDefault="000B6FF2" w:rsidP="000B6FF2">
      <w:pPr>
        <w:numPr>
          <w:ilvl w:val="1"/>
          <w:numId w:val="0"/>
        </w:numPr>
        <w:rPr>
          <w:rFonts w:eastAsiaTheme="minorEastAsia"/>
          <w:color w:val="5A5A5A" w:themeColor="text1" w:themeTint="A5"/>
          <w:spacing w:val="15"/>
        </w:rPr>
      </w:pPr>
      <w:r>
        <w:rPr>
          <w:rFonts w:eastAsiaTheme="minorEastAsia"/>
          <w:color w:val="5A5A5A" w:themeColor="text1" w:themeTint="A5"/>
          <w:spacing w:val="15"/>
        </w:rPr>
        <w:t>Presentation</w:t>
      </w:r>
    </w:p>
    <w:tbl>
      <w:tblPr>
        <w:tblStyle w:val="TableGrid"/>
        <w:tblW w:w="0" w:type="auto"/>
        <w:tblLook w:val="04A0" w:firstRow="1" w:lastRow="0" w:firstColumn="1" w:lastColumn="0" w:noHBand="0" w:noVBand="1"/>
      </w:tblPr>
      <w:tblGrid>
        <w:gridCol w:w="9016"/>
      </w:tblGrid>
      <w:tr w:rsidR="000B6FF2" w:rsidTr="000B6FF2">
        <w:tc>
          <w:tcPr>
            <w:tcW w:w="9016" w:type="dxa"/>
          </w:tcPr>
          <w:p w:rsidR="000B6FF2" w:rsidRDefault="000B6FF2" w:rsidP="000B6FF2">
            <w:r>
              <w:rPr>
                <w:noProof/>
              </w:rPr>
              <w:drawing>
                <wp:inline distT="0" distB="0" distL="0" distR="0">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0001.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0B6FF2" w:rsidTr="000B6FF2">
        <w:tc>
          <w:tcPr>
            <w:tcW w:w="9016" w:type="dxa"/>
          </w:tcPr>
          <w:p w:rsidR="000B6FF2" w:rsidRDefault="000B6FF2" w:rsidP="000B6FF2">
            <w:r>
              <w:rPr>
                <w:noProof/>
              </w:rPr>
              <w:drawing>
                <wp:inline distT="0" distB="0" distL="0" distR="0">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0002.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0B6FF2" w:rsidTr="000B6FF2">
        <w:tc>
          <w:tcPr>
            <w:tcW w:w="9016" w:type="dxa"/>
          </w:tcPr>
          <w:p w:rsidR="000B6FF2" w:rsidRDefault="000B6FF2" w:rsidP="000B6FF2">
            <w:r>
              <w:rPr>
                <w:noProof/>
              </w:rPr>
              <w:lastRenderedPageBreak/>
              <w:drawing>
                <wp:inline distT="0" distB="0" distL="0" distR="0">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0003.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0B6FF2" w:rsidTr="000B6FF2">
        <w:tc>
          <w:tcPr>
            <w:tcW w:w="9016" w:type="dxa"/>
          </w:tcPr>
          <w:p w:rsidR="000B6FF2" w:rsidRDefault="000B6FF2" w:rsidP="000B6FF2">
            <w:r>
              <w:rPr>
                <w:noProof/>
              </w:rPr>
              <w:drawing>
                <wp:inline distT="0" distB="0" distL="0" distR="0">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0004.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0B6FF2" w:rsidTr="000B6FF2">
        <w:tc>
          <w:tcPr>
            <w:tcW w:w="9016" w:type="dxa"/>
          </w:tcPr>
          <w:p w:rsidR="000B6FF2" w:rsidRDefault="000B6FF2" w:rsidP="000B6FF2">
            <w:r>
              <w:rPr>
                <w:noProof/>
              </w:rPr>
              <w:lastRenderedPageBreak/>
              <w:drawing>
                <wp:inline distT="0" distB="0" distL="0" distR="0">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0005.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0B6FF2" w:rsidTr="000B6FF2">
        <w:tc>
          <w:tcPr>
            <w:tcW w:w="9016" w:type="dxa"/>
          </w:tcPr>
          <w:p w:rsidR="000B6FF2" w:rsidRDefault="000B6FF2" w:rsidP="000B6FF2">
            <w:r>
              <w:rPr>
                <w:noProof/>
              </w:rPr>
              <w:drawing>
                <wp:inline distT="0" distB="0" distL="0" distR="0">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0006.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0B6FF2" w:rsidTr="000B6FF2">
        <w:tc>
          <w:tcPr>
            <w:tcW w:w="9016" w:type="dxa"/>
          </w:tcPr>
          <w:p w:rsidR="000B6FF2" w:rsidRDefault="000B6FF2" w:rsidP="000B6FF2">
            <w:r>
              <w:rPr>
                <w:noProof/>
              </w:rPr>
              <w:lastRenderedPageBreak/>
              <w:drawing>
                <wp:inline distT="0" distB="0" distL="0" distR="0">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0007.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0B6FF2" w:rsidTr="000B6FF2">
        <w:tc>
          <w:tcPr>
            <w:tcW w:w="9016" w:type="dxa"/>
          </w:tcPr>
          <w:p w:rsidR="000B6FF2" w:rsidRDefault="000B6FF2" w:rsidP="000B6FF2">
            <w:r>
              <w:rPr>
                <w:noProof/>
              </w:rPr>
              <w:drawing>
                <wp:inline distT="0" distB="0" distL="0" distR="0">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0008.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0B6FF2" w:rsidTr="000B6FF2">
        <w:tc>
          <w:tcPr>
            <w:tcW w:w="9016" w:type="dxa"/>
          </w:tcPr>
          <w:p w:rsidR="000B6FF2" w:rsidRDefault="000B6FF2" w:rsidP="000B6FF2">
            <w:r>
              <w:rPr>
                <w:noProof/>
              </w:rPr>
              <w:lastRenderedPageBreak/>
              <w:drawing>
                <wp:inline distT="0" distB="0" distL="0" distR="0">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0009.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0B6FF2" w:rsidTr="000B6FF2">
        <w:tc>
          <w:tcPr>
            <w:tcW w:w="9016" w:type="dxa"/>
          </w:tcPr>
          <w:p w:rsidR="000B6FF2" w:rsidRDefault="000B6FF2" w:rsidP="000B6FF2">
            <w:r>
              <w:rPr>
                <w:noProof/>
              </w:rPr>
              <w:drawing>
                <wp:inline distT="0" distB="0" distL="0" distR="0">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0010.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0B6FF2" w:rsidTr="000B6FF2">
        <w:tc>
          <w:tcPr>
            <w:tcW w:w="9016" w:type="dxa"/>
          </w:tcPr>
          <w:p w:rsidR="000B6FF2" w:rsidRDefault="000B6FF2" w:rsidP="000B6FF2">
            <w:bookmarkStart w:id="0" w:name="_GoBack"/>
            <w:r>
              <w:rPr>
                <w:noProof/>
              </w:rPr>
              <w:lastRenderedPageBreak/>
              <w:drawing>
                <wp:inline distT="0" distB="0" distL="0" distR="0">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0011.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bookmarkEnd w:id="0"/>
          </w:p>
        </w:tc>
      </w:tr>
    </w:tbl>
    <w:p w:rsidR="000B6FF2" w:rsidRDefault="000B6FF2" w:rsidP="000B6FF2"/>
    <w:p w:rsidR="00BB0D9D" w:rsidRPr="00BB0D9D" w:rsidRDefault="00BB0D9D" w:rsidP="00BB0D9D">
      <w:pPr>
        <w:spacing w:after="0" w:line="240" w:lineRule="auto"/>
        <w:contextualSpacing/>
        <w:rPr>
          <w:rFonts w:asciiTheme="majorHAnsi" w:eastAsiaTheme="majorEastAsia" w:hAnsiTheme="majorHAnsi" w:cstheme="majorBidi"/>
          <w:spacing w:val="-10"/>
          <w:kern w:val="28"/>
          <w:sz w:val="56"/>
          <w:szCs w:val="56"/>
        </w:rPr>
      </w:pPr>
      <w:r w:rsidRPr="00BB0D9D">
        <w:rPr>
          <w:rFonts w:asciiTheme="majorHAnsi" w:eastAsiaTheme="majorEastAsia" w:hAnsiTheme="majorHAnsi" w:cstheme="majorBidi"/>
          <w:spacing w:val="-10"/>
          <w:kern w:val="28"/>
          <w:sz w:val="56"/>
          <w:szCs w:val="56"/>
        </w:rPr>
        <w:t>Anthropology in Context  - Portfolio</w:t>
      </w:r>
    </w:p>
    <w:p w:rsidR="00BB0D9D" w:rsidRPr="00BB0D9D" w:rsidRDefault="00BB0D9D" w:rsidP="00BB0D9D">
      <w:pPr>
        <w:numPr>
          <w:ilvl w:val="1"/>
          <w:numId w:val="0"/>
        </w:numPr>
        <w:rPr>
          <w:rFonts w:eastAsiaTheme="minorEastAsia"/>
          <w:color w:val="5A5A5A" w:themeColor="text1" w:themeTint="A5"/>
          <w:spacing w:val="15"/>
        </w:rPr>
      </w:pPr>
      <w:r w:rsidRPr="00BB0D9D">
        <w:rPr>
          <w:rFonts w:eastAsiaTheme="minorEastAsia"/>
          <w:color w:val="5A5A5A" w:themeColor="text1" w:themeTint="A5"/>
          <w:spacing w:val="15"/>
        </w:rPr>
        <w:t>Annotated Bibliography</w:t>
      </w:r>
    </w:p>
    <w:p w:rsidR="00BB0D9D" w:rsidRPr="00BB0D9D" w:rsidRDefault="00BB0D9D" w:rsidP="00BB0D9D">
      <w:pPr>
        <w:keepNext/>
        <w:keepLines/>
        <w:spacing w:before="240" w:after="0"/>
        <w:outlineLvl w:val="0"/>
        <w:rPr>
          <w:rFonts w:asciiTheme="majorHAnsi" w:eastAsia="Times New Roman" w:hAnsiTheme="majorHAnsi" w:cstheme="majorBidi"/>
          <w:sz w:val="32"/>
          <w:szCs w:val="32"/>
          <w:lang w:eastAsia="en-GB"/>
        </w:rPr>
      </w:pPr>
      <w:r w:rsidRPr="00BB0D9D">
        <w:rPr>
          <w:rFonts w:asciiTheme="majorHAnsi" w:eastAsia="Times New Roman" w:hAnsiTheme="majorHAnsi" w:cstheme="majorBidi"/>
          <w:sz w:val="32"/>
          <w:szCs w:val="32"/>
          <w:lang w:eastAsia="en-GB"/>
        </w:rPr>
        <w:t>Bell, C. (2010). </w:t>
      </w:r>
      <w:r w:rsidRPr="00BB0D9D">
        <w:rPr>
          <w:rFonts w:asciiTheme="majorHAnsi" w:eastAsia="Times New Roman" w:hAnsiTheme="majorHAnsi" w:cstheme="majorBidi"/>
          <w:i/>
          <w:iCs/>
          <w:sz w:val="32"/>
          <w:szCs w:val="32"/>
          <w:lang w:eastAsia="en-GB"/>
        </w:rPr>
        <w:t>Ritual Theory, Ritual Practice</w:t>
      </w:r>
      <w:r w:rsidRPr="00BB0D9D">
        <w:rPr>
          <w:rFonts w:asciiTheme="majorHAnsi" w:eastAsia="Times New Roman" w:hAnsiTheme="majorHAnsi" w:cstheme="majorBidi"/>
          <w:sz w:val="32"/>
          <w:szCs w:val="32"/>
          <w:lang w:eastAsia="en-GB"/>
        </w:rPr>
        <w:t>. New York: Oxford University Press</w:t>
      </w:r>
      <w:r w:rsidRPr="00BB0D9D">
        <w:rPr>
          <w:rFonts w:asciiTheme="majorHAnsi" w:eastAsiaTheme="majorEastAsia" w:hAnsiTheme="majorHAnsi" w:cstheme="majorBidi"/>
          <w:sz w:val="32"/>
          <w:szCs w:val="32"/>
        </w:rPr>
        <w:t>, pp.118-142.</w:t>
      </w:r>
    </w:p>
    <w:p w:rsidR="00BB0D9D" w:rsidRPr="00BB0D9D" w:rsidRDefault="00BB0D9D" w:rsidP="00BB0D9D">
      <w:pPr>
        <w:rPr>
          <w:lang w:eastAsia="en-GB"/>
        </w:rPr>
      </w:pPr>
      <w:r w:rsidRPr="00BB0D9D">
        <w:rPr>
          <w:lang w:eastAsia="en-GB"/>
        </w:rPr>
        <w:t>In Bell’s evaluation of the concept of ritual, in the sixth chapter of the book, ‘Ritual Traditions and Systems’, it is suggested that ritual should be thought of, not in the context of specific events, but in the context of how one purposefully behaves within a culture. Bell suggests that performative behaviours contribute to ‘ritualization’ and the setting apart of those that perform the behaviours as different; both as part of a, potentially alien, order and as playing a particular role within that order. This differentiation does not subvert the traditional understanding of ritual in terms of a transitional event of one becoming a member of a certain group or rank, in that ritual, or the process of ritualization still designates and reaffirms one being a member of a certain group or rank.</w:t>
      </w:r>
      <w:r w:rsidRPr="00BB0D9D">
        <w:rPr>
          <w:lang w:eastAsia="en-GB"/>
        </w:rPr>
        <w:br/>
        <w:t>Bell’s book is very accessible for an academic text; the theories are presented and explained in a straight-forward manner whilst posing questions and encourage the reader to think on the issue for themselves. The author owns that they are not trying to present alternate theories on ritual practices but are trying to present a new context for thinking about ritual.</w:t>
      </w:r>
    </w:p>
    <w:p w:rsidR="00BB0D9D" w:rsidRPr="00BB0D9D" w:rsidRDefault="00BB0D9D" w:rsidP="00BB0D9D">
      <w:pPr>
        <w:keepNext/>
        <w:keepLines/>
        <w:spacing w:before="240" w:after="0"/>
        <w:outlineLvl w:val="0"/>
        <w:rPr>
          <w:rFonts w:asciiTheme="majorHAnsi" w:eastAsiaTheme="majorEastAsia" w:hAnsiTheme="majorHAnsi" w:cstheme="majorBidi"/>
          <w:sz w:val="32"/>
          <w:szCs w:val="32"/>
        </w:rPr>
      </w:pPr>
      <w:r w:rsidRPr="00BB0D9D">
        <w:rPr>
          <w:rFonts w:asciiTheme="majorHAnsi" w:eastAsiaTheme="majorEastAsia" w:hAnsiTheme="majorHAnsi" w:cstheme="majorBidi"/>
          <w:sz w:val="32"/>
          <w:szCs w:val="32"/>
        </w:rPr>
        <w:t>Downer, L. (2006) ‘The City Geisha and Their Role in Modern Japan: Anomaly or Artistes’, in Feldman, M. and Gordon, B. (ed.) </w:t>
      </w:r>
      <w:r w:rsidRPr="00BB0D9D">
        <w:rPr>
          <w:rFonts w:asciiTheme="majorHAnsi" w:eastAsiaTheme="majorEastAsia" w:hAnsiTheme="majorHAnsi" w:cstheme="majorBidi"/>
          <w:i/>
          <w:sz w:val="32"/>
          <w:szCs w:val="32"/>
        </w:rPr>
        <w:t>The Courtesan's Arts: cross-cultural perspectives</w:t>
      </w:r>
      <w:r w:rsidRPr="00BB0D9D">
        <w:rPr>
          <w:rFonts w:asciiTheme="majorHAnsi" w:eastAsiaTheme="majorEastAsia" w:hAnsiTheme="majorHAnsi" w:cstheme="majorBidi"/>
          <w:sz w:val="32"/>
          <w:szCs w:val="32"/>
        </w:rPr>
        <w:t>. New York: Oxford University Press.</w:t>
      </w:r>
    </w:p>
    <w:p w:rsidR="00BB0D9D" w:rsidRPr="00BB0D9D" w:rsidRDefault="00BB0D9D" w:rsidP="00BB0D9D">
      <w:r w:rsidRPr="00BB0D9D">
        <w:t xml:space="preserve">The main purpose of Lesley Downer’s chapter on the lives of Geisha in modern day Japan is to assess the relevance of Geisha in such a rapidly changing society. The chapter is broken down into several sub-chapters detailing various parts of the lives of Geisha and the tradition’s history; the most </w:t>
      </w:r>
      <w:r w:rsidRPr="00BB0D9D">
        <w:lastRenderedPageBreak/>
        <w:t xml:space="preserve">relevant for my reading being the sections on the hierarchies within Geisha culture, how the history of Japanese entertainers and pleasure quarters has shaped the exclusive and hierarchical nature of Geisha culture in a way that has made its structure significantly different from mainstream Japanese culture, and how one progresses through hierarchies in a culture so dominated by performance and symbolism. </w:t>
      </w:r>
      <w:r w:rsidRPr="00BB0D9D">
        <w:br/>
        <w:t>The chapter is not only informative, but it is continuously engaging; Downer presents facts, anecdotes, and a multitude of opinions in an easy flowing manner; unlike many ethnographies it feels like an informational essay as opposed to an information dump so stuffed with theory that it is hard to tell what was actually observed. Altogether, the chapter, written to assess how a culture so reliant on tradition ca adapt to an ever-changing world, also functions as a useful and well written case study that could be applied to many topics, such as gender roles, ritual, or tradition.</w:t>
      </w:r>
    </w:p>
    <w:p w:rsidR="00BB0D9D" w:rsidRPr="00BB0D9D" w:rsidRDefault="00BB0D9D" w:rsidP="00BB0D9D">
      <w:pPr>
        <w:keepNext/>
        <w:keepLines/>
        <w:spacing w:before="240" w:after="0"/>
        <w:outlineLvl w:val="0"/>
        <w:rPr>
          <w:rFonts w:asciiTheme="majorHAnsi" w:eastAsiaTheme="majorEastAsia" w:hAnsiTheme="majorHAnsi" w:cstheme="majorBidi"/>
          <w:sz w:val="32"/>
          <w:szCs w:val="32"/>
        </w:rPr>
      </w:pPr>
      <w:r w:rsidRPr="00BB0D9D">
        <w:rPr>
          <w:rFonts w:asciiTheme="majorHAnsi" w:eastAsiaTheme="majorEastAsia" w:hAnsiTheme="majorHAnsi" w:cstheme="majorBidi"/>
          <w:sz w:val="32"/>
          <w:szCs w:val="32"/>
        </w:rPr>
        <w:t xml:space="preserve">Marshall, D. (2002). </w:t>
      </w:r>
      <w:proofErr w:type="spellStart"/>
      <w:r w:rsidRPr="00BB0D9D">
        <w:rPr>
          <w:rFonts w:asciiTheme="majorHAnsi" w:eastAsiaTheme="majorEastAsia" w:hAnsiTheme="majorHAnsi" w:cstheme="majorBidi"/>
          <w:sz w:val="32"/>
          <w:szCs w:val="32"/>
        </w:rPr>
        <w:t>Behavior</w:t>
      </w:r>
      <w:proofErr w:type="spellEnd"/>
      <w:r w:rsidRPr="00BB0D9D">
        <w:rPr>
          <w:rFonts w:asciiTheme="majorHAnsi" w:eastAsiaTheme="majorEastAsia" w:hAnsiTheme="majorHAnsi" w:cstheme="majorBidi"/>
          <w:sz w:val="32"/>
          <w:szCs w:val="32"/>
        </w:rPr>
        <w:t>, Belonging, and Belief: A Theory of Ritual Practice. </w:t>
      </w:r>
      <w:r w:rsidRPr="00BB0D9D">
        <w:rPr>
          <w:rFonts w:asciiTheme="majorHAnsi" w:eastAsiaTheme="majorEastAsia" w:hAnsiTheme="majorHAnsi" w:cstheme="majorBidi"/>
          <w:i/>
          <w:sz w:val="32"/>
          <w:szCs w:val="32"/>
        </w:rPr>
        <w:t>Sociological Theory</w:t>
      </w:r>
      <w:r w:rsidRPr="00BB0D9D">
        <w:rPr>
          <w:rFonts w:asciiTheme="majorHAnsi" w:eastAsiaTheme="majorEastAsia" w:hAnsiTheme="majorHAnsi" w:cstheme="majorBidi"/>
          <w:sz w:val="32"/>
          <w:szCs w:val="32"/>
        </w:rPr>
        <w:t>, 20(3), pp.360-380.</w:t>
      </w:r>
    </w:p>
    <w:p w:rsidR="00BB0D9D" w:rsidRPr="00BB0D9D" w:rsidRDefault="00BB0D9D" w:rsidP="00BB0D9D">
      <w:r w:rsidRPr="00BB0D9D">
        <w:t>The journal article describes one theory behind ritual behaviour. Marshall’s theory is based off of Durkheim’s theories and aims to explain how rituals produce the effects that they do, the effects being the creation of feelings of belief and belonging. Marshall attempts to move away from the previous methods, of analysing the symbolism and messaging behind ritual, and tries to create a framework for understanding the effectiveness of rituals through objective assessment. He proposes several main components of rituals, the main two being ‘co-presence’, the precursor to feelings of belonging, and ‘practices’ performed as part of a group, the basis of a shared ideology.</w:t>
      </w:r>
      <w:r w:rsidRPr="00BB0D9D">
        <w:br/>
        <w:t>Marshall’s article can be rather dense if one is less used to empirical theory in anthropology, however once one moves past the somewhat scientific language the article is perfectly accessible to one who has a prior knowledge of anthropological theory, especially in relation to ritual and religion. The article goes in the opposite direction to Bell’s book (earlier in the bibliography), which tries to define ritual in a more general sense in order to demonstrate its presence in everyday life, and, instead, tries to objectively describe what constitutes ritual and the effects brought about by ritual.</w:t>
      </w:r>
    </w:p>
    <w:p w:rsidR="00BB0D9D" w:rsidRPr="00BB0D9D" w:rsidRDefault="00BB0D9D" w:rsidP="00BB0D9D">
      <w:pPr>
        <w:keepNext/>
        <w:keepLines/>
        <w:spacing w:before="240" w:after="0"/>
        <w:outlineLvl w:val="0"/>
        <w:rPr>
          <w:rFonts w:asciiTheme="majorHAnsi" w:eastAsiaTheme="majorEastAsia" w:hAnsiTheme="majorHAnsi" w:cstheme="majorBidi"/>
          <w:sz w:val="32"/>
          <w:szCs w:val="32"/>
        </w:rPr>
      </w:pPr>
      <w:r w:rsidRPr="00BB0D9D">
        <w:rPr>
          <w:rFonts w:asciiTheme="majorHAnsi" w:eastAsiaTheme="majorEastAsia" w:hAnsiTheme="majorHAnsi" w:cstheme="majorBidi"/>
          <w:sz w:val="32"/>
          <w:szCs w:val="32"/>
        </w:rPr>
        <w:t>Tomlinson, M. (2014). </w:t>
      </w:r>
      <w:r w:rsidRPr="00BB0D9D">
        <w:rPr>
          <w:rFonts w:asciiTheme="majorHAnsi" w:eastAsiaTheme="majorEastAsia" w:hAnsiTheme="majorHAnsi" w:cstheme="majorBidi"/>
          <w:i/>
          <w:sz w:val="32"/>
          <w:szCs w:val="32"/>
        </w:rPr>
        <w:t>Ritual Textuality: Pattern and Motion in Performance</w:t>
      </w:r>
      <w:r w:rsidRPr="00BB0D9D">
        <w:rPr>
          <w:rFonts w:asciiTheme="majorHAnsi" w:eastAsiaTheme="majorEastAsia" w:hAnsiTheme="majorHAnsi" w:cstheme="majorBidi"/>
          <w:sz w:val="32"/>
          <w:szCs w:val="32"/>
        </w:rPr>
        <w:t>.</w:t>
      </w:r>
    </w:p>
    <w:p w:rsidR="00BB0D9D" w:rsidRPr="00BB0D9D" w:rsidRDefault="00BB0D9D" w:rsidP="00BB0D9D">
      <w:r w:rsidRPr="00BB0D9D">
        <w:t>In his book, Tomlinson analyses a number of ‘ritual performances’ in order to evaluate the performative aspect of ritual. His analyses were conducted in Fiji over a period of well over a decade, and include governmental propaganda, a Christian Methodist sermon and influence on a traditional Fijian ceremony, Methodist speeches, and a Christian Pentecostal sermon. Tomlinson uses these case studies to demonstrate how the types and use of language can affect ritual events in different ways and how different groups may use different language depending on the structures and hierarchies within the group.</w:t>
      </w:r>
      <w:r w:rsidRPr="00BB0D9D">
        <w:br/>
        <w:t>Similarly to Marshall’s article (earlier in the bibliography), Tomlinson’s book offers a more analytical approach to ritual and what constitutes it, it is through the assessment of language and text that the author arrives at his conclusions, and some prior understanding of ritual and linguistics is required. The book still manages to be somewhat accessible, to others with knowledge of the subject. Through the author’s use of comparisons, and his general examination of case studies, the theories presented become applicable to other situations.</w:t>
      </w:r>
    </w:p>
    <w:p w:rsidR="00BB0D9D" w:rsidRPr="00BB0D9D" w:rsidRDefault="00BB0D9D" w:rsidP="00BB0D9D">
      <w:pPr>
        <w:keepNext/>
        <w:keepLines/>
        <w:spacing w:before="240" w:after="0"/>
        <w:outlineLvl w:val="0"/>
        <w:rPr>
          <w:rFonts w:asciiTheme="majorHAnsi" w:eastAsiaTheme="majorEastAsia" w:hAnsiTheme="majorHAnsi" w:cstheme="majorBidi"/>
          <w:sz w:val="32"/>
          <w:szCs w:val="32"/>
        </w:rPr>
      </w:pPr>
      <w:r w:rsidRPr="00BB0D9D">
        <w:rPr>
          <w:rFonts w:asciiTheme="majorHAnsi" w:eastAsiaTheme="majorEastAsia" w:hAnsiTheme="majorHAnsi" w:cstheme="majorBidi"/>
          <w:sz w:val="32"/>
          <w:szCs w:val="32"/>
        </w:rPr>
        <w:lastRenderedPageBreak/>
        <w:t>Turner, V. (1969). </w:t>
      </w:r>
      <w:r w:rsidRPr="00BB0D9D">
        <w:rPr>
          <w:rFonts w:asciiTheme="majorHAnsi" w:eastAsiaTheme="majorEastAsia" w:hAnsiTheme="majorHAnsi" w:cstheme="majorBidi"/>
          <w:i/>
          <w:sz w:val="32"/>
          <w:szCs w:val="32"/>
        </w:rPr>
        <w:t>The Ritual Process: Structure and Anti-Structure</w:t>
      </w:r>
      <w:r w:rsidRPr="00BB0D9D">
        <w:rPr>
          <w:rFonts w:asciiTheme="majorHAnsi" w:eastAsiaTheme="majorEastAsia" w:hAnsiTheme="majorHAnsi" w:cstheme="majorBidi"/>
          <w:sz w:val="32"/>
          <w:szCs w:val="32"/>
        </w:rPr>
        <w:t>. Chicago: Aldine Publishing, pp.166-203.</w:t>
      </w:r>
    </w:p>
    <w:p w:rsidR="00BB0D9D" w:rsidRPr="00BB0D9D" w:rsidRDefault="00BB0D9D" w:rsidP="00BB0D9D">
      <w:r w:rsidRPr="00BB0D9D">
        <w:t>The fifth chapter of the book, ‘Humility and Hierarchy: The Liminality of Status elevation and Reversal’ describes ‘life crisis rites’ and status elevation. It is a continuation of Turner’s assessment of liminal figures; the people transitioning from one state to another, who during the ritual process are of neither state. In regard to the individual, Turner asserts that the type of ritual individuals go through are ‘life crisis rites’, as opposed to group ‘calendrical rites’, and he also argues that, while ‘life crisis rites’ are already considered to include major life events such as birth, puberty marriage and death, other rituals that mark a gaining of status should also be considered ‘life crisis rites’. His theory about liminality suggests that these liminal people are in a very precarious position as while they are likely to gain status, which is the function of ‘life crisis rites according to Turner, liminal existence evidences a possibility of failure and a loss of status.</w:t>
      </w:r>
      <w:r w:rsidRPr="00BB0D9D">
        <w:br/>
        <w:t xml:space="preserve">Turner’s book is surprisingly accessible; at moments the book can seem quite dense, a necessary consequence of the text being theory heavy, however, the concepts are shown so well through the use of a large number of case studies that the book would be comprehensible with only a minor understanding of the referenced concepts. Despite being significantly older than the other titles in this bibliography, the theories put forward in the book hold up well and are still relevant and applicable. </w:t>
      </w:r>
    </w:p>
    <w:p w:rsidR="00FB3996" w:rsidRDefault="00FB3996" w:rsidP="00FB3996">
      <w:pPr>
        <w:pStyle w:val="Title"/>
      </w:pPr>
      <w:r>
        <w:t>Anthropology in Context  - Portfolio</w:t>
      </w:r>
    </w:p>
    <w:p w:rsidR="00FB3996" w:rsidRDefault="00FB3996" w:rsidP="00FB3996">
      <w:pPr>
        <w:pStyle w:val="Subtitle"/>
      </w:pPr>
      <w:r>
        <w:t>Glossary</w:t>
      </w:r>
    </w:p>
    <w:p w:rsidR="00FB3996" w:rsidRDefault="00FB3996" w:rsidP="00FB3996">
      <w:pPr>
        <w:pStyle w:val="Heading1"/>
        <w:rPr>
          <w:rFonts w:eastAsia="Times New Roman"/>
          <w:lang w:eastAsia="en-GB"/>
        </w:rPr>
      </w:pPr>
      <w:r>
        <w:rPr>
          <w:rFonts w:eastAsia="Times New Roman"/>
          <w:lang w:eastAsia="en-GB"/>
        </w:rPr>
        <w:t>Ritual</w:t>
      </w:r>
    </w:p>
    <w:p w:rsidR="00FB3996" w:rsidRDefault="00FB3996" w:rsidP="00FB3996">
      <w:pPr>
        <w:rPr>
          <w:lang w:eastAsia="en-GB"/>
        </w:rPr>
      </w:pPr>
      <w:r>
        <w:rPr>
          <w:lang w:eastAsia="en-GB"/>
        </w:rPr>
        <w:t>Done for a non-practical purpose. An action performed to mark an event and/or change, often specific to a culture. Often related to belief systems.</w:t>
      </w:r>
    </w:p>
    <w:p w:rsidR="00FB3996" w:rsidRDefault="00FB3996" w:rsidP="00FB3996">
      <w:pPr>
        <w:pStyle w:val="Heading1"/>
        <w:rPr>
          <w:lang w:eastAsia="en-GB"/>
        </w:rPr>
      </w:pPr>
      <w:r>
        <w:rPr>
          <w:lang w:eastAsia="en-GB"/>
        </w:rPr>
        <w:t>Gatekeeping</w:t>
      </w:r>
    </w:p>
    <w:p w:rsidR="00FB3996" w:rsidRPr="002626AF" w:rsidRDefault="00FB3996" w:rsidP="00FB3996">
      <w:pPr>
        <w:rPr>
          <w:lang w:eastAsia="en-GB"/>
        </w:rPr>
      </w:pPr>
      <w:r>
        <w:rPr>
          <w:lang w:eastAsia="en-GB"/>
        </w:rPr>
        <w:t>A way to manage members of a society, group or culture; can be metaphorical or definitive. If one passes through a ‘gatekeeping event’ then one becomes a member of the group.</w:t>
      </w:r>
    </w:p>
    <w:p w:rsidR="00FB3996" w:rsidRDefault="00FB3996" w:rsidP="00FB3996">
      <w:pPr>
        <w:pStyle w:val="Heading1"/>
      </w:pPr>
      <w:r>
        <w:t>Hierarchy</w:t>
      </w:r>
    </w:p>
    <w:p w:rsidR="00FB3996" w:rsidRDefault="00FB3996" w:rsidP="00FB3996">
      <w:r>
        <w:t xml:space="preserve">The structure of precedence and power within a group. One can rise through a group’s hierarchy and each rank of the hierarchy is in itself a sub-group. </w:t>
      </w:r>
    </w:p>
    <w:p w:rsidR="00FB3996" w:rsidRDefault="00FB3996" w:rsidP="00FB3996">
      <w:pPr>
        <w:pStyle w:val="Heading1"/>
      </w:pPr>
      <w:r>
        <w:t>Culture</w:t>
      </w:r>
    </w:p>
    <w:p w:rsidR="00FB3996" w:rsidRDefault="00FB3996" w:rsidP="00FB3996">
      <w:r>
        <w:t>A group which shares similar beliefs, practices and traditions, set apart from other cultures. A shared way of ‘doing things’ that is three-dimensional; a shared past, shared present, and belief in a shared future.</w:t>
      </w:r>
    </w:p>
    <w:p w:rsidR="00FB3996" w:rsidRDefault="00FB3996" w:rsidP="00FB3996">
      <w:pPr>
        <w:pStyle w:val="Heading1"/>
      </w:pPr>
      <w:r>
        <w:t>Ethnography</w:t>
      </w:r>
    </w:p>
    <w:p w:rsidR="00FB3996" w:rsidRDefault="00FB3996" w:rsidP="00FB3996">
      <w:r>
        <w:t>The study of a culture through practical field research, often completed through a long period of immersed experience with a specific culture. Generates documented data for a culture which constitute case studies.</w:t>
      </w:r>
    </w:p>
    <w:p w:rsidR="00FB3996" w:rsidRPr="002626AF" w:rsidRDefault="00FB3996" w:rsidP="00FB3996">
      <w:pPr>
        <w:pStyle w:val="Heading1"/>
      </w:pPr>
      <w:r>
        <w:lastRenderedPageBreak/>
        <w:t>Privilege</w:t>
      </w:r>
    </w:p>
    <w:p w:rsidR="00FB3996" w:rsidRDefault="00FB3996" w:rsidP="00FB3996">
      <w:r>
        <w:t>Special rights or recognition. Often given to members of exclusive groups such as those with more power in a hierarchy.</w:t>
      </w:r>
    </w:p>
    <w:p w:rsidR="00FB3996" w:rsidRDefault="00FB3996" w:rsidP="00FB3996">
      <w:pPr>
        <w:pStyle w:val="Heading1"/>
      </w:pPr>
      <w:r>
        <w:t>Transition</w:t>
      </w:r>
    </w:p>
    <w:p w:rsidR="00FB3996" w:rsidRDefault="00FB3996" w:rsidP="00FB3996">
      <w:r>
        <w:t>Moving from one state to another. The transitional phase may take time and one may have a transitional identity.</w:t>
      </w:r>
    </w:p>
    <w:p w:rsidR="00FB3996" w:rsidRPr="00317E9F" w:rsidRDefault="00FB3996" w:rsidP="00FB3996">
      <w:pPr>
        <w:pStyle w:val="Heading1"/>
      </w:pPr>
      <w:r>
        <w:t>Tradition</w:t>
      </w:r>
    </w:p>
    <w:p w:rsidR="00FB3996" w:rsidRPr="00317E9F" w:rsidRDefault="00FB3996" w:rsidP="00FB3996">
      <w:r>
        <w:t xml:space="preserve">Long standing beliefs often passed from one generation to another. Traditions are often specific to a culture and within that culture they are practiced as a part of life. </w:t>
      </w:r>
    </w:p>
    <w:p w:rsidR="00BB0D9D" w:rsidRDefault="00BB0D9D"/>
    <w:sectPr w:rsidR="00BB0D9D">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395A" w:rsidRDefault="00BD395A" w:rsidP="00FB3996">
      <w:pPr>
        <w:spacing w:after="0" w:line="240" w:lineRule="auto"/>
      </w:pPr>
      <w:r>
        <w:separator/>
      </w:r>
    </w:p>
  </w:endnote>
  <w:endnote w:type="continuationSeparator" w:id="0">
    <w:p w:rsidR="00BD395A" w:rsidRDefault="00BD395A" w:rsidP="00FB39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395A" w:rsidRDefault="00BD395A" w:rsidP="00FB3996">
      <w:pPr>
        <w:spacing w:after="0" w:line="240" w:lineRule="auto"/>
      </w:pPr>
      <w:r>
        <w:separator/>
      </w:r>
    </w:p>
  </w:footnote>
  <w:footnote w:type="continuationSeparator" w:id="0">
    <w:p w:rsidR="00BD395A" w:rsidRDefault="00BD395A" w:rsidP="00FB39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13697" w:rsidRDefault="00BD395A">
    <w:pPr>
      <w:pStyle w:val="Header"/>
    </w:pPr>
    <w:r>
      <w:t>Kathryn Barton</w:t>
    </w:r>
    <w:r>
      <w:t xml:space="preserve"> - </w:t>
    </w:r>
    <w:r w:rsidR="00FB3996">
      <w:t>1801323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D9D"/>
    <w:rsid w:val="000B6FF2"/>
    <w:rsid w:val="00B76A20"/>
    <w:rsid w:val="00BB0D9D"/>
    <w:rsid w:val="00BD395A"/>
    <w:rsid w:val="00FB39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4B2FE"/>
  <w15:chartTrackingRefBased/>
  <w15:docId w15:val="{0FA3248B-3168-4294-BEB3-63AB795865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3996"/>
    <w:pPr>
      <w:keepNext/>
      <w:keepLines/>
      <w:spacing w:before="240" w:after="0"/>
      <w:outlineLvl w:val="0"/>
    </w:pPr>
    <w:rPr>
      <w:rFonts w:asciiTheme="majorHAnsi" w:eastAsiaTheme="majorEastAsia" w:hAnsiTheme="majorHAnsi" w:cstheme="majorBidi"/>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0D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0D9D"/>
  </w:style>
  <w:style w:type="character" w:customStyle="1" w:styleId="Heading1Char">
    <w:name w:val="Heading 1 Char"/>
    <w:basedOn w:val="DefaultParagraphFont"/>
    <w:link w:val="Heading1"/>
    <w:uiPriority w:val="9"/>
    <w:rsid w:val="00FB3996"/>
    <w:rPr>
      <w:rFonts w:asciiTheme="majorHAnsi" w:eastAsiaTheme="majorEastAsia" w:hAnsiTheme="majorHAnsi" w:cstheme="majorBidi"/>
      <w:sz w:val="32"/>
      <w:szCs w:val="32"/>
    </w:rPr>
  </w:style>
  <w:style w:type="paragraph" w:styleId="Title">
    <w:name w:val="Title"/>
    <w:basedOn w:val="Normal"/>
    <w:next w:val="Normal"/>
    <w:link w:val="TitleChar"/>
    <w:uiPriority w:val="10"/>
    <w:qFormat/>
    <w:rsid w:val="00FB399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39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399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B3996"/>
    <w:rPr>
      <w:rFonts w:eastAsiaTheme="minorEastAsia"/>
      <w:color w:val="5A5A5A" w:themeColor="text1" w:themeTint="A5"/>
      <w:spacing w:val="15"/>
    </w:rPr>
  </w:style>
  <w:style w:type="paragraph" w:styleId="Footer">
    <w:name w:val="footer"/>
    <w:basedOn w:val="Normal"/>
    <w:link w:val="FooterChar"/>
    <w:uiPriority w:val="99"/>
    <w:unhideWhenUsed/>
    <w:rsid w:val="00FB39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996"/>
  </w:style>
  <w:style w:type="table" w:styleId="TableGrid">
    <w:name w:val="Table Grid"/>
    <w:basedOn w:val="TableNormal"/>
    <w:uiPriority w:val="39"/>
    <w:rsid w:val="000B6F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B6F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6FF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11.jpeg"/><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image" Target="media/image10.jpeg"/><Relationship Id="rId10" Type="http://schemas.openxmlformats.org/officeDocument/2006/relationships/image" Target="media/image5.jpe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9</Pages>
  <Words>1282</Words>
  <Characters>7311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Barton</dc:creator>
  <cp:keywords/>
  <dc:description/>
  <cp:lastModifiedBy>Kathryn Barton</cp:lastModifiedBy>
  <cp:revision>2</cp:revision>
  <dcterms:created xsi:type="dcterms:W3CDTF">2019-07-19T15:47:00Z</dcterms:created>
  <dcterms:modified xsi:type="dcterms:W3CDTF">2019-07-19T19:37:00Z</dcterms:modified>
</cp:coreProperties>
</file>