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74FB2" w14:textId="491A29BB" w:rsidR="001B51E1" w:rsidRDefault="00D22677" w:rsidP="00692A6E">
      <w:pPr>
        <w:jc w:val="center"/>
        <w:rPr>
          <w:rFonts w:asciiTheme="majorHAnsi" w:hAnsiTheme="majorHAnsi" w:cstheme="majorHAnsi"/>
          <w:b/>
          <w:bCs/>
          <w:u w:val="single"/>
        </w:rPr>
      </w:pPr>
      <w:r>
        <w:rPr>
          <w:rFonts w:asciiTheme="majorHAnsi" w:hAnsiTheme="majorHAnsi" w:cstheme="majorHAnsi"/>
          <w:b/>
          <w:bCs/>
          <w:u w:val="single"/>
        </w:rPr>
        <w:t>Assignment Two.</w:t>
      </w:r>
    </w:p>
    <w:p w14:paraId="0BBFC5E6" w14:textId="5717CFA9" w:rsidR="00D22677" w:rsidRDefault="00D22677" w:rsidP="00692A6E">
      <w:pPr>
        <w:jc w:val="center"/>
        <w:rPr>
          <w:rFonts w:asciiTheme="majorHAnsi" w:hAnsiTheme="majorHAnsi" w:cstheme="majorHAnsi"/>
          <w:b/>
          <w:bCs/>
          <w:u w:val="single"/>
        </w:rPr>
      </w:pPr>
    </w:p>
    <w:p w14:paraId="47866EB2" w14:textId="7516C579" w:rsidR="00D22677" w:rsidRDefault="00D22677" w:rsidP="00D22677">
      <w:pPr>
        <w:rPr>
          <w:rFonts w:asciiTheme="majorHAnsi" w:hAnsiTheme="majorHAnsi" w:cstheme="majorHAnsi"/>
          <w:b/>
          <w:bCs/>
          <w:u w:val="single"/>
        </w:rPr>
      </w:pPr>
      <w:r>
        <w:rPr>
          <w:rFonts w:asciiTheme="majorHAnsi" w:hAnsiTheme="majorHAnsi" w:cstheme="majorHAnsi"/>
          <w:b/>
          <w:bCs/>
          <w:u w:val="single"/>
        </w:rPr>
        <w:t>Problem Question.</w:t>
      </w:r>
    </w:p>
    <w:p w14:paraId="73A74158" w14:textId="7282D08A" w:rsidR="0060504B" w:rsidRDefault="0060504B" w:rsidP="00692A6E">
      <w:pPr>
        <w:jc w:val="center"/>
        <w:rPr>
          <w:rFonts w:asciiTheme="majorHAnsi" w:hAnsiTheme="majorHAnsi" w:cstheme="majorHAnsi"/>
          <w:b/>
          <w:bCs/>
          <w:u w:val="single"/>
        </w:rPr>
      </w:pPr>
    </w:p>
    <w:p w14:paraId="1F873CD7" w14:textId="68D7B47E" w:rsidR="0060504B" w:rsidRPr="0060504B" w:rsidRDefault="00000137" w:rsidP="00273E2A">
      <w:pPr>
        <w:spacing w:line="480" w:lineRule="auto"/>
        <w:jc w:val="both"/>
        <w:rPr>
          <w:rFonts w:asciiTheme="majorHAnsi" w:hAnsiTheme="majorHAnsi" w:cstheme="majorHAnsi"/>
        </w:rPr>
      </w:pPr>
      <w:r w:rsidRPr="0060504B">
        <w:rPr>
          <w:rFonts w:asciiTheme="majorHAnsi" w:hAnsiTheme="majorHAnsi" w:cstheme="majorHAnsi"/>
        </w:rPr>
        <w:t xml:space="preserve">My analysis </w:t>
      </w:r>
      <w:r>
        <w:rPr>
          <w:rFonts w:asciiTheme="majorHAnsi" w:hAnsiTheme="majorHAnsi" w:cstheme="majorHAnsi"/>
        </w:rPr>
        <w:t xml:space="preserve">of the scenario question shows that </w:t>
      </w:r>
      <w:r w:rsidR="00B22B9E">
        <w:rPr>
          <w:rFonts w:asciiTheme="majorHAnsi" w:hAnsiTheme="majorHAnsi" w:cstheme="majorHAnsi"/>
        </w:rPr>
        <w:t xml:space="preserve">this is a scenario is based around homicide and liability, to determine Ali's criminal liability for the offences </w:t>
      </w:r>
      <w:r w:rsidR="008C223C">
        <w:rPr>
          <w:rFonts w:asciiTheme="majorHAnsi" w:hAnsiTheme="majorHAnsi" w:cstheme="majorHAnsi"/>
        </w:rPr>
        <w:t xml:space="preserve">it </w:t>
      </w:r>
      <w:r w:rsidR="00B22B9E">
        <w:rPr>
          <w:rFonts w:asciiTheme="majorHAnsi" w:hAnsiTheme="majorHAnsi" w:cstheme="majorHAnsi"/>
        </w:rPr>
        <w:t>will be answer</w:t>
      </w:r>
      <w:r w:rsidR="00FE4529">
        <w:rPr>
          <w:rFonts w:asciiTheme="majorHAnsi" w:hAnsiTheme="majorHAnsi" w:cstheme="majorHAnsi"/>
        </w:rPr>
        <w:t>ed</w:t>
      </w:r>
      <w:r w:rsidR="00B22B9E">
        <w:rPr>
          <w:rFonts w:asciiTheme="majorHAnsi" w:hAnsiTheme="majorHAnsi" w:cstheme="majorHAnsi"/>
        </w:rPr>
        <w:t xml:space="preserve"> </w:t>
      </w:r>
      <w:r w:rsidR="00FE4529">
        <w:rPr>
          <w:rFonts w:asciiTheme="majorHAnsi" w:hAnsiTheme="majorHAnsi" w:cstheme="majorHAnsi"/>
        </w:rPr>
        <w:t xml:space="preserve">victim by victim. </w:t>
      </w:r>
      <w:r w:rsidR="00911709">
        <w:rPr>
          <w:rFonts w:asciiTheme="majorHAnsi" w:hAnsiTheme="majorHAnsi" w:cstheme="majorHAnsi"/>
        </w:rPr>
        <w:t xml:space="preserve">To assess each case effectively the actus reus and mens rea of each possible offence will be applied and outlined. </w:t>
      </w:r>
    </w:p>
    <w:p w14:paraId="3403C146" w14:textId="57A0743D" w:rsidR="00692A6E" w:rsidRPr="0060504B" w:rsidRDefault="00692A6E" w:rsidP="00273E2A">
      <w:pPr>
        <w:spacing w:line="480" w:lineRule="auto"/>
        <w:jc w:val="center"/>
        <w:rPr>
          <w:rFonts w:asciiTheme="majorHAnsi" w:hAnsiTheme="majorHAnsi" w:cstheme="majorHAnsi"/>
          <w:b/>
          <w:bCs/>
          <w:u w:val="single"/>
        </w:rPr>
      </w:pPr>
    </w:p>
    <w:p w14:paraId="01FED86B" w14:textId="7797DF68" w:rsidR="00FE4529" w:rsidRDefault="00000137" w:rsidP="00273E2A">
      <w:pPr>
        <w:spacing w:line="480" w:lineRule="auto"/>
        <w:jc w:val="both"/>
        <w:rPr>
          <w:rFonts w:asciiTheme="majorHAnsi" w:hAnsiTheme="majorHAnsi" w:cstheme="majorHAnsi"/>
        </w:rPr>
      </w:pPr>
      <w:r>
        <w:rPr>
          <w:rFonts w:asciiTheme="majorHAnsi" w:hAnsiTheme="majorHAnsi" w:cstheme="majorHAnsi"/>
        </w:rPr>
        <w:t xml:space="preserve">Firstly, Ali’s criminal liability for actions on Lee; Ali punched Lee, Lee fell to the floor and later died in hospital as a result of his injuries. </w:t>
      </w:r>
    </w:p>
    <w:p w14:paraId="100122EB" w14:textId="16A5558F" w:rsidR="00FE4529" w:rsidRDefault="00FE4529" w:rsidP="00273E2A">
      <w:pPr>
        <w:spacing w:line="480" w:lineRule="auto"/>
        <w:jc w:val="both"/>
        <w:rPr>
          <w:rFonts w:asciiTheme="majorHAnsi" w:hAnsiTheme="majorHAnsi" w:cstheme="majorHAnsi"/>
        </w:rPr>
      </w:pPr>
    </w:p>
    <w:p w14:paraId="5FD00DAA" w14:textId="7006B0CD" w:rsidR="00FE4529" w:rsidRDefault="00000137" w:rsidP="00273E2A">
      <w:pPr>
        <w:spacing w:line="480" w:lineRule="auto"/>
        <w:jc w:val="both"/>
        <w:rPr>
          <w:rFonts w:asciiTheme="majorHAnsi" w:hAnsiTheme="majorHAnsi" w:cstheme="majorHAnsi"/>
        </w:rPr>
      </w:pPr>
      <w:r>
        <w:rPr>
          <w:rFonts w:asciiTheme="majorHAnsi" w:hAnsiTheme="majorHAnsi" w:cstheme="majorHAnsi"/>
        </w:rPr>
        <w:t xml:space="preserve">The initial offence that Ali faces is </w:t>
      </w:r>
      <w:r w:rsidR="002A33F6">
        <w:rPr>
          <w:rFonts w:asciiTheme="majorHAnsi" w:hAnsiTheme="majorHAnsi" w:cstheme="majorHAnsi"/>
        </w:rPr>
        <w:t>battery</w:t>
      </w:r>
      <w:r>
        <w:rPr>
          <w:rFonts w:asciiTheme="majorHAnsi" w:hAnsiTheme="majorHAnsi" w:cstheme="majorHAnsi"/>
        </w:rPr>
        <w:t xml:space="preserve"> for punching Lee </w:t>
      </w:r>
      <w:r w:rsidR="00911709">
        <w:rPr>
          <w:rFonts w:asciiTheme="majorHAnsi" w:hAnsiTheme="majorHAnsi" w:cstheme="majorHAnsi"/>
        </w:rPr>
        <w:t xml:space="preserve">and knocking him unconscious however, as Lee later died in hospital this changes Ali’s liability to involuntary manslaughter. </w:t>
      </w:r>
    </w:p>
    <w:p w14:paraId="5CCEAF3E" w14:textId="77777777" w:rsidR="00FE4529" w:rsidRDefault="00FE4529" w:rsidP="00273E2A">
      <w:pPr>
        <w:spacing w:line="480" w:lineRule="auto"/>
        <w:jc w:val="both"/>
        <w:rPr>
          <w:rFonts w:asciiTheme="majorHAnsi" w:hAnsiTheme="majorHAnsi" w:cstheme="majorHAnsi"/>
        </w:rPr>
      </w:pPr>
    </w:p>
    <w:p w14:paraId="73FFD02C" w14:textId="6BA3A2BE" w:rsidR="00063D3F" w:rsidRPr="0060504B" w:rsidRDefault="00000137" w:rsidP="00273E2A">
      <w:pPr>
        <w:spacing w:line="480" w:lineRule="auto"/>
        <w:jc w:val="both"/>
        <w:rPr>
          <w:rFonts w:asciiTheme="majorHAnsi" w:hAnsiTheme="majorHAnsi" w:cstheme="majorHAnsi"/>
        </w:rPr>
      </w:pPr>
      <w:r w:rsidRPr="0060504B">
        <w:rPr>
          <w:rFonts w:asciiTheme="majorHAnsi" w:hAnsiTheme="majorHAnsi" w:cstheme="majorHAnsi"/>
        </w:rPr>
        <w:t xml:space="preserve">Initial observation shows that as a result of Ali’s actions towards Lee the doorman would result in a </w:t>
      </w:r>
      <w:r w:rsidR="007E4E99" w:rsidRPr="0060504B">
        <w:rPr>
          <w:rFonts w:asciiTheme="majorHAnsi" w:hAnsiTheme="majorHAnsi" w:cstheme="majorHAnsi"/>
        </w:rPr>
        <w:t>charge</w:t>
      </w:r>
      <w:r w:rsidRPr="0060504B">
        <w:rPr>
          <w:rFonts w:asciiTheme="majorHAnsi" w:hAnsiTheme="majorHAnsi" w:cstheme="majorHAnsi"/>
        </w:rPr>
        <w:t xml:space="preserve"> of </w:t>
      </w:r>
      <w:r w:rsidR="00BE773A" w:rsidRPr="0060504B">
        <w:rPr>
          <w:rFonts w:asciiTheme="majorHAnsi" w:hAnsiTheme="majorHAnsi" w:cstheme="majorHAnsi"/>
        </w:rPr>
        <w:t>involuntary</w:t>
      </w:r>
      <w:r w:rsidRPr="0060504B">
        <w:rPr>
          <w:rFonts w:asciiTheme="majorHAnsi" w:hAnsiTheme="majorHAnsi" w:cstheme="majorHAnsi"/>
        </w:rPr>
        <w:t xml:space="preserve"> manslaughter, due to recklessness</w:t>
      </w:r>
      <w:r w:rsidR="007E4E99" w:rsidRPr="0060504B">
        <w:rPr>
          <w:rFonts w:asciiTheme="majorHAnsi" w:hAnsiTheme="majorHAnsi" w:cstheme="majorHAnsi"/>
        </w:rPr>
        <w:t xml:space="preserve">, </w:t>
      </w:r>
      <w:r w:rsidR="00F33EFF">
        <w:rPr>
          <w:rFonts w:asciiTheme="majorHAnsi" w:hAnsiTheme="majorHAnsi" w:cstheme="majorHAnsi"/>
        </w:rPr>
        <w:t>it</w:t>
      </w:r>
      <w:r w:rsidR="00714EB0">
        <w:rPr>
          <w:rFonts w:asciiTheme="majorHAnsi" w:hAnsiTheme="majorHAnsi" w:cstheme="majorHAnsi"/>
        </w:rPr>
        <w:t xml:space="preserve"> could be argued that </w:t>
      </w:r>
      <w:r w:rsidR="004B3F10" w:rsidRPr="0060504B">
        <w:rPr>
          <w:rFonts w:asciiTheme="majorHAnsi" w:hAnsiTheme="majorHAnsi" w:cstheme="majorHAnsi"/>
        </w:rPr>
        <w:t xml:space="preserve">Ali </w:t>
      </w:r>
      <w:r w:rsidR="007E4E99" w:rsidRPr="0060504B">
        <w:rPr>
          <w:rFonts w:asciiTheme="majorHAnsi" w:hAnsiTheme="majorHAnsi" w:cstheme="majorHAnsi"/>
        </w:rPr>
        <w:t>did not have the mens rea for murder</w:t>
      </w:r>
      <w:r w:rsidR="00F33EFF">
        <w:rPr>
          <w:rFonts w:asciiTheme="majorHAnsi" w:hAnsiTheme="majorHAnsi" w:cstheme="majorHAnsi"/>
        </w:rPr>
        <w:t xml:space="preserve"> as Ali would not have foreseen that his actions would cause the actus reus of involuntary manslaughter</w:t>
      </w:r>
      <w:r w:rsidR="007E4E99" w:rsidRPr="0060504B">
        <w:rPr>
          <w:rFonts w:asciiTheme="majorHAnsi" w:hAnsiTheme="majorHAnsi" w:cstheme="majorHAnsi"/>
        </w:rPr>
        <w:t xml:space="preserve"> but did have the </w:t>
      </w:r>
      <w:proofErr w:type="spellStart"/>
      <w:r w:rsidR="007E4E99" w:rsidRPr="0060504B">
        <w:rPr>
          <w:rFonts w:asciiTheme="majorHAnsi" w:hAnsiTheme="majorHAnsi" w:cstheme="majorHAnsi"/>
        </w:rPr>
        <w:t>mens</w:t>
      </w:r>
      <w:proofErr w:type="spellEnd"/>
      <w:r w:rsidR="007E4E99" w:rsidRPr="0060504B">
        <w:rPr>
          <w:rFonts w:asciiTheme="majorHAnsi" w:hAnsiTheme="majorHAnsi" w:cstheme="majorHAnsi"/>
        </w:rPr>
        <w:t xml:space="preserve"> rea for </w:t>
      </w:r>
      <w:r w:rsidR="002A33F6">
        <w:rPr>
          <w:rFonts w:asciiTheme="majorHAnsi" w:hAnsiTheme="majorHAnsi" w:cstheme="majorHAnsi"/>
        </w:rPr>
        <w:t>battery</w:t>
      </w:r>
      <w:r w:rsidR="00F33EFF">
        <w:rPr>
          <w:rFonts w:asciiTheme="majorHAnsi" w:hAnsiTheme="majorHAnsi" w:cstheme="majorHAnsi"/>
        </w:rPr>
        <w:t xml:space="preserve">. </w:t>
      </w:r>
      <w:r w:rsidR="00F20E60">
        <w:rPr>
          <w:rFonts w:asciiTheme="majorHAnsi" w:hAnsiTheme="majorHAnsi" w:cstheme="majorHAnsi"/>
        </w:rPr>
        <w:t>The actus reus for the offence has been satisfied when Ali punched Lee</w:t>
      </w:r>
      <w:r w:rsidR="00107261">
        <w:rPr>
          <w:rFonts w:asciiTheme="majorHAnsi" w:hAnsiTheme="majorHAnsi" w:cstheme="majorHAnsi"/>
        </w:rPr>
        <w:t xml:space="preserve"> (R v Venna (1975))</w:t>
      </w:r>
      <w:r w:rsidR="00F20E60">
        <w:rPr>
          <w:rFonts w:asciiTheme="majorHAnsi" w:hAnsiTheme="majorHAnsi" w:cstheme="majorHAnsi"/>
        </w:rPr>
        <w:t xml:space="preserve">. </w:t>
      </w:r>
    </w:p>
    <w:p w14:paraId="24140B3D" w14:textId="77777777" w:rsidR="00063D3F" w:rsidRPr="0060504B" w:rsidRDefault="00063D3F" w:rsidP="00273E2A">
      <w:pPr>
        <w:spacing w:line="480" w:lineRule="auto"/>
        <w:jc w:val="both"/>
        <w:rPr>
          <w:rFonts w:asciiTheme="majorHAnsi" w:hAnsiTheme="majorHAnsi" w:cstheme="majorHAnsi"/>
        </w:rPr>
      </w:pPr>
    </w:p>
    <w:p w14:paraId="63AD31A6" w14:textId="62EFEF05" w:rsidR="00717416" w:rsidRDefault="00000137" w:rsidP="00273E2A">
      <w:pPr>
        <w:spacing w:line="480" w:lineRule="auto"/>
        <w:jc w:val="both"/>
        <w:rPr>
          <w:rFonts w:asciiTheme="majorHAnsi" w:hAnsiTheme="majorHAnsi" w:cstheme="majorHAnsi"/>
        </w:rPr>
      </w:pPr>
      <w:r w:rsidRPr="0060504B">
        <w:rPr>
          <w:rFonts w:asciiTheme="majorHAnsi" w:hAnsiTheme="majorHAnsi" w:cstheme="majorHAnsi"/>
        </w:rPr>
        <w:t>The mens rea of manslaughter requires proof that a reasonable person would have foreseen the risk of harm of which the defendant could not foresee the risk of death (R v Church (1965)).  Ali demonstrated mens rea by showing intention to cause grievous bodily harm to Lee when he punched Lee</w:t>
      </w:r>
      <w:r w:rsidR="00D3385A" w:rsidRPr="0060504B">
        <w:rPr>
          <w:rFonts w:asciiTheme="majorHAnsi" w:hAnsiTheme="majorHAnsi" w:cstheme="majorHAnsi"/>
        </w:rPr>
        <w:t xml:space="preserve"> </w:t>
      </w:r>
      <w:r w:rsidRPr="0060504B">
        <w:rPr>
          <w:rFonts w:asciiTheme="majorHAnsi" w:hAnsiTheme="majorHAnsi" w:cstheme="majorHAnsi"/>
        </w:rPr>
        <w:t>with such a force that it caused him to fall to the floor, this could leave the prosecution open to argue that Ali also had the intention to kill thus going after a charge of murder</w:t>
      </w:r>
      <w:r w:rsidR="00D3385A" w:rsidRPr="0060504B">
        <w:rPr>
          <w:rFonts w:asciiTheme="majorHAnsi" w:hAnsiTheme="majorHAnsi" w:cstheme="majorHAnsi"/>
        </w:rPr>
        <w:t xml:space="preserve"> as the actus reus for murder is satisfied</w:t>
      </w:r>
      <w:r w:rsidRPr="0060504B">
        <w:rPr>
          <w:rFonts w:asciiTheme="majorHAnsi" w:hAnsiTheme="majorHAnsi" w:cstheme="majorHAnsi"/>
        </w:rPr>
        <w:t xml:space="preserve"> and not manslaughter due to Ali</w:t>
      </w:r>
      <w:r w:rsidR="00C72EDD" w:rsidRPr="0060504B">
        <w:rPr>
          <w:rFonts w:asciiTheme="majorHAnsi" w:hAnsiTheme="majorHAnsi" w:cstheme="majorHAnsi"/>
        </w:rPr>
        <w:t>’s</w:t>
      </w:r>
      <w:r w:rsidRPr="0060504B">
        <w:rPr>
          <w:rFonts w:asciiTheme="majorHAnsi" w:hAnsiTheme="majorHAnsi" w:cstheme="majorHAnsi"/>
        </w:rPr>
        <w:t xml:space="preserve"> omission by leaving the bar quickly</w:t>
      </w:r>
      <w:r w:rsidR="000D57E9" w:rsidRPr="0060504B">
        <w:rPr>
          <w:rFonts w:asciiTheme="majorHAnsi" w:hAnsiTheme="majorHAnsi" w:cstheme="majorHAnsi"/>
        </w:rPr>
        <w:t xml:space="preserve">, it could be argued </w:t>
      </w:r>
      <w:r w:rsidR="00132E2F" w:rsidRPr="0060504B">
        <w:rPr>
          <w:rFonts w:asciiTheme="majorHAnsi" w:hAnsiTheme="majorHAnsi" w:cstheme="majorHAnsi"/>
        </w:rPr>
        <w:t>that</w:t>
      </w:r>
      <w:r w:rsidR="000D57E9" w:rsidRPr="0060504B">
        <w:rPr>
          <w:rFonts w:asciiTheme="majorHAnsi" w:hAnsiTheme="majorHAnsi" w:cstheme="majorHAnsi"/>
        </w:rPr>
        <w:t xml:space="preserve"> had Lee had an earlier intervention </w:t>
      </w:r>
      <w:r w:rsidR="00132E2F" w:rsidRPr="0060504B">
        <w:rPr>
          <w:rFonts w:asciiTheme="majorHAnsi" w:hAnsiTheme="majorHAnsi" w:cstheme="majorHAnsi"/>
        </w:rPr>
        <w:t>Lee’s injuries may not have resulted in death</w:t>
      </w:r>
      <w:r w:rsidRPr="0060504B">
        <w:rPr>
          <w:rFonts w:asciiTheme="majorHAnsi" w:hAnsiTheme="majorHAnsi" w:cstheme="majorHAnsi"/>
        </w:rPr>
        <w:t xml:space="preserve">. </w:t>
      </w:r>
      <w:r w:rsidR="00D3385A" w:rsidRPr="0060504B">
        <w:rPr>
          <w:rFonts w:asciiTheme="majorHAnsi" w:hAnsiTheme="majorHAnsi" w:cstheme="majorHAnsi"/>
        </w:rPr>
        <w:t xml:space="preserve">There are no grounds for an argument as there is no apparent threat made from Lee to Ali giving a justified reason for Ali to </w:t>
      </w:r>
      <w:r w:rsidR="00BE529E" w:rsidRPr="0060504B">
        <w:rPr>
          <w:rFonts w:asciiTheme="majorHAnsi" w:hAnsiTheme="majorHAnsi" w:cstheme="majorHAnsi"/>
        </w:rPr>
        <w:t xml:space="preserve">act </w:t>
      </w:r>
      <w:r w:rsidR="00D3385A" w:rsidRPr="0060504B">
        <w:rPr>
          <w:rFonts w:asciiTheme="majorHAnsi" w:hAnsiTheme="majorHAnsi" w:cstheme="majorHAnsi"/>
        </w:rPr>
        <w:t>forcefully</w:t>
      </w:r>
      <w:r w:rsidR="00714EB0">
        <w:rPr>
          <w:rFonts w:asciiTheme="majorHAnsi" w:hAnsiTheme="majorHAnsi" w:cstheme="majorHAnsi"/>
        </w:rPr>
        <w:t xml:space="preserve"> (R v </w:t>
      </w:r>
      <w:proofErr w:type="spellStart"/>
      <w:r w:rsidR="00714EB0">
        <w:rPr>
          <w:rFonts w:asciiTheme="majorHAnsi" w:hAnsiTheme="majorHAnsi" w:cstheme="majorHAnsi"/>
        </w:rPr>
        <w:t>Woollin</w:t>
      </w:r>
      <w:proofErr w:type="spellEnd"/>
      <w:r w:rsidR="00714EB0">
        <w:rPr>
          <w:rFonts w:asciiTheme="majorHAnsi" w:hAnsiTheme="majorHAnsi" w:cstheme="majorHAnsi"/>
        </w:rPr>
        <w:t xml:space="preserve"> (1999)</w:t>
      </w:r>
      <w:r w:rsidR="002A33F6">
        <w:rPr>
          <w:rFonts w:asciiTheme="majorHAnsi" w:hAnsiTheme="majorHAnsi" w:cstheme="majorHAnsi"/>
        </w:rPr>
        <w:t>)</w:t>
      </w:r>
      <w:r w:rsidR="00D3385A" w:rsidRPr="0060504B">
        <w:rPr>
          <w:rFonts w:asciiTheme="majorHAnsi" w:hAnsiTheme="majorHAnsi" w:cstheme="majorHAnsi"/>
        </w:rPr>
        <w:t xml:space="preserve">. </w:t>
      </w:r>
    </w:p>
    <w:p w14:paraId="121A3500" w14:textId="12700B1C" w:rsidR="00911709" w:rsidRDefault="00911709" w:rsidP="00273E2A">
      <w:pPr>
        <w:spacing w:line="480" w:lineRule="auto"/>
        <w:jc w:val="both"/>
        <w:rPr>
          <w:rFonts w:asciiTheme="majorHAnsi" w:hAnsiTheme="majorHAnsi" w:cstheme="majorHAnsi"/>
        </w:rPr>
      </w:pPr>
    </w:p>
    <w:p w14:paraId="5AC2F5F0" w14:textId="3DB4FB05" w:rsidR="00911709" w:rsidRPr="0060504B" w:rsidRDefault="00000137" w:rsidP="00273E2A">
      <w:pPr>
        <w:spacing w:line="480" w:lineRule="auto"/>
        <w:jc w:val="both"/>
        <w:rPr>
          <w:rFonts w:asciiTheme="majorHAnsi" w:hAnsiTheme="majorHAnsi" w:cstheme="majorHAnsi"/>
        </w:rPr>
      </w:pPr>
      <w:r w:rsidRPr="0060504B">
        <w:rPr>
          <w:rFonts w:asciiTheme="majorHAnsi" w:hAnsiTheme="majorHAnsi" w:cstheme="majorHAnsi"/>
        </w:rPr>
        <w:t>For his actions towards Lee the doorman, more specifically constructive manslaughter which is defined as ‘killing as a result of another crime of mens rea’. Ali is the factual and legal cause of Lee’s death; factual causation is present as had it not been for Ali’s actions Lee would not have died</w:t>
      </w:r>
      <w:r w:rsidR="00C54B18">
        <w:rPr>
          <w:rFonts w:asciiTheme="majorHAnsi" w:hAnsiTheme="majorHAnsi" w:cstheme="majorHAnsi"/>
        </w:rPr>
        <w:t xml:space="preserve">, legal causation suffices as it was witnessed which provides proof that Ali’s physical action was connected to Lee’s death </w:t>
      </w:r>
      <w:r w:rsidRPr="0060504B">
        <w:rPr>
          <w:rFonts w:asciiTheme="majorHAnsi" w:hAnsiTheme="majorHAnsi" w:cstheme="majorHAnsi"/>
        </w:rPr>
        <w:t>(R v</w:t>
      </w:r>
      <w:r w:rsidR="00714EB0">
        <w:rPr>
          <w:rFonts w:asciiTheme="majorHAnsi" w:hAnsiTheme="majorHAnsi" w:cstheme="majorHAnsi"/>
        </w:rPr>
        <w:t xml:space="preserve"> Cheshire</w:t>
      </w:r>
      <w:r w:rsidRPr="0060504B">
        <w:rPr>
          <w:rFonts w:asciiTheme="majorHAnsi" w:hAnsiTheme="majorHAnsi" w:cstheme="majorHAnsi"/>
        </w:rPr>
        <w:t xml:space="preserve"> (19</w:t>
      </w:r>
      <w:r w:rsidR="00714EB0">
        <w:rPr>
          <w:rFonts w:asciiTheme="majorHAnsi" w:hAnsiTheme="majorHAnsi" w:cstheme="majorHAnsi"/>
        </w:rPr>
        <w:t>91</w:t>
      </w:r>
      <w:r w:rsidRPr="0060504B">
        <w:rPr>
          <w:rFonts w:asciiTheme="majorHAnsi" w:hAnsiTheme="majorHAnsi" w:cstheme="majorHAnsi"/>
        </w:rPr>
        <w:t>)).</w:t>
      </w:r>
    </w:p>
    <w:p w14:paraId="6F66EDF0" w14:textId="77777777" w:rsidR="00911709" w:rsidRPr="0060504B" w:rsidRDefault="00911709" w:rsidP="00273E2A">
      <w:pPr>
        <w:spacing w:line="480" w:lineRule="auto"/>
        <w:jc w:val="both"/>
        <w:rPr>
          <w:rFonts w:asciiTheme="majorHAnsi" w:hAnsiTheme="majorHAnsi" w:cstheme="majorHAnsi"/>
        </w:rPr>
      </w:pPr>
    </w:p>
    <w:p w14:paraId="39D67B6C" w14:textId="36753684" w:rsidR="00BD68C3" w:rsidRPr="0060504B" w:rsidRDefault="00BD68C3" w:rsidP="00273E2A">
      <w:pPr>
        <w:spacing w:line="480" w:lineRule="auto"/>
        <w:jc w:val="both"/>
        <w:rPr>
          <w:rFonts w:asciiTheme="majorHAnsi" w:hAnsiTheme="majorHAnsi" w:cstheme="majorHAnsi"/>
        </w:rPr>
      </w:pPr>
    </w:p>
    <w:p w14:paraId="342FD6C6" w14:textId="5DDDECF6" w:rsidR="00063D3F" w:rsidRPr="0060504B" w:rsidRDefault="00000137" w:rsidP="00273E2A">
      <w:pPr>
        <w:spacing w:line="480" w:lineRule="auto"/>
        <w:jc w:val="both"/>
        <w:rPr>
          <w:rFonts w:asciiTheme="majorHAnsi" w:hAnsiTheme="majorHAnsi" w:cstheme="majorHAnsi"/>
        </w:rPr>
      </w:pPr>
      <w:r w:rsidRPr="0060504B">
        <w:rPr>
          <w:rFonts w:asciiTheme="majorHAnsi" w:hAnsiTheme="majorHAnsi" w:cstheme="majorHAnsi"/>
        </w:rPr>
        <w:t xml:space="preserve">Ali’s unlawful act on Lee can be determined as subjective recklessness which asks the question would a </w:t>
      </w:r>
      <w:r w:rsidR="006C41B2" w:rsidRPr="0060504B">
        <w:rPr>
          <w:rFonts w:asciiTheme="majorHAnsi" w:hAnsiTheme="majorHAnsi" w:cstheme="majorHAnsi"/>
        </w:rPr>
        <w:t>reasonable</w:t>
      </w:r>
      <w:r w:rsidRPr="0060504B">
        <w:rPr>
          <w:rFonts w:asciiTheme="majorHAnsi" w:hAnsiTheme="majorHAnsi" w:cstheme="majorHAnsi"/>
        </w:rPr>
        <w:t xml:space="preserve"> person </w:t>
      </w:r>
      <w:r w:rsidR="006C41B2" w:rsidRPr="0060504B">
        <w:rPr>
          <w:rFonts w:asciiTheme="majorHAnsi" w:hAnsiTheme="majorHAnsi" w:cstheme="majorHAnsi"/>
        </w:rPr>
        <w:t>have acted in the same manner.</w:t>
      </w:r>
      <w:r w:rsidRPr="0060504B">
        <w:rPr>
          <w:rFonts w:asciiTheme="majorHAnsi" w:hAnsiTheme="majorHAnsi" w:cstheme="majorHAnsi"/>
        </w:rPr>
        <w:t xml:space="preserve"> Ali showed malicious intent by punching Lee and should have been aware that as a result of his actions serious injury could be caused (R v Cunningham (1957)). </w:t>
      </w:r>
    </w:p>
    <w:p w14:paraId="1CC9EA9F" w14:textId="0B119FC7" w:rsidR="00085F1F" w:rsidRPr="0060504B" w:rsidRDefault="00085F1F" w:rsidP="00273E2A">
      <w:pPr>
        <w:spacing w:line="480" w:lineRule="auto"/>
        <w:jc w:val="both"/>
        <w:rPr>
          <w:rFonts w:asciiTheme="majorHAnsi" w:hAnsiTheme="majorHAnsi" w:cstheme="majorHAnsi"/>
        </w:rPr>
      </w:pPr>
    </w:p>
    <w:p w14:paraId="51C100A5" w14:textId="7541271F" w:rsidR="00FE4529" w:rsidRDefault="00000137" w:rsidP="00273E2A">
      <w:pPr>
        <w:spacing w:line="480" w:lineRule="auto"/>
        <w:jc w:val="both"/>
        <w:rPr>
          <w:rFonts w:asciiTheme="majorHAnsi" w:hAnsiTheme="majorHAnsi" w:cstheme="majorHAnsi"/>
        </w:rPr>
      </w:pPr>
      <w:r>
        <w:rPr>
          <w:rFonts w:asciiTheme="majorHAnsi" w:hAnsiTheme="majorHAnsi" w:cstheme="majorHAnsi"/>
        </w:rPr>
        <w:t xml:space="preserve">Secondly, Ali's criminal liability for offences committed against Colin, Ali approached Colin, Colin walks away, Ali grabs Colin's arm and stabs Colin in the stomach, Ali runs away, Colin dies within minutes. </w:t>
      </w:r>
    </w:p>
    <w:p w14:paraId="4695A74E" w14:textId="6352E86B" w:rsidR="00FE4529" w:rsidRDefault="00000137" w:rsidP="00273E2A">
      <w:pPr>
        <w:spacing w:line="480" w:lineRule="auto"/>
        <w:jc w:val="both"/>
        <w:rPr>
          <w:rFonts w:asciiTheme="majorHAnsi" w:hAnsiTheme="majorHAnsi" w:cstheme="majorHAnsi"/>
        </w:rPr>
      </w:pPr>
      <w:r>
        <w:rPr>
          <w:rFonts w:asciiTheme="majorHAnsi" w:hAnsiTheme="majorHAnsi" w:cstheme="majorHAnsi"/>
        </w:rPr>
        <w:t xml:space="preserve"> </w:t>
      </w:r>
      <w:r w:rsidR="00F20E60">
        <w:rPr>
          <w:rFonts w:asciiTheme="majorHAnsi" w:hAnsiTheme="majorHAnsi" w:cstheme="majorHAnsi"/>
        </w:rPr>
        <w:t xml:space="preserve">  </w:t>
      </w:r>
    </w:p>
    <w:p w14:paraId="07A08602" w14:textId="4418032E" w:rsidR="007C6737" w:rsidRPr="0060504B" w:rsidRDefault="00000137" w:rsidP="00273E2A">
      <w:pPr>
        <w:spacing w:line="480" w:lineRule="auto"/>
        <w:jc w:val="both"/>
        <w:rPr>
          <w:rFonts w:asciiTheme="majorHAnsi" w:hAnsiTheme="majorHAnsi" w:cstheme="majorHAnsi"/>
        </w:rPr>
      </w:pPr>
      <w:r>
        <w:rPr>
          <w:rFonts w:asciiTheme="majorHAnsi" w:hAnsiTheme="majorHAnsi" w:cstheme="majorHAnsi"/>
        </w:rPr>
        <w:t>A</w:t>
      </w:r>
      <w:r w:rsidR="002522FA" w:rsidRPr="0060504B">
        <w:rPr>
          <w:rFonts w:asciiTheme="majorHAnsi" w:hAnsiTheme="majorHAnsi" w:cstheme="majorHAnsi"/>
        </w:rPr>
        <w:t xml:space="preserve"> charge of murder</w:t>
      </w:r>
      <w:r>
        <w:rPr>
          <w:rFonts w:asciiTheme="majorHAnsi" w:hAnsiTheme="majorHAnsi" w:cstheme="majorHAnsi"/>
        </w:rPr>
        <w:t xml:space="preserve"> would be recommended </w:t>
      </w:r>
      <w:r w:rsidR="002522FA" w:rsidRPr="0060504B">
        <w:rPr>
          <w:rFonts w:asciiTheme="majorHAnsi" w:hAnsiTheme="majorHAnsi" w:cstheme="majorHAnsi"/>
        </w:rPr>
        <w:t>for the premeditated attack on Colin. Murder is defined when the defendant intends to kill or cause grievous bodily harm to the defendant</w:t>
      </w:r>
      <w:r w:rsidRPr="0060504B">
        <w:rPr>
          <w:rFonts w:asciiTheme="majorHAnsi" w:hAnsiTheme="majorHAnsi" w:cstheme="majorHAnsi"/>
        </w:rPr>
        <w:t xml:space="preserve"> (R v </w:t>
      </w:r>
      <w:r w:rsidR="00C54B18">
        <w:rPr>
          <w:rFonts w:asciiTheme="majorHAnsi" w:hAnsiTheme="majorHAnsi" w:cstheme="majorHAnsi"/>
        </w:rPr>
        <w:t>Vickers</w:t>
      </w:r>
      <w:r w:rsidRPr="0060504B">
        <w:rPr>
          <w:rFonts w:asciiTheme="majorHAnsi" w:hAnsiTheme="majorHAnsi" w:cstheme="majorHAnsi"/>
        </w:rPr>
        <w:t xml:space="preserve"> (19</w:t>
      </w:r>
      <w:r w:rsidR="00C54B18">
        <w:rPr>
          <w:rFonts w:asciiTheme="majorHAnsi" w:hAnsiTheme="majorHAnsi" w:cstheme="majorHAnsi"/>
        </w:rPr>
        <w:t>57</w:t>
      </w:r>
      <w:r w:rsidRPr="0060504B">
        <w:rPr>
          <w:rFonts w:asciiTheme="majorHAnsi" w:hAnsiTheme="majorHAnsi" w:cstheme="majorHAnsi"/>
        </w:rPr>
        <w:t>)).</w:t>
      </w:r>
    </w:p>
    <w:p w14:paraId="65AD56B4" w14:textId="45E41ECB" w:rsidR="00063D3F" w:rsidRPr="0060504B" w:rsidRDefault="00063D3F" w:rsidP="00273E2A">
      <w:pPr>
        <w:spacing w:line="480" w:lineRule="auto"/>
        <w:jc w:val="both"/>
        <w:rPr>
          <w:rFonts w:asciiTheme="majorHAnsi" w:hAnsiTheme="majorHAnsi" w:cstheme="majorHAnsi"/>
        </w:rPr>
      </w:pPr>
    </w:p>
    <w:p w14:paraId="5B7E1EB2" w14:textId="5D51AC54" w:rsidR="00063D3F" w:rsidRDefault="00000137" w:rsidP="00273E2A">
      <w:pPr>
        <w:spacing w:line="480" w:lineRule="auto"/>
        <w:jc w:val="both"/>
        <w:rPr>
          <w:rFonts w:asciiTheme="majorHAnsi" w:hAnsiTheme="majorHAnsi" w:cstheme="majorHAnsi"/>
        </w:rPr>
      </w:pPr>
      <w:r w:rsidRPr="0060504B">
        <w:rPr>
          <w:rFonts w:asciiTheme="majorHAnsi" w:hAnsiTheme="majorHAnsi" w:cstheme="majorHAnsi"/>
        </w:rPr>
        <w:t xml:space="preserve">There is evidence to support that Ali </w:t>
      </w:r>
      <w:r w:rsidR="007E4E99" w:rsidRPr="0060504B">
        <w:rPr>
          <w:rFonts w:asciiTheme="majorHAnsi" w:hAnsiTheme="majorHAnsi" w:cstheme="majorHAnsi"/>
        </w:rPr>
        <w:t>premeditated</w:t>
      </w:r>
      <w:r w:rsidRPr="0060504B">
        <w:rPr>
          <w:rFonts w:asciiTheme="majorHAnsi" w:hAnsiTheme="majorHAnsi" w:cstheme="majorHAnsi"/>
        </w:rPr>
        <w:t xml:space="preserve"> the attack on Colin </w:t>
      </w:r>
      <w:r w:rsidR="007E4E99" w:rsidRPr="0060504B">
        <w:rPr>
          <w:rFonts w:asciiTheme="majorHAnsi" w:hAnsiTheme="majorHAnsi" w:cstheme="majorHAnsi"/>
        </w:rPr>
        <w:t xml:space="preserve">as he was in possession of a weapon, we also know that Ali’s actions are not </w:t>
      </w:r>
      <w:r w:rsidR="00C54B18">
        <w:rPr>
          <w:rFonts w:asciiTheme="majorHAnsi" w:hAnsiTheme="majorHAnsi" w:cstheme="majorHAnsi"/>
        </w:rPr>
        <w:t>in retaliation</w:t>
      </w:r>
      <w:r w:rsidR="007E4E99" w:rsidRPr="0060504B">
        <w:rPr>
          <w:rFonts w:asciiTheme="majorHAnsi" w:hAnsiTheme="majorHAnsi" w:cstheme="majorHAnsi"/>
        </w:rPr>
        <w:t xml:space="preserve"> given that colin was attempting to walk away and it was Ali that had pulled him back</w:t>
      </w:r>
      <w:r w:rsidR="00BE773A" w:rsidRPr="0060504B">
        <w:rPr>
          <w:rFonts w:asciiTheme="majorHAnsi" w:hAnsiTheme="majorHAnsi" w:cstheme="majorHAnsi"/>
        </w:rPr>
        <w:t xml:space="preserve"> to stab him (R v Blaue (1975)). </w:t>
      </w:r>
    </w:p>
    <w:p w14:paraId="086BC40D" w14:textId="294CE331" w:rsidR="00F20E60" w:rsidRDefault="00F20E60" w:rsidP="00273E2A">
      <w:pPr>
        <w:spacing w:line="480" w:lineRule="auto"/>
        <w:jc w:val="both"/>
        <w:rPr>
          <w:rFonts w:asciiTheme="majorHAnsi" w:hAnsiTheme="majorHAnsi" w:cstheme="majorHAnsi"/>
        </w:rPr>
      </w:pPr>
    </w:p>
    <w:p w14:paraId="05B498AF" w14:textId="5DA29264" w:rsidR="00F20E60" w:rsidRPr="0060504B" w:rsidRDefault="00000137" w:rsidP="00273E2A">
      <w:pPr>
        <w:spacing w:line="480" w:lineRule="auto"/>
        <w:jc w:val="both"/>
        <w:rPr>
          <w:rFonts w:asciiTheme="majorHAnsi" w:hAnsiTheme="majorHAnsi" w:cstheme="majorHAnsi"/>
        </w:rPr>
      </w:pPr>
      <w:r>
        <w:rPr>
          <w:rFonts w:asciiTheme="majorHAnsi" w:hAnsiTheme="majorHAnsi" w:cstheme="majorHAnsi"/>
        </w:rPr>
        <w:t>As Ali was in possession of a weapon this is proving intent to harm or cause grievous bodily harm, which will suffice the mens rea for the attack. When Ali firstly grabbed colin and then fatally injuring Collin using the knife that he had in his possession this is applicable for the conduct element of actus reus.</w:t>
      </w:r>
    </w:p>
    <w:p w14:paraId="25B88064" w14:textId="77777777" w:rsidR="00063D3F" w:rsidRPr="0060504B" w:rsidRDefault="00063D3F" w:rsidP="00273E2A">
      <w:pPr>
        <w:spacing w:line="480" w:lineRule="auto"/>
        <w:jc w:val="both"/>
        <w:rPr>
          <w:rFonts w:asciiTheme="majorHAnsi" w:hAnsiTheme="majorHAnsi" w:cstheme="majorHAnsi"/>
        </w:rPr>
      </w:pPr>
    </w:p>
    <w:p w14:paraId="69BC4FED" w14:textId="78533533" w:rsidR="00C72EDD" w:rsidRPr="0060504B" w:rsidRDefault="00C72EDD" w:rsidP="00273E2A">
      <w:pPr>
        <w:spacing w:line="480" w:lineRule="auto"/>
        <w:jc w:val="both"/>
        <w:rPr>
          <w:rFonts w:asciiTheme="majorHAnsi" w:hAnsiTheme="majorHAnsi" w:cstheme="majorHAnsi"/>
        </w:rPr>
      </w:pPr>
    </w:p>
    <w:p w14:paraId="54AE2A9E" w14:textId="08815A20" w:rsidR="007C6737" w:rsidRPr="0060504B" w:rsidRDefault="00000137" w:rsidP="00273E2A">
      <w:pPr>
        <w:spacing w:line="480" w:lineRule="auto"/>
        <w:jc w:val="both"/>
        <w:rPr>
          <w:rFonts w:asciiTheme="majorHAnsi" w:hAnsiTheme="majorHAnsi" w:cstheme="majorHAnsi"/>
        </w:rPr>
      </w:pPr>
      <w:r w:rsidRPr="0060504B">
        <w:rPr>
          <w:rFonts w:asciiTheme="majorHAnsi" w:hAnsiTheme="majorHAnsi" w:cstheme="majorHAnsi"/>
        </w:rPr>
        <w:t>Aside from the two</w:t>
      </w:r>
      <w:r w:rsidR="00B00442">
        <w:rPr>
          <w:rFonts w:asciiTheme="majorHAnsi" w:hAnsiTheme="majorHAnsi" w:cstheme="majorHAnsi"/>
        </w:rPr>
        <w:t xml:space="preserve"> possible</w:t>
      </w:r>
      <w:r w:rsidRPr="0060504B">
        <w:rPr>
          <w:rFonts w:asciiTheme="majorHAnsi" w:hAnsiTheme="majorHAnsi" w:cstheme="majorHAnsi"/>
        </w:rPr>
        <w:t xml:space="preserve"> charges, there is also the provocation of the </w:t>
      </w:r>
      <w:r w:rsidR="002A33F6">
        <w:rPr>
          <w:rFonts w:asciiTheme="majorHAnsi" w:hAnsiTheme="majorHAnsi" w:cstheme="majorHAnsi"/>
        </w:rPr>
        <w:t>assault</w:t>
      </w:r>
      <w:r w:rsidRPr="0060504B">
        <w:rPr>
          <w:rFonts w:asciiTheme="majorHAnsi" w:hAnsiTheme="majorHAnsi" w:cstheme="majorHAnsi"/>
        </w:rPr>
        <w:t xml:space="preserve"> on Colin at the bar which resulted in a fight to break out resulting in Lee's involvement</w:t>
      </w:r>
      <w:r w:rsidR="00D72B2E" w:rsidRPr="0060504B">
        <w:rPr>
          <w:rFonts w:asciiTheme="majorHAnsi" w:hAnsiTheme="majorHAnsi" w:cstheme="majorHAnsi"/>
        </w:rPr>
        <w:t>;</w:t>
      </w:r>
      <w:r w:rsidRPr="0060504B">
        <w:rPr>
          <w:rFonts w:asciiTheme="majorHAnsi" w:hAnsiTheme="majorHAnsi" w:cstheme="majorHAnsi"/>
        </w:rPr>
        <w:t xml:space="preserve"> ha</w:t>
      </w:r>
      <w:r w:rsidR="00D72B2E" w:rsidRPr="0060504B">
        <w:rPr>
          <w:rFonts w:asciiTheme="majorHAnsi" w:hAnsiTheme="majorHAnsi" w:cstheme="majorHAnsi"/>
        </w:rPr>
        <w:t>d</w:t>
      </w:r>
      <w:r w:rsidRPr="0060504B">
        <w:rPr>
          <w:rFonts w:asciiTheme="majorHAnsi" w:hAnsiTheme="majorHAnsi" w:cstheme="majorHAnsi"/>
        </w:rPr>
        <w:t xml:space="preserve"> Colin not been provoked </w:t>
      </w:r>
      <w:r w:rsidR="00D72B2E" w:rsidRPr="0060504B">
        <w:rPr>
          <w:rFonts w:asciiTheme="majorHAnsi" w:hAnsiTheme="majorHAnsi" w:cstheme="majorHAnsi"/>
        </w:rPr>
        <w:t xml:space="preserve">the fight would not have ensued and Lee would have not been involved thus not lost his life (R v Watson (1989)). </w:t>
      </w:r>
    </w:p>
    <w:p w14:paraId="5E1BC0DB" w14:textId="68B1DDF3" w:rsidR="00BE773A" w:rsidRDefault="00BE773A" w:rsidP="00273E2A">
      <w:pPr>
        <w:spacing w:line="480" w:lineRule="auto"/>
        <w:jc w:val="both"/>
        <w:rPr>
          <w:rFonts w:asciiTheme="majorHAnsi" w:hAnsiTheme="majorHAnsi" w:cstheme="majorHAnsi"/>
        </w:rPr>
      </w:pPr>
    </w:p>
    <w:p w14:paraId="34EF71C6" w14:textId="15F61C22" w:rsidR="00FE4529" w:rsidRPr="0060504B" w:rsidRDefault="00000137" w:rsidP="00273E2A">
      <w:pPr>
        <w:spacing w:line="480" w:lineRule="auto"/>
        <w:jc w:val="both"/>
        <w:rPr>
          <w:rFonts w:asciiTheme="majorHAnsi" w:hAnsiTheme="majorHAnsi" w:cstheme="majorHAnsi"/>
        </w:rPr>
      </w:pPr>
      <w:r w:rsidRPr="0060504B">
        <w:rPr>
          <w:rFonts w:asciiTheme="majorHAnsi" w:hAnsiTheme="majorHAnsi" w:cstheme="majorHAnsi"/>
        </w:rPr>
        <w:t>Ali</w:t>
      </w:r>
      <w:r>
        <w:rPr>
          <w:rFonts w:asciiTheme="majorHAnsi" w:hAnsiTheme="majorHAnsi" w:cstheme="majorHAnsi"/>
        </w:rPr>
        <w:t xml:space="preserve"> should be advised</w:t>
      </w:r>
      <w:r w:rsidRPr="0060504B">
        <w:rPr>
          <w:rFonts w:asciiTheme="majorHAnsi" w:hAnsiTheme="majorHAnsi" w:cstheme="majorHAnsi"/>
        </w:rPr>
        <w:t xml:space="preserve"> that he could be facing one charge of involuntary manslaughter and another charge of murder.</w:t>
      </w:r>
    </w:p>
    <w:p w14:paraId="0A9C9AE8" w14:textId="77777777" w:rsidR="00FE4529" w:rsidRPr="0060504B" w:rsidRDefault="00FE4529" w:rsidP="00273E2A">
      <w:pPr>
        <w:spacing w:line="480" w:lineRule="auto"/>
        <w:jc w:val="both"/>
        <w:rPr>
          <w:rFonts w:asciiTheme="majorHAnsi" w:hAnsiTheme="majorHAnsi" w:cstheme="majorHAnsi"/>
        </w:rPr>
      </w:pPr>
    </w:p>
    <w:p w14:paraId="6633F078" w14:textId="5D01D8FA" w:rsidR="00BE773A" w:rsidRDefault="00000137" w:rsidP="00273E2A">
      <w:pPr>
        <w:spacing w:line="480" w:lineRule="auto"/>
        <w:jc w:val="both"/>
        <w:rPr>
          <w:rFonts w:asciiTheme="majorHAnsi" w:hAnsiTheme="majorHAnsi" w:cstheme="majorHAnsi"/>
        </w:rPr>
      </w:pPr>
      <w:r w:rsidRPr="0060504B">
        <w:rPr>
          <w:rFonts w:asciiTheme="majorHAnsi" w:hAnsiTheme="majorHAnsi" w:cstheme="majorHAnsi"/>
        </w:rPr>
        <w:t>A possible sentence</w:t>
      </w:r>
      <w:r w:rsidR="000E17BF">
        <w:rPr>
          <w:rFonts w:asciiTheme="majorHAnsi" w:hAnsiTheme="majorHAnsi" w:cstheme="majorHAnsi"/>
        </w:rPr>
        <w:t xml:space="preserve"> for the charge of involuntary manslaughter according to the sentencing council states that </w:t>
      </w:r>
      <w:r w:rsidR="00E27D1A">
        <w:rPr>
          <w:rFonts w:asciiTheme="majorHAnsi" w:hAnsiTheme="majorHAnsi" w:cstheme="majorHAnsi"/>
        </w:rPr>
        <w:t>if charged Ali could face life imprisonment which could be reduced by one third if the defendant pleads guilty, other sentences may be imposed which could include an immediate prison sentence, suspended sentence or a community sentence.</w:t>
      </w:r>
      <w:r w:rsidR="00F44838">
        <w:rPr>
          <w:rFonts w:asciiTheme="majorHAnsi" w:hAnsiTheme="majorHAnsi" w:cstheme="majorHAnsi"/>
        </w:rPr>
        <w:t xml:space="preserve"> A mitigating factor, in this case, would be that Ali had not set out to fatally injury Lee.</w:t>
      </w:r>
      <w:r w:rsidR="00E27D1A">
        <w:rPr>
          <w:rFonts w:asciiTheme="majorHAnsi" w:hAnsiTheme="majorHAnsi" w:cstheme="majorHAnsi"/>
        </w:rPr>
        <w:t xml:space="preserve"> </w:t>
      </w:r>
    </w:p>
    <w:p w14:paraId="5E0E66CE" w14:textId="698AE671" w:rsidR="00E27D1A" w:rsidRDefault="00E27D1A" w:rsidP="00273E2A">
      <w:pPr>
        <w:spacing w:line="480" w:lineRule="auto"/>
        <w:jc w:val="both"/>
        <w:rPr>
          <w:rFonts w:asciiTheme="majorHAnsi" w:hAnsiTheme="majorHAnsi" w:cstheme="majorHAnsi"/>
        </w:rPr>
      </w:pPr>
    </w:p>
    <w:p w14:paraId="10B775B0" w14:textId="1DFF2E42" w:rsidR="00E27D1A" w:rsidRDefault="00000137" w:rsidP="00273E2A">
      <w:pPr>
        <w:spacing w:line="480" w:lineRule="auto"/>
        <w:jc w:val="both"/>
        <w:rPr>
          <w:rFonts w:asciiTheme="majorHAnsi" w:hAnsiTheme="majorHAnsi" w:cstheme="majorHAnsi"/>
        </w:rPr>
      </w:pPr>
      <w:r>
        <w:rPr>
          <w:rFonts w:asciiTheme="majorHAnsi" w:hAnsiTheme="majorHAnsi" w:cstheme="majorHAnsi"/>
        </w:rPr>
        <w:t xml:space="preserve">For the attack on Colin, if charged with murder, the minimum sentence would be for twenty-five years as Ali had brought a knife to the scene. The judge may take into account a guilty plea for a reduction on the minimum sentence however as there are aggravating </w:t>
      </w:r>
      <w:r w:rsidR="00F44838">
        <w:rPr>
          <w:rFonts w:asciiTheme="majorHAnsi" w:hAnsiTheme="majorHAnsi" w:cstheme="majorHAnsi"/>
        </w:rPr>
        <w:t xml:space="preserve">factors to the crime such as premeditation, proved by bringing a knife to the scene. </w:t>
      </w:r>
    </w:p>
    <w:p w14:paraId="619E608F" w14:textId="13EB2BD6" w:rsidR="00E11396" w:rsidRDefault="00E11396" w:rsidP="00273E2A">
      <w:pPr>
        <w:spacing w:line="480" w:lineRule="auto"/>
        <w:jc w:val="both"/>
        <w:rPr>
          <w:rFonts w:asciiTheme="majorHAnsi" w:hAnsiTheme="majorHAnsi" w:cstheme="majorHAnsi"/>
        </w:rPr>
      </w:pPr>
    </w:p>
    <w:p w14:paraId="3FFD7B12" w14:textId="3DDBEEB3" w:rsidR="00E11396" w:rsidRPr="0060504B" w:rsidRDefault="00000137" w:rsidP="00273E2A">
      <w:pPr>
        <w:spacing w:line="480" w:lineRule="auto"/>
        <w:jc w:val="both"/>
        <w:rPr>
          <w:rFonts w:asciiTheme="majorHAnsi" w:hAnsiTheme="majorHAnsi" w:cstheme="majorHAnsi"/>
        </w:rPr>
      </w:pPr>
      <w:r>
        <w:rPr>
          <w:rFonts w:asciiTheme="majorHAnsi" w:hAnsiTheme="majorHAnsi" w:cstheme="majorHAnsi"/>
        </w:rPr>
        <w:t xml:space="preserve">To summarise Ali would likely be convicted of both crimes as factual causation is satisfied in both scenarios when considering the but-for test it is apparent that if it had not been for Ali's involvement in either case neither Lee nor Colin would have lost their lives. Some very apparent aggravating factors support Ali's criminal liability in the offence against Lee when he fled the scene and in the offence against Colin when he brought a knife to the scene these are factors that cannot be misinterpreted and aided Ali's liability to each offence. </w:t>
      </w:r>
    </w:p>
    <w:p w14:paraId="4AF7FCE7" w14:textId="77777777" w:rsidR="007C6737" w:rsidRDefault="007C6737" w:rsidP="00273E2A">
      <w:pPr>
        <w:spacing w:line="480" w:lineRule="auto"/>
        <w:jc w:val="both"/>
      </w:pPr>
    </w:p>
    <w:p w14:paraId="7B23CE8B" w14:textId="77777777" w:rsidR="007C6737" w:rsidRDefault="007C6737" w:rsidP="00273E2A">
      <w:pPr>
        <w:spacing w:line="480" w:lineRule="auto"/>
        <w:jc w:val="both"/>
      </w:pPr>
    </w:p>
    <w:p w14:paraId="4CB1E00C" w14:textId="77777777" w:rsidR="007C6737" w:rsidRDefault="007C6737" w:rsidP="00692A6E">
      <w:pPr>
        <w:jc w:val="both"/>
      </w:pPr>
    </w:p>
    <w:p w14:paraId="496F1D88" w14:textId="77777777" w:rsidR="007C6737" w:rsidRDefault="007C6737" w:rsidP="00692A6E">
      <w:pPr>
        <w:jc w:val="both"/>
      </w:pPr>
    </w:p>
    <w:p w14:paraId="3E2B3CB5" w14:textId="10DF4A45" w:rsidR="002522FA" w:rsidRDefault="00000137" w:rsidP="00692A6E">
      <w:pPr>
        <w:jc w:val="both"/>
        <w:rPr>
          <w:b/>
          <w:bCs/>
          <w:u w:val="single"/>
        </w:rPr>
      </w:pPr>
      <w:r w:rsidRPr="007C6737">
        <w:rPr>
          <w:b/>
          <w:bCs/>
          <w:u w:val="single"/>
        </w:rPr>
        <w:t xml:space="preserve">Case List  </w:t>
      </w:r>
    </w:p>
    <w:p w14:paraId="6130E533" w14:textId="64DF3003" w:rsidR="007C6737" w:rsidRDefault="007C6737" w:rsidP="00692A6E">
      <w:pPr>
        <w:jc w:val="both"/>
        <w:rPr>
          <w:b/>
          <w:bCs/>
          <w:u w:val="single"/>
        </w:rPr>
      </w:pPr>
    </w:p>
    <w:p w14:paraId="57700A15" w14:textId="630EB180" w:rsidR="0060504B" w:rsidRDefault="00000137" w:rsidP="00E36805">
      <w:r>
        <w:t>R v Blaue (1975) 1 WLR 1411</w:t>
      </w:r>
    </w:p>
    <w:p w14:paraId="45BC6EAA" w14:textId="68EE5090" w:rsidR="00714EB0" w:rsidRDefault="00714EB0" w:rsidP="00E36805"/>
    <w:p w14:paraId="1995983B" w14:textId="01D243D3" w:rsidR="00714EB0" w:rsidRDefault="00000137" w:rsidP="00E36805">
      <w:r>
        <w:t>R v Cheshire (1991) 1 WLR 884</w:t>
      </w:r>
    </w:p>
    <w:p w14:paraId="266F8FC1" w14:textId="77777777" w:rsidR="0060504B" w:rsidRDefault="0060504B" w:rsidP="00E36805"/>
    <w:p w14:paraId="75A8173E" w14:textId="003FB0D5" w:rsidR="00E36805" w:rsidRDefault="00000137" w:rsidP="00E36805">
      <w:r>
        <w:t>R v Church</w:t>
      </w:r>
      <w:r w:rsidR="00717416">
        <w:t xml:space="preserve"> (1965)</w:t>
      </w:r>
      <w:r>
        <w:t xml:space="preserve"> 2 WLR 1220</w:t>
      </w:r>
    </w:p>
    <w:p w14:paraId="06528BA2" w14:textId="27C37F40" w:rsidR="00C117C2" w:rsidRDefault="00C117C2" w:rsidP="00E36805"/>
    <w:p w14:paraId="4249F13E" w14:textId="579A1C30" w:rsidR="00717416" w:rsidRDefault="00000137" w:rsidP="00E36805">
      <w:r>
        <w:t>R v Cunningham (1957) 2 QB 396</w:t>
      </w:r>
    </w:p>
    <w:p w14:paraId="4E38552C" w14:textId="4E886A94" w:rsidR="000D57E9" w:rsidRDefault="000D57E9" w:rsidP="00E36805"/>
    <w:p w14:paraId="626D8CE6" w14:textId="2E16F08F" w:rsidR="00107261" w:rsidRDefault="00000137" w:rsidP="00E36805">
      <w:r>
        <w:t>R v Venna (1975) QB 421</w:t>
      </w:r>
    </w:p>
    <w:p w14:paraId="411773BE" w14:textId="3BC0190A" w:rsidR="00C54B18" w:rsidRDefault="00C54B18" w:rsidP="00E36805"/>
    <w:p w14:paraId="538D6661" w14:textId="39C095BA" w:rsidR="00C54B18" w:rsidRDefault="00000137" w:rsidP="00C54B18">
      <w:pPr>
        <w:jc w:val="both"/>
      </w:pPr>
      <w:r>
        <w:t>R v Vickers (1957) 2 QB 664</w:t>
      </w:r>
    </w:p>
    <w:p w14:paraId="51063835" w14:textId="77777777" w:rsidR="00107261" w:rsidRDefault="00107261" w:rsidP="00E36805"/>
    <w:p w14:paraId="37186A64" w14:textId="719890BC" w:rsidR="00D72B2E" w:rsidRDefault="00000137" w:rsidP="00E36805">
      <w:r>
        <w:t>R v Watson (1989) 2 ALL ER 865</w:t>
      </w:r>
    </w:p>
    <w:p w14:paraId="04F56952" w14:textId="75C77831" w:rsidR="00D72B2E" w:rsidRDefault="00D72B2E" w:rsidP="00E36805"/>
    <w:p w14:paraId="005AE811" w14:textId="6B34AA31" w:rsidR="00714EB0" w:rsidRDefault="00000137" w:rsidP="00E36805">
      <w:r>
        <w:t>R v Woollin (1999) AC 82</w:t>
      </w:r>
    </w:p>
    <w:p w14:paraId="6141C5B2" w14:textId="4C9098FD" w:rsidR="00E36805" w:rsidRPr="00E36805" w:rsidRDefault="00E36805" w:rsidP="00692A6E">
      <w:pPr>
        <w:jc w:val="both"/>
      </w:pPr>
    </w:p>
    <w:p w14:paraId="3926F05E" w14:textId="77777777" w:rsidR="00085F1F" w:rsidRDefault="00085F1F" w:rsidP="00692A6E">
      <w:pPr>
        <w:jc w:val="both"/>
      </w:pPr>
    </w:p>
    <w:p w14:paraId="71388321" w14:textId="77777777" w:rsidR="00547EB9" w:rsidRPr="00692A6E" w:rsidRDefault="00547EB9" w:rsidP="00692A6E">
      <w:pPr>
        <w:jc w:val="both"/>
      </w:pPr>
    </w:p>
    <w:p w14:paraId="0621BEC6" w14:textId="76398C83" w:rsidR="00692A6E" w:rsidRDefault="00692A6E" w:rsidP="00692A6E">
      <w:pPr>
        <w:jc w:val="center"/>
        <w:rPr>
          <w:b/>
          <w:bCs/>
          <w:u w:val="single"/>
        </w:rPr>
      </w:pPr>
    </w:p>
    <w:p w14:paraId="18D077F3" w14:textId="10967095" w:rsidR="0098578B" w:rsidRDefault="0098578B" w:rsidP="00692A6E">
      <w:pPr>
        <w:jc w:val="center"/>
        <w:rPr>
          <w:b/>
          <w:bCs/>
          <w:u w:val="single"/>
        </w:rPr>
      </w:pPr>
    </w:p>
    <w:p w14:paraId="7669CCA8" w14:textId="53DD42A4" w:rsidR="0098578B" w:rsidRDefault="0098578B" w:rsidP="00692A6E">
      <w:pPr>
        <w:jc w:val="center"/>
        <w:rPr>
          <w:b/>
          <w:bCs/>
          <w:u w:val="single"/>
        </w:rPr>
      </w:pPr>
    </w:p>
    <w:p w14:paraId="6A525FEC" w14:textId="7536D279" w:rsidR="0098578B" w:rsidRDefault="0098578B" w:rsidP="00692A6E">
      <w:pPr>
        <w:jc w:val="center"/>
        <w:rPr>
          <w:b/>
          <w:bCs/>
          <w:u w:val="single"/>
        </w:rPr>
      </w:pPr>
    </w:p>
    <w:p w14:paraId="533561D2" w14:textId="41F6847D" w:rsidR="0098578B" w:rsidRDefault="0098578B" w:rsidP="00692A6E">
      <w:pPr>
        <w:jc w:val="center"/>
        <w:rPr>
          <w:b/>
          <w:bCs/>
          <w:u w:val="single"/>
        </w:rPr>
      </w:pPr>
    </w:p>
    <w:p w14:paraId="29458907" w14:textId="6BA68E4F" w:rsidR="0098578B" w:rsidRDefault="0098578B" w:rsidP="00692A6E">
      <w:pPr>
        <w:jc w:val="center"/>
        <w:rPr>
          <w:b/>
          <w:bCs/>
          <w:u w:val="single"/>
        </w:rPr>
      </w:pPr>
    </w:p>
    <w:p w14:paraId="6FAE5273" w14:textId="0D9DF965" w:rsidR="0098578B" w:rsidRDefault="0098578B" w:rsidP="00692A6E">
      <w:pPr>
        <w:jc w:val="center"/>
        <w:rPr>
          <w:b/>
          <w:bCs/>
          <w:u w:val="single"/>
        </w:rPr>
      </w:pPr>
    </w:p>
    <w:p w14:paraId="007555A9" w14:textId="3063F030" w:rsidR="0098578B" w:rsidRDefault="0098578B" w:rsidP="00692A6E">
      <w:pPr>
        <w:jc w:val="center"/>
        <w:rPr>
          <w:b/>
          <w:bCs/>
          <w:u w:val="single"/>
        </w:rPr>
      </w:pPr>
    </w:p>
    <w:p w14:paraId="05023955" w14:textId="415E3354" w:rsidR="0098578B" w:rsidRDefault="0098578B" w:rsidP="00692A6E">
      <w:pPr>
        <w:jc w:val="center"/>
        <w:rPr>
          <w:b/>
          <w:bCs/>
          <w:u w:val="single"/>
        </w:rPr>
      </w:pPr>
    </w:p>
    <w:p w14:paraId="55E3FD9C" w14:textId="268534F9" w:rsidR="0098578B" w:rsidRDefault="0098578B" w:rsidP="00692A6E">
      <w:pPr>
        <w:jc w:val="center"/>
        <w:rPr>
          <w:b/>
          <w:bCs/>
          <w:u w:val="single"/>
        </w:rPr>
      </w:pPr>
    </w:p>
    <w:p w14:paraId="5F4DEC21" w14:textId="4B688641" w:rsidR="0098578B" w:rsidRDefault="0098578B" w:rsidP="00692A6E">
      <w:pPr>
        <w:jc w:val="center"/>
        <w:rPr>
          <w:b/>
          <w:bCs/>
          <w:u w:val="single"/>
        </w:rPr>
      </w:pPr>
    </w:p>
    <w:p w14:paraId="03F34468" w14:textId="269406A0" w:rsidR="0098578B" w:rsidRDefault="0098578B" w:rsidP="00692A6E">
      <w:pPr>
        <w:jc w:val="center"/>
        <w:rPr>
          <w:b/>
          <w:bCs/>
          <w:u w:val="single"/>
        </w:rPr>
      </w:pPr>
    </w:p>
    <w:p w14:paraId="17CEEE7C" w14:textId="789FD406" w:rsidR="0098578B" w:rsidRDefault="0098578B" w:rsidP="00692A6E">
      <w:pPr>
        <w:jc w:val="center"/>
        <w:rPr>
          <w:b/>
          <w:bCs/>
          <w:u w:val="single"/>
        </w:rPr>
      </w:pPr>
    </w:p>
    <w:p w14:paraId="2695E73D" w14:textId="5FD4C8C7" w:rsidR="0098578B" w:rsidRDefault="0098578B" w:rsidP="00692A6E">
      <w:pPr>
        <w:jc w:val="center"/>
        <w:rPr>
          <w:b/>
          <w:bCs/>
          <w:u w:val="single"/>
        </w:rPr>
      </w:pPr>
    </w:p>
    <w:p w14:paraId="01276E49" w14:textId="60BEA0E3" w:rsidR="0098578B" w:rsidRDefault="0098578B" w:rsidP="00692A6E">
      <w:pPr>
        <w:jc w:val="center"/>
        <w:rPr>
          <w:b/>
          <w:bCs/>
          <w:u w:val="single"/>
        </w:rPr>
      </w:pPr>
    </w:p>
    <w:p w14:paraId="0C2F116A" w14:textId="04BBD27F" w:rsidR="0098578B" w:rsidRDefault="0098578B" w:rsidP="00692A6E">
      <w:pPr>
        <w:jc w:val="center"/>
        <w:rPr>
          <w:b/>
          <w:bCs/>
          <w:u w:val="single"/>
        </w:rPr>
      </w:pPr>
    </w:p>
    <w:p w14:paraId="34871473" w14:textId="3D28501A" w:rsidR="0098578B" w:rsidRDefault="0098578B" w:rsidP="00692A6E">
      <w:pPr>
        <w:jc w:val="center"/>
        <w:rPr>
          <w:b/>
          <w:bCs/>
          <w:u w:val="single"/>
        </w:rPr>
      </w:pPr>
    </w:p>
    <w:p w14:paraId="4E95C47E" w14:textId="62A007D0" w:rsidR="0098578B" w:rsidRDefault="0098578B" w:rsidP="00692A6E">
      <w:pPr>
        <w:jc w:val="center"/>
        <w:rPr>
          <w:b/>
          <w:bCs/>
          <w:u w:val="single"/>
        </w:rPr>
      </w:pPr>
    </w:p>
    <w:p w14:paraId="3058A1F0" w14:textId="534932D4" w:rsidR="0098578B" w:rsidRDefault="0098578B" w:rsidP="00692A6E">
      <w:pPr>
        <w:jc w:val="center"/>
        <w:rPr>
          <w:b/>
          <w:bCs/>
          <w:u w:val="single"/>
        </w:rPr>
      </w:pPr>
    </w:p>
    <w:p w14:paraId="3A2FC329" w14:textId="555ED50F" w:rsidR="0098578B" w:rsidRDefault="0098578B" w:rsidP="00692A6E">
      <w:pPr>
        <w:jc w:val="center"/>
        <w:rPr>
          <w:b/>
          <w:bCs/>
          <w:u w:val="single"/>
        </w:rPr>
      </w:pPr>
    </w:p>
    <w:p w14:paraId="32208022" w14:textId="23E07078" w:rsidR="0098578B" w:rsidRDefault="0098578B" w:rsidP="00692A6E">
      <w:pPr>
        <w:jc w:val="center"/>
        <w:rPr>
          <w:b/>
          <w:bCs/>
          <w:u w:val="single"/>
        </w:rPr>
      </w:pPr>
    </w:p>
    <w:p w14:paraId="74477672" w14:textId="7497DEDC" w:rsidR="0098578B" w:rsidRDefault="0098578B" w:rsidP="00692A6E">
      <w:pPr>
        <w:jc w:val="center"/>
        <w:rPr>
          <w:b/>
          <w:bCs/>
          <w:u w:val="single"/>
        </w:rPr>
      </w:pPr>
    </w:p>
    <w:p w14:paraId="014D8A0C" w14:textId="16B5A609" w:rsidR="0098578B" w:rsidRDefault="0098578B" w:rsidP="00692A6E">
      <w:pPr>
        <w:jc w:val="center"/>
        <w:rPr>
          <w:b/>
          <w:bCs/>
          <w:u w:val="single"/>
        </w:rPr>
      </w:pPr>
    </w:p>
    <w:p w14:paraId="51AF592C" w14:textId="4EFCD146" w:rsidR="0098578B" w:rsidRDefault="0098578B" w:rsidP="00692A6E">
      <w:pPr>
        <w:jc w:val="center"/>
        <w:rPr>
          <w:b/>
          <w:bCs/>
          <w:u w:val="single"/>
        </w:rPr>
      </w:pPr>
    </w:p>
    <w:p w14:paraId="53F55C52" w14:textId="06E3933A" w:rsidR="0098578B" w:rsidRDefault="0098578B" w:rsidP="00692A6E">
      <w:pPr>
        <w:jc w:val="center"/>
        <w:rPr>
          <w:b/>
          <w:bCs/>
          <w:u w:val="single"/>
        </w:rPr>
      </w:pPr>
    </w:p>
    <w:p w14:paraId="6393DEF3" w14:textId="3ADD0A09" w:rsidR="0098578B" w:rsidRDefault="0098578B" w:rsidP="00692A6E">
      <w:pPr>
        <w:jc w:val="center"/>
        <w:rPr>
          <w:b/>
          <w:bCs/>
          <w:u w:val="single"/>
        </w:rPr>
      </w:pPr>
    </w:p>
    <w:p w14:paraId="4CD6DB7A" w14:textId="69AEB9D9" w:rsidR="0098578B" w:rsidRDefault="0098578B" w:rsidP="00692A6E">
      <w:pPr>
        <w:jc w:val="center"/>
        <w:rPr>
          <w:b/>
          <w:bCs/>
          <w:u w:val="single"/>
        </w:rPr>
      </w:pPr>
    </w:p>
    <w:p w14:paraId="6F1CB490" w14:textId="3B47E662" w:rsidR="0098578B" w:rsidRDefault="0098578B" w:rsidP="00692A6E">
      <w:pPr>
        <w:jc w:val="center"/>
        <w:rPr>
          <w:b/>
          <w:bCs/>
          <w:u w:val="single"/>
        </w:rPr>
      </w:pPr>
    </w:p>
    <w:p w14:paraId="505E10FF" w14:textId="43BEE6D8" w:rsidR="0098578B" w:rsidRDefault="0098578B" w:rsidP="00692A6E">
      <w:pPr>
        <w:jc w:val="center"/>
        <w:rPr>
          <w:b/>
          <w:bCs/>
          <w:u w:val="single"/>
        </w:rPr>
      </w:pPr>
    </w:p>
    <w:p w14:paraId="0DAACF01" w14:textId="6CD4075E" w:rsidR="0098578B" w:rsidRDefault="0098578B" w:rsidP="00692A6E">
      <w:pPr>
        <w:jc w:val="center"/>
        <w:rPr>
          <w:b/>
          <w:bCs/>
          <w:u w:val="single"/>
        </w:rPr>
      </w:pPr>
    </w:p>
    <w:p w14:paraId="1D2B8F38" w14:textId="2B222ABE" w:rsidR="0098578B" w:rsidRDefault="0098578B" w:rsidP="00692A6E">
      <w:pPr>
        <w:jc w:val="center"/>
        <w:rPr>
          <w:b/>
          <w:bCs/>
          <w:u w:val="single"/>
        </w:rPr>
      </w:pPr>
    </w:p>
    <w:p w14:paraId="58CE74DE" w14:textId="03664B2F" w:rsidR="0098578B" w:rsidRDefault="0098578B" w:rsidP="00692A6E">
      <w:pPr>
        <w:jc w:val="center"/>
        <w:rPr>
          <w:b/>
          <w:bCs/>
          <w:u w:val="single"/>
        </w:rPr>
      </w:pPr>
    </w:p>
    <w:p w14:paraId="5BFBF432" w14:textId="77777777" w:rsidR="0098578B" w:rsidRPr="00AE0DCF" w:rsidRDefault="0098578B" w:rsidP="00D22677">
      <w:pPr>
        <w:jc w:val="center"/>
        <w:rPr>
          <w:rFonts w:asciiTheme="majorHAnsi" w:hAnsiTheme="majorHAnsi" w:cstheme="majorHAnsi"/>
          <w:b/>
          <w:bCs/>
          <w:u w:val="single"/>
        </w:rPr>
      </w:pPr>
      <w:r w:rsidRPr="00AE0DCF">
        <w:rPr>
          <w:rFonts w:asciiTheme="majorHAnsi" w:hAnsiTheme="majorHAnsi" w:cstheme="majorHAnsi"/>
          <w:b/>
          <w:bCs/>
          <w:u w:val="single"/>
        </w:rPr>
        <w:t>INSANITY ESSAY</w:t>
      </w:r>
    </w:p>
    <w:p w14:paraId="6BD40E49" w14:textId="77777777" w:rsidR="0098578B" w:rsidRPr="00AE0DCF" w:rsidRDefault="0098578B" w:rsidP="0098578B">
      <w:pPr>
        <w:jc w:val="center"/>
        <w:rPr>
          <w:rFonts w:asciiTheme="majorHAnsi" w:hAnsiTheme="majorHAnsi" w:cstheme="majorHAnsi"/>
          <w:b/>
          <w:bCs/>
          <w:u w:val="single"/>
        </w:rPr>
      </w:pPr>
    </w:p>
    <w:p w14:paraId="4134E47B" w14:textId="77777777" w:rsidR="0098578B" w:rsidRDefault="0098578B" w:rsidP="0098578B">
      <w:pPr>
        <w:spacing w:line="480" w:lineRule="auto"/>
        <w:rPr>
          <w:rFonts w:asciiTheme="majorHAnsi" w:hAnsiTheme="majorHAnsi" w:cstheme="majorHAnsi"/>
        </w:rPr>
      </w:pPr>
      <w:r w:rsidRPr="00AE0DCF">
        <w:rPr>
          <w:rFonts w:asciiTheme="majorHAnsi" w:hAnsiTheme="majorHAnsi" w:cstheme="majorHAnsi"/>
        </w:rPr>
        <w:t>Insanity when applied as a defence suggests that the defendant would not have been responsible for their crimes at the time, they were committed arising from a mental disease preventing the defendant from knowing what he or she did was wrong</w:t>
      </w:r>
      <w:r>
        <w:rPr>
          <w:rFonts w:asciiTheme="majorHAnsi" w:hAnsiTheme="majorHAnsi" w:cstheme="majorHAnsi"/>
        </w:rPr>
        <w:t>. The defence of insanity has faced some criticism stating that it is outdated and fails to reflect on modern psychiatric views of mental disorders (The Law Commission, 2013).</w:t>
      </w:r>
    </w:p>
    <w:p w14:paraId="252E1422" w14:textId="77777777" w:rsidR="0098578B" w:rsidRDefault="0098578B" w:rsidP="0098578B">
      <w:pPr>
        <w:spacing w:line="480" w:lineRule="auto"/>
        <w:rPr>
          <w:rFonts w:asciiTheme="majorHAnsi" w:hAnsiTheme="majorHAnsi" w:cstheme="majorHAnsi"/>
        </w:rPr>
      </w:pPr>
    </w:p>
    <w:p w14:paraId="73C720D5"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It has been noted that the defence of insanity is rarely used, and the crown court will only hear approximately thirty successful insanity pleas throughout the year another closely related defence to insanity is one of automatism (The Law Commission, 2013).</w:t>
      </w:r>
    </w:p>
    <w:p w14:paraId="39438C55"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Automatism as a defence states that the defendant must suffer a complete loss of control or consciousness at the time of the offence, for automatism to apply there will need to be some form of an external element that must not be self-induced the defendant would need to prove that they were unaware of any risk factors that could affect their behaviour therefore unable to prevent such changes for automatism to be used as a defence otherwise would face acquittal as can be seen in the case of Broome v Perkins (1987). </w:t>
      </w:r>
    </w:p>
    <w:p w14:paraId="6F6B6394" w14:textId="77777777" w:rsidR="0098578B" w:rsidRDefault="0098578B" w:rsidP="0098578B">
      <w:pPr>
        <w:spacing w:line="480" w:lineRule="auto"/>
        <w:rPr>
          <w:rFonts w:asciiTheme="majorHAnsi" w:hAnsiTheme="majorHAnsi" w:cstheme="majorHAnsi"/>
        </w:rPr>
      </w:pPr>
    </w:p>
    <w:p w14:paraId="05D828A5" w14:textId="77777777" w:rsidR="0098578B" w:rsidRPr="00AE0DCF" w:rsidRDefault="0098578B" w:rsidP="0098578B">
      <w:pPr>
        <w:spacing w:line="480" w:lineRule="auto"/>
        <w:rPr>
          <w:rFonts w:asciiTheme="majorHAnsi" w:hAnsiTheme="majorHAnsi" w:cstheme="majorHAnsi"/>
        </w:rPr>
      </w:pPr>
      <w:r>
        <w:rPr>
          <w:rFonts w:asciiTheme="majorHAnsi" w:hAnsiTheme="majorHAnsi" w:cstheme="majorHAnsi"/>
        </w:rPr>
        <w:t xml:space="preserve">The distinction between insanity and automatism lies with internal and external causes, with the defence of automatism reliant on an external element to be present to have affected the defendant’s actions, and insanity having a purely internal explanation for loss of control.  This distinction could create issues in determining sentences of defendants who are deemed insane automatons however do not suffer from a medically accepted mental disorder (The Open University, 2016). An example of this can be seen in the case of R v Quick (1973). </w:t>
      </w:r>
    </w:p>
    <w:p w14:paraId="509BE96E" w14:textId="77777777" w:rsidR="0098578B" w:rsidRDefault="0098578B" w:rsidP="0098578B">
      <w:pPr>
        <w:spacing w:line="480" w:lineRule="auto"/>
        <w:rPr>
          <w:rFonts w:asciiTheme="majorHAnsi" w:hAnsiTheme="majorHAnsi" w:cstheme="majorHAnsi"/>
        </w:rPr>
      </w:pPr>
    </w:p>
    <w:p w14:paraId="0856F03D" w14:textId="77777777" w:rsidR="0098578B" w:rsidRDefault="0098578B" w:rsidP="0098578B">
      <w:pPr>
        <w:spacing w:line="480" w:lineRule="auto"/>
        <w:rPr>
          <w:rFonts w:asciiTheme="majorHAnsi" w:hAnsiTheme="majorHAnsi" w:cstheme="majorHAnsi"/>
        </w:rPr>
      </w:pPr>
      <w:r w:rsidRPr="00AE0DCF">
        <w:rPr>
          <w:rFonts w:asciiTheme="majorHAnsi" w:hAnsiTheme="majorHAnsi" w:cstheme="majorHAnsi"/>
        </w:rPr>
        <w:t xml:space="preserve">The law on insanity is largely determined by the </w:t>
      </w:r>
      <w:proofErr w:type="spellStart"/>
      <w:r w:rsidRPr="00AE0DCF">
        <w:rPr>
          <w:rFonts w:asciiTheme="majorHAnsi" w:hAnsiTheme="majorHAnsi" w:cstheme="majorHAnsi"/>
        </w:rPr>
        <w:t>M’Naghten</w:t>
      </w:r>
      <w:proofErr w:type="spellEnd"/>
      <w:r w:rsidRPr="00AE0DCF">
        <w:rPr>
          <w:rFonts w:asciiTheme="majorHAnsi" w:hAnsiTheme="majorHAnsi" w:cstheme="majorHAnsi"/>
        </w:rPr>
        <w:t xml:space="preserve"> Rules, these are a set of rules that were formulated by judges</w:t>
      </w:r>
      <w:r>
        <w:rPr>
          <w:rFonts w:asciiTheme="majorHAnsi" w:hAnsiTheme="majorHAnsi" w:cstheme="majorHAnsi"/>
        </w:rPr>
        <w:t xml:space="preserve"> after the trial of Daniel </w:t>
      </w:r>
      <w:proofErr w:type="spellStart"/>
      <w:r>
        <w:rPr>
          <w:rFonts w:asciiTheme="majorHAnsi" w:hAnsiTheme="majorHAnsi" w:cstheme="majorHAnsi"/>
        </w:rPr>
        <w:t>M’naghten</w:t>
      </w:r>
      <w:proofErr w:type="spellEnd"/>
      <w:r w:rsidRPr="00AE0DCF">
        <w:rPr>
          <w:rFonts w:asciiTheme="majorHAnsi" w:hAnsiTheme="majorHAnsi" w:cstheme="majorHAnsi"/>
        </w:rPr>
        <w:t xml:space="preserve"> (R v </w:t>
      </w:r>
      <w:proofErr w:type="spellStart"/>
      <w:r w:rsidRPr="00AE0DCF">
        <w:rPr>
          <w:rFonts w:asciiTheme="majorHAnsi" w:hAnsiTheme="majorHAnsi" w:cstheme="majorHAnsi"/>
        </w:rPr>
        <w:t>M’Naghten</w:t>
      </w:r>
      <w:proofErr w:type="spellEnd"/>
      <w:r w:rsidRPr="00AE0DCF">
        <w:rPr>
          <w:rFonts w:asciiTheme="majorHAnsi" w:hAnsiTheme="majorHAnsi" w:cstheme="majorHAnsi"/>
        </w:rPr>
        <w:t xml:space="preserve"> (1843). </w:t>
      </w:r>
      <w:r>
        <w:rPr>
          <w:rFonts w:asciiTheme="majorHAnsi" w:hAnsiTheme="majorHAnsi" w:cstheme="majorHAnsi"/>
        </w:rPr>
        <w:t xml:space="preserve">According to the </w:t>
      </w:r>
      <w:proofErr w:type="spellStart"/>
      <w:r>
        <w:rPr>
          <w:rFonts w:asciiTheme="majorHAnsi" w:hAnsiTheme="majorHAnsi" w:cstheme="majorHAnsi"/>
        </w:rPr>
        <w:t>M’Naghten</w:t>
      </w:r>
      <w:proofErr w:type="spellEnd"/>
      <w:r>
        <w:rPr>
          <w:rFonts w:asciiTheme="majorHAnsi" w:hAnsiTheme="majorHAnsi" w:cstheme="majorHAnsi"/>
        </w:rPr>
        <w:t xml:space="preserve"> rules as set by the House of Lords in 1843 for a successful defence of insanity, it must be proved </w:t>
      </w:r>
      <w:r>
        <w:rPr>
          <w:rFonts w:asciiTheme="majorHAnsi" w:hAnsiTheme="majorHAnsi" w:cstheme="majorHAnsi"/>
        </w:rPr>
        <w:lastRenderedPageBreak/>
        <w:t xml:space="preserve">that the defendant was acting under a defect of reason from a disease of the mind and did not know what he or she was doing was wrong at the time of committing the act (R v Clarke (1972)). </w:t>
      </w:r>
    </w:p>
    <w:p w14:paraId="0A4B0E62" w14:textId="77777777" w:rsidR="0098578B" w:rsidRDefault="0098578B" w:rsidP="0098578B">
      <w:pPr>
        <w:spacing w:line="480" w:lineRule="auto"/>
        <w:rPr>
          <w:rFonts w:asciiTheme="majorHAnsi" w:hAnsiTheme="majorHAnsi" w:cstheme="majorHAnsi"/>
        </w:rPr>
      </w:pPr>
    </w:p>
    <w:p w14:paraId="7C737E3E"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In the report published by the Law Commission, it states that terms such as 'insanity' and 'disease of the mind' are not medical terms but outdated legal terms and does not relate in any way to the practice of psychiatry causing discussions about how relevant the </w:t>
      </w:r>
      <w:proofErr w:type="spellStart"/>
      <w:r>
        <w:rPr>
          <w:rFonts w:asciiTheme="majorHAnsi" w:hAnsiTheme="majorHAnsi" w:cstheme="majorHAnsi"/>
        </w:rPr>
        <w:t>M’Naghten</w:t>
      </w:r>
      <w:proofErr w:type="spellEnd"/>
      <w:r>
        <w:rPr>
          <w:rFonts w:asciiTheme="majorHAnsi" w:hAnsiTheme="majorHAnsi" w:cstheme="majorHAnsi"/>
        </w:rPr>
        <w:t xml:space="preserve"> rules are when relaying the understanding of a clinical situation in court. For the last sixty years, there have been calls for reform of the </w:t>
      </w:r>
      <w:proofErr w:type="spellStart"/>
      <w:r>
        <w:rPr>
          <w:rFonts w:asciiTheme="majorHAnsi" w:hAnsiTheme="majorHAnsi" w:cstheme="majorHAnsi"/>
        </w:rPr>
        <w:t>M’Naghten</w:t>
      </w:r>
      <w:proofErr w:type="spellEnd"/>
      <w:r>
        <w:rPr>
          <w:rFonts w:asciiTheme="majorHAnsi" w:hAnsiTheme="majorHAnsi" w:cstheme="majorHAnsi"/>
        </w:rPr>
        <w:t xml:space="preserve"> rules to be updated in line with modern medical knowledge. </w:t>
      </w:r>
    </w:p>
    <w:p w14:paraId="75BF1D03"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The term ‘disease of the mind’ can be defined as any disease that affects the functioning of the brain, that could affect how the person comprehends a situation or their memory and also a person’s reasoning ability an example of a situation where the term disease of the mind was used in a case that the defendant claimed to be not guilty by reason of insanity in which it was upheld that arteriosclerosis constitutes as a disease of the mind can be seen in the case of R v Kemp (1957). </w:t>
      </w:r>
    </w:p>
    <w:p w14:paraId="3FC8EC1C"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Furthermore, the critique goes on to state that the term ‘insanity’ isn’t always recommended by legal professionals, inclusive of the broad nature of the term ‘disease of the mind’ which could include defendants that suffer from diabetes or epilepsy being classified as ‘insane’ (The Law Commission, 2013, p.11).  This can be seen in the case of R v Hennessy (1989) in which it was held that hyperglycaemia suffered by diabetics which had not been corrected by insulin a disease of the body that affected the mind which in turn falls under within the </w:t>
      </w:r>
      <w:proofErr w:type="spellStart"/>
      <w:r>
        <w:rPr>
          <w:rFonts w:asciiTheme="majorHAnsi" w:hAnsiTheme="majorHAnsi" w:cstheme="majorHAnsi"/>
        </w:rPr>
        <w:t>M’Naghten</w:t>
      </w:r>
      <w:proofErr w:type="spellEnd"/>
      <w:r>
        <w:rPr>
          <w:rFonts w:asciiTheme="majorHAnsi" w:hAnsiTheme="majorHAnsi" w:cstheme="majorHAnsi"/>
        </w:rPr>
        <w:t xml:space="preserve"> rules, a similar case would be R v Quick (1973). </w:t>
      </w:r>
    </w:p>
    <w:p w14:paraId="1A16B6EE" w14:textId="77777777" w:rsidR="0098578B" w:rsidRDefault="0098578B" w:rsidP="0098578B">
      <w:pPr>
        <w:spacing w:line="480" w:lineRule="auto"/>
        <w:rPr>
          <w:rFonts w:asciiTheme="majorHAnsi" w:hAnsiTheme="majorHAnsi" w:cstheme="majorHAnsi"/>
        </w:rPr>
      </w:pPr>
    </w:p>
    <w:p w14:paraId="74748A3F"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The defect of reason with the defence of insanity would imply that the defendant did not know the nature or quality of their actions and was unaware that the act is wrong, it must be proven that they are unaware of the legal wrongdoing and not necessarily the just the moral wrongdoing. Therefore, the meaning of wrong was that the act was contrary to the law (R v Johnson, 2007). </w:t>
      </w:r>
    </w:p>
    <w:p w14:paraId="35E87F29"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The case of Johnson (2007) was the test of knowledge that despite Johnson being diagnosed as a paranoid schizophrenic it was shown in evidence that he was aware of his actions at the time, on appeal the </w:t>
      </w:r>
      <w:r>
        <w:rPr>
          <w:rFonts w:asciiTheme="majorHAnsi" w:hAnsiTheme="majorHAnsi" w:cstheme="majorHAnsi"/>
        </w:rPr>
        <w:lastRenderedPageBreak/>
        <w:t xml:space="preserve">defendant submitted that he should have been found not guilty by reason of insanity, it was later defined that the defence of insanity is not available where the accused knew what they were doing (R v Windle, 1952). However, it has been argued that the case of R v Windle (1952) has set an unduly restrictive test on which to consider the responsibility of the mentally disordered (The Law Commission, 2012). </w:t>
      </w:r>
    </w:p>
    <w:p w14:paraId="33630D81"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Introduced in section 2 of the Homicide Act 1957 is the plea of diminished responsibility was introduced; this would not be used as a defence to murder but a plea in mitigation which could see the charge reduced from murder to manslaughter if it could be proven that the defendant is found to have reduced responsibility due to an abnormality of the mind, from the introduction of the plea of diminished responsibility it allows for a defendant that has a medically recognised mental condition the right to absolve part of their liability to the criminal act arguably improving the law as the defence of insanity doesn't always recognise a 'disease of the mind' as a contributing factor (Homicide Act 1957) (R v </w:t>
      </w:r>
      <w:proofErr w:type="spellStart"/>
      <w:r>
        <w:rPr>
          <w:rFonts w:asciiTheme="majorHAnsi" w:hAnsiTheme="majorHAnsi" w:cstheme="majorHAnsi"/>
        </w:rPr>
        <w:t>Codere</w:t>
      </w:r>
      <w:proofErr w:type="spellEnd"/>
      <w:r>
        <w:rPr>
          <w:rFonts w:asciiTheme="majorHAnsi" w:hAnsiTheme="majorHAnsi" w:cstheme="majorHAnsi"/>
        </w:rPr>
        <w:t xml:space="preserve"> (1916)). The Homicide Act (1957) has been considerably reformed by the introduction of the Coroners and Justice act (2009) the new definition of the defence may prove more difficult to establish as the old defence stipulated in the Homicide Act (1957) provided flexibility to ensure those deserving of a defence were provided with one (Herring, 2014).</w:t>
      </w:r>
    </w:p>
    <w:p w14:paraId="7A09DDE2" w14:textId="77777777" w:rsidR="0098578B" w:rsidRDefault="0098578B" w:rsidP="0098578B">
      <w:pPr>
        <w:spacing w:line="480" w:lineRule="auto"/>
        <w:rPr>
          <w:rFonts w:asciiTheme="majorHAnsi" w:hAnsiTheme="majorHAnsi" w:cstheme="majorHAnsi"/>
        </w:rPr>
      </w:pPr>
    </w:p>
    <w:p w14:paraId="67922701" w14:textId="77777777" w:rsidR="0098578B" w:rsidRDefault="0098578B" w:rsidP="0098578B">
      <w:pPr>
        <w:spacing w:line="480" w:lineRule="auto"/>
        <w:rPr>
          <w:rFonts w:asciiTheme="majorHAnsi" w:hAnsiTheme="majorHAnsi" w:cstheme="majorHAnsi"/>
        </w:rPr>
      </w:pPr>
      <w:r>
        <w:rPr>
          <w:rFonts w:asciiTheme="majorHAnsi" w:hAnsiTheme="majorHAnsi" w:cstheme="majorHAnsi"/>
        </w:rPr>
        <w:t xml:space="preserve">The need for reform is widely supported as the current law could be argued as confusing to allow for a person with diabetes to be defined as insane but for a person that has been diagnosed with a mental disorder held liable due to evidence showing that they knew that such an act was a crime. The defence of insanity does not allow for a fair representation of those who have a mental condition to be held criminally liable and allows for those more vulnerable to be held in the penal system (The Open University, 2016). As stated by Lord Justice Latham ‘this leaves this area widely open to debate as there is room to reconsider the rules’ (The Law Commission, 2012). </w:t>
      </w:r>
    </w:p>
    <w:p w14:paraId="6CEF2D99" w14:textId="77777777" w:rsidR="0098578B" w:rsidRDefault="0098578B" w:rsidP="0098578B">
      <w:pPr>
        <w:spacing w:line="480" w:lineRule="auto"/>
        <w:rPr>
          <w:rFonts w:asciiTheme="majorHAnsi" w:hAnsiTheme="majorHAnsi" w:cstheme="majorHAnsi"/>
        </w:rPr>
      </w:pPr>
    </w:p>
    <w:p w14:paraId="2EB5376D" w14:textId="77777777" w:rsidR="0098578B" w:rsidRDefault="0098578B" w:rsidP="0098578B">
      <w:pPr>
        <w:spacing w:line="480" w:lineRule="auto"/>
        <w:rPr>
          <w:rFonts w:asciiTheme="majorHAnsi" w:hAnsiTheme="majorHAnsi" w:cstheme="majorHAnsi"/>
        </w:rPr>
      </w:pPr>
    </w:p>
    <w:p w14:paraId="791C195A" w14:textId="77777777" w:rsidR="0098578B" w:rsidRDefault="0098578B" w:rsidP="0098578B">
      <w:pPr>
        <w:spacing w:line="480" w:lineRule="auto"/>
        <w:rPr>
          <w:rFonts w:asciiTheme="majorHAnsi" w:hAnsiTheme="majorHAnsi" w:cstheme="majorHAnsi"/>
        </w:rPr>
      </w:pPr>
    </w:p>
    <w:p w14:paraId="01B11AC1" w14:textId="77777777" w:rsidR="0098578B" w:rsidRDefault="0098578B" w:rsidP="0098578B">
      <w:pPr>
        <w:jc w:val="both"/>
        <w:rPr>
          <w:b/>
          <w:bCs/>
          <w:u w:val="single"/>
        </w:rPr>
      </w:pPr>
      <w:r>
        <w:rPr>
          <w:b/>
          <w:bCs/>
          <w:u w:val="single"/>
        </w:rPr>
        <w:lastRenderedPageBreak/>
        <w:t>Reference list</w:t>
      </w:r>
    </w:p>
    <w:p w14:paraId="025C0A53" w14:textId="77777777" w:rsidR="0098578B" w:rsidRPr="00DF55FE" w:rsidRDefault="0098578B" w:rsidP="0098578B">
      <w:pPr>
        <w:jc w:val="both"/>
      </w:pPr>
    </w:p>
    <w:p w14:paraId="2004CC14" w14:textId="77777777" w:rsidR="0098578B" w:rsidRPr="00DF55FE" w:rsidRDefault="0098578B" w:rsidP="0098578B">
      <w:pPr>
        <w:jc w:val="both"/>
      </w:pPr>
      <w:r>
        <w:t xml:space="preserve">             Herring, J. (2014) </w:t>
      </w:r>
      <w:r>
        <w:rPr>
          <w:i/>
          <w:iCs/>
        </w:rPr>
        <w:t>Criminal Law Text, Cases and Materials.</w:t>
      </w:r>
      <w:r>
        <w:t xml:space="preserve"> 6</w:t>
      </w:r>
      <w:r w:rsidRPr="00EC2958">
        <w:rPr>
          <w:vertAlign w:val="superscript"/>
        </w:rPr>
        <w:t>th</w:t>
      </w:r>
      <w:r>
        <w:t xml:space="preserve"> </w:t>
      </w:r>
      <w:proofErr w:type="spellStart"/>
      <w:r>
        <w:t>edn</w:t>
      </w:r>
      <w:proofErr w:type="spellEnd"/>
      <w:r>
        <w:t>.</w:t>
      </w:r>
      <w:r>
        <w:rPr>
          <w:i/>
          <w:iCs/>
        </w:rPr>
        <w:t xml:space="preserve"> </w:t>
      </w:r>
      <w:r>
        <w:t>Oxford: Oxford University Press</w:t>
      </w:r>
    </w:p>
    <w:p w14:paraId="7315CF09" w14:textId="77777777" w:rsidR="0098578B" w:rsidRDefault="0098578B" w:rsidP="0098578B">
      <w:pPr>
        <w:jc w:val="both"/>
        <w:rPr>
          <w:b/>
          <w:bCs/>
          <w:u w:val="single"/>
        </w:rPr>
      </w:pPr>
    </w:p>
    <w:p w14:paraId="26B4722D" w14:textId="77777777" w:rsidR="0098578B" w:rsidRDefault="0098578B" w:rsidP="0098578B">
      <w:pPr>
        <w:pStyle w:val="ListParagraph"/>
        <w:numPr>
          <w:ilvl w:val="0"/>
          <w:numId w:val="1"/>
        </w:numPr>
        <w:jc w:val="both"/>
      </w:pPr>
      <w:r>
        <w:t xml:space="preserve">The Law Commission (2013) </w:t>
      </w:r>
      <w:r w:rsidRPr="00C97C97">
        <w:rPr>
          <w:i/>
          <w:iCs/>
        </w:rPr>
        <w:t xml:space="preserve">Criminal Liability: Insanity and Automatism. </w:t>
      </w:r>
      <w:r>
        <w:t xml:space="preserve">Available at: </w:t>
      </w:r>
      <w:hyperlink r:id="rId5" w:history="1">
        <w:r w:rsidRPr="00F17467">
          <w:rPr>
            <w:rStyle w:val="Hyperlink"/>
          </w:rPr>
          <w:t>http://www.lawcom.gov.uk/app/uploads/2015/06/insanity_discussion_summary.pdf</w:t>
        </w:r>
      </w:hyperlink>
      <w:r>
        <w:t xml:space="preserve"> (Accessed: 19</w:t>
      </w:r>
      <w:r w:rsidRPr="00C97C97">
        <w:rPr>
          <w:vertAlign w:val="superscript"/>
        </w:rPr>
        <w:t xml:space="preserve"> </w:t>
      </w:r>
      <w:r>
        <w:t xml:space="preserve">March 2021). </w:t>
      </w:r>
    </w:p>
    <w:p w14:paraId="738CDD05" w14:textId="77777777" w:rsidR="0098578B" w:rsidRDefault="0098578B" w:rsidP="0098578B">
      <w:pPr>
        <w:pStyle w:val="ListParagraph"/>
        <w:jc w:val="both"/>
      </w:pPr>
    </w:p>
    <w:p w14:paraId="7E07FD40" w14:textId="77777777" w:rsidR="0098578B" w:rsidRDefault="0098578B" w:rsidP="0098578B">
      <w:pPr>
        <w:pStyle w:val="ListParagraph"/>
        <w:numPr>
          <w:ilvl w:val="0"/>
          <w:numId w:val="1"/>
        </w:numPr>
        <w:jc w:val="both"/>
      </w:pPr>
      <w:r>
        <w:t xml:space="preserve">The Law Commission (2013) </w:t>
      </w:r>
      <w:r w:rsidRPr="005A17A3">
        <w:rPr>
          <w:i/>
          <w:iCs/>
        </w:rPr>
        <w:t xml:space="preserve">Criminal Liability: Insanity and Automatism. </w:t>
      </w:r>
      <w:r>
        <w:t xml:space="preserve">Available at: </w:t>
      </w:r>
      <w:hyperlink r:id="rId6" w:history="1">
        <w:r w:rsidRPr="00F17467">
          <w:rPr>
            <w:rStyle w:val="Hyperlink"/>
          </w:rPr>
          <w:t>http://www.lawcom.gov.uk/app/uploads/2015/06/insanity_discussion_summary.pdf</w:t>
        </w:r>
      </w:hyperlink>
      <w:r>
        <w:t xml:space="preserve"> (Accessed: 19</w:t>
      </w:r>
      <w:r w:rsidRPr="005A17A3">
        <w:rPr>
          <w:vertAlign w:val="superscript"/>
        </w:rPr>
        <w:t xml:space="preserve"> </w:t>
      </w:r>
      <w:r>
        <w:t xml:space="preserve">March 2021). </w:t>
      </w:r>
    </w:p>
    <w:p w14:paraId="138B8AF2" w14:textId="77777777" w:rsidR="0098578B" w:rsidRDefault="0098578B" w:rsidP="0098578B">
      <w:pPr>
        <w:jc w:val="both"/>
      </w:pPr>
    </w:p>
    <w:p w14:paraId="6B5E21C8" w14:textId="77777777" w:rsidR="0098578B" w:rsidRPr="008627CA" w:rsidRDefault="0098578B" w:rsidP="0098578B">
      <w:pPr>
        <w:pStyle w:val="ListParagraph"/>
        <w:jc w:val="both"/>
      </w:pPr>
    </w:p>
    <w:p w14:paraId="1542D485" w14:textId="77777777" w:rsidR="0098578B" w:rsidRPr="008627CA" w:rsidRDefault="0098578B" w:rsidP="0098578B">
      <w:pPr>
        <w:pStyle w:val="ListParagraph"/>
        <w:numPr>
          <w:ilvl w:val="0"/>
          <w:numId w:val="1"/>
        </w:numPr>
        <w:jc w:val="both"/>
      </w:pPr>
      <w:r>
        <w:t xml:space="preserve">The Law Commission (2013) </w:t>
      </w:r>
      <w:r w:rsidRPr="00C97C97">
        <w:rPr>
          <w:i/>
          <w:iCs/>
        </w:rPr>
        <w:t>Criminal Liability: Insanity and Automatism</w:t>
      </w:r>
      <w:r>
        <w:rPr>
          <w:i/>
          <w:iCs/>
        </w:rPr>
        <w:t xml:space="preserve">, </w:t>
      </w:r>
      <w:r>
        <w:t>p.11.</w:t>
      </w:r>
      <w:r w:rsidRPr="00C97C97">
        <w:rPr>
          <w:i/>
          <w:iCs/>
        </w:rPr>
        <w:t xml:space="preserve"> </w:t>
      </w:r>
      <w:r>
        <w:t xml:space="preserve">Available at: </w:t>
      </w:r>
      <w:hyperlink r:id="rId7" w:history="1">
        <w:r w:rsidRPr="00F17467">
          <w:rPr>
            <w:rStyle w:val="Hyperlink"/>
          </w:rPr>
          <w:t>http://www.lawcom.gov.uk/app/uploads/2015/06/insanity_discussion_summary.pdf</w:t>
        </w:r>
      </w:hyperlink>
      <w:r>
        <w:t xml:space="preserve"> (Accessed: 19</w:t>
      </w:r>
      <w:r w:rsidRPr="00C97C97">
        <w:rPr>
          <w:vertAlign w:val="superscript"/>
        </w:rPr>
        <w:t xml:space="preserve"> </w:t>
      </w:r>
      <w:r>
        <w:t xml:space="preserve">March 2021). </w:t>
      </w:r>
    </w:p>
    <w:p w14:paraId="3FDFA44B" w14:textId="77777777" w:rsidR="0098578B" w:rsidRDefault="0098578B" w:rsidP="0098578B">
      <w:pPr>
        <w:pStyle w:val="ListParagraph"/>
        <w:jc w:val="both"/>
        <w:rPr>
          <w:b/>
          <w:bCs/>
          <w:u w:val="single"/>
        </w:rPr>
      </w:pPr>
    </w:p>
    <w:p w14:paraId="01AEB102" w14:textId="77777777" w:rsidR="0098578B" w:rsidRDefault="0098578B" w:rsidP="0098578B">
      <w:pPr>
        <w:pStyle w:val="ListParagraph"/>
        <w:numPr>
          <w:ilvl w:val="0"/>
          <w:numId w:val="2"/>
        </w:numPr>
        <w:jc w:val="both"/>
      </w:pPr>
      <w:r>
        <w:t xml:space="preserve">The Law Commission (2012) </w:t>
      </w:r>
      <w:r w:rsidRPr="001B55AD">
        <w:rPr>
          <w:i/>
          <w:iCs/>
        </w:rPr>
        <w:t xml:space="preserve">Insanity and Automatism Supplementary Material to the Scoping Paper, </w:t>
      </w:r>
      <w:r>
        <w:t xml:space="preserve">Available at: </w:t>
      </w:r>
      <w:hyperlink r:id="rId8" w:history="1">
        <w:r w:rsidRPr="00F17467">
          <w:rPr>
            <w:rStyle w:val="Hyperlink"/>
          </w:rPr>
          <w:t>https://consult.justice.gov.uk/law-commission/insanity-and-automatism/user_uploads/insanity_scoping_supplementary.pdf-1</w:t>
        </w:r>
      </w:hyperlink>
      <w:r>
        <w:t xml:space="preserve"> (Accessed: 8 April 2021). </w:t>
      </w:r>
    </w:p>
    <w:p w14:paraId="25C95273" w14:textId="77777777" w:rsidR="0098578B" w:rsidRDefault="0098578B" w:rsidP="0098578B">
      <w:pPr>
        <w:pStyle w:val="ListParagraph"/>
        <w:jc w:val="both"/>
      </w:pPr>
    </w:p>
    <w:p w14:paraId="376CCC83" w14:textId="77777777" w:rsidR="0098578B" w:rsidRDefault="0098578B" w:rsidP="0098578B">
      <w:pPr>
        <w:pStyle w:val="ListParagraph"/>
        <w:numPr>
          <w:ilvl w:val="0"/>
          <w:numId w:val="2"/>
        </w:numPr>
        <w:jc w:val="both"/>
      </w:pPr>
      <w:r>
        <w:t xml:space="preserve">The Law Commission (2012) </w:t>
      </w:r>
      <w:r w:rsidRPr="001B55AD">
        <w:rPr>
          <w:i/>
          <w:iCs/>
        </w:rPr>
        <w:t xml:space="preserve">Insanity and Automatism Supplementary Material to the Scoping Paper, pg.71. </w:t>
      </w:r>
      <w:r>
        <w:t xml:space="preserve">Available at: </w:t>
      </w:r>
      <w:hyperlink r:id="rId9" w:history="1">
        <w:r w:rsidRPr="00F17467">
          <w:rPr>
            <w:rStyle w:val="Hyperlink"/>
          </w:rPr>
          <w:t>https://consult.justice.gov.uk/law-commission/insanity-and-automatism/user_uploads/insanity_scoping_supplementary.pdf-1</w:t>
        </w:r>
      </w:hyperlink>
      <w:r>
        <w:t xml:space="preserve"> (Accessed: 8 April 2021). </w:t>
      </w:r>
    </w:p>
    <w:p w14:paraId="63EE9A0D" w14:textId="77777777" w:rsidR="0098578B" w:rsidRDefault="0098578B" w:rsidP="0098578B">
      <w:pPr>
        <w:pStyle w:val="ListParagraph"/>
        <w:jc w:val="both"/>
      </w:pPr>
    </w:p>
    <w:p w14:paraId="5398C41B" w14:textId="77777777" w:rsidR="0098578B" w:rsidRDefault="0098578B" w:rsidP="0098578B">
      <w:pPr>
        <w:pStyle w:val="ListParagraph"/>
        <w:numPr>
          <w:ilvl w:val="0"/>
          <w:numId w:val="3"/>
        </w:numPr>
        <w:jc w:val="both"/>
      </w:pPr>
      <w:r>
        <w:t xml:space="preserve">The Open University (2016) </w:t>
      </w:r>
      <w:r w:rsidRPr="008B4BE0">
        <w:rPr>
          <w:i/>
          <w:iCs/>
        </w:rPr>
        <w:t xml:space="preserve">Abolishing the Insanity Verdict in England and Wales: A Better Balance between Legal Rules and Scientific Understanding?  </w:t>
      </w:r>
      <w:r>
        <w:t xml:space="preserve">Available at: </w:t>
      </w:r>
      <w:hyperlink r:id="rId10" w:history="1">
        <w:r w:rsidRPr="00F17467">
          <w:rPr>
            <w:rStyle w:val="Hyperlink"/>
          </w:rPr>
          <w:t>http://oro.open.ac.uk/47651/1/Lisa%20Claydon%20and%20Paul%20Catley%20Abolishing%20the%20Insanity%20Verdict.pdf</w:t>
        </w:r>
      </w:hyperlink>
      <w:r>
        <w:t xml:space="preserve"> (Accessed: 24 April 2021).</w:t>
      </w:r>
    </w:p>
    <w:p w14:paraId="26A8226B" w14:textId="77777777" w:rsidR="0098578B" w:rsidRDefault="0098578B" w:rsidP="0098578B">
      <w:pPr>
        <w:pStyle w:val="ListParagraph"/>
        <w:numPr>
          <w:ilvl w:val="0"/>
          <w:numId w:val="3"/>
        </w:numPr>
        <w:jc w:val="both"/>
      </w:pPr>
      <w:r>
        <w:t xml:space="preserve">The Open University (2016) </w:t>
      </w:r>
      <w:r w:rsidRPr="008B4BE0">
        <w:rPr>
          <w:i/>
          <w:iCs/>
        </w:rPr>
        <w:t xml:space="preserve">Abolishing the Insanity Verdict in England and Wales: A Better Balance between Legal Rules and Scientific Understanding?  </w:t>
      </w:r>
      <w:r>
        <w:t xml:space="preserve">Available at: </w:t>
      </w:r>
      <w:hyperlink r:id="rId11" w:history="1">
        <w:r w:rsidRPr="00F17467">
          <w:rPr>
            <w:rStyle w:val="Hyperlink"/>
          </w:rPr>
          <w:t>http://oro.open.ac.uk/47651/1/Lisa%20Claydon%20and%20Paul%20Catley%20Abolishing%20the%20Insanity%20Verdict.pdf</w:t>
        </w:r>
      </w:hyperlink>
      <w:r>
        <w:t xml:space="preserve"> (Accessed: 24 April 2021).</w:t>
      </w:r>
    </w:p>
    <w:p w14:paraId="1B3D17D9" w14:textId="77777777" w:rsidR="0098578B" w:rsidRPr="00942967" w:rsidRDefault="0098578B" w:rsidP="0098578B">
      <w:pPr>
        <w:ind w:left="360"/>
        <w:jc w:val="both"/>
      </w:pPr>
    </w:p>
    <w:p w14:paraId="11C8A36C" w14:textId="77777777" w:rsidR="0098578B" w:rsidRDefault="0098578B" w:rsidP="0098578B">
      <w:pPr>
        <w:pStyle w:val="ListParagraph"/>
        <w:jc w:val="both"/>
      </w:pPr>
    </w:p>
    <w:p w14:paraId="59321391" w14:textId="77777777" w:rsidR="0098578B" w:rsidRDefault="0098578B" w:rsidP="0098578B">
      <w:pPr>
        <w:jc w:val="both"/>
      </w:pPr>
    </w:p>
    <w:p w14:paraId="71257764" w14:textId="77777777" w:rsidR="0098578B" w:rsidRDefault="0098578B" w:rsidP="0098578B">
      <w:pPr>
        <w:jc w:val="both"/>
      </w:pPr>
    </w:p>
    <w:p w14:paraId="45622FBD" w14:textId="77777777" w:rsidR="0098578B" w:rsidRDefault="0098578B" w:rsidP="0098578B">
      <w:pPr>
        <w:jc w:val="both"/>
        <w:rPr>
          <w:b/>
          <w:bCs/>
          <w:u w:val="single"/>
        </w:rPr>
      </w:pPr>
      <w:r>
        <w:rPr>
          <w:b/>
          <w:bCs/>
          <w:u w:val="single"/>
        </w:rPr>
        <w:t>Case Law</w:t>
      </w:r>
    </w:p>
    <w:p w14:paraId="62CE3B9A" w14:textId="77777777" w:rsidR="0098578B" w:rsidRDefault="0098578B" w:rsidP="0098578B">
      <w:pPr>
        <w:jc w:val="both"/>
        <w:rPr>
          <w:b/>
          <w:bCs/>
          <w:u w:val="single"/>
        </w:rPr>
      </w:pPr>
    </w:p>
    <w:p w14:paraId="1CD169E6" w14:textId="77777777" w:rsidR="0098578B" w:rsidRPr="00455331" w:rsidRDefault="0098578B" w:rsidP="0098578B">
      <w:pPr>
        <w:jc w:val="both"/>
      </w:pPr>
      <w:r>
        <w:t>Broome v Perkins (1987) 85 Cr App R 321 (DC)</w:t>
      </w:r>
    </w:p>
    <w:p w14:paraId="28D86610" w14:textId="77777777" w:rsidR="0098578B" w:rsidRDefault="0098578B" w:rsidP="0098578B">
      <w:pPr>
        <w:jc w:val="both"/>
        <w:rPr>
          <w:b/>
          <w:bCs/>
          <w:u w:val="single"/>
        </w:rPr>
      </w:pPr>
    </w:p>
    <w:p w14:paraId="10D02E8F" w14:textId="77777777" w:rsidR="0098578B" w:rsidRDefault="0098578B" w:rsidP="0098578B">
      <w:pPr>
        <w:jc w:val="both"/>
      </w:pPr>
      <w:r w:rsidRPr="00DA5D1F">
        <w:t>R v Clarke (1972) 1 All ER 219</w:t>
      </w:r>
    </w:p>
    <w:p w14:paraId="1D96E703" w14:textId="77777777" w:rsidR="0098578B" w:rsidRDefault="0098578B" w:rsidP="0098578B">
      <w:pPr>
        <w:jc w:val="both"/>
      </w:pPr>
    </w:p>
    <w:p w14:paraId="4129275F" w14:textId="77777777" w:rsidR="0098578B" w:rsidRDefault="0098578B" w:rsidP="0098578B">
      <w:pPr>
        <w:jc w:val="both"/>
      </w:pPr>
      <w:r>
        <w:t xml:space="preserve">R v </w:t>
      </w:r>
      <w:proofErr w:type="spellStart"/>
      <w:r>
        <w:t>Codere</w:t>
      </w:r>
      <w:proofErr w:type="spellEnd"/>
      <w:r>
        <w:t xml:space="preserve"> (1916) 12 Cr. App. R 21</w:t>
      </w:r>
    </w:p>
    <w:p w14:paraId="62D833B6" w14:textId="77777777" w:rsidR="0098578B" w:rsidRDefault="0098578B" w:rsidP="0098578B">
      <w:pPr>
        <w:jc w:val="both"/>
      </w:pPr>
    </w:p>
    <w:p w14:paraId="1B44C2E8" w14:textId="77777777" w:rsidR="0098578B" w:rsidRDefault="0098578B" w:rsidP="0098578B">
      <w:pPr>
        <w:jc w:val="both"/>
      </w:pPr>
      <w:r>
        <w:t>R v Hennessy (1989) 1 WLR 297</w:t>
      </w:r>
    </w:p>
    <w:p w14:paraId="37F60670" w14:textId="77777777" w:rsidR="0098578B" w:rsidRDefault="0098578B" w:rsidP="0098578B">
      <w:pPr>
        <w:jc w:val="both"/>
      </w:pPr>
    </w:p>
    <w:p w14:paraId="7461CD74" w14:textId="77777777" w:rsidR="0098578B" w:rsidRDefault="0098578B" w:rsidP="0098578B">
      <w:pPr>
        <w:jc w:val="both"/>
      </w:pPr>
      <w:r>
        <w:t>R v Johnson (2007) Crim LR 177</w:t>
      </w:r>
    </w:p>
    <w:p w14:paraId="6713C204" w14:textId="77777777" w:rsidR="0098578B" w:rsidRDefault="0098578B" w:rsidP="0098578B">
      <w:pPr>
        <w:jc w:val="both"/>
      </w:pPr>
    </w:p>
    <w:p w14:paraId="7C06FC6D" w14:textId="77777777" w:rsidR="0098578B" w:rsidRDefault="0098578B" w:rsidP="0098578B">
      <w:pPr>
        <w:jc w:val="both"/>
      </w:pPr>
      <w:r>
        <w:t>R v Kemp (1957) 1 QB 399</w:t>
      </w:r>
    </w:p>
    <w:p w14:paraId="330ECDCC" w14:textId="77777777" w:rsidR="0098578B" w:rsidRPr="00DA5D1F" w:rsidRDefault="0098578B" w:rsidP="0098578B">
      <w:pPr>
        <w:jc w:val="both"/>
      </w:pPr>
    </w:p>
    <w:p w14:paraId="59F9C9AC" w14:textId="77777777" w:rsidR="0098578B" w:rsidRDefault="0098578B" w:rsidP="0098578B">
      <w:pPr>
        <w:jc w:val="both"/>
      </w:pPr>
      <w:r>
        <w:t xml:space="preserve">R v </w:t>
      </w:r>
      <w:proofErr w:type="spellStart"/>
      <w:r>
        <w:t>M’Naghten</w:t>
      </w:r>
      <w:proofErr w:type="spellEnd"/>
      <w:r>
        <w:t xml:space="preserve"> 8 E.R 718 </w:t>
      </w:r>
    </w:p>
    <w:p w14:paraId="5EBABF06" w14:textId="77777777" w:rsidR="0098578B" w:rsidRDefault="0098578B" w:rsidP="0098578B">
      <w:pPr>
        <w:jc w:val="both"/>
      </w:pPr>
    </w:p>
    <w:p w14:paraId="3D3F2677" w14:textId="77777777" w:rsidR="0098578B" w:rsidRDefault="0098578B" w:rsidP="0098578B">
      <w:pPr>
        <w:jc w:val="both"/>
      </w:pPr>
      <w:r>
        <w:t>R v Quick (1973) QB 910</w:t>
      </w:r>
    </w:p>
    <w:p w14:paraId="3AB3828A" w14:textId="77777777" w:rsidR="0098578B" w:rsidRDefault="0098578B" w:rsidP="0098578B">
      <w:pPr>
        <w:jc w:val="both"/>
      </w:pPr>
    </w:p>
    <w:p w14:paraId="13A3C3C6" w14:textId="77777777" w:rsidR="0098578B" w:rsidRDefault="0098578B" w:rsidP="0098578B">
      <w:pPr>
        <w:jc w:val="both"/>
      </w:pPr>
      <w:r>
        <w:t>R v Windle (1952) 2 QB 82</w:t>
      </w:r>
    </w:p>
    <w:p w14:paraId="0C9A3C07" w14:textId="77777777" w:rsidR="0098578B" w:rsidRDefault="0098578B" w:rsidP="0098578B">
      <w:pPr>
        <w:jc w:val="both"/>
      </w:pPr>
    </w:p>
    <w:p w14:paraId="13FD9BC2" w14:textId="77777777" w:rsidR="0098578B" w:rsidRDefault="0098578B" w:rsidP="0098578B">
      <w:pPr>
        <w:jc w:val="both"/>
        <w:rPr>
          <w:b/>
          <w:bCs/>
          <w:u w:val="single"/>
        </w:rPr>
      </w:pPr>
      <w:r w:rsidRPr="00E80A3B">
        <w:rPr>
          <w:b/>
          <w:bCs/>
          <w:u w:val="single"/>
        </w:rPr>
        <w:t xml:space="preserve">Legislation </w:t>
      </w:r>
    </w:p>
    <w:p w14:paraId="034D1255" w14:textId="77777777" w:rsidR="0098578B" w:rsidRDefault="0098578B" w:rsidP="0098578B">
      <w:pPr>
        <w:jc w:val="both"/>
        <w:rPr>
          <w:b/>
          <w:bCs/>
          <w:u w:val="single"/>
        </w:rPr>
      </w:pPr>
    </w:p>
    <w:p w14:paraId="3EC50AD7" w14:textId="77777777" w:rsidR="0098578B" w:rsidRDefault="0098578B" w:rsidP="0098578B">
      <w:pPr>
        <w:jc w:val="both"/>
      </w:pPr>
      <w:r>
        <w:t xml:space="preserve">The Homicide Act (1957), </w:t>
      </w:r>
      <w:hyperlink r:id="rId12" w:history="1">
        <w:r w:rsidRPr="00F17467">
          <w:rPr>
            <w:rStyle w:val="Hyperlink"/>
          </w:rPr>
          <w:t>https://www.legislation.gov.uk/ukpga/1957/11/pdfs/ukpga_19570011_en.pdf</w:t>
        </w:r>
      </w:hyperlink>
      <w:r>
        <w:t xml:space="preserve"> </w:t>
      </w:r>
    </w:p>
    <w:p w14:paraId="283DAA48" w14:textId="77777777" w:rsidR="0098578B" w:rsidRDefault="0098578B" w:rsidP="0098578B"/>
    <w:p w14:paraId="60BA6445" w14:textId="77777777" w:rsidR="0098578B" w:rsidRPr="00E80A3B" w:rsidRDefault="0098578B" w:rsidP="0098578B">
      <w:r>
        <w:t xml:space="preserve">Coroners and Justice Act (2009), </w:t>
      </w:r>
      <w:hyperlink r:id="rId13" w:history="1">
        <w:r w:rsidRPr="00F17467">
          <w:rPr>
            <w:rStyle w:val="Hyperlink"/>
          </w:rPr>
          <w:t>https://www.legislation.gov.uk/ukpga/2009/25/pdfs/ukpga_20090025_en.pdf</w:t>
        </w:r>
      </w:hyperlink>
      <w:r>
        <w:t xml:space="preserve"> </w:t>
      </w:r>
    </w:p>
    <w:p w14:paraId="7C00319B" w14:textId="77777777" w:rsidR="0098578B" w:rsidRPr="00692A6E" w:rsidRDefault="0098578B" w:rsidP="0098578B">
      <w:pPr>
        <w:rPr>
          <w:b/>
          <w:bCs/>
          <w:u w:val="single"/>
        </w:rPr>
      </w:pPr>
    </w:p>
    <w:sectPr w:rsidR="0098578B" w:rsidRPr="00692A6E"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D63F7"/>
    <w:multiLevelType w:val="hybridMultilevel"/>
    <w:tmpl w:val="2D081768"/>
    <w:lvl w:ilvl="0" w:tplc="474CB1D8">
      <w:start w:val="1"/>
      <w:numFmt w:val="upperLetter"/>
      <w:lvlText w:val="(%1)"/>
      <w:lvlJc w:val="left"/>
      <w:pPr>
        <w:ind w:left="720" w:hanging="360"/>
      </w:pPr>
      <w:rPr>
        <w:rFonts w:hint="default"/>
        <w:b w:val="0"/>
        <w:bCs w:val="0"/>
      </w:rPr>
    </w:lvl>
    <w:lvl w:ilvl="1" w:tplc="5FEA2550" w:tentative="1">
      <w:start w:val="1"/>
      <w:numFmt w:val="lowerLetter"/>
      <w:lvlText w:val="%2."/>
      <w:lvlJc w:val="left"/>
      <w:pPr>
        <w:ind w:left="1440" w:hanging="360"/>
      </w:pPr>
    </w:lvl>
    <w:lvl w:ilvl="2" w:tplc="BD4A4E76" w:tentative="1">
      <w:start w:val="1"/>
      <w:numFmt w:val="lowerRoman"/>
      <w:lvlText w:val="%3."/>
      <w:lvlJc w:val="right"/>
      <w:pPr>
        <w:ind w:left="2160" w:hanging="180"/>
      </w:pPr>
    </w:lvl>
    <w:lvl w:ilvl="3" w:tplc="53A2069C" w:tentative="1">
      <w:start w:val="1"/>
      <w:numFmt w:val="decimal"/>
      <w:lvlText w:val="%4."/>
      <w:lvlJc w:val="left"/>
      <w:pPr>
        <w:ind w:left="2880" w:hanging="360"/>
      </w:pPr>
    </w:lvl>
    <w:lvl w:ilvl="4" w:tplc="F8A69DCA" w:tentative="1">
      <w:start w:val="1"/>
      <w:numFmt w:val="lowerLetter"/>
      <w:lvlText w:val="%5."/>
      <w:lvlJc w:val="left"/>
      <w:pPr>
        <w:ind w:left="3600" w:hanging="360"/>
      </w:pPr>
    </w:lvl>
    <w:lvl w:ilvl="5" w:tplc="F76C7E7A" w:tentative="1">
      <w:start w:val="1"/>
      <w:numFmt w:val="lowerRoman"/>
      <w:lvlText w:val="%6."/>
      <w:lvlJc w:val="right"/>
      <w:pPr>
        <w:ind w:left="4320" w:hanging="180"/>
      </w:pPr>
    </w:lvl>
    <w:lvl w:ilvl="6" w:tplc="899EDD40" w:tentative="1">
      <w:start w:val="1"/>
      <w:numFmt w:val="decimal"/>
      <w:lvlText w:val="%7."/>
      <w:lvlJc w:val="left"/>
      <w:pPr>
        <w:ind w:left="5040" w:hanging="360"/>
      </w:pPr>
    </w:lvl>
    <w:lvl w:ilvl="7" w:tplc="78FA9936" w:tentative="1">
      <w:start w:val="1"/>
      <w:numFmt w:val="lowerLetter"/>
      <w:lvlText w:val="%8."/>
      <w:lvlJc w:val="left"/>
      <w:pPr>
        <w:ind w:left="5760" w:hanging="360"/>
      </w:pPr>
    </w:lvl>
    <w:lvl w:ilvl="8" w:tplc="55F4CEA4" w:tentative="1">
      <w:start w:val="1"/>
      <w:numFmt w:val="lowerRoman"/>
      <w:lvlText w:val="%9."/>
      <w:lvlJc w:val="right"/>
      <w:pPr>
        <w:ind w:left="6480" w:hanging="180"/>
      </w:pPr>
    </w:lvl>
  </w:abstractNum>
  <w:abstractNum w:abstractNumId="1" w15:restartNumberingAfterBreak="0">
    <w:nsid w:val="49A46E13"/>
    <w:multiLevelType w:val="hybridMultilevel"/>
    <w:tmpl w:val="CC50D06E"/>
    <w:lvl w:ilvl="0" w:tplc="42DE959E">
      <w:start w:val="1"/>
      <w:numFmt w:val="upperLetter"/>
      <w:lvlText w:val="(%1)"/>
      <w:lvlJc w:val="left"/>
      <w:pPr>
        <w:ind w:left="720" w:hanging="360"/>
      </w:pPr>
      <w:rPr>
        <w:rFonts w:hint="default"/>
      </w:rPr>
    </w:lvl>
    <w:lvl w:ilvl="1" w:tplc="60F89810" w:tentative="1">
      <w:start w:val="1"/>
      <w:numFmt w:val="lowerLetter"/>
      <w:lvlText w:val="%2."/>
      <w:lvlJc w:val="left"/>
      <w:pPr>
        <w:ind w:left="1440" w:hanging="360"/>
      </w:pPr>
    </w:lvl>
    <w:lvl w:ilvl="2" w:tplc="0DE2002E" w:tentative="1">
      <w:start w:val="1"/>
      <w:numFmt w:val="lowerRoman"/>
      <w:lvlText w:val="%3."/>
      <w:lvlJc w:val="right"/>
      <w:pPr>
        <w:ind w:left="2160" w:hanging="180"/>
      </w:pPr>
    </w:lvl>
    <w:lvl w:ilvl="3" w:tplc="3432AF14" w:tentative="1">
      <w:start w:val="1"/>
      <w:numFmt w:val="decimal"/>
      <w:lvlText w:val="%4."/>
      <w:lvlJc w:val="left"/>
      <w:pPr>
        <w:ind w:left="2880" w:hanging="360"/>
      </w:pPr>
    </w:lvl>
    <w:lvl w:ilvl="4" w:tplc="08E0D0BE" w:tentative="1">
      <w:start w:val="1"/>
      <w:numFmt w:val="lowerLetter"/>
      <w:lvlText w:val="%5."/>
      <w:lvlJc w:val="left"/>
      <w:pPr>
        <w:ind w:left="3600" w:hanging="360"/>
      </w:pPr>
    </w:lvl>
    <w:lvl w:ilvl="5" w:tplc="B540D4BC" w:tentative="1">
      <w:start w:val="1"/>
      <w:numFmt w:val="lowerRoman"/>
      <w:lvlText w:val="%6."/>
      <w:lvlJc w:val="right"/>
      <w:pPr>
        <w:ind w:left="4320" w:hanging="180"/>
      </w:pPr>
    </w:lvl>
    <w:lvl w:ilvl="6" w:tplc="A8020908" w:tentative="1">
      <w:start w:val="1"/>
      <w:numFmt w:val="decimal"/>
      <w:lvlText w:val="%7."/>
      <w:lvlJc w:val="left"/>
      <w:pPr>
        <w:ind w:left="5040" w:hanging="360"/>
      </w:pPr>
    </w:lvl>
    <w:lvl w:ilvl="7" w:tplc="D39A7A44" w:tentative="1">
      <w:start w:val="1"/>
      <w:numFmt w:val="lowerLetter"/>
      <w:lvlText w:val="%8."/>
      <w:lvlJc w:val="left"/>
      <w:pPr>
        <w:ind w:left="5760" w:hanging="360"/>
      </w:pPr>
    </w:lvl>
    <w:lvl w:ilvl="8" w:tplc="25185674" w:tentative="1">
      <w:start w:val="1"/>
      <w:numFmt w:val="lowerRoman"/>
      <w:lvlText w:val="%9."/>
      <w:lvlJc w:val="right"/>
      <w:pPr>
        <w:ind w:left="6480" w:hanging="180"/>
      </w:pPr>
    </w:lvl>
  </w:abstractNum>
  <w:abstractNum w:abstractNumId="2" w15:restartNumberingAfterBreak="0">
    <w:nsid w:val="67224E64"/>
    <w:multiLevelType w:val="hybridMultilevel"/>
    <w:tmpl w:val="3648EB46"/>
    <w:lvl w:ilvl="0" w:tplc="FC808682">
      <w:start w:val="1"/>
      <w:numFmt w:val="upperLetter"/>
      <w:lvlText w:val="(%1)"/>
      <w:lvlJc w:val="left"/>
      <w:pPr>
        <w:ind w:left="720" w:hanging="360"/>
      </w:pPr>
      <w:rPr>
        <w:rFonts w:hint="default"/>
      </w:rPr>
    </w:lvl>
    <w:lvl w:ilvl="1" w:tplc="ACC205A0" w:tentative="1">
      <w:start w:val="1"/>
      <w:numFmt w:val="lowerLetter"/>
      <w:lvlText w:val="%2."/>
      <w:lvlJc w:val="left"/>
      <w:pPr>
        <w:ind w:left="1440" w:hanging="360"/>
      </w:pPr>
    </w:lvl>
    <w:lvl w:ilvl="2" w:tplc="1902C33C" w:tentative="1">
      <w:start w:val="1"/>
      <w:numFmt w:val="lowerRoman"/>
      <w:lvlText w:val="%3."/>
      <w:lvlJc w:val="right"/>
      <w:pPr>
        <w:ind w:left="2160" w:hanging="180"/>
      </w:pPr>
    </w:lvl>
    <w:lvl w:ilvl="3" w:tplc="5448E7BE" w:tentative="1">
      <w:start w:val="1"/>
      <w:numFmt w:val="decimal"/>
      <w:lvlText w:val="%4."/>
      <w:lvlJc w:val="left"/>
      <w:pPr>
        <w:ind w:left="2880" w:hanging="360"/>
      </w:pPr>
    </w:lvl>
    <w:lvl w:ilvl="4" w:tplc="02F26838" w:tentative="1">
      <w:start w:val="1"/>
      <w:numFmt w:val="lowerLetter"/>
      <w:lvlText w:val="%5."/>
      <w:lvlJc w:val="left"/>
      <w:pPr>
        <w:ind w:left="3600" w:hanging="360"/>
      </w:pPr>
    </w:lvl>
    <w:lvl w:ilvl="5" w:tplc="931AEF4A" w:tentative="1">
      <w:start w:val="1"/>
      <w:numFmt w:val="lowerRoman"/>
      <w:lvlText w:val="%6."/>
      <w:lvlJc w:val="right"/>
      <w:pPr>
        <w:ind w:left="4320" w:hanging="180"/>
      </w:pPr>
    </w:lvl>
    <w:lvl w:ilvl="6" w:tplc="869A570A" w:tentative="1">
      <w:start w:val="1"/>
      <w:numFmt w:val="decimal"/>
      <w:lvlText w:val="%7."/>
      <w:lvlJc w:val="left"/>
      <w:pPr>
        <w:ind w:left="5040" w:hanging="360"/>
      </w:pPr>
    </w:lvl>
    <w:lvl w:ilvl="7" w:tplc="6F9C134C" w:tentative="1">
      <w:start w:val="1"/>
      <w:numFmt w:val="lowerLetter"/>
      <w:lvlText w:val="%8."/>
      <w:lvlJc w:val="left"/>
      <w:pPr>
        <w:ind w:left="5760" w:hanging="360"/>
      </w:pPr>
    </w:lvl>
    <w:lvl w:ilvl="8" w:tplc="8DC43A04"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6E"/>
    <w:rsid w:val="00000137"/>
    <w:rsid w:val="00063D3F"/>
    <w:rsid w:val="00085F1F"/>
    <w:rsid w:val="000D57E9"/>
    <w:rsid w:val="000E17BF"/>
    <w:rsid w:val="00107261"/>
    <w:rsid w:val="00132E2F"/>
    <w:rsid w:val="001B51E1"/>
    <w:rsid w:val="002522FA"/>
    <w:rsid w:val="00273E2A"/>
    <w:rsid w:val="002A33F6"/>
    <w:rsid w:val="004B3F10"/>
    <w:rsid w:val="00501B35"/>
    <w:rsid w:val="00547EB9"/>
    <w:rsid w:val="005E515B"/>
    <w:rsid w:val="005F4A5C"/>
    <w:rsid w:val="0060504B"/>
    <w:rsid w:val="00692A6E"/>
    <w:rsid w:val="006C41B2"/>
    <w:rsid w:val="00714EB0"/>
    <w:rsid w:val="00717416"/>
    <w:rsid w:val="007C6737"/>
    <w:rsid w:val="007E4E99"/>
    <w:rsid w:val="008C223C"/>
    <w:rsid w:val="00911709"/>
    <w:rsid w:val="0098578B"/>
    <w:rsid w:val="00B00442"/>
    <w:rsid w:val="00B22B9E"/>
    <w:rsid w:val="00BD68C3"/>
    <w:rsid w:val="00BD7923"/>
    <w:rsid w:val="00BE529E"/>
    <w:rsid w:val="00BE773A"/>
    <w:rsid w:val="00C117C2"/>
    <w:rsid w:val="00C54B18"/>
    <w:rsid w:val="00C72EDD"/>
    <w:rsid w:val="00D22677"/>
    <w:rsid w:val="00D3385A"/>
    <w:rsid w:val="00D72B2E"/>
    <w:rsid w:val="00E11396"/>
    <w:rsid w:val="00E27D1A"/>
    <w:rsid w:val="00E36805"/>
    <w:rsid w:val="00F20E60"/>
    <w:rsid w:val="00F33EFF"/>
    <w:rsid w:val="00F44838"/>
    <w:rsid w:val="00FE4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74ED3D"/>
  <w15:chartTrackingRefBased/>
  <w15:docId w15:val="{E600CA9D-D41D-EB49-9B78-EC434CDE7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578B"/>
    <w:rPr>
      <w:color w:val="0563C1" w:themeColor="hyperlink"/>
      <w:u w:val="single"/>
    </w:rPr>
  </w:style>
  <w:style w:type="paragraph" w:styleId="ListParagraph">
    <w:name w:val="List Paragraph"/>
    <w:basedOn w:val="Normal"/>
    <w:uiPriority w:val="34"/>
    <w:qFormat/>
    <w:rsid w:val="009857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ult.justice.gov.uk/law-commission/insanity-and-automatism/user_uploads/insanity_scoping_supplementary.pdf-1" TargetMode="External"/><Relationship Id="rId13" Type="http://schemas.openxmlformats.org/officeDocument/2006/relationships/hyperlink" Target="https://www.legislation.gov.uk/ukpga/2009/25/pdfs/ukpga_20090025_en.pdf" TargetMode="External"/><Relationship Id="rId3" Type="http://schemas.openxmlformats.org/officeDocument/2006/relationships/settings" Target="settings.xml"/><Relationship Id="rId7" Type="http://schemas.openxmlformats.org/officeDocument/2006/relationships/hyperlink" Target="http://www.lawcom.gov.uk/app/uploads/2015/06/insanity_discussion_summary.pdf" TargetMode="External"/><Relationship Id="rId12" Type="http://schemas.openxmlformats.org/officeDocument/2006/relationships/hyperlink" Target="https://www.legislation.gov.uk/ukpga/1957/11/pdfs/ukpga_19570011_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awcom.gov.uk/app/uploads/2015/06/insanity_discussion_summary.pdf" TargetMode="External"/><Relationship Id="rId11" Type="http://schemas.openxmlformats.org/officeDocument/2006/relationships/hyperlink" Target="http://oro.open.ac.uk/47651/1/Lisa%20Claydon%20and%20Paul%20Catley%20Abolishing%20the%20Insanity%20Verdict.pdf" TargetMode="External"/><Relationship Id="rId5" Type="http://schemas.openxmlformats.org/officeDocument/2006/relationships/hyperlink" Target="http://www.lawcom.gov.uk/app/uploads/2015/06/insanity_discussion_summary.pdf" TargetMode="External"/><Relationship Id="rId15" Type="http://schemas.openxmlformats.org/officeDocument/2006/relationships/theme" Target="theme/theme1.xml"/><Relationship Id="rId10" Type="http://schemas.openxmlformats.org/officeDocument/2006/relationships/hyperlink" Target="http://oro.open.ac.uk/47651/1/Lisa%20Claydon%20and%20Paul%20Catley%20Abolishing%20the%20Insanity%20Verdict.pdf" TargetMode="External"/><Relationship Id="rId4" Type="http://schemas.openxmlformats.org/officeDocument/2006/relationships/webSettings" Target="webSettings.xml"/><Relationship Id="rId9" Type="http://schemas.openxmlformats.org/officeDocument/2006/relationships/hyperlink" Target="https://consult.justice.gov.uk/law-commission/insanity-and-automatism/user_uploads/insanity_scoping_supplementary.pdf-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2352</Words>
  <Characters>13408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Anne Kan (2017444)</dc:creator>
  <cp:lastModifiedBy>Teresa Anne Kan (2017444)</cp:lastModifiedBy>
  <cp:revision>4</cp:revision>
  <dcterms:created xsi:type="dcterms:W3CDTF">2021-04-29T09:47:00Z</dcterms:created>
  <dcterms:modified xsi:type="dcterms:W3CDTF">2021-05-05T09:28:00Z</dcterms:modified>
</cp:coreProperties>
</file>